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E25E7">
      <w:pPr>
        <w:jc w:val="center"/>
        <w:outlineLvl w:val="0"/>
        <w:rPr>
          <w:rStyle w:val="24"/>
          <w:rFonts w:hint="eastAsia"/>
          <w:highlight w:val="none"/>
        </w:rPr>
      </w:pPr>
    </w:p>
    <w:p w14:paraId="338072E8">
      <w:pPr>
        <w:jc w:val="center"/>
        <w:outlineLvl w:val="0"/>
        <w:rPr>
          <w:rFonts w:hint="eastAsia" w:eastAsiaTheme="minorEastAsia"/>
          <w:highlight w:val="none"/>
          <w:lang w:val="en-US" w:eastAsia="zh-CN"/>
        </w:rPr>
      </w:pPr>
      <w:r>
        <w:rPr>
          <w:rFonts w:hint="eastAsia"/>
          <w:b/>
          <w:bCs/>
          <w:sz w:val="52"/>
          <w:szCs w:val="52"/>
          <w:highlight w:val="none"/>
          <w:lang w:eastAsia="zh-CN"/>
        </w:rPr>
        <w:t>瑞安市水库堤防白蚁等害堤动物普查与防治项目</w:t>
      </w:r>
    </w:p>
    <w:p w14:paraId="72DE9908">
      <w:pPr>
        <w:rPr>
          <w:highlight w:val="none"/>
        </w:rPr>
      </w:pPr>
    </w:p>
    <w:p w14:paraId="78051297">
      <w:pPr>
        <w:pStyle w:val="9"/>
        <w:ind w:left="0" w:leftChars="0" w:firstLine="0" w:firstLineChars="0"/>
        <w:rPr>
          <w:highlight w:val="none"/>
        </w:rPr>
      </w:pPr>
    </w:p>
    <w:p w14:paraId="3DEEFB55">
      <w:pPr>
        <w:rPr>
          <w:highlight w:val="none"/>
        </w:rPr>
      </w:pPr>
    </w:p>
    <w:p w14:paraId="3770DE8B">
      <w:pPr>
        <w:rPr>
          <w:highlight w:val="none"/>
        </w:rPr>
      </w:pPr>
    </w:p>
    <w:p w14:paraId="5D17A9B7">
      <w:pPr>
        <w:rPr>
          <w:highlight w:val="none"/>
        </w:rPr>
      </w:pPr>
    </w:p>
    <w:p w14:paraId="6DA61656">
      <w:pPr>
        <w:rPr>
          <w:highlight w:val="none"/>
        </w:rPr>
      </w:pPr>
    </w:p>
    <w:p w14:paraId="73FAE050">
      <w:pPr>
        <w:pStyle w:val="2"/>
        <w:rPr>
          <w:highlight w:val="none"/>
        </w:rPr>
      </w:pPr>
    </w:p>
    <w:p w14:paraId="0658FD57">
      <w:pPr>
        <w:jc w:val="center"/>
        <w:rPr>
          <w:rFonts w:ascii="宋体" w:hAnsi="宋体" w:eastAsia="宋体" w:cs="宋体"/>
          <w:b/>
          <w:bCs/>
          <w:sz w:val="72"/>
          <w:highlight w:val="none"/>
        </w:rPr>
      </w:pPr>
      <w:r>
        <w:rPr>
          <w:rFonts w:hint="eastAsia" w:ascii="宋体" w:hAnsi="宋体" w:eastAsia="宋体" w:cs="宋体"/>
          <w:b/>
          <w:bCs/>
          <w:sz w:val="72"/>
          <w:highlight w:val="none"/>
        </w:rPr>
        <w:t>磋 商 文 件</w:t>
      </w:r>
    </w:p>
    <w:p w14:paraId="5A930465">
      <w:pPr>
        <w:jc w:val="center"/>
        <w:rPr>
          <w:highlight w:val="none"/>
        </w:rPr>
      </w:pPr>
      <w:r>
        <w:rPr>
          <w:rFonts w:hint="eastAsia" w:ascii="宋体" w:hAnsi="宋体" w:eastAsia="宋体" w:cs="宋体"/>
          <w:b/>
          <w:bCs/>
          <w:sz w:val="36"/>
          <w:szCs w:val="36"/>
          <w:highlight w:val="none"/>
        </w:rPr>
        <w:t>（线上电子招投标）</w:t>
      </w:r>
    </w:p>
    <w:p w14:paraId="03D50711">
      <w:pPr>
        <w:rPr>
          <w:highlight w:val="none"/>
        </w:rPr>
      </w:pPr>
    </w:p>
    <w:p w14:paraId="6EE4DF98">
      <w:pPr>
        <w:rPr>
          <w:highlight w:val="none"/>
        </w:rPr>
      </w:pPr>
    </w:p>
    <w:p w14:paraId="71F5674F">
      <w:pPr>
        <w:rPr>
          <w:highlight w:val="none"/>
        </w:rPr>
      </w:pPr>
    </w:p>
    <w:p w14:paraId="210CD8E2">
      <w:pPr>
        <w:rPr>
          <w:highlight w:val="none"/>
        </w:rPr>
      </w:pPr>
    </w:p>
    <w:p w14:paraId="7C8A8067">
      <w:pPr>
        <w:rPr>
          <w:highlight w:val="none"/>
        </w:rPr>
      </w:pPr>
    </w:p>
    <w:p w14:paraId="6B8616CD">
      <w:pPr>
        <w:rPr>
          <w:highlight w:val="none"/>
        </w:rPr>
      </w:pPr>
    </w:p>
    <w:p w14:paraId="365BD205">
      <w:pPr>
        <w:rPr>
          <w:highlight w:val="none"/>
        </w:rPr>
      </w:pPr>
    </w:p>
    <w:p w14:paraId="4E366061">
      <w:pPr>
        <w:rPr>
          <w:highlight w:val="none"/>
        </w:rPr>
      </w:pPr>
    </w:p>
    <w:p w14:paraId="2377ADE6">
      <w:pPr>
        <w:rPr>
          <w:highlight w:val="none"/>
        </w:rPr>
      </w:pPr>
    </w:p>
    <w:p w14:paraId="19B6F27F">
      <w:pPr>
        <w:spacing w:line="360" w:lineRule="auto"/>
        <w:ind w:firstLine="640" w:firstLineChars="200"/>
        <w:rPr>
          <w:sz w:val="32"/>
          <w:szCs w:val="40"/>
          <w:highlight w:val="none"/>
        </w:rPr>
      </w:pPr>
      <w:r>
        <w:rPr>
          <w:rFonts w:hint="eastAsia"/>
          <w:sz w:val="32"/>
          <w:szCs w:val="40"/>
          <w:highlight w:val="none"/>
        </w:rPr>
        <w:t>项 目  编 号：</w:t>
      </w:r>
      <w:r>
        <w:rPr>
          <w:rFonts w:hint="eastAsia"/>
          <w:sz w:val="32"/>
          <w:szCs w:val="40"/>
          <w:highlight w:val="none"/>
          <w:lang w:eastAsia="zh-CN"/>
        </w:rPr>
        <w:t>zjzs202507021</w:t>
      </w:r>
      <w:r>
        <w:rPr>
          <w:rFonts w:hint="eastAsia"/>
          <w:sz w:val="32"/>
          <w:szCs w:val="40"/>
          <w:highlight w:val="none"/>
        </w:rPr>
        <w:t xml:space="preserve"> </w:t>
      </w:r>
    </w:p>
    <w:p w14:paraId="15BC6F9E">
      <w:pPr>
        <w:spacing w:line="360" w:lineRule="auto"/>
        <w:ind w:firstLine="640" w:firstLineChars="200"/>
        <w:rPr>
          <w:sz w:val="32"/>
          <w:szCs w:val="40"/>
          <w:highlight w:val="none"/>
        </w:rPr>
      </w:pPr>
      <w:r>
        <w:rPr>
          <w:rFonts w:hint="eastAsia"/>
          <w:sz w:val="32"/>
          <w:szCs w:val="40"/>
          <w:highlight w:val="none"/>
        </w:rPr>
        <w:t>采 购  方 式：竞争性磋商</w:t>
      </w:r>
    </w:p>
    <w:p w14:paraId="57DB2208">
      <w:pPr>
        <w:spacing w:line="360" w:lineRule="auto"/>
        <w:ind w:firstLine="640" w:firstLineChars="200"/>
        <w:rPr>
          <w:rFonts w:hint="eastAsia" w:eastAsiaTheme="minorEastAsia"/>
          <w:sz w:val="32"/>
          <w:szCs w:val="40"/>
          <w:highlight w:val="none"/>
          <w:lang w:val="en-US" w:eastAsia="zh-CN"/>
        </w:rPr>
      </w:pPr>
      <w:r>
        <w:rPr>
          <w:rFonts w:hint="eastAsia"/>
          <w:sz w:val="32"/>
          <w:szCs w:val="40"/>
          <w:highlight w:val="none"/>
        </w:rPr>
        <w:t>采   购   人：</w:t>
      </w:r>
      <w:r>
        <w:rPr>
          <w:rFonts w:hint="eastAsia"/>
          <w:sz w:val="32"/>
          <w:szCs w:val="40"/>
          <w:highlight w:val="none"/>
          <w:lang w:eastAsia="zh-CN"/>
        </w:rPr>
        <w:t>瑞安市水利局</w:t>
      </w:r>
    </w:p>
    <w:p w14:paraId="3604F068">
      <w:pPr>
        <w:ind w:firstLine="640" w:firstLineChars="200"/>
        <w:rPr>
          <w:sz w:val="32"/>
          <w:szCs w:val="40"/>
          <w:highlight w:val="none"/>
        </w:rPr>
      </w:pPr>
      <w:r>
        <w:rPr>
          <w:rFonts w:hint="eastAsia"/>
          <w:sz w:val="32"/>
          <w:szCs w:val="40"/>
          <w:highlight w:val="none"/>
        </w:rPr>
        <w:t>采购代理机构：浙江综盛项目管理有限公司</w:t>
      </w:r>
    </w:p>
    <w:p w14:paraId="20811CCD">
      <w:pPr>
        <w:jc w:val="both"/>
        <w:rPr>
          <w:rFonts w:hint="eastAsia"/>
          <w:sz w:val="32"/>
          <w:szCs w:val="40"/>
          <w:highlight w:val="none"/>
        </w:rPr>
      </w:pPr>
    </w:p>
    <w:p w14:paraId="5E0D11C4">
      <w:pPr>
        <w:pStyle w:val="7"/>
        <w:rPr>
          <w:rFonts w:hint="eastAsia"/>
          <w:highlight w:val="none"/>
        </w:rPr>
      </w:pPr>
    </w:p>
    <w:p w14:paraId="201ADCD0">
      <w:pPr>
        <w:pStyle w:val="9"/>
        <w:rPr>
          <w:rFonts w:hint="eastAsia"/>
          <w:highlight w:val="none"/>
        </w:rPr>
      </w:pPr>
    </w:p>
    <w:p w14:paraId="1EE89FFE">
      <w:pPr>
        <w:pStyle w:val="9"/>
        <w:rPr>
          <w:rFonts w:hint="eastAsia"/>
          <w:highlight w:val="none"/>
        </w:rPr>
      </w:pPr>
    </w:p>
    <w:p w14:paraId="039BA961">
      <w:pPr>
        <w:spacing w:before="0" w:beforeLines="0" w:after="0" w:afterLines="0" w:line="240" w:lineRule="auto"/>
        <w:ind w:left="0" w:leftChars="0" w:right="0" w:rightChars="0" w:firstLine="0" w:firstLineChars="0"/>
        <w:jc w:val="center"/>
        <w:rPr>
          <w:rFonts w:hint="eastAsia"/>
          <w:b/>
          <w:bCs/>
          <w:sz w:val="52"/>
          <w:szCs w:val="52"/>
          <w:highlight w:val="none"/>
        </w:rPr>
      </w:pPr>
      <w:r>
        <w:rPr>
          <w:rFonts w:hint="eastAsia"/>
          <w:sz w:val="32"/>
          <w:szCs w:val="40"/>
          <w:highlight w:val="none"/>
        </w:rPr>
        <w:t>二○二</w:t>
      </w:r>
      <w:r>
        <w:rPr>
          <w:rFonts w:hint="eastAsia"/>
          <w:sz w:val="32"/>
          <w:szCs w:val="40"/>
          <w:highlight w:val="none"/>
          <w:lang w:val="en-US" w:eastAsia="zh-CN"/>
        </w:rPr>
        <w:t>五</w:t>
      </w:r>
      <w:r>
        <w:rPr>
          <w:rFonts w:hint="eastAsia"/>
          <w:sz w:val="32"/>
          <w:szCs w:val="40"/>
          <w:highlight w:val="none"/>
        </w:rPr>
        <w:t>年</w:t>
      </w:r>
      <w:r>
        <w:rPr>
          <w:rFonts w:hint="eastAsia"/>
          <w:sz w:val="32"/>
          <w:szCs w:val="40"/>
          <w:highlight w:val="none"/>
          <w:lang w:val="en-US" w:eastAsia="zh-CN"/>
        </w:rPr>
        <w:t>九</w:t>
      </w:r>
      <w:r>
        <w:rPr>
          <w:rFonts w:hint="eastAsia"/>
          <w:sz w:val="32"/>
          <w:szCs w:val="40"/>
          <w:highlight w:val="none"/>
        </w:rPr>
        <w:t>月</w:t>
      </w:r>
    </w:p>
    <w:sdt>
      <w:sdtPr>
        <w:rPr>
          <w:rFonts w:ascii="宋体" w:hAnsi="宋体" w:eastAsia="宋体" w:cstheme="minorBidi"/>
          <w:kern w:val="2"/>
          <w:sz w:val="21"/>
          <w:szCs w:val="24"/>
          <w:highlight w:val="none"/>
          <w:lang w:val="en-US" w:eastAsia="zh-CN" w:bidi="ar-SA"/>
        </w:rPr>
        <w:id w:val="147474826"/>
      </w:sdtPr>
      <w:sdtEndPr>
        <w:rPr>
          <w:rFonts w:ascii="宋体" w:hAnsi="宋体" w:eastAsia="宋体" w:cstheme="minorBidi"/>
          <w:kern w:val="2"/>
          <w:sz w:val="21"/>
          <w:szCs w:val="24"/>
          <w:highlight w:val="none"/>
          <w:lang w:val="en-US" w:eastAsia="zh-CN" w:bidi="ar-SA"/>
        </w:rPr>
      </w:sdtEndPr>
      <w:sdtContent>
        <w:p w14:paraId="3354F220">
          <w:pPr>
            <w:spacing w:before="0" w:beforeLines="0" w:after="0" w:afterLines="0" w:line="240" w:lineRule="auto"/>
            <w:ind w:left="0" w:leftChars="0" w:right="0" w:rightChars="0" w:firstLine="0" w:firstLineChars="0"/>
            <w:jc w:val="center"/>
            <w:rPr>
              <w:highlight w:val="none"/>
            </w:rPr>
          </w:pPr>
          <w:r>
            <w:rPr>
              <w:rFonts w:ascii="宋体" w:hAnsi="宋体" w:eastAsia="宋体"/>
              <w:b/>
              <w:bCs/>
              <w:sz w:val="40"/>
              <w:szCs w:val="48"/>
              <w:highlight w:val="none"/>
            </w:rPr>
            <w:t>目</w:t>
          </w:r>
          <w:r>
            <w:rPr>
              <w:rFonts w:hint="eastAsia" w:ascii="宋体" w:hAnsi="宋体" w:eastAsia="宋体"/>
              <w:b/>
              <w:bCs/>
              <w:sz w:val="40"/>
              <w:szCs w:val="48"/>
              <w:highlight w:val="none"/>
              <w:lang w:val="en-US" w:eastAsia="zh-CN"/>
            </w:rPr>
            <w:t xml:space="preserve"> </w:t>
          </w:r>
          <w:r>
            <w:rPr>
              <w:rFonts w:ascii="宋体" w:hAnsi="宋体" w:eastAsia="宋体"/>
              <w:b/>
              <w:bCs/>
              <w:sz w:val="40"/>
              <w:szCs w:val="48"/>
              <w:highlight w:val="none"/>
            </w:rPr>
            <w:t>录</w:t>
          </w:r>
          <w:r>
            <w:rPr>
              <w:highlight w:val="none"/>
            </w:rPr>
            <w:fldChar w:fldCharType="begin"/>
          </w:r>
          <w:r>
            <w:rPr>
              <w:highlight w:val="none"/>
            </w:rPr>
            <w:instrText xml:space="preserve">TOC \o "1-3" \h \u </w:instrText>
          </w:r>
          <w:r>
            <w:rPr>
              <w:highlight w:val="none"/>
            </w:rPr>
            <w:fldChar w:fldCharType="separate"/>
          </w:r>
        </w:p>
        <w:p w14:paraId="3FC3EE59">
          <w:pPr>
            <w:pStyle w:val="15"/>
            <w:tabs>
              <w:tab w:val="right" w:leader="dot" w:pos="8306"/>
              <w:tab w:val="clear" w:pos="8948"/>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_Toc30993 </w:instrText>
          </w:r>
          <w:r>
            <w:rPr>
              <w:sz w:val="22"/>
              <w:szCs w:val="22"/>
              <w:highlight w:val="none"/>
            </w:rPr>
            <w:fldChar w:fldCharType="separate"/>
          </w:r>
          <w:r>
            <w:rPr>
              <w:rFonts w:hint="eastAsia" w:hAnsi="宋体" w:eastAsia="宋体" w:cs="宋体"/>
              <w:sz w:val="22"/>
              <w:szCs w:val="40"/>
              <w:highlight w:val="none"/>
            </w:rPr>
            <w:t>第一部分  竞争性磋商公告</w:t>
          </w:r>
          <w:r>
            <w:rPr>
              <w:sz w:val="22"/>
              <w:szCs w:val="22"/>
              <w:highlight w:val="none"/>
            </w:rPr>
            <w:tab/>
          </w:r>
          <w:r>
            <w:rPr>
              <w:sz w:val="22"/>
              <w:szCs w:val="22"/>
              <w:highlight w:val="none"/>
            </w:rPr>
            <w:fldChar w:fldCharType="begin"/>
          </w:r>
          <w:r>
            <w:rPr>
              <w:sz w:val="22"/>
              <w:szCs w:val="22"/>
              <w:highlight w:val="none"/>
            </w:rPr>
            <w:instrText xml:space="preserve"> PAGEREF _Toc30993 \h </w:instrText>
          </w:r>
          <w:r>
            <w:rPr>
              <w:sz w:val="22"/>
              <w:szCs w:val="22"/>
              <w:highlight w:val="none"/>
            </w:rPr>
            <w:fldChar w:fldCharType="separate"/>
          </w:r>
          <w:r>
            <w:rPr>
              <w:sz w:val="22"/>
              <w:szCs w:val="22"/>
              <w:highlight w:val="none"/>
            </w:rPr>
            <w:t>1</w:t>
          </w:r>
          <w:r>
            <w:rPr>
              <w:sz w:val="22"/>
              <w:szCs w:val="22"/>
              <w:highlight w:val="none"/>
            </w:rPr>
            <w:fldChar w:fldCharType="end"/>
          </w:r>
          <w:r>
            <w:rPr>
              <w:sz w:val="22"/>
              <w:szCs w:val="22"/>
              <w:highlight w:val="none"/>
            </w:rPr>
            <w:fldChar w:fldCharType="end"/>
          </w:r>
        </w:p>
        <w:p w14:paraId="1811F688">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_Toc6059 </w:instrText>
          </w:r>
          <w:r>
            <w:rPr>
              <w:sz w:val="22"/>
              <w:szCs w:val="28"/>
              <w:highlight w:val="none"/>
            </w:rPr>
            <w:fldChar w:fldCharType="separate"/>
          </w:r>
          <w:r>
            <w:rPr>
              <w:rFonts w:hint="eastAsia" w:ascii="宋体" w:hAnsi="宋体" w:eastAsia="宋体" w:cs="宋体"/>
              <w:sz w:val="22"/>
              <w:szCs w:val="22"/>
              <w:highlight w:val="none"/>
            </w:rPr>
            <w:t>一、项目基本情况</w:t>
          </w:r>
          <w:r>
            <w:rPr>
              <w:sz w:val="22"/>
              <w:szCs w:val="28"/>
              <w:highlight w:val="none"/>
            </w:rPr>
            <w:tab/>
          </w:r>
          <w:r>
            <w:rPr>
              <w:sz w:val="22"/>
              <w:szCs w:val="28"/>
              <w:highlight w:val="none"/>
            </w:rPr>
            <w:fldChar w:fldCharType="begin"/>
          </w:r>
          <w:r>
            <w:rPr>
              <w:sz w:val="22"/>
              <w:szCs w:val="28"/>
              <w:highlight w:val="none"/>
            </w:rPr>
            <w:instrText xml:space="preserve"> PAGEREF _Toc6059 \h </w:instrText>
          </w:r>
          <w:r>
            <w:rPr>
              <w:sz w:val="22"/>
              <w:szCs w:val="28"/>
              <w:highlight w:val="none"/>
            </w:rPr>
            <w:fldChar w:fldCharType="separate"/>
          </w:r>
          <w:r>
            <w:rPr>
              <w:sz w:val="22"/>
              <w:szCs w:val="28"/>
              <w:highlight w:val="none"/>
            </w:rPr>
            <w:t>1</w:t>
          </w:r>
          <w:r>
            <w:rPr>
              <w:sz w:val="22"/>
              <w:szCs w:val="28"/>
              <w:highlight w:val="none"/>
            </w:rPr>
            <w:fldChar w:fldCharType="end"/>
          </w:r>
          <w:r>
            <w:rPr>
              <w:sz w:val="22"/>
              <w:szCs w:val="28"/>
              <w:highlight w:val="none"/>
            </w:rPr>
            <w:fldChar w:fldCharType="end"/>
          </w:r>
        </w:p>
        <w:p w14:paraId="079E0E38">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_Toc10171 </w:instrText>
          </w:r>
          <w:r>
            <w:rPr>
              <w:sz w:val="22"/>
              <w:szCs w:val="28"/>
              <w:highlight w:val="none"/>
            </w:rPr>
            <w:fldChar w:fldCharType="separate"/>
          </w:r>
          <w:r>
            <w:rPr>
              <w:rFonts w:hint="eastAsia" w:ascii="宋体" w:hAnsi="宋体" w:eastAsia="宋体" w:cs="宋体"/>
              <w:sz w:val="22"/>
              <w:szCs w:val="22"/>
              <w:highlight w:val="none"/>
            </w:rPr>
            <w:t>二、申请人的资格要求：</w:t>
          </w:r>
          <w:r>
            <w:rPr>
              <w:sz w:val="22"/>
              <w:szCs w:val="28"/>
              <w:highlight w:val="none"/>
            </w:rPr>
            <w:tab/>
          </w:r>
          <w:r>
            <w:rPr>
              <w:sz w:val="22"/>
              <w:szCs w:val="28"/>
              <w:highlight w:val="none"/>
            </w:rPr>
            <w:fldChar w:fldCharType="begin"/>
          </w:r>
          <w:r>
            <w:rPr>
              <w:sz w:val="22"/>
              <w:szCs w:val="28"/>
              <w:highlight w:val="none"/>
            </w:rPr>
            <w:instrText xml:space="preserve"> PAGEREF _Toc10171 \h </w:instrText>
          </w:r>
          <w:r>
            <w:rPr>
              <w:sz w:val="22"/>
              <w:szCs w:val="28"/>
              <w:highlight w:val="none"/>
            </w:rPr>
            <w:fldChar w:fldCharType="separate"/>
          </w:r>
          <w:r>
            <w:rPr>
              <w:sz w:val="22"/>
              <w:szCs w:val="28"/>
              <w:highlight w:val="none"/>
            </w:rPr>
            <w:t>1</w:t>
          </w:r>
          <w:r>
            <w:rPr>
              <w:sz w:val="22"/>
              <w:szCs w:val="28"/>
              <w:highlight w:val="none"/>
            </w:rPr>
            <w:fldChar w:fldCharType="end"/>
          </w:r>
          <w:r>
            <w:rPr>
              <w:sz w:val="22"/>
              <w:szCs w:val="28"/>
              <w:highlight w:val="none"/>
            </w:rPr>
            <w:fldChar w:fldCharType="end"/>
          </w:r>
        </w:p>
        <w:p w14:paraId="4B61692D">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_Toc31972 </w:instrText>
          </w:r>
          <w:r>
            <w:rPr>
              <w:sz w:val="22"/>
              <w:szCs w:val="28"/>
              <w:highlight w:val="none"/>
            </w:rPr>
            <w:fldChar w:fldCharType="separate"/>
          </w:r>
          <w:r>
            <w:rPr>
              <w:rFonts w:hint="eastAsia" w:ascii="宋体" w:hAnsi="宋体" w:eastAsia="宋体" w:cs="宋体"/>
              <w:sz w:val="22"/>
              <w:szCs w:val="22"/>
              <w:highlight w:val="none"/>
            </w:rPr>
            <w:t>三、获取（下载）采购文件</w:t>
          </w:r>
          <w:r>
            <w:rPr>
              <w:sz w:val="22"/>
              <w:szCs w:val="28"/>
              <w:highlight w:val="none"/>
            </w:rPr>
            <w:tab/>
          </w:r>
          <w:r>
            <w:rPr>
              <w:sz w:val="22"/>
              <w:szCs w:val="28"/>
              <w:highlight w:val="none"/>
            </w:rPr>
            <w:fldChar w:fldCharType="begin"/>
          </w:r>
          <w:r>
            <w:rPr>
              <w:sz w:val="22"/>
              <w:szCs w:val="28"/>
              <w:highlight w:val="none"/>
            </w:rPr>
            <w:instrText xml:space="preserve"> PAGEREF _Toc31972 \h </w:instrText>
          </w:r>
          <w:r>
            <w:rPr>
              <w:sz w:val="22"/>
              <w:szCs w:val="28"/>
              <w:highlight w:val="none"/>
            </w:rPr>
            <w:fldChar w:fldCharType="separate"/>
          </w:r>
          <w:r>
            <w:rPr>
              <w:sz w:val="22"/>
              <w:szCs w:val="28"/>
              <w:highlight w:val="none"/>
            </w:rPr>
            <w:t>1</w:t>
          </w:r>
          <w:r>
            <w:rPr>
              <w:sz w:val="22"/>
              <w:szCs w:val="28"/>
              <w:highlight w:val="none"/>
            </w:rPr>
            <w:fldChar w:fldCharType="end"/>
          </w:r>
          <w:r>
            <w:rPr>
              <w:sz w:val="22"/>
              <w:szCs w:val="28"/>
              <w:highlight w:val="none"/>
            </w:rPr>
            <w:fldChar w:fldCharType="end"/>
          </w:r>
        </w:p>
        <w:p w14:paraId="3048BEE9">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_Toc21138 </w:instrText>
          </w:r>
          <w:r>
            <w:rPr>
              <w:sz w:val="22"/>
              <w:szCs w:val="28"/>
              <w:highlight w:val="none"/>
            </w:rPr>
            <w:fldChar w:fldCharType="separate"/>
          </w:r>
          <w:r>
            <w:rPr>
              <w:rFonts w:hint="eastAsia" w:ascii="宋体" w:hAnsi="宋体" w:eastAsia="宋体" w:cs="宋体"/>
              <w:sz w:val="22"/>
              <w:szCs w:val="22"/>
              <w:highlight w:val="none"/>
            </w:rPr>
            <w:t>四、响应文件提交（上传）</w:t>
          </w:r>
          <w:r>
            <w:rPr>
              <w:sz w:val="22"/>
              <w:szCs w:val="28"/>
              <w:highlight w:val="none"/>
            </w:rPr>
            <w:tab/>
          </w:r>
          <w:r>
            <w:rPr>
              <w:sz w:val="22"/>
              <w:szCs w:val="28"/>
              <w:highlight w:val="none"/>
            </w:rPr>
            <w:fldChar w:fldCharType="begin"/>
          </w:r>
          <w:r>
            <w:rPr>
              <w:sz w:val="22"/>
              <w:szCs w:val="28"/>
              <w:highlight w:val="none"/>
            </w:rPr>
            <w:instrText xml:space="preserve"> PAGEREF _Toc21138 \h </w:instrText>
          </w:r>
          <w:r>
            <w:rPr>
              <w:sz w:val="22"/>
              <w:szCs w:val="28"/>
              <w:highlight w:val="none"/>
            </w:rPr>
            <w:fldChar w:fldCharType="separate"/>
          </w:r>
          <w:r>
            <w:rPr>
              <w:sz w:val="22"/>
              <w:szCs w:val="28"/>
              <w:highlight w:val="none"/>
            </w:rPr>
            <w:t>2</w:t>
          </w:r>
          <w:r>
            <w:rPr>
              <w:sz w:val="22"/>
              <w:szCs w:val="28"/>
              <w:highlight w:val="none"/>
            </w:rPr>
            <w:fldChar w:fldCharType="end"/>
          </w:r>
          <w:r>
            <w:rPr>
              <w:sz w:val="22"/>
              <w:szCs w:val="28"/>
              <w:highlight w:val="none"/>
            </w:rPr>
            <w:fldChar w:fldCharType="end"/>
          </w:r>
        </w:p>
        <w:p w14:paraId="42170F6D">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_Toc25212 </w:instrText>
          </w:r>
          <w:r>
            <w:rPr>
              <w:sz w:val="22"/>
              <w:szCs w:val="28"/>
              <w:highlight w:val="none"/>
            </w:rPr>
            <w:fldChar w:fldCharType="separate"/>
          </w:r>
          <w:r>
            <w:rPr>
              <w:rFonts w:hint="eastAsia" w:ascii="宋体" w:hAnsi="宋体" w:eastAsia="宋体" w:cs="宋体"/>
              <w:sz w:val="22"/>
              <w:szCs w:val="22"/>
              <w:highlight w:val="none"/>
            </w:rPr>
            <w:t>五、响应文件开启</w:t>
          </w:r>
          <w:r>
            <w:rPr>
              <w:sz w:val="22"/>
              <w:szCs w:val="28"/>
              <w:highlight w:val="none"/>
            </w:rPr>
            <w:tab/>
          </w:r>
          <w:r>
            <w:rPr>
              <w:sz w:val="22"/>
              <w:szCs w:val="28"/>
              <w:highlight w:val="none"/>
            </w:rPr>
            <w:fldChar w:fldCharType="begin"/>
          </w:r>
          <w:r>
            <w:rPr>
              <w:sz w:val="22"/>
              <w:szCs w:val="28"/>
              <w:highlight w:val="none"/>
            </w:rPr>
            <w:instrText xml:space="preserve"> PAGEREF _Toc25212 \h </w:instrText>
          </w:r>
          <w:r>
            <w:rPr>
              <w:sz w:val="22"/>
              <w:szCs w:val="28"/>
              <w:highlight w:val="none"/>
            </w:rPr>
            <w:fldChar w:fldCharType="separate"/>
          </w:r>
          <w:r>
            <w:rPr>
              <w:sz w:val="22"/>
              <w:szCs w:val="28"/>
              <w:highlight w:val="none"/>
            </w:rPr>
            <w:t>2</w:t>
          </w:r>
          <w:r>
            <w:rPr>
              <w:sz w:val="22"/>
              <w:szCs w:val="28"/>
              <w:highlight w:val="none"/>
            </w:rPr>
            <w:fldChar w:fldCharType="end"/>
          </w:r>
          <w:r>
            <w:rPr>
              <w:sz w:val="22"/>
              <w:szCs w:val="28"/>
              <w:highlight w:val="none"/>
            </w:rPr>
            <w:fldChar w:fldCharType="end"/>
          </w:r>
        </w:p>
        <w:p w14:paraId="5321069B">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_Toc3730 </w:instrText>
          </w:r>
          <w:r>
            <w:rPr>
              <w:sz w:val="22"/>
              <w:szCs w:val="28"/>
              <w:highlight w:val="none"/>
            </w:rPr>
            <w:fldChar w:fldCharType="separate"/>
          </w:r>
          <w:r>
            <w:rPr>
              <w:rFonts w:hint="eastAsia" w:ascii="宋体" w:hAnsi="宋体" w:eastAsia="宋体" w:cs="宋体"/>
              <w:sz w:val="22"/>
              <w:szCs w:val="22"/>
              <w:highlight w:val="none"/>
            </w:rPr>
            <w:t>六、公告期限</w:t>
          </w:r>
          <w:r>
            <w:rPr>
              <w:sz w:val="22"/>
              <w:szCs w:val="28"/>
              <w:highlight w:val="none"/>
            </w:rPr>
            <w:tab/>
          </w:r>
          <w:r>
            <w:rPr>
              <w:sz w:val="22"/>
              <w:szCs w:val="28"/>
              <w:highlight w:val="none"/>
            </w:rPr>
            <w:fldChar w:fldCharType="begin"/>
          </w:r>
          <w:r>
            <w:rPr>
              <w:sz w:val="22"/>
              <w:szCs w:val="28"/>
              <w:highlight w:val="none"/>
            </w:rPr>
            <w:instrText xml:space="preserve"> PAGEREF _Toc3730 \h </w:instrText>
          </w:r>
          <w:r>
            <w:rPr>
              <w:sz w:val="22"/>
              <w:szCs w:val="28"/>
              <w:highlight w:val="none"/>
            </w:rPr>
            <w:fldChar w:fldCharType="separate"/>
          </w:r>
          <w:r>
            <w:rPr>
              <w:sz w:val="22"/>
              <w:szCs w:val="28"/>
              <w:highlight w:val="none"/>
            </w:rPr>
            <w:t>2</w:t>
          </w:r>
          <w:r>
            <w:rPr>
              <w:sz w:val="22"/>
              <w:szCs w:val="28"/>
              <w:highlight w:val="none"/>
            </w:rPr>
            <w:fldChar w:fldCharType="end"/>
          </w:r>
          <w:r>
            <w:rPr>
              <w:sz w:val="22"/>
              <w:szCs w:val="28"/>
              <w:highlight w:val="none"/>
            </w:rPr>
            <w:fldChar w:fldCharType="end"/>
          </w:r>
        </w:p>
        <w:p w14:paraId="5893D939">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_Toc2755 </w:instrText>
          </w:r>
          <w:r>
            <w:rPr>
              <w:sz w:val="22"/>
              <w:szCs w:val="28"/>
              <w:highlight w:val="none"/>
            </w:rPr>
            <w:fldChar w:fldCharType="separate"/>
          </w:r>
          <w:r>
            <w:rPr>
              <w:rFonts w:hint="eastAsia" w:ascii="宋体" w:hAnsi="宋体" w:eastAsia="宋体" w:cs="宋体"/>
              <w:sz w:val="22"/>
              <w:szCs w:val="22"/>
              <w:highlight w:val="none"/>
            </w:rPr>
            <w:t>七、其他补充事宜</w:t>
          </w:r>
          <w:r>
            <w:rPr>
              <w:sz w:val="22"/>
              <w:szCs w:val="28"/>
              <w:highlight w:val="none"/>
            </w:rPr>
            <w:tab/>
          </w:r>
          <w:r>
            <w:rPr>
              <w:sz w:val="22"/>
              <w:szCs w:val="28"/>
              <w:highlight w:val="none"/>
            </w:rPr>
            <w:fldChar w:fldCharType="begin"/>
          </w:r>
          <w:r>
            <w:rPr>
              <w:sz w:val="22"/>
              <w:szCs w:val="28"/>
              <w:highlight w:val="none"/>
            </w:rPr>
            <w:instrText xml:space="preserve"> PAGEREF _Toc2755 \h </w:instrText>
          </w:r>
          <w:r>
            <w:rPr>
              <w:sz w:val="22"/>
              <w:szCs w:val="28"/>
              <w:highlight w:val="none"/>
            </w:rPr>
            <w:fldChar w:fldCharType="separate"/>
          </w:r>
          <w:r>
            <w:rPr>
              <w:sz w:val="22"/>
              <w:szCs w:val="28"/>
              <w:highlight w:val="none"/>
            </w:rPr>
            <w:t>2</w:t>
          </w:r>
          <w:r>
            <w:rPr>
              <w:sz w:val="22"/>
              <w:szCs w:val="28"/>
              <w:highlight w:val="none"/>
            </w:rPr>
            <w:fldChar w:fldCharType="end"/>
          </w:r>
          <w:r>
            <w:rPr>
              <w:sz w:val="22"/>
              <w:szCs w:val="28"/>
              <w:highlight w:val="none"/>
            </w:rPr>
            <w:fldChar w:fldCharType="end"/>
          </w:r>
        </w:p>
        <w:p w14:paraId="5E8B39D7">
          <w:pPr>
            <w:pStyle w:val="15"/>
            <w:tabs>
              <w:tab w:val="right" w:leader="dot" w:pos="8306"/>
              <w:tab w:val="clear" w:pos="8948"/>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_Toc6443 </w:instrText>
          </w:r>
          <w:r>
            <w:rPr>
              <w:sz w:val="22"/>
              <w:szCs w:val="22"/>
              <w:highlight w:val="none"/>
            </w:rPr>
            <w:fldChar w:fldCharType="separate"/>
          </w:r>
          <w:r>
            <w:rPr>
              <w:rFonts w:hint="eastAsia" w:hAnsi="宋体" w:eastAsia="宋体" w:cs="宋体"/>
              <w:sz w:val="22"/>
              <w:szCs w:val="40"/>
              <w:highlight w:val="none"/>
            </w:rPr>
            <w:t>第二部分  磋商供应商须知</w:t>
          </w:r>
          <w:r>
            <w:rPr>
              <w:sz w:val="22"/>
              <w:szCs w:val="22"/>
              <w:highlight w:val="none"/>
            </w:rPr>
            <w:tab/>
          </w:r>
          <w:r>
            <w:rPr>
              <w:sz w:val="22"/>
              <w:szCs w:val="22"/>
              <w:highlight w:val="none"/>
            </w:rPr>
            <w:fldChar w:fldCharType="begin"/>
          </w:r>
          <w:r>
            <w:rPr>
              <w:sz w:val="22"/>
              <w:szCs w:val="22"/>
              <w:highlight w:val="none"/>
            </w:rPr>
            <w:instrText xml:space="preserve"> PAGEREF _Toc6443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70E99FC9">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_Toc15777 </w:instrText>
          </w:r>
          <w:r>
            <w:rPr>
              <w:sz w:val="22"/>
              <w:szCs w:val="28"/>
              <w:highlight w:val="none"/>
            </w:rPr>
            <w:fldChar w:fldCharType="separate"/>
          </w:r>
          <w:r>
            <w:rPr>
              <w:rFonts w:hint="eastAsia" w:ascii="宋体" w:hAnsi="宋体" w:eastAsia="宋体" w:cs="宋体"/>
              <w:sz w:val="22"/>
              <w:szCs w:val="28"/>
              <w:highlight w:val="none"/>
            </w:rPr>
            <w:t>（一）</w:t>
          </w:r>
          <w:r>
            <w:rPr>
              <w:rFonts w:hint="eastAsia" w:ascii="宋体" w:hAnsi="宋体" w:eastAsia="宋体" w:cs="宋体"/>
              <w:bCs w:val="0"/>
              <w:sz w:val="22"/>
              <w:szCs w:val="28"/>
              <w:highlight w:val="none"/>
            </w:rPr>
            <w:t>磋商须知前附表</w:t>
          </w:r>
          <w:r>
            <w:rPr>
              <w:sz w:val="22"/>
              <w:szCs w:val="28"/>
              <w:highlight w:val="none"/>
            </w:rPr>
            <w:tab/>
          </w:r>
          <w:r>
            <w:rPr>
              <w:sz w:val="22"/>
              <w:szCs w:val="28"/>
              <w:highlight w:val="none"/>
            </w:rPr>
            <w:fldChar w:fldCharType="begin"/>
          </w:r>
          <w:r>
            <w:rPr>
              <w:sz w:val="22"/>
              <w:szCs w:val="28"/>
              <w:highlight w:val="none"/>
            </w:rPr>
            <w:instrText xml:space="preserve"> PAGEREF _Toc15777 \h </w:instrText>
          </w:r>
          <w:r>
            <w:rPr>
              <w:sz w:val="22"/>
              <w:szCs w:val="28"/>
              <w:highlight w:val="none"/>
            </w:rPr>
            <w:fldChar w:fldCharType="separate"/>
          </w:r>
          <w:r>
            <w:rPr>
              <w:sz w:val="22"/>
              <w:szCs w:val="28"/>
              <w:highlight w:val="none"/>
            </w:rPr>
            <w:t>5</w:t>
          </w:r>
          <w:r>
            <w:rPr>
              <w:sz w:val="22"/>
              <w:szCs w:val="28"/>
              <w:highlight w:val="none"/>
            </w:rPr>
            <w:fldChar w:fldCharType="end"/>
          </w:r>
          <w:r>
            <w:rPr>
              <w:sz w:val="22"/>
              <w:szCs w:val="28"/>
              <w:highlight w:val="none"/>
            </w:rPr>
            <w:fldChar w:fldCharType="end"/>
          </w:r>
        </w:p>
        <w:p w14:paraId="260333B7">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_Toc3317 </w:instrText>
          </w:r>
          <w:r>
            <w:rPr>
              <w:sz w:val="22"/>
              <w:szCs w:val="28"/>
              <w:highlight w:val="none"/>
            </w:rPr>
            <w:fldChar w:fldCharType="separate"/>
          </w:r>
          <w:r>
            <w:rPr>
              <w:rFonts w:hint="eastAsia" w:ascii="宋体" w:hAnsi="宋体" w:eastAsia="宋体" w:cs="宋体"/>
              <w:sz w:val="22"/>
              <w:szCs w:val="28"/>
              <w:highlight w:val="none"/>
            </w:rPr>
            <w:t>（二）总   则</w:t>
          </w:r>
          <w:r>
            <w:rPr>
              <w:sz w:val="22"/>
              <w:szCs w:val="28"/>
              <w:highlight w:val="none"/>
            </w:rPr>
            <w:tab/>
          </w:r>
          <w:r>
            <w:rPr>
              <w:sz w:val="22"/>
              <w:szCs w:val="28"/>
              <w:highlight w:val="none"/>
            </w:rPr>
            <w:fldChar w:fldCharType="begin"/>
          </w:r>
          <w:r>
            <w:rPr>
              <w:sz w:val="22"/>
              <w:szCs w:val="28"/>
              <w:highlight w:val="none"/>
            </w:rPr>
            <w:instrText xml:space="preserve"> PAGEREF _Toc3317 \h </w:instrText>
          </w:r>
          <w:r>
            <w:rPr>
              <w:sz w:val="22"/>
              <w:szCs w:val="28"/>
              <w:highlight w:val="none"/>
            </w:rPr>
            <w:fldChar w:fldCharType="separate"/>
          </w:r>
          <w:r>
            <w:rPr>
              <w:sz w:val="22"/>
              <w:szCs w:val="28"/>
              <w:highlight w:val="none"/>
            </w:rPr>
            <w:t>13</w:t>
          </w:r>
          <w:r>
            <w:rPr>
              <w:sz w:val="22"/>
              <w:szCs w:val="28"/>
              <w:highlight w:val="none"/>
            </w:rPr>
            <w:fldChar w:fldCharType="end"/>
          </w:r>
          <w:r>
            <w:rPr>
              <w:sz w:val="22"/>
              <w:szCs w:val="28"/>
              <w:highlight w:val="none"/>
            </w:rPr>
            <w:fldChar w:fldCharType="end"/>
          </w:r>
        </w:p>
        <w:p w14:paraId="7BB55DB0">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_Toc8473 </w:instrText>
          </w:r>
          <w:r>
            <w:rPr>
              <w:sz w:val="22"/>
              <w:szCs w:val="28"/>
              <w:highlight w:val="none"/>
            </w:rPr>
            <w:fldChar w:fldCharType="separate"/>
          </w:r>
          <w:r>
            <w:rPr>
              <w:rFonts w:hint="default" w:ascii="Arial" w:hAnsi="Arial" w:eastAsia="宋体" w:cs="宋体"/>
              <w:i w:val="0"/>
              <w:sz w:val="22"/>
              <w:szCs w:val="22"/>
              <w:highlight w:val="none"/>
            </w:rPr>
            <w:t xml:space="preserve">1. </w:t>
          </w:r>
          <w:r>
            <w:rPr>
              <w:rFonts w:hint="eastAsia" w:ascii="宋体" w:hAnsi="宋体" w:eastAsia="宋体" w:cs="宋体"/>
              <w:sz w:val="22"/>
              <w:szCs w:val="22"/>
              <w:highlight w:val="none"/>
            </w:rPr>
            <w:t>说明</w:t>
          </w:r>
          <w:r>
            <w:rPr>
              <w:sz w:val="22"/>
              <w:szCs w:val="28"/>
              <w:highlight w:val="none"/>
            </w:rPr>
            <w:tab/>
          </w:r>
          <w:r>
            <w:rPr>
              <w:sz w:val="22"/>
              <w:szCs w:val="28"/>
              <w:highlight w:val="none"/>
            </w:rPr>
            <w:fldChar w:fldCharType="begin"/>
          </w:r>
          <w:r>
            <w:rPr>
              <w:sz w:val="22"/>
              <w:szCs w:val="28"/>
              <w:highlight w:val="none"/>
            </w:rPr>
            <w:instrText xml:space="preserve"> PAGEREF _Toc8473 \h </w:instrText>
          </w:r>
          <w:r>
            <w:rPr>
              <w:sz w:val="22"/>
              <w:szCs w:val="28"/>
              <w:highlight w:val="none"/>
            </w:rPr>
            <w:fldChar w:fldCharType="separate"/>
          </w:r>
          <w:r>
            <w:rPr>
              <w:sz w:val="22"/>
              <w:szCs w:val="28"/>
              <w:highlight w:val="none"/>
            </w:rPr>
            <w:t>13</w:t>
          </w:r>
          <w:r>
            <w:rPr>
              <w:sz w:val="22"/>
              <w:szCs w:val="28"/>
              <w:highlight w:val="none"/>
            </w:rPr>
            <w:fldChar w:fldCharType="end"/>
          </w:r>
          <w:r>
            <w:rPr>
              <w:sz w:val="22"/>
              <w:szCs w:val="28"/>
              <w:highlight w:val="none"/>
            </w:rPr>
            <w:fldChar w:fldCharType="end"/>
          </w:r>
        </w:p>
        <w:p w14:paraId="3639923E">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_Toc25972 </w:instrText>
          </w:r>
          <w:r>
            <w:rPr>
              <w:sz w:val="22"/>
              <w:szCs w:val="28"/>
              <w:highlight w:val="none"/>
            </w:rPr>
            <w:fldChar w:fldCharType="separate"/>
          </w:r>
          <w:r>
            <w:rPr>
              <w:rFonts w:hint="default" w:ascii="Arial" w:hAnsi="Arial" w:eastAsia="宋体" w:cs="宋体"/>
              <w:i w:val="0"/>
              <w:sz w:val="22"/>
              <w:szCs w:val="22"/>
              <w:highlight w:val="none"/>
            </w:rPr>
            <w:t xml:space="preserve">2. </w:t>
          </w:r>
          <w:r>
            <w:rPr>
              <w:rFonts w:hint="eastAsia" w:ascii="宋体" w:hAnsi="宋体" w:eastAsia="宋体" w:cs="宋体"/>
              <w:sz w:val="22"/>
              <w:szCs w:val="22"/>
              <w:highlight w:val="none"/>
            </w:rPr>
            <w:t>定义及解释</w:t>
          </w:r>
          <w:r>
            <w:rPr>
              <w:sz w:val="22"/>
              <w:szCs w:val="28"/>
              <w:highlight w:val="none"/>
            </w:rPr>
            <w:tab/>
          </w:r>
          <w:r>
            <w:rPr>
              <w:sz w:val="22"/>
              <w:szCs w:val="28"/>
              <w:highlight w:val="none"/>
            </w:rPr>
            <w:fldChar w:fldCharType="begin"/>
          </w:r>
          <w:r>
            <w:rPr>
              <w:sz w:val="22"/>
              <w:szCs w:val="28"/>
              <w:highlight w:val="none"/>
            </w:rPr>
            <w:instrText xml:space="preserve"> PAGEREF _Toc25972 \h </w:instrText>
          </w:r>
          <w:r>
            <w:rPr>
              <w:sz w:val="22"/>
              <w:szCs w:val="28"/>
              <w:highlight w:val="none"/>
            </w:rPr>
            <w:fldChar w:fldCharType="separate"/>
          </w:r>
          <w:r>
            <w:rPr>
              <w:sz w:val="22"/>
              <w:szCs w:val="28"/>
              <w:highlight w:val="none"/>
            </w:rPr>
            <w:t>13</w:t>
          </w:r>
          <w:r>
            <w:rPr>
              <w:sz w:val="22"/>
              <w:szCs w:val="28"/>
              <w:highlight w:val="none"/>
            </w:rPr>
            <w:fldChar w:fldCharType="end"/>
          </w:r>
          <w:r>
            <w:rPr>
              <w:sz w:val="22"/>
              <w:szCs w:val="28"/>
              <w:highlight w:val="none"/>
            </w:rPr>
            <w:fldChar w:fldCharType="end"/>
          </w:r>
        </w:p>
        <w:p w14:paraId="39313970">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_Toc31170 </w:instrText>
          </w:r>
          <w:r>
            <w:rPr>
              <w:sz w:val="22"/>
              <w:szCs w:val="28"/>
              <w:highlight w:val="none"/>
            </w:rPr>
            <w:fldChar w:fldCharType="separate"/>
          </w:r>
          <w:r>
            <w:rPr>
              <w:rFonts w:hint="default" w:ascii="Arial" w:hAnsi="Arial" w:eastAsia="宋体" w:cs="宋体"/>
              <w:i w:val="0"/>
              <w:sz w:val="22"/>
              <w:szCs w:val="22"/>
              <w:highlight w:val="none"/>
            </w:rPr>
            <w:t xml:space="preserve">3. </w:t>
          </w:r>
          <w:r>
            <w:rPr>
              <w:rFonts w:hint="eastAsia" w:ascii="宋体" w:hAnsi="宋体" w:eastAsia="宋体" w:cs="宋体"/>
              <w:sz w:val="22"/>
              <w:szCs w:val="22"/>
              <w:highlight w:val="none"/>
            </w:rPr>
            <w:t>合格的磋商供应商</w:t>
          </w:r>
          <w:r>
            <w:rPr>
              <w:sz w:val="22"/>
              <w:szCs w:val="28"/>
              <w:highlight w:val="none"/>
            </w:rPr>
            <w:tab/>
          </w:r>
          <w:r>
            <w:rPr>
              <w:sz w:val="22"/>
              <w:szCs w:val="28"/>
              <w:highlight w:val="none"/>
            </w:rPr>
            <w:fldChar w:fldCharType="begin"/>
          </w:r>
          <w:r>
            <w:rPr>
              <w:sz w:val="22"/>
              <w:szCs w:val="28"/>
              <w:highlight w:val="none"/>
            </w:rPr>
            <w:instrText xml:space="preserve"> PAGEREF _Toc31170 \h </w:instrText>
          </w:r>
          <w:r>
            <w:rPr>
              <w:sz w:val="22"/>
              <w:szCs w:val="28"/>
              <w:highlight w:val="none"/>
            </w:rPr>
            <w:fldChar w:fldCharType="separate"/>
          </w:r>
          <w:r>
            <w:rPr>
              <w:sz w:val="22"/>
              <w:szCs w:val="28"/>
              <w:highlight w:val="none"/>
            </w:rPr>
            <w:t>13</w:t>
          </w:r>
          <w:r>
            <w:rPr>
              <w:sz w:val="22"/>
              <w:szCs w:val="28"/>
              <w:highlight w:val="none"/>
            </w:rPr>
            <w:fldChar w:fldCharType="end"/>
          </w:r>
          <w:r>
            <w:rPr>
              <w:sz w:val="22"/>
              <w:szCs w:val="28"/>
              <w:highlight w:val="none"/>
            </w:rPr>
            <w:fldChar w:fldCharType="end"/>
          </w:r>
        </w:p>
        <w:p w14:paraId="4C2CA790">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_Toc11687 </w:instrText>
          </w:r>
          <w:r>
            <w:rPr>
              <w:sz w:val="22"/>
              <w:szCs w:val="28"/>
              <w:highlight w:val="none"/>
            </w:rPr>
            <w:fldChar w:fldCharType="separate"/>
          </w:r>
          <w:r>
            <w:rPr>
              <w:rFonts w:hint="default" w:ascii="Arial" w:hAnsi="Arial" w:eastAsia="宋体" w:cs="宋体"/>
              <w:i w:val="0"/>
              <w:sz w:val="22"/>
              <w:szCs w:val="22"/>
              <w:highlight w:val="none"/>
            </w:rPr>
            <w:t xml:space="preserve">4. </w:t>
          </w:r>
          <w:r>
            <w:rPr>
              <w:rFonts w:hint="eastAsia" w:ascii="宋体" w:hAnsi="宋体" w:eastAsia="宋体" w:cs="宋体"/>
              <w:sz w:val="22"/>
              <w:szCs w:val="22"/>
              <w:highlight w:val="none"/>
            </w:rPr>
            <w:t>中小企业认定</w:t>
          </w:r>
          <w:r>
            <w:rPr>
              <w:sz w:val="22"/>
              <w:szCs w:val="28"/>
              <w:highlight w:val="none"/>
            </w:rPr>
            <w:tab/>
          </w:r>
          <w:r>
            <w:rPr>
              <w:sz w:val="22"/>
              <w:szCs w:val="28"/>
              <w:highlight w:val="none"/>
            </w:rPr>
            <w:fldChar w:fldCharType="begin"/>
          </w:r>
          <w:r>
            <w:rPr>
              <w:sz w:val="22"/>
              <w:szCs w:val="28"/>
              <w:highlight w:val="none"/>
            </w:rPr>
            <w:instrText xml:space="preserve"> PAGEREF _Toc11687 \h </w:instrText>
          </w:r>
          <w:r>
            <w:rPr>
              <w:sz w:val="22"/>
              <w:szCs w:val="28"/>
              <w:highlight w:val="none"/>
            </w:rPr>
            <w:fldChar w:fldCharType="separate"/>
          </w:r>
          <w:r>
            <w:rPr>
              <w:sz w:val="22"/>
              <w:szCs w:val="28"/>
              <w:highlight w:val="none"/>
            </w:rPr>
            <w:t>13</w:t>
          </w:r>
          <w:r>
            <w:rPr>
              <w:sz w:val="22"/>
              <w:szCs w:val="28"/>
              <w:highlight w:val="none"/>
            </w:rPr>
            <w:fldChar w:fldCharType="end"/>
          </w:r>
          <w:r>
            <w:rPr>
              <w:sz w:val="22"/>
              <w:szCs w:val="28"/>
              <w:highlight w:val="none"/>
            </w:rPr>
            <w:fldChar w:fldCharType="end"/>
          </w:r>
        </w:p>
        <w:p w14:paraId="65C605EE">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_Toc16573 </w:instrText>
          </w:r>
          <w:r>
            <w:rPr>
              <w:sz w:val="22"/>
              <w:szCs w:val="28"/>
              <w:highlight w:val="none"/>
            </w:rPr>
            <w:fldChar w:fldCharType="separate"/>
          </w:r>
          <w:r>
            <w:rPr>
              <w:rFonts w:hint="default" w:ascii="Arial" w:hAnsi="Arial" w:eastAsia="宋体" w:cs="宋体"/>
              <w:i w:val="0"/>
              <w:sz w:val="22"/>
              <w:szCs w:val="22"/>
              <w:highlight w:val="none"/>
            </w:rPr>
            <w:t xml:space="preserve">5. </w:t>
          </w:r>
          <w:r>
            <w:rPr>
              <w:rFonts w:hint="eastAsia" w:ascii="宋体" w:hAnsi="宋体" w:eastAsia="宋体" w:cs="宋体"/>
              <w:sz w:val="22"/>
              <w:szCs w:val="22"/>
              <w:highlight w:val="none"/>
            </w:rPr>
            <w:t>信用记录</w:t>
          </w:r>
          <w:r>
            <w:rPr>
              <w:sz w:val="22"/>
              <w:szCs w:val="28"/>
              <w:highlight w:val="none"/>
            </w:rPr>
            <w:tab/>
          </w:r>
          <w:r>
            <w:rPr>
              <w:sz w:val="22"/>
              <w:szCs w:val="28"/>
              <w:highlight w:val="none"/>
            </w:rPr>
            <w:fldChar w:fldCharType="begin"/>
          </w:r>
          <w:r>
            <w:rPr>
              <w:sz w:val="22"/>
              <w:szCs w:val="28"/>
              <w:highlight w:val="none"/>
            </w:rPr>
            <w:instrText xml:space="preserve"> PAGEREF _Toc16573 \h </w:instrText>
          </w:r>
          <w:r>
            <w:rPr>
              <w:sz w:val="22"/>
              <w:szCs w:val="28"/>
              <w:highlight w:val="none"/>
            </w:rPr>
            <w:fldChar w:fldCharType="separate"/>
          </w:r>
          <w:r>
            <w:rPr>
              <w:sz w:val="22"/>
              <w:szCs w:val="28"/>
              <w:highlight w:val="none"/>
            </w:rPr>
            <w:t>14</w:t>
          </w:r>
          <w:r>
            <w:rPr>
              <w:sz w:val="22"/>
              <w:szCs w:val="28"/>
              <w:highlight w:val="none"/>
            </w:rPr>
            <w:fldChar w:fldCharType="end"/>
          </w:r>
          <w:r>
            <w:rPr>
              <w:sz w:val="22"/>
              <w:szCs w:val="28"/>
              <w:highlight w:val="none"/>
            </w:rPr>
            <w:fldChar w:fldCharType="end"/>
          </w:r>
        </w:p>
        <w:p w14:paraId="68C1456C">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_Toc14238 </w:instrText>
          </w:r>
          <w:r>
            <w:rPr>
              <w:sz w:val="22"/>
              <w:szCs w:val="28"/>
              <w:highlight w:val="none"/>
            </w:rPr>
            <w:fldChar w:fldCharType="separate"/>
          </w:r>
          <w:r>
            <w:rPr>
              <w:rFonts w:hint="default" w:ascii="Arial" w:hAnsi="Arial" w:eastAsia="宋体" w:cs="宋体"/>
              <w:i w:val="0"/>
              <w:sz w:val="22"/>
              <w:szCs w:val="22"/>
              <w:highlight w:val="none"/>
            </w:rPr>
            <w:t xml:space="preserve">6. </w:t>
          </w:r>
          <w:r>
            <w:rPr>
              <w:rFonts w:hint="eastAsia" w:ascii="宋体" w:hAnsi="宋体" w:eastAsia="宋体" w:cs="宋体"/>
              <w:sz w:val="22"/>
              <w:szCs w:val="22"/>
              <w:highlight w:val="none"/>
            </w:rPr>
            <w:t>保密与披露事项</w:t>
          </w:r>
          <w:r>
            <w:rPr>
              <w:sz w:val="22"/>
              <w:szCs w:val="28"/>
              <w:highlight w:val="none"/>
            </w:rPr>
            <w:tab/>
          </w:r>
          <w:r>
            <w:rPr>
              <w:sz w:val="22"/>
              <w:szCs w:val="28"/>
              <w:highlight w:val="none"/>
            </w:rPr>
            <w:fldChar w:fldCharType="begin"/>
          </w:r>
          <w:r>
            <w:rPr>
              <w:sz w:val="22"/>
              <w:szCs w:val="28"/>
              <w:highlight w:val="none"/>
            </w:rPr>
            <w:instrText xml:space="preserve"> PAGEREF _Toc14238 \h </w:instrText>
          </w:r>
          <w:r>
            <w:rPr>
              <w:sz w:val="22"/>
              <w:szCs w:val="28"/>
              <w:highlight w:val="none"/>
            </w:rPr>
            <w:fldChar w:fldCharType="separate"/>
          </w:r>
          <w:r>
            <w:rPr>
              <w:sz w:val="22"/>
              <w:szCs w:val="28"/>
              <w:highlight w:val="none"/>
            </w:rPr>
            <w:t>14</w:t>
          </w:r>
          <w:r>
            <w:rPr>
              <w:sz w:val="22"/>
              <w:szCs w:val="28"/>
              <w:highlight w:val="none"/>
            </w:rPr>
            <w:fldChar w:fldCharType="end"/>
          </w:r>
          <w:r>
            <w:rPr>
              <w:sz w:val="22"/>
              <w:szCs w:val="28"/>
              <w:highlight w:val="none"/>
            </w:rPr>
            <w:fldChar w:fldCharType="end"/>
          </w:r>
        </w:p>
        <w:p w14:paraId="7E41EC6B">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_Toc19778 </w:instrText>
          </w:r>
          <w:r>
            <w:rPr>
              <w:sz w:val="22"/>
              <w:szCs w:val="28"/>
              <w:highlight w:val="none"/>
            </w:rPr>
            <w:fldChar w:fldCharType="separate"/>
          </w:r>
          <w:r>
            <w:rPr>
              <w:rFonts w:hint="default" w:ascii="Arial" w:hAnsi="Arial" w:eastAsia="宋体" w:cs="宋体"/>
              <w:i w:val="0"/>
              <w:sz w:val="22"/>
              <w:szCs w:val="22"/>
              <w:highlight w:val="none"/>
            </w:rPr>
            <w:t xml:space="preserve">7. </w:t>
          </w:r>
          <w:r>
            <w:rPr>
              <w:rFonts w:hint="eastAsia" w:ascii="宋体" w:hAnsi="宋体" w:eastAsia="宋体" w:cs="宋体"/>
              <w:sz w:val="22"/>
              <w:szCs w:val="22"/>
              <w:highlight w:val="none"/>
            </w:rPr>
            <w:t>磋商费用</w:t>
          </w:r>
          <w:r>
            <w:rPr>
              <w:sz w:val="22"/>
              <w:szCs w:val="28"/>
              <w:highlight w:val="none"/>
            </w:rPr>
            <w:tab/>
          </w:r>
          <w:r>
            <w:rPr>
              <w:sz w:val="22"/>
              <w:szCs w:val="28"/>
              <w:highlight w:val="none"/>
            </w:rPr>
            <w:fldChar w:fldCharType="begin"/>
          </w:r>
          <w:r>
            <w:rPr>
              <w:sz w:val="22"/>
              <w:szCs w:val="28"/>
              <w:highlight w:val="none"/>
            </w:rPr>
            <w:instrText xml:space="preserve"> PAGEREF _Toc19778 \h </w:instrText>
          </w:r>
          <w:r>
            <w:rPr>
              <w:sz w:val="22"/>
              <w:szCs w:val="28"/>
              <w:highlight w:val="none"/>
            </w:rPr>
            <w:fldChar w:fldCharType="separate"/>
          </w:r>
          <w:r>
            <w:rPr>
              <w:sz w:val="22"/>
              <w:szCs w:val="28"/>
              <w:highlight w:val="none"/>
            </w:rPr>
            <w:t>14</w:t>
          </w:r>
          <w:r>
            <w:rPr>
              <w:sz w:val="22"/>
              <w:szCs w:val="28"/>
              <w:highlight w:val="none"/>
            </w:rPr>
            <w:fldChar w:fldCharType="end"/>
          </w:r>
          <w:r>
            <w:rPr>
              <w:sz w:val="22"/>
              <w:szCs w:val="28"/>
              <w:highlight w:val="none"/>
            </w:rPr>
            <w:fldChar w:fldCharType="end"/>
          </w:r>
        </w:p>
        <w:p w14:paraId="4211EE94">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_Toc15728 </w:instrText>
          </w:r>
          <w:r>
            <w:rPr>
              <w:sz w:val="22"/>
              <w:szCs w:val="28"/>
              <w:highlight w:val="none"/>
            </w:rPr>
            <w:fldChar w:fldCharType="separate"/>
          </w:r>
          <w:r>
            <w:rPr>
              <w:rFonts w:hint="eastAsia" w:ascii="宋体" w:hAnsi="宋体" w:eastAsia="宋体" w:cs="宋体"/>
              <w:sz w:val="22"/>
              <w:szCs w:val="28"/>
              <w:highlight w:val="none"/>
            </w:rPr>
            <w:t>（三）磋商文件说明</w:t>
          </w:r>
          <w:r>
            <w:rPr>
              <w:sz w:val="22"/>
              <w:szCs w:val="28"/>
              <w:highlight w:val="none"/>
            </w:rPr>
            <w:tab/>
          </w:r>
          <w:r>
            <w:rPr>
              <w:sz w:val="22"/>
              <w:szCs w:val="28"/>
              <w:highlight w:val="none"/>
            </w:rPr>
            <w:fldChar w:fldCharType="begin"/>
          </w:r>
          <w:r>
            <w:rPr>
              <w:sz w:val="22"/>
              <w:szCs w:val="28"/>
              <w:highlight w:val="none"/>
            </w:rPr>
            <w:instrText xml:space="preserve"> PAGEREF _Toc15728 \h </w:instrText>
          </w:r>
          <w:r>
            <w:rPr>
              <w:sz w:val="22"/>
              <w:szCs w:val="28"/>
              <w:highlight w:val="none"/>
            </w:rPr>
            <w:fldChar w:fldCharType="separate"/>
          </w:r>
          <w:r>
            <w:rPr>
              <w:sz w:val="22"/>
              <w:szCs w:val="28"/>
              <w:highlight w:val="none"/>
            </w:rPr>
            <w:t>15</w:t>
          </w:r>
          <w:r>
            <w:rPr>
              <w:sz w:val="22"/>
              <w:szCs w:val="28"/>
              <w:highlight w:val="none"/>
            </w:rPr>
            <w:fldChar w:fldCharType="end"/>
          </w:r>
          <w:r>
            <w:rPr>
              <w:sz w:val="22"/>
              <w:szCs w:val="28"/>
              <w:highlight w:val="none"/>
            </w:rPr>
            <w:fldChar w:fldCharType="end"/>
          </w:r>
        </w:p>
        <w:p w14:paraId="760DF91D">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_Toc14791 </w:instrText>
          </w:r>
          <w:r>
            <w:rPr>
              <w:sz w:val="22"/>
              <w:szCs w:val="28"/>
              <w:highlight w:val="none"/>
            </w:rPr>
            <w:fldChar w:fldCharType="separate"/>
          </w:r>
          <w:r>
            <w:rPr>
              <w:rFonts w:hint="default" w:ascii="Arial" w:hAnsi="Arial" w:eastAsia="宋体" w:cs="宋体"/>
              <w:i w:val="0"/>
              <w:sz w:val="22"/>
              <w:szCs w:val="22"/>
              <w:highlight w:val="none"/>
            </w:rPr>
            <w:t xml:space="preserve">10. </w:t>
          </w:r>
          <w:r>
            <w:rPr>
              <w:rFonts w:hint="eastAsia" w:ascii="宋体" w:hAnsi="宋体" w:eastAsia="宋体" w:cs="宋体"/>
              <w:sz w:val="22"/>
              <w:szCs w:val="22"/>
              <w:highlight w:val="none"/>
            </w:rPr>
            <w:t>磋商文件构成</w:t>
          </w:r>
          <w:r>
            <w:rPr>
              <w:sz w:val="22"/>
              <w:szCs w:val="28"/>
              <w:highlight w:val="none"/>
            </w:rPr>
            <w:tab/>
          </w:r>
          <w:r>
            <w:rPr>
              <w:sz w:val="22"/>
              <w:szCs w:val="28"/>
              <w:highlight w:val="none"/>
            </w:rPr>
            <w:fldChar w:fldCharType="begin"/>
          </w:r>
          <w:r>
            <w:rPr>
              <w:sz w:val="22"/>
              <w:szCs w:val="28"/>
              <w:highlight w:val="none"/>
            </w:rPr>
            <w:instrText xml:space="preserve"> PAGEREF _Toc14791 \h </w:instrText>
          </w:r>
          <w:r>
            <w:rPr>
              <w:sz w:val="22"/>
              <w:szCs w:val="28"/>
              <w:highlight w:val="none"/>
            </w:rPr>
            <w:fldChar w:fldCharType="separate"/>
          </w:r>
          <w:r>
            <w:rPr>
              <w:sz w:val="22"/>
              <w:szCs w:val="28"/>
              <w:highlight w:val="none"/>
            </w:rPr>
            <w:t>15</w:t>
          </w:r>
          <w:r>
            <w:rPr>
              <w:sz w:val="22"/>
              <w:szCs w:val="28"/>
              <w:highlight w:val="none"/>
            </w:rPr>
            <w:fldChar w:fldCharType="end"/>
          </w:r>
          <w:r>
            <w:rPr>
              <w:sz w:val="22"/>
              <w:szCs w:val="28"/>
              <w:highlight w:val="none"/>
            </w:rPr>
            <w:fldChar w:fldCharType="end"/>
          </w:r>
        </w:p>
        <w:p w14:paraId="2CD86296">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_Toc32144 </w:instrText>
          </w:r>
          <w:r>
            <w:rPr>
              <w:sz w:val="22"/>
              <w:szCs w:val="28"/>
              <w:highlight w:val="none"/>
            </w:rPr>
            <w:fldChar w:fldCharType="separate"/>
          </w:r>
          <w:r>
            <w:rPr>
              <w:rFonts w:hint="default" w:ascii="Arial" w:hAnsi="Arial" w:eastAsia="宋体" w:cs="宋体"/>
              <w:i w:val="0"/>
              <w:sz w:val="22"/>
              <w:szCs w:val="22"/>
              <w:highlight w:val="none"/>
            </w:rPr>
            <w:t xml:space="preserve">11. </w:t>
          </w:r>
          <w:r>
            <w:rPr>
              <w:rFonts w:hint="eastAsia" w:ascii="宋体" w:hAnsi="宋体" w:eastAsia="宋体" w:cs="宋体"/>
              <w:sz w:val="22"/>
              <w:szCs w:val="22"/>
              <w:highlight w:val="none"/>
            </w:rPr>
            <w:t>磋商文件的澄清</w:t>
          </w:r>
          <w:r>
            <w:rPr>
              <w:sz w:val="22"/>
              <w:szCs w:val="28"/>
              <w:highlight w:val="none"/>
            </w:rPr>
            <w:tab/>
          </w:r>
          <w:r>
            <w:rPr>
              <w:sz w:val="22"/>
              <w:szCs w:val="28"/>
              <w:highlight w:val="none"/>
            </w:rPr>
            <w:fldChar w:fldCharType="begin"/>
          </w:r>
          <w:r>
            <w:rPr>
              <w:sz w:val="22"/>
              <w:szCs w:val="28"/>
              <w:highlight w:val="none"/>
            </w:rPr>
            <w:instrText xml:space="preserve"> PAGEREF _Toc32144 \h </w:instrText>
          </w:r>
          <w:r>
            <w:rPr>
              <w:sz w:val="22"/>
              <w:szCs w:val="28"/>
              <w:highlight w:val="none"/>
            </w:rPr>
            <w:fldChar w:fldCharType="separate"/>
          </w:r>
          <w:r>
            <w:rPr>
              <w:sz w:val="22"/>
              <w:szCs w:val="28"/>
              <w:highlight w:val="none"/>
            </w:rPr>
            <w:t>15</w:t>
          </w:r>
          <w:r>
            <w:rPr>
              <w:sz w:val="22"/>
              <w:szCs w:val="28"/>
              <w:highlight w:val="none"/>
            </w:rPr>
            <w:fldChar w:fldCharType="end"/>
          </w:r>
          <w:r>
            <w:rPr>
              <w:sz w:val="22"/>
              <w:szCs w:val="28"/>
              <w:highlight w:val="none"/>
            </w:rPr>
            <w:fldChar w:fldCharType="end"/>
          </w:r>
        </w:p>
        <w:p w14:paraId="324C4C62">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_Toc27007 </w:instrText>
          </w:r>
          <w:r>
            <w:rPr>
              <w:sz w:val="22"/>
              <w:szCs w:val="28"/>
              <w:highlight w:val="none"/>
            </w:rPr>
            <w:fldChar w:fldCharType="separate"/>
          </w:r>
          <w:r>
            <w:rPr>
              <w:rFonts w:hint="eastAsia" w:ascii="宋体" w:hAnsi="宋体" w:eastAsia="宋体" w:cs="宋体"/>
              <w:sz w:val="22"/>
              <w:szCs w:val="28"/>
              <w:highlight w:val="none"/>
            </w:rPr>
            <w:t>（四）磋商响应文件的编制</w:t>
          </w:r>
          <w:r>
            <w:rPr>
              <w:sz w:val="22"/>
              <w:szCs w:val="28"/>
              <w:highlight w:val="none"/>
            </w:rPr>
            <w:tab/>
          </w:r>
          <w:r>
            <w:rPr>
              <w:sz w:val="22"/>
              <w:szCs w:val="28"/>
              <w:highlight w:val="none"/>
            </w:rPr>
            <w:fldChar w:fldCharType="begin"/>
          </w:r>
          <w:r>
            <w:rPr>
              <w:sz w:val="22"/>
              <w:szCs w:val="28"/>
              <w:highlight w:val="none"/>
            </w:rPr>
            <w:instrText xml:space="preserve"> PAGEREF _Toc27007 \h </w:instrText>
          </w:r>
          <w:r>
            <w:rPr>
              <w:sz w:val="22"/>
              <w:szCs w:val="28"/>
              <w:highlight w:val="none"/>
            </w:rPr>
            <w:fldChar w:fldCharType="separate"/>
          </w:r>
          <w:r>
            <w:rPr>
              <w:sz w:val="22"/>
              <w:szCs w:val="28"/>
              <w:highlight w:val="none"/>
            </w:rPr>
            <w:t>16</w:t>
          </w:r>
          <w:r>
            <w:rPr>
              <w:sz w:val="22"/>
              <w:szCs w:val="28"/>
              <w:highlight w:val="none"/>
            </w:rPr>
            <w:fldChar w:fldCharType="end"/>
          </w:r>
          <w:r>
            <w:rPr>
              <w:sz w:val="22"/>
              <w:szCs w:val="28"/>
              <w:highlight w:val="none"/>
            </w:rPr>
            <w:fldChar w:fldCharType="end"/>
          </w:r>
        </w:p>
        <w:p w14:paraId="5E64A37C">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_Toc6851 </w:instrText>
          </w:r>
          <w:r>
            <w:rPr>
              <w:sz w:val="22"/>
              <w:szCs w:val="28"/>
              <w:highlight w:val="none"/>
            </w:rPr>
            <w:fldChar w:fldCharType="separate"/>
          </w:r>
          <w:r>
            <w:rPr>
              <w:rFonts w:hint="default" w:ascii="Arial" w:hAnsi="Arial" w:eastAsia="宋体" w:cs="宋体"/>
              <w:bCs/>
              <w:i w:val="0"/>
              <w:sz w:val="22"/>
              <w:szCs w:val="22"/>
              <w:highlight w:val="none"/>
            </w:rPr>
            <w:t xml:space="preserve">12. </w:t>
          </w:r>
          <w:r>
            <w:rPr>
              <w:rFonts w:hint="eastAsia" w:ascii="宋体" w:hAnsi="宋体" w:eastAsia="宋体" w:cs="宋体"/>
              <w:bCs/>
              <w:sz w:val="22"/>
              <w:szCs w:val="22"/>
              <w:highlight w:val="none"/>
            </w:rPr>
            <w:t>磋商响应文件的说明</w:t>
          </w:r>
          <w:r>
            <w:rPr>
              <w:sz w:val="22"/>
              <w:szCs w:val="28"/>
              <w:highlight w:val="none"/>
            </w:rPr>
            <w:tab/>
          </w:r>
          <w:r>
            <w:rPr>
              <w:sz w:val="22"/>
              <w:szCs w:val="28"/>
              <w:highlight w:val="none"/>
            </w:rPr>
            <w:fldChar w:fldCharType="begin"/>
          </w:r>
          <w:r>
            <w:rPr>
              <w:sz w:val="22"/>
              <w:szCs w:val="28"/>
              <w:highlight w:val="none"/>
            </w:rPr>
            <w:instrText xml:space="preserve"> PAGEREF _Toc6851 \h </w:instrText>
          </w:r>
          <w:r>
            <w:rPr>
              <w:sz w:val="22"/>
              <w:szCs w:val="28"/>
              <w:highlight w:val="none"/>
            </w:rPr>
            <w:fldChar w:fldCharType="separate"/>
          </w:r>
          <w:r>
            <w:rPr>
              <w:sz w:val="22"/>
              <w:szCs w:val="28"/>
              <w:highlight w:val="none"/>
            </w:rPr>
            <w:t>16</w:t>
          </w:r>
          <w:r>
            <w:rPr>
              <w:sz w:val="22"/>
              <w:szCs w:val="28"/>
              <w:highlight w:val="none"/>
            </w:rPr>
            <w:fldChar w:fldCharType="end"/>
          </w:r>
          <w:r>
            <w:rPr>
              <w:sz w:val="22"/>
              <w:szCs w:val="28"/>
              <w:highlight w:val="none"/>
            </w:rPr>
            <w:fldChar w:fldCharType="end"/>
          </w:r>
        </w:p>
        <w:p w14:paraId="779EA979">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_Toc5871 </w:instrText>
          </w:r>
          <w:r>
            <w:rPr>
              <w:sz w:val="22"/>
              <w:szCs w:val="28"/>
              <w:highlight w:val="none"/>
            </w:rPr>
            <w:fldChar w:fldCharType="separate"/>
          </w:r>
          <w:r>
            <w:rPr>
              <w:rFonts w:hint="default" w:ascii="Arial" w:hAnsi="Arial" w:eastAsia="宋体" w:cs="宋体"/>
              <w:bCs/>
              <w:i w:val="0"/>
              <w:sz w:val="22"/>
              <w:szCs w:val="28"/>
              <w:highlight w:val="none"/>
            </w:rPr>
            <w:t xml:space="preserve">13. </w:t>
          </w:r>
          <w:r>
            <w:rPr>
              <w:rFonts w:hint="eastAsia" w:ascii="宋体" w:hAnsi="宋体" w:eastAsia="宋体" w:cs="宋体"/>
              <w:bCs/>
              <w:sz w:val="22"/>
              <w:szCs w:val="22"/>
              <w:highlight w:val="none"/>
            </w:rPr>
            <w:t>磋商响应文件的组成</w:t>
          </w:r>
          <w:r>
            <w:rPr>
              <w:sz w:val="22"/>
              <w:szCs w:val="28"/>
              <w:highlight w:val="none"/>
            </w:rPr>
            <w:tab/>
          </w:r>
          <w:r>
            <w:rPr>
              <w:sz w:val="22"/>
              <w:szCs w:val="28"/>
              <w:highlight w:val="none"/>
            </w:rPr>
            <w:fldChar w:fldCharType="begin"/>
          </w:r>
          <w:r>
            <w:rPr>
              <w:sz w:val="22"/>
              <w:szCs w:val="28"/>
              <w:highlight w:val="none"/>
            </w:rPr>
            <w:instrText xml:space="preserve"> PAGEREF _Toc5871 \h </w:instrText>
          </w:r>
          <w:r>
            <w:rPr>
              <w:sz w:val="22"/>
              <w:szCs w:val="28"/>
              <w:highlight w:val="none"/>
            </w:rPr>
            <w:fldChar w:fldCharType="separate"/>
          </w:r>
          <w:r>
            <w:rPr>
              <w:sz w:val="22"/>
              <w:szCs w:val="28"/>
              <w:highlight w:val="none"/>
            </w:rPr>
            <w:t>16</w:t>
          </w:r>
          <w:r>
            <w:rPr>
              <w:sz w:val="22"/>
              <w:szCs w:val="28"/>
              <w:highlight w:val="none"/>
            </w:rPr>
            <w:fldChar w:fldCharType="end"/>
          </w:r>
          <w:r>
            <w:rPr>
              <w:sz w:val="22"/>
              <w:szCs w:val="28"/>
              <w:highlight w:val="none"/>
            </w:rPr>
            <w:fldChar w:fldCharType="end"/>
          </w:r>
        </w:p>
        <w:p w14:paraId="1B915241">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_Toc25838 </w:instrText>
          </w:r>
          <w:r>
            <w:rPr>
              <w:sz w:val="22"/>
              <w:szCs w:val="28"/>
              <w:highlight w:val="none"/>
            </w:rPr>
            <w:fldChar w:fldCharType="separate"/>
          </w:r>
          <w:r>
            <w:rPr>
              <w:rFonts w:hint="default" w:ascii="Arial" w:hAnsi="Arial" w:eastAsia="宋体" w:cs="宋体"/>
              <w:bCs/>
              <w:i w:val="0"/>
              <w:sz w:val="22"/>
              <w:szCs w:val="28"/>
              <w:highlight w:val="none"/>
            </w:rPr>
            <w:t xml:space="preserve">14. </w:t>
          </w:r>
          <w:r>
            <w:rPr>
              <w:rFonts w:hint="eastAsia" w:ascii="宋体" w:hAnsi="宋体" w:eastAsia="宋体" w:cs="宋体"/>
              <w:bCs/>
              <w:sz w:val="22"/>
              <w:szCs w:val="22"/>
              <w:highlight w:val="none"/>
            </w:rPr>
            <w:t>磋商响应格式填写说明</w:t>
          </w:r>
          <w:r>
            <w:rPr>
              <w:sz w:val="22"/>
              <w:szCs w:val="28"/>
              <w:highlight w:val="none"/>
            </w:rPr>
            <w:tab/>
          </w:r>
          <w:r>
            <w:rPr>
              <w:sz w:val="22"/>
              <w:szCs w:val="28"/>
              <w:highlight w:val="none"/>
            </w:rPr>
            <w:fldChar w:fldCharType="begin"/>
          </w:r>
          <w:r>
            <w:rPr>
              <w:sz w:val="22"/>
              <w:szCs w:val="28"/>
              <w:highlight w:val="none"/>
            </w:rPr>
            <w:instrText xml:space="preserve"> PAGEREF _Toc25838 \h </w:instrText>
          </w:r>
          <w:r>
            <w:rPr>
              <w:sz w:val="22"/>
              <w:szCs w:val="28"/>
              <w:highlight w:val="none"/>
            </w:rPr>
            <w:fldChar w:fldCharType="separate"/>
          </w:r>
          <w:r>
            <w:rPr>
              <w:sz w:val="22"/>
              <w:szCs w:val="28"/>
              <w:highlight w:val="none"/>
            </w:rPr>
            <w:t>17</w:t>
          </w:r>
          <w:r>
            <w:rPr>
              <w:sz w:val="22"/>
              <w:szCs w:val="28"/>
              <w:highlight w:val="none"/>
            </w:rPr>
            <w:fldChar w:fldCharType="end"/>
          </w:r>
          <w:r>
            <w:rPr>
              <w:sz w:val="22"/>
              <w:szCs w:val="28"/>
              <w:highlight w:val="none"/>
            </w:rPr>
            <w:fldChar w:fldCharType="end"/>
          </w:r>
        </w:p>
        <w:p w14:paraId="68DB3261">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_Toc7195 </w:instrText>
          </w:r>
          <w:r>
            <w:rPr>
              <w:sz w:val="22"/>
              <w:szCs w:val="28"/>
              <w:highlight w:val="none"/>
            </w:rPr>
            <w:fldChar w:fldCharType="separate"/>
          </w:r>
          <w:r>
            <w:rPr>
              <w:rFonts w:hint="default" w:ascii="Arial" w:hAnsi="Arial" w:eastAsia="宋体" w:cs="宋体"/>
              <w:i w:val="0"/>
              <w:sz w:val="22"/>
              <w:szCs w:val="28"/>
              <w:highlight w:val="none"/>
            </w:rPr>
            <w:t xml:space="preserve">15. </w:t>
          </w:r>
          <w:r>
            <w:rPr>
              <w:rFonts w:hint="eastAsia" w:ascii="宋体" w:hAnsi="宋体" w:eastAsia="宋体" w:cs="宋体"/>
              <w:sz w:val="22"/>
              <w:szCs w:val="22"/>
              <w:highlight w:val="none"/>
            </w:rPr>
            <w:t>磋商有效期</w:t>
          </w:r>
          <w:r>
            <w:rPr>
              <w:sz w:val="22"/>
              <w:szCs w:val="28"/>
              <w:highlight w:val="none"/>
            </w:rPr>
            <w:tab/>
          </w:r>
          <w:r>
            <w:rPr>
              <w:sz w:val="22"/>
              <w:szCs w:val="28"/>
              <w:highlight w:val="none"/>
            </w:rPr>
            <w:fldChar w:fldCharType="begin"/>
          </w:r>
          <w:r>
            <w:rPr>
              <w:sz w:val="22"/>
              <w:szCs w:val="28"/>
              <w:highlight w:val="none"/>
            </w:rPr>
            <w:instrText xml:space="preserve"> PAGEREF _Toc7195 \h </w:instrText>
          </w:r>
          <w:r>
            <w:rPr>
              <w:sz w:val="22"/>
              <w:szCs w:val="28"/>
              <w:highlight w:val="none"/>
            </w:rPr>
            <w:fldChar w:fldCharType="separate"/>
          </w:r>
          <w:r>
            <w:rPr>
              <w:sz w:val="22"/>
              <w:szCs w:val="28"/>
              <w:highlight w:val="none"/>
            </w:rPr>
            <w:t>18</w:t>
          </w:r>
          <w:r>
            <w:rPr>
              <w:sz w:val="22"/>
              <w:szCs w:val="28"/>
              <w:highlight w:val="none"/>
            </w:rPr>
            <w:fldChar w:fldCharType="end"/>
          </w:r>
          <w:r>
            <w:rPr>
              <w:sz w:val="22"/>
              <w:szCs w:val="28"/>
              <w:highlight w:val="none"/>
            </w:rPr>
            <w:fldChar w:fldCharType="end"/>
          </w:r>
        </w:p>
        <w:p w14:paraId="4BC83222">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_Toc6408 </w:instrText>
          </w:r>
          <w:r>
            <w:rPr>
              <w:sz w:val="22"/>
              <w:szCs w:val="28"/>
              <w:highlight w:val="none"/>
            </w:rPr>
            <w:fldChar w:fldCharType="separate"/>
          </w:r>
          <w:r>
            <w:rPr>
              <w:rFonts w:hint="default" w:ascii="Arial" w:hAnsi="Arial" w:eastAsia="宋体" w:cs="宋体"/>
              <w:i w:val="0"/>
              <w:sz w:val="22"/>
              <w:szCs w:val="28"/>
              <w:highlight w:val="none"/>
            </w:rPr>
            <w:t xml:space="preserve">16. </w:t>
          </w:r>
          <w:r>
            <w:rPr>
              <w:rFonts w:hint="eastAsia" w:ascii="宋体" w:hAnsi="宋体" w:eastAsia="宋体" w:cs="宋体"/>
              <w:sz w:val="22"/>
              <w:szCs w:val="22"/>
              <w:highlight w:val="none"/>
            </w:rPr>
            <w:t>磋商报价</w:t>
          </w:r>
          <w:r>
            <w:rPr>
              <w:sz w:val="22"/>
              <w:szCs w:val="28"/>
              <w:highlight w:val="none"/>
            </w:rPr>
            <w:tab/>
          </w:r>
          <w:r>
            <w:rPr>
              <w:sz w:val="22"/>
              <w:szCs w:val="28"/>
              <w:highlight w:val="none"/>
            </w:rPr>
            <w:fldChar w:fldCharType="begin"/>
          </w:r>
          <w:r>
            <w:rPr>
              <w:sz w:val="22"/>
              <w:szCs w:val="28"/>
              <w:highlight w:val="none"/>
            </w:rPr>
            <w:instrText xml:space="preserve"> PAGEREF _Toc6408 \h </w:instrText>
          </w:r>
          <w:r>
            <w:rPr>
              <w:sz w:val="22"/>
              <w:szCs w:val="28"/>
              <w:highlight w:val="none"/>
            </w:rPr>
            <w:fldChar w:fldCharType="separate"/>
          </w:r>
          <w:r>
            <w:rPr>
              <w:sz w:val="22"/>
              <w:szCs w:val="28"/>
              <w:highlight w:val="none"/>
            </w:rPr>
            <w:t>18</w:t>
          </w:r>
          <w:r>
            <w:rPr>
              <w:sz w:val="22"/>
              <w:szCs w:val="28"/>
              <w:highlight w:val="none"/>
            </w:rPr>
            <w:fldChar w:fldCharType="end"/>
          </w:r>
          <w:r>
            <w:rPr>
              <w:sz w:val="22"/>
              <w:szCs w:val="28"/>
              <w:highlight w:val="none"/>
            </w:rPr>
            <w:fldChar w:fldCharType="end"/>
          </w:r>
        </w:p>
        <w:p w14:paraId="0B8CDFBD">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_Toc26896 </w:instrText>
          </w:r>
          <w:r>
            <w:rPr>
              <w:sz w:val="22"/>
              <w:szCs w:val="28"/>
              <w:highlight w:val="none"/>
            </w:rPr>
            <w:fldChar w:fldCharType="separate"/>
          </w:r>
          <w:r>
            <w:rPr>
              <w:rFonts w:hint="default" w:ascii="Arial" w:hAnsi="Arial" w:eastAsia="宋体" w:cs="宋体"/>
              <w:i w:val="0"/>
              <w:sz w:val="22"/>
              <w:szCs w:val="28"/>
              <w:highlight w:val="none"/>
            </w:rPr>
            <w:t xml:space="preserve">17. </w:t>
          </w:r>
          <w:r>
            <w:rPr>
              <w:rFonts w:hint="eastAsia" w:ascii="宋体" w:hAnsi="宋体" w:eastAsia="宋体" w:cs="宋体"/>
              <w:sz w:val="22"/>
              <w:szCs w:val="22"/>
              <w:highlight w:val="none"/>
            </w:rPr>
            <w:t>磋商响应文件的式样和签署</w:t>
          </w:r>
          <w:r>
            <w:rPr>
              <w:sz w:val="22"/>
              <w:szCs w:val="28"/>
              <w:highlight w:val="none"/>
            </w:rPr>
            <w:tab/>
          </w:r>
          <w:r>
            <w:rPr>
              <w:sz w:val="22"/>
              <w:szCs w:val="28"/>
              <w:highlight w:val="none"/>
            </w:rPr>
            <w:fldChar w:fldCharType="begin"/>
          </w:r>
          <w:r>
            <w:rPr>
              <w:sz w:val="22"/>
              <w:szCs w:val="28"/>
              <w:highlight w:val="none"/>
            </w:rPr>
            <w:instrText xml:space="preserve"> PAGEREF _Toc26896 \h </w:instrText>
          </w:r>
          <w:r>
            <w:rPr>
              <w:sz w:val="22"/>
              <w:szCs w:val="28"/>
              <w:highlight w:val="none"/>
            </w:rPr>
            <w:fldChar w:fldCharType="separate"/>
          </w:r>
          <w:r>
            <w:rPr>
              <w:sz w:val="22"/>
              <w:szCs w:val="28"/>
              <w:highlight w:val="none"/>
            </w:rPr>
            <w:t>18</w:t>
          </w:r>
          <w:r>
            <w:rPr>
              <w:sz w:val="22"/>
              <w:szCs w:val="28"/>
              <w:highlight w:val="none"/>
            </w:rPr>
            <w:fldChar w:fldCharType="end"/>
          </w:r>
          <w:r>
            <w:rPr>
              <w:sz w:val="22"/>
              <w:szCs w:val="28"/>
              <w:highlight w:val="none"/>
            </w:rPr>
            <w:fldChar w:fldCharType="end"/>
          </w:r>
        </w:p>
        <w:p w14:paraId="62190704">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_Toc23036 </w:instrText>
          </w:r>
          <w:r>
            <w:rPr>
              <w:sz w:val="22"/>
              <w:szCs w:val="28"/>
              <w:highlight w:val="none"/>
            </w:rPr>
            <w:fldChar w:fldCharType="separate"/>
          </w:r>
          <w:r>
            <w:rPr>
              <w:rFonts w:hint="default" w:ascii="Arial" w:hAnsi="Arial" w:eastAsia="宋体" w:cs="宋体"/>
              <w:bCs/>
              <w:i w:val="0"/>
              <w:sz w:val="22"/>
              <w:szCs w:val="28"/>
              <w:highlight w:val="none"/>
            </w:rPr>
            <w:t xml:space="preserve">18. </w:t>
          </w:r>
          <w:r>
            <w:rPr>
              <w:rFonts w:hint="eastAsia" w:ascii="宋体" w:hAnsi="宋体" w:eastAsia="宋体" w:cs="宋体"/>
              <w:bCs/>
              <w:sz w:val="22"/>
              <w:szCs w:val="22"/>
              <w:highlight w:val="none"/>
            </w:rPr>
            <w:t>知识产权</w:t>
          </w:r>
          <w:r>
            <w:rPr>
              <w:sz w:val="22"/>
              <w:szCs w:val="28"/>
              <w:highlight w:val="none"/>
            </w:rPr>
            <w:tab/>
          </w:r>
          <w:r>
            <w:rPr>
              <w:sz w:val="22"/>
              <w:szCs w:val="28"/>
              <w:highlight w:val="none"/>
            </w:rPr>
            <w:fldChar w:fldCharType="begin"/>
          </w:r>
          <w:r>
            <w:rPr>
              <w:sz w:val="22"/>
              <w:szCs w:val="28"/>
              <w:highlight w:val="none"/>
            </w:rPr>
            <w:instrText xml:space="preserve"> PAGEREF _Toc23036 \h </w:instrText>
          </w:r>
          <w:r>
            <w:rPr>
              <w:sz w:val="22"/>
              <w:szCs w:val="28"/>
              <w:highlight w:val="none"/>
            </w:rPr>
            <w:fldChar w:fldCharType="separate"/>
          </w:r>
          <w:r>
            <w:rPr>
              <w:sz w:val="22"/>
              <w:szCs w:val="28"/>
              <w:highlight w:val="none"/>
            </w:rPr>
            <w:t>18</w:t>
          </w:r>
          <w:r>
            <w:rPr>
              <w:sz w:val="22"/>
              <w:szCs w:val="28"/>
              <w:highlight w:val="none"/>
            </w:rPr>
            <w:fldChar w:fldCharType="end"/>
          </w:r>
          <w:r>
            <w:rPr>
              <w:sz w:val="22"/>
              <w:szCs w:val="28"/>
              <w:highlight w:val="none"/>
            </w:rPr>
            <w:fldChar w:fldCharType="end"/>
          </w:r>
        </w:p>
        <w:p w14:paraId="0EAB79EE">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_Toc989 </w:instrText>
          </w:r>
          <w:r>
            <w:rPr>
              <w:sz w:val="22"/>
              <w:szCs w:val="28"/>
              <w:highlight w:val="none"/>
            </w:rPr>
            <w:fldChar w:fldCharType="separate"/>
          </w:r>
          <w:r>
            <w:rPr>
              <w:rFonts w:hint="default" w:ascii="Arial" w:hAnsi="Arial" w:eastAsia="宋体" w:cs="宋体"/>
              <w:bCs/>
              <w:i w:val="0"/>
              <w:sz w:val="22"/>
              <w:szCs w:val="28"/>
              <w:highlight w:val="none"/>
            </w:rPr>
            <w:t xml:space="preserve">19. </w:t>
          </w:r>
          <w:r>
            <w:rPr>
              <w:rFonts w:hint="eastAsia" w:ascii="宋体" w:hAnsi="宋体" w:eastAsia="宋体" w:cs="宋体"/>
              <w:bCs/>
              <w:sz w:val="22"/>
              <w:szCs w:val="21"/>
              <w:highlight w:val="none"/>
            </w:rPr>
            <w:t>串通行为认定</w:t>
          </w:r>
          <w:r>
            <w:rPr>
              <w:sz w:val="22"/>
              <w:szCs w:val="28"/>
              <w:highlight w:val="none"/>
            </w:rPr>
            <w:tab/>
          </w:r>
          <w:r>
            <w:rPr>
              <w:sz w:val="22"/>
              <w:szCs w:val="28"/>
              <w:highlight w:val="none"/>
            </w:rPr>
            <w:fldChar w:fldCharType="begin"/>
          </w:r>
          <w:r>
            <w:rPr>
              <w:sz w:val="22"/>
              <w:szCs w:val="28"/>
              <w:highlight w:val="none"/>
            </w:rPr>
            <w:instrText xml:space="preserve"> PAGEREF _Toc989 \h </w:instrText>
          </w:r>
          <w:r>
            <w:rPr>
              <w:sz w:val="22"/>
              <w:szCs w:val="28"/>
              <w:highlight w:val="none"/>
            </w:rPr>
            <w:fldChar w:fldCharType="separate"/>
          </w:r>
          <w:r>
            <w:rPr>
              <w:sz w:val="22"/>
              <w:szCs w:val="28"/>
              <w:highlight w:val="none"/>
            </w:rPr>
            <w:t>19</w:t>
          </w:r>
          <w:r>
            <w:rPr>
              <w:sz w:val="22"/>
              <w:szCs w:val="28"/>
              <w:highlight w:val="none"/>
            </w:rPr>
            <w:fldChar w:fldCharType="end"/>
          </w:r>
          <w:r>
            <w:rPr>
              <w:sz w:val="22"/>
              <w:szCs w:val="28"/>
              <w:highlight w:val="none"/>
            </w:rPr>
            <w:fldChar w:fldCharType="end"/>
          </w:r>
        </w:p>
        <w:p w14:paraId="72234403">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_Toc28991 </w:instrText>
          </w:r>
          <w:r>
            <w:rPr>
              <w:sz w:val="22"/>
              <w:szCs w:val="28"/>
              <w:highlight w:val="none"/>
            </w:rPr>
            <w:fldChar w:fldCharType="separate"/>
          </w:r>
          <w:r>
            <w:rPr>
              <w:rFonts w:hint="default" w:ascii="Arial" w:hAnsi="Arial" w:eastAsia="宋体" w:cs="宋体"/>
              <w:bCs/>
              <w:i w:val="0"/>
              <w:sz w:val="22"/>
              <w:szCs w:val="21"/>
              <w:highlight w:val="none"/>
            </w:rPr>
            <w:t xml:space="preserve">20. </w:t>
          </w:r>
          <w:r>
            <w:rPr>
              <w:rFonts w:hint="eastAsia" w:ascii="宋体" w:hAnsi="宋体" w:eastAsia="宋体" w:cs="宋体"/>
              <w:bCs/>
              <w:sz w:val="22"/>
              <w:szCs w:val="21"/>
              <w:highlight w:val="none"/>
            </w:rPr>
            <w:t>出现以下情形，中止电子交易活动：</w:t>
          </w:r>
          <w:r>
            <w:rPr>
              <w:sz w:val="22"/>
              <w:szCs w:val="28"/>
              <w:highlight w:val="none"/>
            </w:rPr>
            <w:tab/>
          </w:r>
          <w:r>
            <w:rPr>
              <w:sz w:val="22"/>
              <w:szCs w:val="28"/>
              <w:highlight w:val="none"/>
            </w:rPr>
            <w:fldChar w:fldCharType="begin"/>
          </w:r>
          <w:r>
            <w:rPr>
              <w:sz w:val="22"/>
              <w:szCs w:val="28"/>
              <w:highlight w:val="none"/>
            </w:rPr>
            <w:instrText xml:space="preserve"> PAGEREF _Toc28991 \h </w:instrText>
          </w:r>
          <w:r>
            <w:rPr>
              <w:sz w:val="22"/>
              <w:szCs w:val="28"/>
              <w:highlight w:val="none"/>
            </w:rPr>
            <w:fldChar w:fldCharType="separate"/>
          </w:r>
          <w:r>
            <w:rPr>
              <w:sz w:val="22"/>
              <w:szCs w:val="28"/>
              <w:highlight w:val="none"/>
            </w:rPr>
            <w:t>19</w:t>
          </w:r>
          <w:r>
            <w:rPr>
              <w:sz w:val="22"/>
              <w:szCs w:val="28"/>
              <w:highlight w:val="none"/>
            </w:rPr>
            <w:fldChar w:fldCharType="end"/>
          </w:r>
          <w:r>
            <w:rPr>
              <w:sz w:val="22"/>
              <w:szCs w:val="28"/>
              <w:highlight w:val="none"/>
            </w:rPr>
            <w:fldChar w:fldCharType="end"/>
          </w:r>
        </w:p>
        <w:p w14:paraId="44228CF1">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_Toc1335 </w:instrText>
          </w:r>
          <w:r>
            <w:rPr>
              <w:sz w:val="22"/>
              <w:szCs w:val="28"/>
              <w:highlight w:val="none"/>
            </w:rPr>
            <w:fldChar w:fldCharType="separate"/>
          </w:r>
          <w:r>
            <w:rPr>
              <w:rFonts w:hint="eastAsia" w:ascii="宋体" w:hAnsi="宋体" w:eastAsia="宋体" w:cs="宋体"/>
              <w:bCs w:val="0"/>
              <w:sz w:val="22"/>
              <w:szCs w:val="28"/>
              <w:highlight w:val="none"/>
            </w:rPr>
            <w:t>（五）磋商响应文件的递交</w:t>
          </w:r>
          <w:r>
            <w:rPr>
              <w:sz w:val="22"/>
              <w:szCs w:val="28"/>
              <w:highlight w:val="none"/>
            </w:rPr>
            <w:tab/>
          </w:r>
          <w:r>
            <w:rPr>
              <w:sz w:val="22"/>
              <w:szCs w:val="28"/>
              <w:highlight w:val="none"/>
            </w:rPr>
            <w:fldChar w:fldCharType="begin"/>
          </w:r>
          <w:r>
            <w:rPr>
              <w:sz w:val="22"/>
              <w:szCs w:val="28"/>
              <w:highlight w:val="none"/>
            </w:rPr>
            <w:instrText xml:space="preserve"> PAGEREF _Toc1335 \h </w:instrText>
          </w:r>
          <w:r>
            <w:rPr>
              <w:sz w:val="22"/>
              <w:szCs w:val="28"/>
              <w:highlight w:val="none"/>
            </w:rPr>
            <w:fldChar w:fldCharType="separate"/>
          </w:r>
          <w:r>
            <w:rPr>
              <w:sz w:val="22"/>
              <w:szCs w:val="28"/>
              <w:highlight w:val="none"/>
            </w:rPr>
            <w:t>20</w:t>
          </w:r>
          <w:r>
            <w:rPr>
              <w:sz w:val="22"/>
              <w:szCs w:val="28"/>
              <w:highlight w:val="none"/>
            </w:rPr>
            <w:fldChar w:fldCharType="end"/>
          </w:r>
          <w:r>
            <w:rPr>
              <w:sz w:val="22"/>
              <w:szCs w:val="28"/>
              <w:highlight w:val="none"/>
            </w:rPr>
            <w:fldChar w:fldCharType="end"/>
          </w:r>
        </w:p>
        <w:p w14:paraId="345300A5">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_Toc7521 </w:instrText>
          </w:r>
          <w:r>
            <w:rPr>
              <w:sz w:val="22"/>
              <w:szCs w:val="28"/>
              <w:highlight w:val="none"/>
            </w:rPr>
            <w:fldChar w:fldCharType="separate"/>
          </w:r>
          <w:r>
            <w:rPr>
              <w:rFonts w:hint="default" w:ascii="Arial" w:hAnsi="Arial" w:eastAsia="宋体" w:cs="宋体"/>
              <w:bCs/>
              <w:i w:val="0"/>
              <w:sz w:val="22"/>
              <w:szCs w:val="24"/>
              <w:highlight w:val="none"/>
            </w:rPr>
            <w:t xml:space="preserve">21. </w:t>
          </w:r>
          <w:r>
            <w:rPr>
              <w:rFonts w:hint="eastAsia" w:ascii="宋体" w:hAnsi="宋体" w:eastAsia="宋体" w:cs="宋体"/>
              <w:bCs/>
              <w:sz w:val="22"/>
              <w:szCs w:val="21"/>
              <w:highlight w:val="none"/>
            </w:rPr>
            <w:t>响应文件的修改（补充）和撤回</w:t>
          </w:r>
          <w:r>
            <w:rPr>
              <w:sz w:val="22"/>
              <w:szCs w:val="28"/>
              <w:highlight w:val="none"/>
            </w:rPr>
            <w:tab/>
          </w:r>
          <w:r>
            <w:rPr>
              <w:sz w:val="22"/>
              <w:szCs w:val="28"/>
              <w:highlight w:val="none"/>
            </w:rPr>
            <w:fldChar w:fldCharType="begin"/>
          </w:r>
          <w:r>
            <w:rPr>
              <w:sz w:val="22"/>
              <w:szCs w:val="28"/>
              <w:highlight w:val="none"/>
            </w:rPr>
            <w:instrText xml:space="preserve"> PAGEREF _Toc7521 \h </w:instrText>
          </w:r>
          <w:r>
            <w:rPr>
              <w:sz w:val="22"/>
              <w:szCs w:val="28"/>
              <w:highlight w:val="none"/>
            </w:rPr>
            <w:fldChar w:fldCharType="separate"/>
          </w:r>
          <w:r>
            <w:rPr>
              <w:sz w:val="22"/>
              <w:szCs w:val="28"/>
              <w:highlight w:val="none"/>
            </w:rPr>
            <w:t>20</w:t>
          </w:r>
          <w:r>
            <w:rPr>
              <w:sz w:val="22"/>
              <w:szCs w:val="28"/>
              <w:highlight w:val="none"/>
            </w:rPr>
            <w:fldChar w:fldCharType="end"/>
          </w:r>
          <w:r>
            <w:rPr>
              <w:sz w:val="22"/>
              <w:szCs w:val="28"/>
              <w:highlight w:val="none"/>
            </w:rPr>
            <w:fldChar w:fldCharType="end"/>
          </w:r>
        </w:p>
        <w:p w14:paraId="7194761F">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_Toc24415 </w:instrText>
          </w:r>
          <w:r>
            <w:rPr>
              <w:sz w:val="22"/>
              <w:szCs w:val="28"/>
              <w:highlight w:val="none"/>
            </w:rPr>
            <w:fldChar w:fldCharType="separate"/>
          </w:r>
          <w:r>
            <w:rPr>
              <w:rFonts w:hint="default" w:ascii="Arial" w:hAnsi="Arial" w:eastAsia="宋体" w:cs="宋体"/>
              <w:i w:val="0"/>
              <w:sz w:val="22"/>
              <w:szCs w:val="28"/>
              <w:highlight w:val="none"/>
            </w:rPr>
            <w:t xml:space="preserve">22. </w:t>
          </w:r>
          <w:r>
            <w:rPr>
              <w:rFonts w:hint="eastAsia" w:ascii="宋体" w:hAnsi="宋体" w:eastAsia="宋体" w:cs="宋体"/>
              <w:sz w:val="22"/>
              <w:szCs w:val="22"/>
              <w:highlight w:val="none"/>
            </w:rPr>
            <w:t>磋商截止时间</w:t>
          </w:r>
          <w:r>
            <w:rPr>
              <w:sz w:val="22"/>
              <w:szCs w:val="28"/>
              <w:highlight w:val="none"/>
            </w:rPr>
            <w:tab/>
          </w:r>
          <w:r>
            <w:rPr>
              <w:sz w:val="22"/>
              <w:szCs w:val="28"/>
              <w:highlight w:val="none"/>
            </w:rPr>
            <w:fldChar w:fldCharType="begin"/>
          </w:r>
          <w:r>
            <w:rPr>
              <w:sz w:val="22"/>
              <w:szCs w:val="28"/>
              <w:highlight w:val="none"/>
            </w:rPr>
            <w:instrText xml:space="preserve"> PAGEREF _Toc24415 \h </w:instrText>
          </w:r>
          <w:r>
            <w:rPr>
              <w:sz w:val="22"/>
              <w:szCs w:val="28"/>
              <w:highlight w:val="none"/>
            </w:rPr>
            <w:fldChar w:fldCharType="separate"/>
          </w:r>
          <w:r>
            <w:rPr>
              <w:sz w:val="22"/>
              <w:szCs w:val="28"/>
              <w:highlight w:val="none"/>
            </w:rPr>
            <w:t>20</w:t>
          </w:r>
          <w:r>
            <w:rPr>
              <w:sz w:val="22"/>
              <w:szCs w:val="28"/>
              <w:highlight w:val="none"/>
            </w:rPr>
            <w:fldChar w:fldCharType="end"/>
          </w:r>
          <w:r>
            <w:rPr>
              <w:sz w:val="22"/>
              <w:szCs w:val="28"/>
              <w:highlight w:val="none"/>
            </w:rPr>
            <w:fldChar w:fldCharType="end"/>
          </w:r>
        </w:p>
        <w:p w14:paraId="4D52E532">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_Toc9703 </w:instrText>
          </w:r>
          <w:r>
            <w:rPr>
              <w:sz w:val="22"/>
              <w:szCs w:val="28"/>
              <w:highlight w:val="none"/>
            </w:rPr>
            <w:fldChar w:fldCharType="separate"/>
          </w:r>
          <w:r>
            <w:rPr>
              <w:rFonts w:hint="eastAsia" w:ascii="宋体" w:hAnsi="宋体" w:eastAsia="宋体" w:cs="宋体"/>
              <w:sz w:val="22"/>
              <w:szCs w:val="28"/>
              <w:highlight w:val="none"/>
            </w:rPr>
            <w:t>（六）磋商与评审</w:t>
          </w:r>
          <w:r>
            <w:rPr>
              <w:sz w:val="22"/>
              <w:szCs w:val="28"/>
              <w:highlight w:val="none"/>
            </w:rPr>
            <w:tab/>
          </w:r>
          <w:r>
            <w:rPr>
              <w:sz w:val="22"/>
              <w:szCs w:val="28"/>
              <w:highlight w:val="none"/>
            </w:rPr>
            <w:fldChar w:fldCharType="begin"/>
          </w:r>
          <w:r>
            <w:rPr>
              <w:sz w:val="22"/>
              <w:szCs w:val="28"/>
              <w:highlight w:val="none"/>
            </w:rPr>
            <w:instrText xml:space="preserve"> PAGEREF _Toc9703 \h </w:instrText>
          </w:r>
          <w:r>
            <w:rPr>
              <w:sz w:val="22"/>
              <w:szCs w:val="28"/>
              <w:highlight w:val="none"/>
            </w:rPr>
            <w:fldChar w:fldCharType="separate"/>
          </w:r>
          <w:r>
            <w:rPr>
              <w:sz w:val="22"/>
              <w:szCs w:val="28"/>
              <w:highlight w:val="none"/>
            </w:rPr>
            <w:t>21</w:t>
          </w:r>
          <w:r>
            <w:rPr>
              <w:sz w:val="22"/>
              <w:szCs w:val="28"/>
              <w:highlight w:val="none"/>
            </w:rPr>
            <w:fldChar w:fldCharType="end"/>
          </w:r>
          <w:r>
            <w:rPr>
              <w:sz w:val="22"/>
              <w:szCs w:val="28"/>
              <w:highlight w:val="none"/>
            </w:rPr>
            <w:fldChar w:fldCharType="end"/>
          </w:r>
        </w:p>
        <w:p w14:paraId="331E2EA8">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_Toc26874 </w:instrText>
          </w:r>
          <w:r>
            <w:rPr>
              <w:sz w:val="22"/>
              <w:szCs w:val="28"/>
              <w:highlight w:val="none"/>
            </w:rPr>
            <w:fldChar w:fldCharType="separate"/>
          </w:r>
          <w:r>
            <w:rPr>
              <w:rFonts w:hint="default" w:ascii="Arial" w:hAnsi="Arial" w:eastAsia="宋体" w:cs="宋体"/>
              <w:i w:val="0"/>
              <w:sz w:val="22"/>
              <w:szCs w:val="22"/>
              <w:highlight w:val="none"/>
            </w:rPr>
            <w:t xml:space="preserve">23. </w:t>
          </w:r>
          <w:r>
            <w:rPr>
              <w:rFonts w:hint="eastAsia" w:ascii="宋体" w:hAnsi="宋体" w:eastAsia="宋体" w:cs="宋体"/>
              <w:sz w:val="22"/>
              <w:szCs w:val="22"/>
              <w:highlight w:val="none"/>
            </w:rPr>
            <w:t>磋商</w:t>
          </w:r>
          <w:r>
            <w:rPr>
              <w:sz w:val="22"/>
              <w:szCs w:val="28"/>
              <w:highlight w:val="none"/>
            </w:rPr>
            <w:tab/>
          </w:r>
          <w:r>
            <w:rPr>
              <w:sz w:val="22"/>
              <w:szCs w:val="28"/>
              <w:highlight w:val="none"/>
            </w:rPr>
            <w:fldChar w:fldCharType="begin"/>
          </w:r>
          <w:r>
            <w:rPr>
              <w:sz w:val="22"/>
              <w:szCs w:val="28"/>
              <w:highlight w:val="none"/>
            </w:rPr>
            <w:instrText xml:space="preserve"> PAGEREF _Toc26874 \h </w:instrText>
          </w:r>
          <w:r>
            <w:rPr>
              <w:sz w:val="22"/>
              <w:szCs w:val="28"/>
              <w:highlight w:val="none"/>
            </w:rPr>
            <w:fldChar w:fldCharType="separate"/>
          </w:r>
          <w:r>
            <w:rPr>
              <w:sz w:val="22"/>
              <w:szCs w:val="28"/>
              <w:highlight w:val="none"/>
            </w:rPr>
            <w:t>21</w:t>
          </w:r>
          <w:r>
            <w:rPr>
              <w:sz w:val="22"/>
              <w:szCs w:val="28"/>
              <w:highlight w:val="none"/>
            </w:rPr>
            <w:fldChar w:fldCharType="end"/>
          </w:r>
          <w:r>
            <w:rPr>
              <w:sz w:val="22"/>
              <w:szCs w:val="28"/>
              <w:highlight w:val="none"/>
            </w:rPr>
            <w:fldChar w:fldCharType="end"/>
          </w:r>
        </w:p>
        <w:p w14:paraId="425F8469">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_Toc26411 </w:instrText>
          </w:r>
          <w:r>
            <w:rPr>
              <w:sz w:val="22"/>
              <w:szCs w:val="28"/>
              <w:highlight w:val="none"/>
            </w:rPr>
            <w:fldChar w:fldCharType="separate"/>
          </w:r>
          <w:r>
            <w:rPr>
              <w:rFonts w:hint="default" w:ascii="Arial" w:hAnsi="Arial" w:eastAsia="宋体" w:cs="宋体"/>
              <w:i w:val="0"/>
              <w:sz w:val="22"/>
              <w:szCs w:val="21"/>
              <w:highlight w:val="none"/>
            </w:rPr>
            <w:t xml:space="preserve">24. </w:t>
          </w:r>
          <w:r>
            <w:rPr>
              <w:rFonts w:hint="eastAsia" w:ascii="宋体" w:hAnsi="宋体" w:eastAsia="宋体" w:cs="宋体"/>
              <w:sz w:val="22"/>
              <w:szCs w:val="21"/>
              <w:highlight w:val="none"/>
            </w:rPr>
            <w:t>开标程序</w:t>
          </w:r>
          <w:r>
            <w:rPr>
              <w:sz w:val="22"/>
              <w:szCs w:val="28"/>
              <w:highlight w:val="none"/>
            </w:rPr>
            <w:tab/>
          </w:r>
          <w:r>
            <w:rPr>
              <w:sz w:val="22"/>
              <w:szCs w:val="28"/>
              <w:highlight w:val="none"/>
            </w:rPr>
            <w:fldChar w:fldCharType="begin"/>
          </w:r>
          <w:r>
            <w:rPr>
              <w:sz w:val="22"/>
              <w:szCs w:val="28"/>
              <w:highlight w:val="none"/>
            </w:rPr>
            <w:instrText xml:space="preserve"> PAGEREF _Toc26411 \h </w:instrText>
          </w:r>
          <w:r>
            <w:rPr>
              <w:sz w:val="22"/>
              <w:szCs w:val="28"/>
              <w:highlight w:val="none"/>
            </w:rPr>
            <w:fldChar w:fldCharType="separate"/>
          </w:r>
          <w:r>
            <w:rPr>
              <w:sz w:val="22"/>
              <w:szCs w:val="28"/>
              <w:highlight w:val="none"/>
            </w:rPr>
            <w:t>21</w:t>
          </w:r>
          <w:r>
            <w:rPr>
              <w:sz w:val="22"/>
              <w:szCs w:val="28"/>
              <w:highlight w:val="none"/>
            </w:rPr>
            <w:fldChar w:fldCharType="end"/>
          </w:r>
          <w:r>
            <w:rPr>
              <w:sz w:val="22"/>
              <w:szCs w:val="28"/>
              <w:highlight w:val="none"/>
            </w:rPr>
            <w:fldChar w:fldCharType="end"/>
          </w:r>
        </w:p>
        <w:p w14:paraId="22CFD38C">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_Toc13318 </w:instrText>
          </w:r>
          <w:r>
            <w:rPr>
              <w:sz w:val="22"/>
              <w:szCs w:val="28"/>
              <w:highlight w:val="none"/>
            </w:rPr>
            <w:fldChar w:fldCharType="separate"/>
          </w:r>
          <w:r>
            <w:rPr>
              <w:rFonts w:hint="default" w:ascii="Arial" w:hAnsi="Arial" w:eastAsia="宋体" w:cs="宋体"/>
              <w:i w:val="0"/>
              <w:sz w:val="22"/>
              <w:szCs w:val="22"/>
              <w:highlight w:val="none"/>
            </w:rPr>
            <w:t xml:space="preserve">25. </w:t>
          </w:r>
          <w:r>
            <w:rPr>
              <w:rFonts w:hint="eastAsia" w:ascii="宋体" w:hAnsi="宋体" w:eastAsia="宋体" w:cs="宋体"/>
              <w:sz w:val="22"/>
              <w:szCs w:val="22"/>
              <w:highlight w:val="none"/>
            </w:rPr>
            <w:t>磋商小组</w:t>
          </w:r>
          <w:r>
            <w:rPr>
              <w:sz w:val="22"/>
              <w:szCs w:val="28"/>
              <w:highlight w:val="none"/>
            </w:rPr>
            <w:tab/>
          </w:r>
          <w:r>
            <w:rPr>
              <w:sz w:val="22"/>
              <w:szCs w:val="28"/>
              <w:highlight w:val="none"/>
            </w:rPr>
            <w:fldChar w:fldCharType="begin"/>
          </w:r>
          <w:r>
            <w:rPr>
              <w:sz w:val="22"/>
              <w:szCs w:val="28"/>
              <w:highlight w:val="none"/>
            </w:rPr>
            <w:instrText xml:space="preserve"> PAGEREF _Toc13318 \h </w:instrText>
          </w:r>
          <w:r>
            <w:rPr>
              <w:sz w:val="22"/>
              <w:szCs w:val="28"/>
              <w:highlight w:val="none"/>
            </w:rPr>
            <w:fldChar w:fldCharType="separate"/>
          </w:r>
          <w:r>
            <w:rPr>
              <w:sz w:val="22"/>
              <w:szCs w:val="28"/>
              <w:highlight w:val="none"/>
            </w:rPr>
            <w:t>21</w:t>
          </w:r>
          <w:r>
            <w:rPr>
              <w:sz w:val="22"/>
              <w:szCs w:val="28"/>
              <w:highlight w:val="none"/>
            </w:rPr>
            <w:fldChar w:fldCharType="end"/>
          </w:r>
          <w:r>
            <w:rPr>
              <w:sz w:val="22"/>
              <w:szCs w:val="28"/>
              <w:highlight w:val="none"/>
            </w:rPr>
            <w:fldChar w:fldCharType="end"/>
          </w:r>
        </w:p>
        <w:p w14:paraId="2B0D3279">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_Toc24094 </w:instrText>
          </w:r>
          <w:r>
            <w:rPr>
              <w:sz w:val="22"/>
              <w:szCs w:val="28"/>
              <w:highlight w:val="none"/>
            </w:rPr>
            <w:fldChar w:fldCharType="separate"/>
          </w:r>
          <w:r>
            <w:rPr>
              <w:rFonts w:hint="default" w:ascii="Arial" w:hAnsi="Arial" w:eastAsia="宋体" w:cs="宋体"/>
              <w:i w:val="0"/>
              <w:sz w:val="22"/>
              <w:szCs w:val="22"/>
              <w:highlight w:val="none"/>
            </w:rPr>
            <w:t xml:space="preserve">26. </w:t>
          </w:r>
          <w:r>
            <w:rPr>
              <w:rFonts w:hint="eastAsia" w:ascii="宋体" w:hAnsi="宋体" w:eastAsia="宋体" w:cs="宋体"/>
              <w:sz w:val="22"/>
              <w:szCs w:val="22"/>
              <w:highlight w:val="none"/>
            </w:rPr>
            <w:t>磋商工作程序</w:t>
          </w:r>
          <w:r>
            <w:rPr>
              <w:sz w:val="22"/>
              <w:szCs w:val="28"/>
              <w:highlight w:val="none"/>
            </w:rPr>
            <w:tab/>
          </w:r>
          <w:r>
            <w:rPr>
              <w:sz w:val="22"/>
              <w:szCs w:val="28"/>
              <w:highlight w:val="none"/>
            </w:rPr>
            <w:fldChar w:fldCharType="begin"/>
          </w:r>
          <w:r>
            <w:rPr>
              <w:sz w:val="22"/>
              <w:szCs w:val="28"/>
              <w:highlight w:val="none"/>
            </w:rPr>
            <w:instrText xml:space="preserve"> PAGEREF _Toc24094 \h </w:instrText>
          </w:r>
          <w:r>
            <w:rPr>
              <w:sz w:val="22"/>
              <w:szCs w:val="28"/>
              <w:highlight w:val="none"/>
            </w:rPr>
            <w:fldChar w:fldCharType="separate"/>
          </w:r>
          <w:r>
            <w:rPr>
              <w:sz w:val="22"/>
              <w:szCs w:val="28"/>
              <w:highlight w:val="none"/>
            </w:rPr>
            <w:t>21</w:t>
          </w:r>
          <w:r>
            <w:rPr>
              <w:sz w:val="22"/>
              <w:szCs w:val="28"/>
              <w:highlight w:val="none"/>
            </w:rPr>
            <w:fldChar w:fldCharType="end"/>
          </w:r>
          <w:r>
            <w:rPr>
              <w:sz w:val="22"/>
              <w:szCs w:val="28"/>
              <w:highlight w:val="none"/>
            </w:rPr>
            <w:fldChar w:fldCharType="end"/>
          </w:r>
        </w:p>
        <w:p w14:paraId="279E88B5">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_Toc29640 </w:instrText>
          </w:r>
          <w:r>
            <w:rPr>
              <w:sz w:val="22"/>
              <w:szCs w:val="28"/>
              <w:highlight w:val="none"/>
            </w:rPr>
            <w:fldChar w:fldCharType="separate"/>
          </w:r>
          <w:r>
            <w:rPr>
              <w:rFonts w:hint="eastAsia" w:ascii="宋体" w:hAnsi="宋体" w:eastAsia="宋体" w:cs="宋体"/>
              <w:sz w:val="22"/>
              <w:szCs w:val="28"/>
              <w:highlight w:val="none"/>
            </w:rPr>
            <w:t>（七）授予合同</w:t>
          </w:r>
          <w:r>
            <w:rPr>
              <w:sz w:val="22"/>
              <w:szCs w:val="28"/>
              <w:highlight w:val="none"/>
            </w:rPr>
            <w:tab/>
          </w:r>
          <w:r>
            <w:rPr>
              <w:sz w:val="22"/>
              <w:szCs w:val="28"/>
              <w:highlight w:val="none"/>
            </w:rPr>
            <w:fldChar w:fldCharType="begin"/>
          </w:r>
          <w:r>
            <w:rPr>
              <w:sz w:val="22"/>
              <w:szCs w:val="28"/>
              <w:highlight w:val="none"/>
            </w:rPr>
            <w:instrText xml:space="preserve"> PAGEREF _Toc29640 \h </w:instrText>
          </w:r>
          <w:r>
            <w:rPr>
              <w:sz w:val="22"/>
              <w:szCs w:val="28"/>
              <w:highlight w:val="none"/>
            </w:rPr>
            <w:fldChar w:fldCharType="separate"/>
          </w:r>
          <w:r>
            <w:rPr>
              <w:sz w:val="22"/>
              <w:szCs w:val="28"/>
              <w:highlight w:val="none"/>
            </w:rPr>
            <w:t>26</w:t>
          </w:r>
          <w:r>
            <w:rPr>
              <w:sz w:val="22"/>
              <w:szCs w:val="28"/>
              <w:highlight w:val="none"/>
            </w:rPr>
            <w:fldChar w:fldCharType="end"/>
          </w:r>
          <w:r>
            <w:rPr>
              <w:sz w:val="22"/>
              <w:szCs w:val="28"/>
              <w:highlight w:val="none"/>
            </w:rPr>
            <w:fldChar w:fldCharType="end"/>
          </w:r>
        </w:p>
        <w:p w14:paraId="42710736">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_Toc29302 </w:instrText>
          </w:r>
          <w:r>
            <w:rPr>
              <w:sz w:val="22"/>
              <w:szCs w:val="28"/>
              <w:highlight w:val="none"/>
            </w:rPr>
            <w:fldChar w:fldCharType="separate"/>
          </w:r>
          <w:r>
            <w:rPr>
              <w:rFonts w:hint="default" w:ascii="Arial" w:hAnsi="Arial" w:eastAsia="宋体" w:cs="宋体"/>
              <w:i w:val="0"/>
              <w:sz w:val="22"/>
              <w:szCs w:val="21"/>
              <w:highlight w:val="none"/>
            </w:rPr>
            <w:t xml:space="preserve">32. </w:t>
          </w:r>
          <w:r>
            <w:rPr>
              <w:rFonts w:hint="eastAsia" w:ascii="宋体" w:hAnsi="宋体" w:eastAsia="宋体" w:cs="宋体"/>
              <w:sz w:val="22"/>
              <w:szCs w:val="21"/>
              <w:highlight w:val="none"/>
            </w:rPr>
            <w:t>成交通知</w:t>
          </w:r>
          <w:r>
            <w:rPr>
              <w:sz w:val="22"/>
              <w:szCs w:val="28"/>
              <w:highlight w:val="none"/>
            </w:rPr>
            <w:tab/>
          </w:r>
          <w:r>
            <w:rPr>
              <w:sz w:val="22"/>
              <w:szCs w:val="28"/>
              <w:highlight w:val="none"/>
            </w:rPr>
            <w:fldChar w:fldCharType="begin"/>
          </w:r>
          <w:r>
            <w:rPr>
              <w:sz w:val="22"/>
              <w:szCs w:val="28"/>
              <w:highlight w:val="none"/>
            </w:rPr>
            <w:instrText xml:space="preserve"> PAGEREF _Toc29302 \h </w:instrText>
          </w:r>
          <w:r>
            <w:rPr>
              <w:sz w:val="22"/>
              <w:szCs w:val="28"/>
              <w:highlight w:val="none"/>
            </w:rPr>
            <w:fldChar w:fldCharType="separate"/>
          </w:r>
          <w:r>
            <w:rPr>
              <w:sz w:val="22"/>
              <w:szCs w:val="28"/>
              <w:highlight w:val="none"/>
            </w:rPr>
            <w:t>26</w:t>
          </w:r>
          <w:r>
            <w:rPr>
              <w:sz w:val="22"/>
              <w:szCs w:val="28"/>
              <w:highlight w:val="none"/>
            </w:rPr>
            <w:fldChar w:fldCharType="end"/>
          </w:r>
          <w:r>
            <w:rPr>
              <w:sz w:val="22"/>
              <w:szCs w:val="28"/>
              <w:highlight w:val="none"/>
            </w:rPr>
            <w:fldChar w:fldCharType="end"/>
          </w:r>
        </w:p>
        <w:p w14:paraId="339E63EE">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_Toc935 </w:instrText>
          </w:r>
          <w:r>
            <w:rPr>
              <w:sz w:val="22"/>
              <w:szCs w:val="28"/>
              <w:highlight w:val="none"/>
            </w:rPr>
            <w:fldChar w:fldCharType="separate"/>
          </w:r>
          <w:r>
            <w:rPr>
              <w:rFonts w:hint="default" w:ascii="Arial" w:hAnsi="Arial" w:eastAsia="宋体" w:cs="宋体"/>
              <w:i w:val="0"/>
              <w:sz w:val="22"/>
              <w:szCs w:val="21"/>
              <w:highlight w:val="none"/>
            </w:rPr>
            <w:t xml:space="preserve">33. </w:t>
          </w:r>
          <w:r>
            <w:rPr>
              <w:rFonts w:hint="eastAsia" w:ascii="宋体" w:hAnsi="宋体" w:eastAsia="宋体" w:cs="宋体"/>
              <w:sz w:val="22"/>
              <w:szCs w:val="21"/>
              <w:highlight w:val="none"/>
            </w:rPr>
            <w:t>签订合同</w:t>
          </w:r>
          <w:r>
            <w:rPr>
              <w:sz w:val="22"/>
              <w:szCs w:val="28"/>
              <w:highlight w:val="none"/>
            </w:rPr>
            <w:tab/>
          </w:r>
          <w:r>
            <w:rPr>
              <w:sz w:val="22"/>
              <w:szCs w:val="28"/>
              <w:highlight w:val="none"/>
            </w:rPr>
            <w:fldChar w:fldCharType="begin"/>
          </w:r>
          <w:r>
            <w:rPr>
              <w:sz w:val="22"/>
              <w:szCs w:val="28"/>
              <w:highlight w:val="none"/>
            </w:rPr>
            <w:instrText xml:space="preserve"> PAGEREF _Toc935 \h </w:instrText>
          </w:r>
          <w:r>
            <w:rPr>
              <w:sz w:val="22"/>
              <w:szCs w:val="28"/>
              <w:highlight w:val="none"/>
            </w:rPr>
            <w:fldChar w:fldCharType="separate"/>
          </w:r>
          <w:r>
            <w:rPr>
              <w:sz w:val="22"/>
              <w:szCs w:val="28"/>
              <w:highlight w:val="none"/>
            </w:rPr>
            <w:t>26</w:t>
          </w:r>
          <w:r>
            <w:rPr>
              <w:sz w:val="22"/>
              <w:szCs w:val="28"/>
              <w:highlight w:val="none"/>
            </w:rPr>
            <w:fldChar w:fldCharType="end"/>
          </w:r>
          <w:r>
            <w:rPr>
              <w:sz w:val="22"/>
              <w:szCs w:val="28"/>
              <w:highlight w:val="none"/>
            </w:rPr>
            <w:fldChar w:fldCharType="end"/>
          </w:r>
        </w:p>
        <w:p w14:paraId="41099141">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_Toc15574 </w:instrText>
          </w:r>
          <w:r>
            <w:rPr>
              <w:sz w:val="22"/>
              <w:szCs w:val="28"/>
              <w:highlight w:val="none"/>
            </w:rPr>
            <w:fldChar w:fldCharType="separate"/>
          </w:r>
          <w:r>
            <w:rPr>
              <w:rFonts w:hint="default" w:ascii="Arial" w:hAnsi="Arial" w:eastAsia="宋体" w:cs="宋体"/>
              <w:i w:val="0"/>
              <w:sz w:val="22"/>
              <w:szCs w:val="21"/>
              <w:highlight w:val="none"/>
            </w:rPr>
            <w:t xml:space="preserve">34. </w:t>
          </w:r>
          <w:r>
            <w:rPr>
              <w:rFonts w:hint="eastAsia" w:ascii="宋体" w:hAnsi="宋体" w:eastAsia="宋体" w:cs="宋体"/>
              <w:sz w:val="22"/>
              <w:szCs w:val="21"/>
              <w:highlight w:val="none"/>
            </w:rPr>
            <w:t>代理服务费</w:t>
          </w:r>
          <w:r>
            <w:rPr>
              <w:sz w:val="22"/>
              <w:szCs w:val="28"/>
              <w:highlight w:val="none"/>
            </w:rPr>
            <w:tab/>
          </w:r>
          <w:r>
            <w:rPr>
              <w:sz w:val="22"/>
              <w:szCs w:val="28"/>
              <w:highlight w:val="none"/>
            </w:rPr>
            <w:fldChar w:fldCharType="begin"/>
          </w:r>
          <w:r>
            <w:rPr>
              <w:sz w:val="22"/>
              <w:szCs w:val="28"/>
              <w:highlight w:val="none"/>
            </w:rPr>
            <w:instrText xml:space="preserve"> PAGEREF _Toc15574 \h </w:instrText>
          </w:r>
          <w:r>
            <w:rPr>
              <w:sz w:val="22"/>
              <w:szCs w:val="28"/>
              <w:highlight w:val="none"/>
            </w:rPr>
            <w:fldChar w:fldCharType="separate"/>
          </w:r>
          <w:r>
            <w:rPr>
              <w:sz w:val="22"/>
              <w:szCs w:val="28"/>
              <w:highlight w:val="none"/>
            </w:rPr>
            <w:t>26</w:t>
          </w:r>
          <w:r>
            <w:rPr>
              <w:sz w:val="22"/>
              <w:szCs w:val="28"/>
              <w:highlight w:val="none"/>
            </w:rPr>
            <w:fldChar w:fldCharType="end"/>
          </w:r>
          <w:r>
            <w:rPr>
              <w:sz w:val="22"/>
              <w:szCs w:val="28"/>
              <w:highlight w:val="none"/>
            </w:rPr>
            <w:fldChar w:fldCharType="end"/>
          </w:r>
        </w:p>
        <w:p w14:paraId="63C27BDB">
          <w:pPr>
            <w:pStyle w:val="15"/>
            <w:tabs>
              <w:tab w:val="right" w:leader="dot" w:pos="8306"/>
              <w:tab w:val="clear" w:pos="8948"/>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_Toc19893 </w:instrText>
          </w:r>
          <w:r>
            <w:rPr>
              <w:sz w:val="22"/>
              <w:szCs w:val="22"/>
              <w:highlight w:val="none"/>
            </w:rPr>
            <w:fldChar w:fldCharType="separate"/>
          </w:r>
          <w:r>
            <w:rPr>
              <w:rFonts w:hint="eastAsia" w:hAnsi="宋体" w:eastAsia="宋体" w:cs="宋体"/>
              <w:sz w:val="22"/>
              <w:szCs w:val="40"/>
              <w:highlight w:val="none"/>
            </w:rPr>
            <w:t>第三部分  竞争性磋商内容及要求</w:t>
          </w:r>
          <w:r>
            <w:rPr>
              <w:sz w:val="22"/>
              <w:szCs w:val="22"/>
              <w:highlight w:val="none"/>
            </w:rPr>
            <w:tab/>
          </w:r>
          <w:r>
            <w:rPr>
              <w:sz w:val="22"/>
              <w:szCs w:val="22"/>
              <w:highlight w:val="none"/>
            </w:rPr>
            <w:fldChar w:fldCharType="begin"/>
          </w:r>
          <w:r>
            <w:rPr>
              <w:sz w:val="22"/>
              <w:szCs w:val="22"/>
              <w:highlight w:val="none"/>
            </w:rPr>
            <w:instrText xml:space="preserve"> PAGEREF _Toc19893 \h </w:instrText>
          </w:r>
          <w:r>
            <w:rPr>
              <w:sz w:val="22"/>
              <w:szCs w:val="22"/>
              <w:highlight w:val="none"/>
            </w:rPr>
            <w:fldChar w:fldCharType="separate"/>
          </w:r>
          <w:r>
            <w:rPr>
              <w:sz w:val="22"/>
              <w:szCs w:val="22"/>
              <w:highlight w:val="none"/>
            </w:rPr>
            <w:t>28</w:t>
          </w:r>
          <w:r>
            <w:rPr>
              <w:sz w:val="22"/>
              <w:szCs w:val="22"/>
              <w:highlight w:val="none"/>
            </w:rPr>
            <w:fldChar w:fldCharType="end"/>
          </w:r>
          <w:r>
            <w:rPr>
              <w:sz w:val="22"/>
              <w:szCs w:val="22"/>
              <w:highlight w:val="none"/>
            </w:rPr>
            <w:fldChar w:fldCharType="end"/>
          </w:r>
        </w:p>
        <w:p w14:paraId="021EA4C8">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_Toc7616 </w:instrText>
          </w:r>
          <w:r>
            <w:rPr>
              <w:sz w:val="22"/>
              <w:szCs w:val="28"/>
              <w:highlight w:val="none"/>
            </w:rPr>
            <w:fldChar w:fldCharType="separate"/>
          </w:r>
          <w:r>
            <w:rPr>
              <w:rFonts w:hint="eastAsia" w:ascii="宋体" w:hAnsi="宋体" w:eastAsia="宋体" w:cs="宋体"/>
              <w:bCs/>
              <w:sz w:val="22"/>
              <w:szCs w:val="28"/>
              <w:highlight w:val="none"/>
            </w:rPr>
            <w:t>（一）概述</w:t>
          </w:r>
          <w:r>
            <w:rPr>
              <w:sz w:val="22"/>
              <w:szCs w:val="28"/>
              <w:highlight w:val="none"/>
            </w:rPr>
            <w:tab/>
          </w:r>
          <w:r>
            <w:rPr>
              <w:sz w:val="22"/>
              <w:szCs w:val="28"/>
              <w:highlight w:val="none"/>
            </w:rPr>
            <w:fldChar w:fldCharType="begin"/>
          </w:r>
          <w:r>
            <w:rPr>
              <w:sz w:val="22"/>
              <w:szCs w:val="28"/>
              <w:highlight w:val="none"/>
            </w:rPr>
            <w:instrText xml:space="preserve"> PAGEREF _Toc7616 \h </w:instrText>
          </w:r>
          <w:r>
            <w:rPr>
              <w:sz w:val="22"/>
              <w:szCs w:val="28"/>
              <w:highlight w:val="none"/>
            </w:rPr>
            <w:fldChar w:fldCharType="separate"/>
          </w:r>
          <w:r>
            <w:rPr>
              <w:sz w:val="22"/>
              <w:szCs w:val="28"/>
              <w:highlight w:val="none"/>
            </w:rPr>
            <w:t>28</w:t>
          </w:r>
          <w:r>
            <w:rPr>
              <w:sz w:val="22"/>
              <w:szCs w:val="28"/>
              <w:highlight w:val="none"/>
            </w:rPr>
            <w:fldChar w:fldCharType="end"/>
          </w:r>
          <w:r>
            <w:rPr>
              <w:sz w:val="22"/>
              <w:szCs w:val="28"/>
              <w:highlight w:val="none"/>
            </w:rPr>
            <w:fldChar w:fldCharType="end"/>
          </w:r>
        </w:p>
        <w:p w14:paraId="6842C393">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_Toc15830 </w:instrText>
          </w:r>
          <w:r>
            <w:rPr>
              <w:sz w:val="22"/>
              <w:szCs w:val="28"/>
              <w:highlight w:val="none"/>
            </w:rPr>
            <w:fldChar w:fldCharType="separate"/>
          </w:r>
          <w:r>
            <w:rPr>
              <w:rFonts w:hint="eastAsia" w:ascii="宋体"/>
              <w:bCs/>
              <w:sz w:val="22"/>
              <w:szCs w:val="28"/>
              <w:highlight w:val="none"/>
            </w:rPr>
            <w:t>（二）</w:t>
          </w:r>
          <w:r>
            <w:rPr>
              <w:rFonts w:hint="eastAsia"/>
              <w:bCs/>
              <w:sz w:val="22"/>
              <w:szCs w:val="28"/>
              <w:highlight w:val="none"/>
            </w:rPr>
            <w:t>采购内容及要求</w:t>
          </w:r>
          <w:r>
            <w:rPr>
              <w:sz w:val="22"/>
              <w:szCs w:val="28"/>
              <w:highlight w:val="none"/>
            </w:rPr>
            <w:tab/>
          </w:r>
          <w:r>
            <w:rPr>
              <w:sz w:val="22"/>
              <w:szCs w:val="28"/>
              <w:highlight w:val="none"/>
            </w:rPr>
            <w:fldChar w:fldCharType="begin"/>
          </w:r>
          <w:r>
            <w:rPr>
              <w:sz w:val="22"/>
              <w:szCs w:val="28"/>
              <w:highlight w:val="none"/>
            </w:rPr>
            <w:instrText xml:space="preserve"> PAGEREF _Toc15830 \h </w:instrText>
          </w:r>
          <w:r>
            <w:rPr>
              <w:sz w:val="22"/>
              <w:szCs w:val="28"/>
              <w:highlight w:val="none"/>
            </w:rPr>
            <w:fldChar w:fldCharType="separate"/>
          </w:r>
          <w:r>
            <w:rPr>
              <w:sz w:val="22"/>
              <w:szCs w:val="28"/>
              <w:highlight w:val="none"/>
            </w:rPr>
            <w:t>29</w:t>
          </w:r>
          <w:r>
            <w:rPr>
              <w:sz w:val="22"/>
              <w:szCs w:val="28"/>
              <w:highlight w:val="none"/>
            </w:rPr>
            <w:fldChar w:fldCharType="end"/>
          </w:r>
          <w:r>
            <w:rPr>
              <w:sz w:val="22"/>
              <w:szCs w:val="28"/>
              <w:highlight w:val="none"/>
            </w:rPr>
            <w:fldChar w:fldCharType="end"/>
          </w:r>
        </w:p>
        <w:p w14:paraId="62BA1902">
          <w:pPr>
            <w:pStyle w:val="15"/>
            <w:tabs>
              <w:tab w:val="right" w:leader="dot" w:pos="8306"/>
              <w:tab w:val="clear" w:pos="8948"/>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_Toc9548 </w:instrText>
          </w:r>
          <w:r>
            <w:rPr>
              <w:sz w:val="22"/>
              <w:szCs w:val="22"/>
              <w:highlight w:val="none"/>
            </w:rPr>
            <w:fldChar w:fldCharType="separate"/>
          </w:r>
          <w:r>
            <w:rPr>
              <w:rFonts w:hint="eastAsia" w:hAnsi="宋体" w:cs="宋体"/>
              <w:sz w:val="22"/>
              <w:szCs w:val="40"/>
              <w:highlight w:val="none"/>
            </w:rPr>
            <w:t>第</w:t>
          </w:r>
          <w:r>
            <w:rPr>
              <w:rFonts w:hint="eastAsia" w:hAnsi="宋体" w:cs="宋体"/>
              <w:sz w:val="22"/>
              <w:szCs w:val="40"/>
              <w:highlight w:val="none"/>
              <w:lang w:eastAsia="zh-CN"/>
            </w:rPr>
            <w:t>四</w:t>
          </w:r>
          <w:r>
            <w:rPr>
              <w:rFonts w:hint="eastAsia" w:hAnsi="宋体" w:cs="宋体"/>
              <w:sz w:val="22"/>
              <w:szCs w:val="40"/>
              <w:highlight w:val="none"/>
            </w:rPr>
            <w:t>部分  合同条款</w:t>
          </w:r>
          <w:r>
            <w:rPr>
              <w:sz w:val="22"/>
              <w:szCs w:val="22"/>
              <w:highlight w:val="none"/>
            </w:rPr>
            <w:tab/>
          </w:r>
          <w:r>
            <w:rPr>
              <w:sz w:val="22"/>
              <w:szCs w:val="22"/>
              <w:highlight w:val="none"/>
            </w:rPr>
            <w:fldChar w:fldCharType="begin"/>
          </w:r>
          <w:r>
            <w:rPr>
              <w:sz w:val="22"/>
              <w:szCs w:val="22"/>
              <w:highlight w:val="none"/>
            </w:rPr>
            <w:instrText xml:space="preserve"> PAGEREF _Toc9548 \h </w:instrText>
          </w:r>
          <w:r>
            <w:rPr>
              <w:sz w:val="22"/>
              <w:szCs w:val="22"/>
              <w:highlight w:val="none"/>
            </w:rPr>
            <w:fldChar w:fldCharType="separate"/>
          </w:r>
          <w:r>
            <w:rPr>
              <w:sz w:val="22"/>
              <w:szCs w:val="22"/>
              <w:highlight w:val="none"/>
            </w:rPr>
            <w:t>30</w:t>
          </w:r>
          <w:r>
            <w:rPr>
              <w:sz w:val="22"/>
              <w:szCs w:val="22"/>
              <w:highlight w:val="none"/>
            </w:rPr>
            <w:fldChar w:fldCharType="end"/>
          </w:r>
          <w:r>
            <w:rPr>
              <w:sz w:val="22"/>
              <w:szCs w:val="22"/>
              <w:highlight w:val="none"/>
            </w:rPr>
            <w:fldChar w:fldCharType="end"/>
          </w:r>
        </w:p>
        <w:p w14:paraId="07DE0965">
          <w:pPr>
            <w:pStyle w:val="15"/>
            <w:tabs>
              <w:tab w:val="right" w:leader="dot" w:pos="8306"/>
              <w:tab w:val="clear" w:pos="8948"/>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_Toc17321 </w:instrText>
          </w:r>
          <w:r>
            <w:rPr>
              <w:sz w:val="22"/>
              <w:szCs w:val="22"/>
              <w:highlight w:val="none"/>
            </w:rPr>
            <w:fldChar w:fldCharType="separate"/>
          </w:r>
          <w:r>
            <w:rPr>
              <w:rFonts w:hint="eastAsia" w:hAnsi="宋体" w:eastAsia="宋体" w:cs="宋体"/>
              <w:sz w:val="22"/>
              <w:szCs w:val="40"/>
              <w:highlight w:val="none"/>
            </w:rPr>
            <w:t>第五部分  磋商响应文件格式</w:t>
          </w:r>
          <w:r>
            <w:rPr>
              <w:sz w:val="22"/>
              <w:szCs w:val="22"/>
              <w:highlight w:val="none"/>
            </w:rPr>
            <w:tab/>
          </w:r>
          <w:r>
            <w:rPr>
              <w:sz w:val="22"/>
              <w:szCs w:val="22"/>
              <w:highlight w:val="none"/>
            </w:rPr>
            <w:fldChar w:fldCharType="begin"/>
          </w:r>
          <w:r>
            <w:rPr>
              <w:sz w:val="22"/>
              <w:szCs w:val="22"/>
              <w:highlight w:val="none"/>
            </w:rPr>
            <w:instrText xml:space="preserve"> PAGEREF _Toc17321 \h </w:instrText>
          </w:r>
          <w:r>
            <w:rPr>
              <w:sz w:val="22"/>
              <w:szCs w:val="22"/>
              <w:highlight w:val="none"/>
            </w:rPr>
            <w:fldChar w:fldCharType="separate"/>
          </w:r>
          <w:r>
            <w:rPr>
              <w:sz w:val="22"/>
              <w:szCs w:val="22"/>
              <w:highlight w:val="none"/>
            </w:rPr>
            <w:t>39</w:t>
          </w:r>
          <w:r>
            <w:rPr>
              <w:sz w:val="22"/>
              <w:szCs w:val="22"/>
              <w:highlight w:val="none"/>
            </w:rPr>
            <w:fldChar w:fldCharType="end"/>
          </w:r>
          <w:r>
            <w:rPr>
              <w:sz w:val="22"/>
              <w:szCs w:val="22"/>
              <w:highlight w:val="none"/>
            </w:rPr>
            <w:fldChar w:fldCharType="end"/>
          </w:r>
        </w:p>
        <w:p w14:paraId="1CEEE795">
          <w:pPr>
            <w:pStyle w:val="11"/>
            <w:tabs>
              <w:tab w:val="right" w:leader="dot" w:pos="8306"/>
            </w:tabs>
            <w:spacing w:line="360" w:lineRule="auto"/>
            <w:ind w:left="0" w:leftChars="0" w:firstLine="440" w:firstLineChars="200"/>
            <w:rPr>
              <w:sz w:val="22"/>
              <w:szCs w:val="28"/>
              <w:highlight w:val="none"/>
            </w:rPr>
          </w:pPr>
          <w:r>
            <w:rPr>
              <w:sz w:val="22"/>
              <w:szCs w:val="28"/>
              <w:highlight w:val="none"/>
            </w:rPr>
            <w:fldChar w:fldCharType="begin"/>
          </w:r>
          <w:r>
            <w:rPr>
              <w:sz w:val="22"/>
              <w:szCs w:val="28"/>
              <w:highlight w:val="none"/>
            </w:rPr>
            <w:instrText xml:space="preserve"> HYPERLINK \l _Toc31916 </w:instrText>
          </w:r>
          <w:r>
            <w:rPr>
              <w:sz w:val="22"/>
              <w:szCs w:val="28"/>
              <w:highlight w:val="none"/>
            </w:rPr>
            <w:fldChar w:fldCharType="separate"/>
          </w:r>
          <w:r>
            <w:rPr>
              <w:rFonts w:hint="eastAsia" w:ascii="宋体" w:hAnsi="宋体" w:eastAsia="宋体" w:cs="宋体"/>
              <w:bCs/>
              <w:sz w:val="22"/>
              <w:szCs w:val="32"/>
              <w:highlight w:val="none"/>
            </w:rPr>
            <w:t xml:space="preserve">附件一  </w:t>
          </w:r>
          <w:r>
            <w:rPr>
              <w:rFonts w:hint="eastAsia" w:ascii="宋体" w:hAnsi="宋体" w:eastAsia="宋体" w:cs="宋体"/>
              <w:bCs/>
              <w:sz w:val="22"/>
              <w:szCs w:val="32"/>
              <w:highlight w:val="none"/>
              <w:lang w:val="en-US" w:eastAsia="zh-CN"/>
            </w:rPr>
            <w:t xml:space="preserve">  </w:t>
          </w:r>
          <w:r>
            <w:rPr>
              <w:rFonts w:hint="eastAsia" w:ascii="宋体" w:hAnsi="宋体" w:eastAsia="宋体" w:cs="宋体"/>
              <w:bCs/>
              <w:sz w:val="22"/>
              <w:szCs w:val="32"/>
              <w:highlight w:val="none"/>
            </w:rPr>
            <w:t>资格、资质证明文件</w:t>
          </w:r>
          <w:r>
            <w:rPr>
              <w:sz w:val="22"/>
              <w:szCs w:val="28"/>
              <w:highlight w:val="none"/>
            </w:rPr>
            <w:tab/>
          </w:r>
          <w:r>
            <w:rPr>
              <w:sz w:val="22"/>
              <w:szCs w:val="28"/>
              <w:highlight w:val="none"/>
            </w:rPr>
            <w:fldChar w:fldCharType="begin"/>
          </w:r>
          <w:r>
            <w:rPr>
              <w:sz w:val="22"/>
              <w:szCs w:val="28"/>
              <w:highlight w:val="none"/>
            </w:rPr>
            <w:instrText xml:space="preserve"> PAGEREF _Toc31916 \h </w:instrText>
          </w:r>
          <w:r>
            <w:rPr>
              <w:sz w:val="22"/>
              <w:szCs w:val="28"/>
              <w:highlight w:val="none"/>
            </w:rPr>
            <w:fldChar w:fldCharType="separate"/>
          </w:r>
          <w:r>
            <w:rPr>
              <w:sz w:val="22"/>
              <w:szCs w:val="28"/>
              <w:highlight w:val="none"/>
            </w:rPr>
            <w:t>40</w:t>
          </w:r>
          <w:r>
            <w:rPr>
              <w:sz w:val="22"/>
              <w:szCs w:val="28"/>
              <w:highlight w:val="none"/>
            </w:rPr>
            <w:fldChar w:fldCharType="end"/>
          </w:r>
          <w:r>
            <w:rPr>
              <w:sz w:val="22"/>
              <w:szCs w:val="28"/>
              <w:highlight w:val="none"/>
            </w:rPr>
            <w:fldChar w:fldCharType="end"/>
          </w:r>
        </w:p>
        <w:p w14:paraId="0CA4F08C">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_Toc29654 </w:instrText>
          </w:r>
          <w:r>
            <w:rPr>
              <w:sz w:val="22"/>
              <w:szCs w:val="28"/>
              <w:highlight w:val="none"/>
            </w:rPr>
            <w:fldChar w:fldCharType="separate"/>
          </w:r>
          <w:r>
            <w:rPr>
              <w:rFonts w:hint="eastAsia" w:ascii="宋体" w:hAnsi="宋体" w:eastAsia="宋体" w:cs="宋体"/>
              <w:bCs/>
              <w:sz w:val="22"/>
              <w:szCs w:val="28"/>
              <w:highlight w:val="none"/>
            </w:rPr>
            <w:t>（一） 关于资格、资质证明文件的声明函</w:t>
          </w:r>
          <w:r>
            <w:rPr>
              <w:sz w:val="22"/>
              <w:szCs w:val="28"/>
              <w:highlight w:val="none"/>
            </w:rPr>
            <w:tab/>
          </w:r>
          <w:r>
            <w:rPr>
              <w:sz w:val="22"/>
              <w:szCs w:val="28"/>
              <w:highlight w:val="none"/>
            </w:rPr>
            <w:fldChar w:fldCharType="begin"/>
          </w:r>
          <w:r>
            <w:rPr>
              <w:sz w:val="22"/>
              <w:szCs w:val="28"/>
              <w:highlight w:val="none"/>
            </w:rPr>
            <w:instrText xml:space="preserve"> PAGEREF _Toc29654 \h </w:instrText>
          </w:r>
          <w:r>
            <w:rPr>
              <w:sz w:val="22"/>
              <w:szCs w:val="28"/>
              <w:highlight w:val="none"/>
            </w:rPr>
            <w:fldChar w:fldCharType="separate"/>
          </w:r>
          <w:r>
            <w:rPr>
              <w:sz w:val="22"/>
              <w:szCs w:val="28"/>
              <w:highlight w:val="none"/>
            </w:rPr>
            <w:t>40</w:t>
          </w:r>
          <w:r>
            <w:rPr>
              <w:sz w:val="22"/>
              <w:szCs w:val="28"/>
              <w:highlight w:val="none"/>
            </w:rPr>
            <w:fldChar w:fldCharType="end"/>
          </w:r>
          <w:r>
            <w:rPr>
              <w:sz w:val="22"/>
              <w:szCs w:val="28"/>
              <w:highlight w:val="none"/>
            </w:rPr>
            <w:fldChar w:fldCharType="end"/>
          </w:r>
        </w:p>
        <w:p w14:paraId="65BD1D8F">
          <w:pPr>
            <w:pStyle w:val="11"/>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_Toc8005 </w:instrText>
          </w:r>
          <w:r>
            <w:rPr>
              <w:sz w:val="22"/>
              <w:szCs w:val="28"/>
              <w:highlight w:val="none"/>
            </w:rPr>
            <w:fldChar w:fldCharType="separate"/>
          </w:r>
          <w:r>
            <w:rPr>
              <w:rFonts w:hint="eastAsia" w:ascii="宋体" w:hAnsi="宋体" w:eastAsia="宋体" w:cs="宋体"/>
              <w:bCs/>
              <w:sz w:val="22"/>
              <w:szCs w:val="28"/>
              <w:highlight w:val="none"/>
            </w:rPr>
            <w:t>（二） 其它证明文件</w:t>
          </w:r>
          <w:r>
            <w:rPr>
              <w:sz w:val="22"/>
              <w:szCs w:val="28"/>
              <w:highlight w:val="none"/>
            </w:rPr>
            <w:tab/>
          </w:r>
          <w:r>
            <w:rPr>
              <w:sz w:val="22"/>
              <w:szCs w:val="28"/>
              <w:highlight w:val="none"/>
            </w:rPr>
            <w:fldChar w:fldCharType="begin"/>
          </w:r>
          <w:r>
            <w:rPr>
              <w:sz w:val="22"/>
              <w:szCs w:val="28"/>
              <w:highlight w:val="none"/>
            </w:rPr>
            <w:instrText xml:space="preserve"> PAGEREF _Toc8005 \h </w:instrText>
          </w:r>
          <w:r>
            <w:rPr>
              <w:sz w:val="22"/>
              <w:szCs w:val="28"/>
              <w:highlight w:val="none"/>
            </w:rPr>
            <w:fldChar w:fldCharType="separate"/>
          </w:r>
          <w:r>
            <w:rPr>
              <w:sz w:val="22"/>
              <w:szCs w:val="28"/>
              <w:highlight w:val="none"/>
            </w:rPr>
            <w:t>40</w:t>
          </w:r>
          <w:r>
            <w:rPr>
              <w:sz w:val="22"/>
              <w:szCs w:val="28"/>
              <w:highlight w:val="none"/>
            </w:rPr>
            <w:fldChar w:fldCharType="end"/>
          </w:r>
          <w:r>
            <w:rPr>
              <w:sz w:val="22"/>
              <w:szCs w:val="28"/>
              <w:highlight w:val="none"/>
            </w:rPr>
            <w:fldChar w:fldCharType="end"/>
          </w:r>
        </w:p>
        <w:p w14:paraId="08279AD8">
          <w:pPr>
            <w:pStyle w:val="11"/>
            <w:tabs>
              <w:tab w:val="right" w:leader="dot" w:pos="8306"/>
            </w:tabs>
            <w:spacing w:line="360" w:lineRule="auto"/>
            <w:ind w:left="0" w:leftChars="0" w:firstLine="440" w:firstLineChars="200"/>
            <w:rPr>
              <w:sz w:val="22"/>
              <w:szCs w:val="28"/>
              <w:highlight w:val="none"/>
            </w:rPr>
          </w:pPr>
          <w:r>
            <w:rPr>
              <w:sz w:val="22"/>
              <w:szCs w:val="28"/>
              <w:highlight w:val="none"/>
            </w:rPr>
            <w:fldChar w:fldCharType="begin"/>
          </w:r>
          <w:r>
            <w:rPr>
              <w:sz w:val="22"/>
              <w:szCs w:val="28"/>
              <w:highlight w:val="none"/>
            </w:rPr>
            <w:instrText xml:space="preserve"> HYPERLINK \l _Toc14903 </w:instrText>
          </w:r>
          <w:r>
            <w:rPr>
              <w:sz w:val="22"/>
              <w:szCs w:val="28"/>
              <w:highlight w:val="none"/>
            </w:rPr>
            <w:fldChar w:fldCharType="separate"/>
          </w:r>
          <w:r>
            <w:rPr>
              <w:rFonts w:hint="eastAsia" w:ascii="宋体" w:hAnsi="宋体" w:eastAsia="宋体" w:cs="宋体"/>
              <w:bCs/>
              <w:sz w:val="22"/>
              <w:szCs w:val="32"/>
              <w:highlight w:val="none"/>
            </w:rPr>
            <w:t xml:space="preserve">附件二  </w:t>
          </w:r>
          <w:r>
            <w:rPr>
              <w:rFonts w:hint="eastAsia" w:ascii="宋体" w:hAnsi="宋体" w:eastAsia="宋体" w:cs="宋体"/>
              <w:bCs/>
              <w:sz w:val="22"/>
              <w:szCs w:val="32"/>
              <w:highlight w:val="none"/>
              <w:lang w:val="en-US" w:eastAsia="zh-CN"/>
            </w:rPr>
            <w:t xml:space="preserve">  </w:t>
          </w:r>
          <w:r>
            <w:rPr>
              <w:rFonts w:hint="eastAsia" w:ascii="宋体" w:hAnsi="宋体" w:eastAsia="宋体" w:cs="宋体"/>
              <w:bCs/>
              <w:sz w:val="22"/>
              <w:szCs w:val="32"/>
              <w:highlight w:val="none"/>
            </w:rPr>
            <w:t>关于满足《中华人民共和国政府采购法》第二十二条规定的承诺函</w:t>
          </w:r>
          <w:r>
            <w:rPr>
              <w:sz w:val="22"/>
              <w:szCs w:val="28"/>
              <w:highlight w:val="none"/>
            </w:rPr>
            <w:tab/>
          </w:r>
          <w:r>
            <w:rPr>
              <w:sz w:val="22"/>
              <w:szCs w:val="28"/>
              <w:highlight w:val="none"/>
            </w:rPr>
            <w:fldChar w:fldCharType="begin"/>
          </w:r>
          <w:r>
            <w:rPr>
              <w:sz w:val="22"/>
              <w:szCs w:val="28"/>
              <w:highlight w:val="none"/>
            </w:rPr>
            <w:instrText xml:space="preserve"> PAGEREF _Toc14903 \h </w:instrText>
          </w:r>
          <w:r>
            <w:rPr>
              <w:sz w:val="22"/>
              <w:szCs w:val="28"/>
              <w:highlight w:val="none"/>
            </w:rPr>
            <w:fldChar w:fldCharType="separate"/>
          </w:r>
          <w:r>
            <w:rPr>
              <w:sz w:val="22"/>
              <w:szCs w:val="28"/>
              <w:highlight w:val="none"/>
            </w:rPr>
            <w:t>41</w:t>
          </w:r>
          <w:r>
            <w:rPr>
              <w:sz w:val="22"/>
              <w:szCs w:val="28"/>
              <w:highlight w:val="none"/>
            </w:rPr>
            <w:fldChar w:fldCharType="end"/>
          </w:r>
          <w:r>
            <w:rPr>
              <w:sz w:val="22"/>
              <w:szCs w:val="28"/>
              <w:highlight w:val="none"/>
            </w:rPr>
            <w:fldChar w:fldCharType="end"/>
          </w:r>
        </w:p>
        <w:p w14:paraId="621B6A2B">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_Toc22170 </w:instrText>
          </w:r>
          <w:r>
            <w:rPr>
              <w:sz w:val="22"/>
              <w:szCs w:val="28"/>
              <w:highlight w:val="none"/>
            </w:rPr>
            <w:fldChar w:fldCharType="separate"/>
          </w:r>
          <w:r>
            <w:rPr>
              <w:rFonts w:hint="eastAsia" w:ascii="宋体" w:hAnsi="宋体" w:eastAsia="宋体" w:cs="宋体"/>
              <w:bCs/>
              <w:sz w:val="22"/>
              <w:szCs w:val="32"/>
              <w:highlight w:val="none"/>
            </w:rPr>
            <w:t>附件三-1  法定代表人授权委托书</w:t>
          </w:r>
          <w:r>
            <w:rPr>
              <w:sz w:val="22"/>
              <w:szCs w:val="28"/>
              <w:highlight w:val="none"/>
            </w:rPr>
            <w:tab/>
          </w:r>
          <w:r>
            <w:rPr>
              <w:sz w:val="22"/>
              <w:szCs w:val="28"/>
              <w:highlight w:val="none"/>
            </w:rPr>
            <w:fldChar w:fldCharType="begin"/>
          </w:r>
          <w:r>
            <w:rPr>
              <w:sz w:val="22"/>
              <w:szCs w:val="28"/>
              <w:highlight w:val="none"/>
            </w:rPr>
            <w:instrText xml:space="preserve"> PAGEREF _Toc22170 \h </w:instrText>
          </w:r>
          <w:r>
            <w:rPr>
              <w:sz w:val="22"/>
              <w:szCs w:val="28"/>
              <w:highlight w:val="none"/>
            </w:rPr>
            <w:fldChar w:fldCharType="separate"/>
          </w:r>
          <w:r>
            <w:rPr>
              <w:sz w:val="22"/>
              <w:szCs w:val="28"/>
              <w:highlight w:val="none"/>
            </w:rPr>
            <w:t>42</w:t>
          </w:r>
          <w:r>
            <w:rPr>
              <w:sz w:val="22"/>
              <w:szCs w:val="28"/>
              <w:highlight w:val="none"/>
            </w:rPr>
            <w:fldChar w:fldCharType="end"/>
          </w:r>
          <w:r>
            <w:rPr>
              <w:sz w:val="22"/>
              <w:szCs w:val="28"/>
              <w:highlight w:val="none"/>
            </w:rPr>
            <w:fldChar w:fldCharType="end"/>
          </w:r>
        </w:p>
        <w:p w14:paraId="292463B8">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_Toc28500 </w:instrText>
          </w:r>
          <w:r>
            <w:rPr>
              <w:sz w:val="22"/>
              <w:szCs w:val="28"/>
              <w:highlight w:val="none"/>
            </w:rPr>
            <w:fldChar w:fldCharType="separate"/>
          </w:r>
          <w:r>
            <w:rPr>
              <w:rFonts w:hint="eastAsia" w:ascii="宋体" w:hAnsi="宋体" w:eastAsia="宋体" w:cs="宋体"/>
              <w:bCs/>
              <w:sz w:val="22"/>
              <w:szCs w:val="32"/>
              <w:highlight w:val="none"/>
            </w:rPr>
            <w:t>附件三-2  法定代表人身份证明</w:t>
          </w:r>
          <w:r>
            <w:rPr>
              <w:sz w:val="22"/>
              <w:szCs w:val="28"/>
              <w:highlight w:val="none"/>
            </w:rPr>
            <w:tab/>
          </w:r>
          <w:r>
            <w:rPr>
              <w:sz w:val="22"/>
              <w:szCs w:val="28"/>
              <w:highlight w:val="none"/>
            </w:rPr>
            <w:fldChar w:fldCharType="begin"/>
          </w:r>
          <w:r>
            <w:rPr>
              <w:sz w:val="22"/>
              <w:szCs w:val="28"/>
              <w:highlight w:val="none"/>
            </w:rPr>
            <w:instrText xml:space="preserve"> PAGEREF _Toc28500 \h </w:instrText>
          </w:r>
          <w:r>
            <w:rPr>
              <w:sz w:val="22"/>
              <w:szCs w:val="28"/>
              <w:highlight w:val="none"/>
            </w:rPr>
            <w:fldChar w:fldCharType="separate"/>
          </w:r>
          <w:r>
            <w:rPr>
              <w:sz w:val="22"/>
              <w:szCs w:val="28"/>
              <w:highlight w:val="none"/>
            </w:rPr>
            <w:t>43</w:t>
          </w:r>
          <w:r>
            <w:rPr>
              <w:sz w:val="22"/>
              <w:szCs w:val="28"/>
              <w:highlight w:val="none"/>
            </w:rPr>
            <w:fldChar w:fldCharType="end"/>
          </w:r>
          <w:r>
            <w:rPr>
              <w:sz w:val="22"/>
              <w:szCs w:val="28"/>
              <w:highlight w:val="none"/>
            </w:rPr>
            <w:fldChar w:fldCharType="end"/>
          </w:r>
        </w:p>
        <w:p w14:paraId="666C6FF4">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_Toc28539 </w:instrText>
          </w:r>
          <w:r>
            <w:rPr>
              <w:sz w:val="22"/>
              <w:szCs w:val="28"/>
              <w:highlight w:val="none"/>
            </w:rPr>
            <w:fldChar w:fldCharType="separate"/>
          </w:r>
          <w:r>
            <w:rPr>
              <w:rFonts w:hint="eastAsia" w:ascii="宋体" w:hAnsi="宋体" w:eastAsia="宋体" w:cs="宋体"/>
              <w:bCs/>
              <w:kern w:val="0"/>
              <w:sz w:val="22"/>
              <w:szCs w:val="32"/>
              <w:highlight w:val="none"/>
            </w:rPr>
            <w:t>附件四    中小企业声明函（</w:t>
          </w:r>
          <w:r>
            <w:rPr>
              <w:rFonts w:hint="eastAsia" w:ascii="宋体" w:hAnsi="宋体" w:eastAsia="宋体" w:cs="宋体"/>
              <w:bCs/>
              <w:kern w:val="0"/>
              <w:sz w:val="22"/>
              <w:szCs w:val="32"/>
              <w:highlight w:val="none"/>
              <w:lang w:val="en-US" w:eastAsia="zh-CN"/>
            </w:rPr>
            <w:t>服务</w:t>
          </w:r>
          <w:r>
            <w:rPr>
              <w:rFonts w:hint="eastAsia" w:ascii="宋体" w:hAnsi="宋体" w:eastAsia="宋体" w:cs="宋体"/>
              <w:bCs/>
              <w:kern w:val="0"/>
              <w:sz w:val="22"/>
              <w:szCs w:val="32"/>
              <w:highlight w:val="none"/>
            </w:rPr>
            <w:t>）</w:t>
          </w:r>
          <w:r>
            <w:rPr>
              <w:sz w:val="22"/>
              <w:szCs w:val="28"/>
              <w:highlight w:val="none"/>
            </w:rPr>
            <w:tab/>
          </w:r>
          <w:r>
            <w:rPr>
              <w:sz w:val="22"/>
              <w:szCs w:val="28"/>
              <w:highlight w:val="none"/>
            </w:rPr>
            <w:fldChar w:fldCharType="begin"/>
          </w:r>
          <w:r>
            <w:rPr>
              <w:sz w:val="22"/>
              <w:szCs w:val="28"/>
              <w:highlight w:val="none"/>
            </w:rPr>
            <w:instrText xml:space="preserve"> PAGEREF _Toc28539 \h </w:instrText>
          </w:r>
          <w:r>
            <w:rPr>
              <w:sz w:val="22"/>
              <w:szCs w:val="28"/>
              <w:highlight w:val="none"/>
            </w:rPr>
            <w:fldChar w:fldCharType="separate"/>
          </w:r>
          <w:r>
            <w:rPr>
              <w:sz w:val="22"/>
              <w:szCs w:val="28"/>
              <w:highlight w:val="none"/>
            </w:rPr>
            <w:t>44</w:t>
          </w:r>
          <w:r>
            <w:rPr>
              <w:sz w:val="22"/>
              <w:szCs w:val="28"/>
              <w:highlight w:val="none"/>
            </w:rPr>
            <w:fldChar w:fldCharType="end"/>
          </w:r>
          <w:r>
            <w:rPr>
              <w:sz w:val="22"/>
              <w:szCs w:val="28"/>
              <w:highlight w:val="none"/>
            </w:rPr>
            <w:fldChar w:fldCharType="end"/>
          </w:r>
        </w:p>
        <w:p w14:paraId="0D88AB0A">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_Toc23283 </w:instrText>
          </w:r>
          <w:r>
            <w:rPr>
              <w:sz w:val="22"/>
              <w:szCs w:val="28"/>
              <w:highlight w:val="none"/>
            </w:rPr>
            <w:fldChar w:fldCharType="separate"/>
          </w:r>
          <w:r>
            <w:rPr>
              <w:rFonts w:hint="eastAsia" w:ascii="宋体" w:hAnsi="宋体" w:eastAsia="宋体" w:cs="宋体"/>
              <w:bCs/>
              <w:kern w:val="0"/>
              <w:sz w:val="22"/>
              <w:szCs w:val="32"/>
              <w:highlight w:val="none"/>
            </w:rPr>
            <w:t>附件五    残疾人福利性单位声明函</w:t>
          </w:r>
          <w:r>
            <w:rPr>
              <w:sz w:val="22"/>
              <w:szCs w:val="28"/>
              <w:highlight w:val="none"/>
            </w:rPr>
            <w:tab/>
          </w:r>
          <w:r>
            <w:rPr>
              <w:sz w:val="22"/>
              <w:szCs w:val="28"/>
              <w:highlight w:val="none"/>
            </w:rPr>
            <w:fldChar w:fldCharType="begin"/>
          </w:r>
          <w:r>
            <w:rPr>
              <w:sz w:val="22"/>
              <w:szCs w:val="28"/>
              <w:highlight w:val="none"/>
            </w:rPr>
            <w:instrText xml:space="preserve"> PAGEREF _Toc23283 \h </w:instrText>
          </w:r>
          <w:r>
            <w:rPr>
              <w:sz w:val="22"/>
              <w:szCs w:val="28"/>
              <w:highlight w:val="none"/>
            </w:rPr>
            <w:fldChar w:fldCharType="separate"/>
          </w:r>
          <w:r>
            <w:rPr>
              <w:sz w:val="22"/>
              <w:szCs w:val="28"/>
              <w:highlight w:val="none"/>
            </w:rPr>
            <w:t>45</w:t>
          </w:r>
          <w:r>
            <w:rPr>
              <w:sz w:val="22"/>
              <w:szCs w:val="28"/>
              <w:highlight w:val="none"/>
            </w:rPr>
            <w:fldChar w:fldCharType="end"/>
          </w:r>
          <w:r>
            <w:rPr>
              <w:sz w:val="22"/>
              <w:szCs w:val="28"/>
              <w:highlight w:val="none"/>
            </w:rPr>
            <w:fldChar w:fldCharType="end"/>
          </w:r>
        </w:p>
        <w:p w14:paraId="3AB4E040">
          <w:pPr>
            <w:pStyle w:val="11"/>
            <w:tabs>
              <w:tab w:val="right" w:leader="dot" w:pos="8306"/>
            </w:tabs>
            <w:spacing w:line="360" w:lineRule="auto"/>
            <w:ind w:left="0" w:leftChars="0" w:firstLine="440" w:firstLineChars="200"/>
            <w:rPr>
              <w:sz w:val="22"/>
              <w:szCs w:val="28"/>
              <w:highlight w:val="none"/>
            </w:rPr>
          </w:pPr>
          <w:r>
            <w:rPr>
              <w:sz w:val="22"/>
              <w:szCs w:val="28"/>
              <w:highlight w:val="none"/>
            </w:rPr>
            <w:fldChar w:fldCharType="begin"/>
          </w:r>
          <w:r>
            <w:rPr>
              <w:sz w:val="22"/>
              <w:szCs w:val="28"/>
              <w:highlight w:val="none"/>
            </w:rPr>
            <w:instrText xml:space="preserve"> HYPERLINK \l _Toc31033 </w:instrText>
          </w:r>
          <w:r>
            <w:rPr>
              <w:sz w:val="22"/>
              <w:szCs w:val="28"/>
              <w:highlight w:val="none"/>
            </w:rPr>
            <w:fldChar w:fldCharType="separate"/>
          </w:r>
          <w:r>
            <w:rPr>
              <w:rFonts w:hint="eastAsia" w:ascii="宋体" w:hAnsi="宋体" w:eastAsia="宋体" w:cs="宋体"/>
              <w:bCs/>
              <w:sz w:val="22"/>
              <w:szCs w:val="32"/>
              <w:highlight w:val="none"/>
            </w:rPr>
            <w:t>附件六    磋商响应函</w:t>
          </w:r>
          <w:r>
            <w:rPr>
              <w:sz w:val="22"/>
              <w:szCs w:val="28"/>
              <w:highlight w:val="none"/>
            </w:rPr>
            <w:tab/>
          </w:r>
          <w:r>
            <w:rPr>
              <w:sz w:val="22"/>
              <w:szCs w:val="28"/>
              <w:highlight w:val="none"/>
            </w:rPr>
            <w:fldChar w:fldCharType="begin"/>
          </w:r>
          <w:r>
            <w:rPr>
              <w:sz w:val="22"/>
              <w:szCs w:val="28"/>
              <w:highlight w:val="none"/>
            </w:rPr>
            <w:instrText xml:space="preserve"> PAGEREF _Toc31033 \h </w:instrText>
          </w:r>
          <w:r>
            <w:rPr>
              <w:sz w:val="22"/>
              <w:szCs w:val="28"/>
              <w:highlight w:val="none"/>
            </w:rPr>
            <w:fldChar w:fldCharType="separate"/>
          </w:r>
          <w:r>
            <w:rPr>
              <w:sz w:val="22"/>
              <w:szCs w:val="28"/>
              <w:highlight w:val="none"/>
            </w:rPr>
            <w:t>46</w:t>
          </w:r>
          <w:r>
            <w:rPr>
              <w:sz w:val="22"/>
              <w:szCs w:val="28"/>
              <w:highlight w:val="none"/>
            </w:rPr>
            <w:fldChar w:fldCharType="end"/>
          </w:r>
          <w:r>
            <w:rPr>
              <w:sz w:val="22"/>
              <w:szCs w:val="28"/>
              <w:highlight w:val="none"/>
            </w:rPr>
            <w:fldChar w:fldCharType="end"/>
          </w:r>
        </w:p>
        <w:p w14:paraId="13B26C93">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_Toc4433 </w:instrText>
          </w:r>
          <w:r>
            <w:rPr>
              <w:sz w:val="22"/>
              <w:szCs w:val="28"/>
              <w:highlight w:val="none"/>
            </w:rPr>
            <w:fldChar w:fldCharType="separate"/>
          </w:r>
          <w:r>
            <w:rPr>
              <w:rFonts w:hint="eastAsia" w:ascii="宋体" w:hAnsi="宋体" w:eastAsia="宋体" w:cs="宋体"/>
              <w:bCs/>
              <w:sz w:val="22"/>
              <w:szCs w:val="32"/>
              <w:highlight w:val="none"/>
            </w:rPr>
            <w:t>附件</w:t>
          </w:r>
          <w:r>
            <w:rPr>
              <w:rFonts w:hint="eastAsia" w:ascii="宋体" w:hAnsi="宋体" w:eastAsia="宋体" w:cs="宋体"/>
              <w:bCs/>
              <w:sz w:val="22"/>
              <w:szCs w:val="32"/>
              <w:highlight w:val="none"/>
              <w:lang w:val="en-US" w:eastAsia="zh-CN"/>
            </w:rPr>
            <w:t>七</w:t>
          </w:r>
          <w:r>
            <w:rPr>
              <w:rFonts w:hint="eastAsia" w:ascii="宋体" w:hAnsi="宋体" w:eastAsia="宋体" w:cs="宋体"/>
              <w:bCs/>
              <w:sz w:val="22"/>
              <w:szCs w:val="32"/>
              <w:highlight w:val="none"/>
            </w:rPr>
            <w:t xml:space="preserve">    磋商供应商情况一览表</w:t>
          </w:r>
          <w:r>
            <w:rPr>
              <w:sz w:val="22"/>
              <w:szCs w:val="28"/>
              <w:highlight w:val="none"/>
            </w:rPr>
            <w:tab/>
          </w:r>
          <w:r>
            <w:rPr>
              <w:sz w:val="22"/>
              <w:szCs w:val="28"/>
              <w:highlight w:val="none"/>
            </w:rPr>
            <w:fldChar w:fldCharType="begin"/>
          </w:r>
          <w:r>
            <w:rPr>
              <w:sz w:val="22"/>
              <w:szCs w:val="28"/>
              <w:highlight w:val="none"/>
            </w:rPr>
            <w:instrText xml:space="preserve"> PAGEREF _Toc4433 \h </w:instrText>
          </w:r>
          <w:r>
            <w:rPr>
              <w:sz w:val="22"/>
              <w:szCs w:val="28"/>
              <w:highlight w:val="none"/>
            </w:rPr>
            <w:fldChar w:fldCharType="separate"/>
          </w:r>
          <w:r>
            <w:rPr>
              <w:sz w:val="22"/>
              <w:szCs w:val="28"/>
              <w:highlight w:val="none"/>
            </w:rPr>
            <w:t>49</w:t>
          </w:r>
          <w:r>
            <w:rPr>
              <w:sz w:val="22"/>
              <w:szCs w:val="28"/>
              <w:highlight w:val="none"/>
            </w:rPr>
            <w:fldChar w:fldCharType="end"/>
          </w:r>
          <w:r>
            <w:rPr>
              <w:sz w:val="22"/>
              <w:szCs w:val="28"/>
              <w:highlight w:val="none"/>
            </w:rPr>
            <w:fldChar w:fldCharType="end"/>
          </w:r>
        </w:p>
        <w:p w14:paraId="3BD07D4B">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_Toc18203 </w:instrText>
          </w:r>
          <w:r>
            <w:rPr>
              <w:sz w:val="22"/>
              <w:szCs w:val="28"/>
              <w:highlight w:val="none"/>
            </w:rPr>
            <w:fldChar w:fldCharType="separate"/>
          </w:r>
          <w:r>
            <w:rPr>
              <w:rFonts w:hint="eastAsia" w:ascii="宋体" w:hAnsi="宋体" w:eastAsia="宋体" w:cs="宋体"/>
              <w:bCs/>
              <w:sz w:val="22"/>
              <w:szCs w:val="32"/>
              <w:highlight w:val="none"/>
            </w:rPr>
            <w:t>附件</w:t>
          </w:r>
          <w:r>
            <w:rPr>
              <w:rFonts w:hint="eastAsia" w:ascii="宋体" w:hAnsi="宋体" w:eastAsia="宋体" w:cs="宋体"/>
              <w:bCs/>
              <w:sz w:val="22"/>
              <w:szCs w:val="32"/>
              <w:highlight w:val="none"/>
              <w:lang w:val="en-US" w:eastAsia="zh-CN"/>
            </w:rPr>
            <w:t>八</w:t>
          </w:r>
          <w:r>
            <w:rPr>
              <w:rFonts w:hint="eastAsia" w:ascii="宋体" w:hAnsi="宋体" w:eastAsia="宋体" w:cs="宋体"/>
              <w:bCs/>
              <w:sz w:val="22"/>
              <w:szCs w:val="32"/>
              <w:highlight w:val="none"/>
            </w:rPr>
            <w:t xml:space="preserve">    少量偏离表</w:t>
          </w:r>
          <w:r>
            <w:rPr>
              <w:sz w:val="22"/>
              <w:szCs w:val="28"/>
              <w:highlight w:val="none"/>
            </w:rPr>
            <w:tab/>
          </w:r>
          <w:r>
            <w:rPr>
              <w:sz w:val="22"/>
              <w:szCs w:val="28"/>
              <w:highlight w:val="none"/>
            </w:rPr>
            <w:fldChar w:fldCharType="begin"/>
          </w:r>
          <w:r>
            <w:rPr>
              <w:sz w:val="22"/>
              <w:szCs w:val="28"/>
              <w:highlight w:val="none"/>
            </w:rPr>
            <w:instrText xml:space="preserve"> PAGEREF _Toc18203 \h </w:instrText>
          </w:r>
          <w:r>
            <w:rPr>
              <w:sz w:val="22"/>
              <w:szCs w:val="28"/>
              <w:highlight w:val="none"/>
            </w:rPr>
            <w:fldChar w:fldCharType="separate"/>
          </w:r>
          <w:r>
            <w:rPr>
              <w:sz w:val="22"/>
              <w:szCs w:val="28"/>
              <w:highlight w:val="none"/>
            </w:rPr>
            <w:t>50</w:t>
          </w:r>
          <w:r>
            <w:rPr>
              <w:sz w:val="22"/>
              <w:szCs w:val="28"/>
              <w:highlight w:val="none"/>
            </w:rPr>
            <w:fldChar w:fldCharType="end"/>
          </w:r>
          <w:r>
            <w:rPr>
              <w:sz w:val="22"/>
              <w:szCs w:val="28"/>
              <w:highlight w:val="none"/>
            </w:rPr>
            <w:fldChar w:fldCharType="end"/>
          </w:r>
        </w:p>
        <w:p w14:paraId="6F1C4BA5">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_Toc18872 </w:instrText>
          </w:r>
          <w:r>
            <w:rPr>
              <w:sz w:val="22"/>
              <w:szCs w:val="28"/>
              <w:highlight w:val="none"/>
            </w:rPr>
            <w:fldChar w:fldCharType="separate"/>
          </w:r>
          <w:r>
            <w:rPr>
              <w:rFonts w:hint="eastAsia" w:ascii="宋体" w:hAnsi="宋体" w:eastAsia="宋体" w:cs="宋体"/>
              <w:bCs/>
              <w:sz w:val="22"/>
              <w:szCs w:val="32"/>
              <w:highlight w:val="none"/>
            </w:rPr>
            <w:t>附件</w:t>
          </w:r>
          <w:r>
            <w:rPr>
              <w:rFonts w:hint="eastAsia" w:ascii="宋体" w:hAnsi="宋体" w:eastAsia="宋体" w:cs="宋体"/>
              <w:bCs/>
              <w:sz w:val="22"/>
              <w:szCs w:val="32"/>
              <w:highlight w:val="none"/>
              <w:lang w:val="en-US" w:eastAsia="zh-CN"/>
            </w:rPr>
            <w:t>九</w:t>
          </w:r>
          <w:r>
            <w:rPr>
              <w:rFonts w:hint="eastAsia" w:ascii="宋体" w:hAnsi="宋体" w:eastAsia="宋体" w:cs="宋体"/>
              <w:bCs/>
              <w:sz w:val="22"/>
              <w:szCs w:val="32"/>
              <w:highlight w:val="none"/>
            </w:rPr>
            <w:t xml:space="preserve">    项目负责人简历表</w:t>
          </w:r>
          <w:r>
            <w:rPr>
              <w:sz w:val="22"/>
              <w:szCs w:val="28"/>
              <w:highlight w:val="none"/>
            </w:rPr>
            <w:tab/>
          </w:r>
          <w:r>
            <w:rPr>
              <w:sz w:val="22"/>
              <w:szCs w:val="28"/>
              <w:highlight w:val="none"/>
            </w:rPr>
            <w:fldChar w:fldCharType="begin"/>
          </w:r>
          <w:r>
            <w:rPr>
              <w:sz w:val="22"/>
              <w:szCs w:val="28"/>
              <w:highlight w:val="none"/>
            </w:rPr>
            <w:instrText xml:space="preserve"> PAGEREF _Toc18872 \h </w:instrText>
          </w:r>
          <w:r>
            <w:rPr>
              <w:sz w:val="22"/>
              <w:szCs w:val="28"/>
              <w:highlight w:val="none"/>
            </w:rPr>
            <w:fldChar w:fldCharType="separate"/>
          </w:r>
          <w:r>
            <w:rPr>
              <w:sz w:val="22"/>
              <w:szCs w:val="28"/>
              <w:highlight w:val="none"/>
            </w:rPr>
            <w:t>51</w:t>
          </w:r>
          <w:r>
            <w:rPr>
              <w:sz w:val="22"/>
              <w:szCs w:val="28"/>
              <w:highlight w:val="none"/>
            </w:rPr>
            <w:fldChar w:fldCharType="end"/>
          </w:r>
          <w:r>
            <w:rPr>
              <w:sz w:val="22"/>
              <w:szCs w:val="28"/>
              <w:highlight w:val="none"/>
            </w:rPr>
            <w:fldChar w:fldCharType="end"/>
          </w:r>
        </w:p>
        <w:p w14:paraId="6919D3B4">
          <w:pPr>
            <w:pStyle w:val="15"/>
            <w:tabs>
              <w:tab w:val="right" w:leader="dot" w:pos="8306"/>
              <w:tab w:val="clear" w:pos="8948"/>
            </w:tabs>
            <w:spacing w:line="360" w:lineRule="auto"/>
            <w:ind w:firstLine="440" w:firstLineChars="200"/>
            <w:rPr>
              <w:sz w:val="22"/>
              <w:szCs w:val="22"/>
              <w:highlight w:val="none"/>
            </w:rPr>
          </w:pPr>
          <w:r>
            <w:rPr>
              <w:b w:val="0"/>
              <w:bCs w:val="0"/>
              <w:sz w:val="22"/>
              <w:szCs w:val="22"/>
              <w:highlight w:val="none"/>
            </w:rPr>
            <w:fldChar w:fldCharType="begin"/>
          </w:r>
          <w:r>
            <w:rPr>
              <w:b w:val="0"/>
              <w:bCs w:val="0"/>
              <w:sz w:val="22"/>
              <w:szCs w:val="22"/>
              <w:highlight w:val="none"/>
            </w:rPr>
            <w:instrText xml:space="preserve"> HYPERLINK \l _Toc18028 </w:instrText>
          </w:r>
          <w:r>
            <w:rPr>
              <w:b w:val="0"/>
              <w:bCs w:val="0"/>
              <w:sz w:val="22"/>
              <w:szCs w:val="22"/>
              <w:highlight w:val="none"/>
            </w:rPr>
            <w:fldChar w:fldCharType="separate"/>
          </w:r>
          <w:r>
            <w:rPr>
              <w:rFonts w:ascii="Arial" w:hAnsi="Arial" w:cs="Arial"/>
              <w:b w:val="0"/>
              <w:bCs w:val="0"/>
              <w:sz w:val="22"/>
              <w:szCs w:val="22"/>
              <w:highlight w:val="none"/>
            </w:rPr>
            <w:t>附件</w:t>
          </w:r>
          <w:r>
            <w:rPr>
              <w:rFonts w:hint="eastAsia" w:ascii="Arial" w:hAnsi="Arial" w:cs="Arial"/>
              <w:b w:val="0"/>
              <w:bCs w:val="0"/>
              <w:sz w:val="22"/>
              <w:szCs w:val="22"/>
              <w:highlight w:val="none"/>
              <w:lang w:val="en-US" w:eastAsia="zh-CN"/>
            </w:rPr>
            <w:t xml:space="preserve">十    </w:t>
          </w:r>
          <w:r>
            <w:rPr>
              <w:rFonts w:ascii="Arial" w:hAnsi="Arial" w:cs="Arial"/>
              <w:b w:val="0"/>
              <w:bCs w:val="0"/>
              <w:sz w:val="22"/>
              <w:szCs w:val="22"/>
              <w:highlight w:val="none"/>
            </w:rPr>
            <w:t>拟投入本项目</w:t>
          </w:r>
          <w:r>
            <w:rPr>
              <w:rFonts w:hint="eastAsia" w:ascii="Arial" w:hAnsi="Arial" w:cs="Arial"/>
              <w:b w:val="0"/>
              <w:bCs w:val="0"/>
              <w:sz w:val="22"/>
              <w:szCs w:val="22"/>
              <w:highlight w:val="none"/>
              <w:lang w:eastAsia="zh-CN"/>
            </w:rPr>
            <w:t>服务</w:t>
          </w:r>
          <w:r>
            <w:rPr>
              <w:rFonts w:ascii="Arial" w:hAnsi="Arial" w:cs="Arial"/>
              <w:b w:val="0"/>
              <w:bCs w:val="0"/>
              <w:sz w:val="22"/>
              <w:szCs w:val="22"/>
              <w:highlight w:val="none"/>
            </w:rPr>
            <w:t>人员配备情况表</w:t>
          </w:r>
          <w:r>
            <w:rPr>
              <w:b w:val="0"/>
              <w:bCs w:val="0"/>
              <w:sz w:val="22"/>
              <w:szCs w:val="22"/>
              <w:highlight w:val="none"/>
            </w:rPr>
            <w:tab/>
          </w:r>
          <w:r>
            <w:rPr>
              <w:b w:val="0"/>
              <w:bCs w:val="0"/>
              <w:sz w:val="22"/>
              <w:szCs w:val="22"/>
              <w:highlight w:val="none"/>
            </w:rPr>
            <w:fldChar w:fldCharType="begin"/>
          </w:r>
          <w:r>
            <w:rPr>
              <w:b w:val="0"/>
              <w:bCs w:val="0"/>
              <w:sz w:val="22"/>
              <w:szCs w:val="22"/>
              <w:highlight w:val="none"/>
            </w:rPr>
            <w:instrText xml:space="preserve"> PAGEREF _Toc18028 \h </w:instrText>
          </w:r>
          <w:r>
            <w:rPr>
              <w:b w:val="0"/>
              <w:bCs w:val="0"/>
              <w:sz w:val="22"/>
              <w:szCs w:val="22"/>
              <w:highlight w:val="none"/>
            </w:rPr>
            <w:fldChar w:fldCharType="separate"/>
          </w:r>
          <w:r>
            <w:rPr>
              <w:b w:val="0"/>
              <w:bCs w:val="0"/>
              <w:sz w:val="22"/>
              <w:szCs w:val="22"/>
              <w:highlight w:val="none"/>
            </w:rPr>
            <w:t>52</w:t>
          </w:r>
          <w:r>
            <w:rPr>
              <w:b w:val="0"/>
              <w:bCs w:val="0"/>
              <w:sz w:val="22"/>
              <w:szCs w:val="22"/>
              <w:highlight w:val="none"/>
            </w:rPr>
            <w:fldChar w:fldCharType="end"/>
          </w:r>
          <w:r>
            <w:rPr>
              <w:b w:val="0"/>
              <w:bCs w:val="0"/>
              <w:sz w:val="22"/>
              <w:szCs w:val="22"/>
              <w:highlight w:val="none"/>
            </w:rPr>
            <w:fldChar w:fldCharType="end"/>
          </w:r>
        </w:p>
        <w:p w14:paraId="1D92C682">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_Toc22732 </w:instrText>
          </w:r>
          <w:r>
            <w:rPr>
              <w:sz w:val="22"/>
              <w:szCs w:val="28"/>
              <w:highlight w:val="none"/>
            </w:rPr>
            <w:fldChar w:fldCharType="separate"/>
          </w:r>
          <w:r>
            <w:rPr>
              <w:rFonts w:ascii="Arial" w:hAnsi="Arial" w:cs="Arial"/>
              <w:bCs w:val="0"/>
              <w:sz w:val="22"/>
              <w:szCs w:val="28"/>
              <w:highlight w:val="none"/>
              <w:lang w:val="en-US" w:eastAsia="zh-CN"/>
            </w:rPr>
            <w:t>附件</w:t>
          </w:r>
          <w:r>
            <w:rPr>
              <w:rFonts w:hint="eastAsia" w:ascii="Arial" w:hAnsi="Arial" w:cs="Arial"/>
              <w:bCs w:val="0"/>
              <w:sz w:val="22"/>
              <w:szCs w:val="28"/>
              <w:highlight w:val="none"/>
              <w:lang w:val="en-US" w:eastAsia="zh-CN"/>
            </w:rPr>
            <w:t xml:space="preserve">十一 </w:t>
          </w:r>
          <w:r>
            <w:rPr>
              <w:rFonts w:ascii="Arial" w:hAnsi="Arial" w:cs="Arial"/>
              <w:bCs w:val="0"/>
              <w:sz w:val="22"/>
              <w:szCs w:val="28"/>
              <w:highlight w:val="none"/>
              <w:lang w:val="en-US" w:eastAsia="zh-CN"/>
            </w:rPr>
            <w:t xml:space="preserve"> 磋商供应</w:t>
          </w:r>
          <w:r>
            <w:rPr>
              <w:rFonts w:ascii="Arial" w:hAnsi="Arial" w:cs="Arial"/>
              <w:bCs w:val="0"/>
              <w:sz w:val="22"/>
              <w:szCs w:val="32"/>
              <w:highlight w:val="none"/>
              <w:lang w:val="en-US" w:eastAsia="zh-CN"/>
            </w:rPr>
            <w:t>商</w:t>
          </w:r>
          <w:r>
            <w:rPr>
              <w:rFonts w:hint="eastAsia" w:ascii="Arial" w:hAnsi="Arial" w:cs="Arial"/>
              <w:bCs w:val="0"/>
              <w:kern w:val="28"/>
              <w:sz w:val="22"/>
              <w:szCs w:val="32"/>
              <w:highlight w:val="none"/>
            </w:rPr>
            <w:t>20</w:t>
          </w:r>
          <w:r>
            <w:rPr>
              <w:rFonts w:hint="eastAsia" w:ascii="Arial" w:hAnsi="Arial" w:cs="Arial"/>
              <w:bCs w:val="0"/>
              <w:kern w:val="28"/>
              <w:sz w:val="22"/>
              <w:szCs w:val="32"/>
              <w:highlight w:val="none"/>
              <w:lang w:val="en-US" w:eastAsia="zh-CN"/>
            </w:rPr>
            <w:t>22</w:t>
          </w:r>
          <w:r>
            <w:rPr>
              <w:rFonts w:hint="eastAsia" w:ascii="Arial" w:hAnsi="Arial" w:cs="Arial"/>
              <w:bCs w:val="0"/>
              <w:kern w:val="28"/>
              <w:sz w:val="22"/>
              <w:szCs w:val="32"/>
              <w:highlight w:val="none"/>
            </w:rPr>
            <w:t>年</w:t>
          </w:r>
          <w:r>
            <w:rPr>
              <w:rFonts w:hint="eastAsia" w:ascii="Arial" w:hAnsi="Arial" w:cs="Arial"/>
              <w:bCs w:val="0"/>
              <w:kern w:val="28"/>
              <w:sz w:val="22"/>
              <w:szCs w:val="32"/>
              <w:highlight w:val="none"/>
              <w:lang w:val="en-US" w:eastAsia="zh-CN"/>
            </w:rPr>
            <w:t>1</w:t>
          </w:r>
          <w:r>
            <w:rPr>
              <w:rFonts w:ascii="Arial" w:hAnsi="Arial" w:cs="Arial"/>
              <w:bCs w:val="0"/>
              <w:kern w:val="28"/>
              <w:sz w:val="22"/>
              <w:szCs w:val="32"/>
              <w:highlight w:val="none"/>
            </w:rPr>
            <w:t>月</w:t>
          </w:r>
          <w:r>
            <w:rPr>
              <w:rFonts w:hint="eastAsia" w:ascii="Arial" w:hAnsi="Arial" w:cs="Arial"/>
              <w:bCs w:val="0"/>
              <w:kern w:val="28"/>
              <w:sz w:val="22"/>
              <w:szCs w:val="32"/>
              <w:highlight w:val="none"/>
              <w:lang w:val="en-US" w:eastAsia="zh-CN"/>
            </w:rPr>
            <w:t>1日</w:t>
          </w:r>
          <w:r>
            <w:rPr>
              <w:rFonts w:ascii="Arial" w:hAnsi="Arial" w:cs="Arial"/>
              <w:bCs w:val="0"/>
              <w:sz w:val="22"/>
              <w:szCs w:val="28"/>
              <w:highlight w:val="none"/>
              <w:lang w:val="en-US" w:eastAsia="zh-CN"/>
            </w:rPr>
            <w:t>以来同类业绩一览表</w:t>
          </w:r>
          <w:r>
            <w:rPr>
              <w:sz w:val="22"/>
              <w:szCs w:val="28"/>
              <w:highlight w:val="none"/>
            </w:rPr>
            <w:tab/>
          </w:r>
          <w:r>
            <w:rPr>
              <w:sz w:val="22"/>
              <w:szCs w:val="28"/>
              <w:highlight w:val="none"/>
            </w:rPr>
            <w:fldChar w:fldCharType="begin"/>
          </w:r>
          <w:r>
            <w:rPr>
              <w:sz w:val="22"/>
              <w:szCs w:val="28"/>
              <w:highlight w:val="none"/>
            </w:rPr>
            <w:instrText xml:space="preserve"> PAGEREF _Toc22732 \h </w:instrText>
          </w:r>
          <w:r>
            <w:rPr>
              <w:sz w:val="22"/>
              <w:szCs w:val="28"/>
              <w:highlight w:val="none"/>
            </w:rPr>
            <w:fldChar w:fldCharType="separate"/>
          </w:r>
          <w:r>
            <w:rPr>
              <w:sz w:val="22"/>
              <w:szCs w:val="28"/>
              <w:highlight w:val="none"/>
            </w:rPr>
            <w:t>53</w:t>
          </w:r>
          <w:r>
            <w:rPr>
              <w:sz w:val="22"/>
              <w:szCs w:val="28"/>
              <w:highlight w:val="none"/>
            </w:rPr>
            <w:fldChar w:fldCharType="end"/>
          </w:r>
          <w:r>
            <w:rPr>
              <w:sz w:val="22"/>
              <w:szCs w:val="28"/>
              <w:highlight w:val="none"/>
            </w:rPr>
            <w:fldChar w:fldCharType="end"/>
          </w:r>
        </w:p>
        <w:p w14:paraId="43BA074F">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_Toc16342 </w:instrText>
          </w:r>
          <w:r>
            <w:rPr>
              <w:sz w:val="22"/>
              <w:szCs w:val="28"/>
              <w:highlight w:val="none"/>
            </w:rPr>
            <w:fldChar w:fldCharType="separate"/>
          </w:r>
          <w:r>
            <w:rPr>
              <w:rFonts w:ascii="Arial" w:hAnsi="Arial" w:eastAsia="宋体" w:cs="Arial"/>
              <w:bCs/>
              <w:sz w:val="22"/>
              <w:szCs w:val="28"/>
              <w:highlight w:val="none"/>
            </w:rPr>
            <w:t>附件</w:t>
          </w:r>
          <w:r>
            <w:rPr>
              <w:rFonts w:hint="eastAsia" w:ascii="Arial" w:hAnsi="Arial" w:eastAsia="宋体" w:cs="Arial"/>
              <w:bCs/>
              <w:sz w:val="22"/>
              <w:szCs w:val="28"/>
              <w:highlight w:val="none"/>
              <w:lang w:val="en-US" w:eastAsia="zh-CN"/>
            </w:rPr>
            <w:t xml:space="preserve">十二  </w:t>
          </w:r>
          <w:r>
            <w:rPr>
              <w:rFonts w:ascii="Arial" w:hAnsi="Arial" w:eastAsia="宋体" w:cs="Arial"/>
              <w:bCs/>
              <w:sz w:val="22"/>
              <w:szCs w:val="28"/>
              <w:highlight w:val="none"/>
            </w:rPr>
            <w:t>投入</w:t>
          </w:r>
          <w:r>
            <w:rPr>
              <w:rFonts w:ascii="Arial" w:hAnsi="Arial" w:eastAsia="宋体" w:cs="Arial"/>
              <w:bCs/>
              <w:sz w:val="22"/>
              <w:szCs w:val="28"/>
              <w:highlight w:val="none"/>
              <w:lang w:eastAsia="zh-CN"/>
            </w:rPr>
            <w:t>车辆、</w:t>
          </w:r>
          <w:r>
            <w:rPr>
              <w:rFonts w:ascii="Arial" w:hAnsi="Arial" w:eastAsia="宋体" w:cs="Arial"/>
              <w:bCs/>
              <w:sz w:val="22"/>
              <w:szCs w:val="28"/>
              <w:highlight w:val="none"/>
            </w:rPr>
            <w:t>设备及工具一览表</w:t>
          </w:r>
          <w:r>
            <w:rPr>
              <w:sz w:val="22"/>
              <w:szCs w:val="28"/>
              <w:highlight w:val="none"/>
            </w:rPr>
            <w:tab/>
          </w:r>
          <w:r>
            <w:rPr>
              <w:sz w:val="22"/>
              <w:szCs w:val="28"/>
              <w:highlight w:val="none"/>
            </w:rPr>
            <w:fldChar w:fldCharType="begin"/>
          </w:r>
          <w:r>
            <w:rPr>
              <w:sz w:val="22"/>
              <w:szCs w:val="28"/>
              <w:highlight w:val="none"/>
            </w:rPr>
            <w:instrText xml:space="preserve"> PAGEREF _Toc16342 \h </w:instrText>
          </w:r>
          <w:r>
            <w:rPr>
              <w:sz w:val="22"/>
              <w:szCs w:val="28"/>
              <w:highlight w:val="none"/>
            </w:rPr>
            <w:fldChar w:fldCharType="separate"/>
          </w:r>
          <w:r>
            <w:rPr>
              <w:sz w:val="22"/>
              <w:szCs w:val="28"/>
              <w:highlight w:val="none"/>
            </w:rPr>
            <w:t>54</w:t>
          </w:r>
          <w:r>
            <w:rPr>
              <w:sz w:val="22"/>
              <w:szCs w:val="28"/>
              <w:highlight w:val="none"/>
            </w:rPr>
            <w:fldChar w:fldCharType="end"/>
          </w:r>
          <w:r>
            <w:rPr>
              <w:sz w:val="22"/>
              <w:szCs w:val="28"/>
              <w:highlight w:val="none"/>
            </w:rPr>
            <w:fldChar w:fldCharType="end"/>
          </w:r>
        </w:p>
        <w:p w14:paraId="7B7BDE76">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_Toc28759 </w:instrText>
          </w:r>
          <w:r>
            <w:rPr>
              <w:sz w:val="22"/>
              <w:szCs w:val="28"/>
              <w:highlight w:val="none"/>
            </w:rPr>
            <w:fldChar w:fldCharType="separate"/>
          </w:r>
          <w:r>
            <w:rPr>
              <w:rFonts w:hint="eastAsia" w:ascii="宋体" w:hAnsi="宋体" w:cs="宋体"/>
              <w:bCs/>
              <w:sz w:val="22"/>
              <w:szCs w:val="32"/>
              <w:highlight w:val="none"/>
            </w:rPr>
            <w:t>附件</w:t>
          </w:r>
          <w:r>
            <w:rPr>
              <w:rFonts w:hint="eastAsia" w:ascii="宋体" w:hAnsi="宋体" w:cs="宋体"/>
              <w:bCs/>
              <w:sz w:val="22"/>
              <w:szCs w:val="32"/>
              <w:highlight w:val="none"/>
              <w:lang w:eastAsia="zh-CN"/>
            </w:rPr>
            <w:t>十</w:t>
          </w:r>
          <w:r>
            <w:rPr>
              <w:rFonts w:hint="eastAsia" w:ascii="宋体" w:hAnsi="宋体" w:cs="宋体"/>
              <w:bCs/>
              <w:sz w:val="22"/>
              <w:szCs w:val="32"/>
              <w:highlight w:val="none"/>
              <w:lang w:val="en-US" w:eastAsia="zh-CN"/>
            </w:rPr>
            <w:t>三</w:t>
          </w:r>
          <w:r>
            <w:rPr>
              <w:rFonts w:hint="eastAsia" w:ascii="宋体" w:hAnsi="宋体" w:cs="宋体"/>
              <w:bCs/>
              <w:sz w:val="22"/>
              <w:szCs w:val="32"/>
              <w:highlight w:val="none"/>
            </w:rPr>
            <w:t xml:space="preserve">  </w:t>
          </w:r>
          <w:r>
            <w:rPr>
              <w:rFonts w:hint="eastAsia" w:ascii="宋体" w:hAnsi="宋体" w:cs="宋体"/>
              <w:bCs/>
              <w:sz w:val="22"/>
              <w:szCs w:val="32"/>
              <w:highlight w:val="none"/>
              <w:lang w:eastAsia="zh-CN"/>
            </w:rPr>
            <w:t>报价</w:t>
          </w:r>
          <w:r>
            <w:rPr>
              <w:rFonts w:hint="eastAsia" w:ascii="宋体" w:hAnsi="宋体" w:cs="宋体"/>
              <w:bCs/>
              <w:sz w:val="22"/>
              <w:szCs w:val="32"/>
              <w:highlight w:val="none"/>
            </w:rPr>
            <w:t>一览表</w:t>
          </w:r>
          <w:r>
            <w:rPr>
              <w:sz w:val="22"/>
              <w:szCs w:val="28"/>
              <w:highlight w:val="none"/>
            </w:rPr>
            <w:tab/>
          </w:r>
          <w:r>
            <w:rPr>
              <w:sz w:val="22"/>
              <w:szCs w:val="28"/>
              <w:highlight w:val="none"/>
            </w:rPr>
            <w:fldChar w:fldCharType="begin"/>
          </w:r>
          <w:r>
            <w:rPr>
              <w:sz w:val="22"/>
              <w:szCs w:val="28"/>
              <w:highlight w:val="none"/>
            </w:rPr>
            <w:instrText xml:space="preserve"> PAGEREF _Toc28759 \h </w:instrText>
          </w:r>
          <w:r>
            <w:rPr>
              <w:sz w:val="22"/>
              <w:szCs w:val="28"/>
              <w:highlight w:val="none"/>
            </w:rPr>
            <w:fldChar w:fldCharType="separate"/>
          </w:r>
          <w:r>
            <w:rPr>
              <w:sz w:val="22"/>
              <w:szCs w:val="28"/>
              <w:highlight w:val="none"/>
            </w:rPr>
            <w:t>55</w:t>
          </w:r>
          <w:r>
            <w:rPr>
              <w:sz w:val="22"/>
              <w:szCs w:val="28"/>
              <w:highlight w:val="none"/>
            </w:rPr>
            <w:fldChar w:fldCharType="end"/>
          </w:r>
          <w:r>
            <w:rPr>
              <w:sz w:val="22"/>
              <w:szCs w:val="28"/>
              <w:highlight w:val="none"/>
            </w:rPr>
            <w:fldChar w:fldCharType="end"/>
          </w:r>
        </w:p>
        <w:p w14:paraId="3A61312C">
          <w:pPr>
            <w:pStyle w:val="15"/>
            <w:tabs>
              <w:tab w:val="right" w:leader="dot" w:pos="8306"/>
              <w:tab w:val="clear" w:pos="8948"/>
            </w:tabs>
            <w:spacing w:line="360" w:lineRule="auto"/>
            <w:rPr>
              <w:sz w:val="22"/>
              <w:szCs w:val="22"/>
              <w:highlight w:val="none"/>
            </w:rPr>
          </w:pPr>
          <w:r>
            <w:rPr>
              <w:sz w:val="22"/>
              <w:szCs w:val="22"/>
              <w:highlight w:val="none"/>
            </w:rPr>
            <w:fldChar w:fldCharType="begin"/>
          </w:r>
          <w:r>
            <w:rPr>
              <w:sz w:val="22"/>
              <w:szCs w:val="22"/>
              <w:highlight w:val="none"/>
            </w:rPr>
            <w:instrText xml:space="preserve"> HYPERLINK \l _Toc29645 </w:instrText>
          </w:r>
          <w:r>
            <w:rPr>
              <w:sz w:val="22"/>
              <w:szCs w:val="22"/>
              <w:highlight w:val="none"/>
            </w:rPr>
            <w:fldChar w:fldCharType="separate"/>
          </w:r>
          <w:r>
            <w:rPr>
              <w:rFonts w:hint="eastAsia" w:hAnsi="宋体" w:eastAsia="宋体" w:cs="宋体"/>
              <w:sz w:val="22"/>
              <w:szCs w:val="40"/>
              <w:highlight w:val="none"/>
            </w:rPr>
            <w:t>第六部分  评定办法</w:t>
          </w:r>
          <w:r>
            <w:rPr>
              <w:sz w:val="22"/>
              <w:szCs w:val="22"/>
              <w:highlight w:val="none"/>
            </w:rPr>
            <w:tab/>
          </w:r>
          <w:r>
            <w:rPr>
              <w:sz w:val="22"/>
              <w:szCs w:val="22"/>
              <w:highlight w:val="none"/>
            </w:rPr>
            <w:fldChar w:fldCharType="begin"/>
          </w:r>
          <w:r>
            <w:rPr>
              <w:sz w:val="22"/>
              <w:szCs w:val="22"/>
              <w:highlight w:val="none"/>
            </w:rPr>
            <w:instrText xml:space="preserve"> PAGEREF _Toc29645 \h </w:instrText>
          </w:r>
          <w:r>
            <w:rPr>
              <w:sz w:val="22"/>
              <w:szCs w:val="22"/>
              <w:highlight w:val="none"/>
            </w:rPr>
            <w:fldChar w:fldCharType="separate"/>
          </w:r>
          <w:r>
            <w:rPr>
              <w:sz w:val="22"/>
              <w:szCs w:val="22"/>
              <w:highlight w:val="none"/>
            </w:rPr>
            <w:t>56</w:t>
          </w:r>
          <w:r>
            <w:rPr>
              <w:sz w:val="22"/>
              <w:szCs w:val="22"/>
              <w:highlight w:val="none"/>
            </w:rPr>
            <w:fldChar w:fldCharType="end"/>
          </w:r>
          <w:r>
            <w:rPr>
              <w:sz w:val="22"/>
              <w:szCs w:val="22"/>
              <w:highlight w:val="none"/>
            </w:rPr>
            <w:fldChar w:fldCharType="end"/>
          </w:r>
        </w:p>
        <w:p w14:paraId="08D29AA3">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_Toc19760 </w:instrText>
          </w:r>
          <w:r>
            <w:rPr>
              <w:sz w:val="22"/>
              <w:szCs w:val="28"/>
              <w:highlight w:val="none"/>
            </w:rPr>
            <w:fldChar w:fldCharType="separate"/>
          </w:r>
          <w:r>
            <w:rPr>
              <w:rFonts w:hint="eastAsia" w:ascii="宋体" w:hAnsi="宋体" w:eastAsia="宋体" w:cs="宋体"/>
              <w:bCs/>
              <w:kern w:val="28"/>
              <w:sz w:val="22"/>
              <w:szCs w:val="28"/>
              <w:highlight w:val="none"/>
            </w:rPr>
            <w:t>一、评定原则</w:t>
          </w:r>
          <w:r>
            <w:rPr>
              <w:sz w:val="22"/>
              <w:szCs w:val="28"/>
              <w:highlight w:val="none"/>
            </w:rPr>
            <w:tab/>
          </w:r>
          <w:r>
            <w:rPr>
              <w:sz w:val="22"/>
              <w:szCs w:val="28"/>
              <w:highlight w:val="none"/>
            </w:rPr>
            <w:fldChar w:fldCharType="begin"/>
          </w:r>
          <w:r>
            <w:rPr>
              <w:sz w:val="22"/>
              <w:szCs w:val="28"/>
              <w:highlight w:val="none"/>
            </w:rPr>
            <w:instrText xml:space="preserve"> PAGEREF _Toc19760 \h </w:instrText>
          </w:r>
          <w:r>
            <w:rPr>
              <w:sz w:val="22"/>
              <w:szCs w:val="28"/>
              <w:highlight w:val="none"/>
            </w:rPr>
            <w:fldChar w:fldCharType="separate"/>
          </w:r>
          <w:r>
            <w:rPr>
              <w:sz w:val="22"/>
              <w:szCs w:val="28"/>
              <w:highlight w:val="none"/>
            </w:rPr>
            <w:t>56</w:t>
          </w:r>
          <w:r>
            <w:rPr>
              <w:sz w:val="22"/>
              <w:szCs w:val="28"/>
              <w:highlight w:val="none"/>
            </w:rPr>
            <w:fldChar w:fldCharType="end"/>
          </w:r>
          <w:r>
            <w:rPr>
              <w:sz w:val="22"/>
              <w:szCs w:val="28"/>
              <w:highlight w:val="none"/>
            </w:rPr>
            <w:fldChar w:fldCharType="end"/>
          </w:r>
        </w:p>
        <w:p w14:paraId="016AB5FE">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_Toc13479 </w:instrText>
          </w:r>
          <w:r>
            <w:rPr>
              <w:sz w:val="22"/>
              <w:szCs w:val="28"/>
              <w:highlight w:val="none"/>
            </w:rPr>
            <w:fldChar w:fldCharType="separate"/>
          </w:r>
          <w:r>
            <w:rPr>
              <w:rFonts w:hint="eastAsia" w:ascii="宋体" w:hAnsi="宋体" w:eastAsia="宋体" w:cs="宋体"/>
              <w:bCs/>
              <w:kern w:val="28"/>
              <w:sz w:val="22"/>
              <w:szCs w:val="28"/>
              <w:highlight w:val="none"/>
            </w:rPr>
            <w:t>二、评标组织</w:t>
          </w:r>
          <w:r>
            <w:rPr>
              <w:sz w:val="22"/>
              <w:szCs w:val="28"/>
              <w:highlight w:val="none"/>
            </w:rPr>
            <w:tab/>
          </w:r>
          <w:r>
            <w:rPr>
              <w:sz w:val="22"/>
              <w:szCs w:val="28"/>
              <w:highlight w:val="none"/>
            </w:rPr>
            <w:fldChar w:fldCharType="begin"/>
          </w:r>
          <w:r>
            <w:rPr>
              <w:sz w:val="22"/>
              <w:szCs w:val="28"/>
              <w:highlight w:val="none"/>
            </w:rPr>
            <w:instrText xml:space="preserve"> PAGEREF _Toc13479 \h </w:instrText>
          </w:r>
          <w:r>
            <w:rPr>
              <w:sz w:val="22"/>
              <w:szCs w:val="28"/>
              <w:highlight w:val="none"/>
            </w:rPr>
            <w:fldChar w:fldCharType="separate"/>
          </w:r>
          <w:r>
            <w:rPr>
              <w:sz w:val="22"/>
              <w:szCs w:val="28"/>
              <w:highlight w:val="none"/>
            </w:rPr>
            <w:t>56</w:t>
          </w:r>
          <w:r>
            <w:rPr>
              <w:sz w:val="22"/>
              <w:szCs w:val="28"/>
              <w:highlight w:val="none"/>
            </w:rPr>
            <w:fldChar w:fldCharType="end"/>
          </w:r>
          <w:r>
            <w:rPr>
              <w:sz w:val="22"/>
              <w:szCs w:val="28"/>
              <w:highlight w:val="none"/>
            </w:rPr>
            <w:fldChar w:fldCharType="end"/>
          </w:r>
        </w:p>
        <w:p w14:paraId="11FA309C">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_Toc29136 </w:instrText>
          </w:r>
          <w:r>
            <w:rPr>
              <w:sz w:val="22"/>
              <w:szCs w:val="28"/>
              <w:highlight w:val="none"/>
            </w:rPr>
            <w:fldChar w:fldCharType="separate"/>
          </w:r>
          <w:r>
            <w:rPr>
              <w:rFonts w:hint="eastAsia" w:ascii="宋体" w:hAnsi="宋体" w:eastAsia="宋体" w:cs="宋体"/>
              <w:bCs/>
              <w:kern w:val="28"/>
              <w:sz w:val="22"/>
              <w:szCs w:val="28"/>
              <w:highlight w:val="none"/>
            </w:rPr>
            <w:t>三、评定办法</w:t>
          </w:r>
          <w:r>
            <w:rPr>
              <w:sz w:val="22"/>
              <w:szCs w:val="28"/>
              <w:highlight w:val="none"/>
            </w:rPr>
            <w:tab/>
          </w:r>
          <w:r>
            <w:rPr>
              <w:sz w:val="22"/>
              <w:szCs w:val="28"/>
              <w:highlight w:val="none"/>
            </w:rPr>
            <w:fldChar w:fldCharType="begin"/>
          </w:r>
          <w:r>
            <w:rPr>
              <w:sz w:val="22"/>
              <w:szCs w:val="28"/>
              <w:highlight w:val="none"/>
            </w:rPr>
            <w:instrText xml:space="preserve"> PAGEREF _Toc29136 \h </w:instrText>
          </w:r>
          <w:r>
            <w:rPr>
              <w:sz w:val="22"/>
              <w:szCs w:val="28"/>
              <w:highlight w:val="none"/>
            </w:rPr>
            <w:fldChar w:fldCharType="separate"/>
          </w:r>
          <w:r>
            <w:rPr>
              <w:sz w:val="22"/>
              <w:szCs w:val="28"/>
              <w:highlight w:val="none"/>
            </w:rPr>
            <w:t>56</w:t>
          </w:r>
          <w:r>
            <w:rPr>
              <w:sz w:val="22"/>
              <w:szCs w:val="28"/>
              <w:highlight w:val="none"/>
            </w:rPr>
            <w:fldChar w:fldCharType="end"/>
          </w:r>
          <w:r>
            <w:rPr>
              <w:sz w:val="22"/>
              <w:szCs w:val="28"/>
              <w:highlight w:val="none"/>
            </w:rPr>
            <w:fldChar w:fldCharType="end"/>
          </w:r>
        </w:p>
        <w:p w14:paraId="0F90DC0B">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_Toc16527 </w:instrText>
          </w:r>
          <w:r>
            <w:rPr>
              <w:sz w:val="22"/>
              <w:szCs w:val="28"/>
              <w:highlight w:val="none"/>
            </w:rPr>
            <w:fldChar w:fldCharType="separate"/>
          </w:r>
          <w:r>
            <w:rPr>
              <w:rFonts w:hint="eastAsia" w:ascii="宋体" w:hAnsi="宋体" w:eastAsia="宋体" w:cs="宋体"/>
              <w:bCs/>
              <w:kern w:val="28"/>
              <w:sz w:val="22"/>
              <w:szCs w:val="28"/>
              <w:highlight w:val="none"/>
            </w:rPr>
            <w:t>四、评定结果</w:t>
          </w:r>
          <w:r>
            <w:rPr>
              <w:sz w:val="22"/>
              <w:szCs w:val="28"/>
              <w:highlight w:val="none"/>
            </w:rPr>
            <w:tab/>
          </w:r>
          <w:r>
            <w:rPr>
              <w:sz w:val="22"/>
              <w:szCs w:val="28"/>
              <w:highlight w:val="none"/>
            </w:rPr>
            <w:fldChar w:fldCharType="begin"/>
          </w:r>
          <w:r>
            <w:rPr>
              <w:sz w:val="22"/>
              <w:szCs w:val="28"/>
              <w:highlight w:val="none"/>
            </w:rPr>
            <w:instrText xml:space="preserve"> PAGEREF _Toc16527 \h </w:instrText>
          </w:r>
          <w:r>
            <w:rPr>
              <w:sz w:val="22"/>
              <w:szCs w:val="28"/>
              <w:highlight w:val="none"/>
            </w:rPr>
            <w:fldChar w:fldCharType="separate"/>
          </w:r>
          <w:r>
            <w:rPr>
              <w:sz w:val="22"/>
              <w:szCs w:val="28"/>
              <w:highlight w:val="none"/>
            </w:rPr>
            <w:t>63</w:t>
          </w:r>
          <w:r>
            <w:rPr>
              <w:sz w:val="22"/>
              <w:szCs w:val="28"/>
              <w:highlight w:val="none"/>
            </w:rPr>
            <w:fldChar w:fldCharType="end"/>
          </w:r>
          <w:r>
            <w:rPr>
              <w:sz w:val="22"/>
              <w:szCs w:val="28"/>
              <w:highlight w:val="none"/>
            </w:rPr>
            <w:fldChar w:fldCharType="end"/>
          </w:r>
        </w:p>
        <w:p w14:paraId="1F545085">
          <w:pPr>
            <w:pStyle w:val="17"/>
            <w:tabs>
              <w:tab w:val="right" w:leader="dot" w:pos="8306"/>
            </w:tabs>
            <w:spacing w:line="360" w:lineRule="auto"/>
            <w:rPr>
              <w:sz w:val="22"/>
              <w:szCs w:val="28"/>
              <w:highlight w:val="none"/>
            </w:rPr>
          </w:pPr>
          <w:r>
            <w:rPr>
              <w:sz w:val="22"/>
              <w:szCs w:val="28"/>
              <w:highlight w:val="none"/>
            </w:rPr>
            <w:fldChar w:fldCharType="begin"/>
          </w:r>
          <w:r>
            <w:rPr>
              <w:sz w:val="22"/>
              <w:szCs w:val="28"/>
              <w:highlight w:val="none"/>
            </w:rPr>
            <w:instrText xml:space="preserve"> HYPERLINK \l _Toc6812 </w:instrText>
          </w:r>
          <w:r>
            <w:rPr>
              <w:sz w:val="22"/>
              <w:szCs w:val="28"/>
              <w:highlight w:val="none"/>
            </w:rPr>
            <w:fldChar w:fldCharType="separate"/>
          </w:r>
          <w:r>
            <w:rPr>
              <w:rFonts w:hint="eastAsia" w:ascii="宋体" w:hAnsi="宋体" w:eastAsia="宋体" w:cs="宋体"/>
              <w:bCs/>
              <w:kern w:val="28"/>
              <w:sz w:val="22"/>
              <w:szCs w:val="28"/>
              <w:highlight w:val="none"/>
            </w:rPr>
            <w:t>五、磋商供应商的义务</w:t>
          </w:r>
          <w:r>
            <w:rPr>
              <w:sz w:val="22"/>
              <w:szCs w:val="28"/>
              <w:highlight w:val="none"/>
            </w:rPr>
            <w:tab/>
          </w:r>
          <w:r>
            <w:rPr>
              <w:sz w:val="22"/>
              <w:szCs w:val="28"/>
              <w:highlight w:val="none"/>
            </w:rPr>
            <w:fldChar w:fldCharType="begin"/>
          </w:r>
          <w:r>
            <w:rPr>
              <w:sz w:val="22"/>
              <w:szCs w:val="28"/>
              <w:highlight w:val="none"/>
            </w:rPr>
            <w:instrText xml:space="preserve"> PAGEREF _Toc6812 \h </w:instrText>
          </w:r>
          <w:r>
            <w:rPr>
              <w:sz w:val="22"/>
              <w:szCs w:val="28"/>
              <w:highlight w:val="none"/>
            </w:rPr>
            <w:fldChar w:fldCharType="separate"/>
          </w:r>
          <w:r>
            <w:rPr>
              <w:sz w:val="22"/>
              <w:szCs w:val="28"/>
              <w:highlight w:val="none"/>
            </w:rPr>
            <w:t>63</w:t>
          </w:r>
          <w:r>
            <w:rPr>
              <w:sz w:val="22"/>
              <w:szCs w:val="28"/>
              <w:highlight w:val="none"/>
            </w:rPr>
            <w:fldChar w:fldCharType="end"/>
          </w:r>
          <w:r>
            <w:rPr>
              <w:sz w:val="22"/>
              <w:szCs w:val="28"/>
              <w:highlight w:val="none"/>
            </w:rPr>
            <w:fldChar w:fldCharType="end"/>
          </w:r>
        </w:p>
        <w:p w14:paraId="1087E4EC">
          <w:pPr>
            <w:pStyle w:val="15"/>
            <w:tabs>
              <w:tab w:val="right" w:leader="dot" w:pos="8306"/>
              <w:tab w:val="clear" w:pos="8948"/>
            </w:tabs>
            <w:spacing w:line="360" w:lineRule="auto"/>
            <w:rPr>
              <w:highlight w:val="none"/>
            </w:rPr>
          </w:pPr>
          <w:r>
            <w:rPr>
              <w:sz w:val="22"/>
              <w:szCs w:val="22"/>
              <w:highlight w:val="none"/>
            </w:rPr>
            <w:fldChar w:fldCharType="begin"/>
          </w:r>
          <w:r>
            <w:rPr>
              <w:sz w:val="22"/>
              <w:szCs w:val="22"/>
              <w:highlight w:val="none"/>
            </w:rPr>
            <w:instrText xml:space="preserve"> HYPERLINK \l _Toc25076 </w:instrText>
          </w:r>
          <w:r>
            <w:rPr>
              <w:sz w:val="22"/>
              <w:szCs w:val="22"/>
              <w:highlight w:val="none"/>
            </w:rPr>
            <w:fldChar w:fldCharType="separate"/>
          </w:r>
          <w:r>
            <w:rPr>
              <w:rFonts w:hint="eastAsia" w:hAnsi="宋体"/>
              <w:bCs/>
              <w:sz w:val="22"/>
              <w:szCs w:val="40"/>
              <w:highlight w:val="none"/>
            </w:rPr>
            <w:t>第七部分  信贷政策</w:t>
          </w:r>
          <w:r>
            <w:rPr>
              <w:sz w:val="22"/>
              <w:szCs w:val="22"/>
              <w:highlight w:val="none"/>
            </w:rPr>
            <w:tab/>
          </w:r>
          <w:r>
            <w:rPr>
              <w:sz w:val="22"/>
              <w:szCs w:val="22"/>
              <w:highlight w:val="none"/>
            </w:rPr>
            <w:fldChar w:fldCharType="begin"/>
          </w:r>
          <w:r>
            <w:rPr>
              <w:sz w:val="22"/>
              <w:szCs w:val="22"/>
              <w:highlight w:val="none"/>
            </w:rPr>
            <w:instrText xml:space="preserve"> PAGEREF _Toc25076 \h </w:instrText>
          </w:r>
          <w:r>
            <w:rPr>
              <w:sz w:val="22"/>
              <w:szCs w:val="22"/>
              <w:highlight w:val="none"/>
            </w:rPr>
            <w:fldChar w:fldCharType="separate"/>
          </w:r>
          <w:r>
            <w:rPr>
              <w:sz w:val="22"/>
              <w:szCs w:val="22"/>
              <w:highlight w:val="none"/>
            </w:rPr>
            <w:t>64</w:t>
          </w:r>
          <w:r>
            <w:rPr>
              <w:sz w:val="22"/>
              <w:szCs w:val="22"/>
              <w:highlight w:val="none"/>
            </w:rPr>
            <w:fldChar w:fldCharType="end"/>
          </w:r>
          <w:r>
            <w:rPr>
              <w:sz w:val="22"/>
              <w:szCs w:val="22"/>
              <w:highlight w:val="none"/>
            </w:rPr>
            <w:fldChar w:fldCharType="end"/>
          </w:r>
        </w:p>
        <w:p w14:paraId="5E05B371">
          <w:pPr>
            <w:rPr>
              <w:rFonts w:ascii="宋体" w:hAnsi="宋体" w:eastAsia="宋体"/>
              <w:b/>
              <w:bCs/>
              <w:sz w:val="36"/>
              <w:szCs w:val="44"/>
              <w:highlight w:val="none"/>
            </w:rPr>
            <w:sectPr>
              <w:headerReference r:id="rId3" w:type="default"/>
              <w:pgSz w:w="11906" w:h="16838"/>
              <w:pgMar w:top="1134" w:right="1134" w:bottom="1134" w:left="1134" w:header="851" w:footer="992" w:gutter="0"/>
              <w:pgNumType w:fmt="decimal"/>
              <w:cols w:space="0" w:num="1"/>
              <w:rtlGutter w:val="0"/>
              <w:docGrid w:type="lines" w:linePitch="312" w:charSpace="0"/>
            </w:sectPr>
          </w:pPr>
          <w:r>
            <w:rPr>
              <w:highlight w:val="none"/>
            </w:rPr>
            <w:fldChar w:fldCharType="end"/>
          </w:r>
        </w:p>
      </w:sdtContent>
    </w:sdt>
    <w:p w14:paraId="5028345F">
      <w:pPr>
        <w:pStyle w:val="2"/>
        <w:keepNext w:val="0"/>
        <w:keepLines w:val="0"/>
        <w:spacing w:before="312" w:beforeLines="100" w:after="156" w:afterLines="50" w:line="400" w:lineRule="exact"/>
        <w:jc w:val="center"/>
        <w:rPr>
          <w:rFonts w:hAnsi="宋体" w:eastAsia="宋体" w:cs="宋体"/>
          <w:color w:val="000000"/>
          <w:sz w:val="28"/>
          <w:szCs w:val="36"/>
          <w:highlight w:val="none"/>
        </w:rPr>
      </w:pPr>
      <w:bookmarkStart w:id="0" w:name="_Toc30735"/>
      <w:bookmarkStart w:id="1" w:name="_Toc11008"/>
      <w:bookmarkStart w:id="2" w:name="_Toc30993"/>
      <w:r>
        <w:rPr>
          <w:rFonts w:hint="eastAsia" w:hAnsi="宋体" w:eastAsia="宋体" w:cs="宋体"/>
          <w:sz w:val="28"/>
          <w:szCs w:val="36"/>
          <w:highlight w:val="none"/>
        </w:rPr>
        <w:t>第一部分  竞</w:t>
      </w:r>
      <w:r>
        <w:rPr>
          <w:rFonts w:hint="eastAsia" w:hAnsi="宋体" w:eastAsia="宋体" w:cs="宋体"/>
          <w:color w:val="000000"/>
          <w:sz w:val="28"/>
          <w:szCs w:val="36"/>
          <w:highlight w:val="none"/>
        </w:rPr>
        <w:t>争性磋商公告</w:t>
      </w:r>
      <w:bookmarkEnd w:id="0"/>
      <w:bookmarkEnd w:id="1"/>
      <w:bookmarkEnd w:id="2"/>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A20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14:paraId="7A4E062B">
            <w:pPr>
              <w:bidi w:val="0"/>
              <w:rPr>
                <w:b/>
                <w:bCs/>
                <w:highlight w:val="none"/>
              </w:rPr>
            </w:pPr>
            <w:r>
              <w:rPr>
                <w:rFonts w:hint="eastAsia"/>
                <w:b/>
                <w:bCs/>
                <w:highlight w:val="none"/>
              </w:rPr>
              <w:t>项目概况</w:t>
            </w:r>
          </w:p>
          <w:p w14:paraId="1794E6CB">
            <w:pPr>
              <w:pStyle w:val="18"/>
              <w:spacing w:beforeAutospacing="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瑞安市水库堤防白蚁等害堤动物普查与防治项目</w:t>
            </w:r>
            <w:r>
              <w:rPr>
                <w:rFonts w:hint="eastAsia" w:ascii="宋体" w:hAnsi="宋体" w:eastAsia="宋体" w:cs="宋体"/>
                <w:color w:val="auto"/>
                <w:sz w:val="21"/>
                <w:szCs w:val="21"/>
                <w:highlight w:val="none"/>
              </w:rPr>
              <w:t>的潜在供应商应在政采云平台</w:t>
            </w:r>
            <w:r>
              <w:rPr>
                <w:rFonts w:hint="eastAsia" w:ascii="宋体" w:hAnsi="宋体" w:eastAsia="宋体" w:cs="宋体"/>
                <w:color w:val="auto"/>
                <w:sz w:val="21"/>
                <w:szCs w:val="21"/>
                <w:highlight w:val="none"/>
                <w:u w:val="single"/>
              </w:rPr>
              <w:t>https://www.zcygov.cn/</w:t>
            </w:r>
            <w:r>
              <w:rPr>
                <w:rFonts w:hint="eastAsia" w:ascii="宋体" w:hAnsi="宋体" w:eastAsia="宋体" w:cs="宋体"/>
                <w:color w:val="auto"/>
                <w:sz w:val="21"/>
                <w:szCs w:val="21"/>
                <w:highlight w:val="none"/>
              </w:rPr>
              <w:t>获取（下载）采购文件，并于</w:t>
            </w:r>
            <w:r>
              <w:rPr>
                <w:rFonts w:hint="eastAsia" w:ascii="宋体" w:hAnsi="宋体" w:eastAsia="宋体" w:cs="宋体"/>
                <w:color w:val="auto"/>
                <w:sz w:val="21"/>
                <w:szCs w:val="21"/>
                <w:highlight w:val="none"/>
                <w:u w:val="single"/>
                <w:lang w:eastAsia="zh-CN"/>
              </w:rPr>
              <w:t>2025年09月09日15:00</w:t>
            </w:r>
            <w:r>
              <w:rPr>
                <w:rFonts w:hint="eastAsia" w:ascii="宋体" w:hAnsi="宋体" w:eastAsia="宋体" w:cs="宋体"/>
                <w:color w:val="auto"/>
                <w:sz w:val="21"/>
                <w:szCs w:val="21"/>
                <w:highlight w:val="none"/>
              </w:rPr>
              <w:t>（北京时间）前提交（上传）响应文件。</w:t>
            </w:r>
          </w:p>
        </w:tc>
      </w:tr>
    </w:tbl>
    <w:p w14:paraId="5F753412">
      <w:pPr>
        <w:pStyle w:val="18"/>
        <w:spacing w:before="0" w:beforeAutospacing="0" w:after="0" w:afterAutospacing="0" w:line="360" w:lineRule="auto"/>
        <w:outlineLvl w:val="1"/>
        <w:rPr>
          <w:rFonts w:ascii="宋体" w:hAnsi="宋体" w:eastAsia="宋体" w:cs="宋体"/>
          <w:color w:val="auto"/>
          <w:sz w:val="21"/>
          <w:szCs w:val="21"/>
          <w:highlight w:val="none"/>
        </w:rPr>
      </w:pPr>
      <w:bookmarkStart w:id="3" w:name="_Toc6059"/>
      <w:bookmarkStart w:id="4" w:name="_Toc17513"/>
      <w:bookmarkStart w:id="5" w:name="_Toc11858"/>
      <w:r>
        <w:rPr>
          <w:rStyle w:val="23"/>
          <w:rFonts w:hint="eastAsia" w:ascii="宋体" w:hAnsi="宋体" w:eastAsia="宋体" w:cs="宋体"/>
          <w:color w:val="auto"/>
          <w:sz w:val="21"/>
          <w:szCs w:val="21"/>
          <w:highlight w:val="none"/>
        </w:rPr>
        <w:t>一、项目基本情况</w:t>
      </w:r>
      <w:bookmarkEnd w:id="3"/>
      <w:bookmarkEnd w:id="4"/>
      <w:bookmarkEnd w:id="5"/>
    </w:p>
    <w:p w14:paraId="21E02101">
      <w:pPr>
        <w:pStyle w:val="18"/>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zjzs202507021</w:t>
      </w:r>
      <w:r>
        <w:rPr>
          <w:rFonts w:hint="eastAsia" w:ascii="宋体" w:hAnsi="宋体" w:eastAsia="宋体" w:cs="宋体"/>
          <w:color w:val="auto"/>
          <w:sz w:val="21"/>
          <w:szCs w:val="21"/>
          <w:highlight w:val="none"/>
        </w:rPr>
        <w:t> </w:t>
      </w:r>
    </w:p>
    <w:p w14:paraId="331547FE">
      <w:pPr>
        <w:pStyle w:val="18"/>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项目名称：</w:t>
      </w:r>
      <w:r>
        <w:rPr>
          <w:rFonts w:hint="eastAsia" w:ascii="宋体" w:hAnsi="宋体" w:eastAsia="宋体" w:cs="宋体"/>
          <w:color w:val="auto"/>
          <w:sz w:val="21"/>
          <w:szCs w:val="21"/>
          <w:highlight w:val="none"/>
          <w:lang w:eastAsia="zh-CN"/>
        </w:rPr>
        <w:t>瑞安市水库堤防白蚁等害堤动物普查与防治项目</w:t>
      </w:r>
      <w:r>
        <w:rPr>
          <w:rFonts w:hint="eastAsia" w:ascii="宋体" w:hAnsi="宋体" w:eastAsia="宋体" w:cs="宋体"/>
          <w:color w:val="auto"/>
          <w:sz w:val="21"/>
          <w:szCs w:val="21"/>
          <w:highlight w:val="none"/>
        </w:rPr>
        <w:t> </w:t>
      </w:r>
    </w:p>
    <w:p w14:paraId="7161913F">
      <w:pPr>
        <w:pStyle w:val="18"/>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采购方式：竞争性磋商</w:t>
      </w:r>
    </w:p>
    <w:p w14:paraId="4E1B11B7">
      <w:pPr>
        <w:pStyle w:val="18"/>
        <w:spacing w:before="0" w:beforeAutospacing="0" w:after="0" w:afterAutospacing="0"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预算金额（元）：</w:t>
      </w:r>
      <w:r>
        <w:rPr>
          <w:rFonts w:hint="eastAsia" w:ascii="宋体" w:hAnsi="宋体" w:eastAsia="宋体" w:cs="宋体"/>
          <w:sz w:val="21"/>
          <w:szCs w:val="21"/>
          <w:highlight w:val="none"/>
          <w:lang w:val="en-US" w:eastAsia="zh-CN"/>
        </w:rPr>
        <w:t>400000</w:t>
      </w:r>
    </w:p>
    <w:p w14:paraId="61FD6FC3">
      <w:pPr>
        <w:pStyle w:val="18"/>
        <w:spacing w:before="0" w:beforeAutospacing="0" w:after="0" w:afterAutospacing="0" w:line="360" w:lineRule="auto"/>
        <w:rPr>
          <w:rFonts w:hint="default" w:ascii="宋体" w:hAnsi="宋体" w:eastAsia="宋体" w:cs="宋体"/>
          <w:color w:val="FF0000"/>
          <w:sz w:val="21"/>
          <w:szCs w:val="21"/>
          <w:highlight w:val="none"/>
          <w:lang w:val="en-US" w:eastAsia="zh-CN"/>
        </w:rPr>
      </w:pPr>
      <w:r>
        <w:rPr>
          <w:rFonts w:hint="eastAsia" w:ascii="宋体" w:hAnsi="宋体" w:eastAsia="宋体" w:cs="宋体"/>
          <w:sz w:val="21"/>
          <w:szCs w:val="21"/>
          <w:highlight w:val="none"/>
        </w:rPr>
        <w:t>   最高限价（元）：</w:t>
      </w:r>
      <w:r>
        <w:rPr>
          <w:rFonts w:hint="eastAsia" w:ascii="宋体" w:hAnsi="宋体" w:eastAsia="宋体" w:cs="宋体"/>
          <w:sz w:val="21"/>
          <w:szCs w:val="21"/>
          <w:highlight w:val="none"/>
          <w:lang w:val="en-US" w:eastAsia="zh-CN"/>
        </w:rPr>
        <w:t>400000</w:t>
      </w:r>
    </w:p>
    <w:p w14:paraId="446FDD7C">
      <w:pPr>
        <w:pStyle w:val="18"/>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采购需求：</w:t>
      </w:r>
    </w:p>
    <w:p w14:paraId="3BD9CCF0">
      <w:pPr>
        <w:pStyle w:val="18"/>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BEA9739">
      <w:pPr>
        <w:pStyle w:val="18"/>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15F07F66">
      <w:pPr>
        <w:pStyle w:val="18"/>
        <w:spacing w:before="0" w:beforeAutospacing="0" w:after="0" w:afterAutospacing="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预算金额（元）：</w:t>
      </w:r>
      <w:r>
        <w:rPr>
          <w:rFonts w:hint="eastAsia" w:ascii="宋体" w:hAnsi="宋体" w:eastAsia="宋体" w:cs="宋体"/>
          <w:sz w:val="21"/>
          <w:szCs w:val="21"/>
          <w:highlight w:val="none"/>
          <w:lang w:val="en-US" w:eastAsia="zh-CN"/>
        </w:rPr>
        <w:t>400000</w:t>
      </w:r>
    </w:p>
    <w:p w14:paraId="3960B556">
      <w:pPr>
        <w:pStyle w:val="18"/>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单位：项</w:t>
      </w:r>
    </w:p>
    <w:p w14:paraId="756BE58F">
      <w:pPr>
        <w:pStyle w:val="18"/>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简要规格描述：详见磋商文件相关部分。</w:t>
      </w:r>
    </w:p>
    <w:p w14:paraId="56B05433">
      <w:pPr>
        <w:pStyle w:val="18"/>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备注：无</w:t>
      </w:r>
    </w:p>
    <w:p w14:paraId="1625E084">
      <w:pPr>
        <w:pStyle w:val="18"/>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合同履约期限：详见磋商文件相关部分。</w:t>
      </w:r>
    </w:p>
    <w:p w14:paraId="2FC98625">
      <w:pPr>
        <w:pStyle w:val="18"/>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）接受联合体投标。</w:t>
      </w:r>
    </w:p>
    <w:p w14:paraId="4213C159">
      <w:pPr>
        <w:pStyle w:val="18"/>
        <w:spacing w:before="0" w:beforeAutospacing="0" w:after="0" w:afterAutospacing="0" w:line="360" w:lineRule="auto"/>
        <w:outlineLvl w:val="1"/>
        <w:rPr>
          <w:rFonts w:ascii="宋体" w:hAnsi="宋体" w:eastAsia="宋体" w:cs="宋体"/>
          <w:sz w:val="21"/>
          <w:szCs w:val="21"/>
          <w:highlight w:val="none"/>
        </w:rPr>
      </w:pPr>
      <w:bookmarkStart w:id="6" w:name="_Toc24601"/>
      <w:bookmarkStart w:id="7" w:name="_Toc10171"/>
      <w:bookmarkStart w:id="8" w:name="_Toc9129"/>
      <w:r>
        <w:rPr>
          <w:rStyle w:val="23"/>
          <w:rFonts w:hint="eastAsia" w:ascii="宋体" w:hAnsi="宋体" w:eastAsia="宋体" w:cs="宋体"/>
          <w:sz w:val="21"/>
          <w:szCs w:val="21"/>
          <w:highlight w:val="none"/>
        </w:rPr>
        <w:t>二、申请人的资格要求：</w:t>
      </w:r>
      <w:bookmarkEnd w:id="6"/>
      <w:bookmarkEnd w:id="7"/>
      <w:bookmarkEnd w:id="8"/>
    </w:p>
    <w:p w14:paraId="60AC5E6E">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1.</w:t>
      </w:r>
      <w:r>
        <w:rPr>
          <w:rFonts w:hint="eastAsia" w:ascii="宋体" w:hAnsi="宋体" w:eastAsia="宋体" w:cs="宋体"/>
          <w:color w:val="auto"/>
          <w:sz w:val="21"/>
          <w:szCs w:val="21"/>
          <w:highlight w:val="none"/>
        </w:rPr>
        <w:t>满足《中华人民共和国政府采购法》第二十二条规定：未被“信用中国”、“中国政府采购网”列入失信被执行人、重大违法案件当事人名单、政府采购严重违法失信行为记录名单。</w:t>
      </w:r>
    </w:p>
    <w:p w14:paraId="609A851C">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2.落实政府采购政策需满足的资格要求：本项目整体专门面向中小企业采购（残疾人福利性单位和监狱企业视同小微企业）。</w:t>
      </w:r>
    </w:p>
    <w:p w14:paraId="446D8EB2">
      <w:pPr>
        <w:pStyle w:val="18"/>
        <w:spacing w:before="0" w:beforeAutospacing="0" w:after="0" w:afterAutospacing="0" w:line="360" w:lineRule="auto"/>
        <w:ind w:firstLine="420" w:firstLineChars="200"/>
        <w:outlineLvl w:val="3"/>
        <w:rPr>
          <w:rFonts w:hint="eastAsia" w:ascii="宋体" w:hAnsi="宋体" w:eastAsia="宋体" w:cs="宋体"/>
          <w:sz w:val="21"/>
          <w:szCs w:val="21"/>
          <w:highlight w:val="none"/>
          <w:lang w:eastAsia="zh-CN"/>
        </w:rPr>
      </w:pPr>
      <w:bookmarkStart w:id="9" w:name="_Toc10129"/>
      <w:bookmarkStart w:id="10" w:name="_Toc6595"/>
      <w:bookmarkStart w:id="11" w:name="_Toc17581"/>
      <w:bookmarkStart w:id="12" w:name="_Toc21691"/>
      <w:r>
        <w:rPr>
          <w:rFonts w:hint="eastAsia" w:ascii="宋体" w:hAnsi="宋体" w:eastAsia="宋体" w:cs="宋体"/>
          <w:sz w:val="21"/>
          <w:szCs w:val="21"/>
          <w:highlight w:val="none"/>
        </w:rPr>
        <w:t>3.特定资格条件：</w:t>
      </w:r>
      <w:bookmarkEnd w:id="9"/>
      <w:bookmarkEnd w:id="10"/>
      <w:bookmarkEnd w:id="11"/>
      <w:bookmarkEnd w:id="12"/>
      <w:r>
        <w:rPr>
          <w:rFonts w:hint="eastAsia" w:eastAsia="宋体" w:cs="Times New Roman"/>
          <w:b w:val="0"/>
          <w:bCs w:val="0"/>
          <w:color w:val="auto"/>
          <w:sz w:val="21"/>
          <w:szCs w:val="21"/>
          <w:highlight w:val="none"/>
          <w:lang w:val="en-US" w:eastAsia="zh-CN"/>
        </w:rPr>
        <w:t>无</w:t>
      </w:r>
      <w:r>
        <w:rPr>
          <w:rFonts w:hint="eastAsia" w:ascii="宋体" w:hAnsi="宋体" w:eastAsia="宋体" w:cs="宋体"/>
          <w:sz w:val="21"/>
          <w:szCs w:val="21"/>
          <w:highlight w:val="none"/>
          <w:lang w:eastAsia="zh-CN"/>
        </w:rPr>
        <w:t>。</w:t>
      </w:r>
    </w:p>
    <w:p w14:paraId="01B41DBF">
      <w:pPr>
        <w:pStyle w:val="18"/>
        <w:spacing w:before="0" w:beforeAutospacing="0" w:after="0" w:afterAutospacing="0" w:line="360" w:lineRule="auto"/>
        <w:outlineLvl w:val="1"/>
        <w:rPr>
          <w:rFonts w:ascii="宋体" w:hAnsi="宋体" w:eastAsia="宋体" w:cs="宋体"/>
          <w:sz w:val="21"/>
          <w:szCs w:val="21"/>
          <w:highlight w:val="none"/>
        </w:rPr>
      </w:pPr>
      <w:bookmarkStart w:id="13" w:name="_Toc4871"/>
      <w:bookmarkStart w:id="14" w:name="_Toc31972"/>
      <w:bookmarkStart w:id="15" w:name="_Toc21587"/>
      <w:r>
        <w:rPr>
          <w:rStyle w:val="23"/>
          <w:rFonts w:hint="eastAsia" w:ascii="宋体" w:hAnsi="宋体" w:eastAsia="宋体" w:cs="宋体"/>
          <w:sz w:val="21"/>
          <w:szCs w:val="21"/>
          <w:highlight w:val="none"/>
        </w:rPr>
        <w:t>三、获取（下载）采购文件</w:t>
      </w:r>
      <w:bookmarkEnd w:id="13"/>
      <w:bookmarkEnd w:id="14"/>
      <w:bookmarkEnd w:id="15"/>
    </w:p>
    <w:p w14:paraId="1810C64C">
      <w:pPr>
        <w:pStyle w:val="27"/>
        <w:spacing w:line="360" w:lineRule="auto"/>
        <w:ind w:firstLine="0" w:firstLineChars="0"/>
        <w:rPr>
          <w:rFonts w:ascii="宋体" w:hAnsi="宋体" w:eastAsia="宋体" w:cs="宋体"/>
          <w:szCs w:val="21"/>
          <w:highlight w:val="none"/>
        </w:rPr>
      </w:pPr>
      <w:r>
        <w:rPr>
          <w:rFonts w:hint="eastAsia" w:ascii="宋体" w:hAnsi="宋体" w:eastAsia="宋体" w:cs="宋体"/>
          <w:color w:val="000000"/>
          <w:szCs w:val="21"/>
          <w:highlight w:val="none"/>
        </w:rPr>
        <w:t> </w:t>
      </w:r>
      <w:r>
        <w:rPr>
          <w:rFonts w:hint="eastAsia" w:ascii="宋体" w:hAnsi="宋体" w:eastAsia="宋体" w:cs="宋体"/>
          <w:szCs w:val="21"/>
          <w:highlight w:val="none"/>
        </w:rPr>
        <w:t xml:space="preserve">  时间：/至</w:t>
      </w:r>
      <w:r>
        <w:rPr>
          <w:rFonts w:hint="eastAsia" w:ascii="宋体" w:hAnsi="宋体" w:eastAsia="宋体" w:cs="宋体"/>
          <w:color w:val="auto"/>
          <w:sz w:val="21"/>
          <w:szCs w:val="21"/>
          <w:highlight w:val="none"/>
          <w:u w:val="none"/>
          <w:lang w:eastAsia="zh-CN"/>
        </w:rPr>
        <w:t>2025年09月09日15:00</w:t>
      </w:r>
      <w:r>
        <w:rPr>
          <w:rFonts w:hint="eastAsia" w:ascii="宋体" w:hAnsi="宋体" w:eastAsia="宋体" w:cs="宋体"/>
          <w:sz w:val="21"/>
          <w:szCs w:val="21"/>
          <w:highlight w:val="none"/>
        </w:rPr>
        <w:t>（北京时间）</w:t>
      </w:r>
      <w:r>
        <w:rPr>
          <w:rFonts w:hint="eastAsia" w:ascii="宋体" w:hAnsi="宋体" w:eastAsia="宋体" w:cs="宋体"/>
          <w:szCs w:val="21"/>
          <w:highlight w:val="none"/>
        </w:rPr>
        <w:t>，每天上午00:00至12:00，下午12:00至23:59（北京时间，线上获取法定节假日均可，线下获取文件法定节假日除外）</w:t>
      </w:r>
      <w:r>
        <w:rPr>
          <w:rFonts w:hint="eastAsia" w:ascii="宋体" w:hAnsi="宋体" w:eastAsia="宋体" w:cs="宋体"/>
          <w:color w:val="000000"/>
          <w:szCs w:val="21"/>
          <w:highlight w:val="none"/>
        </w:rPr>
        <w:t>。</w:t>
      </w:r>
    </w:p>
    <w:p w14:paraId="5A30FF23">
      <w:pPr>
        <w:pStyle w:val="18"/>
        <w:spacing w:before="0" w:beforeAutospacing="0" w:after="0" w:afterAutospacing="0" w:line="360" w:lineRule="auto"/>
        <w:ind w:firstLine="420" w:firstLineChars="200"/>
        <w:rPr>
          <w:rFonts w:ascii="宋体" w:hAnsi="宋体" w:eastAsia="宋体" w:cs="宋体"/>
          <w:sz w:val="21"/>
          <w:szCs w:val="21"/>
          <w:highlight w:val="none"/>
          <w:u w:val="single"/>
        </w:rPr>
      </w:pPr>
      <w:r>
        <w:rPr>
          <w:rFonts w:hint="eastAsia" w:ascii="宋体" w:hAnsi="宋体" w:eastAsia="宋体" w:cs="宋体"/>
          <w:sz w:val="21"/>
          <w:szCs w:val="21"/>
          <w:highlight w:val="none"/>
        </w:rPr>
        <w:t>地点（网址）：</w:t>
      </w:r>
      <w:r>
        <w:rPr>
          <w:rFonts w:hint="eastAsia" w:ascii="宋体" w:hAnsi="宋体" w:eastAsia="宋体" w:cs="宋体"/>
          <w:color w:val="auto"/>
          <w:sz w:val="21"/>
          <w:szCs w:val="21"/>
          <w:highlight w:val="none"/>
        </w:rPr>
        <w:t>政采云平台https://www.zcygov.cn/</w:t>
      </w:r>
    </w:p>
    <w:p w14:paraId="6A4BC37F">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方式：供应商登录政采云平台https://www.zcygov.cn/在线申请获取采购文件（进入“项目采购”应用，在获取采购文件菜单中选择项目，申请获取采购文件）  </w:t>
      </w:r>
    </w:p>
    <w:p w14:paraId="5C063A5C">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售价（元）：0  </w:t>
      </w:r>
    </w:p>
    <w:p w14:paraId="66E5DCED">
      <w:pPr>
        <w:pStyle w:val="18"/>
        <w:spacing w:before="0" w:beforeAutospacing="0" w:after="0" w:afterAutospacing="0" w:line="360" w:lineRule="auto"/>
        <w:outlineLvl w:val="1"/>
        <w:rPr>
          <w:rFonts w:ascii="宋体" w:hAnsi="宋体" w:eastAsia="宋体" w:cs="宋体"/>
          <w:sz w:val="21"/>
          <w:szCs w:val="21"/>
          <w:highlight w:val="none"/>
        </w:rPr>
      </w:pPr>
      <w:bookmarkStart w:id="16" w:name="_Toc14658"/>
      <w:bookmarkStart w:id="17" w:name="_Toc21138"/>
      <w:bookmarkStart w:id="18" w:name="_Toc21190"/>
      <w:r>
        <w:rPr>
          <w:rStyle w:val="23"/>
          <w:rFonts w:hint="eastAsia" w:ascii="宋体" w:hAnsi="宋体" w:eastAsia="宋体" w:cs="宋体"/>
          <w:sz w:val="21"/>
          <w:szCs w:val="21"/>
          <w:highlight w:val="none"/>
        </w:rPr>
        <w:t>四、响应文件提交（上传）</w:t>
      </w:r>
      <w:bookmarkEnd w:id="16"/>
      <w:bookmarkEnd w:id="17"/>
      <w:bookmarkEnd w:id="18"/>
    </w:p>
    <w:p w14:paraId="11521639">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截止时间：</w:t>
      </w:r>
      <w:r>
        <w:rPr>
          <w:rFonts w:hint="eastAsia" w:ascii="宋体" w:hAnsi="宋体" w:eastAsia="宋体" w:cs="宋体"/>
          <w:color w:val="auto"/>
          <w:sz w:val="21"/>
          <w:szCs w:val="21"/>
          <w:highlight w:val="none"/>
          <w:u w:val="single"/>
          <w:lang w:eastAsia="zh-CN"/>
        </w:rPr>
        <w:t>2025年09月09日15:00</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sz w:val="21"/>
          <w:szCs w:val="21"/>
          <w:highlight w:val="none"/>
        </w:rPr>
        <w:t>（北京时间）</w:t>
      </w:r>
    </w:p>
    <w:p w14:paraId="0EECF794">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地点（网址）：</w:t>
      </w:r>
      <w:r>
        <w:rPr>
          <w:rFonts w:hint="eastAsia" w:ascii="宋体" w:hAnsi="宋体" w:eastAsia="宋体" w:cs="宋体"/>
          <w:sz w:val="21"/>
          <w:szCs w:val="21"/>
          <w:highlight w:val="none"/>
          <w:u w:val="none"/>
        </w:rPr>
        <w:t>（1）电子加密响应文件：应按政采云平台项目采购-电子交易操作指南及本招磋商文件要求进行编制、加密并递交，供应商应于投标截止时间前将电子加密响应文件上传到政采云系统中（不准时上传视为不参加）。（2）备份响应文件：</w:t>
      </w:r>
      <w:r>
        <w:rPr>
          <w:highlight w:val="none"/>
          <w:u w:val="none"/>
        </w:rPr>
        <w:fldChar w:fldCharType="begin"/>
      </w:r>
      <w:r>
        <w:rPr>
          <w:highlight w:val="none"/>
          <w:u w:val="none"/>
        </w:rPr>
        <w:instrText xml:space="preserve"> HYPERLINK "mailto:按政采云平台项目采购-电子招投标操作指南制作备份投标文件（后缀名为.bfbs），在开标时间后15分钟内以电子邮件形式递交至采购代理机构邮箱（103874679@qq.com）。" </w:instrText>
      </w:r>
      <w:r>
        <w:rPr>
          <w:highlight w:val="none"/>
          <w:u w:val="none"/>
        </w:rPr>
        <w:fldChar w:fldCharType="separate"/>
      </w:r>
      <w:r>
        <w:rPr>
          <w:rFonts w:hint="eastAsia" w:ascii="宋体" w:hAnsi="宋体" w:eastAsia="宋体" w:cs="宋体"/>
          <w:sz w:val="21"/>
          <w:szCs w:val="21"/>
          <w:highlight w:val="none"/>
          <w:u w:val="none"/>
        </w:rPr>
        <w:t>投标截止时间前以压缩文件形式加密发送至采购代理机构邮箱</w:t>
      </w:r>
      <w:r>
        <w:rPr>
          <w:rFonts w:hint="eastAsia" w:ascii="宋体" w:hAnsi="宋体" w:eastAsia="宋体" w:cs="宋体"/>
          <w:sz w:val="21"/>
          <w:szCs w:val="21"/>
          <w:highlight w:val="none"/>
          <w:u w:val="none"/>
        </w:rPr>
        <w:fldChar w:fldCharType="end"/>
      </w:r>
      <w:r>
        <w:rPr>
          <w:rFonts w:hint="eastAsia" w:ascii="宋体" w:hAnsi="宋体" w:eastAsia="宋体" w:cs="宋体"/>
          <w:sz w:val="21"/>
          <w:szCs w:val="21"/>
          <w:highlight w:val="none"/>
          <w:u w:val="none"/>
        </w:rPr>
        <w:t>，并在接到在线解密通知后30分钟内发送压缩文件密码至采购代理机构邮箱。（邮箱号码：</w:t>
      </w:r>
      <w:r>
        <w:rPr>
          <w:highlight w:val="none"/>
          <w:u w:val="none"/>
        </w:rPr>
        <w:fldChar w:fldCharType="begin"/>
      </w:r>
      <w:r>
        <w:rPr>
          <w:highlight w:val="none"/>
          <w:u w:val="none"/>
        </w:rPr>
        <w:instrText xml:space="preserve"> HYPERLINK "mailto:103874679@qq.com）。" </w:instrText>
      </w:r>
      <w:r>
        <w:rPr>
          <w:highlight w:val="none"/>
          <w:u w:val="none"/>
        </w:rPr>
        <w:fldChar w:fldCharType="separate"/>
      </w:r>
      <w:r>
        <w:rPr>
          <w:rFonts w:hint="eastAsia" w:ascii="宋体" w:hAnsi="宋体" w:eastAsia="宋体" w:cs="宋体"/>
          <w:sz w:val="21"/>
          <w:szCs w:val="21"/>
          <w:highlight w:val="none"/>
          <w:u w:val="none"/>
          <w:lang w:val="en-US" w:eastAsia="zh-CN"/>
        </w:rPr>
        <w:t>984865308</w:t>
      </w:r>
      <w:r>
        <w:rPr>
          <w:rFonts w:hint="eastAsia" w:ascii="宋体" w:hAnsi="宋体" w:eastAsia="宋体" w:cs="宋体"/>
          <w:sz w:val="21"/>
          <w:szCs w:val="21"/>
          <w:highlight w:val="none"/>
          <w:u w:val="none"/>
        </w:rPr>
        <w:t>@qq.com）。</w:t>
      </w:r>
      <w:r>
        <w:rPr>
          <w:rFonts w:hint="eastAsia" w:ascii="宋体" w:hAnsi="宋体" w:eastAsia="宋体" w:cs="宋体"/>
          <w:sz w:val="21"/>
          <w:szCs w:val="21"/>
          <w:highlight w:val="none"/>
          <w:u w:val="none"/>
        </w:rPr>
        <w:fldChar w:fldCharType="end"/>
      </w:r>
    </w:p>
    <w:p w14:paraId="0BE8D82B">
      <w:pPr>
        <w:pStyle w:val="18"/>
        <w:spacing w:before="0" w:beforeAutospacing="0" w:after="0" w:afterAutospacing="0" w:line="360" w:lineRule="auto"/>
        <w:outlineLvl w:val="1"/>
        <w:rPr>
          <w:rFonts w:ascii="宋体" w:hAnsi="宋体" w:eastAsia="宋体" w:cs="宋体"/>
          <w:sz w:val="21"/>
          <w:szCs w:val="21"/>
          <w:highlight w:val="none"/>
        </w:rPr>
      </w:pPr>
      <w:bookmarkStart w:id="19" w:name="_Toc25212"/>
      <w:bookmarkStart w:id="20" w:name="_Toc4691"/>
      <w:bookmarkStart w:id="21" w:name="_Toc10271"/>
      <w:r>
        <w:rPr>
          <w:rStyle w:val="23"/>
          <w:rFonts w:hint="eastAsia" w:ascii="宋体" w:hAnsi="宋体" w:eastAsia="宋体" w:cs="宋体"/>
          <w:sz w:val="21"/>
          <w:szCs w:val="21"/>
          <w:highlight w:val="none"/>
        </w:rPr>
        <w:t>五、响应文件开启</w:t>
      </w:r>
      <w:bookmarkEnd w:id="19"/>
      <w:bookmarkEnd w:id="20"/>
      <w:bookmarkEnd w:id="21"/>
    </w:p>
    <w:p w14:paraId="51B58D66">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开启时间：</w:t>
      </w:r>
      <w:r>
        <w:rPr>
          <w:rFonts w:hint="eastAsia" w:ascii="宋体" w:hAnsi="宋体" w:eastAsia="宋体" w:cs="宋体"/>
          <w:color w:val="auto"/>
          <w:sz w:val="21"/>
          <w:szCs w:val="21"/>
          <w:highlight w:val="none"/>
          <w:u w:val="single"/>
          <w:lang w:eastAsia="zh-CN"/>
        </w:rPr>
        <w:t>2025年09月09日15:00</w:t>
      </w:r>
      <w:r>
        <w:rPr>
          <w:rFonts w:hint="eastAsia" w:ascii="宋体" w:hAnsi="宋体" w:eastAsia="宋体" w:cs="宋体"/>
          <w:sz w:val="21"/>
          <w:szCs w:val="21"/>
          <w:highlight w:val="none"/>
        </w:rPr>
        <w:t>（北京时间）</w:t>
      </w:r>
    </w:p>
    <w:p w14:paraId="3FED7B66">
      <w:pPr>
        <w:pStyle w:val="18"/>
        <w:spacing w:before="0" w:beforeAutospacing="0" w:after="0" w:afterAutospacing="0" w:line="360" w:lineRule="auto"/>
        <w:rPr>
          <w:rFonts w:ascii="宋体" w:hAnsi="宋体" w:eastAsia="宋体" w:cs="宋体"/>
          <w:sz w:val="21"/>
          <w:szCs w:val="21"/>
          <w:highlight w:val="none"/>
          <w:u w:val="none"/>
        </w:rPr>
      </w:pPr>
      <w:r>
        <w:rPr>
          <w:rFonts w:hint="eastAsia" w:ascii="宋体" w:hAnsi="宋体" w:eastAsia="宋体" w:cs="宋体"/>
          <w:sz w:val="21"/>
          <w:szCs w:val="21"/>
          <w:highlight w:val="none"/>
        </w:rPr>
        <w:t>   地点（网址）：</w:t>
      </w:r>
      <w:r>
        <w:rPr>
          <w:rFonts w:hint="eastAsia" w:ascii="宋体" w:hAnsi="宋体" w:eastAsia="宋体" w:cs="宋体"/>
          <w:sz w:val="21"/>
          <w:szCs w:val="21"/>
          <w:highlight w:val="none"/>
          <w:u w:val="none"/>
        </w:rPr>
        <w:t>政府采购云平台（www.zcygov.cn）。</w:t>
      </w:r>
    </w:p>
    <w:p w14:paraId="1CEA2245">
      <w:pPr>
        <w:pStyle w:val="18"/>
        <w:spacing w:before="0" w:beforeAutospacing="0" w:after="0" w:afterAutospacing="0" w:line="360" w:lineRule="auto"/>
        <w:outlineLvl w:val="1"/>
        <w:rPr>
          <w:rFonts w:ascii="宋体" w:hAnsi="宋体" w:eastAsia="宋体" w:cs="宋体"/>
          <w:sz w:val="21"/>
          <w:szCs w:val="21"/>
          <w:highlight w:val="none"/>
        </w:rPr>
      </w:pPr>
      <w:bookmarkStart w:id="22" w:name="_Toc29068"/>
      <w:bookmarkStart w:id="23" w:name="_Toc16450"/>
      <w:bookmarkStart w:id="24" w:name="_Toc3730"/>
      <w:r>
        <w:rPr>
          <w:rStyle w:val="23"/>
          <w:rFonts w:hint="eastAsia" w:ascii="宋体" w:hAnsi="宋体" w:eastAsia="宋体" w:cs="宋体"/>
          <w:sz w:val="21"/>
          <w:szCs w:val="21"/>
          <w:highlight w:val="none"/>
        </w:rPr>
        <w:t>六、公告期限</w:t>
      </w:r>
      <w:bookmarkEnd w:id="22"/>
      <w:bookmarkEnd w:id="23"/>
      <w:bookmarkEnd w:id="24"/>
    </w:p>
    <w:p w14:paraId="69F0E559">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自本公告发布之日起3个工作日。</w:t>
      </w:r>
    </w:p>
    <w:p w14:paraId="799AA532">
      <w:pPr>
        <w:pStyle w:val="18"/>
        <w:spacing w:before="0" w:beforeAutospacing="0" w:after="0" w:afterAutospacing="0" w:line="360" w:lineRule="auto"/>
        <w:outlineLvl w:val="1"/>
        <w:rPr>
          <w:rFonts w:ascii="宋体" w:hAnsi="宋体" w:eastAsia="宋体" w:cs="宋体"/>
          <w:sz w:val="21"/>
          <w:szCs w:val="21"/>
          <w:highlight w:val="none"/>
        </w:rPr>
      </w:pPr>
      <w:bookmarkStart w:id="25" w:name="_Toc25388"/>
      <w:bookmarkStart w:id="26" w:name="_Toc2755"/>
      <w:bookmarkStart w:id="27" w:name="_Toc9013"/>
      <w:r>
        <w:rPr>
          <w:rStyle w:val="23"/>
          <w:rFonts w:hint="eastAsia" w:ascii="宋体" w:hAnsi="宋体" w:eastAsia="宋体" w:cs="宋体"/>
          <w:sz w:val="21"/>
          <w:szCs w:val="21"/>
          <w:highlight w:val="none"/>
        </w:rPr>
        <w:t>七、其他补充事宜</w:t>
      </w:r>
      <w:bookmarkEnd w:id="25"/>
      <w:bookmarkEnd w:id="26"/>
      <w:bookmarkEnd w:id="27"/>
    </w:p>
    <w:p w14:paraId="52341492">
      <w:pPr>
        <w:pStyle w:val="18"/>
        <w:widowControl/>
        <w:numPr>
          <w:ilvl w:val="0"/>
          <w:numId w:val="2"/>
        </w:numPr>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2D8DCB">
      <w:pPr>
        <w:pStyle w:val="18"/>
        <w:widowControl/>
        <w:numPr>
          <w:ilvl w:val="0"/>
          <w:numId w:val="2"/>
        </w:numPr>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DC52529">
      <w:pPr>
        <w:numPr>
          <w:ilvl w:val="0"/>
          <w:numId w:val="2"/>
        </w:numPr>
        <w:spacing w:line="360" w:lineRule="auto"/>
        <w:rPr>
          <w:highlight w:val="none"/>
        </w:rPr>
      </w:pPr>
      <w:r>
        <w:rPr>
          <w:rFonts w:hint="eastAsia" w:ascii="宋体" w:hAnsi="宋体" w:eastAsia="宋体" w:cs="宋体"/>
          <w:szCs w:val="21"/>
          <w:highlight w:val="none"/>
        </w:rPr>
        <w:t>其他事项：</w:t>
      </w:r>
    </w:p>
    <w:p w14:paraId="6F9D2E99">
      <w:pPr>
        <w:numPr>
          <w:ilvl w:val="0"/>
          <w:numId w:val="3"/>
        </w:numPr>
        <w:spacing w:line="360" w:lineRule="auto"/>
        <w:ind w:left="420" w:leftChars="200" w:firstLine="0" w:firstLineChars="0"/>
        <w:rPr>
          <w:rFonts w:hint="eastAsia" w:ascii="宋体" w:hAnsi="宋体" w:eastAsia="宋体" w:cs="宋体"/>
          <w:szCs w:val="21"/>
          <w:highlight w:val="none"/>
        </w:rPr>
      </w:pPr>
      <w:r>
        <w:rPr>
          <w:rFonts w:hint="eastAsia" w:ascii="宋体" w:hAnsi="宋体" w:eastAsia="宋体" w:cs="宋体"/>
          <w:b/>
          <w:bCs/>
          <w:szCs w:val="21"/>
          <w:highlight w:val="none"/>
        </w:rPr>
        <w:t>本项目为专门面向中小企业采购项目</w:t>
      </w:r>
      <w:r>
        <w:rPr>
          <w:rFonts w:hint="eastAsia" w:ascii="宋体" w:hAnsi="宋体" w:eastAsia="宋体" w:cs="宋体"/>
          <w:szCs w:val="21"/>
          <w:highlight w:val="none"/>
        </w:rPr>
        <w:t>。根据《政府采购促进中小企业发展管理办法》（财库〔2020〕46号）（以下简称《管理办法》）规定的要求并符合国家统计局印发的《统计上大中小微型企业划分办法（2017）规定条件的，在参加本项目投标活动时可享受《管理办法》规定的优惠政策。</w:t>
      </w:r>
    </w:p>
    <w:p w14:paraId="28F1DB53">
      <w:pPr>
        <w:numPr>
          <w:ilvl w:val="0"/>
          <w:numId w:val="3"/>
        </w:numPr>
        <w:spacing w:line="360" w:lineRule="auto"/>
        <w:ind w:left="420" w:leftChars="200" w:firstLine="0" w:firstLineChars="0"/>
        <w:rPr>
          <w:rFonts w:hint="eastAsia" w:ascii="宋体" w:hAnsi="宋体" w:eastAsia="宋体" w:cs="宋体"/>
          <w:szCs w:val="21"/>
          <w:highlight w:val="none"/>
        </w:rPr>
      </w:pPr>
      <w:r>
        <w:rPr>
          <w:rFonts w:hint="eastAsia" w:ascii="宋体" w:hAnsi="宋体" w:eastAsia="宋体" w:cs="宋体"/>
          <w:szCs w:val="21"/>
          <w:highlight w:val="none"/>
        </w:rPr>
        <w:t>潜在供应商应当按照规定方式获取磋商文件，未按照规定方式获取磋商文件的，不得对磋商文件提起质疑投诉。</w:t>
      </w:r>
    </w:p>
    <w:p w14:paraId="1208DA39">
      <w:pPr>
        <w:numPr>
          <w:ilvl w:val="0"/>
          <w:numId w:val="3"/>
        </w:numPr>
        <w:spacing w:line="360" w:lineRule="auto"/>
        <w:ind w:left="420" w:leftChars="200" w:firstLine="0" w:firstLineChars="0"/>
        <w:rPr>
          <w:rFonts w:hint="eastAsia" w:ascii="宋体" w:hAnsi="宋体" w:eastAsia="宋体" w:cs="宋体"/>
          <w:szCs w:val="21"/>
          <w:highlight w:val="none"/>
        </w:rPr>
      </w:pPr>
      <w:r>
        <w:rPr>
          <w:rFonts w:hint="eastAsia" w:ascii="宋体" w:hAnsi="宋体" w:eastAsia="宋体" w:cs="宋体"/>
          <w:szCs w:val="21"/>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14:paraId="04F593D5">
      <w:pPr>
        <w:numPr>
          <w:ilvl w:val="0"/>
          <w:numId w:val="3"/>
        </w:numPr>
        <w:spacing w:line="360" w:lineRule="auto"/>
        <w:ind w:left="420" w:leftChars="200" w:firstLine="0" w:firstLineChars="0"/>
        <w:rPr>
          <w:rFonts w:hint="eastAsia" w:ascii="宋体" w:hAnsi="宋体" w:eastAsia="宋体" w:cs="宋体"/>
          <w:szCs w:val="21"/>
          <w:highlight w:val="none"/>
        </w:rPr>
      </w:pPr>
      <w:r>
        <w:rPr>
          <w:rFonts w:hint="eastAsia" w:ascii="宋体" w:hAnsi="宋体" w:eastAsia="宋体" w:cs="宋体"/>
          <w:szCs w:val="21"/>
          <w:highlight w:val="none"/>
        </w:rPr>
        <w:t>投标说明：</w:t>
      </w:r>
    </w:p>
    <w:p w14:paraId="6BBC6894">
      <w:pPr>
        <w:numPr>
          <w:ilvl w:val="0"/>
          <w:numId w:val="0"/>
        </w:numPr>
        <w:spacing w:line="360" w:lineRule="auto"/>
        <w:ind w:left="630" w:leftChars="300"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w:t>
      </w:r>
    </w:p>
    <w:p w14:paraId="48817B04">
      <w:pPr>
        <w:numPr>
          <w:ilvl w:val="0"/>
          <w:numId w:val="0"/>
        </w:numPr>
        <w:spacing w:line="360" w:lineRule="auto"/>
        <w:ind w:left="630" w:leftChars="300"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“政采云电子交易客户端”请自行前往“浙江政府采购网-下载专区-电子交易客户端”进行下载；通过“政府采购云平台”参与在线投标时如遇平台技术问题详询400-881-7190。 </w:t>
      </w:r>
    </w:p>
    <w:p w14:paraId="3F8C3BDA">
      <w:pPr>
        <w:numPr>
          <w:ilvl w:val="0"/>
          <w:numId w:val="0"/>
        </w:numPr>
        <w:spacing w:line="360" w:lineRule="auto"/>
        <w:ind w:left="630" w:leftChars="300"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w:t>
      </w:r>
    </w:p>
    <w:p w14:paraId="6ED9133D">
      <w:pPr>
        <w:numPr>
          <w:ilvl w:val="0"/>
          <w:numId w:val="0"/>
        </w:numPr>
        <w:spacing w:line="360" w:lineRule="auto"/>
        <w:ind w:left="630" w:leftChars="300"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供应商应当在投标截止时间前，将生成的“电子加密响应文件”上传递交至“政府采购云平台”。投标截止时间后上传递交的响应文件将被“政府采购云平台”拒收。 </w:t>
      </w:r>
    </w:p>
    <w:p w14:paraId="0DB4D3E8">
      <w:pPr>
        <w:numPr>
          <w:ilvl w:val="0"/>
          <w:numId w:val="0"/>
        </w:numPr>
        <w:spacing w:line="360" w:lineRule="auto"/>
        <w:ind w:left="630" w:leftChars="300" w:firstLine="0" w:firstLineChars="0"/>
        <w:rPr>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7B6C7770">
      <w:pPr>
        <w:pStyle w:val="18"/>
        <w:spacing w:before="0" w:beforeAutospacing="0" w:after="0" w:afterAutospacing="0" w:line="360" w:lineRule="auto"/>
        <w:rPr>
          <w:rFonts w:ascii="宋体" w:hAnsi="宋体" w:eastAsia="宋体" w:cs="宋体"/>
          <w:sz w:val="21"/>
          <w:szCs w:val="21"/>
          <w:highlight w:val="none"/>
        </w:rPr>
      </w:pPr>
      <w:r>
        <w:rPr>
          <w:rStyle w:val="23"/>
          <w:rFonts w:hint="eastAsia" w:ascii="宋体" w:hAnsi="宋体" w:eastAsia="宋体" w:cs="宋体"/>
          <w:sz w:val="21"/>
          <w:szCs w:val="21"/>
          <w:highlight w:val="none"/>
        </w:rPr>
        <w:t>八、对本次采购提出询问、质疑、投诉，请按以下方式联系。</w:t>
      </w:r>
      <w:r>
        <w:rPr>
          <w:rFonts w:hint="eastAsia" w:ascii="宋体" w:hAnsi="宋体" w:eastAsia="宋体" w:cs="宋体"/>
          <w:sz w:val="21"/>
          <w:szCs w:val="21"/>
          <w:highlight w:val="none"/>
        </w:rPr>
        <w:t>　　　　　　　　　　　　</w:t>
      </w:r>
    </w:p>
    <w:p w14:paraId="0DD3460D">
      <w:pPr>
        <w:pStyle w:val="18"/>
        <w:widowControl/>
        <w:spacing w:before="0" w:beforeAutospacing="0" w:after="0" w:afterAutospacing="0" w:line="360" w:lineRule="auto"/>
        <w:outlineLvl w:val="3"/>
        <w:rPr>
          <w:rFonts w:ascii="宋体" w:hAnsi="宋体" w:eastAsia="宋体" w:cs="宋体"/>
          <w:sz w:val="21"/>
          <w:szCs w:val="21"/>
          <w:highlight w:val="none"/>
        </w:rPr>
      </w:pPr>
      <w:bookmarkStart w:id="28" w:name="_Toc13993"/>
      <w:bookmarkStart w:id="29" w:name="_Toc13513"/>
      <w:bookmarkStart w:id="30" w:name="_Toc31328"/>
      <w:bookmarkStart w:id="31" w:name="_Toc20220"/>
      <w:r>
        <w:rPr>
          <w:rFonts w:hint="eastAsia" w:ascii="宋体" w:hAnsi="宋体" w:eastAsia="宋体" w:cs="宋体"/>
          <w:sz w:val="21"/>
          <w:szCs w:val="21"/>
          <w:highlight w:val="none"/>
        </w:rPr>
        <w:t>1.采购人信息</w:t>
      </w:r>
      <w:bookmarkEnd w:id="28"/>
      <w:bookmarkEnd w:id="29"/>
      <w:bookmarkEnd w:id="30"/>
      <w:bookmarkEnd w:id="31"/>
    </w:p>
    <w:p w14:paraId="7BA4FCD3">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名    称：</w:t>
      </w:r>
      <w:r>
        <w:rPr>
          <w:rFonts w:hint="eastAsia" w:ascii="宋体" w:hAnsi="宋体" w:eastAsia="宋体" w:cs="宋体"/>
          <w:sz w:val="21"/>
          <w:szCs w:val="21"/>
          <w:highlight w:val="none"/>
          <w:u w:val="single"/>
          <w:lang w:eastAsia="zh-CN"/>
        </w:rPr>
        <w:t>瑞安市水利局</w:t>
      </w:r>
      <w:r>
        <w:rPr>
          <w:rFonts w:hint="eastAsia" w:ascii="宋体" w:hAnsi="宋体" w:eastAsia="宋体" w:cs="宋体"/>
          <w:sz w:val="21"/>
          <w:szCs w:val="21"/>
          <w:highlight w:val="none"/>
        </w:rPr>
        <w:t>　　　　　　　　</w:t>
      </w:r>
    </w:p>
    <w:p w14:paraId="497A7596">
      <w:pPr>
        <w:pStyle w:val="18"/>
        <w:widowControl/>
        <w:spacing w:before="0" w:beforeAutospacing="0" w:after="0" w:afterAutospacing="0"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地    址：</w:t>
      </w:r>
      <w:r>
        <w:rPr>
          <w:rFonts w:hint="eastAsia" w:ascii="宋体" w:hAnsi="宋体" w:cs="宋体"/>
          <w:color w:val="000000"/>
          <w:sz w:val="21"/>
          <w:szCs w:val="21"/>
          <w:highlight w:val="none"/>
          <w:u w:val="single"/>
          <w:lang w:eastAsia="zh-CN"/>
        </w:rPr>
        <w:t>瑞安市滨江大道368号气象防汛大楼</w:t>
      </w:r>
    </w:p>
    <w:p w14:paraId="1BCB4173">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项目联系人（询问）：</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　　　　　　　　　</w:t>
      </w:r>
    </w:p>
    <w:p w14:paraId="688537BC">
      <w:pPr>
        <w:pStyle w:val="18"/>
        <w:widowControl/>
        <w:spacing w:before="0" w:beforeAutospacing="0" w:after="0" w:afterAutospacing="0" w:line="360" w:lineRule="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   项目联系方式（询问）：</w:t>
      </w:r>
      <w:r>
        <w:rPr>
          <w:rFonts w:hint="eastAsia" w:ascii="宋体" w:hAnsi="宋体" w:eastAsia="宋体" w:cs="宋体"/>
          <w:sz w:val="21"/>
          <w:szCs w:val="21"/>
          <w:highlight w:val="none"/>
          <w:u w:val="single"/>
          <w:lang w:val="en-US" w:eastAsia="zh-CN"/>
        </w:rPr>
        <w:t xml:space="preserve">       </w:t>
      </w:r>
    </w:p>
    <w:p w14:paraId="7AAD410B">
      <w:pPr>
        <w:pStyle w:val="18"/>
        <w:widowControl/>
        <w:spacing w:before="0" w:beforeAutospacing="0" w:after="0" w:afterAutospacing="0"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FF0000"/>
          <w:sz w:val="21"/>
          <w:szCs w:val="21"/>
          <w:highlight w:val="none"/>
        </w:rPr>
        <w:t xml:space="preserve">  </w:t>
      </w:r>
      <w:r>
        <w:rPr>
          <w:rFonts w:hint="eastAsia" w:ascii="宋体" w:hAnsi="宋体" w:eastAsia="宋体" w:cs="宋体"/>
          <w:color w:val="auto"/>
          <w:sz w:val="21"/>
          <w:szCs w:val="21"/>
          <w:highlight w:val="none"/>
        </w:rPr>
        <w:t> 质疑联系人：</w:t>
      </w:r>
      <w:r>
        <w:rPr>
          <w:rFonts w:hint="eastAsia" w:ascii="宋体" w:hAnsi="宋体" w:eastAsia="宋体" w:cs="宋体"/>
          <w:color w:val="auto"/>
          <w:sz w:val="21"/>
          <w:szCs w:val="21"/>
          <w:highlight w:val="none"/>
          <w:u w:val="single"/>
          <w:lang w:val="en-US" w:eastAsia="zh-CN"/>
        </w:rPr>
        <w:t xml:space="preserve">    </w:t>
      </w:r>
    </w:p>
    <w:p w14:paraId="0D6E6D56">
      <w:pPr>
        <w:pStyle w:val="18"/>
        <w:widowControl/>
        <w:spacing w:before="0" w:beforeAutospacing="0" w:after="0" w:afterAutospacing="0" w:line="360" w:lineRule="auto"/>
        <w:ind w:left="315" w:hanging="315" w:hangingChars="150"/>
        <w:rPr>
          <w:rFonts w:ascii="宋体" w:hAnsi="宋体" w:eastAsia="宋体" w:cs="宋体"/>
          <w:sz w:val="21"/>
          <w:szCs w:val="21"/>
          <w:highlight w:val="none"/>
        </w:rPr>
      </w:pPr>
      <w:r>
        <w:rPr>
          <w:rFonts w:hint="eastAsia" w:ascii="宋体" w:hAnsi="宋体" w:eastAsia="宋体" w:cs="宋体"/>
          <w:color w:val="auto"/>
          <w:sz w:val="21"/>
          <w:szCs w:val="21"/>
          <w:highlight w:val="none"/>
        </w:rPr>
        <w:t>   质疑联系方式：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FF0000"/>
          <w:sz w:val="21"/>
          <w:szCs w:val="21"/>
          <w:highlight w:val="none"/>
        </w:rPr>
        <w:t>　</w:t>
      </w:r>
      <w:r>
        <w:rPr>
          <w:rFonts w:hint="eastAsia" w:ascii="宋体" w:hAnsi="宋体" w:eastAsia="宋体" w:cs="宋体"/>
          <w:sz w:val="21"/>
          <w:szCs w:val="21"/>
          <w:highlight w:val="none"/>
        </w:rPr>
        <w:t>　　　</w:t>
      </w:r>
    </w:p>
    <w:p w14:paraId="101D0509">
      <w:pPr>
        <w:pStyle w:val="18"/>
        <w:widowControl/>
        <w:spacing w:before="0" w:beforeAutospacing="0" w:after="0" w:afterAutospacing="0" w:line="360" w:lineRule="auto"/>
        <w:outlineLvl w:val="3"/>
        <w:rPr>
          <w:rFonts w:ascii="宋体" w:hAnsi="宋体" w:eastAsia="宋体" w:cs="宋体"/>
          <w:sz w:val="21"/>
          <w:szCs w:val="21"/>
          <w:highlight w:val="none"/>
        </w:rPr>
      </w:pPr>
      <w:bookmarkStart w:id="32" w:name="_Toc20487"/>
      <w:bookmarkStart w:id="33" w:name="_Toc18646"/>
      <w:bookmarkStart w:id="34" w:name="_Toc23529"/>
      <w:bookmarkStart w:id="35" w:name="_Toc14922"/>
      <w:r>
        <w:rPr>
          <w:rFonts w:hint="eastAsia" w:ascii="宋体" w:hAnsi="宋体" w:eastAsia="宋体" w:cs="宋体"/>
          <w:sz w:val="21"/>
          <w:szCs w:val="21"/>
          <w:highlight w:val="none"/>
        </w:rPr>
        <w:t>2.采购代理机构信息</w:t>
      </w:r>
      <w:bookmarkEnd w:id="32"/>
      <w:bookmarkEnd w:id="33"/>
      <w:bookmarkEnd w:id="34"/>
      <w:bookmarkEnd w:id="35"/>
    </w:p>
    <w:p w14:paraId="1A5D6AE9">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名    称：</w:t>
      </w:r>
      <w:r>
        <w:rPr>
          <w:rFonts w:hint="eastAsia" w:ascii="宋体" w:hAnsi="宋体" w:eastAsia="宋体" w:cs="宋体"/>
          <w:sz w:val="21"/>
          <w:szCs w:val="21"/>
          <w:highlight w:val="none"/>
          <w:u w:val="single"/>
        </w:rPr>
        <w:t>浙江综盛项目管理有限公司</w:t>
      </w:r>
      <w:r>
        <w:rPr>
          <w:rFonts w:hint="eastAsia" w:ascii="宋体" w:hAnsi="宋体" w:eastAsia="宋体" w:cs="宋体"/>
          <w:sz w:val="21"/>
          <w:szCs w:val="21"/>
          <w:highlight w:val="none"/>
        </w:rPr>
        <w:t>　　　　　　　　　　　</w:t>
      </w:r>
    </w:p>
    <w:p w14:paraId="4075807E">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地    址：</w:t>
      </w:r>
      <w:r>
        <w:rPr>
          <w:rFonts w:hint="eastAsia" w:ascii="宋体" w:hAnsi="宋体" w:eastAsia="宋体" w:cs="宋体"/>
          <w:sz w:val="21"/>
          <w:szCs w:val="21"/>
          <w:highlight w:val="none"/>
          <w:u w:val="single"/>
        </w:rPr>
        <w:t>瑞安经济开发区朝阳路555号</w:t>
      </w:r>
    </w:p>
    <w:p w14:paraId="00B0180E">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项目联系人（询问）：</w:t>
      </w:r>
      <w:r>
        <w:rPr>
          <w:rFonts w:hint="eastAsia" w:ascii="宋体" w:hAnsi="宋体" w:eastAsia="宋体" w:cs="宋体"/>
          <w:sz w:val="21"/>
          <w:szCs w:val="21"/>
          <w:highlight w:val="none"/>
          <w:u w:val="single"/>
          <w:lang w:val="en-US" w:eastAsia="zh-CN"/>
        </w:rPr>
        <w:t>赵女士</w:t>
      </w:r>
      <w:r>
        <w:rPr>
          <w:rFonts w:hint="eastAsia" w:ascii="宋体" w:hAnsi="宋体" w:eastAsia="宋体" w:cs="宋体"/>
          <w:sz w:val="21"/>
          <w:szCs w:val="21"/>
          <w:highlight w:val="none"/>
        </w:rPr>
        <w:t>  　　　　　　　　　　　</w:t>
      </w:r>
    </w:p>
    <w:p w14:paraId="3DF17E01">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项目联系方式（询问）：</w:t>
      </w:r>
      <w:r>
        <w:rPr>
          <w:rFonts w:hint="eastAsia" w:ascii="宋体" w:hAnsi="宋体" w:eastAsia="宋体" w:cs="宋体"/>
          <w:sz w:val="21"/>
          <w:szCs w:val="21"/>
          <w:highlight w:val="none"/>
          <w:u w:val="single"/>
        </w:rPr>
        <w:t>17826851140</w:t>
      </w:r>
    </w:p>
    <w:p w14:paraId="45C23B0C">
      <w:pPr>
        <w:pStyle w:val="18"/>
        <w:widowControl/>
        <w:spacing w:before="0" w:beforeAutospacing="0" w:after="0" w:afterAutospacing="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质疑联系人：</w:t>
      </w:r>
      <w:r>
        <w:rPr>
          <w:rFonts w:hint="eastAsia" w:ascii="宋体" w:hAnsi="宋体" w:eastAsia="宋体" w:cs="宋体"/>
          <w:sz w:val="21"/>
          <w:szCs w:val="21"/>
          <w:highlight w:val="none"/>
          <w:u w:val="single"/>
          <w:lang w:val="en-US" w:eastAsia="zh-CN"/>
        </w:rPr>
        <w:t>诸葛彬豪</w:t>
      </w:r>
    </w:p>
    <w:p w14:paraId="61360301">
      <w:pPr>
        <w:pStyle w:val="18"/>
        <w:widowControl/>
        <w:spacing w:before="0" w:beforeAutospacing="0" w:after="0" w:afterAutospacing="0" w:line="360" w:lineRule="auto"/>
        <w:ind w:left="420" w:hanging="420" w:hangingChars="200"/>
        <w:rPr>
          <w:rFonts w:ascii="宋体" w:hAnsi="宋体" w:eastAsia="宋体" w:cs="宋体"/>
          <w:sz w:val="21"/>
          <w:szCs w:val="21"/>
          <w:highlight w:val="none"/>
        </w:rPr>
      </w:pPr>
      <w:r>
        <w:rPr>
          <w:rFonts w:hint="eastAsia" w:ascii="宋体" w:hAnsi="宋体" w:eastAsia="宋体" w:cs="宋体"/>
          <w:sz w:val="21"/>
          <w:szCs w:val="21"/>
          <w:highlight w:val="none"/>
        </w:rPr>
        <w:t>   质疑联系方式：</w:t>
      </w:r>
      <w:r>
        <w:rPr>
          <w:rFonts w:hint="eastAsia" w:ascii="宋体" w:hAnsi="宋体" w:eastAsia="宋体" w:cs="宋体"/>
          <w:sz w:val="21"/>
          <w:szCs w:val="21"/>
          <w:highlight w:val="none"/>
          <w:u w:val="single"/>
          <w:lang w:val="en-US" w:eastAsia="zh-CN"/>
        </w:rPr>
        <w:t>15867759709</w:t>
      </w:r>
      <w:r>
        <w:rPr>
          <w:rFonts w:hint="eastAsia" w:ascii="宋体" w:hAnsi="宋体" w:eastAsia="宋体" w:cs="宋体"/>
          <w:sz w:val="21"/>
          <w:szCs w:val="21"/>
          <w:highlight w:val="none"/>
        </w:rPr>
        <w:t>　　　　　　　　　　　　　　　　　　　　</w:t>
      </w:r>
    </w:p>
    <w:p w14:paraId="4F5F479B">
      <w:pPr>
        <w:pStyle w:val="18"/>
        <w:widowControl/>
        <w:spacing w:before="0" w:beforeAutospacing="0" w:after="0" w:afterAutospacing="0" w:line="360" w:lineRule="auto"/>
        <w:outlineLvl w:val="3"/>
        <w:rPr>
          <w:rFonts w:ascii="宋体" w:hAnsi="宋体" w:eastAsia="宋体" w:cs="宋体"/>
          <w:sz w:val="21"/>
          <w:szCs w:val="21"/>
          <w:highlight w:val="none"/>
        </w:rPr>
      </w:pPr>
      <w:bookmarkStart w:id="36" w:name="_Toc32544"/>
      <w:bookmarkStart w:id="37" w:name="_Toc15097"/>
      <w:bookmarkStart w:id="38" w:name="_Toc9294"/>
      <w:bookmarkStart w:id="39" w:name="_Toc5751"/>
      <w:r>
        <w:rPr>
          <w:rFonts w:hint="eastAsia" w:ascii="宋体" w:hAnsi="宋体" w:eastAsia="宋体" w:cs="宋体"/>
          <w:sz w:val="21"/>
          <w:szCs w:val="21"/>
          <w:highlight w:val="none"/>
        </w:rPr>
        <w:t>3.政府采购监督管理部门</w:t>
      </w:r>
      <w:bookmarkEnd w:id="36"/>
      <w:bookmarkEnd w:id="37"/>
      <w:bookmarkEnd w:id="38"/>
      <w:bookmarkEnd w:id="39"/>
    </w:p>
    <w:p w14:paraId="6B61A1D7">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名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称：</w:t>
      </w:r>
      <w:r>
        <w:rPr>
          <w:rFonts w:hint="eastAsia" w:ascii="宋体" w:hAnsi="宋体" w:eastAsia="宋体" w:cs="宋体"/>
          <w:sz w:val="21"/>
          <w:szCs w:val="21"/>
          <w:highlight w:val="none"/>
          <w:u w:val="single"/>
        </w:rPr>
        <w:t>瑞安市财政局（浙江省政府采购行政裁决服务中心（温州））</w:t>
      </w:r>
      <w:r>
        <w:rPr>
          <w:rFonts w:hint="eastAsia" w:ascii="宋体" w:hAnsi="宋体" w:eastAsia="宋体" w:cs="宋体"/>
          <w:sz w:val="21"/>
          <w:szCs w:val="21"/>
          <w:highlight w:val="none"/>
        </w:rPr>
        <w:t>　　　　　　　　</w:t>
      </w:r>
    </w:p>
    <w:p w14:paraId="43F01638">
      <w:pPr>
        <w:pStyle w:val="18"/>
        <w:widowControl/>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   地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址：</w:t>
      </w:r>
      <w:r>
        <w:rPr>
          <w:rFonts w:hint="eastAsia" w:ascii="宋体" w:hAnsi="宋体" w:eastAsia="宋体" w:cs="宋体"/>
          <w:sz w:val="21"/>
          <w:szCs w:val="21"/>
          <w:highlight w:val="none"/>
          <w:u w:val="single"/>
        </w:rPr>
        <w:t>温州市鹿城区滨江街道瓯江路展银大厦1606室</w:t>
      </w:r>
      <w:r>
        <w:rPr>
          <w:rFonts w:hint="eastAsia" w:ascii="宋体" w:hAnsi="宋体" w:eastAsia="宋体" w:cs="宋体"/>
          <w:sz w:val="21"/>
          <w:szCs w:val="21"/>
          <w:highlight w:val="none"/>
        </w:rPr>
        <w:t>　　　　　　　　　</w:t>
      </w:r>
    </w:p>
    <w:p w14:paraId="1A8CFA51">
      <w:pPr>
        <w:widowControl/>
        <w:spacing w:line="360" w:lineRule="auto"/>
        <w:ind w:firstLine="315" w:firstLineChars="150"/>
        <w:rPr>
          <w:rFonts w:hint="eastAsia" w:ascii="宋体" w:hAnsi="宋体" w:eastAsia="宋体" w:cs="宋体"/>
          <w:color w:val="000000"/>
          <w:szCs w:val="21"/>
          <w:highlight w:val="none"/>
          <w:u w:val="single"/>
          <w:lang w:eastAsia="zh-CN"/>
        </w:rPr>
      </w:pPr>
      <w:r>
        <w:rPr>
          <w:rFonts w:hint="eastAsia" w:ascii="宋体" w:hAnsi="宋体" w:eastAsia="宋体" w:cs="宋体"/>
          <w:color w:val="000000"/>
          <w:szCs w:val="21"/>
          <w:highlight w:val="none"/>
        </w:rPr>
        <w:t xml:space="preserve"> 联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 xml:space="preserve">系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人：</w:t>
      </w:r>
      <w:r>
        <w:rPr>
          <w:rFonts w:hint="eastAsia" w:ascii="宋体" w:hAnsi="宋体" w:eastAsia="宋体" w:cs="宋体"/>
          <w:color w:val="000000"/>
          <w:szCs w:val="21"/>
          <w:highlight w:val="none"/>
          <w:u w:val="single"/>
          <w:lang w:val="en-US" w:eastAsia="zh-CN"/>
        </w:rPr>
        <w:t>李老师、王老师</w:t>
      </w:r>
    </w:p>
    <w:p w14:paraId="758F46E2">
      <w:pPr>
        <w:widowControl/>
        <w:spacing w:line="360" w:lineRule="auto"/>
        <w:ind w:firstLine="315" w:firstLineChars="150"/>
        <w:outlineLvl w:val="1"/>
        <w:rPr>
          <w:rFonts w:hint="default"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none"/>
          <w:lang w:val="en-US" w:eastAsia="zh-CN"/>
        </w:rPr>
        <w:t xml:space="preserve">  </w:t>
      </w:r>
      <w:bookmarkStart w:id="40" w:name="_Toc6406"/>
      <w:r>
        <w:rPr>
          <w:rFonts w:hint="eastAsia" w:ascii="宋体" w:hAnsi="宋体" w:eastAsia="宋体" w:cs="宋体"/>
          <w:szCs w:val="21"/>
          <w:highlight w:val="none"/>
        </w:rPr>
        <w:t>监督投诉电话：</w:t>
      </w:r>
      <w:bookmarkEnd w:id="40"/>
      <w:r>
        <w:rPr>
          <w:rFonts w:hint="eastAsia" w:ascii="宋体" w:hAnsi="宋体" w:eastAsia="宋体" w:cs="宋体"/>
          <w:szCs w:val="21"/>
          <w:highlight w:val="none"/>
          <w:u w:val="single"/>
        </w:rPr>
        <w:t>0577-85501561，0577-85501562</w:t>
      </w:r>
    </w:p>
    <w:p w14:paraId="1213E114">
      <w:pPr>
        <w:spacing w:line="360" w:lineRule="auto"/>
        <w:rPr>
          <w:highlight w:val="none"/>
        </w:rPr>
      </w:pPr>
    </w:p>
    <w:p w14:paraId="4BFFFEE6">
      <w:pPr>
        <w:spacing w:line="360" w:lineRule="auto"/>
        <w:rPr>
          <w:highlight w:val="none"/>
        </w:rPr>
      </w:pPr>
    </w:p>
    <w:p w14:paraId="2F1942F6">
      <w:pPr>
        <w:spacing w:line="360" w:lineRule="auto"/>
        <w:rPr>
          <w:highlight w:val="none"/>
        </w:rPr>
      </w:pPr>
    </w:p>
    <w:p w14:paraId="6718C144">
      <w:pPr>
        <w:spacing w:line="360" w:lineRule="auto"/>
        <w:rPr>
          <w:highlight w:val="none"/>
        </w:rPr>
      </w:pPr>
    </w:p>
    <w:p w14:paraId="555E8228">
      <w:pPr>
        <w:spacing w:line="360" w:lineRule="auto"/>
        <w:rPr>
          <w:highlight w:val="none"/>
        </w:rPr>
      </w:pPr>
    </w:p>
    <w:p w14:paraId="006285FA">
      <w:pPr>
        <w:spacing w:line="360" w:lineRule="auto"/>
        <w:rPr>
          <w:highlight w:val="none"/>
        </w:rPr>
      </w:pPr>
    </w:p>
    <w:p w14:paraId="1F5B5A4E">
      <w:pPr>
        <w:spacing w:line="360" w:lineRule="auto"/>
        <w:ind w:firstLine="422" w:firstLineChars="200"/>
        <w:rPr>
          <w:highlight w:val="none"/>
        </w:rPr>
      </w:pPr>
      <w:r>
        <w:rPr>
          <w:rFonts w:hint="default"/>
          <w:b/>
          <w:bCs/>
          <w:highlight w:val="none"/>
          <w:lang w:val="en-US" w:eastAsia="zh-CN"/>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A26DB95">
      <w:pPr>
        <w:rPr>
          <w:highlight w:val="none"/>
        </w:rPr>
      </w:pPr>
    </w:p>
    <w:p w14:paraId="42421577">
      <w:pPr>
        <w:rPr>
          <w:highlight w:val="none"/>
        </w:rPr>
      </w:pPr>
    </w:p>
    <w:p w14:paraId="7DA64E5B">
      <w:pPr>
        <w:rPr>
          <w:highlight w:val="none"/>
        </w:rPr>
      </w:pPr>
    </w:p>
    <w:p w14:paraId="1DBE0F67">
      <w:pPr>
        <w:rPr>
          <w:highlight w:val="none"/>
        </w:rPr>
      </w:pPr>
    </w:p>
    <w:p w14:paraId="3156DBFF">
      <w:pPr>
        <w:rPr>
          <w:highlight w:val="none"/>
        </w:rPr>
      </w:pPr>
    </w:p>
    <w:p w14:paraId="5223BBC6">
      <w:pPr>
        <w:rPr>
          <w:highlight w:val="none"/>
        </w:rPr>
      </w:pPr>
    </w:p>
    <w:p w14:paraId="008C5590">
      <w:pPr>
        <w:rPr>
          <w:highlight w:val="none"/>
        </w:rPr>
      </w:pPr>
    </w:p>
    <w:p w14:paraId="268F3D0B">
      <w:pPr>
        <w:rPr>
          <w:highlight w:val="none"/>
        </w:rPr>
      </w:pPr>
    </w:p>
    <w:p w14:paraId="27B05B73">
      <w:pPr>
        <w:rPr>
          <w:highlight w:val="none"/>
        </w:rPr>
      </w:pPr>
    </w:p>
    <w:p w14:paraId="43AECF78">
      <w:pPr>
        <w:rPr>
          <w:highlight w:val="none"/>
        </w:rPr>
      </w:pPr>
    </w:p>
    <w:p w14:paraId="38C3EF76">
      <w:pPr>
        <w:rPr>
          <w:highlight w:val="none"/>
        </w:rPr>
      </w:pPr>
    </w:p>
    <w:p w14:paraId="505A5307">
      <w:pPr>
        <w:rPr>
          <w:highlight w:val="none"/>
        </w:rPr>
      </w:pPr>
    </w:p>
    <w:p w14:paraId="4979DC7E">
      <w:pPr>
        <w:pStyle w:val="2"/>
        <w:keepNext w:val="0"/>
        <w:keepLines w:val="0"/>
        <w:spacing w:after="156" w:afterLines="50" w:line="400" w:lineRule="exact"/>
        <w:jc w:val="center"/>
        <w:rPr>
          <w:rFonts w:hAnsi="宋体" w:eastAsia="宋体" w:cs="宋体"/>
          <w:sz w:val="28"/>
          <w:szCs w:val="36"/>
          <w:highlight w:val="none"/>
        </w:rPr>
      </w:pPr>
      <w:r>
        <w:rPr>
          <w:rFonts w:hint="eastAsia" w:hAnsi="宋体" w:eastAsia="宋体" w:cs="宋体"/>
          <w:sz w:val="28"/>
          <w:szCs w:val="36"/>
          <w:highlight w:val="none"/>
        </w:rPr>
        <w:t>第二部分  磋商供应商须知</w:t>
      </w:r>
    </w:p>
    <w:p w14:paraId="7E96F6D3">
      <w:pPr>
        <w:pStyle w:val="3"/>
        <w:spacing w:before="156" w:beforeLines="50" w:after="156" w:afterLines="50" w:line="380" w:lineRule="exact"/>
        <w:jc w:val="center"/>
        <w:rPr>
          <w:rFonts w:ascii="宋体" w:hAnsi="宋体" w:eastAsia="宋体" w:cs="宋体"/>
          <w:bCs w:val="0"/>
          <w:sz w:val="24"/>
          <w:szCs w:val="24"/>
          <w:highlight w:val="none"/>
        </w:rPr>
      </w:pPr>
      <w:bookmarkStart w:id="41" w:name="_Toc15777"/>
      <w:bookmarkStart w:id="42" w:name="_Toc19616"/>
      <w:bookmarkStart w:id="43" w:name="_Toc19423"/>
      <w:bookmarkStart w:id="44" w:name="_Toc21971"/>
      <w:bookmarkStart w:id="45" w:name="_Toc24005"/>
      <w:bookmarkStart w:id="46" w:name="_Toc32711"/>
      <w:bookmarkStart w:id="47" w:name="_Toc18225"/>
      <w:bookmarkStart w:id="48" w:name="_Toc3844"/>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磋商须知前附表</w:t>
      </w:r>
      <w:bookmarkEnd w:id="41"/>
      <w:bookmarkEnd w:id="42"/>
      <w:bookmarkEnd w:id="43"/>
      <w:bookmarkEnd w:id="44"/>
      <w:bookmarkEnd w:id="45"/>
      <w:bookmarkEnd w:id="46"/>
      <w:bookmarkEnd w:id="47"/>
      <w:bookmarkEnd w:id="48"/>
    </w:p>
    <w:tbl>
      <w:tblPr>
        <w:tblStyle w:val="20"/>
        <w:tblW w:w="9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7190"/>
      </w:tblGrid>
      <w:tr w14:paraId="6CD05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6" w:hRule="atLeast"/>
          <w:jc w:val="center"/>
        </w:trPr>
        <w:tc>
          <w:tcPr>
            <w:tcW w:w="645" w:type="dxa"/>
            <w:vAlign w:val="center"/>
          </w:tcPr>
          <w:p w14:paraId="401216A8">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项号</w:t>
            </w:r>
          </w:p>
        </w:tc>
        <w:tc>
          <w:tcPr>
            <w:tcW w:w="1920" w:type="dxa"/>
            <w:vAlign w:val="center"/>
          </w:tcPr>
          <w:p w14:paraId="07C88BD6">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内容</w:t>
            </w:r>
          </w:p>
        </w:tc>
        <w:tc>
          <w:tcPr>
            <w:tcW w:w="7190" w:type="dxa"/>
            <w:vAlign w:val="center"/>
          </w:tcPr>
          <w:p w14:paraId="4F53ADD1">
            <w:pPr>
              <w:spacing w:line="276" w:lineRule="auto"/>
              <w:jc w:val="center"/>
              <w:rPr>
                <w:rFonts w:ascii="宋体" w:hAnsi="宋体" w:eastAsia="宋体" w:cs="宋体"/>
                <w:b/>
                <w:szCs w:val="21"/>
                <w:highlight w:val="none"/>
              </w:rPr>
            </w:pPr>
            <w:r>
              <w:rPr>
                <w:rFonts w:hint="eastAsia" w:ascii="宋体" w:hAnsi="宋体" w:eastAsia="宋体" w:cs="宋体"/>
                <w:b/>
                <w:szCs w:val="21"/>
                <w:highlight w:val="none"/>
              </w:rPr>
              <w:t>说明与要求</w:t>
            </w:r>
          </w:p>
        </w:tc>
      </w:tr>
      <w:tr w14:paraId="2513A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7004612B">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1920" w:type="dxa"/>
            <w:vAlign w:val="center"/>
          </w:tcPr>
          <w:p w14:paraId="350443DA">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7190" w:type="dxa"/>
            <w:vAlign w:val="center"/>
          </w:tcPr>
          <w:p w14:paraId="08F1F935">
            <w:pPr>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瑞安市水库堤防白蚁等害堤动物普查与防治项目</w:t>
            </w:r>
          </w:p>
        </w:tc>
      </w:tr>
      <w:tr w14:paraId="32798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645" w:type="dxa"/>
            <w:vAlign w:val="center"/>
          </w:tcPr>
          <w:p w14:paraId="57588B7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1920" w:type="dxa"/>
            <w:vAlign w:val="center"/>
          </w:tcPr>
          <w:p w14:paraId="69CC697A">
            <w:pPr>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项目编号</w:t>
            </w:r>
          </w:p>
        </w:tc>
        <w:tc>
          <w:tcPr>
            <w:tcW w:w="7190" w:type="dxa"/>
            <w:vAlign w:val="center"/>
          </w:tcPr>
          <w:p w14:paraId="0B3B27E9">
            <w:pPr>
              <w:spacing w:line="360"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zjzs202507021</w:t>
            </w:r>
          </w:p>
        </w:tc>
      </w:tr>
      <w:tr w14:paraId="106EC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vAlign w:val="center"/>
          </w:tcPr>
          <w:p w14:paraId="37B450F1">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3</w:t>
            </w:r>
          </w:p>
        </w:tc>
        <w:tc>
          <w:tcPr>
            <w:tcW w:w="1920" w:type="dxa"/>
            <w:vAlign w:val="center"/>
          </w:tcPr>
          <w:p w14:paraId="491288B4">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7190" w:type="dxa"/>
            <w:vAlign w:val="center"/>
          </w:tcPr>
          <w:p w14:paraId="51E4800E">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财政性资金</w:t>
            </w:r>
          </w:p>
        </w:tc>
      </w:tr>
      <w:tr w14:paraId="10E15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2852C26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1920" w:type="dxa"/>
            <w:vAlign w:val="center"/>
          </w:tcPr>
          <w:p w14:paraId="71ED91FB">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采购人</w:t>
            </w:r>
          </w:p>
        </w:tc>
        <w:tc>
          <w:tcPr>
            <w:tcW w:w="7190" w:type="dxa"/>
            <w:vAlign w:val="center"/>
          </w:tcPr>
          <w:p w14:paraId="44EC93B5">
            <w:pPr>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szCs w:val="21"/>
                <w:highlight w:val="none"/>
              </w:rPr>
              <w:t>名      称</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瑞安市水利局</w:t>
            </w:r>
          </w:p>
          <w:p w14:paraId="7721D1F3">
            <w:pPr>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lang w:eastAsia="zh-CN"/>
              </w:rPr>
              <w:t>瑞安市滨江大道368号气象防汛大楼</w:t>
            </w:r>
          </w:p>
          <w:p w14:paraId="15C22689">
            <w:pPr>
              <w:spacing w:line="360" w:lineRule="auto"/>
              <w:jc w:val="left"/>
              <w:rPr>
                <w:rFonts w:hint="default" w:ascii="宋体" w:hAnsi="宋体" w:eastAsia="宋体" w:cs="宋体"/>
                <w:color w:val="000000"/>
                <w:szCs w:val="21"/>
                <w:highlight w:val="none"/>
                <w:lang w:val="en-US"/>
              </w:rPr>
            </w:pPr>
            <w:r>
              <w:rPr>
                <w:rFonts w:hint="eastAsia" w:ascii="宋体" w:hAnsi="宋体" w:eastAsia="宋体" w:cs="宋体"/>
                <w:color w:val="000000"/>
                <w:szCs w:val="21"/>
                <w:highlight w:val="none"/>
              </w:rPr>
              <w:t>项目联系人：</w:t>
            </w:r>
            <w:r>
              <w:rPr>
                <w:rFonts w:hint="eastAsia" w:ascii="宋体" w:hAnsi="宋体" w:eastAsia="宋体" w:cs="宋体"/>
                <w:color w:val="000000"/>
                <w:szCs w:val="21"/>
                <w:highlight w:val="none"/>
                <w:u w:val="none"/>
                <w:lang w:val="en-US" w:eastAsia="zh-CN"/>
              </w:rPr>
              <w:t xml:space="preserve"> </w:t>
            </w:r>
            <w:r>
              <w:rPr>
                <w:rFonts w:hint="eastAsia" w:ascii="宋体" w:hAnsi="宋体" w:eastAsia="宋体" w:cs="宋体"/>
                <w:color w:val="000000"/>
                <w:szCs w:val="21"/>
                <w:highlight w:val="none"/>
                <w:lang w:val="en-US" w:eastAsia="zh-CN"/>
              </w:rPr>
              <w:t xml:space="preserve">  </w:t>
            </w:r>
          </w:p>
          <w:p w14:paraId="2641CD17">
            <w:pPr>
              <w:spacing w:line="360" w:lineRule="auto"/>
              <w:jc w:val="left"/>
              <w:rPr>
                <w:rFonts w:hint="eastAsia" w:ascii="宋体" w:hAnsi="宋体" w:eastAsia="宋体" w:cs="宋体"/>
                <w:szCs w:val="21"/>
                <w:highlight w:val="none"/>
                <w:lang w:eastAsia="zh-CN"/>
              </w:rPr>
            </w:pPr>
            <w:r>
              <w:rPr>
                <w:rFonts w:hint="eastAsia" w:ascii="宋体" w:hAnsi="宋体" w:eastAsia="宋体" w:cs="宋体"/>
                <w:color w:val="000000"/>
                <w:szCs w:val="21"/>
                <w:highlight w:val="none"/>
              </w:rPr>
              <w:t>联系  电话：</w:t>
            </w:r>
          </w:p>
        </w:tc>
      </w:tr>
      <w:tr w14:paraId="01FA2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vAlign w:val="center"/>
          </w:tcPr>
          <w:p w14:paraId="12661780">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5</w:t>
            </w:r>
          </w:p>
        </w:tc>
        <w:tc>
          <w:tcPr>
            <w:tcW w:w="1920" w:type="dxa"/>
            <w:vAlign w:val="center"/>
          </w:tcPr>
          <w:p w14:paraId="4FAC7DB9">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采购代理机构</w:t>
            </w:r>
          </w:p>
        </w:tc>
        <w:tc>
          <w:tcPr>
            <w:tcW w:w="7190" w:type="dxa"/>
            <w:vAlign w:val="center"/>
          </w:tcPr>
          <w:p w14:paraId="65685489">
            <w:pPr>
              <w:adjustRightIn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名      称：浙江综盛项目管理有限公司</w:t>
            </w:r>
          </w:p>
          <w:p w14:paraId="03012324">
            <w:pPr>
              <w:adjustRightIn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bCs/>
                <w:color w:val="000000"/>
                <w:szCs w:val="21"/>
                <w:highlight w:val="none"/>
              </w:rPr>
              <w:t>瑞安经济开发区朝阳路555号</w:t>
            </w:r>
          </w:p>
          <w:p w14:paraId="077B26AE">
            <w:pPr>
              <w:adjustRightIn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项目负责人：</w:t>
            </w:r>
            <w:r>
              <w:rPr>
                <w:rFonts w:hint="eastAsia" w:ascii="宋体" w:hAnsi="宋体" w:eastAsia="宋体" w:cs="宋体"/>
                <w:color w:val="000000"/>
                <w:szCs w:val="21"/>
                <w:highlight w:val="none"/>
                <w:lang w:val="en-US" w:eastAsia="zh-CN"/>
              </w:rPr>
              <w:t>赵女士</w:t>
            </w:r>
            <w:r>
              <w:rPr>
                <w:rFonts w:hint="eastAsia" w:ascii="宋体" w:hAnsi="宋体" w:eastAsia="宋体" w:cs="宋体"/>
                <w:color w:val="000000"/>
                <w:szCs w:val="21"/>
                <w:highlight w:val="none"/>
              </w:rPr>
              <w:t xml:space="preserve"> </w:t>
            </w:r>
          </w:p>
          <w:p w14:paraId="230D3068">
            <w:pPr>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联系</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电话：17826851140</w:t>
            </w:r>
          </w:p>
        </w:tc>
      </w:tr>
      <w:tr w14:paraId="0A1BA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6" w:hRule="atLeast"/>
          <w:jc w:val="center"/>
        </w:trPr>
        <w:tc>
          <w:tcPr>
            <w:tcW w:w="645" w:type="dxa"/>
            <w:vAlign w:val="center"/>
          </w:tcPr>
          <w:p w14:paraId="1D464B0E">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1920" w:type="dxa"/>
            <w:vAlign w:val="center"/>
          </w:tcPr>
          <w:p w14:paraId="25A16827">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采购内容</w:t>
            </w:r>
          </w:p>
        </w:tc>
        <w:tc>
          <w:tcPr>
            <w:tcW w:w="7190" w:type="dxa"/>
            <w:vAlign w:val="center"/>
          </w:tcPr>
          <w:p w14:paraId="0411219F">
            <w:pPr>
              <w:widowControl/>
              <w:spacing w:line="360" w:lineRule="auto"/>
              <w:rPr>
                <w:rFonts w:ascii="宋体" w:hAnsi="宋体" w:eastAsia="宋体" w:cs="宋体"/>
                <w:color w:val="000000"/>
                <w:szCs w:val="21"/>
                <w:highlight w:val="none"/>
              </w:rPr>
            </w:pPr>
            <w:r>
              <w:rPr>
                <w:rFonts w:hint="eastAsia" w:ascii="宋体" w:hAnsi="宋体" w:eastAsia="宋体" w:cs="宋体"/>
                <w:bCs/>
                <w:color w:val="000000"/>
                <w:szCs w:val="21"/>
                <w:highlight w:val="none"/>
              </w:rPr>
              <w:t>详见磋商文件相关部分</w:t>
            </w:r>
            <w:r>
              <w:rPr>
                <w:rFonts w:hint="eastAsia" w:ascii="宋体" w:hAnsi="宋体" w:eastAsia="宋体" w:cs="宋体"/>
                <w:color w:val="000000"/>
                <w:szCs w:val="21"/>
                <w:highlight w:val="none"/>
              </w:rPr>
              <w:t>。</w:t>
            </w:r>
          </w:p>
        </w:tc>
      </w:tr>
      <w:tr w14:paraId="702DE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7" w:hRule="atLeast"/>
          <w:jc w:val="center"/>
        </w:trPr>
        <w:tc>
          <w:tcPr>
            <w:tcW w:w="645" w:type="dxa"/>
            <w:vAlign w:val="center"/>
          </w:tcPr>
          <w:p w14:paraId="73AA9B6A">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1920" w:type="dxa"/>
            <w:vAlign w:val="center"/>
          </w:tcPr>
          <w:p w14:paraId="5419CAE6">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磋商供应商</w:t>
            </w:r>
          </w:p>
          <w:p w14:paraId="402A443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资格要求</w:t>
            </w:r>
          </w:p>
        </w:tc>
        <w:tc>
          <w:tcPr>
            <w:tcW w:w="7190" w:type="dxa"/>
            <w:vAlign w:val="center"/>
          </w:tcPr>
          <w:p w14:paraId="4EC59024">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1.满足《中华人民共和国政府采购法》第二十二条规定；未被“信用中国”、“中国政府采购网”列入失信被执行人、重大违法案件当事人名单、政府采购严重违法失信行为记录名单。</w:t>
            </w:r>
          </w:p>
          <w:p w14:paraId="7EB90D80">
            <w:pPr>
              <w:pStyle w:val="18"/>
              <w:spacing w:before="0" w:beforeAutospacing="0" w:after="0" w:afterAutospacing="0" w:line="360" w:lineRule="auto"/>
              <w:rPr>
                <w:rFonts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2.落实政府采购政策需满足的资格要求：本项目整体专门面向中小企业采购（残疾人福利性单位和监狱企业视同小微企业）。</w:t>
            </w:r>
          </w:p>
          <w:p w14:paraId="659A4096">
            <w:pPr>
              <w:pStyle w:val="18"/>
              <w:spacing w:before="0" w:beforeAutospacing="0" w:after="0" w:afterAutospacing="0"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3.特定资格条件：</w:t>
            </w:r>
            <w:r>
              <w:rPr>
                <w:rFonts w:hint="eastAsia" w:eastAsia="宋体" w:cs="Times New Roman"/>
                <w:b w:val="0"/>
                <w:bCs w:val="0"/>
                <w:color w:val="auto"/>
                <w:sz w:val="21"/>
                <w:szCs w:val="21"/>
                <w:highlight w:val="none"/>
                <w:lang w:eastAsia="zh-CN"/>
              </w:rPr>
              <w:t>无</w:t>
            </w:r>
            <w:r>
              <w:rPr>
                <w:rFonts w:hint="eastAsia" w:ascii="宋体" w:hAnsi="宋体" w:eastAsia="宋体" w:cs="宋体"/>
                <w:sz w:val="21"/>
                <w:szCs w:val="21"/>
                <w:highlight w:val="none"/>
                <w:lang w:eastAsia="zh-CN"/>
              </w:rPr>
              <w:t>。</w:t>
            </w:r>
          </w:p>
        </w:tc>
      </w:tr>
      <w:tr w14:paraId="70C93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06AB00A2">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1920" w:type="dxa"/>
            <w:vAlign w:val="center"/>
          </w:tcPr>
          <w:p w14:paraId="59D6ABDD">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是否接受联合体</w:t>
            </w:r>
          </w:p>
          <w:p w14:paraId="7C16A1AC">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投标</w:t>
            </w:r>
          </w:p>
        </w:tc>
        <w:tc>
          <w:tcPr>
            <w:tcW w:w="7190" w:type="dxa"/>
            <w:vAlign w:val="center"/>
          </w:tcPr>
          <w:p w14:paraId="30CCF2E9">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不接受</w:t>
            </w:r>
          </w:p>
          <w:p w14:paraId="744D923F">
            <w:pPr>
              <w:adjustRightInd w:val="0"/>
              <w:spacing w:line="360" w:lineRule="auto"/>
              <w:rPr>
                <w:rFonts w:ascii="宋体" w:hAnsi="宋体" w:eastAsia="宋体" w:cs="宋体"/>
                <w:i/>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接受</w:t>
            </w:r>
          </w:p>
        </w:tc>
      </w:tr>
      <w:tr w14:paraId="68AA0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A18D464">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9</w:t>
            </w:r>
          </w:p>
        </w:tc>
        <w:tc>
          <w:tcPr>
            <w:tcW w:w="1920" w:type="dxa"/>
            <w:vAlign w:val="center"/>
          </w:tcPr>
          <w:p w14:paraId="774AA2CC">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踏勘现场</w:t>
            </w:r>
          </w:p>
        </w:tc>
        <w:tc>
          <w:tcPr>
            <w:tcW w:w="7190" w:type="dxa"/>
            <w:vAlign w:val="center"/>
          </w:tcPr>
          <w:p w14:paraId="65010B3F">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rPr>
              <w:t>☑ 不组织</w:t>
            </w:r>
          </w:p>
          <w:p w14:paraId="17FF6265">
            <w:pPr>
              <w:adjustRightInd w:val="0"/>
              <w:spacing w:line="360" w:lineRule="auto"/>
              <w:rPr>
                <w:rFonts w:ascii="宋体" w:hAnsi="宋体" w:eastAsia="宋体" w:cs="宋体"/>
                <w:i/>
                <w:szCs w:val="21"/>
                <w:highlight w:val="none"/>
              </w:rPr>
            </w:pPr>
            <w:r>
              <w:rPr>
                <w:rFonts w:hint="eastAsia" w:ascii="宋体" w:hAnsi="宋体" w:eastAsia="宋体" w:cs="宋体"/>
                <w:szCs w:val="21"/>
                <w:highlight w:val="none"/>
              </w:rPr>
              <w:t>□ 组织    踏勘时间：</w:t>
            </w:r>
            <w:r>
              <w:rPr>
                <w:rFonts w:hint="eastAsia" w:ascii="宋体" w:hAnsi="宋体" w:eastAsia="宋体" w:cs="宋体"/>
                <w:i/>
                <w:szCs w:val="21"/>
                <w:highlight w:val="none"/>
              </w:rPr>
              <w:t xml:space="preserve">             </w:t>
            </w:r>
            <w:r>
              <w:rPr>
                <w:rFonts w:hint="eastAsia" w:ascii="宋体" w:hAnsi="宋体" w:eastAsia="宋体" w:cs="宋体"/>
                <w:szCs w:val="21"/>
                <w:highlight w:val="none"/>
              </w:rPr>
              <w:t xml:space="preserve"> 踏勘集中地点：</w:t>
            </w:r>
          </w:p>
        </w:tc>
      </w:tr>
      <w:tr w14:paraId="06463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66E3B3EC">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10</w:t>
            </w:r>
          </w:p>
        </w:tc>
        <w:tc>
          <w:tcPr>
            <w:tcW w:w="1920" w:type="dxa"/>
            <w:vAlign w:val="center"/>
          </w:tcPr>
          <w:p w14:paraId="1DD8BFF7">
            <w:pPr>
              <w:adjustRightInd w:val="0"/>
              <w:spacing w:line="360" w:lineRule="auto"/>
              <w:jc w:val="center"/>
              <w:rPr>
                <w:rFonts w:hint="eastAsia" w:ascii="宋体" w:hAnsi="宋体" w:eastAsia="宋体" w:cs="宋体"/>
                <w:szCs w:val="21"/>
                <w:highlight w:val="none"/>
              </w:rPr>
            </w:pPr>
          </w:p>
          <w:p w14:paraId="14DAE7D3">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是否允许递交备选投标方案</w:t>
            </w:r>
          </w:p>
        </w:tc>
        <w:tc>
          <w:tcPr>
            <w:tcW w:w="7190" w:type="dxa"/>
            <w:vAlign w:val="center"/>
          </w:tcPr>
          <w:p w14:paraId="4BB17FA8">
            <w:pPr>
              <w:adjustRightInd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 不允许</w:t>
            </w:r>
            <w:r>
              <w:rPr>
                <w:rFonts w:hint="eastAsia" w:ascii="宋体" w:hAnsi="宋体" w:eastAsia="宋体" w:cs="宋体"/>
                <w:szCs w:val="21"/>
                <w:highlight w:val="none"/>
                <w:lang w:eastAsia="zh-CN"/>
              </w:rPr>
              <w:t>：磋商供应商不得递交任何的投标备选（替代）方案，否则其磋商响应文件将作无效标处理。与“电子加密磋商响应文件”同时生成的“备份磋商响应文件”不是投标备选（替代）方案。</w:t>
            </w:r>
          </w:p>
          <w:p w14:paraId="75E77F56">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rPr>
              <w:t>□ 允许</w:t>
            </w:r>
          </w:p>
        </w:tc>
      </w:tr>
      <w:tr w14:paraId="18034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694924E">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11</w:t>
            </w:r>
          </w:p>
        </w:tc>
        <w:tc>
          <w:tcPr>
            <w:tcW w:w="1920" w:type="dxa"/>
            <w:vAlign w:val="center"/>
          </w:tcPr>
          <w:p w14:paraId="6354A8CB">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是否允许分包</w:t>
            </w:r>
          </w:p>
        </w:tc>
        <w:tc>
          <w:tcPr>
            <w:tcW w:w="7190" w:type="dxa"/>
            <w:vAlign w:val="center"/>
          </w:tcPr>
          <w:p w14:paraId="4AC65154">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不允许</w:t>
            </w:r>
          </w:p>
          <w:p w14:paraId="2DCC15A7">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允许</w:t>
            </w:r>
          </w:p>
        </w:tc>
      </w:tr>
      <w:tr w14:paraId="63514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45" w:type="dxa"/>
            <w:vAlign w:val="center"/>
          </w:tcPr>
          <w:p w14:paraId="34576A3E">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12</w:t>
            </w:r>
          </w:p>
        </w:tc>
        <w:tc>
          <w:tcPr>
            <w:tcW w:w="1920" w:type="dxa"/>
            <w:vAlign w:val="center"/>
          </w:tcPr>
          <w:p w14:paraId="32702522">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报价货币</w:t>
            </w:r>
          </w:p>
        </w:tc>
        <w:tc>
          <w:tcPr>
            <w:tcW w:w="7190" w:type="dxa"/>
            <w:vAlign w:val="center"/>
          </w:tcPr>
          <w:p w14:paraId="5D83E50C">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rPr>
              <w:t>人民币</w:t>
            </w:r>
          </w:p>
        </w:tc>
      </w:tr>
      <w:tr w14:paraId="3F758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645" w:type="dxa"/>
            <w:vAlign w:val="center"/>
          </w:tcPr>
          <w:p w14:paraId="58F3E7D0">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13</w:t>
            </w:r>
          </w:p>
        </w:tc>
        <w:tc>
          <w:tcPr>
            <w:tcW w:w="1920" w:type="dxa"/>
            <w:vAlign w:val="center"/>
          </w:tcPr>
          <w:p w14:paraId="6F7FF785">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报价语言</w:t>
            </w:r>
          </w:p>
        </w:tc>
        <w:tc>
          <w:tcPr>
            <w:tcW w:w="7190" w:type="dxa"/>
            <w:vAlign w:val="center"/>
          </w:tcPr>
          <w:p w14:paraId="11A69621">
            <w:pPr>
              <w:adjustRightInd w:val="0"/>
              <w:spacing w:line="360" w:lineRule="auto"/>
              <w:rPr>
                <w:rFonts w:ascii="宋体" w:hAnsi="宋体" w:eastAsia="宋体" w:cs="宋体"/>
                <w:szCs w:val="21"/>
                <w:highlight w:val="none"/>
              </w:rPr>
            </w:pPr>
            <w:r>
              <w:rPr>
                <w:rFonts w:hint="eastAsia" w:ascii="宋体" w:hAnsi="宋体" w:eastAsia="宋体" w:cs="宋体"/>
                <w:szCs w:val="21"/>
                <w:highlight w:val="none"/>
              </w:rPr>
              <w:t>中文</w:t>
            </w:r>
          </w:p>
        </w:tc>
      </w:tr>
      <w:tr w14:paraId="21C9F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3" w:hRule="atLeast"/>
          <w:jc w:val="center"/>
        </w:trPr>
        <w:tc>
          <w:tcPr>
            <w:tcW w:w="645" w:type="dxa"/>
            <w:vAlign w:val="center"/>
          </w:tcPr>
          <w:p w14:paraId="24B9149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14</w:t>
            </w:r>
          </w:p>
        </w:tc>
        <w:tc>
          <w:tcPr>
            <w:tcW w:w="1920" w:type="dxa"/>
            <w:vAlign w:val="center"/>
          </w:tcPr>
          <w:p w14:paraId="1B6C673C">
            <w:pPr>
              <w:spacing w:line="360" w:lineRule="auto"/>
              <w:jc w:val="center"/>
              <w:rPr>
                <w:rFonts w:ascii="宋体" w:hAnsi="宋体" w:eastAsia="宋体" w:cs="宋体"/>
                <w:szCs w:val="21"/>
                <w:highlight w:val="none"/>
              </w:rPr>
            </w:pPr>
          </w:p>
          <w:p w14:paraId="5BDE51C9">
            <w:pPr>
              <w:spacing w:line="360" w:lineRule="auto"/>
              <w:jc w:val="center"/>
              <w:rPr>
                <w:rFonts w:ascii="宋体" w:hAnsi="宋体" w:eastAsia="宋体" w:cs="宋体"/>
                <w:szCs w:val="21"/>
                <w:highlight w:val="none"/>
              </w:rPr>
            </w:pPr>
          </w:p>
          <w:p w14:paraId="4B79336E">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磋商响应文件形式、组成及制作</w:t>
            </w:r>
          </w:p>
        </w:tc>
        <w:tc>
          <w:tcPr>
            <w:tcW w:w="7190" w:type="dxa"/>
            <w:vAlign w:val="center"/>
          </w:tcPr>
          <w:p w14:paraId="4BC1D807">
            <w:pPr>
              <w:pStyle w:val="18"/>
              <w:numPr>
                <w:ilvl w:val="0"/>
                <w:numId w:val="4"/>
              </w:numPr>
              <w:tabs>
                <w:tab w:val="left" w:pos="6930"/>
              </w:tabs>
              <w:spacing w:before="0" w:beforeAutospacing="0" w:after="0" w:afterAutospacing="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的形式：电子</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（包括“电子加密</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”和“备份</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”以及“演示视频文件（如有），在</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编制完成后同时生成）；</w:t>
            </w:r>
          </w:p>
          <w:p w14:paraId="7B41FE96">
            <w:pPr>
              <w:pStyle w:val="18"/>
              <w:numPr>
                <w:ilvl w:val="0"/>
                <w:numId w:val="4"/>
              </w:numPr>
              <w:tabs>
                <w:tab w:val="left" w:pos="6930"/>
              </w:tabs>
              <w:spacing w:before="0" w:beforeAutospacing="0" w:after="0" w:afterAutospacing="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本项目实行在线投标响应（电子投标）。</w:t>
            </w:r>
          </w:p>
          <w:p w14:paraId="11CC7C44">
            <w:pPr>
              <w:pStyle w:val="18"/>
              <w:tabs>
                <w:tab w:val="left" w:pos="6930"/>
              </w:tabs>
              <w:spacing w:before="0" w:beforeAutospacing="0" w:after="0" w:afterAutospacing="0" w:line="360" w:lineRule="auto"/>
              <w:rPr>
                <w:rFonts w:ascii="宋体" w:hAnsi="宋体" w:eastAsia="宋体" w:cs="宋体"/>
                <w:b/>
                <w:bCs/>
                <w:color w:val="auto"/>
                <w:sz w:val="21"/>
                <w:szCs w:val="21"/>
                <w:highlight w:val="none"/>
                <w:u w:val="wave"/>
                <w:lang w:val="zh-CN"/>
              </w:rPr>
            </w:pPr>
            <w:r>
              <w:rPr>
                <w:rFonts w:hint="eastAsia" w:ascii="宋体" w:hAnsi="宋体" w:eastAsia="宋体" w:cs="宋体"/>
                <w:color w:val="auto"/>
                <w:sz w:val="21"/>
                <w:szCs w:val="21"/>
                <w:highlight w:val="none"/>
                <w:lang w:val="zh-CN"/>
              </w:rPr>
              <w:t>（1）“电子加密</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”是指通过“政采云电子交易客户端”完成</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编制后生成并加密的数据电文形式的</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wave"/>
                <w:lang w:val="zh-CN"/>
              </w:rPr>
              <w:t>“电子加密</w:t>
            </w:r>
            <w:r>
              <w:rPr>
                <w:rFonts w:hint="eastAsia" w:ascii="宋体" w:hAnsi="宋体" w:eastAsia="宋体" w:cs="宋体"/>
                <w:b/>
                <w:bCs/>
                <w:color w:val="auto"/>
                <w:sz w:val="21"/>
                <w:szCs w:val="21"/>
                <w:highlight w:val="none"/>
                <w:u w:val="wave"/>
              </w:rPr>
              <w:t>响应文件</w:t>
            </w:r>
            <w:r>
              <w:rPr>
                <w:rFonts w:hint="eastAsia" w:ascii="宋体" w:hAnsi="宋体" w:eastAsia="宋体" w:cs="宋体"/>
                <w:b/>
                <w:bCs/>
                <w:color w:val="auto"/>
                <w:sz w:val="21"/>
                <w:szCs w:val="21"/>
                <w:highlight w:val="none"/>
                <w:u w:val="wave"/>
                <w:lang w:val="zh-CN"/>
              </w:rPr>
              <w:t>”</w:t>
            </w:r>
            <w:r>
              <w:rPr>
                <w:rFonts w:hint="eastAsia" w:ascii="宋体" w:hAnsi="宋体" w:eastAsia="宋体" w:cs="宋体"/>
                <w:b/>
                <w:bCs/>
                <w:color w:val="auto"/>
                <w:sz w:val="21"/>
                <w:szCs w:val="21"/>
                <w:highlight w:val="none"/>
                <w:u w:val="wave"/>
              </w:rPr>
              <w:t>文件格式为（.jmbs）。</w:t>
            </w:r>
          </w:p>
          <w:p w14:paraId="19CF2A13">
            <w:pPr>
              <w:pStyle w:val="18"/>
              <w:tabs>
                <w:tab w:val="left" w:pos="6930"/>
              </w:tabs>
              <w:spacing w:before="0" w:beforeAutospacing="0" w:after="0" w:afterAutospacing="0" w:line="360" w:lineRule="auto"/>
              <w:rPr>
                <w:rFonts w:ascii="宋体" w:hAnsi="宋体" w:eastAsia="宋体" w:cs="宋体"/>
                <w:b/>
                <w:bCs/>
                <w:color w:val="auto"/>
                <w:sz w:val="21"/>
                <w:szCs w:val="21"/>
                <w:highlight w:val="none"/>
                <w:u w:val="wave"/>
              </w:rPr>
            </w:pPr>
            <w:r>
              <w:rPr>
                <w:rFonts w:hint="eastAsia" w:ascii="宋体" w:hAnsi="宋体" w:eastAsia="宋体" w:cs="宋体"/>
                <w:color w:val="auto"/>
                <w:sz w:val="21"/>
                <w:szCs w:val="21"/>
                <w:highlight w:val="none"/>
                <w:lang w:val="zh-CN"/>
              </w:rPr>
              <w:t>（2）“备份</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”是指与“电子加密</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”同时生成的数据电文形式的电子文件（备份标书），其他方式编制的备份</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视为无效备份</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wave"/>
                <w:lang w:val="zh-CN"/>
              </w:rPr>
              <w:t>“备份</w:t>
            </w:r>
            <w:r>
              <w:rPr>
                <w:rFonts w:hint="eastAsia" w:ascii="宋体" w:hAnsi="宋体" w:eastAsia="宋体" w:cs="宋体"/>
                <w:b/>
                <w:bCs/>
                <w:color w:val="auto"/>
                <w:sz w:val="21"/>
                <w:szCs w:val="21"/>
                <w:highlight w:val="none"/>
                <w:u w:val="wave"/>
              </w:rPr>
              <w:t>响应文件</w:t>
            </w:r>
            <w:r>
              <w:rPr>
                <w:rFonts w:hint="eastAsia" w:ascii="宋体" w:hAnsi="宋体" w:eastAsia="宋体" w:cs="宋体"/>
                <w:b/>
                <w:bCs/>
                <w:color w:val="auto"/>
                <w:sz w:val="21"/>
                <w:szCs w:val="21"/>
                <w:highlight w:val="none"/>
                <w:u w:val="wave"/>
                <w:lang w:val="zh-CN"/>
              </w:rPr>
              <w:t>”</w:t>
            </w:r>
            <w:r>
              <w:rPr>
                <w:rFonts w:hint="eastAsia" w:ascii="宋体" w:hAnsi="宋体" w:eastAsia="宋体" w:cs="宋体"/>
                <w:b/>
                <w:bCs/>
                <w:color w:val="auto"/>
                <w:sz w:val="21"/>
                <w:szCs w:val="21"/>
                <w:highlight w:val="none"/>
                <w:u w:val="wave"/>
              </w:rPr>
              <w:t>文件格式为（.bfbs）。</w:t>
            </w:r>
          </w:p>
          <w:p w14:paraId="04C6A5AC">
            <w:pPr>
              <w:pStyle w:val="18"/>
              <w:tabs>
                <w:tab w:val="left" w:pos="6930"/>
              </w:tabs>
              <w:spacing w:before="0" w:beforeAutospacing="0" w:after="0" w:afterAutospacing="0"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以上两类投标文件均由资格审查资料、商务技术文件、报价文件三部分组成。</w:t>
            </w:r>
          </w:p>
          <w:p w14:paraId="32FC4B57">
            <w:pPr>
              <w:pStyle w:val="18"/>
              <w:tabs>
                <w:tab w:val="left" w:pos="6930"/>
              </w:tabs>
              <w:spacing w:before="0" w:beforeAutospacing="0" w:after="0" w:afterAutospacing="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（3）投标人根据本项目采购内容和需求以及商务技术文件评审细则制作的演示视频文件（如有）。</w:t>
            </w:r>
          </w:p>
          <w:p w14:paraId="7D6DEFE8">
            <w:pPr>
              <w:pStyle w:val="18"/>
              <w:tabs>
                <w:tab w:val="left" w:pos="6930"/>
              </w:tabs>
              <w:spacing w:before="0" w:beforeAutospacing="0" w:after="0" w:afterAutospacing="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电子加密响应文件制作：应按政采云平台供应商项目采购-电子招投标操作指南、加密并递交。</w:t>
            </w:r>
          </w:p>
        </w:tc>
      </w:tr>
      <w:tr w14:paraId="0999A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6" w:hRule="atLeast"/>
          <w:jc w:val="center"/>
        </w:trPr>
        <w:tc>
          <w:tcPr>
            <w:tcW w:w="645" w:type="dxa"/>
            <w:vAlign w:val="center"/>
          </w:tcPr>
          <w:p w14:paraId="64BF4286">
            <w:pPr>
              <w:spacing w:line="276" w:lineRule="auto"/>
              <w:jc w:val="center"/>
              <w:rPr>
                <w:rFonts w:ascii="宋体" w:hAnsi="宋体" w:eastAsia="宋体" w:cs="宋体"/>
                <w:szCs w:val="21"/>
                <w:highlight w:val="none"/>
              </w:rPr>
            </w:pPr>
            <w:r>
              <w:rPr>
                <w:rFonts w:hint="eastAsia" w:ascii="宋体" w:hAnsi="宋体" w:eastAsia="宋体" w:cs="宋体"/>
                <w:szCs w:val="21"/>
                <w:highlight w:val="none"/>
              </w:rPr>
              <w:t>15</w:t>
            </w:r>
          </w:p>
        </w:tc>
        <w:tc>
          <w:tcPr>
            <w:tcW w:w="1920" w:type="dxa"/>
            <w:vAlign w:val="center"/>
          </w:tcPr>
          <w:p w14:paraId="3CAFFB55">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响应文件有效期</w:t>
            </w:r>
          </w:p>
        </w:tc>
        <w:tc>
          <w:tcPr>
            <w:tcW w:w="7190" w:type="dxa"/>
            <w:vAlign w:val="center"/>
          </w:tcPr>
          <w:p w14:paraId="5858B4CB">
            <w:pPr>
              <w:spacing w:line="360" w:lineRule="auto"/>
              <w:rPr>
                <w:rFonts w:ascii="宋体" w:hAnsi="宋体" w:eastAsia="宋体" w:cs="宋体"/>
                <w:szCs w:val="21"/>
                <w:highlight w:val="none"/>
              </w:rPr>
            </w:pPr>
            <w:r>
              <w:rPr>
                <w:rFonts w:hint="eastAsia" w:ascii="宋体" w:hAnsi="宋体" w:eastAsia="宋体" w:cs="宋体"/>
                <w:szCs w:val="21"/>
                <w:highlight w:val="none"/>
              </w:rPr>
              <w:t>磋商响应文件截止时间起</w:t>
            </w:r>
            <w:r>
              <w:rPr>
                <w:rFonts w:hint="eastAsia" w:ascii="宋体" w:hAnsi="宋体" w:eastAsia="宋体" w:cs="宋体"/>
                <w:szCs w:val="21"/>
                <w:highlight w:val="none"/>
                <w:lang w:val="en-US" w:eastAsia="zh-CN"/>
              </w:rPr>
              <w:t>90</w:t>
            </w:r>
            <w:r>
              <w:rPr>
                <w:rFonts w:hint="eastAsia" w:ascii="宋体" w:hAnsi="宋体" w:eastAsia="宋体" w:cs="宋体"/>
                <w:szCs w:val="21"/>
                <w:highlight w:val="none"/>
              </w:rPr>
              <w:t>日历天</w:t>
            </w:r>
          </w:p>
        </w:tc>
      </w:tr>
      <w:tr w14:paraId="4F150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5410D6F2">
            <w:pPr>
              <w:spacing w:line="276" w:lineRule="auto"/>
              <w:jc w:val="center"/>
              <w:rPr>
                <w:rFonts w:ascii="宋体" w:hAnsi="宋体" w:eastAsia="宋体" w:cs="宋体"/>
                <w:szCs w:val="21"/>
                <w:highlight w:val="none"/>
              </w:rPr>
            </w:pPr>
            <w:r>
              <w:rPr>
                <w:rFonts w:hint="eastAsia" w:ascii="宋体" w:hAnsi="宋体" w:eastAsia="宋体" w:cs="宋体"/>
                <w:szCs w:val="21"/>
                <w:highlight w:val="none"/>
              </w:rPr>
              <w:t>16</w:t>
            </w:r>
          </w:p>
        </w:tc>
        <w:tc>
          <w:tcPr>
            <w:tcW w:w="1920" w:type="dxa"/>
            <w:vAlign w:val="center"/>
          </w:tcPr>
          <w:p w14:paraId="23D18C15">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签字或盖章要求</w:t>
            </w:r>
          </w:p>
        </w:tc>
        <w:tc>
          <w:tcPr>
            <w:tcW w:w="7190" w:type="dxa"/>
            <w:vAlign w:val="center"/>
          </w:tcPr>
          <w:p w14:paraId="16F27215">
            <w:pPr>
              <w:numPr>
                <w:ilvl w:val="0"/>
                <w:numId w:val="5"/>
              </w:numPr>
              <w:spacing w:line="360" w:lineRule="auto"/>
              <w:rPr>
                <w:rStyle w:val="29"/>
                <w:rFonts w:hint="eastAsia" w:ascii="宋体" w:hAnsi="宋体" w:eastAsia="宋体" w:cs="宋体"/>
                <w:szCs w:val="21"/>
                <w:highlight w:val="none"/>
              </w:rPr>
            </w:pPr>
            <w:r>
              <w:rPr>
                <w:rStyle w:val="29"/>
                <w:rFonts w:hint="eastAsia" w:ascii="宋体" w:hAnsi="宋体" w:eastAsia="宋体" w:cs="宋体"/>
                <w:szCs w:val="21"/>
                <w:highlight w:val="none"/>
              </w:rPr>
              <w:t>响应文件中所须加盖</w:t>
            </w:r>
            <w:r>
              <w:rPr>
                <w:rStyle w:val="29"/>
                <w:rFonts w:hint="eastAsia" w:ascii="宋体" w:hAnsi="宋体" w:eastAsia="宋体" w:cs="宋体"/>
                <w:szCs w:val="21"/>
                <w:highlight w:val="none"/>
                <w:lang w:val="en-US" w:eastAsia="zh-CN"/>
              </w:rPr>
              <w:t>供应商</w:t>
            </w:r>
            <w:r>
              <w:rPr>
                <w:rStyle w:val="29"/>
                <w:rFonts w:hint="eastAsia" w:ascii="宋体" w:hAnsi="宋体" w:eastAsia="宋体" w:cs="宋体"/>
                <w:szCs w:val="21"/>
                <w:highlight w:val="none"/>
              </w:rPr>
              <w:t>公章部分均采用CA电子签章，法定代表人和授权代表签字或盖章可书面签字或盖章后扫描至电子加密响应文件中上传。</w:t>
            </w:r>
          </w:p>
          <w:p w14:paraId="4B54C05E">
            <w:pPr>
              <w:numPr>
                <w:ilvl w:val="0"/>
                <w:numId w:val="5"/>
              </w:numPr>
              <w:spacing w:line="360" w:lineRule="auto"/>
              <w:rPr>
                <w:rStyle w:val="29"/>
                <w:rFonts w:hint="eastAsia" w:ascii="宋体" w:hAnsi="宋体" w:eastAsia="宋体" w:cs="宋体"/>
                <w:szCs w:val="21"/>
                <w:highlight w:val="none"/>
              </w:rPr>
            </w:pPr>
            <w:r>
              <w:rPr>
                <w:rStyle w:val="29"/>
                <w:rFonts w:hint="eastAsia" w:ascii="宋体" w:hAnsi="宋体" w:eastAsia="宋体" w:cs="宋体"/>
                <w:szCs w:val="21"/>
                <w:highlight w:val="none"/>
              </w:rPr>
              <w:t>政采云系统平台有新的操作流程的，按其规定</w:t>
            </w:r>
            <w:r>
              <w:rPr>
                <w:rStyle w:val="29"/>
                <w:rFonts w:hint="eastAsia" w:ascii="宋体" w:hAnsi="宋体" w:eastAsia="宋体" w:cs="宋体"/>
                <w:szCs w:val="21"/>
                <w:highlight w:val="none"/>
                <w:lang w:val="en-US" w:eastAsia="zh-CN"/>
              </w:rPr>
              <w:t>进行。</w:t>
            </w:r>
          </w:p>
          <w:p w14:paraId="3B1ED44B">
            <w:pPr>
              <w:numPr>
                <w:ilvl w:val="0"/>
                <w:numId w:val="5"/>
              </w:numPr>
              <w:spacing w:line="360" w:lineRule="auto"/>
              <w:rPr>
                <w:rStyle w:val="29"/>
                <w:rFonts w:hint="eastAsia" w:ascii="宋体" w:hAnsi="宋体" w:eastAsia="宋体" w:cs="宋体"/>
                <w:szCs w:val="21"/>
                <w:highlight w:val="none"/>
              </w:rPr>
            </w:pPr>
            <w:r>
              <w:rPr>
                <w:rStyle w:val="29"/>
                <w:rFonts w:hint="eastAsia" w:ascii="宋体" w:hAnsi="宋体" w:eastAsia="宋体" w:cs="宋体"/>
                <w:szCs w:val="21"/>
                <w:highlight w:val="none"/>
              </w:rPr>
              <w:t>中标后的纸质磋商响应文件中所涉及的公章必须是磋商供应商全称的公章，不得使用投标专用章、合同章等类似图章代替，所涉及法定代表人或授权代表的签字由法定代表人或授权代表本人签字或盖章。</w:t>
            </w:r>
          </w:p>
        </w:tc>
      </w:tr>
      <w:tr w14:paraId="18A68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0" w:hRule="atLeast"/>
          <w:jc w:val="center"/>
        </w:trPr>
        <w:tc>
          <w:tcPr>
            <w:tcW w:w="645" w:type="dxa"/>
            <w:vAlign w:val="center"/>
          </w:tcPr>
          <w:p w14:paraId="235827D4">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17</w:t>
            </w:r>
          </w:p>
        </w:tc>
        <w:tc>
          <w:tcPr>
            <w:tcW w:w="1920" w:type="dxa"/>
            <w:vAlign w:val="center"/>
          </w:tcPr>
          <w:p w14:paraId="3D949DAF">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磋商样品</w:t>
            </w:r>
          </w:p>
        </w:tc>
        <w:tc>
          <w:tcPr>
            <w:tcW w:w="7190" w:type="dxa"/>
            <w:vAlign w:val="center"/>
          </w:tcPr>
          <w:p w14:paraId="0D221FB5">
            <w:pPr>
              <w:spacing w:line="360" w:lineRule="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不需要</w:t>
            </w:r>
          </w:p>
          <w:p w14:paraId="7CA19F2E">
            <w:pPr>
              <w:spacing w:line="360" w:lineRule="auto"/>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需要</w:t>
            </w:r>
          </w:p>
        </w:tc>
      </w:tr>
      <w:tr w14:paraId="46296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645" w:type="dxa"/>
            <w:vAlign w:val="center"/>
          </w:tcPr>
          <w:p w14:paraId="3B5E1491">
            <w:pPr>
              <w:jc w:val="center"/>
              <w:rPr>
                <w:rFonts w:ascii="宋体" w:hAnsi="宋体" w:eastAsia="宋体" w:cs="宋体"/>
                <w:szCs w:val="21"/>
                <w:highlight w:val="none"/>
              </w:rPr>
            </w:pPr>
            <w:r>
              <w:rPr>
                <w:rFonts w:hint="eastAsia" w:ascii="宋体" w:hAnsi="宋体" w:eastAsia="宋体" w:cs="宋体"/>
                <w:szCs w:val="21"/>
                <w:highlight w:val="none"/>
              </w:rPr>
              <w:t>18</w:t>
            </w:r>
          </w:p>
        </w:tc>
        <w:tc>
          <w:tcPr>
            <w:tcW w:w="1920" w:type="dxa"/>
            <w:vAlign w:val="center"/>
          </w:tcPr>
          <w:p w14:paraId="51EEBDB8">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磋商保证金</w:t>
            </w:r>
          </w:p>
        </w:tc>
        <w:tc>
          <w:tcPr>
            <w:tcW w:w="7190" w:type="dxa"/>
            <w:vAlign w:val="center"/>
          </w:tcPr>
          <w:p w14:paraId="5F379C41">
            <w:pPr>
              <w:spacing w:before="120" w:after="120" w:line="360" w:lineRule="auto"/>
              <w:rPr>
                <w:rFonts w:ascii="宋体" w:hAnsi="宋体" w:eastAsia="宋体" w:cs="宋体"/>
                <w:szCs w:val="21"/>
                <w:highlight w:val="none"/>
              </w:rPr>
            </w:pPr>
            <w:r>
              <w:rPr>
                <w:rFonts w:hint="eastAsia" w:ascii="宋体" w:hAnsi="宋体" w:eastAsia="宋体" w:cs="宋体"/>
                <w:szCs w:val="21"/>
                <w:highlight w:val="none"/>
              </w:rPr>
              <w:t xml:space="preserve">□ 需要 </w:t>
            </w:r>
            <w:r>
              <w:rPr>
                <w:rFonts w:hint="eastAsia" w:ascii="宋体" w:hAnsi="宋体" w:eastAsia="宋体" w:cs="宋体"/>
                <w:b/>
                <w:szCs w:val="21"/>
                <w:highlight w:val="none"/>
              </w:rPr>
              <w:t xml:space="preserve"> </w:t>
            </w:r>
          </w:p>
          <w:p w14:paraId="7B80C62F">
            <w:pPr>
              <w:spacing w:before="120" w:after="120" w:line="360" w:lineRule="auto"/>
              <w:rPr>
                <w:rFonts w:ascii="宋体" w:hAnsi="宋体" w:eastAsia="宋体" w:cs="宋体"/>
                <w:szCs w:val="21"/>
                <w:highlight w:val="none"/>
              </w:rPr>
            </w:pPr>
            <w:r>
              <w:rPr>
                <w:rFonts w:hint="eastAsia" w:ascii="宋体" w:hAnsi="宋体" w:eastAsia="宋体" w:cs="宋体"/>
                <w:szCs w:val="21"/>
                <w:highlight w:val="none"/>
              </w:rPr>
              <w:t>☑ 不需要</w:t>
            </w:r>
          </w:p>
        </w:tc>
      </w:tr>
      <w:tr w14:paraId="10974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77DA19D7">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19</w:t>
            </w:r>
          </w:p>
        </w:tc>
        <w:tc>
          <w:tcPr>
            <w:tcW w:w="1920" w:type="dxa"/>
            <w:vAlign w:val="center"/>
          </w:tcPr>
          <w:p w14:paraId="381000B1">
            <w:pPr>
              <w:adjustRightIn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履约担保</w:t>
            </w:r>
          </w:p>
        </w:tc>
        <w:tc>
          <w:tcPr>
            <w:tcW w:w="7190" w:type="dxa"/>
            <w:vAlign w:val="center"/>
          </w:tcPr>
          <w:p w14:paraId="675538F6">
            <w:pPr>
              <w:spacing w:line="360" w:lineRule="auto"/>
              <w:ind w:left="1058" w:hanging="1058" w:hangingChars="504"/>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不需要</w:t>
            </w:r>
          </w:p>
          <w:p w14:paraId="768C6F7F">
            <w:pPr>
              <w:spacing w:line="360" w:lineRule="auto"/>
              <w:ind w:left="1058" w:hanging="1058" w:hangingChars="504"/>
              <w:rPr>
                <w:rFonts w:hint="eastAsia" w:ascii="宋体" w:hAnsi="宋体" w:eastAsia="宋体" w:cs="宋体"/>
                <w:b/>
                <w:bCs/>
                <w:szCs w:val="21"/>
                <w:highlight w:val="none"/>
                <w:u w:val="singl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 需要：</w:t>
            </w:r>
            <w:r>
              <w:rPr>
                <w:rFonts w:hint="eastAsia" w:ascii="宋体" w:hAnsi="宋体" w:eastAsia="宋体" w:cs="宋体"/>
                <w:b/>
                <w:bCs/>
                <w:szCs w:val="21"/>
                <w:highlight w:val="none"/>
                <w:u w:val="single"/>
              </w:rPr>
              <w:t>成交供应商需向采购人缴纳</w:t>
            </w:r>
            <w:r>
              <w:rPr>
                <w:rFonts w:hint="eastAsia" w:ascii="宋体" w:hAnsi="宋体" w:eastAsia="宋体" w:cs="宋体"/>
                <w:b/>
                <w:bCs/>
                <w:szCs w:val="21"/>
                <w:highlight w:val="none"/>
                <w:u w:val="single"/>
                <w:lang w:val="en-US" w:eastAsia="zh-CN"/>
              </w:rPr>
              <w:t>合同价款</w:t>
            </w:r>
            <w:r>
              <w:rPr>
                <w:rFonts w:hint="eastAsia" w:ascii="宋体" w:hAnsi="宋体" w:eastAsia="宋体" w:cs="宋体"/>
                <w:b/>
                <w:bCs/>
                <w:szCs w:val="21"/>
                <w:highlight w:val="none"/>
                <w:u w:val="single"/>
              </w:rPr>
              <w:t>的1%的履约保证金。</w:t>
            </w:r>
          </w:p>
          <w:p w14:paraId="45B2A025">
            <w:pPr>
              <w:spacing w:line="360" w:lineRule="auto"/>
              <w:ind w:left="988" w:leftChars="179" w:hanging="612" w:hangingChars="303"/>
              <w:rPr>
                <w:rFonts w:hint="eastAsia" w:ascii="宋体" w:hAnsi="宋体" w:eastAsia="宋体" w:cs="宋体"/>
                <w:szCs w:val="21"/>
                <w:highlight w:val="none"/>
                <w:lang w:eastAsia="zh-CN"/>
              </w:rPr>
            </w:pPr>
            <w:r>
              <w:rPr>
                <w:rFonts w:hint="eastAsia" w:ascii="宋体" w:hAnsi="宋体" w:eastAsia="宋体" w:cs="宋体"/>
                <w:spacing w:val="-4"/>
                <w:szCs w:val="21"/>
                <w:highlight w:val="none"/>
                <w:lang w:eastAsia="zh-CN"/>
              </w:rPr>
              <w:t>（</w:t>
            </w:r>
            <w:r>
              <w:rPr>
                <w:rFonts w:hint="eastAsia" w:ascii="宋体" w:hAnsi="宋体" w:eastAsia="宋体" w:cs="宋体"/>
                <w:highlight w:val="none"/>
              </w:rPr>
              <w:t>银行转账、转帐支票、银行汇票、保险或金融机构出具的保函等</w:t>
            </w:r>
            <w:r>
              <w:rPr>
                <w:rFonts w:hint="eastAsia" w:ascii="宋体" w:hAnsi="宋体" w:eastAsia="宋体" w:cs="宋体"/>
                <w:spacing w:val="-4"/>
                <w:szCs w:val="21"/>
                <w:highlight w:val="none"/>
                <w:lang w:eastAsia="zh-CN"/>
              </w:rPr>
              <w:t>）</w:t>
            </w:r>
          </w:p>
        </w:tc>
      </w:tr>
      <w:tr w14:paraId="10F34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795FEBD7">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20</w:t>
            </w:r>
          </w:p>
        </w:tc>
        <w:tc>
          <w:tcPr>
            <w:tcW w:w="1920" w:type="dxa"/>
            <w:vAlign w:val="center"/>
          </w:tcPr>
          <w:p w14:paraId="694A2EAB">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磋商文件发售时间及获取方式</w:t>
            </w:r>
          </w:p>
        </w:tc>
        <w:tc>
          <w:tcPr>
            <w:tcW w:w="7190" w:type="dxa"/>
            <w:vAlign w:val="center"/>
          </w:tcPr>
          <w:p w14:paraId="59029E88">
            <w:pPr>
              <w:pStyle w:val="3"/>
              <w:spacing w:before="0" w:after="0" w:line="360" w:lineRule="auto"/>
              <w:rPr>
                <w:rFonts w:ascii="宋体" w:hAnsi="宋体" w:eastAsia="宋体" w:cs="宋体"/>
                <w:b w:val="0"/>
                <w:sz w:val="21"/>
                <w:szCs w:val="21"/>
                <w:highlight w:val="none"/>
              </w:rPr>
            </w:pPr>
            <w:bookmarkStart w:id="49" w:name="_Toc31756"/>
            <w:bookmarkStart w:id="50" w:name="_Toc32286"/>
            <w:bookmarkStart w:id="51" w:name="_Toc30382"/>
            <w:bookmarkStart w:id="52" w:name="_Toc21050"/>
            <w:bookmarkStart w:id="53" w:name="_Toc11736"/>
            <w:bookmarkStart w:id="54" w:name="_Toc19437"/>
            <w:bookmarkStart w:id="55" w:name="_Toc12411"/>
            <w:bookmarkStart w:id="56" w:name="_Toc13087"/>
            <w:bookmarkStart w:id="57" w:name="_Toc18019"/>
            <w:bookmarkStart w:id="58" w:name="_Toc15475"/>
            <w:bookmarkStart w:id="59" w:name="_Toc3692"/>
            <w:bookmarkStart w:id="60" w:name="_Toc29775"/>
            <w:bookmarkStart w:id="61" w:name="_Toc12557"/>
            <w:r>
              <w:rPr>
                <w:rFonts w:hint="eastAsia" w:ascii="宋体" w:hAnsi="宋体" w:eastAsia="宋体" w:cs="宋体"/>
                <w:b w:val="0"/>
                <w:sz w:val="21"/>
                <w:szCs w:val="21"/>
                <w:highlight w:val="none"/>
              </w:rPr>
              <w:t>时间：/</w:t>
            </w:r>
            <w:r>
              <w:rPr>
                <w:rFonts w:hint="eastAsia" w:ascii="宋体" w:hAnsi="宋体" w:eastAsia="宋体" w:cs="宋体"/>
                <w:b w:val="0"/>
                <w:bCs w:val="0"/>
                <w:color w:val="auto"/>
                <w:sz w:val="21"/>
                <w:szCs w:val="21"/>
                <w:highlight w:val="none"/>
                <w:u w:val="none"/>
                <w:lang w:eastAsia="zh-CN"/>
              </w:rPr>
              <w:t>2025年09月09日15:00</w:t>
            </w:r>
            <w:r>
              <w:rPr>
                <w:rFonts w:hint="eastAsia" w:ascii="宋体" w:hAnsi="宋体" w:eastAsia="宋体" w:cs="宋体"/>
                <w:b w:val="0"/>
                <w:sz w:val="21"/>
                <w:szCs w:val="21"/>
                <w:highlight w:val="none"/>
              </w:rPr>
              <w:t>，每天上午00:00至12:00，下午12:00至23:59（北京时间，线上获取法定节假日均可，线下获取文件法定节假日除外）</w:t>
            </w:r>
            <w:bookmarkEnd w:id="49"/>
            <w:bookmarkEnd w:id="50"/>
            <w:bookmarkEnd w:id="51"/>
            <w:bookmarkEnd w:id="52"/>
            <w:bookmarkEnd w:id="53"/>
            <w:bookmarkEnd w:id="54"/>
            <w:bookmarkEnd w:id="55"/>
            <w:bookmarkEnd w:id="56"/>
            <w:bookmarkEnd w:id="57"/>
            <w:bookmarkEnd w:id="58"/>
            <w:bookmarkEnd w:id="59"/>
            <w:bookmarkEnd w:id="60"/>
            <w:bookmarkEnd w:id="61"/>
          </w:p>
          <w:p w14:paraId="696162D1">
            <w:pPr>
              <w:pStyle w:val="3"/>
              <w:spacing w:before="0" w:after="0" w:line="360" w:lineRule="auto"/>
              <w:rPr>
                <w:rFonts w:ascii="宋体" w:hAnsi="宋体" w:eastAsia="宋体" w:cs="宋体"/>
                <w:b w:val="0"/>
                <w:sz w:val="21"/>
                <w:szCs w:val="21"/>
                <w:highlight w:val="none"/>
              </w:rPr>
            </w:pPr>
            <w:bookmarkStart w:id="62" w:name="_Toc3482"/>
            <w:bookmarkStart w:id="63" w:name="_Toc9556"/>
            <w:bookmarkStart w:id="64" w:name="_Toc12314"/>
            <w:bookmarkStart w:id="65" w:name="_Toc23947"/>
            <w:bookmarkStart w:id="66" w:name="_Toc28054"/>
            <w:bookmarkStart w:id="67" w:name="_Toc24755"/>
            <w:bookmarkStart w:id="68" w:name="_Toc28843"/>
            <w:bookmarkStart w:id="69" w:name="_Toc2430"/>
            <w:bookmarkStart w:id="70" w:name="_Toc6967"/>
            <w:bookmarkStart w:id="71" w:name="_Toc2669"/>
            <w:bookmarkStart w:id="72" w:name="_Toc11493"/>
            <w:bookmarkStart w:id="73" w:name="_Toc27784"/>
            <w:bookmarkStart w:id="74" w:name="_Toc2937"/>
            <w:r>
              <w:rPr>
                <w:rFonts w:hint="eastAsia" w:ascii="宋体" w:hAnsi="宋体" w:eastAsia="宋体" w:cs="宋体"/>
                <w:b w:val="0"/>
                <w:sz w:val="21"/>
                <w:szCs w:val="21"/>
                <w:highlight w:val="none"/>
              </w:rPr>
              <w:t>地点（网址）：</w:t>
            </w:r>
            <w:bookmarkEnd w:id="62"/>
            <w:bookmarkEnd w:id="63"/>
            <w:bookmarkEnd w:id="64"/>
            <w:r>
              <w:rPr>
                <w:rFonts w:hint="eastAsia" w:ascii="宋体" w:hAnsi="宋体" w:eastAsia="宋体" w:cs="宋体"/>
                <w:b w:val="0"/>
                <w:sz w:val="21"/>
                <w:szCs w:val="21"/>
                <w:highlight w:val="none"/>
              </w:rPr>
              <w:t>政采云平台https://www.zcygov.cn/</w:t>
            </w:r>
            <w:bookmarkEnd w:id="65"/>
            <w:bookmarkEnd w:id="66"/>
            <w:bookmarkEnd w:id="67"/>
            <w:bookmarkEnd w:id="68"/>
            <w:bookmarkEnd w:id="69"/>
            <w:bookmarkEnd w:id="70"/>
            <w:bookmarkEnd w:id="71"/>
            <w:bookmarkEnd w:id="72"/>
            <w:bookmarkEnd w:id="73"/>
            <w:bookmarkEnd w:id="74"/>
          </w:p>
          <w:p w14:paraId="5BA08890">
            <w:pPr>
              <w:spacing w:line="360" w:lineRule="auto"/>
              <w:rPr>
                <w:rFonts w:ascii="宋体" w:hAnsi="宋体" w:eastAsia="宋体" w:cs="宋体"/>
                <w:szCs w:val="21"/>
                <w:highlight w:val="none"/>
              </w:rPr>
            </w:pPr>
            <w:bookmarkStart w:id="75" w:name="_Toc6094"/>
            <w:bookmarkStart w:id="76" w:name="_Toc31345"/>
            <w:bookmarkStart w:id="77" w:name="_Toc6088"/>
            <w:r>
              <w:rPr>
                <w:rFonts w:hint="eastAsia" w:ascii="宋体" w:hAnsi="宋体" w:eastAsia="宋体" w:cs="宋体"/>
                <w:szCs w:val="21"/>
                <w:highlight w:val="none"/>
              </w:rPr>
              <w:t>方式：供应商登录政采云平台https://www.zcygov.cn/在线申请获取采购文件（进入“项目采购”应用，在获取采购文件菜单中选择项目，申请获取采购文件）。</w:t>
            </w:r>
            <w:bookmarkEnd w:id="75"/>
            <w:bookmarkEnd w:id="76"/>
            <w:bookmarkEnd w:id="77"/>
            <w:r>
              <w:rPr>
                <w:rFonts w:hint="eastAsia" w:ascii="宋体" w:hAnsi="宋体" w:eastAsia="宋体" w:cs="宋体"/>
                <w:szCs w:val="21"/>
                <w:highlight w:val="none"/>
              </w:rPr>
              <w:t xml:space="preserve">  </w:t>
            </w:r>
          </w:p>
        </w:tc>
      </w:tr>
      <w:tr w14:paraId="1711D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3FCEEB63">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21</w:t>
            </w:r>
          </w:p>
        </w:tc>
        <w:tc>
          <w:tcPr>
            <w:tcW w:w="1920" w:type="dxa"/>
            <w:vAlign w:val="center"/>
          </w:tcPr>
          <w:p w14:paraId="7C6FB6F8">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磋商截止时间</w:t>
            </w:r>
          </w:p>
        </w:tc>
        <w:tc>
          <w:tcPr>
            <w:tcW w:w="7190" w:type="dxa"/>
            <w:vAlign w:val="center"/>
          </w:tcPr>
          <w:p w14:paraId="2018A396">
            <w:pPr>
              <w:spacing w:line="360" w:lineRule="exact"/>
              <w:rPr>
                <w:rFonts w:hint="eastAsia" w:ascii="宋体" w:hAnsi="宋体" w:eastAsia="宋体" w:cs="宋体"/>
                <w:szCs w:val="21"/>
                <w:highlight w:val="none"/>
                <w:lang w:eastAsia="zh-CN"/>
              </w:rPr>
            </w:pPr>
            <w:r>
              <w:rPr>
                <w:rFonts w:hint="eastAsia" w:ascii="宋体" w:hAnsi="宋体" w:eastAsia="宋体" w:cs="宋体"/>
                <w:b w:val="0"/>
                <w:bCs w:val="0"/>
                <w:color w:val="auto"/>
                <w:sz w:val="21"/>
                <w:szCs w:val="21"/>
                <w:highlight w:val="none"/>
                <w:u w:val="none"/>
                <w:lang w:eastAsia="zh-CN"/>
              </w:rPr>
              <w:t>2025年09月09日15:00</w:t>
            </w:r>
            <w:r>
              <w:rPr>
                <w:rFonts w:hint="eastAsia" w:ascii="宋体" w:hAnsi="宋体" w:eastAsia="宋体" w:cs="宋体"/>
                <w:szCs w:val="21"/>
                <w:highlight w:val="none"/>
              </w:rPr>
              <w:t>止</w:t>
            </w:r>
            <w:r>
              <w:rPr>
                <w:rFonts w:hint="eastAsia" w:ascii="宋体" w:hAnsi="宋体" w:eastAsia="宋体" w:cs="宋体"/>
                <w:szCs w:val="21"/>
                <w:highlight w:val="none"/>
                <w:lang w:eastAsia="zh-CN"/>
              </w:rPr>
              <w:t>（</w:t>
            </w:r>
            <w:r>
              <w:rPr>
                <w:rFonts w:hint="eastAsia" w:ascii="宋体" w:hAnsi="宋体" w:eastAsia="宋体" w:cs="宋体"/>
                <w:szCs w:val="21"/>
                <w:highlight w:val="none"/>
              </w:rPr>
              <w:t>北京时间</w:t>
            </w:r>
            <w:r>
              <w:rPr>
                <w:rFonts w:hint="eastAsia" w:ascii="宋体" w:hAnsi="宋体" w:eastAsia="宋体" w:cs="宋体"/>
                <w:szCs w:val="21"/>
                <w:highlight w:val="none"/>
                <w:lang w:eastAsia="zh-CN"/>
              </w:rPr>
              <w:t>）</w:t>
            </w:r>
          </w:p>
        </w:tc>
      </w:tr>
      <w:tr w14:paraId="679AD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4EFC356C">
            <w:pPr>
              <w:spacing w:line="340" w:lineRule="exact"/>
              <w:jc w:val="center"/>
              <w:rPr>
                <w:rFonts w:ascii="宋体" w:hAnsi="宋体" w:eastAsia="宋体" w:cs="宋体"/>
                <w:szCs w:val="21"/>
                <w:highlight w:val="none"/>
              </w:rPr>
            </w:pPr>
            <w:r>
              <w:rPr>
                <w:rFonts w:hint="eastAsia" w:ascii="宋体" w:hAnsi="宋体" w:eastAsia="宋体" w:cs="宋体"/>
                <w:szCs w:val="21"/>
                <w:highlight w:val="none"/>
              </w:rPr>
              <w:t>22</w:t>
            </w:r>
          </w:p>
        </w:tc>
        <w:tc>
          <w:tcPr>
            <w:tcW w:w="1920" w:type="dxa"/>
            <w:vAlign w:val="center"/>
          </w:tcPr>
          <w:p w14:paraId="032232DE">
            <w:pPr>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响应文件递交方式</w:t>
            </w:r>
          </w:p>
        </w:tc>
        <w:tc>
          <w:tcPr>
            <w:tcW w:w="7190" w:type="dxa"/>
            <w:vAlign w:val="center"/>
          </w:tcPr>
          <w:p w14:paraId="33DF26FA">
            <w:pPr>
              <w:numPr>
                <w:ilvl w:val="0"/>
                <w:numId w:val="6"/>
              </w:numPr>
              <w:spacing w:line="360" w:lineRule="auto"/>
              <w:rPr>
                <w:rFonts w:ascii="宋体" w:hAnsi="宋体" w:eastAsia="宋体" w:cs="宋体"/>
                <w:szCs w:val="21"/>
                <w:highlight w:val="none"/>
              </w:rPr>
            </w:pPr>
            <w:r>
              <w:rPr>
                <w:rFonts w:hint="eastAsia" w:ascii="宋体" w:hAnsi="宋体" w:eastAsia="宋体" w:cs="宋体"/>
                <w:szCs w:val="21"/>
                <w:highlight w:val="none"/>
              </w:rPr>
              <w:t>“电子加密</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文件”的上传、递交：</w:t>
            </w:r>
          </w:p>
          <w:p w14:paraId="642C3358">
            <w:pPr>
              <w:spacing w:line="360" w:lineRule="auto"/>
              <w:rPr>
                <w:rFonts w:ascii="宋体" w:hAnsi="宋体" w:eastAsia="宋体" w:cs="宋体"/>
                <w:szCs w:val="21"/>
                <w:highlight w:val="none"/>
              </w:rPr>
            </w:pPr>
            <w:r>
              <w:rPr>
                <w:rFonts w:hint="eastAsia" w:ascii="宋体" w:hAnsi="宋体" w:eastAsia="宋体" w:cs="宋体"/>
                <w:szCs w:val="21"/>
                <w:highlight w:val="none"/>
              </w:rPr>
              <w:t>a.投标人应在投标文件递交截止时间前将“电子加密</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文件”成功上传递交至“政采云平台”，否则投标无效。</w:t>
            </w:r>
          </w:p>
          <w:p w14:paraId="57BDFCCC">
            <w:pPr>
              <w:spacing w:line="360" w:lineRule="auto"/>
              <w:rPr>
                <w:rFonts w:ascii="宋体" w:hAnsi="宋体" w:eastAsia="宋体" w:cs="宋体"/>
                <w:szCs w:val="21"/>
                <w:highlight w:val="none"/>
              </w:rPr>
            </w:pPr>
            <w:r>
              <w:rPr>
                <w:rFonts w:hint="eastAsia" w:ascii="宋体" w:hAnsi="宋体" w:eastAsia="宋体" w:cs="宋体"/>
                <w:szCs w:val="21"/>
                <w:highlight w:val="none"/>
              </w:rPr>
              <w:t>b.“电子加密</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文件”成功上传递交后，供应商可自行打印</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文件接收回执。</w:t>
            </w:r>
          </w:p>
          <w:p w14:paraId="235C895C">
            <w:pPr>
              <w:spacing w:line="360" w:lineRule="auto"/>
              <w:rPr>
                <w:rFonts w:ascii="宋体" w:hAnsi="宋体" w:eastAsia="宋体" w:cs="宋体"/>
                <w:szCs w:val="21"/>
                <w:highlight w:val="none"/>
              </w:rPr>
            </w:pPr>
            <w:r>
              <w:rPr>
                <w:rFonts w:hint="eastAsia" w:ascii="宋体" w:hAnsi="宋体" w:eastAsia="宋体" w:cs="宋体"/>
                <w:szCs w:val="21"/>
                <w:highlight w:val="none"/>
              </w:rPr>
              <w:t>（2）“备份</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文件”的密封包装、递交：</w:t>
            </w:r>
          </w:p>
          <w:p w14:paraId="6C86E918">
            <w:pPr>
              <w:spacing w:line="360" w:lineRule="auto"/>
              <w:rPr>
                <w:rFonts w:ascii="宋体" w:hAnsi="宋体" w:eastAsia="宋体" w:cs="宋体"/>
                <w:szCs w:val="21"/>
                <w:highlight w:val="none"/>
                <w:u w:val="single"/>
              </w:rPr>
            </w:pPr>
            <w:r>
              <w:rPr>
                <w:rFonts w:hint="eastAsia" w:ascii="宋体" w:hAnsi="宋体" w:eastAsia="宋体" w:cs="宋体"/>
                <w:szCs w:val="21"/>
                <w:highlight w:val="none"/>
              </w:rPr>
              <w:t>建议供应商在磋商响应文件提交截止时间之前将备份</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文件以电子邮件方式提交至采购代理机构指定邮箱，邮件标题注明项目名称及供应商名称。提交的备份</w:t>
            </w:r>
            <w:r>
              <w:rPr>
                <w:rFonts w:hint="eastAsia" w:ascii="宋体" w:hAnsi="宋体" w:cs="宋体"/>
                <w:bCs/>
                <w:color w:val="auto"/>
                <w:szCs w:val="21"/>
                <w:highlight w:val="none"/>
                <w:lang w:bidi="ar"/>
              </w:rPr>
              <w:t>响应</w:t>
            </w:r>
            <w:r>
              <w:rPr>
                <w:rFonts w:hint="eastAsia" w:ascii="宋体" w:hAnsi="宋体" w:eastAsia="宋体" w:cs="宋体"/>
                <w:szCs w:val="21"/>
                <w:highlight w:val="none"/>
              </w:rPr>
              <w:t>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tc>
      </w:tr>
      <w:tr w14:paraId="3E074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7" w:hRule="atLeast"/>
          <w:jc w:val="center"/>
        </w:trPr>
        <w:tc>
          <w:tcPr>
            <w:tcW w:w="645" w:type="dxa"/>
            <w:vAlign w:val="center"/>
          </w:tcPr>
          <w:p w14:paraId="16C7CE01">
            <w:pPr>
              <w:spacing w:line="340" w:lineRule="exact"/>
              <w:jc w:val="center"/>
              <w:rPr>
                <w:rFonts w:ascii="宋体" w:hAnsi="宋体" w:eastAsia="宋体" w:cs="宋体"/>
                <w:szCs w:val="21"/>
                <w:highlight w:val="none"/>
              </w:rPr>
            </w:pPr>
            <w:r>
              <w:rPr>
                <w:rFonts w:hint="eastAsia" w:ascii="宋体" w:hAnsi="宋体" w:eastAsia="宋体" w:cs="宋体"/>
                <w:szCs w:val="21"/>
                <w:highlight w:val="none"/>
              </w:rPr>
              <w:t>23</w:t>
            </w:r>
          </w:p>
        </w:tc>
        <w:tc>
          <w:tcPr>
            <w:tcW w:w="1920" w:type="dxa"/>
            <w:vAlign w:val="center"/>
          </w:tcPr>
          <w:p w14:paraId="46DF21A9">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磋商开始时间</w:t>
            </w:r>
          </w:p>
          <w:p w14:paraId="3FC6F26A">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磋商地点</w:t>
            </w:r>
          </w:p>
        </w:tc>
        <w:tc>
          <w:tcPr>
            <w:tcW w:w="7190" w:type="dxa"/>
            <w:vAlign w:val="center"/>
          </w:tcPr>
          <w:p w14:paraId="03653EDB">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磋商开始时间：</w:t>
            </w:r>
            <w:r>
              <w:rPr>
                <w:rFonts w:hint="eastAsia" w:ascii="宋体" w:hAnsi="宋体" w:eastAsia="宋体" w:cs="宋体"/>
                <w:color w:val="auto"/>
                <w:sz w:val="21"/>
                <w:szCs w:val="21"/>
                <w:highlight w:val="none"/>
                <w:u w:val="single"/>
                <w:lang w:eastAsia="zh-CN"/>
              </w:rPr>
              <w:t>2025年09月09日15:00</w:t>
            </w:r>
            <w:r>
              <w:rPr>
                <w:rFonts w:hint="eastAsia" w:ascii="宋体" w:hAnsi="宋体" w:eastAsia="宋体" w:cs="宋体"/>
                <w:szCs w:val="21"/>
                <w:highlight w:val="none"/>
              </w:rPr>
              <w:t>正</w:t>
            </w:r>
            <w:r>
              <w:rPr>
                <w:rFonts w:hint="eastAsia" w:ascii="宋体" w:hAnsi="宋体" w:eastAsia="宋体" w:cs="宋体"/>
                <w:szCs w:val="21"/>
                <w:highlight w:val="none"/>
                <w:lang w:eastAsia="zh-CN"/>
              </w:rPr>
              <w:t>（</w:t>
            </w:r>
            <w:r>
              <w:rPr>
                <w:rFonts w:hint="eastAsia" w:ascii="宋体" w:hAnsi="宋体" w:eastAsia="宋体" w:cs="宋体"/>
                <w:szCs w:val="21"/>
                <w:highlight w:val="none"/>
              </w:rPr>
              <w:t>北京时间</w:t>
            </w:r>
            <w:r>
              <w:rPr>
                <w:rFonts w:hint="eastAsia" w:ascii="宋体" w:hAnsi="宋体" w:eastAsia="宋体" w:cs="宋体"/>
                <w:szCs w:val="21"/>
                <w:highlight w:val="none"/>
                <w:lang w:eastAsia="zh-CN"/>
              </w:rPr>
              <w:t>）</w:t>
            </w:r>
          </w:p>
          <w:p w14:paraId="73A1A53E">
            <w:pPr>
              <w:spacing w:line="360" w:lineRule="auto"/>
              <w:rPr>
                <w:rFonts w:ascii="宋体" w:hAnsi="宋体" w:eastAsia="宋体" w:cs="宋体"/>
                <w:szCs w:val="21"/>
                <w:highlight w:val="none"/>
              </w:rPr>
            </w:pPr>
            <w:r>
              <w:rPr>
                <w:rFonts w:hint="eastAsia" w:ascii="宋体" w:hAnsi="宋体" w:eastAsia="宋体" w:cs="宋体"/>
                <w:szCs w:val="21"/>
                <w:highlight w:val="none"/>
              </w:rPr>
              <w:t>磋商地点：政府采购云平台（www.zcygov.cn）。</w:t>
            </w:r>
          </w:p>
        </w:tc>
      </w:tr>
      <w:tr w14:paraId="7659C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14:paraId="5E735FBB">
            <w:pPr>
              <w:spacing w:line="340" w:lineRule="exact"/>
              <w:jc w:val="center"/>
              <w:rPr>
                <w:rFonts w:ascii="宋体" w:hAnsi="宋体" w:eastAsia="宋体" w:cs="宋体"/>
                <w:szCs w:val="21"/>
                <w:highlight w:val="none"/>
              </w:rPr>
            </w:pPr>
            <w:r>
              <w:rPr>
                <w:rFonts w:hint="eastAsia" w:ascii="宋体" w:hAnsi="宋体" w:eastAsia="宋体" w:cs="宋体"/>
                <w:szCs w:val="21"/>
                <w:highlight w:val="none"/>
              </w:rPr>
              <w:t>24</w:t>
            </w:r>
          </w:p>
        </w:tc>
        <w:tc>
          <w:tcPr>
            <w:tcW w:w="1920" w:type="dxa"/>
            <w:vAlign w:val="center"/>
          </w:tcPr>
          <w:p w14:paraId="3F95C576">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电子加密响应文件的解密和异常情况处理</w:t>
            </w:r>
          </w:p>
        </w:tc>
        <w:tc>
          <w:tcPr>
            <w:tcW w:w="7190" w:type="dxa"/>
            <w:vAlign w:val="center"/>
          </w:tcPr>
          <w:p w14:paraId="6E08CC04">
            <w:pPr>
              <w:spacing w:line="360" w:lineRule="auto"/>
              <w:rPr>
                <w:rFonts w:ascii="宋体" w:hAnsi="宋体" w:eastAsia="宋体" w:cs="宋体"/>
                <w:szCs w:val="21"/>
                <w:highlight w:val="none"/>
              </w:rPr>
            </w:pPr>
            <w:r>
              <w:rPr>
                <w:rFonts w:hint="eastAsia" w:ascii="宋体" w:hAnsi="宋体" w:eastAsia="宋体" w:cs="宋体"/>
                <w:szCs w:val="21"/>
                <w:highlight w:val="none"/>
              </w:rPr>
              <w:t>（1）开标后，采购组织机构将向各供应商发出“电子加密响应文件”的解密通知，各供应商代表应当在接到解密通知后</w:t>
            </w:r>
            <w:r>
              <w:rPr>
                <w:rFonts w:hint="eastAsia" w:ascii="宋体" w:hAnsi="宋体" w:eastAsia="宋体" w:cs="宋体"/>
                <w:szCs w:val="21"/>
                <w:highlight w:val="none"/>
                <w:u w:val="single"/>
              </w:rPr>
              <w:t>30分钟内</w:t>
            </w:r>
            <w:r>
              <w:rPr>
                <w:rFonts w:hint="eastAsia" w:ascii="宋体" w:hAnsi="宋体" w:eastAsia="宋体" w:cs="宋体"/>
                <w:szCs w:val="21"/>
                <w:highlight w:val="none"/>
              </w:rPr>
              <w:t>自行完成“电子加密响应文件”的在线解密。</w:t>
            </w:r>
          </w:p>
          <w:p w14:paraId="2A692016">
            <w:pPr>
              <w:spacing w:line="360" w:lineRule="auto"/>
              <w:rPr>
                <w:rFonts w:ascii="宋体" w:hAnsi="宋体" w:eastAsia="宋体" w:cs="宋体"/>
                <w:szCs w:val="21"/>
                <w:highlight w:val="none"/>
              </w:rPr>
            </w:pPr>
            <w:r>
              <w:rPr>
                <w:rFonts w:hint="eastAsia" w:ascii="宋体" w:hAnsi="宋体" w:eastAsia="宋体" w:cs="宋体"/>
                <w:szCs w:val="21"/>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7EAA6F55">
            <w:pPr>
              <w:spacing w:line="360" w:lineRule="auto"/>
              <w:rPr>
                <w:rFonts w:ascii="宋体" w:hAnsi="宋体" w:eastAsia="宋体" w:cs="宋体"/>
                <w:szCs w:val="21"/>
                <w:highlight w:val="none"/>
              </w:rPr>
            </w:pPr>
            <w:r>
              <w:rPr>
                <w:rFonts w:hint="eastAsia" w:ascii="宋体" w:hAnsi="宋体" w:eastAsia="宋体" w:cs="宋体"/>
                <w:szCs w:val="21"/>
                <w:highlight w:val="none"/>
              </w:rPr>
              <w:t>（3）投标截止时间止，供应商仅递交了“备份响应文件”而未将电子加密响应文件上传至“政府采购云平台”的，投标无效。</w:t>
            </w:r>
          </w:p>
        </w:tc>
      </w:tr>
      <w:tr w14:paraId="0628E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1" w:hRule="atLeast"/>
          <w:jc w:val="center"/>
        </w:trPr>
        <w:tc>
          <w:tcPr>
            <w:tcW w:w="645" w:type="dxa"/>
            <w:vAlign w:val="center"/>
          </w:tcPr>
          <w:p w14:paraId="4487F759">
            <w:pPr>
              <w:spacing w:line="340" w:lineRule="exact"/>
              <w:jc w:val="center"/>
              <w:rPr>
                <w:rFonts w:ascii="宋体" w:hAnsi="宋体" w:eastAsia="宋体" w:cs="宋体"/>
                <w:szCs w:val="21"/>
                <w:highlight w:val="none"/>
              </w:rPr>
            </w:pPr>
            <w:r>
              <w:rPr>
                <w:rFonts w:hint="eastAsia" w:ascii="宋体" w:hAnsi="宋体" w:eastAsia="宋体" w:cs="宋体"/>
                <w:szCs w:val="21"/>
                <w:highlight w:val="none"/>
              </w:rPr>
              <w:t>25</w:t>
            </w:r>
          </w:p>
        </w:tc>
        <w:tc>
          <w:tcPr>
            <w:tcW w:w="1920" w:type="dxa"/>
            <w:vAlign w:val="center"/>
          </w:tcPr>
          <w:p w14:paraId="129BF2CD">
            <w:pPr>
              <w:spacing w:line="360" w:lineRule="auto"/>
              <w:jc w:val="center"/>
              <w:rPr>
                <w:rFonts w:ascii="宋体" w:hAnsi="宋体" w:eastAsia="宋体" w:cs="宋体"/>
                <w:szCs w:val="21"/>
                <w:highlight w:val="none"/>
              </w:rPr>
            </w:pP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程序</w:t>
            </w:r>
          </w:p>
        </w:tc>
        <w:tc>
          <w:tcPr>
            <w:tcW w:w="7190" w:type="dxa"/>
            <w:vAlign w:val="center"/>
          </w:tcPr>
          <w:p w14:paraId="77B81657">
            <w:pPr>
              <w:numPr>
                <w:ilvl w:val="0"/>
                <w:numId w:val="7"/>
              </w:numPr>
              <w:spacing w:line="360" w:lineRule="auto"/>
              <w:ind w:firstLine="0"/>
              <w:rPr>
                <w:highlight w:val="none"/>
              </w:rPr>
            </w:pPr>
            <w:r>
              <w:rPr>
                <w:rFonts w:hint="eastAsia"/>
                <w:highlight w:val="none"/>
              </w:rPr>
              <w:t>采购代理机构按照磋商文件规定的时间通过政采云平台组织开标，所有磋商供应商准时在线参加。</w:t>
            </w:r>
          </w:p>
          <w:p w14:paraId="10058E34">
            <w:pPr>
              <w:numPr>
                <w:ilvl w:val="0"/>
                <w:numId w:val="7"/>
              </w:numPr>
              <w:tabs>
                <w:tab w:val="left" w:pos="-6"/>
              </w:tabs>
              <w:spacing w:line="360" w:lineRule="auto"/>
              <w:ind w:firstLine="0"/>
              <w:rPr>
                <w:highlight w:val="none"/>
              </w:rPr>
            </w:pPr>
            <w:r>
              <w:rPr>
                <w:rFonts w:hint="eastAsia"/>
                <w:highlight w:val="none"/>
              </w:rPr>
              <w:t>开标时，政采云平台自动提取所有磋商响应文件，提示采购代理机构和磋商供应商按磋商文件规定的方式和时间在线解密。磋商供应商在线解密的时间为磋商截止时间起30分钟。</w:t>
            </w:r>
          </w:p>
          <w:p w14:paraId="1F5D9023">
            <w:pPr>
              <w:numPr>
                <w:ilvl w:val="0"/>
                <w:numId w:val="7"/>
              </w:numPr>
              <w:tabs>
                <w:tab w:val="left" w:pos="-6"/>
              </w:tabs>
              <w:spacing w:line="360" w:lineRule="auto"/>
              <w:ind w:firstLine="0"/>
              <w:rPr>
                <w:highlight w:val="none"/>
              </w:rPr>
            </w:pPr>
            <w:r>
              <w:rPr>
                <w:rFonts w:hint="eastAsia"/>
                <w:highlight w:val="none"/>
              </w:rPr>
              <w:t>磋商供应商的电子磋商响应文件未在规定时间内成功解密的，供应商按要求提交了备份响应文件和解压缩密码的，由采购代理机构按政采云平台操作规范将备份响应文件上传。</w:t>
            </w:r>
          </w:p>
          <w:p w14:paraId="21A1B3D3">
            <w:pPr>
              <w:numPr>
                <w:ilvl w:val="0"/>
                <w:numId w:val="7"/>
              </w:numPr>
              <w:spacing w:line="360" w:lineRule="auto"/>
              <w:ind w:firstLine="0"/>
              <w:rPr>
                <w:highlight w:val="none"/>
              </w:rPr>
            </w:pPr>
            <w:r>
              <w:rPr>
                <w:rFonts w:hint="eastAsia"/>
                <w:highlight w:val="none"/>
              </w:rPr>
              <w:t>解密结束后，各供应商授权代表完整填写《政府采购活动现场确认声明书》并签字后扫描，以电子邮件方式传送至采购代理机构指定电子邮箱。</w:t>
            </w:r>
          </w:p>
          <w:p w14:paraId="7216C188">
            <w:pPr>
              <w:numPr>
                <w:ilvl w:val="0"/>
                <w:numId w:val="7"/>
              </w:numPr>
              <w:spacing w:line="360" w:lineRule="auto"/>
              <w:ind w:firstLine="0"/>
              <w:rPr>
                <w:highlight w:val="none"/>
              </w:rPr>
            </w:pPr>
            <w:r>
              <w:rPr>
                <w:rFonts w:hint="eastAsia"/>
                <w:highlight w:val="none"/>
              </w:rPr>
              <w:t>磋商小组审阅响应文件</w:t>
            </w:r>
            <w:r>
              <w:rPr>
                <w:rFonts w:hint="eastAsia"/>
                <w:highlight w:val="none"/>
                <w:lang w:eastAsia="zh-CN"/>
              </w:rPr>
              <w:t>。</w:t>
            </w:r>
          </w:p>
          <w:p w14:paraId="2800BA81">
            <w:pPr>
              <w:numPr>
                <w:ilvl w:val="0"/>
                <w:numId w:val="7"/>
              </w:numPr>
              <w:spacing w:line="360" w:lineRule="auto"/>
              <w:ind w:firstLine="0"/>
              <w:rPr>
                <w:highlight w:val="none"/>
              </w:rPr>
            </w:pPr>
            <w:r>
              <w:rPr>
                <w:rFonts w:hint="eastAsia"/>
                <w:highlight w:val="none"/>
              </w:rPr>
              <w:t>磋商小组分别与各供应商在线磋商并确定最终方案</w:t>
            </w:r>
            <w:r>
              <w:rPr>
                <w:rFonts w:hint="eastAsia"/>
                <w:highlight w:val="none"/>
                <w:lang w:eastAsia="zh-CN"/>
              </w:rPr>
              <w:t>。</w:t>
            </w:r>
          </w:p>
          <w:p w14:paraId="7D55BCC5">
            <w:pPr>
              <w:numPr>
                <w:ilvl w:val="0"/>
                <w:numId w:val="7"/>
              </w:numPr>
              <w:spacing w:line="360" w:lineRule="auto"/>
              <w:ind w:firstLine="0"/>
              <w:rPr>
                <w:highlight w:val="none"/>
              </w:rPr>
            </w:pPr>
            <w:r>
              <w:rPr>
                <w:rFonts w:hint="eastAsia"/>
                <w:highlight w:val="none"/>
              </w:rPr>
              <w:t>供应商按照磋商文件的变动情况和磋商小组的要求重新提交响应文件</w:t>
            </w:r>
            <w:r>
              <w:rPr>
                <w:rFonts w:hint="eastAsia"/>
                <w:highlight w:val="none"/>
                <w:lang w:eastAsia="zh-CN"/>
              </w:rPr>
              <w:t>。</w:t>
            </w:r>
          </w:p>
          <w:p w14:paraId="6AC7084E">
            <w:pPr>
              <w:numPr>
                <w:ilvl w:val="0"/>
                <w:numId w:val="7"/>
              </w:numPr>
              <w:spacing w:line="360" w:lineRule="auto"/>
              <w:ind w:firstLine="0"/>
              <w:rPr>
                <w:highlight w:val="none"/>
              </w:rPr>
            </w:pPr>
            <w:r>
              <w:rPr>
                <w:rFonts w:hint="eastAsia"/>
                <w:highlight w:val="none"/>
              </w:rPr>
              <w:t>磋商小组对资格文件进行评审</w:t>
            </w:r>
            <w:r>
              <w:rPr>
                <w:rFonts w:hint="eastAsia"/>
                <w:highlight w:val="none"/>
                <w:lang w:eastAsia="zh-CN"/>
              </w:rPr>
              <w:t>。</w:t>
            </w:r>
          </w:p>
          <w:p w14:paraId="4C383D2C">
            <w:pPr>
              <w:numPr>
                <w:ilvl w:val="0"/>
                <w:numId w:val="7"/>
              </w:numPr>
              <w:spacing w:line="360" w:lineRule="auto"/>
              <w:ind w:firstLine="0"/>
              <w:rPr>
                <w:highlight w:val="none"/>
              </w:rPr>
            </w:pPr>
            <w:r>
              <w:rPr>
                <w:rFonts w:hint="eastAsia"/>
                <w:highlight w:val="none"/>
              </w:rPr>
              <w:t>磋商小组对商务技术响应文件进行评审。</w:t>
            </w:r>
          </w:p>
          <w:p w14:paraId="530C2CFC">
            <w:pPr>
              <w:numPr>
                <w:ilvl w:val="0"/>
                <w:numId w:val="7"/>
              </w:numPr>
              <w:spacing w:line="360" w:lineRule="auto"/>
              <w:ind w:firstLine="0"/>
              <w:rPr>
                <w:highlight w:val="none"/>
              </w:rPr>
            </w:pPr>
            <w:r>
              <w:rPr>
                <w:rFonts w:hint="eastAsia"/>
                <w:highlight w:val="none"/>
              </w:rPr>
              <w:t>磋商小组在磋商结束后，要求所有继续参加磋商的供应商在规定时间内在线提交最后报价，超过规定时间提交的报价作无效处理。已提交响应文件的供应商，在提交最后报价之前，可以根据磋商情况退出磋商。</w:t>
            </w:r>
          </w:p>
          <w:p w14:paraId="55CDB538">
            <w:pPr>
              <w:numPr>
                <w:ilvl w:val="0"/>
                <w:numId w:val="7"/>
              </w:numPr>
              <w:spacing w:line="360" w:lineRule="auto"/>
              <w:ind w:firstLine="0"/>
              <w:rPr>
                <w:highlight w:val="none"/>
              </w:rPr>
            </w:pPr>
            <w:r>
              <w:rPr>
                <w:rFonts w:hint="eastAsia"/>
                <w:highlight w:val="none"/>
              </w:rPr>
              <w:t>由磋商小组采用综合评分法对提交最后报价的供应商的响应文件和最后报价进行综合评分。</w:t>
            </w:r>
          </w:p>
          <w:p w14:paraId="2650580A">
            <w:pPr>
              <w:numPr>
                <w:ilvl w:val="0"/>
                <w:numId w:val="7"/>
              </w:numPr>
              <w:spacing w:line="360" w:lineRule="auto"/>
              <w:ind w:firstLine="0"/>
              <w:rPr>
                <w:highlight w:val="none"/>
              </w:rPr>
            </w:pPr>
            <w:r>
              <w:rPr>
                <w:rFonts w:hint="eastAsia"/>
                <w:highlight w:val="none"/>
              </w:rPr>
              <w:t>磋商小组根据综合评分情况，按照评审得分由高到低顺序推荐成交候选供应商</w:t>
            </w:r>
            <w:r>
              <w:rPr>
                <w:rFonts w:hint="eastAsia"/>
                <w:highlight w:val="none"/>
                <w:lang w:eastAsia="zh-CN"/>
              </w:rPr>
              <w:t>。</w:t>
            </w:r>
          </w:p>
          <w:p w14:paraId="56422E86">
            <w:pPr>
              <w:numPr>
                <w:ilvl w:val="0"/>
                <w:numId w:val="7"/>
              </w:numPr>
              <w:spacing w:line="360" w:lineRule="auto"/>
              <w:ind w:firstLine="0"/>
              <w:rPr>
                <w:highlight w:val="none"/>
              </w:rPr>
            </w:pPr>
            <w:r>
              <w:rPr>
                <w:rFonts w:hint="eastAsia"/>
                <w:highlight w:val="none"/>
              </w:rPr>
              <w:t>在系统上公布评审结果</w:t>
            </w:r>
            <w:r>
              <w:rPr>
                <w:rFonts w:hint="eastAsia"/>
                <w:highlight w:val="none"/>
                <w:lang w:eastAsia="zh-CN"/>
              </w:rPr>
              <w:t>。</w:t>
            </w:r>
          </w:p>
          <w:p w14:paraId="6DFBD143">
            <w:pPr>
              <w:bidi w:val="0"/>
              <w:spacing w:line="360" w:lineRule="auto"/>
              <w:rPr>
                <w:highlight w:val="none"/>
              </w:rPr>
            </w:pPr>
            <w:r>
              <w:rPr>
                <w:rFonts w:hint="eastAsia"/>
                <w:b/>
                <w:bCs/>
                <w:highlight w:val="none"/>
              </w:rPr>
              <w:t>特别说明：政采云平台如对电子化开标及评审程序有调整的，按调整后的程序操作。</w:t>
            </w:r>
          </w:p>
        </w:tc>
      </w:tr>
      <w:tr w14:paraId="5A63F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79765903">
            <w:pPr>
              <w:spacing w:line="340" w:lineRule="exact"/>
              <w:jc w:val="center"/>
              <w:rPr>
                <w:rFonts w:ascii="宋体" w:hAnsi="宋体" w:eastAsia="宋体" w:cs="宋体"/>
                <w:szCs w:val="21"/>
                <w:highlight w:val="none"/>
              </w:rPr>
            </w:pPr>
            <w:r>
              <w:rPr>
                <w:rFonts w:hint="eastAsia" w:ascii="宋体" w:hAnsi="宋体" w:eastAsia="宋体" w:cs="宋体"/>
                <w:szCs w:val="21"/>
                <w:highlight w:val="none"/>
              </w:rPr>
              <w:t>26</w:t>
            </w:r>
          </w:p>
        </w:tc>
        <w:tc>
          <w:tcPr>
            <w:tcW w:w="1920" w:type="dxa"/>
            <w:vAlign w:val="center"/>
          </w:tcPr>
          <w:p w14:paraId="0B0CB1E8">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磋商小组的组建</w:t>
            </w:r>
          </w:p>
        </w:tc>
        <w:tc>
          <w:tcPr>
            <w:tcW w:w="7190" w:type="dxa"/>
            <w:vAlign w:val="center"/>
          </w:tcPr>
          <w:p w14:paraId="56050CA7">
            <w:pPr>
              <w:spacing w:line="360" w:lineRule="auto"/>
              <w:rPr>
                <w:rFonts w:ascii="宋体" w:hAnsi="宋体" w:eastAsia="宋体" w:cs="宋体"/>
                <w:szCs w:val="21"/>
                <w:highlight w:val="none"/>
              </w:rPr>
            </w:pPr>
            <w:r>
              <w:rPr>
                <w:rFonts w:hint="eastAsia" w:ascii="宋体" w:hAnsi="宋体" w:eastAsia="宋体" w:cs="宋体"/>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14:paraId="10EC2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vAlign w:val="center"/>
          </w:tcPr>
          <w:p w14:paraId="2E302671">
            <w:pPr>
              <w:spacing w:line="340" w:lineRule="exact"/>
              <w:jc w:val="center"/>
              <w:rPr>
                <w:rFonts w:ascii="宋体" w:hAnsi="宋体" w:eastAsia="宋体" w:cs="宋体"/>
                <w:szCs w:val="21"/>
                <w:highlight w:val="none"/>
              </w:rPr>
            </w:pPr>
            <w:r>
              <w:rPr>
                <w:rFonts w:hint="eastAsia" w:ascii="宋体" w:hAnsi="宋体" w:eastAsia="宋体" w:cs="宋体"/>
                <w:szCs w:val="21"/>
                <w:highlight w:val="none"/>
              </w:rPr>
              <w:t>27</w:t>
            </w:r>
          </w:p>
        </w:tc>
        <w:tc>
          <w:tcPr>
            <w:tcW w:w="1920" w:type="dxa"/>
            <w:vAlign w:val="center"/>
          </w:tcPr>
          <w:p w14:paraId="12FB11DB">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落实政府采购支持中小企业、监狱企业及残疾人福利性单位发展政策</w:t>
            </w:r>
          </w:p>
        </w:tc>
        <w:tc>
          <w:tcPr>
            <w:tcW w:w="7190" w:type="dxa"/>
            <w:vAlign w:val="center"/>
          </w:tcPr>
          <w:p w14:paraId="72D85109">
            <w:pPr>
              <w:spacing w:line="360" w:lineRule="auto"/>
              <w:ind w:left="199" w:hanging="199" w:hangingChars="95"/>
              <w:rPr>
                <w:rFonts w:hint="eastAsia" w:ascii="宋体" w:hAnsi="宋体" w:eastAsia="宋体" w:cs="宋体"/>
                <w:szCs w:val="21"/>
                <w:highlight w:val="none"/>
              </w:rPr>
            </w:pPr>
            <w:r>
              <w:rPr>
                <w:rFonts w:hint="eastAsia" w:ascii="宋体" w:hAnsi="宋体" w:eastAsia="宋体" w:cs="宋体"/>
                <w:szCs w:val="21"/>
                <w:highlight w:val="none"/>
              </w:rPr>
              <w:t>☑ 专门面向中小企业采购项目。</w:t>
            </w:r>
          </w:p>
          <w:p w14:paraId="1F69FAD0">
            <w:pPr>
              <w:numPr>
                <w:ilvl w:val="0"/>
                <w:numId w:val="8"/>
              </w:numPr>
              <w:spacing w:line="360" w:lineRule="auto"/>
              <w:ind w:left="199" w:hanging="200" w:hangingChars="95"/>
              <w:rPr>
                <w:rFonts w:hint="eastAsia" w:ascii="宋体" w:hAnsi="宋体" w:eastAsia="宋体" w:cs="宋体"/>
                <w:b/>
                <w:bCs/>
                <w:szCs w:val="21"/>
                <w:highlight w:val="none"/>
              </w:rPr>
            </w:pPr>
            <w:r>
              <w:rPr>
                <w:rFonts w:hint="eastAsia" w:ascii="宋体" w:hAnsi="宋体" w:eastAsia="宋体" w:cs="宋体"/>
                <w:b/>
                <w:bCs/>
                <w:szCs w:val="21"/>
                <w:highlight w:val="none"/>
              </w:rPr>
              <w:t>本项目所属行业：</w:t>
            </w:r>
            <w:r>
              <w:rPr>
                <w:rFonts w:hint="eastAsia" w:ascii="宋体" w:hAnsi="宋体" w:eastAsia="宋体" w:cs="宋体"/>
                <w:b/>
                <w:bCs/>
                <w:szCs w:val="21"/>
                <w:highlight w:val="none"/>
                <w:u w:val="single"/>
                <w:lang w:val="en-US" w:eastAsia="zh-CN"/>
              </w:rPr>
              <w:t>其他未列明行业</w:t>
            </w:r>
            <w:r>
              <w:rPr>
                <w:rFonts w:hint="eastAsia" w:ascii="宋体" w:hAnsi="宋体" w:eastAsia="宋体" w:cs="宋体"/>
                <w:b/>
                <w:bCs/>
                <w:szCs w:val="21"/>
                <w:highlight w:val="none"/>
              </w:rPr>
              <w:t>，磋商供应商属于磋商文件中明</w:t>
            </w:r>
          </w:p>
          <w:p w14:paraId="514BF8D0">
            <w:pPr>
              <w:numPr>
                <w:ilvl w:val="0"/>
                <w:numId w:val="0"/>
              </w:numPr>
              <w:spacing w:line="360" w:lineRule="auto"/>
              <w:ind w:leftChars="-95" w:firstLine="211" w:firstLineChars="100"/>
              <w:rPr>
                <w:rFonts w:hint="eastAsia" w:ascii="宋体" w:hAnsi="宋体" w:eastAsia="宋体" w:cs="宋体"/>
                <w:b/>
                <w:bCs/>
                <w:szCs w:val="21"/>
                <w:highlight w:val="none"/>
              </w:rPr>
            </w:pPr>
            <w:r>
              <w:rPr>
                <w:rFonts w:hint="eastAsia" w:ascii="宋体" w:hAnsi="宋体" w:eastAsia="宋体" w:cs="宋体"/>
                <w:b/>
                <w:bCs/>
                <w:szCs w:val="21"/>
                <w:highlight w:val="none"/>
              </w:rPr>
              <w:t>确的行业所对应的小微企业享受价格优惠折扣。</w:t>
            </w:r>
          </w:p>
          <w:p w14:paraId="71C72A90">
            <w:pPr>
              <w:numPr>
                <w:ilvl w:val="0"/>
                <w:numId w:val="8"/>
              </w:numPr>
              <w:spacing w:line="360" w:lineRule="auto"/>
              <w:ind w:left="199" w:leftChars="0" w:hanging="199" w:hangingChars="95"/>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中小企业：是指在中华人民共和国境内依法设立，磋商响应文件中提供中</w:t>
            </w:r>
          </w:p>
          <w:p w14:paraId="08DD40F3">
            <w:pPr>
              <w:numPr>
                <w:ilvl w:val="0"/>
                <w:numId w:val="0"/>
              </w:numPr>
              <w:spacing w:line="360" w:lineRule="auto"/>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rPr>
              <w:t>小企业声明函且符合《政府采购促进中小企业发展管理办法》（财库〔2020〕46号）规定的要求，符合中小企业划分标准的个体工商户，在政府采购活动中视同中小企业</w:t>
            </w:r>
            <w:r>
              <w:rPr>
                <w:rFonts w:hint="eastAsia" w:ascii="宋体" w:hAnsi="宋体" w:eastAsia="宋体" w:cs="宋体"/>
                <w:b w:val="0"/>
                <w:bCs w:val="0"/>
                <w:szCs w:val="21"/>
                <w:highlight w:val="none"/>
                <w:lang w:val="en-US" w:eastAsia="zh-CN"/>
              </w:rPr>
              <w:t>.</w:t>
            </w:r>
          </w:p>
          <w:p w14:paraId="64E0B741">
            <w:pPr>
              <w:numPr>
                <w:ilvl w:val="0"/>
                <w:numId w:val="8"/>
              </w:numPr>
              <w:spacing w:line="360" w:lineRule="auto"/>
              <w:ind w:left="199" w:leftChars="0" w:hanging="199" w:hangingChars="95"/>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残疾人福利性单位是指磋商响应文件中提供残疾人福利性单位声明函且</w:t>
            </w:r>
          </w:p>
          <w:p w14:paraId="24962D1D">
            <w:pPr>
              <w:numPr>
                <w:ilvl w:val="0"/>
                <w:numId w:val="0"/>
              </w:numPr>
              <w:spacing w:line="360"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符合《财政部 民政部 中国残疾人联合会关于促进残疾人就业政府采购政策的通知》（财库〔2017〕141号）的规定。</w:t>
            </w:r>
          </w:p>
          <w:p w14:paraId="79BE9C56">
            <w:pPr>
              <w:numPr>
                <w:ilvl w:val="0"/>
                <w:numId w:val="8"/>
              </w:numPr>
              <w:spacing w:line="360" w:lineRule="auto"/>
              <w:ind w:left="199" w:leftChars="0" w:hanging="199" w:hangingChars="95"/>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监狱企业参加政府采购活动时，应当提供由省级以上监狱管理局、戒毒管</w:t>
            </w:r>
          </w:p>
          <w:p w14:paraId="22D4A3EF">
            <w:pPr>
              <w:numPr>
                <w:ilvl w:val="0"/>
                <w:numId w:val="0"/>
              </w:numPr>
              <w:spacing w:line="360"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理局（含新疆生产建设兵团）出具的属于监狱企业的证明文件。</w:t>
            </w:r>
          </w:p>
          <w:p w14:paraId="32E079D4">
            <w:pPr>
              <w:spacing w:line="360" w:lineRule="auto"/>
              <w:ind w:left="17" w:hanging="16" w:hangingChars="8"/>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rPr>
              <w:t xml:space="preserve"> </w:t>
            </w:r>
            <w:r>
              <w:rPr>
                <w:rFonts w:hint="eastAsia" w:ascii="宋体" w:hAnsi="宋体" w:eastAsia="宋体" w:cs="宋体"/>
                <w:szCs w:val="21"/>
                <w:highlight w:val="none"/>
              </w:rPr>
              <w:t>非专门面向中小企业采购项目。</w:t>
            </w:r>
          </w:p>
          <w:p w14:paraId="103D2388">
            <w:pPr>
              <w:spacing w:line="360" w:lineRule="auto"/>
              <w:rPr>
                <w:rFonts w:ascii="宋体" w:hAnsi="宋体" w:eastAsia="宋体" w:cs="宋体"/>
                <w:szCs w:val="21"/>
                <w:highlight w:val="none"/>
              </w:rPr>
            </w:pPr>
            <w:r>
              <w:rPr>
                <w:rFonts w:hint="eastAsia" w:ascii="宋体" w:hAnsi="宋体" w:eastAsia="宋体" w:cs="宋体"/>
                <w:szCs w:val="21"/>
                <w:highlight w:val="none"/>
              </w:rPr>
              <w:t>注：对于未预留份额专门面向中小企业采购的采购项目，以及预留份额项目中的非预留部分采购包，对小微企业报价给予</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的扣除，用扣除后的价格参加评审。</w:t>
            </w:r>
          </w:p>
          <w:p w14:paraId="221682ED">
            <w:pPr>
              <w:spacing w:line="360" w:lineRule="auto"/>
              <w:rPr>
                <w:rFonts w:ascii="宋体" w:hAnsi="宋体" w:eastAsia="宋体" w:cs="宋体"/>
                <w:b/>
                <w:bCs/>
                <w:szCs w:val="21"/>
                <w:highlight w:val="none"/>
              </w:rPr>
            </w:pPr>
            <w:r>
              <w:rPr>
                <w:rFonts w:hint="eastAsia" w:ascii="宋体" w:hAnsi="宋体" w:eastAsia="宋体" w:cs="宋体"/>
                <w:b/>
                <w:bCs/>
                <w:szCs w:val="21"/>
                <w:highlight w:val="none"/>
              </w:rPr>
              <w:t>监狱企业、残疾人福利性单位视同小型、微型企业，享受价格扣除。</w:t>
            </w:r>
          </w:p>
          <w:p w14:paraId="0820C08E">
            <w:pPr>
              <w:pStyle w:val="26"/>
              <w:spacing w:line="360" w:lineRule="auto"/>
              <w:rPr>
                <w:rFonts w:ascii="宋体" w:hAnsi="宋体" w:eastAsia="宋体" w:cs="宋体"/>
                <w:highlight w:val="none"/>
              </w:rPr>
            </w:pPr>
            <w:r>
              <w:rPr>
                <w:rFonts w:hint="eastAsia" w:ascii="宋体" w:hAnsi="宋体" w:eastAsia="宋体" w:cs="宋体"/>
                <w:b/>
                <w:bCs/>
                <w:szCs w:val="21"/>
                <w:highlight w:val="none"/>
              </w:rPr>
              <w:t>残疾人福利性单位属于小型、微型企业的，不重复享受政策。</w:t>
            </w:r>
          </w:p>
        </w:tc>
      </w:tr>
      <w:tr w14:paraId="304F3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645" w:type="dxa"/>
            <w:vAlign w:val="center"/>
          </w:tcPr>
          <w:p w14:paraId="784537C3">
            <w:pPr>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8</w:t>
            </w:r>
          </w:p>
        </w:tc>
        <w:tc>
          <w:tcPr>
            <w:tcW w:w="1920" w:type="dxa"/>
            <w:vAlign w:val="center"/>
          </w:tcPr>
          <w:p w14:paraId="70A2A976">
            <w:pPr>
              <w:snapToGrid w:val="0"/>
              <w:spacing w:line="360" w:lineRule="auto"/>
              <w:jc w:val="center"/>
              <w:rPr>
                <w:rFonts w:ascii="宋体" w:hAnsi="宋体" w:eastAsia="宋体" w:cs="宋体"/>
                <w:b/>
                <w:szCs w:val="21"/>
                <w:highlight w:val="none"/>
              </w:rPr>
            </w:pPr>
            <w:r>
              <w:rPr>
                <w:rFonts w:hint="eastAsia" w:ascii="宋体" w:hAnsi="宋体" w:eastAsia="宋体" w:cs="宋体"/>
                <w:szCs w:val="21"/>
                <w:highlight w:val="none"/>
              </w:rPr>
              <w:t>信用记录</w:t>
            </w:r>
          </w:p>
        </w:tc>
        <w:tc>
          <w:tcPr>
            <w:tcW w:w="7190" w:type="dxa"/>
            <w:vAlign w:val="center"/>
          </w:tcPr>
          <w:p w14:paraId="0EDD01CE">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根据《关于在政府采购活动中查询及使用信用记录有关问题的通知》财库[2016]125号的规定：</w:t>
            </w:r>
          </w:p>
          <w:p w14:paraId="2D0A4326">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1）采购人或采购代理机构将对本项目供应商的信用记录进行查询。查询渠道与留存方式：招标采购单位登录“信用中国”（www.creditchina.gov.cn）、“中国政府采购网”（www.ccgp.gov.cn）网站查询各磋商供应商信用记录，网页截图并打印存档。</w:t>
            </w:r>
          </w:p>
          <w:p w14:paraId="7B98861D">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2）截止时点：提交响应文件（响应文件）截止时间前3年内；</w:t>
            </w:r>
          </w:p>
          <w:p w14:paraId="45D51934">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3）查询记录和证据的留存：信用信息查询记录和证据以网页截图等方式留存。</w:t>
            </w:r>
          </w:p>
          <w:p w14:paraId="2B5AEFFF">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09414BA">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联合体成员任意一方存在不良信用记录的，视同联合体存在不良信用记录。</w:t>
            </w:r>
          </w:p>
        </w:tc>
      </w:tr>
      <w:tr w14:paraId="26281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645" w:type="dxa"/>
            <w:vAlign w:val="center"/>
          </w:tcPr>
          <w:p w14:paraId="211FB649">
            <w:pPr>
              <w:spacing w:line="276"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29</w:t>
            </w:r>
          </w:p>
        </w:tc>
        <w:tc>
          <w:tcPr>
            <w:tcW w:w="1920" w:type="dxa"/>
            <w:vAlign w:val="center"/>
          </w:tcPr>
          <w:p w14:paraId="3150EAB4">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诚信履约管理</w:t>
            </w:r>
          </w:p>
        </w:tc>
        <w:tc>
          <w:tcPr>
            <w:tcW w:w="7190" w:type="dxa"/>
            <w:vAlign w:val="center"/>
          </w:tcPr>
          <w:p w14:paraId="440AC318">
            <w:pPr>
              <w:widowControl/>
              <w:spacing w:line="360" w:lineRule="auto"/>
              <w:rPr>
                <w:rFonts w:ascii="宋体" w:hAnsi="宋体" w:eastAsia="宋体" w:cs="宋体"/>
                <w:szCs w:val="21"/>
                <w:highlight w:val="none"/>
              </w:rPr>
            </w:pPr>
            <w:r>
              <w:rPr>
                <w:rFonts w:hint="eastAsia" w:ascii="宋体" w:hAnsi="宋体" w:eastAsia="宋体" w:cs="宋体"/>
                <w:szCs w:val="21"/>
                <w:highlight w:val="none"/>
              </w:rPr>
              <w:t>合同签订后，采购人依法加强对合同履约进行管理。</w:t>
            </w:r>
          </w:p>
        </w:tc>
      </w:tr>
      <w:tr w14:paraId="3213E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645" w:type="dxa"/>
            <w:vAlign w:val="center"/>
          </w:tcPr>
          <w:p w14:paraId="0290E979">
            <w:pPr>
              <w:spacing w:line="276"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0</w:t>
            </w:r>
          </w:p>
        </w:tc>
        <w:tc>
          <w:tcPr>
            <w:tcW w:w="1920" w:type="dxa"/>
            <w:vAlign w:val="center"/>
          </w:tcPr>
          <w:p w14:paraId="2D310FEE">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解释权</w:t>
            </w:r>
          </w:p>
        </w:tc>
        <w:tc>
          <w:tcPr>
            <w:tcW w:w="7190" w:type="dxa"/>
            <w:vAlign w:val="center"/>
          </w:tcPr>
          <w:p w14:paraId="2E779B72">
            <w:pPr>
              <w:spacing w:line="360" w:lineRule="auto"/>
              <w:rPr>
                <w:rFonts w:ascii="宋体" w:hAnsi="宋体" w:eastAsia="宋体" w:cs="宋体"/>
                <w:szCs w:val="21"/>
                <w:highlight w:val="none"/>
              </w:rPr>
            </w:pPr>
            <w:r>
              <w:rPr>
                <w:rFonts w:hint="eastAsia" w:ascii="宋体" w:hAnsi="宋体" w:eastAsia="宋体" w:cs="宋体"/>
                <w:szCs w:val="21"/>
                <w:highlight w:val="none"/>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3DE5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39A3F90A">
            <w:pPr>
              <w:spacing w:line="276"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1</w:t>
            </w:r>
          </w:p>
        </w:tc>
        <w:tc>
          <w:tcPr>
            <w:tcW w:w="1920" w:type="dxa"/>
            <w:vAlign w:val="center"/>
          </w:tcPr>
          <w:p w14:paraId="35944988">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 xml:space="preserve">合同管理                                                                                                                                                                                                                                                                                                                                                                                                                                                                                                                                                                                                                                                                                                                                                                                                                                                                                                                                                                                                                                                                                                                                                                                                                                                                                                                                                                                                                                                                                                                                                                                                                                                                                                                                                                                                                                                                                                                                                                                                                                                                                                                                                                                                                                                                                                                                                                                                                                                                                                                                                                                                                                      </w:t>
            </w:r>
          </w:p>
        </w:tc>
        <w:tc>
          <w:tcPr>
            <w:tcW w:w="7190" w:type="dxa"/>
            <w:vAlign w:val="center"/>
          </w:tcPr>
          <w:p w14:paraId="6369EBC5">
            <w:pPr>
              <w:spacing w:line="360" w:lineRule="auto"/>
              <w:rPr>
                <w:rFonts w:ascii="宋体" w:hAnsi="宋体" w:cs="宋体"/>
                <w:szCs w:val="21"/>
                <w:highlight w:val="none"/>
              </w:rPr>
            </w:pPr>
            <w:r>
              <w:rPr>
                <w:rFonts w:hint="eastAsia" w:ascii="宋体" w:hAnsi="宋体" w:cs="宋体"/>
                <w:szCs w:val="21"/>
                <w:highlight w:val="none"/>
              </w:rPr>
              <w:t>1.成交供应商与采购人签订合同后,两个工作日内将合同原件交给浙江综盛项目管理有限公司备案。</w:t>
            </w:r>
          </w:p>
          <w:p w14:paraId="6E6469B6">
            <w:pPr>
              <w:spacing w:line="360" w:lineRule="auto"/>
              <w:rPr>
                <w:rFonts w:ascii="宋体" w:hAnsi="宋体" w:eastAsia="宋体" w:cs="宋体"/>
                <w:b/>
                <w:szCs w:val="21"/>
                <w:highlight w:val="none"/>
              </w:rPr>
            </w:pPr>
            <w:r>
              <w:rPr>
                <w:rFonts w:hint="eastAsia" w:ascii="宋体" w:hAnsi="宋体" w:cs="宋体"/>
                <w:szCs w:val="21"/>
                <w:highlight w:val="none"/>
              </w:rPr>
              <w:t>2.采购人在合同签订后两个工作日内要及时向财政监督管理部门申请备案。</w:t>
            </w:r>
          </w:p>
        </w:tc>
      </w:tr>
      <w:tr w14:paraId="3A421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0CF1C860">
            <w:pPr>
              <w:spacing w:line="276"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2</w:t>
            </w:r>
          </w:p>
        </w:tc>
        <w:tc>
          <w:tcPr>
            <w:tcW w:w="1920" w:type="dxa"/>
            <w:vAlign w:val="center"/>
          </w:tcPr>
          <w:p w14:paraId="5095F0AA">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邮箱</w:t>
            </w:r>
          </w:p>
        </w:tc>
        <w:tc>
          <w:tcPr>
            <w:tcW w:w="7190" w:type="dxa"/>
            <w:vAlign w:val="center"/>
          </w:tcPr>
          <w:p w14:paraId="78F94E15">
            <w:pPr>
              <w:spacing w:line="360" w:lineRule="auto"/>
              <w:rPr>
                <w:rFonts w:ascii="宋体" w:hAnsi="宋体" w:cs="宋体"/>
                <w:szCs w:val="21"/>
                <w:highlight w:val="none"/>
              </w:rPr>
            </w:pPr>
            <w:r>
              <w:rPr>
                <w:rFonts w:hint="eastAsia" w:ascii="宋体" w:hAnsi="宋体" w:cs="宋体"/>
                <w:szCs w:val="21"/>
                <w:highlight w:val="none"/>
              </w:rPr>
              <w:t>本磋商文件所提到的代理机构邮箱皆为</w:t>
            </w:r>
            <w:r>
              <w:rPr>
                <w:rFonts w:hint="eastAsia" w:ascii="宋体" w:hAnsi="宋体" w:cs="宋体"/>
                <w:b/>
                <w:bCs/>
                <w:szCs w:val="21"/>
                <w:highlight w:val="none"/>
              </w:rPr>
              <w:t>984865308@qq.com</w:t>
            </w:r>
            <w:r>
              <w:rPr>
                <w:rFonts w:hint="eastAsia" w:ascii="宋体" w:hAnsi="宋体" w:cs="宋体"/>
                <w:szCs w:val="21"/>
                <w:highlight w:val="none"/>
              </w:rPr>
              <w:t>。</w:t>
            </w:r>
          </w:p>
        </w:tc>
      </w:tr>
      <w:tr w14:paraId="20F04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7AC5B2C5">
            <w:pPr>
              <w:spacing w:line="276"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33</w:t>
            </w:r>
          </w:p>
        </w:tc>
        <w:tc>
          <w:tcPr>
            <w:tcW w:w="1920" w:type="dxa"/>
            <w:vAlign w:val="center"/>
          </w:tcPr>
          <w:p w14:paraId="54FF37C2">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c>
          <w:tcPr>
            <w:tcW w:w="7190" w:type="dxa"/>
            <w:vAlign w:val="center"/>
          </w:tcPr>
          <w:p w14:paraId="2D2466A7">
            <w:pPr>
              <w:numPr>
                <w:ilvl w:val="0"/>
                <w:numId w:val="9"/>
              </w:numPr>
              <w:spacing w:line="360" w:lineRule="auto"/>
              <w:rPr>
                <w:rFonts w:hint="eastAsia" w:ascii="宋体" w:hAnsi="宋体" w:cs="宋体"/>
                <w:szCs w:val="21"/>
                <w:highlight w:val="none"/>
              </w:rPr>
            </w:pPr>
            <w:r>
              <w:rPr>
                <w:rFonts w:hint="eastAsia" w:ascii="宋体" w:hAnsi="宋体" w:cs="宋体"/>
                <w:szCs w:val="21"/>
                <w:highlight w:val="none"/>
              </w:rPr>
              <w:t>请务必确保投标文件制作客户端为最新版本，旧版本可能导致磋商响应文件解密失败。</w:t>
            </w:r>
          </w:p>
          <w:p w14:paraId="2BD00BB7">
            <w:pPr>
              <w:numPr>
                <w:ilvl w:val="0"/>
                <w:numId w:val="9"/>
              </w:numPr>
              <w:spacing w:line="360" w:lineRule="auto"/>
              <w:rPr>
                <w:rFonts w:hint="eastAsia" w:ascii="宋体" w:hAnsi="宋体" w:cs="宋体"/>
                <w:szCs w:val="21"/>
                <w:highlight w:val="none"/>
              </w:rPr>
            </w:pPr>
            <w:r>
              <w:rPr>
                <w:rFonts w:hint="eastAsia" w:ascii="宋体" w:hAnsi="宋体" w:cs="宋体"/>
                <w:szCs w:val="21"/>
                <w:highlight w:val="none"/>
              </w:rPr>
              <w:t>请务必确保响应文件制作时所用的 CA 锁与响应文件解密时的 CA 锁为同一把，否则可能导致响应文件解密失败。</w:t>
            </w:r>
          </w:p>
          <w:p w14:paraId="439EA023">
            <w:pPr>
              <w:numPr>
                <w:ilvl w:val="0"/>
                <w:numId w:val="9"/>
              </w:numPr>
              <w:spacing w:line="360" w:lineRule="auto"/>
              <w:rPr>
                <w:rFonts w:hint="eastAsia" w:ascii="宋体" w:hAnsi="宋体" w:cs="宋体"/>
                <w:szCs w:val="21"/>
                <w:highlight w:val="none"/>
              </w:rPr>
            </w:pPr>
            <w:r>
              <w:rPr>
                <w:rFonts w:hint="eastAsia" w:ascii="宋体" w:hAnsi="宋体" w:cs="宋体"/>
                <w:szCs w:val="21"/>
                <w:highlight w:val="none"/>
              </w:rPr>
              <w:t>在磋商响应文件解密前，请务必检验 CA 锁与所用电脑的兼容性，部分电脑因 CA 驱动未正常安装、USB 接口兼容性差等原因可能造成响应文件解密失败。</w:t>
            </w:r>
          </w:p>
          <w:p w14:paraId="6B609EB7">
            <w:pPr>
              <w:numPr>
                <w:ilvl w:val="0"/>
                <w:numId w:val="9"/>
              </w:numPr>
              <w:spacing w:line="360" w:lineRule="auto"/>
              <w:rPr>
                <w:rFonts w:hint="eastAsia" w:ascii="宋体" w:hAnsi="宋体" w:cs="宋体"/>
                <w:szCs w:val="21"/>
                <w:highlight w:val="none"/>
              </w:rPr>
            </w:pPr>
            <w:r>
              <w:rPr>
                <w:rFonts w:hint="eastAsia" w:ascii="宋体" w:hAnsi="宋体" w:cs="宋体"/>
                <w:szCs w:val="21"/>
                <w:highlight w:val="none"/>
              </w:rPr>
              <w:t>供应商未</w:t>
            </w:r>
            <w:r>
              <w:rPr>
                <w:rFonts w:hint="eastAsia" w:ascii="宋体" w:hAnsi="宋体" w:cs="宋体"/>
                <w:szCs w:val="21"/>
                <w:highlight w:val="none"/>
                <w:lang w:val="en-US" w:eastAsia="zh-CN"/>
              </w:rPr>
              <w:t>按照</w:t>
            </w:r>
            <w:r>
              <w:rPr>
                <w:rFonts w:hint="eastAsia" w:ascii="宋体" w:hAnsi="宋体" w:cs="宋体"/>
                <w:szCs w:val="21"/>
                <w:highlight w:val="none"/>
              </w:rPr>
              <w:t>采购文件规定及提醒操作</w:t>
            </w:r>
            <w:r>
              <w:rPr>
                <w:rFonts w:hint="eastAsia" w:ascii="宋体" w:hAnsi="宋体" w:cs="宋体"/>
                <w:szCs w:val="21"/>
                <w:highlight w:val="none"/>
                <w:lang w:val="en-US" w:eastAsia="zh-CN"/>
              </w:rPr>
              <w:t>的</w:t>
            </w:r>
            <w:r>
              <w:rPr>
                <w:rFonts w:hint="eastAsia" w:ascii="宋体" w:hAnsi="宋体" w:cs="宋体"/>
                <w:szCs w:val="21"/>
                <w:highlight w:val="none"/>
                <w:lang w:eastAsia="zh-CN"/>
              </w:rPr>
              <w:t>，</w:t>
            </w:r>
            <w:r>
              <w:rPr>
                <w:rFonts w:hint="eastAsia" w:ascii="宋体" w:hAnsi="宋体" w:cs="宋体"/>
                <w:szCs w:val="21"/>
                <w:highlight w:val="none"/>
              </w:rPr>
              <w:t>引起一切后果由供应商自行负责。</w:t>
            </w:r>
          </w:p>
          <w:p w14:paraId="4D7FCA47">
            <w:pPr>
              <w:numPr>
                <w:ilvl w:val="0"/>
                <w:numId w:val="9"/>
              </w:numPr>
              <w:spacing w:line="360" w:lineRule="auto"/>
              <w:rPr>
                <w:rFonts w:hint="eastAsia" w:ascii="宋体" w:hAnsi="宋体" w:cs="宋体"/>
                <w:szCs w:val="21"/>
                <w:highlight w:val="none"/>
              </w:rPr>
            </w:pPr>
            <w:r>
              <w:rPr>
                <w:rFonts w:hint="eastAsia" w:ascii="宋体" w:hAnsi="宋体" w:cs="宋体"/>
                <w:szCs w:val="21"/>
                <w:highlight w:val="none"/>
              </w:rPr>
              <w:t>成交供应商在领取成交通知书时</w:t>
            </w:r>
            <w:r>
              <w:rPr>
                <w:rFonts w:hint="eastAsia" w:ascii="宋体" w:hAnsi="宋体" w:cs="宋体"/>
                <w:szCs w:val="21"/>
                <w:highlight w:val="none"/>
                <w:lang w:val="en-US" w:eastAsia="zh-CN"/>
              </w:rPr>
              <w:t>需</w:t>
            </w:r>
            <w:r>
              <w:rPr>
                <w:rFonts w:hint="eastAsia" w:ascii="宋体" w:hAnsi="宋体" w:cs="宋体"/>
                <w:szCs w:val="21"/>
                <w:highlight w:val="none"/>
              </w:rPr>
              <w:t>提供全套纸质磋商响应文件</w:t>
            </w:r>
            <w:r>
              <w:rPr>
                <w:rFonts w:hint="eastAsia" w:ascii="宋体" w:hAnsi="宋体" w:cs="宋体"/>
                <w:szCs w:val="21"/>
                <w:highlight w:val="none"/>
                <w:lang w:val="en-US" w:eastAsia="zh-CN"/>
              </w:rPr>
              <w:t>一正三副共</w:t>
            </w:r>
            <w:r>
              <w:rPr>
                <w:rFonts w:hint="eastAsia" w:ascii="宋体" w:hAnsi="宋体" w:cs="宋体"/>
                <w:szCs w:val="21"/>
                <w:highlight w:val="none"/>
              </w:rPr>
              <w:t>4份。</w:t>
            </w:r>
          </w:p>
        </w:tc>
      </w:tr>
    </w:tbl>
    <w:p w14:paraId="14DF2D63">
      <w:pPr>
        <w:rPr>
          <w:highlight w:val="none"/>
        </w:rPr>
      </w:pPr>
    </w:p>
    <w:p w14:paraId="58D497B0">
      <w:pPr>
        <w:rPr>
          <w:highlight w:val="none"/>
        </w:rPr>
      </w:pPr>
    </w:p>
    <w:p w14:paraId="04675244">
      <w:pPr>
        <w:rPr>
          <w:highlight w:val="none"/>
        </w:rPr>
      </w:pPr>
    </w:p>
    <w:p w14:paraId="5A81AB03">
      <w:pPr>
        <w:rPr>
          <w:highlight w:val="none"/>
        </w:rPr>
      </w:pPr>
    </w:p>
    <w:p w14:paraId="043C0F43">
      <w:pPr>
        <w:pageBreakBefore/>
        <w:tabs>
          <w:tab w:val="left" w:pos="840"/>
        </w:tabs>
        <w:spacing w:beforeLines="100" w:afterLines="100"/>
        <w:jc w:val="center"/>
        <w:outlineLvl w:val="3"/>
        <w:rPr>
          <w:rFonts w:hint="eastAsia" w:hAnsi="宋体"/>
          <w:sz w:val="28"/>
          <w:szCs w:val="36"/>
          <w:highlight w:val="none"/>
        </w:rPr>
      </w:pPr>
      <w:bookmarkStart w:id="78" w:name="_Toc28"/>
      <w:bookmarkStart w:id="79" w:name="_Toc51335243"/>
      <w:bookmarkStart w:id="80" w:name="_Toc38808094"/>
      <w:bookmarkStart w:id="81" w:name="_Toc65250512"/>
      <w:r>
        <w:rPr>
          <w:rFonts w:hint="eastAsia" w:hAnsi="宋体"/>
          <w:b/>
          <w:bCs/>
          <w:sz w:val="28"/>
          <w:szCs w:val="36"/>
          <w:highlight w:val="none"/>
        </w:rPr>
        <w:t>政府采购活动现场确认声明书</w:t>
      </w:r>
      <w:bookmarkEnd w:id="78"/>
      <w:bookmarkEnd w:id="79"/>
      <w:bookmarkEnd w:id="80"/>
      <w:bookmarkEnd w:id="81"/>
    </w:p>
    <w:p w14:paraId="0A00A4F1">
      <w:pPr>
        <w:pStyle w:val="30"/>
        <w:snapToGrid w:val="0"/>
        <w:spacing w:line="500" w:lineRule="exact"/>
        <w:rPr>
          <w:rFonts w:hAnsi="宋体" w:cs="宋体"/>
          <w:b/>
          <w:szCs w:val="21"/>
          <w:highlight w:val="none"/>
        </w:rPr>
      </w:pPr>
      <w:r>
        <w:rPr>
          <w:rFonts w:hint="eastAsia" w:hAnsi="宋体" w:cs="宋体"/>
          <w:kern w:val="0"/>
          <w:szCs w:val="21"/>
          <w:highlight w:val="none"/>
          <w:u w:val="single"/>
          <w:lang w:eastAsia="zh-CN"/>
        </w:rPr>
        <w:t>浙江</w:t>
      </w:r>
      <w:r>
        <w:rPr>
          <w:rFonts w:hint="eastAsia" w:hAnsi="宋体" w:cs="宋体"/>
          <w:kern w:val="0"/>
          <w:szCs w:val="21"/>
          <w:highlight w:val="none"/>
          <w:u w:val="single"/>
          <w:lang w:val="en-US" w:eastAsia="zh-CN"/>
        </w:rPr>
        <w:t>综盛</w:t>
      </w:r>
      <w:r>
        <w:rPr>
          <w:rFonts w:hint="eastAsia" w:hAnsi="宋体" w:cs="宋体"/>
          <w:kern w:val="0"/>
          <w:szCs w:val="21"/>
          <w:highlight w:val="none"/>
          <w:u w:val="single"/>
          <w:lang w:eastAsia="zh-CN"/>
        </w:rPr>
        <w:t>项目管理有限公司</w:t>
      </w:r>
      <w:r>
        <w:rPr>
          <w:rFonts w:hAnsi="宋体" w:cs="宋体"/>
          <w:kern w:val="0"/>
          <w:szCs w:val="21"/>
          <w:highlight w:val="none"/>
        </w:rPr>
        <w:t>（采购组织机构名称）：</w:t>
      </w:r>
    </w:p>
    <w:p w14:paraId="1D6B929D">
      <w:pPr>
        <w:pStyle w:val="30"/>
        <w:snapToGrid w:val="0"/>
        <w:spacing w:line="460" w:lineRule="exact"/>
        <w:ind w:left="19" w:leftChars="9" w:firstLine="415" w:firstLineChars="187"/>
        <w:rPr>
          <w:rFonts w:hAnsi="宋体" w:cs="宋体"/>
          <w:spacing w:val="6"/>
          <w:szCs w:val="21"/>
          <w:highlight w:val="none"/>
        </w:rPr>
      </w:pPr>
      <w:r>
        <w:rPr>
          <w:rFonts w:hAnsi="宋体" w:cs="宋体"/>
          <w:spacing w:val="6"/>
          <w:szCs w:val="21"/>
          <w:highlight w:val="none"/>
        </w:rPr>
        <w:t>本人</w:t>
      </w:r>
      <w:r>
        <w:rPr>
          <w:rFonts w:hAnsi="宋体" w:cs="宋体"/>
          <w:spacing w:val="6"/>
          <w:szCs w:val="21"/>
          <w:highlight w:val="none"/>
          <w:u w:val="single"/>
        </w:rPr>
        <w:t xml:space="preserve">           </w:t>
      </w:r>
      <w:r>
        <w:rPr>
          <w:rFonts w:hAnsi="宋体" w:cs="宋体"/>
          <w:spacing w:val="6"/>
          <w:szCs w:val="21"/>
          <w:highlight w:val="none"/>
        </w:rPr>
        <w:t>（授权代表姓名），经由</w:t>
      </w:r>
      <w:r>
        <w:rPr>
          <w:rFonts w:hAnsi="宋体" w:cs="宋体"/>
          <w:spacing w:val="6"/>
          <w:szCs w:val="21"/>
          <w:highlight w:val="none"/>
          <w:u w:val="single"/>
        </w:rPr>
        <w:t xml:space="preserve">            （单位）</w:t>
      </w:r>
      <w:r>
        <w:rPr>
          <w:rFonts w:hAnsi="宋体" w:cs="宋体"/>
          <w:spacing w:val="6"/>
          <w:szCs w:val="21"/>
          <w:highlight w:val="none"/>
        </w:rPr>
        <w:t>负责人</w:t>
      </w:r>
      <w:r>
        <w:rPr>
          <w:rFonts w:hAnsi="宋体" w:cs="宋体"/>
          <w:spacing w:val="6"/>
          <w:szCs w:val="21"/>
          <w:highlight w:val="none"/>
          <w:u w:val="single"/>
        </w:rPr>
        <w:t xml:space="preserve">          </w:t>
      </w:r>
      <w:r>
        <w:rPr>
          <w:rFonts w:hAnsi="宋体" w:cs="宋体"/>
          <w:spacing w:val="6"/>
          <w:szCs w:val="21"/>
          <w:highlight w:val="none"/>
        </w:rPr>
        <w:t>（法定代表人）合法授权参加</w:t>
      </w:r>
      <w:r>
        <w:rPr>
          <w:rFonts w:hAnsi="宋体" w:cs="宋体"/>
          <w:spacing w:val="6"/>
          <w:szCs w:val="21"/>
          <w:highlight w:val="none"/>
          <w:u w:val="single"/>
        </w:rPr>
        <w:t xml:space="preserve">          </w:t>
      </w:r>
      <w:r>
        <w:rPr>
          <w:rFonts w:hAnsi="宋体" w:cs="宋体"/>
          <w:spacing w:val="6"/>
          <w:szCs w:val="21"/>
          <w:highlight w:val="none"/>
        </w:rPr>
        <w:t>（编号：</w:t>
      </w:r>
      <w:r>
        <w:rPr>
          <w:rFonts w:hAnsi="宋体" w:cs="宋体"/>
          <w:spacing w:val="6"/>
          <w:szCs w:val="21"/>
          <w:highlight w:val="none"/>
          <w:u w:val="single"/>
        </w:rPr>
        <w:t xml:space="preserve">      </w:t>
      </w:r>
      <w:r>
        <w:rPr>
          <w:rFonts w:hAnsi="宋体" w:cs="宋体"/>
          <w:spacing w:val="6"/>
          <w:szCs w:val="21"/>
          <w:highlight w:val="none"/>
        </w:rPr>
        <w:t xml:space="preserve">）政府采购活动，经与本单位法人代表（负责人）联系确认，现就有关公平竞争事项郑重声明如下： </w:t>
      </w:r>
    </w:p>
    <w:p w14:paraId="465D1205">
      <w:pPr>
        <w:pStyle w:val="31"/>
        <w:widowControl/>
        <w:numPr>
          <w:ilvl w:val="0"/>
          <w:numId w:val="0"/>
        </w:numPr>
        <w:snapToGrid w:val="0"/>
        <w:spacing w:line="460" w:lineRule="exact"/>
        <w:ind w:firstLine="420" w:firstLineChars="200"/>
        <w:rPr>
          <w:rFonts w:ascii="宋体" w:hAnsi="宋体" w:cs="宋体"/>
          <w:kern w:val="0"/>
          <w:szCs w:val="21"/>
          <w:highlight w:val="none"/>
        </w:rPr>
      </w:pPr>
      <w:r>
        <w:rPr>
          <w:rFonts w:hint="eastAsia" w:ascii="宋体" w:hAnsi="宋体" w:cs="宋体"/>
          <w:kern w:val="0"/>
          <w:szCs w:val="21"/>
          <w:highlight w:val="none"/>
          <w:lang w:val="en-US" w:eastAsia="zh-CN"/>
        </w:rPr>
        <w:t>一、</w:t>
      </w:r>
      <w:r>
        <w:rPr>
          <w:rFonts w:ascii="宋体" w:hAnsi="宋体" w:cs="宋体"/>
          <w:kern w:val="0"/>
          <w:szCs w:val="21"/>
          <w:highlight w:val="none"/>
        </w:rPr>
        <w:t>本单位与采购人之间 □不存在利害关系□存在下列利害关系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617889D2">
      <w:pPr>
        <w:pStyle w:val="31"/>
        <w:widowControl/>
        <w:snapToGrid w:val="0"/>
        <w:spacing w:line="46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0876C683">
      <w:pPr>
        <w:pStyle w:val="31"/>
        <w:widowControl/>
        <w:snapToGrid w:val="0"/>
        <w:spacing w:line="46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4BD5EAC9">
      <w:pPr>
        <w:pStyle w:val="31"/>
        <w:widowControl/>
        <w:snapToGrid w:val="0"/>
        <w:spacing w:line="46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0B2A9495">
      <w:pPr>
        <w:pStyle w:val="30"/>
        <w:snapToGrid w:val="0"/>
        <w:spacing w:line="460" w:lineRule="exact"/>
        <w:rPr>
          <w:rFonts w:hAnsi="宋体" w:cs="宋体"/>
          <w:kern w:val="0"/>
          <w:szCs w:val="21"/>
          <w:highlight w:val="none"/>
        </w:rPr>
      </w:pPr>
      <w:r>
        <w:rPr>
          <w:rFonts w:hAnsi="宋体" w:cs="宋体"/>
          <w:kern w:val="0"/>
          <w:szCs w:val="21"/>
          <w:highlight w:val="none"/>
        </w:rPr>
        <w:t xml:space="preserve">  A.法定代表人或负责人或实际控制人是同一人</w:t>
      </w:r>
    </w:p>
    <w:p w14:paraId="7A311C20">
      <w:pPr>
        <w:pStyle w:val="30"/>
        <w:snapToGrid w:val="0"/>
        <w:spacing w:line="460" w:lineRule="exact"/>
        <w:rPr>
          <w:rFonts w:hAnsi="宋体" w:cs="宋体"/>
          <w:spacing w:val="6"/>
          <w:szCs w:val="21"/>
          <w:highlight w:val="none"/>
        </w:rPr>
      </w:pPr>
      <w:r>
        <w:rPr>
          <w:rFonts w:hAnsi="宋体" w:cs="宋体"/>
          <w:kern w:val="0"/>
          <w:szCs w:val="21"/>
          <w:highlight w:val="none"/>
        </w:rPr>
        <w:t xml:space="preserve">  B.法定代表人或负责人或实际控制人是夫妻关系</w:t>
      </w:r>
    </w:p>
    <w:p w14:paraId="20883F3E">
      <w:pPr>
        <w:pStyle w:val="30"/>
        <w:snapToGrid w:val="0"/>
        <w:spacing w:line="460" w:lineRule="exact"/>
        <w:rPr>
          <w:rFonts w:hAnsi="宋体" w:cs="宋体"/>
          <w:spacing w:val="6"/>
          <w:szCs w:val="21"/>
          <w:highlight w:val="none"/>
        </w:rPr>
      </w:pPr>
      <w:r>
        <w:rPr>
          <w:rFonts w:hAnsi="宋体" w:cs="宋体"/>
          <w:kern w:val="0"/>
          <w:szCs w:val="21"/>
          <w:highlight w:val="none"/>
        </w:rPr>
        <w:t xml:space="preserve">  C.法定代表人或负责人或实际控制人是直系血亲关系</w:t>
      </w:r>
    </w:p>
    <w:p w14:paraId="4AAC2BFF">
      <w:pPr>
        <w:pStyle w:val="30"/>
        <w:snapToGrid w:val="0"/>
        <w:spacing w:line="460" w:lineRule="exact"/>
        <w:rPr>
          <w:rFonts w:hAnsi="宋体" w:cs="宋体"/>
          <w:spacing w:val="6"/>
          <w:szCs w:val="21"/>
          <w:highlight w:val="none"/>
        </w:rPr>
      </w:pPr>
      <w:r>
        <w:rPr>
          <w:rFonts w:hAnsi="宋体" w:cs="宋体"/>
          <w:kern w:val="0"/>
          <w:szCs w:val="21"/>
          <w:highlight w:val="none"/>
        </w:rPr>
        <w:t xml:space="preserve">  D.法定代表人或负责人或实际控制人存在三代以内旁系血亲关系</w:t>
      </w:r>
    </w:p>
    <w:p w14:paraId="608B4D75">
      <w:pPr>
        <w:pStyle w:val="30"/>
        <w:snapToGrid w:val="0"/>
        <w:spacing w:line="460" w:lineRule="exact"/>
        <w:rPr>
          <w:rFonts w:hAnsi="宋体" w:cs="宋体"/>
          <w:kern w:val="0"/>
          <w:szCs w:val="21"/>
          <w:highlight w:val="none"/>
        </w:rPr>
      </w:pPr>
      <w:r>
        <w:rPr>
          <w:rFonts w:hAnsi="宋体" w:cs="宋体"/>
          <w:kern w:val="0"/>
          <w:szCs w:val="21"/>
          <w:highlight w:val="none"/>
        </w:rPr>
        <w:t xml:space="preserve">  E.法定代表人或负责人或实际控制人存在近姻亲关系</w:t>
      </w:r>
    </w:p>
    <w:p w14:paraId="3E13792A">
      <w:pPr>
        <w:pStyle w:val="30"/>
        <w:snapToGrid w:val="0"/>
        <w:spacing w:line="460" w:lineRule="exact"/>
        <w:rPr>
          <w:rFonts w:hAnsi="宋体" w:cs="宋体"/>
          <w:kern w:val="0"/>
          <w:szCs w:val="21"/>
          <w:highlight w:val="none"/>
        </w:rPr>
      </w:pPr>
      <w:r>
        <w:rPr>
          <w:rFonts w:hAnsi="宋体" w:cs="宋体"/>
          <w:kern w:val="0"/>
          <w:szCs w:val="21"/>
          <w:highlight w:val="none"/>
        </w:rPr>
        <w:t xml:space="preserve">  F.法定代表人或负责人或实际控制人存在股份控制或实际控制关系</w:t>
      </w:r>
    </w:p>
    <w:p w14:paraId="739B7028">
      <w:pPr>
        <w:pStyle w:val="30"/>
        <w:snapToGrid w:val="0"/>
        <w:spacing w:line="460" w:lineRule="exact"/>
        <w:rPr>
          <w:rFonts w:hAnsi="宋体" w:cs="宋体"/>
          <w:kern w:val="0"/>
          <w:szCs w:val="21"/>
          <w:highlight w:val="none"/>
        </w:rPr>
      </w:pPr>
      <w:r>
        <w:rPr>
          <w:rFonts w:hAnsi="宋体" w:cs="宋体"/>
          <w:kern w:val="0"/>
          <w:szCs w:val="21"/>
          <w:highlight w:val="none"/>
        </w:rPr>
        <w:t xml:space="preserve">  </w:t>
      </w:r>
      <w:bookmarkStart w:id="82" w:name="_Toc25645"/>
      <w:bookmarkStart w:id="83" w:name="_Toc5689"/>
      <w:bookmarkStart w:id="84" w:name="_Toc9069"/>
      <w:bookmarkStart w:id="85" w:name="_Toc12033"/>
      <w:bookmarkStart w:id="86" w:name="_Toc15012"/>
      <w:r>
        <w:rPr>
          <w:rFonts w:hAnsi="宋体" w:cs="宋体"/>
          <w:kern w:val="0"/>
          <w:szCs w:val="21"/>
          <w:highlight w:val="none"/>
        </w:rPr>
        <w:t>G.存在共同直接或间接投资设立子公司、联营企业和合营企业情况</w:t>
      </w:r>
      <w:bookmarkEnd w:id="82"/>
      <w:bookmarkEnd w:id="83"/>
      <w:bookmarkEnd w:id="84"/>
      <w:bookmarkEnd w:id="85"/>
      <w:bookmarkEnd w:id="86"/>
    </w:p>
    <w:p w14:paraId="6461C149">
      <w:pPr>
        <w:pStyle w:val="30"/>
        <w:snapToGrid w:val="0"/>
        <w:spacing w:line="460" w:lineRule="exact"/>
        <w:rPr>
          <w:rFonts w:hAnsi="宋体" w:cs="宋体"/>
          <w:szCs w:val="21"/>
          <w:highlight w:val="none"/>
        </w:rPr>
      </w:pPr>
      <w:r>
        <w:rPr>
          <w:rFonts w:hAnsi="宋体" w:cs="宋体"/>
          <w:kern w:val="0"/>
          <w:szCs w:val="21"/>
          <w:highlight w:val="none"/>
        </w:rPr>
        <w:t xml:space="preserve">  H.存在分级代理或代销关系、同一生产制造商关系、</w:t>
      </w:r>
      <w:r>
        <w:rPr>
          <w:rFonts w:hAnsi="宋体" w:cs="宋体"/>
          <w:szCs w:val="21"/>
          <w:highlight w:val="none"/>
        </w:rPr>
        <w:t>管理关系、重要业务（占主营业务收入50%以上）或重要财务往来关系（如融资）等其他实质性控制关系</w:t>
      </w:r>
    </w:p>
    <w:p w14:paraId="53E40229">
      <w:pPr>
        <w:pStyle w:val="30"/>
        <w:snapToGrid w:val="0"/>
        <w:spacing w:line="460" w:lineRule="exact"/>
        <w:rPr>
          <w:rFonts w:hAnsi="宋体" w:cs="宋体"/>
          <w:spacing w:val="6"/>
          <w:szCs w:val="21"/>
          <w:highlight w:val="none"/>
        </w:rPr>
      </w:pPr>
      <w:r>
        <w:rPr>
          <w:rFonts w:hAnsi="宋体" w:cs="宋体"/>
          <w:szCs w:val="21"/>
          <w:highlight w:val="none"/>
        </w:rPr>
        <w:t xml:space="preserve">    I</w:t>
      </w:r>
      <w:r>
        <w:rPr>
          <w:rFonts w:hAnsi="宋体" w:cs="宋体"/>
          <w:kern w:val="0"/>
          <w:szCs w:val="21"/>
          <w:highlight w:val="none"/>
        </w:rPr>
        <w:t>.</w:t>
      </w:r>
      <w:r>
        <w:rPr>
          <w:rFonts w:hAnsi="宋体" w:cs="宋体"/>
          <w:szCs w:val="21"/>
          <w:highlight w:val="none"/>
        </w:rPr>
        <w:t>其他利害关系情况</w:t>
      </w:r>
      <w:r>
        <w:rPr>
          <w:rFonts w:hAnsi="宋体" w:cs="宋体"/>
          <w:szCs w:val="21"/>
          <w:highlight w:val="none"/>
          <w:u w:val="single"/>
        </w:rPr>
        <w:t xml:space="preserve">                              </w:t>
      </w:r>
      <w:r>
        <w:rPr>
          <w:rFonts w:hAnsi="宋体" w:cs="宋体"/>
          <w:kern w:val="0"/>
          <w:szCs w:val="21"/>
          <w:highlight w:val="none"/>
        </w:rPr>
        <w:t>。</w:t>
      </w:r>
    </w:p>
    <w:p w14:paraId="3ECED9BF">
      <w:pPr>
        <w:pStyle w:val="31"/>
        <w:widowControl/>
        <w:numPr>
          <w:ilvl w:val="0"/>
          <w:numId w:val="10"/>
        </w:numPr>
        <w:snapToGrid w:val="0"/>
        <w:spacing w:line="460" w:lineRule="exact"/>
        <w:ind w:firstLine="396" w:firstLineChars="189"/>
        <w:outlineLvl w:val="2"/>
        <w:rPr>
          <w:rFonts w:ascii="宋体" w:hAnsi="宋体" w:cs="宋体"/>
          <w:kern w:val="0"/>
          <w:szCs w:val="21"/>
          <w:highlight w:val="none"/>
        </w:rPr>
      </w:pPr>
      <w:bookmarkStart w:id="87" w:name="_Toc11145"/>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bookmarkEnd w:id="87"/>
    </w:p>
    <w:p w14:paraId="0C9B4657">
      <w:pPr>
        <w:pStyle w:val="31"/>
        <w:widowControl/>
        <w:numPr>
          <w:ilvl w:val="0"/>
          <w:numId w:val="10"/>
        </w:numPr>
        <w:snapToGrid w:val="0"/>
        <w:spacing w:line="460" w:lineRule="exact"/>
        <w:ind w:firstLine="396" w:firstLineChars="189"/>
        <w:rPr>
          <w:rFonts w:ascii="宋体" w:hAnsi="宋体" w:cs="宋体"/>
          <w:kern w:val="0"/>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0718FBF0">
      <w:pPr>
        <w:pStyle w:val="30"/>
        <w:snapToGrid w:val="0"/>
        <w:spacing w:line="500" w:lineRule="exact"/>
        <w:ind w:firstLine="420" w:firstLineChars="200"/>
        <w:rPr>
          <w:rFonts w:hAnsi="宋体" w:cs="宋体"/>
          <w:szCs w:val="21"/>
          <w:highlight w:val="none"/>
        </w:rPr>
      </w:pPr>
      <w:r>
        <w:rPr>
          <w:rFonts w:hAnsi="宋体" w:cs="宋体"/>
          <w:szCs w:val="21"/>
          <w:highlight w:val="none"/>
        </w:rPr>
        <w:t xml:space="preserve">                                          </w:t>
      </w:r>
    </w:p>
    <w:p w14:paraId="62FBCAE1">
      <w:pPr>
        <w:pStyle w:val="30"/>
        <w:wordWrap w:val="0"/>
        <w:snapToGrid w:val="0"/>
        <w:spacing w:line="500" w:lineRule="exact"/>
        <w:ind w:firstLine="420" w:firstLineChars="200"/>
        <w:jc w:val="right"/>
        <w:rPr>
          <w:rFonts w:hint="default" w:hAnsi="宋体" w:eastAsia="宋体" w:cs="宋体"/>
          <w:szCs w:val="21"/>
          <w:highlight w:val="none"/>
          <w:lang w:val="en-US" w:eastAsia="zh-CN"/>
        </w:rPr>
      </w:pPr>
      <w:r>
        <w:rPr>
          <w:rFonts w:hint="eastAsia" w:hAnsi="宋体" w:cs="宋体"/>
          <w:szCs w:val="21"/>
          <w:highlight w:val="none"/>
          <w:lang w:val="en-US" w:eastAsia="zh-CN"/>
        </w:rPr>
        <w:t xml:space="preserve">  </w:t>
      </w:r>
      <w:r>
        <w:rPr>
          <w:rFonts w:hAnsi="宋体" w:cs="宋体"/>
          <w:szCs w:val="21"/>
          <w:highlight w:val="none"/>
        </w:rPr>
        <w:t>供应商代表签名：</w:t>
      </w:r>
    </w:p>
    <w:p w14:paraId="364A6266">
      <w:pPr>
        <w:pStyle w:val="30"/>
        <w:snapToGrid w:val="0"/>
        <w:spacing w:line="500" w:lineRule="exact"/>
        <w:ind w:firstLine="4830" w:firstLineChars="2300"/>
        <w:jc w:val="right"/>
        <w:rPr>
          <w:rFonts w:hAnsi="宋体" w:cs="宋体"/>
          <w:szCs w:val="21"/>
          <w:highlight w:val="none"/>
        </w:rPr>
      </w:pPr>
      <w:r>
        <w:rPr>
          <w:rFonts w:hint="eastAsia" w:hAnsi="宋体" w:cs="宋体"/>
          <w:szCs w:val="21"/>
          <w:highlight w:val="none"/>
          <w:lang w:eastAsia="zh-CN"/>
        </w:rPr>
        <w:t>202</w:t>
      </w:r>
      <w:r>
        <w:rPr>
          <w:rFonts w:hint="eastAsia" w:hAnsi="宋体" w:cs="宋体"/>
          <w:szCs w:val="21"/>
          <w:highlight w:val="none"/>
          <w:lang w:val="en-US" w:eastAsia="zh-CN"/>
        </w:rPr>
        <w:t>5</w:t>
      </w:r>
      <w:r>
        <w:rPr>
          <w:rFonts w:hAnsi="宋体" w:cs="宋体"/>
          <w:szCs w:val="21"/>
          <w:highlight w:val="none"/>
        </w:rPr>
        <w:t>年   月   日</w:t>
      </w:r>
    </w:p>
    <w:p w14:paraId="69164E49">
      <w:pPr>
        <w:pStyle w:val="30"/>
        <w:snapToGrid w:val="0"/>
        <w:spacing w:line="500" w:lineRule="exact"/>
        <w:rPr>
          <w:rFonts w:hAnsi="宋体" w:cs="宋体"/>
          <w:szCs w:val="21"/>
          <w:highlight w:val="none"/>
        </w:rPr>
        <w:sectPr>
          <w:headerReference r:id="rId4" w:type="default"/>
          <w:footerReference r:id="rId5" w:type="default"/>
          <w:pgSz w:w="11906" w:h="16838"/>
          <w:pgMar w:top="1134" w:right="1134" w:bottom="1134" w:left="1134" w:header="851" w:footer="992" w:gutter="0"/>
          <w:pgNumType w:fmt="decimal" w:start="1"/>
          <w:cols w:space="0" w:num="1"/>
          <w:rtlGutter w:val="0"/>
          <w:docGrid w:type="lines" w:linePitch="312" w:charSpace="0"/>
        </w:sectPr>
      </w:pPr>
      <w:r>
        <w:rPr>
          <w:rFonts w:hint="eastAsia" w:ascii="宋体" w:hAnsi="宋体" w:eastAsia="宋体" w:cs="宋体"/>
          <w:b/>
          <w:bCs/>
          <w:szCs w:val="21"/>
          <w:highlight w:val="none"/>
          <w:u w:val="wave"/>
        </w:rPr>
        <w:t>注：响应文件解密结束后，各供应商组织签署《政府采购活动现场确认声明书》，并在15分钟内以扫描件方式发送至代理机构邮箱：</w:t>
      </w:r>
      <w:r>
        <w:rPr>
          <w:highlight w:val="none"/>
        </w:rPr>
        <w:fldChar w:fldCharType="begin"/>
      </w:r>
      <w:r>
        <w:rPr>
          <w:highlight w:val="none"/>
        </w:rPr>
        <w:instrText xml:space="preserve"> HYPERLINK "mailto:470273984@qq.com。" </w:instrText>
      </w:r>
      <w:r>
        <w:rPr>
          <w:highlight w:val="none"/>
        </w:rPr>
        <w:fldChar w:fldCharType="separate"/>
      </w:r>
      <w:r>
        <w:rPr>
          <w:rFonts w:hint="eastAsia" w:ascii="宋体" w:hAnsi="宋体" w:eastAsia="宋体" w:cs="宋体"/>
          <w:b/>
          <w:bCs/>
          <w:szCs w:val="21"/>
          <w:highlight w:val="none"/>
        </w:rPr>
        <w:t>984865308@qq.com</w:t>
      </w:r>
      <w:r>
        <w:rPr>
          <w:rStyle w:val="24"/>
          <w:rFonts w:hint="default"/>
          <w:b/>
          <w:bCs/>
          <w:szCs w:val="21"/>
          <w:highlight w:val="none"/>
        </w:rPr>
        <w:t>。</w:t>
      </w:r>
      <w:r>
        <w:rPr>
          <w:rStyle w:val="24"/>
          <w:rFonts w:hint="default"/>
          <w:b/>
          <w:bCs/>
          <w:szCs w:val="21"/>
          <w:highlight w:val="none"/>
        </w:rPr>
        <w:fldChar w:fldCharType="end"/>
      </w:r>
    </w:p>
    <w:p w14:paraId="3739071C">
      <w:pPr>
        <w:pageBreakBefore/>
        <w:tabs>
          <w:tab w:val="left" w:pos="840"/>
        </w:tabs>
        <w:spacing w:beforeLines="100" w:afterLines="100"/>
        <w:jc w:val="center"/>
        <w:outlineLvl w:val="1"/>
        <w:rPr>
          <w:rFonts w:hint="eastAsia" w:hAnsi="宋体"/>
          <w:sz w:val="28"/>
          <w:szCs w:val="36"/>
          <w:highlight w:val="none"/>
        </w:rPr>
      </w:pPr>
      <w:bookmarkStart w:id="88" w:name="_Toc18365"/>
      <w:bookmarkStart w:id="89" w:name="_Toc10251"/>
      <w:bookmarkStart w:id="90" w:name="_Toc65250513"/>
      <w:bookmarkStart w:id="91" w:name="_Toc51335244"/>
      <w:r>
        <w:rPr>
          <w:rFonts w:hint="eastAsia" w:hAnsi="宋体"/>
          <w:b/>
          <w:bCs/>
          <w:sz w:val="28"/>
          <w:szCs w:val="36"/>
          <w:highlight w:val="none"/>
        </w:rPr>
        <w:t>启用备份响应文件申请书</w:t>
      </w:r>
      <w:bookmarkEnd w:id="88"/>
      <w:bookmarkEnd w:id="89"/>
      <w:bookmarkEnd w:id="90"/>
      <w:bookmarkEnd w:id="91"/>
    </w:p>
    <w:p w14:paraId="161DF9FB">
      <w:pPr>
        <w:spacing w:line="360" w:lineRule="auto"/>
        <w:rPr>
          <w:rFonts w:ascii="宋体" w:hAnsi="宋体"/>
          <w:szCs w:val="21"/>
          <w:highlight w:val="none"/>
        </w:rPr>
      </w:pPr>
      <w:r>
        <w:rPr>
          <w:rFonts w:hint="eastAsia" w:ascii="宋体" w:hAnsi="宋体"/>
          <w:szCs w:val="21"/>
          <w:highlight w:val="none"/>
          <w:lang w:eastAsia="zh-CN"/>
        </w:rPr>
        <w:t>浙江</w:t>
      </w:r>
      <w:r>
        <w:rPr>
          <w:rFonts w:hint="eastAsia" w:ascii="宋体" w:hAnsi="宋体"/>
          <w:szCs w:val="21"/>
          <w:highlight w:val="none"/>
          <w:lang w:val="en-US" w:eastAsia="zh-CN"/>
        </w:rPr>
        <w:t>综盛</w:t>
      </w:r>
      <w:r>
        <w:rPr>
          <w:rFonts w:hint="eastAsia" w:ascii="宋体" w:hAnsi="宋体"/>
          <w:szCs w:val="21"/>
          <w:highlight w:val="none"/>
          <w:lang w:eastAsia="zh-CN"/>
        </w:rPr>
        <w:t>项目管理有限公司</w:t>
      </w:r>
      <w:r>
        <w:rPr>
          <w:rFonts w:hint="eastAsia" w:ascii="宋体" w:hAnsi="宋体"/>
          <w:szCs w:val="21"/>
          <w:highlight w:val="none"/>
        </w:rPr>
        <w:t>：</w:t>
      </w:r>
    </w:p>
    <w:p w14:paraId="4CEE3E5C">
      <w:pPr>
        <w:spacing w:line="360" w:lineRule="auto"/>
        <w:rPr>
          <w:rFonts w:hint="eastAsia" w:ascii="宋体" w:hAnsi="宋体"/>
          <w:bCs/>
          <w:szCs w:val="21"/>
          <w:highlight w:val="none"/>
          <w:u w:val="single"/>
        </w:rPr>
      </w:pP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 xml:space="preserve">（采购人名称） </w:t>
      </w:r>
      <w:r>
        <w:rPr>
          <w:rFonts w:ascii="宋体" w:hAnsi="宋体"/>
          <w:bCs/>
          <w:szCs w:val="21"/>
          <w:highlight w:val="none"/>
          <w:u w:val="single"/>
        </w:rPr>
        <w:t xml:space="preserve">    </w:t>
      </w:r>
      <w:r>
        <w:rPr>
          <w:rFonts w:hint="eastAsia" w:ascii="宋体" w:hAnsi="宋体"/>
          <w:szCs w:val="21"/>
          <w:highlight w:val="none"/>
        </w:rPr>
        <w:t>：</w:t>
      </w:r>
    </w:p>
    <w:p w14:paraId="059C06F9">
      <w:pPr>
        <w:spacing w:line="360" w:lineRule="auto"/>
        <w:ind w:firstLine="420"/>
        <w:rPr>
          <w:rFonts w:hint="eastAsia" w:ascii="宋体" w:hAnsi="宋体"/>
          <w:bCs/>
          <w:szCs w:val="21"/>
          <w:highlight w:val="none"/>
          <w:u w:val="single"/>
        </w:rPr>
      </w:pPr>
      <w:r>
        <w:rPr>
          <w:rFonts w:hint="eastAsia" w:ascii="宋体" w:hAnsi="宋体"/>
          <w:bCs/>
          <w:szCs w:val="21"/>
          <w:highlight w:val="none"/>
        </w:rPr>
        <w:t>我公司参与</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szCs w:val="21"/>
          <w:highlight w:val="none"/>
          <w:u w:val="single"/>
        </w:rPr>
        <w:t xml:space="preserve">（项目名称） </w:t>
      </w:r>
      <w:r>
        <w:rPr>
          <w:rFonts w:ascii="宋体" w:hAnsi="宋体"/>
          <w:szCs w:val="21"/>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（项目编号：</w:t>
      </w:r>
      <w:r>
        <w:rPr>
          <w:rFonts w:hAnsi="宋体" w:cs="宋体"/>
          <w:spacing w:val="6"/>
          <w:szCs w:val="21"/>
          <w:highlight w:val="none"/>
          <w:u w:val="single"/>
        </w:rPr>
        <w:t xml:space="preserve">          </w:t>
      </w:r>
      <w:r>
        <w:rPr>
          <w:rFonts w:hint="eastAsia" w:ascii="宋体" w:hAnsi="宋体"/>
          <w:bCs/>
          <w:szCs w:val="21"/>
          <w:highlight w:val="none"/>
        </w:rPr>
        <w:t xml:space="preserve"> ）投标，已按本项目磋商文件要求提供备份响应文件。我方电子加密响应文件解密失败，现申请贵方启用备份响应文件上传至政采云平台，备份响应文件解压缩密码</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none"/>
        </w:rPr>
        <w:t>。</w:t>
      </w:r>
    </w:p>
    <w:p w14:paraId="6A739940">
      <w:pPr>
        <w:spacing w:line="360" w:lineRule="auto"/>
        <w:ind w:firstLine="420"/>
        <w:rPr>
          <w:rFonts w:ascii="宋体" w:hAnsi="宋体"/>
          <w:bCs/>
          <w:szCs w:val="21"/>
          <w:highlight w:val="none"/>
        </w:rPr>
      </w:pPr>
      <w:r>
        <w:rPr>
          <w:rFonts w:hint="eastAsia" w:ascii="宋体" w:hAnsi="宋体"/>
          <w:bCs/>
          <w:szCs w:val="21"/>
          <w:highlight w:val="none"/>
        </w:rPr>
        <w:t>如备份响应文件上传失败，我方愿意承担一切风险和责任。</w:t>
      </w:r>
    </w:p>
    <w:p w14:paraId="4A1DB8A5">
      <w:pPr>
        <w:spacing w:line="360" w:lineRule="auto"/>
        <w:ind w:firstLine="420"/>
        <w:rPr>
          <w:rFonts w:ascii="宋体" w:hAnsi="宋体"/>
          <w:bCs/>
          <w:sz w:val="24"/>
          <w:highlight w:val="none"/>
        </w:rPr>
      </w:pPr>
    </w:p>
    <w:p w14:paraId="6D7E8286">
      <w:pPr>
        <w:spacing w:line="360" w:lineRule="auto"/>
        <w:ind w:firstLine="420"/>
        <w:rPr>
          <w:rFonts w:ascii="宋体" w:hAnsi="宋体"/>
          <w:bCs/>
          <w:sz w:val="24"/>
          <w:highlight w:val="none"/>
        </w:rPr>
      </w:pPr>
    </w:p>
    <w:p w14:paraId="29EEC471">
      <w:pPr>
        <w:spacing w:line="360" w:lineRule="auto"/>
        <w:rPr>
          <w:rFonts w:ascii="宋体" w:hAnsi="宋体"/>
          <w:bCs/>
          <w:sz w:val="24"/>
          <w:highlight w:val="none"/>
        </w:rPr>
      </w:pPr>
    </w:p>
    <w:p w14:paraId="1528670B">
      <w:pPr>
        <w:rPr>
          <w:rFonts w:ascii="宋体" w:hAnsi="宋体"/>
          <w:bCs/>
          <w:sz w:val="24"/>
          <w:highlight w:val="none"/>
        </w:rPr>
      </w:pPr>
    </w:p>
    <w:p w14:paraId="2D49D61D">
      <w:pPr>
        <w:rPr>
          <w:rFonts w:ascii="宋体" w:hAnsi="宋体"/>
          <w:bCs/>
          <w:sz w:val="24"/>
          <w:highlight w:val="none"/>
        </w:rPr>
      </w:pPr>
    </w:p>
    <w:p w14:paraId="46A8F949">
      <w:pPr>
        <w:rPr>
          <w:rFonts w:ascii="宋体" w:hAnsi="宋体"/>
          <w:bCs/>
          <w:sz w:val="24"/>
          <w:highlight w:val="none"/>
        </w:rPr>
      </w:pPr>
    </w:p>
    <w:p w14:paraId="4999B379">
      <w:pPr>
        <w:rPr>
          <w:rFonts w:ascii="宋体" w:hAnsi="宋体"/>
          <w:bCs/>
          <w:sz w:val="24"/>
          <w:highlight w:val="none"/>
        </w:rPr>
      </w:pPr>
    </w:p>
    <w:p w14:paraId="786B34CD">
      <w:pPr>
        <w:rPr>
          <w:rFonts w:ascii="宋体" w:hAnsi="宋体"/>
          <w:bCs/>
          <w:sz w:val="24"/>
          <w:highlight w:val="none"/>
        </w:rPr>
      </w:pPr>
    </w:p>
    <w:p w14:paraId="1D425D58">
      <w:pPr>
        <w:spacing w:line="360" w:lineRule="auto"/>
        <w:ind w:firstLine="420"/>
        <w:rPr>
          <w:rFonts w:hint="eastAsia" w:ascii="宋体" w:hAnsi="宋体"/>
          <w:bCs/>
          <w:szCs w:val="21"/>
          <w:highlight w:val="none"/>
        </w:rPr>
      </w:pP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Cs w:val="21"/>
          <w:highlight w:val="none"/>
        </w:rPr>
        <w:t>磋商供应商全称（盖章）：</w:t>
      </w:r>
    </w:p>
    <w:p w14:paraId="7E06EA53">
      <w:pPr>
        <w:spacing w:line="360" w:lineRule="auto"/>
        <w:ind w:firstLine="420"/>
        <w:rPr>
          <w:rFonts w:hint="eastAsia" w:ascii="宋体" w:hAnsi="宋体"/>
          <w:bCs/>
          <w:szCs w:val="21"/>
          <w:highlight w:val="none"/>
        </w:rPr>
      </w:pPr>
      <w:r>
        <w:rPr>
          <w:rFonts w:hint="eastAsia" w:ascii="宋体" w:hAnsi="宋体"/>
          <w:bCs/>
          <w:szCs w:val="21"/>
          <w:highlight w:val="none"/>
        </w:rPr>
        <w:t xml:space="preserve">                                         </w:t>
      </w:r>
    </w:p>
    <w:p w14:paraId="7FF64788">
      <w:pPr>
        <w:spacing w:line="360" w:lineRule="auto"/>
        <w:ind w:firstLine="5250" w:firstLineChars="2500"/>
        <w:rPr>
          <w:rFonts w:hint="eastAsia" w:ascii="宋体" w:hAnsi="宋体"/>
          <w:bCs/>
          <w:szCs w:val="21"/>
          <w:highlight w:val="none"/>
        </w:rPr>
      </w:pPr>
      <w:r>
        <w:rPr>
          <w:rFonts w:hint="eastAsia" w:ascii="宋体" w:hAnsi="宋体"/>
          <w:bCs/>
          <w:szCs w:val="21"/>
          <w:highlight w:val="none"/>
        </w:rPr>
        <w:t>日     期：</w:t>
      </w:r>
    </w:p>
    <w:p w14:paraId="4106DD03">
      <w:pPr>
        <w:pStyle w:val="9"/>
        <w:spacing w:line="360" w:lineRule="auto"/>
        <w:rPr>
          <w:rFonts w:hint="eastAsia" w:ascii="宋体" w:hAnsi="宋体" w:cs="宋体"/>
          <w:b/>
          <w:szCs w:val="21"/>
          <w:highlight w:val="none"/>
        </w:rPr>
      </w:pPr>
    </w:p>
    <w:p w14:paraId="33BC2D08">
      <w:pPr>
        <w:pStyle w:val="9"/>
        <w:spacing w:line="360" w:lineRule="auto"/>
        <w:rPr>
          <w:rFonts w:hint="eastAsia" w:ascii="宋体" w:hAnsi="宋体" w:cs="宋体"/>
          <w:b/>
          <w:szCs w:val="21"/>
          <w:highlight w:val="none"/>
        </w:rPr>
      </w:pPr>
    </w:p>
    <w:p w14:paraId="6C422CFF">
      <w:pPr>
        <w:pStyle w:val="9"/>
        <w:spacing w:line="360" w:lineRule="auto"/>
        <w:rPr>
          <w:rFonts w:hint="eastAsia"/>
          <w:highlight w:val="none"/>
        </w:rPr>
      </w:pPr>
    </w:p>
    <w:p w14:paraId="1F9F2445">
      <w:pPr>
        <w:pStyle w:val="9"/>
        <w:rPr>
          <w:rFonts w:hint="eastAsia"/>
          <w:highlight w:val="none"/>
        </w:rPr>
      </w:pPr>
      <w:r>
        <w:rPr>
          <w:rFonts w:hint="eastAsia"/>
          <w:highlight w:val="none"/>
        </w:rPr>
        <w:br w:type="page"/>
      </w:r>
    </w:p>
    <w:p w14:paraId="2748BA06">
      <w:pPr>
        <w:pStyle w:val="3"/>
        <w:spacing w:before="156" w:beforeLines="50" w:after="156" w:afterLines="50" w:line="380" w:lineRule="exact"/>
        <w:jc w:val="center"/>
        <w:rPr>
          <w:rFonts w:ascii="宋体" w:hAnsi="宋体" w:eastAsia="宋体" w:cs="宋体"/>
          <w:b/>
          <w:bCs w:val="0"/>
          <w:sz w:val="24"/>
          <w:szCs w:val="24"/>
          <w:highlight w:val="none"/>
        </w:rPr>
      </w:pPr>
      <w:bookmarkStart w:id="92" w:name="_Toc3625"/>
      <w:bookmarkStart w:id="93" w:name="_Toc3317"/>
      <w:bookmarkStart w:id="94" w:name="_Toc8953"/>
      <w:r>
        <w:rPr>
          <w:rFonts w:hint="eastAsia" w:ascii="宋体" w:hAnsi="宋体" w:eastAsia="宋体" w:cs="宋体"/>
          <w:b/>
          <w:bCs w:val="0"/>
          <w:sz w:val="24"/>
          <w:szCs w:val="24"/>
          <w:highlight w:val="none"/>
        </w:rPr>
        <w:t>（二）总   则</w:t>
      </w:r>
      <w:bookmarkEnd w:id="92"/>
      <w:bookmarkEnd w:id="93"/>
      <w:bookmarkEnd w:id="94"/>
    </w:p>
    <w:p w14:paraId="636785EA">
      <w:pPr>
        <w:numPr>
          <w:ilvl w:val="0"/>
          <w:numId w:val="11"/>
        </w:numPr>
        <w:snapToGrid w:val="0"/>
        <w:spacing w:line="360" w:lineRule="auto"/>
        <w:outlineLvl w:val="2"/>
        <w:rPr>
          <w:rFonts w:ascii="宋体" w:hAnsi="宋体" w:eastAsia="宋体" w:cs="宋体"/>
          <w:b/>
          <w:sz w:val="21"/>
          <w:szCs w:val="21"/>
          <w:highlight w:val="none"/>
        </w:rPr>
      </w:pPr>
      <w:bookmarkStart w:id="95" w:name="_Toc8639"/>
      <w:bookmarkStart w:id="96" w:name="_Toc16281"/>
      <w:bookmarkStart w:id="97" w:name="_Toc8473"/>
      <w:bookmarkStart w:id="98" w:name="_Toc25604"/>
      <w:bookmarkStart w:id="99" w:name="_Toc22163"/>
      <w:r>
        <w:rPr>
          <w:rFonts w:hint="eastAsia" w:ascii="宋体" w:hAnsi="宋体" w:eastAsia="宋体" w:cs="宋体"/>
          <w:b/>
          <w:sz w:val="21"/>
          <w:szCs w:val="21"/>
          <w:highlight w:val="none"/>
        </w:rPr>
        <w:t>说明</w:t>
      </w:r>
      <w:bookmarkEnd w:id="95"/>
      <w:bookmarkEnd w:id="96"/>
      <w:bookmarkEnd w:id="97"/>
      <w:bookmarkEnd w:id="98"/>
      <w:bookmarkEnd w:id="99"/>
    </w:p>
    <w:p w14:paraId="309B03A5">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本次竞争性磋商工作是按照《中华人民共和国政府采购法》、</w:t>
      </w:r>
      <w:r>
        <w:rPr>
          <w:rFonts w:hint="eastAsia" w:ascii="宋体" w:hAnsi="宋体" w:eastAsia="宋体" w:cs="宋体"/>
          <w:szCs w:val="21"/>
          <w:highlight w:val="none"/>
        </w:rPr>
        <w:t>《政府采购竞争性磋商采购方式管理暂行办法》、</w:t>
      </w:r>
      <w:r>
        <w:rPr>
          <w:rFonts w:hint="eastAsia" w:ascii="宋体" w:hAnsi="宋体" w:eastAsia="宋体" w:cs="宋体"/>
          <w:highlight w:val="none"/>
        </w:rPr>
        <w:t>浙江省及项目所在地的有关政府采购规定，结合本项目的实际，组织和实施。</w:t>
      </w:r>
    </w:p>
    <w:p w14:paraId="4E7FBE49">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 xml:space="preserve">资金来源：财政性资金。 </w:t>
      </w:r>
    </w:p>
    <w:p w14:paraId="762F0CB2">
      <w:pPr>
        <w:numPr>
          <w:ilvl w:val="0"/>
          <w:numId w:val="11"/>
        </w:numPr>
        <w:snapToGrid w:val="0"/>
        <w:spacing w:line="360" w:lineRule="auto"/>
        <w:outlineLvl w:val="2"/>
        <w:rPr>
          <w:rFonts w:ascii="宋体" w:hAnsi="宋体" w:eastAsia="宋体" w:cs="宋体"/>
          <w:b/>
          <w:sz w:val="21"/>
          <w:szCs w:val="21"/>
          <w:highlight w:val="none"/>
        </w:rPr>
      </w:pPr>
      <w:bookmarkStart w:id="100" w:name="_Toc28195"/>
      <w:bookmarkStart w:id="101" w:name="_Toc14650"/>
      <w:bookmarkStart w:id="102" w:name="_Toc25972"/>
      <w:bookmarkStart w:id="103" w:name="_Toc26793"/>
      <w:bookmarkStart w:id="104" w:name="_Toc16420"/>
      <w:r>
        <w:rPr>
          <w:rFonts w:hint="eastAsia" w:ascii="宋体" w:hAnsi="宋体" w:eastAsia="宋体" w:cs="宋体"/>
          <w:b/>
          <w:sz w:val="21"/>
          <w:szCs w:val="21"/>
          <w:highlight w:val="none"/>
        </w:rPr>
        <w:t>定义及解释</w:t>
      </w:r>
      <w:bookmarkEnd w:id="100"/>
      <w:bookmarkEnd w:id="101"/>
      <w:bookmarkEnd w:id="102"/>
      <w:bookmarkEnd w:id="103"/>
      <w:bookmarkEnd w:id="104"/>
    </w:p>
    <w:p w14:paraId="7CB799A6">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采购人：</w:t>
      </w:r>
      <w:r>
        <w:rPr>
          <w:rFonts w:hint="eastAsia" w:ascii="宋体" w:hAnsi="宋体" w:eastAsia="宋体" w:cs="宋体"/>
          <w:szCs w:val="21"/>
          <w:highlight w:val="none"/>
          <w:lang w:eastAsia="zh-CN"/>
        </w:rPr>
        <w:t>瑞安市水利局</w:t>
      </w:r>
      <w:r>
        <w:rPr>
          <w:rFonts w:hint="eastAsia" w:ascii="宋体" w:hAnsi="宋体" w:eastAsia="宋体" w:cs="宋体"/>
          <w:highlight w:val="none"/>
        </w:rPr>
        <w:t>；</w:t>
      </w:r>
    </w:p>
    <w:p w14:paraId="14266574">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采购代理机构：浙江综盛项目管理有限公司；</w:t>
      </w:r>
    </w:p>
    <w:p w14:paraId="32AF1B17">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磋商供应商：磋商供应商是响应采购、参加磋商竞争的依法成立的供应商；</w:t>
      </w:r>
    </w:p>
    <w:p w14:paraId="0E1388B1">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成交供应商：系指在本次竞争性磋商中成交的磋商供应商；</w:t>
      </w:r>
    </w:p>
    <w:p w14:paraId="0276B304">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磋商小组：磋商小组是依《政府采购法》、《政府采购竞争性磋商采购方式管理暂行办法》组建的专门负责采购评审工作的临时性机构；</w:t>
      </w:r>
    </w:p>
    <w:p w14:paraId="7FE51215">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日期：指公历日；</w:t>
      </w:r>
    </w:p>
    <w:p w14:paraId="51CC493C">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合同：指由采购所产生的合同或合约文件；</w:t>
      </w:r>
    </w:p>
    <w:p w14:paraId="48FAD48F">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“书面形式”是指任何手写的、打印的或印刷的文件，包括电报和传真发送。</w:t>
      </w:r>
    </w:p>
    <w:p w14:paraId="19A02DF3">
      <w:pPr>
        <w:numPr>
          <w:ilvl w:val="0"/>
          <w:numId w:val="11"/>
        </w:numPr>
        <w:snapToGrid w:val="0"/>
        <w:spacing w:line="360" w:lineRule="auto"/>
        <w:outlineLvl w:val="2"/>
        <w:rPr>
          <w:rFonts w:ascii="宋体" w:hAnsi="宋体" w:eastAsia="宋体" w:cs="宋体"/>
          <w:b/>
          <w:sz w:val="21"/>
          <w:szCs w:val="21"/>
          <w:highlight w:val="none"/>
        </w:rPr>
      </w:pPr>
      <w:bookmarkStart w:id="105" w:name="_Toc31845"/>
      <w:bookmarkStart w:id="106" w:name="_Toc23612"/>
      <w:bookmarkStart w:id="107" w:name="_Toc2708"/>
      <w:bookmarkStart w:id="108" w:name="_Toc31170"/>
      <w:bookmarkStart w:id="109" w:name="_Toc30951"/>
      <w:r>
        <w:rPr>
          <w:rFonts w:hint="eastAsia" w:ascii="宋体" w:hAnsi="宋体" w:eastAsia="宋体" w:cs="宋体"/>
          <w:b/>
          <w:sz w:val="21"/>
          <w:szCs w:val="21"/>
          <w:highlight w:val="none"/>
        </w:rPr>
        <w:t>合格的磋商供应商</w:t>
      </w:r>
      <w:bookmarkEnd w:id="105"/>
      <w:bookmarkEnd w:id="106"/>
      <w:bookmarkEnd w:id="107"/>
      <w:bookmarkEnd w:id="108"/>
      <w:bookmarkEnd w:id="109"/>
    </w:p>
    <w:p w14:paraId="015BFCC9">
      <w:pPr>
        <w:numPr>
          <w:ilvl w:val="1"/>
          <w:numId w:val="11"/>
        </w:numPr>
        <w:snapToGrid w:val="0"/>
        <w:spacing w:line="360" w:lineRule="auto"/>
        <w:rPr>
          <w:rFonts w:ascii="宋体" w:hAnsi="宋体" w:eastAsia="宋体" w:cs="宋体"/>
          <w:bCs/>
          <w:highlight w:val="none"/>
        </w:rPr>
      </w:pPr>
      <w:r>
        <w:rPr>
          <w:rFonts w:hint="eastAsia" w:ascii="宋体" w:hAnsi="宋体" w:eastAsia="宋体" w:cs="宋体"/>
          <w:szCs w:val="21"/>
          <w:highlight w:val="none"/>
        </w:rPr>
        <w:t>满足《中华人民共和国政府采购法》第二十二条规定；未被“信用中国”、“中国政府采购网”列入失信被执行人、重大违法案件当事人名单、政府采购严重违法失信行为记录名单；</w:t>
      </w:r>
    </w:p>
    <w:p w14:paraId="02612DD4">
      <w:pPr>
        <w:numPr>
          <w:ilvl w:val="1"/>
          <w:numId w:val="11"/>
        </w:numPr>
        <w:snapToGrid w:val="0"/>
        <w:spacing w:line="360" w:lineRule="auto"/>
        <w:rPr>
          <w:rFonts w:ascii="宋体" w:hAnsi="宋体" w:eastAsia="宋体" w:cs="宋体"/>
          <w:bCs/>
          <w:highlight w:val="none"/>
        </w:rPr>
      </w:pPr>
      <w:r>
        <w:rPr>
          <w:rFonts w:hint="eastAsia" w:ascii="宋体" w:hAnsi="宋体" w:eastAsia="宋体" w:cs="宋体"/>
          <w:bCs/>
          <w:highlight w:val="none"/>
        </w:rPr>
        <w:t>落实政府采购政策需满足的资格要求：本项目整体专门面向中小企业采购（残疾人福利性单位和监狱企业视同小微企业）。</w:t>
      </w:r>
    </w:p>
    <w:p w14:paraId="54CDE4EF">
      <w:pPr>
        <w:numPr>
          <w:ilvl w:val="1"/>
          <w:numId w:val="11"/>
        </w:numPr>
        <w:snapToGrid w:val="0"/>
        <w:spacing w:line="360" w:lineRule="auto"/>
        <w:rPr>
          <w:rFonts w:ascii="宋体" w:hAnsi="宋体" w:eastAsia="宋体" w:cs="宋体"/>
          <w:bCs/>
          <w:highlight w:val="none"/>
        </w:rPr>
      </w:pPr>
      <w:r>
        <w:rPr>
          <w:rFonts w:hint="eastAsia" w:ascii="宋体" w:hAnsi="宋体" w:eastAsia="宋体" w:cs="宋体"/>
          <w:bCs/>
          <w:highlight w:val="none"/>
          <w:lang w:val="en-US" w:eastAsia="zh-CN"/>
        </w:rPr>
        <w:t>本项目的特定资格要求：</w:t>
      </w:r>
      <w:r>
        <w:rPr>
          <w:rFonts w:hint="eastAsia" w:eastAsia="宋体" w:cs="Times New Roman"/>
          <w:b w:val="0"/>
          <w:bCs w:val="0"/>
          <w:color w:val="auto"/>
          <w:sz w:val="21"/>
          <w:szCs w:val="21"/>
          <w:highlight w:val="none"/>
          <w:lang w:eastAsia="zh-CN"/>
        </w:rPr>
        <w:t>无</w:t>
      </w:r>
      <w:r>
        <w:rPr>
          <w:rFonts w:hint="eastAsia" w:ascii="宋体" w:hAnsi="宋体" w:eastAsia="宋体" w:cs="宋体"/>
          <w:bCs/>
          <w:highlight w:val="none"/>
          <w:lang w:val="en-US" w:eastAsia="zh-CN"/>
        </w:rPr>
        <w:t>。</w:t>
      </w:r>
    </w:p>
    <w:p w14:paraId="53091BB3">
      <w:pPr>
        <w:numPr>
          <w:ilvl w:val="0"/>
          <w:numId w:val="11"/>
        </w:numPr>
        <w:spacing w:line="360" w:lineRule="auto"/>
        <w:outlineLvl w:val="2"/>
        <w:rPr>
          <w:rFonts w:ascii="宋体" w:hAnsi="宋体" w:eastAsia="宋体" w:cs="宋体"/>
          <w:b/>
          <w:sz w:val="21"/>
          <w:szCs w:val="21"/>
          <w:highlight w:val="none"/>
        </w:rPr>
      </w:pPr>
      <w:bookmarkStart w:id="110" w:name="_Toc10738"/>
      <w:bookmarkStart w:id="111" w:name="_Toc11687"/>
      <w:bookmarkStart w:id="112" w:name="_Toc7345"/>
      <w:bookmarkStart w:id="113" w:name="_Toc25036"/>
      <w:bookmarkStart w:id="114" w:name="_Toc19754"/>
      <w:r>
        <w:rPr>
          <w:rFonts w:hint="eastAsia" w:ascii="宋体" w:hAnsi="宋体" w:eastAsia="宋体" w:cs="宋体"/>
          <w:b/>
          <w:sz w:val="21"/>
          <w:szCs w:val="21"/>
          <w:highlight w:val="none"/>
        </w:rPr>
        <w:t>中小企业认定</w:t>
      </w:r>
      <w:bookmarkEnd w:id="110"/>
      <w:bookmarkEnd w:id="111"/>
      <w:bookmarkEnd w:id="112"/>
      <w:bookmarkEnd w:id="113"/>
      <w:bookmarkEnd w:id="114"/>
    </w:p>
    <w:p w14:paraId="46470A98">
      <w:pPr>
        <w:numPr>
          <w:ilvl w:val="1"/>
          <w:numId w:val="11"/>
        </w:numPr>
        <w:snapToGrid w:val="0"/>
        <w:spacing w:line="360" w:lineRule="auto"/>
        <w:rPr>
          <w:rFonts w:ascii="宋体" w:hAnsi="宋体" w:eastAsia="宋体" w:cs="宋体"/>
          <w:szCs w:val="22"/>
          <w:highlight w:val="none"/>
        </w:rPr>
      </w:pPr>
      <w:r>
        <w:rPr>
          <w:rFonts w:hint="eastAsia" w:ascii="宋体" w:hAnsi="宋体" w:eastAsia="宋体" w:cs="宋体"/>
          <w:szCs w:val="21"/>
          <w:highlight w:val="none"/>
        </w:rPr>
        <w:t>供应</w:t>
      </w:r>
      <w:r>
        <w:rPr>
          <w:rFonts w:hint="eastAsia" w:ascii="宋体" w:hAnsi="宋体" w:eastAsia="宋体" w:cs="宋体"/>
          <w:szCs w:val="22"/>
          <w:highlight w:val="none"/>
        </w:rPr>
        <w:t>商提供的货物、工程或者服务符合下列情形的，享受《政府采购促进中小企业发展管理办法》规定的中小企业扶持政策：</w:t>
      </w:r>
    </w:p>
    <w:p w14:paraId="21ED520F">
      <w:pPr>
        <w:snapToGrid w:val="0"/>
        <w:spacing w:line="360" w:lineRule="auto"/>
        <w:ind w:left="840" w:leftChars="400"/>
        <w:rPr>
          <w:rFonts w:ascii="宋体" w:hAnsi="宋体" w:eastAsia="宋体" w:cs="宋体"/>
          <w:szCs w:val="22"/>
          <w:highlight w:val="none"/>
        </w:rPr>
      </w:pPr>
      <w:r>
        <w:rPr>
          <w:rFonts w:hint="eastAsia" w:ascii="宋体" w:hAnsi="宋体" w:eastAsia="宋体" w:cs="宋体"/>
          <w:szCs w:val="22"/>
          <w:highlight w:val="none"/>
        </w:rPr>
        <w:t>（一）在货物采购项目中，货物由中小企业制造，即货物由中小企业生产且使用该中小企业商号或者注册商标；</w:t>
      </w:r>
    </w:p>
    <w:p w14:paraId="552AC98A">
      <w:pPr>
        <w:snapToGrid w:val="0"/>
        <w:spacing w:line="360" w:lineRule="auto"/>
        <w:ind w:firstLine="840" w:firstLineChars="400"/>
        <w:rPr>
          <w:rFonts w:ascii="宋体" w:hAnsi="宋体" w:eastAsia="宋体" w:cs="宋体"/>
          <w:szCs w:val="22"/>
          <w:highlight w:val="none"/>
        </w:rPr>
      </w:pPr>
      <w:r>
        <w:rPr>
          <w:rFonts w:hint="eastAsia" w:ascii="宋体" w:hAnsi="宋体" w:eastAsia="宋体" w:cs="宋体"/>
          <w:szCs w:val="22"/>
          <w:highlight w:val="none"/>
        </w:rPr>
        <w:t>（二）在工程采购项目中，工程由中小企业承建，即工程施工单位为中小企业；</w:t>
      </w:r>
    </w:p>
    <w:p w14:paraId="57C8860D">
      <w:pPr>
        <w:snapToGrid w:val="0"/>
        <w:spacing w:line="360" w:lineRule="auto"/>
        <w:ind w:left="840" w:leftChars="400"/>
        <w:rPr>
          <w:rFonts w:ascii="宋体" w:hAnsi="宋体" w:eastAsia="宋体" w:cs="宋体"/>
          <w:szCs w:val="22"/>
          <w:highlight w:val="none"/>
        </w:rPr>
      </w:pPr>
      <w:r>
        <w:rPr>
          <w:rFonts w:hint="eastAsia" w:ascii="宋体" w:hAnsi="宋体" w:eastAsia="宋体" w:cs="宋体"/>
          <w:szCs w:val="22"/>
          <w:highlight w:val="none"/>
        </w:rPr>
        <w:t>（三）在服务采购项目中，服务由中小企业承接，即提供服务的人员为中小企业依照《中华人民共和国劳动合同法》订立劳动合同的从业人员。</w:t>
      </w:r>
    </w:p>
    <w:p w14:paraId="70282A02">
      <w:pPr>
        <w:numPr>
          <w:ilvl w:val="1"/>
          <w:numId w:val="11"/>
        </w:numPr>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在货物采购项目中，供应商提供的货物既有中小企业制造货物，也有大型企业制造货物的，不享受中小企业扶持政策。</w:t>
      </w:r>
    </w:p>
    <w:p w14:paraId="209EF604">
      <w:pPr>
        <w:numPr>
          <w:ilvl w:val="1"/>
          <w:numId w:val="11"/>
        </w:numPr>
        <w:snapToGrid w:val="0"/>
        <w:spacing w:line="360" w:lineRule="auto"/>
        <w:rPr>
          <w:rFonts w:ascii="宋体" w:hAnsi="宋体" w:eastAsia="宋体" w:cs="宋体"/>
          <w:highlight w:val="none"/>
        </w:rPr>
      </w:pPr>
      <w:r>
        <w:rPr>
          <w:rFonts w:hint="eastAsia" w:ascii="宋体" w:hAnsi="宋体" w:eastAsia="宋体" w:cs="宋体"/>
          <w:szCs w:val="22"/>
          <w:highlight w:val="none"/>
        </w:rPr>
        <w:t>以联合体形式参加政府采购活动，联合体各方均为中小企业的，联合体视同中小企业。其中，联合体各方均为小微企业的，联合体视同小微企业。</w:t>
      </w:r>
    </w:p>
    <w:p w14:paraId="487B549F">
      <w:pPr>
        <w:numPr>
          <w:ilvl w:val="0"/>
          <w:numId w:val="11"/>
        </w:numPr>
        <w:spacing w:line="360" w:lineRule="auto"/>
        <w:outlineLvl w:val="2"/>
        <w:rPr>
          <w:rFonts w:ascii="宋体" w:hAnsi="宋体" w:eastAsia="宋体" w:cs="宋体"/>
          <w:b/>
          <w:sz w:val="21"/>
          <w:szCs w:val="21"/>
          <w:highlight w:val="none"/>
        </w:rPr>
      </w:pPr>
      <w:bookmarkStart w:id="115" w:name="_Toc16573"/>
      <w:bookmarkStart w:id="116" w:name="_Toc5305"/>
      <w:bookmarkStart w:id="117" w:name="_Toc10573"/>
      <w:bookmarkStart w:id="118" w:name="_Toc10183"/>
      <w:bookmarkStart w:id="119" w:name="_Toc26016"/>
      <w:r>
        <w:rPr>
          <w:rFonts w:hint="eastAsia" w:ascii="宋体" w:hAnsi="宋体" w:eastAsia="宋体" w:cs="宋体"/>
          <w:b/>
          <w:sz w:val="21"/>
          <w:szCs w:val="21"/>
          <w:highlight w:val="none"/>
        </w:rPr>
        <w:t>信用记录</w:t>
      </w:r>
      <w:bookmarkEnd w:id="115"/>
      <w:bookmarkEnd w:id="116"/>
      <w:bookmarkEnd w:id="117"/>
      <w:bookmarkEnd w:id="118"/>
      <w:bookmarkEnd w:id="119"/>
    </w:p>
    <w:p w14:paraId="6510CFAC">
      <w:pPr>
        <w:snapToGrid w:val="0"/>
        <w:spacing w:line="360" w:lineRule="auto"/>
        <w:ind w:left="-840" w:leftChars="-400" w:firstLine="840" w:firstLineChars="400"/>
        <w:rPr>
          <w:rFonts w:ascii="宋体" w:hAnsi="宋体" w:eastAsia="宋体" w:cs="宋体"/>
          <w:szCs w:val="21"/>
          <w:highlight w:val="none"/>
        </w:rPr>
      </w:pPr>
      <w:r>
        <w:rPr>
          <w:rFonts w:hint="eastAsia" w:ascii="宋体" w:hAnsi="宋体" w:eastAsia="宋体" w:cs="宋体"/>
          <w:szCs w:val="21"/>
          <w:highlight w:val="none"/>
        </w:rPr>
        <w:t>5.1     信用信息查询的截止时点：投标截止时间前。</w:t>
      </w:r>
    </w:p>
    <w:p w14:paraId="7ABEE0A5">
      <w:pPr>
        <w:snapToGrid w:val="0"/>
        <w:spacing w:line="360" w:lineRule="auto"/>
        <w:ind w:left="840" w:hanging="840" w:hangingChars="400"/>
        <w:rPr>
          <w:rFonts w:ascii="宋体" w:hAnsi="宋体" w:eastAsia="宋体" w:cs="宋体"/>
          <w:szCs w:val="21"/>
          <w:highlight w:val="none"/>
        </w:rPr>
      </w:pPr>
      <w:r>
        <w:rPr>
          <w:rFonts w:hint="eastAsia" w:ascii="宋体" w:hAnsi="宋体" w:eastAsia="宋体" w:cs="宋体"/>
          <w:szCs w:val="21"/>
          <w:highlight w:val="none"/>
        </w:rPr>
        <w:t>5.2     查询渠道与留存方式：</w:t>
      </w:r>
      <w:r>
        <w:rPr>
          <w:rFonts w:hint="eastAsia" w:ascii="宋体" w:hAnsi="宋体" w:eastAsia="宋体" w:cs="宋体"/>
          <w:highlight w:val="none"/>
        </w:rPr>
        <w:t>招标采购单位登录“信用中国”（www.creditchina.gov.cn）、“中国政府采购网”（www.ccgp.gov.cn）网站查询各磋商供应商信用记录，网页截图并打印存档。</w:t>
      </w:r>
    </w:p>
    <w:p w14:paraId="6BAD62CF">
      <w:pPr>
        <w:snapToGrid w:val="0"/>
        <w:spacing w:line="360" w:lineRule="auto"/>
        <w:ind w:left="840" w:hanging="840" w:hangingChars="400"/>
        <w:rPr>
          <w:rFonts w:ascii="宋体" w:hAnsi="宋体" w:eastAsia="宋体" w:cs="宋体"/>
          <w:szCs w:val="21"/>
          <w:highlight w:val="none"/>
        </w:rPr>
      </w:pPr>
      <w:r>
        <w:rPr>
          <w:rFonts w:hint="eastAsia" w:ascii="宋体" w:hAnsi="宋体" w:eastAsia="宋体" w:cs="宋体"/>
          <w:szCs w:val="21"/>
          <w:highlight w:val="none"/>
        </w:rPr>
        <w:t>5.3     不良信用记录指：被列入失信被执行人、重大税收违法案件当事人名单、政府采购严重违法失 信行为记录名单及其他</w:t>
      </w:r>
      <w:r>
        <w:rPr>
          <w:rFonts w:hint="eastAsia" w:ascii="宋体" w:hAnsi="宋体" w:eastAsia="宋体" w:cs="宋体"/>
          <w:highlight w:val="none"/>
        </w:rPr>
        <w:t>不符合《中华人民共和国政府采购法》第二十二条规定条件。存在不良信用记录的投标人，将被拒绝参与政府采购活动。</w:t>
      </w:r>
    </w:p>
    <w:p w14:paraId="07E48FE9">
      <w:pPr>
        <w:snapToGrid w:val="0"/>
        <w:spacing w:line="360" w:lineRule="auto"/>
        <w:ind w:left="840" w:hanging="840" w:hangingChars="400"/>
        <w:rPr>
          <w:rFonts w:ascii="宋体" w:hAnsi="宋体" w:eastAsia="宋体" w:cs="宋体"/>
          <w:szCs w:val="21"/>
          <w:highlight w:val="none"/>
        </w:rPr>
      </w:pPr>
      <w:r>
        <w:rPr>
          <w:rFonts w:hint="eastAsia" w:ascii="宋体" w:hAnsi="宋体" w:eastAsia="宋体" w:cs="宋体"/>
          <w:szCs w:val="21"/>
          <w:highlight w:val="none"/>
        </w:rPr>
        <w:t>5.4     联合体投标时，招标采购单位将对所有联合体成员进行信用记录查询，联合体成员存在不良信用记录的，视同联合体存在不良信用记录。</w:t>
      </w:r>
    </w:p>
    <w:p w14:paraId="4F94DC65">
      <w:pPr>
        <w:numPr>
          <w:ilvl w:val="0"/>
          <w:numId w:val="11"/>
        </w:numPr>
        <w:spacing w:line="360" w:lineRule="auto"/>
        <w:outlineLvl w:val="2"/>
        <w:rPr>
          <w:rFonts w:ascii="宋体" w:hAnsi="宋体" w:eastAsia="宋体" w:cs="宋体"/>
          <w:b/>
          <w:sz w:val="21"/>
          <w:szCs w:val="21"/>
          <w:highlight w:val="none"/>
        </w:rPr>
      </w:pPr>
      <w:bookmarkStart w:id="120" w:name="_Toc2995"/>
      <w:bookmarkStart w:id="121" w:name="_Toc14238"/>
      <w:bookmarkStart w:id="122" w:name="_Toc6917"/>
      <w:bookmarkStart w:id="123" w:name="_Toc32164"/>
      <w:bookmarkStart w:id="124" w:name="_Toc23433"/>
      <w:r>
        <w:rPr>
          <w:rFonts w:hint="eastAsia" w:ascii="宋体" w:hAnsi="宋体" w:eastAsia="宋体" w:cs="宋体"/>
          <w:b/>
          <w:sz w:val="21"/>
          <w:szCs w:val="21"/>
          <w:highlight w:val="none"/>
        </w:rPr>
        <w:t>保密与披露事项</w:t>
      </w:r>
      <w:bookmarkEnd w:id="120"/>
      <w:bookmarkEnd w:id="121"/>
      <w:bookmarkEnd w:id="122"/>
      <w:bookmarkEnd w:id="123"/>
      <w:bookmarkEnd w:id="124"/>
    </w:p>
    <w:p w14:paraId="570F3262">
      <w:pPr>
        <w:numPr>
          <w:ilvl w:val="1"/>
          <w:numId w:val="11"/>
        </w:numPr>
        <w:spacing w:line="360" w:lineRule="auto"/>
        <w:rPr>
          <w:rFonts w:ascii="宋体" w:hAnsi="宋体" w:eastAsia="宋体" w:cs="宋体"/>
          <w:highlight w:val="none"/>
        </w:rPr>
      </w:pPr>
      <w:r>
        <w:rPr>
          <w:rFonts w:hint="eastAsia" w:ascii="宋体" w:hAnsi="宋体" w:eastAsia="宋体" w:cs="宋体"/>
          <w:highlight w:val="none"/>
        </w:rPr>
        <w:t>磋商供应商不得串通，以不正当的手段妨碍排挤其他磋商供应商，扰乱市场，破坏公平竞争原则。</w:t>
      </w:r>
    </w:p>
    <w:p w14:paraId="3155CAEF">
      <w:pPr>
        <w:numPr>
          <w:ilvl w:val="1"/>
          <w:numId w:val="11"/>
        </w:numPr>
        <w:spacing w:line="360" w:lineRule="auto"/>
        <w:rPr>
          <w:rFonts w:ascii="宋体" w:hAnsi="宋体" w:eastAsia="宋体" w:cs="宋体"/>
          <w:highlight w:val="none"/>
        </w:rPr>
      </w:pPr>
      <w:r>
        <w:rPr>
          <w:rFonts w:hint="eastAsia" w:ascii="宋体" w:hAnsi="宋体" w:eastAsia="宋体" w:cs="宋体"/>
          <w:highlight w:val="none"/>
        </w:rPr>
        <w:t>磋商供应商自购买磋商文件之日起，须承诺承担本竞争性磋商项目下保密义务，不得将因本次竞争性磋商获得的信息向第三方外传。</w:t>
      </w:r>
    </w:p>
    <w:p w14:paraId="5F01AE80">
      <w:pPr>
        <w:numPr>
          <w:ilvl w:val="1"/>
          <w:numId w:val="11"/>
        </w:numPr>
        <w:spacing w:line="360" w:lineRule="auto"/>
        <w:rPr>
          <w:rFonts w:ascii="宋体" w:hAnsi="宋体" w:eastAsia="宋体" w:cs="宋体"/>
          <w:highlight w:val="none"/>
        </w:rPr>
      </w:pPr>
      <w:r>
        <w:rPr>
          <w:rFonts w:hint="eastAsia" w:ascii="宋体" w:hAnsi="宋体" w:eastAsia="宋体" w:cs="宋体"/>
          <w:highlight w:val="none"/>
        </w:rPr>
        <w:t>采购机构有权将磋商供应商提供的所有资料向其他政府部门或有关的非政府机构负责评审标书的人员或与评标有关的人员披露。</w:t>
      </w:r>
    </w:p>
    <w:p w14:paraId="0C3EA08D">
      <w:pPr>
        <w:numPr>
          <w:ilvl w:val="1"/>
          <w:numId w:val="11"/>
        </w:numPr>
        <w:spacing w:line="360" w:lineRule="auto"/>
        <w:rPr>
          <w:rFonts w:ascii="宋体" w:hAnsi="宋体" w:eastAsia="宋体" w:cs="宋体"/>
          <w:sz w:val="24"/>
          <w:highlight w:val="none"/>
        </w:rPr>
      </w:pPr>
      <w:r>
        <w:rPr>
          <w:rFonts w:hint="eastAsia" w:ascii="宋体" w:hAnsi="宋体" w:eastAsia="宋体" w:cs="宋体"/>
          <w:highlight w:val="none"/>
        </w:rPr>
        <w:t>采购机构有权在认为适当时，或在任何第三者提出要求（书面或其他方式）时，无须事先征求成交供应商同意而披露关于已订立合约的资料、成交供应商的名称及地址、成交服务的有关信息以及合约条款等。</w:t>
      </w:r>
    </w:p>
    <w:p w14:paraId="6BE69CA5">
      <w:pPr>
        <w:numPr>
          <w:ilvl w:val="0"/>
          <w:numId w:val="11"/>
        </w:numPr>
        <w:spacing w:line="360" w:lineRule="auto"/>
        <w:outlineLvl w:val="2"/>
        <w:rPr>
          <w:rFonts w:ascii="宋体" w:hAnsi="宋体" w:eastAsia="宋体" w:cs="宋体"/>
          <w:b/>
          <w:sz w:val="21"/>
          <w:szCs w:val="21"/>
          <w:highlight w:val="none"/>
        </w:rPr>
      </w:pPr>
      <w:bookmarkStart w:id="125" w:name="_Toc19778"/>
      <w:bookmarkStart w:id="126" w:name="_Toc31609"/>
      <w:bookmarkStart w:id="127" w:name="_Toc14977"/>
      <w:bookmarkStart w:id="128" w:name="_Toc10250"/>
      <w:bookmarkStart w:id="129" w:name="_Toc13647"/>
      <w:r>
        <w:rPr>
          <w:rFonts w:hint="eastAsia" w:ascii="宋体" w:hAnsi="宋体" w:eastAsia="宋体" w:cs="宋体"/>
          <w:b/>
          <w:sz w:val="21"/>
          <w:szCs w:val="21"/>
          <w:highlight w:val="none"/>
        </w:rPr>
        <w:t>磋商费用</w:t>
      </w:r>
      <w:bookmarkEnd w:id="125"/>
      <w:bookmarkEnd w:id="126"/>
      <w:bookmarkEnd w:id="127"/>
      <w:bookmarkEnd w:id="128"/>
      <w:bookmarkEnd w:id="129"/>
    </w:p>
    <w:p w14:paraId="05E344D7">
      <w:pPr>
        <w:numPr>
          <w:ilvl w:val="1"/>
          <w:numId w:val="11"/>
        </w:numPr>
        <w:spacing w:line="360" w:lineRule="auto"/>
        <w:rPr>
          <w:rFonts w:ascii="宋体" w:hAnsi="宋体" w:eastAsia="宋体" w:cs="宋体"/>
          <w:highlight w:val="none"/>
        </w:rPr>
      </w:pPr>
      <w:r>
        <w:rPr>
          <w:rFonts w:hint="eastAsia" w:ascii="宋体" w:hAnsi="宋体" w:eastAsia="宋体" w:cs="宋体"/>
          <w:highlight w:val="none"/>
        </w:rPr>
        <w:t>磋商供应商应承担所有与编写和提交磋商响应文件有关的费用，不论磋商的结果如何，采购代理机构和采购人在任何情况下均无义务和责任承担这些费用。</w:t>
      </w:r>
    </w:p>
    <w:p w14:paraId="34C0385E">
      <w:pPr>
        <w:numPr>
          <w:ilvl w:val="0"/>
          <w:numId w:val="11"/>
        </w:numPr>
        <w:spacing w:line="360" w:lineRule="auto"/>
        <w:rPr>
          <w:rFonts w:ascii="宋体" w:hAnsi="宋体" w:eastAsia="宋体" w:cs="宋体"/>
          <w:highlight w:val="none"/>
        </w:rPr>
      </w:pPr>
      <w:r>
        <w:rPr>
          <w:rFonts w:hint="eastAsia" w:ascii="宋体" w:hAnsi="宋体" w:eastAsia="宋体" w:cs="宋体"/>
          <w:b/>
          <w:sz w:val="21"/>
          <w:szCs w:val="21"/>
          <w:highlight w:val="none"/>
        </w:rPr>
        <w:t>现场踏勘：</w:t>
      </w:r>
      <w:r>
        <w:rPr>
          <w:rFonts w:hint="eastAsia" w:ascii="宋体" w:hAnsi="宋体" w:eastAsia="宋体" w:cs="宋体"/>
          <w:highlight w:val="none"/>
        </w:rPr>
        <w:t>自行前往</w:t>
      </w:r>
    </w:p>
    <w:p w14:paraId="04926E81">
      <w:pPr>
        <w:numPr>
          <w:ilvl w:val="0"/>
          <w:numId w:val="11"/>
        </w:numPr>
        <w:spacing w:line="360" w:lineRule="auto"/>
        <w:rPr>
          <w:rFonts w:ascii="宋体" w:hAnsi="宋体" w:eastAsia="宋体" w:cs="宋体"/>
          <w:b/>
          <w:sz w:val="21"/>
          <w:szCs w:val="21"/>
          <w:highlight w:val="none"/>
        </w:rPr>
      </w:pPr>
      <w:r>
        <w:rPr>
          <w:rFonts w:hint="eastAsia" w:ascii="宋体" w:hAnsi="宋体" w:eastAsia="宋体" w:cs="宋体"/>
          <w:b/>
          <w:sz w:val="21"/>
          <w:szCs w:val="21"/>
          <w:highlight w:val="none"/>
        </w:rPr>
        <w:t>磋商委托</w:t>
      </w:r>
    </w:p>
    <w:p w14:paraId="1AAA6ABF">
      <w:pPr>
        <w:numPr>
          <w:ilvl w:val="1"/>
          <w:numId w:val="11"/>
        </w:numPr>
        <w:spacing w:line="360" w:lineRule="auto"/>
        <w:rPr>
          <w:rFonts w:ascii="宋体" w:hAnsi="宋体"/>
          <w:highlight w:val="none"/>
        </w:rPr>
      </w:pPr>
      <w:r>
        <w:rPr>
          <w:rFonts w:hint="eastAsia" w:ascii="宋体" w:hAnsi="宋体" w:eastAsia="宋体" w:cs="宋体"/>
          <w:highlight w:val="none"/>
        </w:rPr>
        <w:t>如磋商供应商代表不是法定代表人，须持有《法定代表人授权委托书》。</w:t>
      </w:r>
    </w:p>
    <w:p w14:paraId="519C3831">
      <w:pPr>
        <w:spacing w:line="360" w:lineRule="auto"/>
        <w:ind w:firstLine="843" w:firstLineChars="400"/>
        <w:rPr>
          <w:rFonts w:ascii="宋体" w:hAnsi="宋体"/>
          <w:highlight w:val="none"/>
        </w:rPr>
      </w:pPr>
      <w:r>
        <w:rPr>
          <w:rFonts w:hint="eastAsia" w:ascii="宋体" w:hAnsi="宋体"/>
          <w:b/>
          <w:highlight w:val="none"/>
        </w:rPr>
        <w:t>授权委托书需具备以下几项条件：</w:t>
      </w:r>
    </w:p>
    <w:p w14:paraId="283246F2">
      <w:pPr>
        <w:spacing w:line="360" w:lineRule="auto"/>
        <w:ind w:left="840" w:leftChars="400"/>
        <w:rPr>
          <w:rFonts w:hint="eastAsia"/>
          <w:highlight w:val="none"/>
        </w:rPr>
      </w:pPr>
      <w:r>
        <w:rPr>
          <w:rFonts w:hint="eastAsia" w:ascii="宋体" w:hAnsi="宋体"/>
          <w:highlight w:val="none"/>
        </w:rPr>
        <w:t>a.采用加盖公章；b.法定代表人签字或盖章；</w:t>
      </w:r>
      <w:r>
        <w:rPr>
          <w:rFonts w:hint="eastAsia" w:ascii="宋体" w:hAnsi="宋体"/>
          <w:highlight w:val="none"/>
          <w:lang w:val="en-US" w:eastAsia="zh-CN"/>
        </w:rPr>
        <w:t>c</w:t>
      </w:r>
      <w:r>
        <w:rPr>
          <w:rFonts w:hint="eastAsia" w:ascii="宋体" w:hAnsi="宋体"/>
          <w:highlight w:val="none"/>
        </w:rPr>
        <w:t>.授权代表身份证件。</w:t>
      </w:r>
    </w:p>
    <w:p w14:paraId="46DD37A3">
      <w:pPr>
        <w:pStyle w:val="3"/>
        <w:spacing w:before="156" w:beforeLines="50" w:after="156" w:afterLines="50" w:line="360" w:lineRule="auto"/>
        <w:jc w:val="center"/>
        <w:rPr>
          <w:rFonts w:ascii="宋体" w:hAnsi="宋体" w:eastAsia="宋体" w:cs="宋体"/>
          <w:b/>
          <w:bCs w:val="0"/>
          <w:sz w:val="24"/>
          <w:szCs w:val="24"/>
          <w:highlight w:val="none"/>
        </w:rPr>
      </w:pPr>
      <w:bookmarkStart w:id="130" w:name="_Toc15728"/>
      <w:bookmarkStart w:id="131" w:name="_Toc18413"/>
      <w:bookmarkStart w:id="132" w:name="_Toc3161"/>
      <w:r>
        <w:rPr>
          <w:rFonts w:hint="eastAsia" w:ascii="宋体" w:hAnsi="宋体" w:eastAsia="宋体" w:cs="宋体"/>
          <w:b/>
          <w:bCs w:val="0"/>
          <w:sz w:val="24"/>
          <w:szCs w:val="24"/>
          <w:highlight w:val="none"/>
        </w:rPr>
        <w:t>（三）磋商文件说明</w:t>
      </w:r>
      <w:bookmarkEnd w:id="130"/>
      <w:bookmarkEnd w:id="131"/>
      <w:bookmarkEnd w:id="132"/>
    </w:p>
    <w:p w14:paraId="003F8ACE">
      <w:pPr>
        <w:numPr>
          <w:ilvl w:val="0"/>
          <w:numId w:val="11"/>
        </w:numPr>
        <w:snapToGrid w:val="0"/>
        <w:spacing w:line="360" w:lineRule="auto"/>
        <w:outlineLvl w:val="2"/>
        <w:rPr>
          <w:rFonts w:ascii="宋体" w:hAnsi="宋体" w:eastAsia="宋体" w:cs="宋体"/>
          <w:b/>
          <w:sz w:val="21"/>
          <w:szCs w:val="21"/>
          <w:highlight w:val="none"/>
        </w:rPr>
      </w:pPr>
      <w:bookmarkStart w:id="133" w:name="_Toc15998"/>
      <w:bookmarkStart w:id="134" w:name="_Toc18351"/>
      <w:bookmarkStart w:id="135" w:name="_Toc10529"/>
      <w:bookmarkStart w:id="136" w:name="_Toc14791"/>
      <w:bookmarkStart w:id="137" w:name="_Toc29208"/>
      <w:r>
        <w:rPr>
          <w:rFonts w:hint="eastAsia" w:ascii="宋体" w:hAnsi="宋体" w:eastAsia="宋体" w:cs="宋体"/>
          <w:b/>
          <w:sz w:val="21"/>
          <w:szCs w:val="21"/>
          <w:highlight w:val="none"/>
        </w:rPr>
        <w:t>磋商文件构成</w:t>
      </w:r>
      <w:bookmarkEnd w:id="133"/>
      <w:bookmarkEnd w:id="134"/>
      <w:bookmarkEnd w:id="135"/>
      <w:bookmarkEnd w:id="136"/>
      <w:bookmarkEnd w:id="137"/>
    </w:p>
    <w:p w14:paraId="342F36CC">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磋商文件是用以阐明所需服务，以及竞争性磋商、磋商程序和相应的合同条款。</w:t>
      </w:r>
    </w:p>
    <w:p w14:paraId="77A870DD">
      <w:pPr>
        <w:numPr>
          <w:ilvl w:val="0"/>
          <w:numId w:val="0"/>
        </w:numPr>
        <w:snapToGrid w:val="0"/>
        <w:spacing w:line="360" w:lineRule="auto"/>
        <w:ind w:leftChars="0" w:firstLine="840" w:firstLineChars="400"/>
        <w:rPr>
          <w:rFonts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磋商文件”由下述部分组成：</w:t>
      </w:r>
    </w:p>
    <w:p w14:paraId="200D27DF">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第一部分  竞争性磋商公告</w:t>
      </w:r>
    </w:p>
    <w:p w14:paraId="7181407D">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第二部分  磋商供应商须知</w:t>
      </w:r>
    </w:p>
    <w:p w14:paraId="71505EBA">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第三部分  竞争性磋商服务内容及要求</w:t>
      </w:r>
    </w:p>
    <w:p w14:paraId="26BFA158">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第四部分  合同条款</w:t>
      </w:r>
    </w:p>
    <w:p w14:paraId="59C2CEE9">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第五部分  磋商响应文件格式</w:t>
      </w:r>
    </w:p>
    <w:p w14:paraId="395C38A3">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第六部分  评定办法</w:t>
      </w:r>
    </w:p>
    <w:p w14:paraId="50596EAB">
      <w:pPr>
        <w:pStyle w:val="9"/>
        <w:ind w:firstLine="420" w:firstLineChars="200"/>
        <w:rPr>
          <w:highlight w:val="none"/>
        </w:rPr>
      </w:pPr>
      <w:r>
        <w:rPr>
          <w:rFonts w:hint="eastAsia"/>
          <w:highlight w:val="none"/>
        </w:rPr>
        <w:t>第七部分  信贷政策</w:t>
      </w:r>
    </w:p>
    <w:p w14:paraId="22549FC4">
      <w:pPr>
        <w:snapToGrid w:val="0"/>
        <w:spacing w:line="360" w:lineRule="auto"/>
        <w:ind w:left="840" w:leftChars="400"/>
        <w:rPr>
          <w:rFonts w:ascii="宋体" w:hAnsi="宋体" w:eastAsia="宋体" w:cs="宋体"/>
          <w:szCs w:val="21"/>
          <w:highlight w:val="none"/>
        </w:rPr>
      </w:pPr>
      <w:r>
        <w:rPr>
          <w:rFonts w:hint="eastAsia" w:ascii="宋体" w:hAnsi="宋体" w:eastAsia="宋体" w:cs="宋体"/>
          <w:szCs w:val="21"/>
          <w:highlight w:val="none"/>
        </w:rPr>
        <w:t>第八部分  补充通知及答疑（若有）</w:t>
      </w:r>
    </w:p>
    <w:p w14:paraId="1BB6FEE7">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本磋商文件要求磋商供应商作出实质性响应的有关技术和商务条款，将在该条款前以“▲” 醒目标识。</w:t>
      </w:r>
    </w:p>
    <w:p w14:paraId="6C9B8319">
      <w:pPr>
        <w:numPr>
          <w:ilvl w:val="0"/>
          <w:numId w:val="11"/>
        </w:numPr>
        <w:snapToGrid w:val="0"/>
        <w:spacing w:line="360" w:lineRule="auto"/>
        <w:outlineLvl w:val="2"/>
        <w:rPr>
          <w:rFonts w:ascii="宋体" w:hAnsi="宋体" w:eastAsia="宋体" w:cs="宋体"/>
          <w:b/>
          <w:sz w:val="21"/>
          <w:szCs w:val="21"/>
          <w:highlight w:val="none"/>
        </w:rPr>
      </w:pPr>
      <w:bookmarkStart w:id="138" w:name="_Toc4543"/>
      <w:bookmarkStart w:id="139" w:name="_Toc25802"/>
      <w:bookmarkStart w:id="140" w:name="_Toc24860"/>
      <w:bookmarkStart w:id="141" w:name="_Toc32144"/>
      <w:bookmarkStart w:id="142" w:name="_Toc10868"/>
      <w:r>
        <w:rPr>
          <w:rFonts w:hint="eastAsia" w:ascii="宋体" w:hAnsi="宋体" w:eastAsia="宋体" w:cs="宋体"/>
          <w:b/>
          <w:sz w:val="21"/>
          <w:szCs w:val="21"/>
          <w:highlight w:val="none"/>
        </w:rPr>
        <w:t>磋商文件的澄清</w:t>
      </w:r>
      <w:bookmarkEnd w:id="138"/>
      <w:bookmarkEnd w:id="139"/>
      <w:bookmarkEnd w:id="140"/>
      <w:bookmarkEnd w:id="141"/>
      <w:bookmarkEnd w:id="142"/>
    </w:p>
    <w:p w14:paraId="1D5CB065">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任何要求对磋商文件进行澄清的磋商供应商，均应在答疑截止期规定时间以前以书面形式寄送</w:t>
      </w:r>
      <w:r>
        <w:rPr>
          <w:rFonts w:hint="eastAsia" w:ascii="宋体" w:hAnsi="宋体" w:eastAsia="宋体" w:cs="宋体"/>
          <w:highlight w:val="none"/>
          <w:lang w:val="en-US" w:eastAsia="zh-CN"/>
        </w:rPr>
        <w:t>给</w:t>
      </w:r>
      <w:r>
        <w:rPr>
          <w:rFonts w:hint="eastAsia" w:ascii="宋体" w:hAnsi="宋体" w:eastAsia="宋体" w:cs="宋体"/>
          <w:highlight w:val="none"/>
        </w:rPr>
        <w:t>采购代理机构或</w:t>
      </w:r>
      <w:r>
        <w:rPr>
          <w:rFonts w:hint="eastAsia" w:ascii="宋体" w:hAnsi="宋体" w:eastAsia="宋体" w:cs="宋体"/>
          <w:highlight w:val="none"/>
          <w:lang w:val="en-US" w:eastAsia="zh-CN"/>
        </w:rPr>
        <w:t>发送至代理机构邮箱</w:t>
      </w:r>
      <w:r>
        <w:rPr>
          <w:rFonts w:hint="eastAsia" w:ascii="宋体" w:hAnsi="宋体" w:eastAsia="宋体" w:cs="宋体"/>
          <w:highlight w:val="none"/>
        </w:rPr>
        <w:t>。</w:t>
      </w:r>
    </w:p>
    <w:p w14:paraId="7C6AC751">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采购代理机构对已发出的磋商文件进行必要澄清或者修改的，将提交首次响应文件截止时间5日前在“温州市公共资源交易网—瑞安市分网”和“浙江省政府采购网”上发布更正公告。答复中包括原提出的问题，但不包括问题的来源。供应商登陆温州市公共资源交易网—瑞安市分网站会员系统从“下载答疑文件处”自行下载，该澄清和修改的内容作为磋商文件的组成部分。</w:t>
      </w:r>
    </w:p>
    <w:p w14:paraId="4508CE33">
      <w:pPr>
        <w:bidi w:val="0"/>
        <w:rPr>
          <w:rFonts w:hint="eastAsia"/>
          <w:highlight w:val="none"/>
        </w:rPr>
      </w:pPr>
    </w:p>
    <w:p w14:paraId="29151CE2">
      <w:pPr>
        <w:pStyle w:val="3"/>
        <w:spacing w:before="156" w:beforeLines="50" w:after="156" w:afterLines="50" w:line="360" w:lineRule="auto"/>
        <w:jc w:val="center"/>
        <w:rPr>
          <w:rFonts w:ascii="宋体" w:hAnsi="宋体" w:eastAsia="宋体" w:cs="宋体"/>
          <w:b/>
          <w:bCs w:val="0"/>
          <w:sz w:val="24"/>
          <w:szCs w:val="24"/>
          <w:highlight w:val="none"/>
        </w:rPr>
      </w:pPr>
      <w:r>
        <w:rPr>
          <w:rFonts w:hint="eastAsia" w:ascii="宋体" w:hAnsi="宋体" w:eastAsia="宋体" w:cs="宋体"/>
          <w:b/>
          <w:bCs w:val="0"/>
          <w:sz w:val="24"/>
          <w:szCs w:val="24"/>
          <w:highlight w:val="none"/>
        </w:rPr>
        <w:t>（四）磋商响应文件的编制</w:t>
      </w:r>
    </w:p>
    <w:p w14:paraId="34666693">
      <w:pPr>
        <w:numPr>
          <w:ilvl w:val="0"/>
          <w:numId w:val="11"/>
        </w:numPr>
        <w:snapToGrid w:val="0"/>
        <w:spacing w:line="360" w:lineRule="auto"/>
        <w:outlineLvl w:val="2"/>
        <w:rPr>
          <w:rFonts w:ascii="宋体" w:hAnsi="宋体" w:eastAsia="宋体" w:cs="宋体"/>
          <w:b/>
          <w:bCs/>
          <w:sz w:val="21"/>
          <w:szCs w:val="21"/>
          <w:highlight w:val="none"/>
        </w:rPr>
      </w:pPr>
      <w:bookmarkStart w:id="143" w:name="_Toc7832"/>
      <w:bookmarkStart w:id="144" w:name="_Toc32516"/>
      <w:bookmarkStart w:id="145" w:name="_Toc6851"/>
      <w:bookmarkStart w:id="146" w:name="_Toc20721"/>
      <w:bookmarkStart w:id="147" w:name="_Toc19220"/>
      <w:r>
        <w:rPr>
          <w:rFonts w:hint="eastAsia" w:ascii="宋体" w:hAnsi="宋体" w:eastAsia="宋体" w:cs="宋体"/>
          <w:b/>
          <w:bCs/>
          <w:sz w:val="21"/>
          <w:szCs w:val="21"/>
          <w:highlight w:val="none"/>
        </w:rPr>
        <w:t>磋商响应文件的说明</w:t>
      </w:r>
      <w:bookmarkEnd w:id="143"/>
      <w:bookmarkEnd w:id="144"/>
      <w:bookmarkEnd w:id="145"/>
      <w:bookmarkEnd w:id="146"/>
      <w:bookmarkEnd w:id="147"/>
    </w:p>
    <w:p w14:paraId="19672BBF">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磋商响应文件应字迹清楚、内容齐全、不得涂改。如有修改，修改处须有法定代表人或其同一授权代表盖章（或签字）。</w:t>
      </w:r>
    </w:p>
    <w:p w14:paraId="7B1C3B00">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14:paraId="3936DAF5">
      <w:pPr>
        <w:numPr>
          <w:ilvl w:val="0"/>
          <w:numId w:val="11"/>
        </w:numPr>
        <w:snapToGrid w:val="0"/>
        <w:spacing w:line="360" w:lineRule="auto"/>
        <w:outlineLvl w:val="2"/>
        <w:rPr>
          <w:rFonts w:ascii="宋体" w:hAnsi="宋体" w:eastAsia="宋体" w:cs="宋体"/>
          <w:b/>
          <w:bCs/>
          <w:sz w:val="24"/>
          <w:highlight w:val="none"/>
        </w:rPr>
      </w:pPr>
      <w:bookmarkStart w:id="148" w:name="_Toc5871"/>
      <w:bookmarkStart w:id="149" w:name="_Toc5698"/>
      <w:bookmarkStart w:id="150" w:name="_Toc10383"/>
      <w:bookmarkStart w:id="151" w:name="_Toc1885"/>
      <w:bookmarkStart w:id="152" w:name="_Toc12351"/>
      <w:r>
        <w:rPr>
          <w:rFonts w:hint="eastAsia" w:ascii="宋体" w:hAnsi="宋体" w:eastAsia="宋体" w:cs="宋体"/>
          <w:b/>
          <w:bCs/>
          <w:sz w:val="21"/>
          <w:szCs w:val="21"/>
          <w:highlight w:val="none"/>
        </w:rPr>
        <w:t>磋商响应文件的组成</w:t>
      </w:r>
      <w:bookmarkEnd w:id="148"/>
      <w:bookmarkEnd w:id="149"/>
      <w:bookmarkEnd w:id="150"/>
      <w:bookmarkEnd w:id="151"/>
      <w:bookmarkEnd w:id="152"/>
    </w:p>
    <w:p w14:paraId="6FD07113">
      <w:pPr>
        <w:numPr>
          <w:ilvl w:val="1"/>
          <w:numId w:val="11"/>
        </w:numPr>
        <w:snapToGrid w:val="0"/>
        <w:spacing w:line="360" w:lineRule="auto"/>
        <w:rPr>
          <w:rFonts w:ascii="宋体" w:hAnsi="宋体" w:eastAsia="宋体" w:cs="宋体"/>
          <w:sz w:val="24"/>
          <w:highlight w:val="none"/>
        </w:rPr>
      </w:pPr>
      <w:r>
        <w:rPr>
          <w:rFonts w:hint="eastAsia" w:ascii="宋体" w:hAnsi="宋体" w:eastAsia="宋体" w:cs="宋体"/>
          <w:highlight w:val="none"/>
        </w:rPr>
        <w:t>磋商供应商编写的磋商响应文件应包括下列部分：</w:t>
      </w:r>
    </w:p>
    <w:p w14:paraId="182E62C6">
      <w:pPr>
        <w:pStyle w:val="26"/>
        <w:spacing w:line="360" w:lineRule="auto"/>
        <w:outlineLvl w:val="3"/>
        <w:rPr>
          <w:rFonts w:ascii="宋体" w:hAnsi="宋体" w:eastAsia="宋体" w:cs="宋体"/>
          <w:b/>
          <w:bCs/>
          <w:highlight w:val="none"/>
        </w:rPr>
      </w:pPr>
      <w:r>
        <w:rPr>
          <w:rFonts w:hint="eastAsia" w:ascii="宋体" w:hAnsi="宋体" w:eastAsia="宋体" w:cs="宋体"/>
          <w:b/>
          <w:bCs/>
          <w:highlight w:val="none"/>
        </w:rPr>
        <w:t>一、资格响应部分</w:t>
      </w:r>
    </w:p>
    <w:p w14:paraId="680746AB">
      <w:pPr>
        <w:numPr>
          <w:ilvl w:val="0"/>
          <w:numId w:val="0"/>
        </w:numPr>
        <w:tabs>
          <w:tab w:val="left" w:pos="1060"/>
        </w:tabs>
        <w:snapToGrid w:val="0"/>
        <w:spacing w:line="360" w:lineRule="auto"/>
        <w:ind w:left="1045" w:leftChars="0" w:hanging="625" w:firstLineChars="0"/>
        <w:rPr>
          <w:rFonts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Cs w:val="21"/>
          <w:highlight w:val="none"/>
        </w:rPr>
        <w:t>关于资格、资质证明文件的声明函。                   （见第五部分附件一）</w:t>
      </w:r>
    </w:p>
    <w:p w14:paraId="39B161EB">
      <w:pPr>
        <w:pStyle w:val="8"/>
        <w:numPr>
          <w:ilvl w:val="0"/>
          <w:numId w:val="12"/>
        </w:numPr>
        <w:ind w:left="1058" w:leftChars="401" w:hanging="216" w:hangingChars="103"/>
        <w:rPr>
          <w:rFonts w:hint="eastAsia" w:ascii="宋体" w:hAnsi="宋体" w:eastAsia="宋体" w:cs="宋体"/>
          <w:kern w:val="0"/>
          <w:sz w:val="21"/>
          <w:highlight w:val="none"/>
        </w:rPr>
      </w:pPr>
      <w:r>
        <w:rPr>
          <w:rFonts w:hint="eastAsia" w:ascii="宋体" w:hAnsi="宋体" w:eastAsia="宋体" w:cs="宋体"/>
          <w:kern w:val="0"/>
          <w:sz w:val="21"/>
          <w:highlight w:val="none"/>
        </w:rPr>
        <w:t>出具符合以下情况的证明材料扫描件（五选一）</w:t>
      </w:r>
    </w:p>
    <w:p w14:paraId="21B64B6A">
      <w:pPr>
        <w:pStyle w:val="8"/>
        <w:numPr>
          <w:ilvl w:val="0"/>
          <w:numId w:val="0"/>
        </w:numPr>
        <w:ind w:left="1256" w:leftChars="498" w:hanging="210" w:hangingChars="100"/>
        <w:rPr>
          <w:rFonts w:hint="eastAsia" w:ascii="宋体" w:hAnsi="宋体" w:eastAsia="宋体" w:cs="宋体"/>
          <w:kern w:val="0"/>
          <w:sz w:val="21"/>
          <w:highlight w:val="none"/>
        </w:rPr>
      </w:pPr>
      <w:r>
        <w:rPr>
          <w:rFonts w:hint="eastAsia" w:ascii="宋体" w:hAnsi="宋体" w:eastAsia="宋体" w:cs="宋体"/>
          <w:kern w:val="0"/>
          <w:sz w:val="21"/>
          <w:highlight w:val="none"/>
        </w:rPr>
        <w:t>①如磋商供应商是企业（包括合伙企业），提供在工商部门注册的有效“企业法人营业执照”或“营业执照”；</w:t>
      </w:r>
    </w:p>
    <w:p w14:paraId="73DD63F3">
      <w:pPr>
        <w:pStyle w:val="8"/>
        <w:numPr>
          <w:ilvl w:val="0"/>
          <w:numId w:val="0"/>
        </w:numPr>
        <w:ind w:leftChars="298" w:firstLine="420" w:firstLineChars="200"/>
        <w:rPr>
          <w:rFonts w:hint="eastAsia" w:ascii="宋体" w:hAnsi="宋体" w:eastAsia="宋体" w:cs="宋体"/>
          <w:kern w:val="0"/>
          <w:sz w:val="21"/>
          <w:highlight w:val="none"/>
        </w:rPr>
      </w:pPr>
      <w:r>
        <w:rPr>
          <w:rFonts w:hint="eastAsia" w:ascii="宋体" w:hAnsi="宋体" w:eastAsia="宋体" w:cs="宋体"/>
          <w:kern w:val="0"/>
          <w:sz w:val="21"/>
          <w:highlight w:val="none"/>
        </w:rPr>
        <w:t>②如磋商供应商是事业单位，提供有效的“事业单位法人证书”；</w:t>
      </w:r>
    </w:p>
    <w:p w14:paraId="781312BF">
      <w:pPr>
        <w:pStyle w:val="8"/>
        <w:numPr>
          <w:ilvl w:val="0"/>
          <w:numId w:val="0"/>
        </w:numPr>
        <w:ind w:leftChars="298" w:firstLine="420" w:firstLineChars="200"/>
        <w:rPr>
          <w:rFonts w:hint="eastAsia" w:ascii="宋体" w:hAnsi="宋体" w:eastAsia="宋体" w:cs="宋体"/>
          <w:kern w:val="0"/>
          <w:sz w:val="21"/>
          <w:highlight w:val="none"/>
        </w:rPr>
      </w:pPr>
      <w:r>
        <w:rPr>
          <w:rFonts w:hint="eastAsia" w:ascii="宋体" w:hAnsi="宋体" w:eastAsia="宋体" w:cs="宋体"/>
          <w:kern w:val="0"/>
          <w:sz w:val="21"/>
          <w:highlight w:val="none"/>
        </w:rPr>
        <w:t>③如磋商供应商是非企业专业服务机构的，提供执业许可证等证明文件；</w:t>
      </w:r>
    </w:p>
    <w:p w14:paraId="043FC101">
      <w:pPr>
        <w:pStyle w:val="8"/>
        <w:numPr>
          <w:ilvl w:val="0"/>
          <w:numId w:val="0"/>
        </w:numPr>
        <w:ind w:leftChars="298" w:firstLine="420" w:firstLineChars="200"/>
        <w:rPr>
          <w:rFonts w:hint="eastAsia" w:ascii="宋体" w:hAnsi="宋体" w:eastAsia="宋体" w:cs="宋体"/>
          <w:kern w:val="0"/>
          <w:sz w:val="21"/>
          <w:highlight w:val="none"/>
        </w:rPr>
      </w:pPr>
      <w:r>
        <w:rPr>
          <w:rFonts w:hint="eastAsia" w:ascii="宋体" w:hAnsi="宋体" w:eastAsia="宋体" w:cs="宋体"/>
          <w:kern w:val="0"/>
          <w:sz w:val="21"/>
          <w:highlight w:val="none"/>
        </w:rPr>
        <w:t>④如磋商供应商是个体工商户，提供有效的“个体工商户营业执照”；</w:t>
      </w:r>
    </w:p>
    <w:p w14:paraId="19DE8A49">
      <w:pPr>
        <w:pStyle w:val="8"/>
        <w:numPr>
          <w:ilvl w:val="0"/>
          <w:numId w:val="0"/>
        </w:numPr>
        <w:ind w:left="1256" w:leftChars="498" w:hanging="210" w:hangingChars="100"/>
        <w:rPr>
          <w:rFonts w:ascii="宋体" w:hAnsi="宋体" w:eastAsia="宋体" w:cs="宋体"/>
          <w:kern w:val="0"/>
          <w:sz w:val="21"/>
          <w:highlight w:val="none"/>
        </w:rPr>
      </w:pPr>
      <w:r>
        <w:rPr>
          <w:rFonts w:hint="eastAsia" w:ascii="宋体" w:hAnsi="宋体" w:eastAsia="宋体" w:cs="宋体"/>
          <w:kern w:val="0"/>
          <w:sz w:val="21"/>
          <w:highlight w:val="none"/>
        </w:rPr>
        <w:t>⑤如磋商供应商是自然人，提供有效的自然人身份证明（居民身份证正反面或公安机关出具的临时居民身份证正反面或港澳台胞证或证照）。</w:t>
      </w:r>
    </w:p>
    <w:p w14:paraId="0A33EED5">
      <w:pPr>
        <w:pStyle w:val="8"/>
        <w:numPr>
          <w:ilvl w:val="0"/>
          <w:numId w:val="12"/>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供应商相关</w:t>
      </w:r>
      <w:r>
        <w:rPr>
          <w:rFonts w:hint="eastAsia" w:ascii="宋体" w:hAnsi="宋体" w:eastAsia="宋体" w:cs="宋体"/>
          <w:kern w:val="0"/>
          <w:sz w:val="21"/>
          <w:highlight w:val="none"/>
          <w:lang w:val="en-US" w:eastAsia="zh-CN"/>
        </w:rPr>
        <w:t>特定</w:t>
      </w:r>
      <w:r>
        <w:rPr>
          <w:rFonts w:hint="eastAsia" w:ascii="宋体" w:hAnsi="宋体" w:eastAsia="宋体" w:cs="宋体"/>
          <w:kern w:val="0"/>
          <w:sz w:val="21"/>
          <w:highlight w:val="none"/>
        </w:rPr>
        <w:t>资质证明文件扫描件（如有）；</w:t>
      </w:r>
    </w:p>
    <w:p w14:paraId="6BCCA5BA">
      <w:pPr>
        <w:pStyle w:val="8"/>
        <w:numPr>
          <w:ilvl w:val="0"/>
          <w:numId w:val="12"/>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项目负责人相关证书扫描件（如有）；</w:t>
      </w:r>
    </w:p>
    <w:p w14:paraId="14C88EF7">
      <w:pPr>
        <w:pStyle w:val="8"/>
        <w:numPr>
          <w:ilvl w:val="0"/>
          <w:numId w:val="12"/>
        </w:numPr>
        <w:ind w:left="1058" w:leftChars="401" w:hanging="216" w:hangingChars="103"/>
        <w:rPr>
          <w:rFonts w:ascii="宋体" w:hAnsi="宋体" w:eastAsia="宋体" w:cs="宋体"/>
          <w:kern w:val="0"/>
          <w:sz w:val="21"/>
          <w:highlight w:val="none"/>
        </w:rPr>
      </w:pPr>
      <w:r>
        <w:rPr>
          <w:rFonts w:hint="eastAsia" w:ascii="宋体" w:hAnsi="宋体" w:eastAsia="宋体" w:cs="宋体"/>
          <w:kern w:val="0"/>
          <w:sz w:val="21"/>
          <w:highlight w:val="none"/>
        </w:rPr>
        <w:t>供应商的其他证书扫描件（如有）</w:t>
      </w:r>
      <w:r>
        <w:rPr>
          <w:rFonts w:hint="eastAsia" w:ascii="宋体" w:hAnsi="宋体" w:eastAsia="宋体" w:cs="宋体"/>
          <w:kern w:val="0"/>
          <w:sz w:val="21"/>
          <w:highlight w:val="none"/>
          <w:lang w:eastAsia="zh-CN"/>
        </w:rPr>
        <w:t>；</w:t>
      </w:r>
    </w:p>
    <w:p w14:paraId="26F58CE6">
      <w:pPr>
        <w:pStyle w:val="8"/>
        <w:numPr>
          <w:ilvl w:val="0"/>
          <w:numId w:val="0"/>
        </w:numPr>
        <w:ind w:left="1045" w:leftChars="0" w:hanging="625" w:firstLineChars="0"/>
        <w:jc w:val="left"/>
        <w:rPr>
          <w:rFonts w:ascii="宋体" w:hAnsi="宋体" w:eastAsia="宋体" w:cs="宋体"/>
          <w:bCs/>
          <w:kern w:val="0"/>
          <w:sz w:val="21"/>
          <w:highlight w:val="none"/>
        </w:rPr>
      </w:pPr>
      <w:r>
        <w:rPr>
          <w:rFonts w:hint="eastAsia" w:ascii="宋体" w:hAnsi="宋体" w:eastAsia="宋体" w:cs="宋体"/>
          <w:bCs/>
          <w:kern w:val="0"/>
          <w:sz w:val="21"/>
          <w:szCs w:val="24"/>
          <w:highlight w:val="none"/>
          <w:lang w:val="en-US" w:eastAsia="zh-CN" w:bidi="ar-SA"/>
        </w:rPr>
        <w:t>（</w:t>
      </w:r>
      <w:r>
        <w:rPr>
          <w:rFonts w:hint="default" w:ascii="宋体" w:hAnsi="宋体" w:eastAsia="宋体" w:cs="宋体"/>
          <w:bCs/>
          <w:kern w:val="0"/>
          <w:sz w:val="21"/>
          <w:szCs w:val="24"/>
          <w:highlight w:val="none"/>
          <w:lang w:val="en-US" w:eastAsia="zh-CN" w:bidi="ar-SA"/>
        </w:rPr>
        <w:t>2</w:t>
      </w:r>
      <w:r>
        <w:rPr>
          <w:rFonts w:hint="eastAsia" w:ascii="宋体" w:hAnsi="宋体" w:eastAsia="宋体" w:cs="宋体"/>
          <w:bCs/>
          <w:kern w:val="0"/>
          <w:sz w:val="21"/>
          <w:szCs w:val="24"/>
          <w:highlight w:val="none"/>
          <w:lang w:val="en-US" w:eastAsia="zh-CN" w:bidi="ar-SA"/>
        </w:rPr>
        <w:t>）</w:t>
      </w:r>
      <w:r>
        <w:rPr>
          <w:rFonts w:hint="eastAsia" w:ascii="宋体" w:hAnsi="宋体" w:eastAsia="宋体" w:cs="宋体"/>
          <w:bCs/>
          <w:kern w:val="0"/>
          <w:sz w:val="21"/>
          <w:highlight w:val="none"/>
        </w:rPr>
        <w:t>关于满足《中华人民共和国政府采购法》第二十二条规定的承诺函。</w:t>
      </w:r>
    </w:p>
    <w:p w14:paraId="05B1C9B8">
      <w:pPr>
        <w:pStyle w:val="8"/>
        <w:ind w:left="420"/>
        <w:jc w:val="right"/>
        <w:rPr>
          <w:rFonts w:ascii="宋体" w:hAnsi="宋体" w:eastAsia="宋体" w:cs="宋体"/>
          <w:bCs/>
          <w:kern w:val="0"/>
          <w:sz w:val="21"/>
          <w:highlight w:val="none"/>
        </w:rPr>
      </w:pPr>
      <w:r>
        <w:rPr>
          <w:rFonts w:hint="eastAsia" w:ascii="宋体" w:hAnsi="宋体" w:eastAsia="宋体" w:cs="宋体"/>
          <w:bCs/>
          <w:kern w:val="0"/>
          <w:sz w:val="21"/>
          <w:highlight w:val="none"/>
          <w:lang w:val="en-US" w:eastAsia="zh-CN"/>
        </w:rPr>
        <w:t xml:space="preserve">   </w:t>
      </w:r>
      <w:r>
        <w:rPr>
          <w:rFonts w:hint="eastAsia" w:ascii="宋体" w:hAnsi="宋体" w:eastAsia="宋体" w:cs="宋体"/>
          <w:bCs/>
          <w:kern w:val="0"/>
          <w:sz w:val="21"/>
          <w:highlight w:val="none"/>
        </w:rPr>
        <w:t>（见第五部分附件二）</w:t>
      </w:r>
    </w:p>
    <w:p w14:paraId="3FB1B9F5">
      <w:pPr>
        <w:numPr>
          <w:ilvl w:val="0"/>
          <w:numId w:val="0"/>
        </w:numPr>
        <w:tabs>
          <w:tab w:val="left" w:pos="1060"/>
        </w:tabs>
        <w:snapToGrid w:val="0"/>
        <w:spacing w:line="360" w:lineRule="auto"/>
        <w:ind w:left="1045" w:leftChars="0" w:hanging="625" w:firstLineChars="0"/>
        <w:rPr>
          <w:rFonts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Cs w:val="21"/>
          <w:highlight w:val="none"/>
        </w:rPr>
        <w:t>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p w14:paraId="46AD3542">
      <w:pPr>
        <w:numPr>
          <w:ilvl w:val="0"/>
          <w:numId w:val="0"/>
        </w:numPr>
        <w:tabs>
          <w:tab w:val="left" w:pos="1060"/>
        </w:tabs>
        <w:snapToGrid w:val="0"/>
        <w:spacing w:line="360" w:lineRule="auto"/>
        <w:ind w:left="1045" w:leftChars="0" w:hanging="625" w:firstLineChars="0"/>
        <w:rPr>
          <w:rFonts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Cs w:val="21"/>
          <w:highlight w:val="none"/>
        </w:rPr>
        <w:t xml:space="preserve">法定代表人授权委托书；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（见第五部分附件三-1）</w:t>
      </w:r>
    </w:p>
    <w:p w14:paraId="1AC0BDC7">
      <w:pPr>
        <w:numPr>
          <w:ilvl w:val="0"/>
          <w:numId w:val="0"/>
        </w:numPr>
        <w:tabs>
          <w:tab w:val="left" w:pos="1060"/>
        </w:tabs>
        <w:snapToGrid w:val="0"/>
        <w:spacing w:line="360" w:lineRule="auto"/>
        <w:ind w:left="1045" w:leftChars="0" w:hanging="625" w:firstLineChars="0"/>
        <w:rPr>
          <w:rFonts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Cs w:val="21"/>
          <w:highlight w:val="none"/>
        </w:rPr>
        <w:t xml:space="preserve">法定代表人身份证明；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（见第五部分附件三-2）</w:t>
      </w:r>
    </w:p>
    <w:p w14:paraId="6838915B">
      <w:pPr>
        <w:numPr>
          <w:ilvl w:val="0"/>
          <w:numId w:val="0"/>
        </w:numPr>
        <w:tabs>
          <w:tab w:val="left" w:pos="1060"/>
        </w:tabs>
        <w:snapToGrid w:val="0"/>
        <w:spacing w:line="360" w:lineRule="auto"/>
        <w:ind w:left="1045" w:leftChars="0" w:hanging="625" w:firstLineChars="0"/>
        <w:rPr>
          <w:rFonts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Cs w:val="21"/>
          <w:highlight w:val="none"/>
        </w:rPr>
        <w:t>供应商需在响应文件中出具符合以下情况的证明材料（三选一）：</w:t>
      </w:r>
    </w:p>
    <w:p w14:paraId="452FA1C3">
      <w:pPr>
        <w:tabs>
          <w:tab w:val="left" w:pos="1060"/>
        </w:tabs>
        <w:snapToGrid w:val="0"/>
        <w:spacing w:line="360" w:lineRule="auto"/>
        <w:ind w:left="420" w:firstLine="630" w:firstLineChars="300"/>
        <w:rPr>
          <w:rFonts w:ascii="宋体" w:hAnsi="宋体" w:eastAsia="宋体" w:cs="宋体"/>
          <w:szCs w:val="21"/>
          <w:highlight w:val="none"/>
        </w:rPr>
      </w:pPr>
      <w:r>
        <w:rPr>
          <w:rFonts w:hint="eastAsia" w:ascii="宋体" w:hAnsi="宋体" w:eastAsia="宋体" w:cs="宋体"/>
          <w:szCs w:val="21"/>
          <w:highlight w:val="none"/>
        </w:rPr>
        <w:t xml:space="preserve">① 中小企业声明函；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（见第五部分附件四）</w:t>
      </w:r>
    </w:p>
    <w:p w14:paraId="66AFFA72">
      <w:pPr>
        <w:tabs>
          <w:tab w:val="left" w:pos="1060"/>
        </w:tabs>
        <w:snapToGrid w:val="0"/>
        <w:spacing w:line="360" w:lineRule="auto"/>
        <w:ind w:left="420" w:firstLine="630" w:firstLineChars="300"/>
        <w:rPr>
          <w:rFonts w:ascii="宋体" w:hAnsi="宋体" w:eastAsia="宋体" w:cs="宋体"/>
          <w:szCs w:val="21"/>
          <w:highlight w:val="none"/>
        </w:rPr>
      </w:pPr>
      <w:r>
        <w:rPr>
          <w:rFonts w:hint="eastAsia" w:ascii="宋体" w:hAnsi="宋体" w:eastAsia="宋体" w:cs="宋体"/>
          <w:szCs w:val="21"/>
          <w:highlight w:val="none"/>
        </w:rPr>
        <w:t xml:space="preserve">② 残疾人福利性单位声明函；（残疾人福利性单位投标时适用）  </w:t>
      </w:r>
    </w:p>
    <w:p w14:paraId="06F01B84">
      <w:pPr>
        <w:tabs>
          <w:tab w:val="left" w:pos="1060"/>
        </w:tabs>
        <w:snapToGrid w:val="0"/>
        <w:spacing w:line="360" w:lineRule="auto"/>
        <w:ind w:left="420" w:firstLine="630" w:firstLineChars="300"/>
        <w:jc w:val="right"/>
        <w:rPr>
          <w:rFonts w:ascii="宋体" w:hAnsi="宋体" w:eastAsia="宋体" w:cs="宋体"/>
          <w:szCs w:val="21"/>
          <w:highlight w:val="none"/>
        </w:rPr>
      </w:pPr>
      <w:r>
        <w:rPr>
          <w:rFonts w:hint="eastAsia" w:ascii="宋体" w:hAnsi="宋体" w:eastAsia="宋体" w:cs="宋体"/>
          <w:szCs w:val="21"/>
          <w:highlight w:val="none"/>
        </w:rPr>
        <w:t xml:space="preserve">    （见第五部分附件五）</w:t>
      </w:r>
    </w:p>
    <w:p w14:paraId="327CF8C5">
      <w:pPr>
        <w:tabs>
          <w:tab w:val="left" w:pos="1060"/>
        </w:tabs>
        <w:snapToGrid w:val="0"/>
        <w:spacing w:line="360" w:lineRule="auto"/>
        <w:ind w:left="1050" w:leftChars="500"/>
        <w:rPr>
          <w:rFonts w:hint="eastAsia" w:ascii="宋体" w:hAnsi="宋体" w:eastAsia="宋体" w:cs="宋体"/>
          <w:szCs w:val="21"/>
          <w:highlight w:val="none"/>
        </w:rPr>
      </w:pPr>
      <w:r>
        <w:rPr>
          <w:rFonts w:hint="eastAsia" w:ascii="宋体" w:hAnsi="宋体" w:eastAsia="宋体" w:cs="宋体"/>
          <w:szCs w:val="21"/>
          <w:highlight w:val="none"/>
        </w:rPr>
        <w:t>③ 省级以上监狱管理局、戒毒管理局（含新疆生产建设兵团）出具的属于监狱企业的证明文件；（监狱企业投标时适用）；</w:t>
      </w:r>
    </w:p>
    <w:p w14:paraId="07712A4C">
      <w:pPr>
        <w:pStyle w:val="7"/>
        <w:ind w:firstLine="600" w:firstLineChars="300"/>
        <w:rPr>
          <w:rFonts w:hint="default" w:eastAsia="宋体"/>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联合协议（如有）                                    （见第五部分附件六）</w:t>
      </w:r>
    </w:p>
    <w:p w14:paraId="4CD6B73D">
      <w:pPr>
        <w:pStyle w:val="26"/>
        <w:spacing w:before="156" w:beforeLines="50" w:line="360" w:lineRule="auto"/>
        <w:ind w:firstLine="422" w:firstLineChars="200"/>
        <w:rPr>
          <w:rFonts w:ascii="宋体" w:hAnsi="宋体" w:eastAsia="宋体" w:cs="宋体"/>
          <w:highlight w:val="none"/>
        </w:rPr>
      </w:pPr>
      <w:r>
        <w:rPr>
          <w:rFonts w:hint="eastAsia" w:ascii="宋体" w:hAnsi="宋体" w:eastAsia="宋体" w:cs="宋体"/>
          <w:b/>
          <w:bCs/>
          <w:highlight w:val="none"/>
        </w:rPr>
        <w:t>备注：以上所需的各种证书、证件、证明、执照等证明材料均须加盖供应商公章</w:t>
      </w:r>
      <w:r>
        <w:rPr>
          <w:rFonts w:hint="eastAsia" w:ascii="宋体" w:hAnsi="宋体" w:eastAsia="宋体" w:cs="宋体"/>
          <w:b/>
          <w:bCs/>
          <w:highlight w:val="none"/>
          <w:lang w:eastAsia="zh-CN"/>
        </w:rPr>
        <w:t>，如遇年检或换证等特殊情况须按要求提供相应的证明材料</w:t>
      </w:r>
      <w:r>
        <w:rPr>
          <w:rFonts w:hint="eastAsia" w:ascii="宋体" w:hAnsi="宋体" w:eastAsia="宋体" w:cs="宋体"/>
          <w:b/>
          <w:bCs/>
          <w:highlight w:val="none"/>
        </w:rPr>
        <w:t>。</w:t>
      </w:r>
    </w:p>
    <w:p w14:paraId="0F8AF483">
      <w:pPr>
        <w:pStyle w:val="26"/>
        <w:numPr>
          <w:ilvl w:val="0"/>
          <w:numId w:val="13"/>
        </w:numPr>
        <w:spacing w:line="360" w:lineRule="auto"/>
        <w:outlineLvl w:val="3"/>
        <w:rPr>
          <w:rFonts w:ascii="宋体" w:hAnsi="宋体" w:eastAsia="宋体" w:cs="宋体"/>
          <w:b/>
          <w:bCs/>
          <w:highlight w:val="none"/>
        </w:rPr>
      </w:pPr>
      <w:r>
        <w:rPr>
          <w:rFonts w:hint="eastAsia" w:ascii="宋体" w:hAnsi="宋体" w:eastAsia="宋体" w:cs="宋体"/>
          <w:b/>
          <w:bCs/>
          <w:highlight w:val="none"/>
        </w:rPr>
        <w:t>商务技术部分</w:t>
      </w:r>
    </w:p>
    <w:p w14:paraId="78770F4C">
      <w:pPr>
        <w:numPr>
          <w:ilvl w:val="0"/>
          <w:numId w:val="14"/>
        </w:numPr>
        <w:spacing w:line="360" w:lineRule="auto"/>
        <w:rPr>
          <w:highlight w:val="none"/>
        </w:rPr>
      </w:pPr>
      <w:r>
        <w:rPr>
          <w:rFonts w:hint="eastAsia"/>
          <w:highlight w:val="none"/>
        </w:rPr>
        <w:t>磋商响应函；                                      （见第五部分附件</w:t>
      </w:r>
      <w:r>
        <w:rPr>
          <w:rFonts w:hint="eastAsia"/>
          <w:highlight w:val="none"/>
          <w:lang w:val="en-US" w:eastAsia="zh-CN"/>
        </w:rPr>
        <w:t>七</w:t>
      </w:r>
      <w:r>
        <w:rPr>
          <w:rFonts w:hint="eastAsia"/>
          <w:highlight w:val="none"/>
        </w:rPr>
        <w:t>）</w:t>
      </w:r>
    </w:p>
    <w:p w14:paraId="4D06F129">
      <w:pPr>
        <w:numPr>
          <w:ilvl w:val="0"/>
          <w:numId w:val="14"/>
        </w:numPr>
        <w:spacing w:line="360" w:lineRule="auto"/>
        <w:rPr>
          <w:highlight w:val="none"/>
        </w:rPr>
      </w:pPr>
      <w:r>
        <w:rPr>
          <w:rFonts w:hint="eastAsia"/>
          <w:highlight w:val="none"/>
        </w:rPr>
        <w:t xml:space="preserve">磋商供应商情况一览表；  </w:t>
      </w:r>
      <w:r>
        <w:rPr>
          <w:rFonts w:hint="eastAsia"/>
          <w:highlight w:val="none"/>
          <w:lang w:val="en-US" w:eastAsia="zh-CN"/>
        </w:rPr>
        <w:t xml:space="preserve">                          </w:t>
      </w:r>
      <w:r>
        <w:rPr>
          <w:rFonts w:hint="eastAsia"/>
          <w:highlight w:val="none"/>
        </w:rPr>
        <w:t>（见第五部分附件</w:t>
      </w:r>
      <w:r>
        <w:rPr>
          <w:rFonts w:hint="eastAsia"/>
          <w:highlight w:val="none"/>
          <w:lang w:val="en-US" w:eastAsia="zh-CN"/>
        </w:rPr>
        <w:t>八</w:t>
      </w:r>
      <w:r>
        <w:rPr>
          <w:rFonts w:hint="eastAsia"/>
          <w:highlight w:val="none"/>
        </w:rPr>
        <w:t>）</w:t>
      </w:r>
    </w:p>
    <w:p w14:paraId="00C33B96">
      <w:pPr>
        <w:numPr>
          <w:ilvl w:val="0"/>
          <w:numId w:val="14"/>
        </w:numPr>
        <w:spacing w:line="360" w:lineRule="auto"/>
        <w:rPr>
          <w:highlight w:val="none"/>
        </w:rPr>
      </w:pPr>
      <w:r>
        <w:rPr>
          <w:rFonts w:hint="eastAsia"/>
          <w:highlight w:val="none"/>
        </w:rPr>
        <w:t xml:space="preserve">少量偏离表（技术与商务部分的偏离须分别填写，均放在此处，如不填写将视为对磋商文件要求无偏差）                        </w:t>
      </w:r>
      <w:r>
        <w:rPr>
          <w:rFonts w:hint="eastAsia"/>
          <w:highlight w:val="none"/>
          <w:lang w:val="en-US" w:eastAsia="zh-CN"/>
        </w:rPr>
        <w:t xml:space="preserve">   </w:t>
      </w:r>
      <w:r>
        <w:rPr>
          <w:rFonts w:hint="eastAsia"/>
          <w:highlight w:val="none"/>
        </w:rPr>
        <w:t>（见第五部分附件</w:t>
      </w:r>
      <w:r>
        <w:rPr>
          <w:rFonts w:hint="eastAsia"/>
          <w:highlight w:val="none"/>
          <w:lang w:val="en-US" w:eastAsia="zh-CN"/>
        </w:rPr>
        <w:t>九</w:t>
      </w:r>
      <w:r>
        <w:rPr>
          <w:rFonts w:hint="eastAsia"/>
          <w:highlight w:val="none"/>
        </w:rPr>
        <w:t>）</w:t>
      </w:r>
    </w:p>
    <w:p w14:paraId="715C71EF">
      <w:pPr>
        <w:numPr>
          <w:ilvl w:val="0"/>
          <w:numId w:val="14"/>
        </w:numPr>
        <w:spacing w:line="360" w:lineRule="auto"/>
        <w:rPr>
          <w:highlight w:val="none"/>
        </w:rPr>
      </w:pPr>
      <w:r>
        <w:rPr>
          <w:rFonts w:hint="eastAsia"/>
          <w:highlight w:val="none"/>
        </w:rPr>
        <w:t xml:space="preserve">项目负责人简历表；                               </w:t>
      </w:r>
      <w:r>
        <w:rPr>
          <w:rFonts w:hint="eastAsia"/>
          <w:highlight w:val="none"/>
          <w:lang w:val="en-US" w:eastAsia="zh-CN"/>
        </w:rPr>
        <w:t xml:space="preserve"> </w:t>
      </w:r>
      <w:r>
        <w:rPr>
          <w:rFonts w:hint="eastAsia"/>
          <w:highlight w:val="none"/>
        </w:rPr>
        <w:t>（见第五部分附件</w:t>
      </w:r>
      <w:r>
        <w:rPr>
          <w:rFonts w:hint="eastAsia"/>
          <w:highlight w:val="none"/>
          <w:lang w:val="en-US" w:eastAsia="zh-CN"/>
        </w:rPr>
        <w:t>十</w:t>
      </w:r>
      <w:r>
        <w:rPr>
          <w:rFonts w:hint="eastAsia"/>
          <w:highlight w:val="none"/>
        </w:rPr>
        <w:t>）</w:t>
      </w:r>
    </w:p>
    <w:p w14:paraId="1EC4145D">
      <w:pPr>
        <w:numPr>
          <w:ilvl w:val="0"/>
          <w:numId w:val="14"/>
        </w:numPr>
        <w:spacing w:line="360" w:lineRule="auto"/>
        <w:rPr>
          <w:highlight w:val="none"/>
        </w:rPr>
      </w:pPr>
      <w:r>
        <w:rPr>
          <w:rFonts w:hint="eastAsia"/>
          <w:highlight w:val="none"/>
        </w:rPr>
        <w:t>拟投入本项目人员配备情况表；</w:t>
      </w:r>
      <w:r>
        <w:rPr>
          <w:rFonts w:hint="eastAsia"/>
          <w:highlight w:val="none"/>
          <w:lang w:val="en-US" w:eastAsia="zh-CN"/>
        </w:rPr>
        <w:t xml:space="preserve">                    </w:t>
      </w:r>
      <w:r>
        <w:rPr>
          <w:rFonts w:hint="eastAsia"/>
          <w:highlight w:val="none"/>
        </w:rPr>
        <w:t>（见第五部分附件</w:t>
      </w:r>
      <w:r>
        <w:rPr>
          <w:rFonts w:hint="eastAsia"/>
          <w:highlight w:val="none"/>
          <w:lang w:val="en-US" w:eastAsia="zh-CN"/>
        </w:rPr>
        <w:t>十一</w:t>
      </w:r>
      <w:r>
        <w:rPr>
          <w:rFonts w:hint="eastAsia"/>
          <w:highlight w:val="none"/>
        </w:rPr>
        <w:t>）</w:t>
      </w:r>
    </w:p>
    <w:p w14:paraId="138E0AC5">
      <w:pPr>
        <w:numPr>
          <w:ilvl w:val="0"/>
          <w:numId w:val="14"/>
        </w:numPr>
        <w:spacing w:line="360" w:lineRule="auto"/>
        <w:rPr>
          <w:highlight w:val="none"/>
        </w:rPr>
      </w:pPr>
      <w:r>
        <w:rPr>
          <w:rFonts w:hint="eastAsia"/>
          <w:highlight w:val="none"/>
        </w:rPr>
        <w:t>供应商20</w:t>
      </w:r>
      <w:r>
        <w:rPr>
          <w:rFonts w:hint="eastAsia"/>
          <w:highlight w:val="none"/>
          <w:lang w:val="en-US" w:eastAsia="zh-CN"/>
        </w:rPr>
        <w:t>22</w:t>
      </w:r>
      <w:r>
        <w:rPr>
          <w:rFonts w:hint="eastAsia"/>
          <w:highlight w:val="none"/>
        </w:rPr>
        <w:t xml:space="preserve">年1月1日以来同类项目业绩一览表； </w:t>
      </w:r>
      <w:r>
        <w:rPr>
          <w:rFonts w:hint="eastAsia"/>
          <w:highlight w:val="none"/>
          <w:lang w:val="en-US" w:eastAsia="zh-CN"/>
        </w:rPr>
        <w:t xml:space="preserve">  </w:t>
      </w:r>
      <w:r>
        <w:rPr>
          <w:rFonts w:hint="eastAsia"/>
          <w:highlight w:val="none"/>
        </w:rPr>
        <w:t>（见第五部分附件</w:t>
      </w:r>
      <w:r>
        <w:rPr>
          <w:rFonts w:hint="eastAsia"/>
          <w:highlight w:val="none"/>
          <w:lang w:val="en-US" w:eastAsia="zh-CN"/>
        </w:rPr>
        <w:t>十二</w:t>
      </w:r>
      <w:r>
        <w:rPr>
          <w:rFonts w:hint="eastAsia"/>
          <w:highlight w:val="none"/>
        </w:rPr>
        <w:t>）</w:t>
      </w:r>
    </w:p>
    <w:p w14:paraId="629AD51D">
      <w:pPr>
        <w:numPr>
          <w:ilvl w:val="0"/>
          <w:numId w:val="14"/>
        </w:numPr>
        <w:spacing w:line="360" w:lineRule="auto"/>
        <w:rPr>
          <w:highlight w:val="none"/>
        </w:rPr>
      </w:pPr>
      <w:r>
        <w:rPr>
          <w:rFonts w:hint="eastAsia"/>
          <w:highlight w:val="none"/>
        </w:rPr>
        <w:t xml:space="preserve">本项目投入设备及车辆；                  </w:t>
      </w:r>
      <w:r>
        <w:rPr>
          <w:rFonts w:hint="eastAsia"/>
          <w:highlight w:val="none"/>
          <w:lang w:val="en-US" w:eastAsia="zh-CN"/>
        </w:rPr>
        <w:t xml:space="preserve">        </w:t>
      </w:r>
      <w:r>
        <w:rPr>
          <w:rFonts w:hint="eastAsia"/>
          <w:highlight w:val="none"/>
        </w:rPr>
        <w:t>（见第五部分附件</w:t>
      </w:r>
      <w:r>
        <w:rPr>
          <w:rFonts w:hint="eastAsia"/>
          <w:highlight w:val="none"/>
          <w:lang w:val="en-US" w:eastAsia="zh-CN"/>
        </w:rPr>
        <w:t>十三</w:t>
      </w:r>
      <w:r>
        <w:rPr>
          <w:rFonts w:hint="eastAsia"/>
          <w:highlight w:val="none"/>
        </w:rPr>
        <w:t>）</w:t>
      </w:r>
    </w:p>
    <w:p w14:paraId="4252BEFF">
      <w:pPr>
        <w:numPr>
          <w:ilvl w:val="0"/>
          <w:numId w:val="14"/>
        </w:numPr>
        <w:spacing w:line="360" w:lineRule="auto"/>
        <w:rPr>
          <w:highlight w:val="none"/>
        </w:rPr>
      </w:pPr>
      <w:r>
        <w:rPr>
          <w:rFonts w:hint="eastAsia"/>
          <w:highlight w:val="none"/>
        </w:rPr>
        <w:t>磋商供应商认为需要提供的其它文件和资料。</w:t>
      </w:r>
    </w:p>
    <w:p w14:paraId="7A478626">
      <w:pPr>
        <w:bidi w:val="0"/>
        <w:spacing w:line="360" w:lineRule="auto"/>
        <w:ind w:firstLine="422" w:firstLineChars="200"/>
        <w:rPr>
          <w:rFonts w:hint="default" w:eastAsia="宋体"/>
          <w:highlight w:val="none"/>
          <w:lang w:val="en-US" w:eastAsia="zh-CN"/>
        </w:rPr>
      </w:pPr>
      <w:r>
        <w:rPr>
          <w:rFonts w:hint="eastAsia"/>
          <w:b/>
          <w:bCs/>
          <w:highlight w:val="none"/>
        </w:rPr>
        <w:t>备注：以上所需的各种</w:t>
      </w:r>
      <w:r>
        <w:rPr>
          <w:rFonts w:hint="eastAsia"/>
          <w:b/>
          <w:bCs/>
          <w:highlight w:val="none"/>
          <w:lang w:val="en-US" w:eastAsia="zh-CN"/>
        </w:rPr>
        <w:t>函、说明、方案、业绩、证明、措施</w:t>
      </w:r>
      <w:r>
        <w:rPr>
          <w:rFonts w:hint="eastAsia"/>
          <w:b/>
          <w:bCs/>
          <w:highlight w:val="none"/>
        </w:rPr>
        <w:t>等</w:t>
      </w:r>
      <w:r>
        <w:rPr>
          <w:rFonts w:hint="eastAsia"/>
          <w:b/>
          <w:bCs/>
          <w:highlight w:val="none"/>
          <w:lang w:val="en-US" w:eastAsia="zh-CN"/>
        </w:rPr>
        <w:t>相关资料</w:t>
      </w:r>
      <w:r>
        <w:rPr>
          <w:rFonts w:hint="eastAsia"/>
          <w:b/>
          <w:bCs/>
          <w:highlight w:val="none"/>
        </w:rPr>
        <w:t>均须加盖供应商公章</w:t>
      </w:r>
      <w:r>
        <w:rPr>
          <w:rFonts w:hint="eastAsia"/>
          <w:b/>
          <w:bCs/>
          <w:highlight w:val="none"/>
          <w:lang w:eastAsia="zh-CN"/>
        </w:rPr>
        <w:t>，如遇年检或换证等特殊情况须按要求提供相应的证明材料，（</w:t>
      </w:r>
      <w:r>
        <w:rPr>
          <w:rFonts w:hint="eastAsia"/>
          <w:b/>
          <w:bCs/>
          <w:highlight w:val="none"/>
          <w:lang w:val="en-US" w:eastAsia="zh-CN"/>
        </w:rPr>
        <w:t>8</w:t>
      </w:r>
      <w:r>
        <w:rPr>
          <w:rFonts w:hint="eastAsia"/>
          <w:b/>
          <w:bCs/>
          <w:highlight w:val="none"/>
          <w:lang w:eastAsia="zh-CN"/>
        </w:rPr>
        <w:t>）</w:t>
      </w:r>
      <w:r>
        <w:rPr>
          <w:rFonts w:hint="eastAsia"/>
          <w:b/>
          <w:bCs/>
          <w:highlight w:val="none"/>
          <w:lang w:val="en-US" w:eastAsia="zh-CN"/>
        </w:rPr>
        <w:t>-（15）部分格式自拟，顺序不限。</w:t>
      </w:r>
    </w:p>
    <w:p w14:paraId="338211F5">
      <w:pPr>
        <w:pStyle w:val="26"/>
        <w:spacing w:line="360" w:lineRule="auto"/>
        <w:outlineLvl w:val="3"/>
        <w:rPr>
          <w:rFonts w:ascii="宋体" w:hAnsi="宋体" w:eastAsia="宋体" w:cs="宋体"/>
          <w:b/>
          <w:bCs/>
          <w:highlight w:val="none"/>
        </w:rPr>
      </w:pPr>
      <w:r>
        <w:rPr>
          <w:rFonts w:hint="eastAsia" w:ascii="宋体" w:hAnsi="宋体" w:eastAsia="宋体" w:cs="宋体"/>
          <w:b/>
          <w:bCs/>
          <w:highlight w:val="none"/>
        </w:rPr>
        <w:t>三、报价部分</w:t>
      </w:r>
    </w:p>
    <w:p w14:paraId="06AC3267">
      <w:pPr>
        <w:numPr>
          <w:ilvl w:val="0"/>
          <w:numId w:val="15"/>
        </w:numPr>
        <w:tabs>
          <w:tab w:val="left" w:pos="1260"/>
          <w:tab w:val="clear" w:pos="420"/>
        </w:tabs>
        <w:snapToGrid w:val="0"/>
        <w:spacing w:line="360" w:lineRule="auto"/>
        <w:ind w:left="1066" w:leftChars="200" w:hanging="646" w:hangingChars="308"/>
        <w:rPr>
          <w:highlight w:val="none"/>
        </w:rPr>
      </w:pPr>
      <w:r>
        <w:rPr>
          <w:rFonts w:hint="eastAsia" w:ascii="宋体" w:hAnsi="宋体" w:eastAsia="宋体" w:cs="宋体"/>
          <w:szCs w:val="21"/>
          <w:highlight w:val="none"/>
        </w:rPr>
        <w:t xml:space="preserve"> 报价一览表</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（见第五部分附件十</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w:t>
      </w:r>
    </w:p>
    <w:p w14:paraId="61CB05E5">
      <w:pPr>
        <w:numPr>
          <w:ilvl w:val="0"/>
          <w:numId w:val="15"/>
        </w:numPr>
        <w:tabs>
          <w:tab w:val="left" w:pos="1260"/>
          <w:tab w:val="clear" w:pos="420"/>
        </w:tabs>
        <w:snapToGrid w:val="0"/>
        <w:spacing w:line="360" w:lineRule="auto"/>
        <w:ind w:left="1066" w:leftChars="200" w:hanging="646" w:hangingChars="308"/>
        <w:outlineLvl w:val="4"/>
        <w:rPr>
          <w:highlight w:val="none"/>
        </w:rPr>
      </w:pPr>
      <w:r>
        <w:rPr>
          <w:rFonts w:hint="eastAsia" w:ascii="宋体" w:hAnsi="宋体" w:eastAsia="宋体" w:cs="宋体"/>
          <w:szCs w:val="21"/>
          <w:highlight w:val="none"/>
        </w:rPr>
        <w:t xml:space="preserve"> 供应商针对报价需要说明的其他文件和说明。 </w:t>
      </w:r>
    </w:p>
    <w:p w14:paraId="3631FA46">
      <w:pPr>
        <w:numPr>
          <w:ilvl w:val="0"/>
          <w:numId w:val="0"/>
        </w:numPr>
        <w:tabs>
          <w:tab w:val="left" w:pos="1260"/>
        </w:tabs>
        <w:snapToGrid w:val="0"/>
        <w:spacing w:line="360" w:lineRule="auto"/>
        <w:ind w:left="613" w:leftChars="-108" w:hanging="840" w:hangingChars="400"/>
        <w:rPr>
          <w:rFonts w:hint="eastAsia" w:ascii="宋体" w:hAnsi="宋体" w:eastAsia="宋体" w:cs="宋体"/>
          <w:b/>
          <w:bCs/>
          <w:highlight w:val="non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b/>
          <w:bCs/>
          <w:highlight w:val="none"/>
        </w:rPr>
        <w:t>备注：以上所需</w:t>
      </w:r>
      <w:r>
        <w:rPr>
          <w:rFonts w:hint="eastAsia" w:ascii="宋体" w:hAnsi="宋体" w:eastAsia="宋体" w:cs="宋体"/>
          <w:b/>
          <w:bCs/>
          <w:highlight w:val="none"/>
          <w:lang w:val="en-US" w:eastAsia="zh-CN"/>
        </w:rPr>
        <w:t>文件</w:t>
      </w:r>
      <w:r>
        <w:rPr>
          <w:rFonts w:hint="eastAsia" w:ascii="宋体" w:hAnsi="宋体" w:eastAsia="宋体" w:cs="宋体"/>
          <w:b/>
          <w:bCs/>
          <w:highlight w:val="none"/>
        </w:rPr>
        <w:t>均须加盖供应商公章</w:t>
      </w:r>
      <w:r>
        <w:rPr>
          <w:rFonts w:hint="eastAsia" w:ascii="宋体" w:hAnsi="宋体" w:eastAsia="宋体" w:cs="宋体"/>
          <w:b/>
          <w:bCs/>
          <w:highlight w:val="none"/>
          <w:lang w:eastAsia="zh-CN"/>
        </w:rPr>
        <w:t>，如遇年检或换证等特殊情况须按要求提供</w:t>
      </w:r>
    </w:p>
    <w:p w14:paraId="5A35BDFE">
      <w:pPr>
        <w:numPr>
          <w:ilvl w:val="0"/>
          <w:numId w:val="0"/>
        </w:numPr>
        <w:tabs>
          <w:tab w:val="left" w:pos="1260"/>
        </w:tabs>
        <w:snapToGrid w:val="0"/>
        <w:spacing w:line="360" w:lineRule="auto"/>
        <w:rPr>
          <w:highlight w:val="none"/>
        </w:rPr>
      </w:pPr>
      <w:r>
        <w:rPr>
          <w:rFonts w:hint="eastAsia" w:ascii="宋体" w:hAnsi="宋体" w:eastAsia="宋体" w:cs="宋体"/>
          <w:b/>
          <w:bCs/>
          <w:highlight w:val="none"/>
          <w:lang w:eastAsia="zh-CN"/>
        </w:rPr>
        <w:t>相应的证明材料。</w:t>
      </w:r>
      <w:r>
        <w:rPr>
          <w:rFonts w:hint="eastAsia" w:ascii="宋体" w:hAnsi="宋体" w:eastAsia="宋体" w:cs="宋体"/>
          <w:szCs w:val="21"/>
          <w:highlight w:val="none"/>
        </w:rPr>
        <w:t xml:space="preserve">                                </w:t>
      </w:r>
    </w:p>
    <w:p w14:paraId="0CB7043F">
      <w:pPr>
        <w:numPr>
          <w:ilvl w:val="0"/>
          <w:numId w:val="11"/>
        </w:numPr>
        <w:snapToGrid w:val="0"/>
        <w:spacing w:line="360" w:lineRule="auto"/>
        <w:outlineLvl w:val="2"/>
        <w:rPr>
          <w:rFonts w:ascii="宋体" w:hAnsi="宋体" w:eastAsia="宋体" w:cs="宋体"/>
          <w:b/>
          <w:bCs/>
          <w:sz w:val="24"/>
          <w:highlight w:val="none"/>
        </w:rPr>
      </w:pPr>
      <w:bookmarkStart w:id="153" w:name="_Toc13300"/>
      <w:bookmarkStart w:id="154" w:name="_Toc4368"/>
      <w:bookmarkStart w:id="155" w:name="_Toc32343"/>
      <w:bookmarkStart w:id="156" w:name="_Toc13448"/>
      <w:bookmarkStart w:id="157" w:name="_Toc25838"/>
      <w:r>
        <w:rPr>
          <w:rFonts w:hint="eastAsia" w:ascii="宋体" w:hAnsi="宋体" w:eastAsia="宋体" w:cs="宋体"/>
          <w:b/>
          <w:bCs/>
          <w:sz w:val="21"/>
          <w:szCs w:val="21"/>
          <w:highlight w:val="none"/>
        </w:rPr>
        <w:t>磋商响应格式填写说明</w:t>
      </w:r>
      <w:bookmarkEnd w:id="153"/>
      <w:bookmarkEnd w:id="154"/>
      <w:bookmarkEnd w:id="155"/>
      <w:bookmarkEnd w:id="156"/>
      <w:bookmarkEnd w:id="157"/>
    </w:p>
    <w:p w14:paraId="3EEB3764">
      <w:pPr>
        <w:numPr>
          <w:ilvl w:val="1"/>
          <w:numId w:val="11"/>
        </w:numPr>
        <w:snapToGrid w:val="0"/>
        <w:spacing w:line="360" w:lineRule="auto"/>
        <w:rPr>
          <w:rFonts w:ascii="宋体" w:hAnsi="宋体" w:eastAsia="宋体" w:cs="宋体"/>
          <w:highlight w:val="none"/>
        </w:rPr>
      </w:pPr>
      <w:r>
        <w:rPr>
          <w:rFonts w:hint="eastAsia" w:ascii="宋体" w:hAnsi="宋体" w:eastAsia="宋体" w:cs="宋体"/>
          <w:b/>
          <w:bCs/>
          <w:highlight w:val="none"/>
        </w:rPr>
        <w:t>磋</w:t>
      </w:r>
      <w:r>
        <w:rPr>
          <w:rFonts w:hint="eastAsia" w:ascii="宋体" w:hAnsi="宋体" w:eastAsia="宋体" w:cs="宋体"/>
          <w:b/>
          <w:bCs/>
          <w:color w:val="000000"/>
          <w:highlight w:val="none"/>
        </w:rPr>
        <w:t>商</w:t>
      </w:r>
      <w:r>
        <w:rPr>
          <w:rFonts w:hint="eastAsia" w:ascii="宋体" w:hAnsi="宋体" w:eastAsia="宋体" w:cs="宋体"/>
          <w:b/>
          <w:bCs/>
          <w:color w:val="000000"/>
          <w:szCs w:val="22"/>
          <w:highlight w:val="none"/>
        </w:rPr>
        <w:t>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14:paraId="738C0430">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highlight w:val="none"/>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14:paraId="2BB399F6">
      <w:pPr>
        <w:numPr>
          <w:ilvl w:val="0"/>
          <w:numId w:val="11"/>
        </w:numPr>
        <w:snapToGrid w:val="0"/>
        <w:spacing w:line="360" w:lineRule="auto"/>
        <w:outlineLvl w:val="2"/>
        <w:rPr>
          <w:rFonts w:ascii="宋体" w:hAnsi="宋体" w:eastAsia="宋体" w:cs="宋体"/>
          <w:b/>
          <w:sz w:val="24"/>
          <w:highlight w:val="none"/>
        </w:rPr>
      </w:pPr>
      <w:bookmarkStart w:id="158" w:name="_Toc21230"/>
      <w:bookmarkStart w:id="159" w:name="_Toc8303"/>
      <w:bookmarkStart w:id="160" w:name="_Toc19394"/>
      <w:bookmarkStart w:id="161" w:name="_Toc4501"/>
      <w:bookmarkStart w:id="162" w:name="_Toc7195"/>
      <w:r>
        <w:rPr>
          <w:rFonts w:hint="eastAsia" w:ascii="宋体" w:hAnsi="宋体" w:eastAsia="宋体" w:cs="宋体"/>
          <w:b/>
          <w:sz w:val="21"/>
          <w:szCs w:val="21"/>
          <w:highlight w:val="none"/>
        </w:rPr>
        <w:t>磋商有效期</w:t>
      </w:r>
      <w:bookmarkEnd w:id="158"/>
      <w:bookmarkEnd w:id="159"/>
      <w:bookmarkEnd w:id="160"/>
      <w:bookmarkEnd w:id="161"/>
      <w:bookmarkEnd w:id="162"/>
    </w:p>
    <w:p w14:paraId="76955AD8">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▲提交磋商响应文件截止日起</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0日历天，磋商响应文件应保持有效。磋商有效期比规定期限短的将被视为非响应磋商而予以否决。</w:t>
      </w:r>
    </w:p>
    <w:p w14:paraId="24568077">
      <w:pPr>
        <w:numPr>
          <w:ilvl w:val="0"/>
          <w:numId w:val="11"/>
        </w:numPr>
        <w:snapToGrid w:val="0"/>
        <w:spacing w:line="360" w:lineRule="auto"/>
        <w:outlineLvl w:val="2"/>
        <w:rPr>
          <w:rFonts w:ascii="宋体" w:hAnsi="宋体" w:eastAsia="宋体" w:cs="宋体"/>
          <w:b/>
          <w:sz w:val="24"/>
          <w:highlight w:val="none"/>
        </w:rPr>
      </w:pPr>
      <w:bookmarkStart w:id="163" w:name="_Toc17973"/>
      <w:bookmarkStart w:id="164" w:name="_Toc6408"/>
      <w:bookmarkStart w:id="165" w:name="_Toc20438"/>
      <w:bookmarkStart w:id="166" w:name="_Toc7045"/>
      <w:bookmarkStart w:id="167" w:name="_Toc28379"/>
      <w:r>
        <w:rPr>
          <w:rFonts w:hint="eastAsia" w:ascii="宋体" w:hAnsi="宋体" w:eastAsia="宋体" w:cs="宋体"/>
          <w:b/>
          <w:sz w:val="21"/>
          <w:szCs w:val="21"/>
          <w:highlight w:val="none"/>
        </w:rPr>
        <w:t>磋商报价</w:t>
      </w:r>
      <w:bookmarkEnd w:id="163"/>
      <w:bookmarkEnd w:id="164"/>
      <w:bookmarkEnd w:id="165"/>
      <w:bookmarkEnd w:id="166"/>
      <w:bookmarkEnd w:id="167"/>
    </w:p>
    <w:p w14:paraId="301C87AD">
      <w:pPr>
        <w:numPr>
          <w:ilvl w:val="1"/>
          <w:numId w:val="11"/>
        </w:numPr>
        <w:tabs>
          <w:tab w:val="left" w:pos="1470"/>
        </w:tabs>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磋商供应商提供的服务（或货物或工程）价格应该用人民币投标。投标价格应该已经扣除所有商业折扣以及现金折扣。投标报价应包括所需缴纳的所有税费和一切费用。</w:t>
      </w:r>
    </w:p>
    <w:p w14:paraId="5DB833E9">
      <w:pPr>
        <w:numPr>
          <w:ilvl w:val="1"/>
          <w:numId w:val="11"/>
        </w:numPr>
        <w:tabs>
          <w:tab w:val="left" w:pos="1470"/>
        </w:tabs>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根据本次竞争性磋商采购工作要求，最后只允许有一个磋商报价，磋商供应商应在各自技术和商务占优势的基础上并充分考虑本项目的重要性，在磋商结束后提供给采购代理机构及采购人最优惠的磋商价格。</w:t>
      </w:r>
    </w:p>
    <w:p w14:paraId="665D06C6">
      <w:pPr>
        <w:numPr>
          <w:ilvl w:val="1"/>
          <w:numId w:val="11"/>
        </w:numPr>
        <w:snapToGrid w:val="0"/>
        <w:spacing w:line="360" w:lineRule="auto"/>
        <w:rPr>
          <w:rFonts w:ascii="宋体" w:hAnsi="宋体" w:eastAsia="宋体" w:cs="宋体"/>
          <w:b/>
          <w:szCs w:val="21"/>
          <w:highlight w:val="none"/>
        </w:rPr>
      </w:pPr>
      <w:r>
        <w:rPr>
          <w:rFonts w:hint="eastAsia" w:ascii="宋体" w:hAnsi="宋体" w:eastAsia="宋体" w:cs="宋体"/>
          <w:szCs w:val="21"/>
          <w:highlight w:val="none"/>
        </w:rPr>
        <w:t>最后的磋商报价与首次报价不一致的，其报价明细表中各项报价需另行明确，各项报价均按比例下调。</w:t>
      </w:r>
    </w:p>
    <w:p w14:paraId="032DDDAD">
      <w:pPr>
        <w:numPr>
          <w:ilvl w:val="0"/>
          <w:numId w:val="11"/>
        </w:numPr>
        <w:snapToGrid w:val="0"/>
        <w:spacing w:line="360" w:lineRule="auto"/>
        <w:outlineLvl w:val="2"/>
        <w:rPr>
          <w:rFonts w:ascii="宋体" w:hAnsi="宋体" w:eastAsia="宋体" w:cs="宋体"/>
          <w:highlight w:val="none"/>
        </w:rPr>
      </w:pPr>
      <w:bookmarkStart w:id="168" w:name="_Toc9942"/>
      <w:bookmarkStart w:id="169" w:name="_Toc26896"/>
      <w:bookmarkStart w:id="170" w:name="_Toc6392"/>
      <w:bookmarkStart w:id="171" w:name="_Toc17800"/>
      <w:bookmarkStart w:id="172" w:name="_Toc18478"/>
      <w:r>
        <w:rPr>
          <w:rFonts w:hint="eastAsia" w:ascii="宋体" w:hAnsi="宋体" w:eastAsia="宋体" w:cs="宋体"/>
          <w:b/>
          <w:sz w:val="21"/>
          <w:szCs w:val="21"/>
          <w:highlight w:val="none"/>
        </w:rPr>
        <w:t>磋商响应文件的式样和签署</w:t>
      </w:r>
      <w:bookmarkEnd w:id="168"/>
      <w:bookmarkEnd w:id="169"/>
      <w:bookmarkEnd w:id="170"/>
      <w:bookmarkEnd w:id="171"/>
      <w:bookmarkEnd w:id="172"/>
    </w:p>
    <w:p w14:paraId="02F6B967">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供应商准备“电子加密响应文件”在线上传递交一份。供应商应按政采云平台供应商项目采购-电子招投标操作指南及本磋商文件要求制作。“备份响应文件”：投标截止时间前以压缩文件形式加密发送至采购代理机构邮箱，并在接到在线解密通知后30分钟内发送压缩文件密码至采购代理机构邮箱。</w:t>
      </w:r>
    </w:p>
    <w:p w14:paraId="66E1BB4C">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《响应文件》的签章：</w:t>
      </w:r>
      <w:r>
        <w:rPr>
          <w:rFonts w:hint="eastAsia" w:ascii="宋体" w:hAnsi="宋体" w:eastAsia="宋体" w:cs="宋体"/>
          <w:b/>
          <w:bCs/>
          <w:szCs w:val="21"/>
          <w:highlight w:val="none"/>
        </w:rPr>
        <w:t>电子签章，其中法定代表人和授权代表签字或盖章可书面签字或盖章后扫描至电子响应文件中上传。</w:t>
      </w:r>
    </w:p>
    <w:p w14:paraId="6B251841">
      <w:pPr>
        <w:numPr>
          <w:ilvl w:val="1"/>
          <w:numId w:val="11"/>
        </w:numPr>
        <w:snapToGrid w:val="0"/>
        <w:spacing w:line="360" w:lineRule="auto"/>
        <w:rPr>
          <w:rFonts w:ascii="宋体" w:hAnsi="宋体" w:eastAsia="宋体" w:cs="宋体"/>
          <w:highlight w:val="none"/>
        </w:rPr>
      </w:pPr>
      <w:r>
        <w:rPr>
          <w:rFonts w:hint="eastAsia" w:ascii="宋体" w:hAnsi="宋体" w:eastAsia="宋体" w:cs="宋体"/>
          <w:szCs w:val="21"/>
          <w:highlight w:val="none"/>
        </w:rPr>
        <w:t>磋商响应文件不得涂改和增删，如有修改错漏处，必须由同一签署人签字或盖章。</w:t>
      </w:r>
    </w:p>
    <w:p w14:paraId="61BA3455">
      <w:pPr>
        <w:numPr>
          <w:ilvl w:val="1"/>
          <w:numId w:val="11"/>
        </w:numPr>
        <w:snapToGrid w:val="0"/>
        <w:spacing w:line="360" w:lineRule="auto"/>
        <w:rPr>
          <w:rFonts w:ascii="宋体" w:hAnsi="宋体" w:eastAsia="宋体" w:cs="宋体"/>
          <w:highlight w:val="none"/>
        </w:rPr>
      </w:pPr>
      <w:r>
        <w:rPr>
          <w:rFonts w:hint="eastAsia" w:ascii="宋体" w:hAnsi="宋体" w:eastAsia="宋体" w:cs="宋体"/>
          <w:szCs w:val="21"/>
          <w:highlight w:val="none"/>
        </w:rPr>
        <w:t>响应文件因字迹潦草或表达不清所引起的后果由供应商负责。</w:t>
      </w:r>
    </w:p>
    <w:p w14:paraId="3015FEA6">
      <w:pPr>
        <w:numPr>
          <w:ilvl w:val="0"/>
          <w:numId w:val="11"/>
        </w:numPr>
        <w:snapToGrid w:val="0"/>
        <w:spacing w:line="360" w:lineRule="auto"/>
        <w:outlineLvl w:val="2"/>
        <w:rPr>
          <w:rFonts w:ascii="宋体" w:hAnsi="宋体" w:eastAsia="宋体" w:cs="宋体"/>
          <w:b/>
          <w:bCs/>
          <w:sz w:val="24"/>
          <w:highlight w:val="none"/>
        </w:rPr>
      </w:pPr>
      <w:bookmarkStart w:id="173" w:name="_Toc9284"/>
      <w:bookmarkStart w:id="174" w:name="_Toc823"/>
      <w:bookmarkStart w:id="175" w:name="_Toc23036"/>
      <w:bookmarkStart w:id="176" w:name="_Toc18914"/>
      <w:bookmarkStart w:id="177" w:name="_Toc32740"/>
      <w:r>
        <w:rPr>
          <w:rFonts w:hint="eastAsia" w:ascii="宋体" w:hAnsi="宋体" w:eastAsia="宋体" w:cs="宋体"/>
          <w:b/>
          <w:bCs/>
          <w:sz w:val="21"/>
          <w:szCs w:val="21"/>
          <w:highlight w:val="none"/>
        </w:rPr>
        <w:t>知识产权</w:t>
      </w:r>
      <w:bookmarkEnd w:id="173"/>
      <w:bookmarkEnd w:id="174"/>
      <w:bookmarkEnd w:id="175"/>
      <w:bookmarkEnd w:id="176"/>
      <w:bookmarkEnd w:id="177"/>
    </w:p>
    <w:p w14:paraId="4FCAA2E3">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供应商应保证，采购人在中华人民共和国使用货物和服务的任何一部分时，免受第三方提出侵犯其专利权、商标权或其它知识产权的起诉。</w:t>
      </w:r>
    </w:p>
    <w:p w14:paraId="2A2371BA">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磋商供应商应对采购人在使用该产品时所涉及到的专利权负责，不损害采购人的利益。</w:t>
      </w:r>
    </w:p>
    <w:p w14:paraId="22DE779A">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报价应包括所有应支付的对专利权和版权、设计或其他知识产权而需要向其他方支付的版税。</w:t>
      </w:r>
    </w:p>
    <w:p w14:paraId="168430D0">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磋商供应商提供得货物中如使用其他公司的相关专利，应在标书中出示相关授权，如未出示但使用了其他公司的专利，导致供应商中标而引起相关诉讼，由磋商供应商承担。</w:t>
      </w:r>
    </w:p>
    <w:p w14:paraId="328D23C0">
      <w:pPr>
        <w:numPr>
          <w:ilvl w:val="0"/>
          <w:numId w:val="11"/>
        </w:numPr>
        <w:snapToGrid w:val="0"/>
        <w:spacing w:line="360" w:lineRule="auto"/>
        <w:outlineLvl w:val="2"/>
        <w:rPr>
          <w:rFonts w:ascii="宋体" w:hAnsi="宋体" w:eastAsia="宋体" w:cs="宋体"/>
          <w:b/>
          <w:bCs/>
          <w:sz w:val="24"/>
          <w:highlight w:val="none"/>
        </w:rPr>
      </w:pPr>
      <w:bookmarkStart w:id="178" w:name="_Toc989"/>
      <w:bookmarkStart w:id="179" w:name="_Toc24645"/>
      <w:bookmarkStart w:id="180" w:name="_Toc19574"/>
      <w:bookmarkStart w:id="181" w:name="_Toc6499"/>
      <w:bookmarkStart w:id="182" w:name="_Toc16272"/>
      <w:r>
        <w:rPr>
          <w:rFonts w:hint="eastAsia" w:ascii="宋体" w:hAnsi="宋体" w:eastAsia="宋体" w:cs="宋体"/>
          <w:b/>
          <w:bCs/>
          <w:sz w:val="21"/>
          <w:szCs w:val="20"/>
          <w:highlight w:val="none"/>
        </w:rPr>
        <w:t>串通行为认定</w:t>
      </w:r>
      <w:bookmarkEnd w:id="178"/>
      <w:bookmarkEnd w:id="179"/>
      <w:bookmarkEnd w:id="180"/>
      <w:bookmarkEnd w:id="181"/>
      <w:bookmarkEnd w:id="182"/>
    </w:p>
    <w:p w14:paraId="60741C60">
      <w:pPr>
        <w:numPr>
          <w:ilvl w:val="0"/>
          <w:numId w:val="16"/>
        </w:numPr>
        <w:snapToGrid w:val="0"/>
        <w:spacing w:line="360" w:lineRule="auto"/>
        <w:ind w:left="1060" w:hanging="640"/>
        <w:rPr>
          <w:rFonts w:ascii="宋体" w:hAnsi="宋体" w:eastAsia="宋体" w:cs="宋体"/>
          <w:highlight w:val="none"/>
        </w:rPr>
      </w:pPr>
      <w:r>
        <w:rPr>
          <w:rFonts w:hint="eastAsia" w:ascii="宋体" w:hAnsi="宋体" w:eastAsia="宋体" w:cs="宋体"/>
          <w:highlight w:val="none"/>
        </w:rPr>
        <w:t xml:space="preserve">不同磋商供应商的磋商响应文件由同一单位或人员编制的； </w:t>
      </w:r>
    </w:p>
    <w:p w14:paraId="66429003">
      <w:pPr>
        <w:numPr>
          <w:ilvl w:val="0"/>
          <w:numId w:val="16"/>
        </w:numPr>
        <w:snapToGrid w:val="0"/>
        <w:spacing w:line="360" w:lineRule="auto"/>
        <w:ind w:left="1060" w:hanging="640"/>
        <w:rPr>
          <w:rFonts w:ascii="宋体" w:hAnsi="宋体" w:eastAsia="宋体" w:cs="宋体"/>
          <w:highlight w:val="none"/>
        </w:rPr>
      </w:pPr>
      <w:r>
        <w:rPr>
          <w:rFonts w:hint="eastAsia" w:ascii="宋体" w:hAnsi="宋体" w:eastAsia="宋体" w:cs="宋体"/>
          <w:highlight w:val="none"/>
        </w:rPr>
        <w:t>不同供应商委托同一单位或人员办理投标事宜的；</w:t>
      </w:r>
    </w:p>
    <w:p w14:paraId="29C2E110">
      <w:pPr>
        <w:numPr>
          <w:ilvl w:val="0"/>
          <w:numId w:val="16"/>
        </w:numPr>
        <w:snapToGrid w:val="0"/>
        <w:spacing w:line="360" w:lineRule="auto"/>
        <w:ind w:left="1060" w:hanging="640"/>
        <w:rPr>
          <w:rFonts w:ascii="宋体" w:hAnsi="宋体" w:eastAsia="宋体" w:cs="宋体"/>
          <w:highlight w:val="none"/>
        </w:rPr>
      </w:pPr>
      <w:r>
        <w:rPr>
          <w:rFonts w:hint="eastAsia" w:ascii="宋体" w:hAnsi="宋体" w:eastAsia="宋体" w:cs="宋体"/>
          <w:highlight w:val="none"/>
        </w:rPr>
        <w:t xml:space="preserve">不同磋商供应商的磋商响应文件中的内容出现非正常的一致，或者报价细目呈明显规律性变化，或在完全可比的情况下投标总价均高于市场平均价的； </w:t>
      </w:r>
    </w:p>
    <w:p w14:paraId="64DC9569">
      <w:pPr>
        <w:numPr>
          <w:ilvl w:val="0"/>
          <w:numId w:val="16"/>
        </w:numPr>
        <w:snapToGrid w:val="0"/>
        <w:spacing w:line="360" w:lineRule="auto"/>
        <w:ind w:left="1060" w:hanging="640"/>
        <w:outlineLvl w:val="3"/>
        <w:rPr>
          <w:rFonts w:ascii="宋体" w:hAnsi="宋体" w:eastAsia="宋体" w:cs="宋体"/>
          <w:highlight w:val="none"/>
        </w:rPr>
      </w:pPr>
      <w:r>
        <w:rPr>
          <w:rFonts w:hint="eastAsia" w:ascii="宋体" w:hAnsi="宋体" w:eastAsia="宋体" w:cs="宋体"/>
          <w:highlight w:val="none"/>
        </w:rPr>
        <w:t xml:space="preserve">不同磋商供应商的授权代表为同一单位的工作人员的； </w:t>
      </w:r>
    </w:p>
    <w:p w14:paraId="4DA1DB35">
      <w:pPr>
        <w:numPr>
          <w:ilvl w:val="0"/>
          <w:numId w:val="16"/>
        </w:numPr>
        <w:snapToGrid w:val="0"/>
        <w:spacing w:line="360" w:lineRule="auto"/>
        <w:ind w:left="1060" w:hanging="640"/>
        <w:rPr>
          <w:rFonts w:ascii="宋体" w:hAnsi="宋体" w:eastAsia="宋体" w:cs="宋体"/>
          <w:highlight w:val="none"/>
        </w:rPr>
      </w:pPr>
      <w:r>
        <w:rPr>
          <w:rFonts w:hint="eastAsia" w:ascii="宋体" w:hAnsi="宋体" w:eastAsia="宋体" w:cs="宋体"/>
          <w:highlight w:val="none"/>
        </w:rPr>
        <w:t xml:space="preserve">不同磋商供应商的磋商响应文件相互混装，或在一个磋商供应商的磋商响应文件内遗留有其他磋商供应商的签名、盖章等不属于本磋商供应商参加政府采购必需的信息资料的； </w:t>
      </w:r>
    </w:p>
    <w:p w14:paraId="7718E365">
      <w:pPr>
        <w:numPr>
          <w:ilvl w:val="0"/>
          <w:numId w:val="16"/>
        </w:numPr>
        <w:snapToGrid w:val="0"/>
        <w:spacing w:line="360" w:lineRule="auto"/>
        <w:ind w:left="1060" w:hanging="640"/>
        <w:rPr>
          <w:rFonts w:ascii="宋体" w:hAnsi="宋体" w:eastAsia="宋体" w:cs="宋体"/>
          <w:highlight w:val="none"/>
        </w:rPr>
      </w:pPr>
      <w:r>
        <w:rPr>
          <w:rFonts w:hint="eastAsia" w:ascii="宋体" w:hAnsi="宋体" w:eastAsia="宋体" w:cs="宋体"/>
          <w:highlight w:val="none"/>
        </w:rPr>
        <w:t xml:space="preserve">采购响应截止时间后，采购组织单位协助磋商供应商撤换或更改磋商响应文件的； </w:t>
      </w:r>
    </w:p>
    <w:p w14:paraId="0D030107">
      <w:pPr>
        <w:numPr>
          <w:ilvl w:val="0"/>
          <w:numId w:val="16"/>
        </w:numPr>
        <w:snapToGrid w:val="0"/>
        <w:spacing w:line="360" w:lineRule="auto"/>
        <w:ind w:left="1060" w:hanging="640"/>
        <w:rPr>
          <w:rFonts w:ascii="宋体" w:hAnsi="宋体" w:eastAsia="宋体" w:cs="宋体"/>
          <w:spacing w:val="-4"/>
          <w:highlight w:val="none"/>
        </w:rPr>
      </w:pPr>
      <w:r>
        <w:rPr>
          <w:rFonts w:hint="eastAsia" w:ascii="宋体" w:hAnsi="宋体" w:eastAsia="宋体" w:cs="宋体"/>
          <w:spacing w:val="-4"/>
          <w:highlight w:val="none"/>
        </w:rPr>
        <w:t>采购组织单位泄露有意向参加政府采购的磋商供应商名称、数量等应当保密的事项的；</w:t>
      </w:r>
    </w:p>
    <w:p w14:paraId="4ACBCC2B">
      <w:pPr>
        <w:numPr>
          <w:ilvl w:val="0"/>
          <w:numId w:val="16"/>
        </w:numPr>
        <w:snapToGrid w:val="0"/>
        <w:spacing w:line="360" w:lineRule="auto"/>
        <w:ind w:left="1060" w:hanging="640"/>
        <w:rPr>
          <w:rFonts w:ascii="宋体" w:hAnsi="宋体" w:eastAsia="宋体" w:cs="宋体"/>
          <w:highlight w:val="none"/>
        </w:rPr>
      </w:pPr>
      <w:r>
        <w:rPr>
          <w:rFonts w:hint="eastAsia" w:ascii="宋体" w:hAnsi="宋体" w:eastAsia="宋体" w:cs="宋体"/>
          <w:highlight w:val="none"/>
        </w:rPr>
        <w:t>不同磋商供应商之间私下达成书面或口头协议，指定一家磋商供应商成交或轮流成交的；</w:t>
      </w:r>
    </w:p>
    <w:p w14:paraId="4CB02191">
      <w:pPr>
        <w:numPr>
          <w:ilvl w:val="0"/>
          <w:numId w:val="16"/>
        </w:numPr>
        <w:snapToGrid w:val="0"/>
        <w:spacing w:line="360" w:lineRule="auto"/>
        <w:ind w:left="1060" w:hanging="640"/>
        <w:outlineLvl w:val="3"/>
        <w:rPr>
          <w:rFonts w:ascii="宋体" w:hAnsi="宋体" w:eastAsia="宋体" w:cs="宋体"/>
          <w:highlight w:val="none"/>
        </w:rPr>
      </w:pPr>
      <w:r>
        <w:rPr>
          <w:rFonts w:hint="eastAsia" w:ascii="宋体" w:hAnsi="宋体" w:eastAsia="宋体" w:cs="宋体"/>
          <w:highlight w:val="none"/>
        </w:rPr>
        <w:t>法律、法规或规章规定的其他串通行为。</w:t>
      </w:r>
    </w:p>
    <w:p w14:paraId="7510B792">
      <w:pPr>
        <w:numPr>
          <w:ilvl w:val="0"/>
          <w:numId w:val="11"/>
        </w:numPr>
        <w:snapToGrid w:val="0"/>
        <w:spacing w:line="360" w:lineRule="auto"/>
        <w:outlineLvl w:val="2"/>
        <w:rPr>
          <w:rFonts w:ascii="宋体" w:hAnsi="宋体" w:eastAsia="宋体" w:cs="宋体"/>
          <w:b/>
          <w:bCs/>
          <w:sz w:val="21"/>
          <w:szCs w:val="20"/>
          <w:highlight w:val="none"/>
        </w:rPr>
      </w:pPr>
      <w:bookmarkStart w:id="183" w:name="_Toc10222"/>
      <w:bookmarkStart w:id="184" w:name="_Toc28983"/>
      <w:bookmarkStart w:id="185" w:name="_Toc6163"/>
      <w:bookmarkStart w:id="186" w:name="_Toc28991"/>
      <w:bookmarkStart w:id="187" w:name="_Toc5635"/>
      <w:r>
        <w:rPr>
          <w:rFonts w:hint="eastAsia" w:ascii="宋体" w:hAnsi="宋体" w:eastAsia="宋体" w:cs="宋体"/>
          <w:b/>
          <w:bCs/>
          <w:sz w:val="21"/>
          <w:szCs w:val="20"/>
          <w:highlight w:val="none"/>
        </w:rPr>
        <w:t>出现以下情形，中止电子交易活动：</w:t>
      </w:r>
      <w:bookmarkEnd w:id="183"/>
      <w:bookmarkEnd w:id="184"/>
      <w:bookmarkEnd w:id="185"/>
      <w:bookmarkEnd w:id="186"/>
      <w:bookmarkEnd w:id="187"/>
    </w:p>
    <w:p w14:paraId="308C7E20">
      <w:pPr>
        <w:numPr>
          <w:ilvl w:val="0"/>
          <w:numId w:val="17"/>
        </w:numPr>
        <w:snapToGrid w:val="0"/>
        <w:spacing w:line="360" w:lineRule="auto"/>
        <w:ind w:left="420" w:leftChars="200"/>
        <w:rPr>
          <w:rFonts w:ascii="宋体" w:hAnsi="宋体" w:eastAsia="宋体" w:cs="宋体"/>
          <w:szCs w:val="22"/>
          <w:highlight w:val="none"/>
        </w:rPr>
      </w:pPr>
      <w:r>
        <w:rPr>
          <w:rFonts w:hint="eastAsia" w:ascii="宋体" w:hAnsi="宋体" w:eastAsia="宋体" w:cs="宋体"/>
          <w:szCs w:val="22"/>
          <w:highlight w:val="none"/>
        </w:rPr>
        <w:t>电子交易平台发生故障而无法登录访问的；</w:t>
      </w:r>
    </w:p>
    <w:p w14:paraId="5260ED36">
      <w:pPr>
        <w:numPr>
          <w:ilvl w:val="0"/>
          <w:numId w:val="17"/>
        </w:numPr>
        <w:snapToGrid w:val="0"/>
        <w:spacing w:line="360" w:lineRule="auto"/>
        <w:ind w:left="420" w:leftChars="200"/>
        <w:rPr>
          <w:rFonts w:ascii="宋体" w:hAnsi="宋体" w:eastAsia="宋体" w:cs="宋体"/>
          <w:szCs w:val="22"/>
          <w:highlight w:val="none"/>
        </w:rPr>
      </w:pPr>
      <w:r>
        <w:rPr>
          <w:rFonts w:hint="eastAsia" w:ascii="宋体" w:hAnsi="宋体" w:eastAsia="宋体" w:cs="宋体"/>
          <w:szCs w:val="22"/>
          <w:highlight w:val="none"/>
        </w:rPr>
        <w:t>电子交易平台应用或数据库出现错误，不能进行正常操作的；</w:t>
      </w:r>
    </w:p>
    <w:p w14:paraId="4E971D34">
      <w:pPr>
        <w:numPr>
          <w:ilvl w:val="0"/>
          <w:numId w:val="17"/>
        </w:numPr>
        <w:snapToGrid w:val="0"/>
        <w:spacing w:line="360" w:lineRule="auto"/>
        <w:ind w:left="420" w:leftChars="200"/>
        <w:rPr>
          <w:rFonts w:ascii="宋体" w:hAnsi="宋体" w:eastAsia="宋体" w:cs="宋体"/>
          <w:szCs w:val="22"/>
          <w:highlight w:val="none"/>
        </w:rPr>
      </w:pPr>
      <w:r>
        <w:rPr>
          <w:rFonts w:hint="eastAsia" w:ascii="宋体" w:hAnsi="宋体" w:eastAsia="宋体" w:cs="宋体"/>
          <w:szCs w:val="22"/>
          <w:highlight w:val="none"/>
        </w:rPr>
        <w:t>电子交易平台发现严重安全漏洞，有潜在泄密危险的；</w:t>
      </w:r>
    </w:p>
    <w:p w14:paraId="77205AA5">
      <w:pPr>
        <w:numPr>
          <w:ilvl w:val="0"/>
          <w:numId w:val="17"/>
        </w:numPr>
        <w:snapToGrid w:val="0"/>
        <w:spacing w:line="360" w:lineRule="auto"/>
        <w:ind w:left="420" w:leftChars="200"/>
        <w:rPr>
          <w:rFonts w:ascii="宋体" w:hAnsi="宋体" w:eastAsia="宋体" w:cs="宋体"/>
          <w:szCs w:val="22"/>
          <w:highlight w:val="none"/>
        </w:rPr>
      </w:pPr>
      <w:r>
        <w:rPr>
          <w:rFonts w:hint="eastAsia" w:ascii="宋体" w:hAnsi="宋体" w:eastAsia="宋体" w:cs="宋体"/>
          <w:szCs w:val="22"/>
          <w:highlight w:val="none"/>
        </w:rPr>
        <w:t>病毒发作导致不能进行正常操作的；</w:t>
      </w:r>
    </w:p>
    <w:p w14:paraId="13FAC1AF">
      <w:pPr>
        <w:numPr>
          <w:ilvl w:val="0"/>
          <w:numId w:val="17"/>
        </w:numPr>
        <w:snapToGrid w:val="0"/>
        <w:spacing w:line="360" w:lineRule="auto"/>
        <w:ind w:left="420" w:leftChars="200"/>
        <w:rPr>
          <w:rFonts w:ascii="宋体" w:hAnsi="宋体" w:eastAsia="宋体" w:cs="宋体"/>
          <w:szCs w:val="22"/>
          <w:highlight w:val="none"/>
        </w:rPr>
      </w:pPr>
      <w:r>
        <w:rPr>
          <w:rFonts w:hint="eastAsia" w:ascii="宋体" w:hAnsi="宋体" w:eastAsia="宋体" w:cs="宋体"/>
          <w:szCs w:val="22"/>
          <w:highlight w:val="none"/>
        </w:rPr>
        <w:t>其他无法保证电子交易的公平、公正和安全的情况。</w:t>
      </w:r>
    </w:p>
    <w:p w14:paraId="33081682">
      <w:pPr>
        <w:snapToGrid w:val="0"/>
        <w:spacing w:line="360" w:lineRule="auto"/>
        <w:ind w:left="420" w:leftChars="200"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出现上述情形，不影响采购公平、公正性的，采购组织机构可以待上述情形消除后继续组织电子交易活动；若影响或可能影响采购公平、公正性的，则重新采购。</w:t>
      </w:r>
    </w:p>
    <w:p w14:paraId="350543A2">
      <w:pPr>
        <w:rPr>
          <w:highlight w:val="none"/>
        </w:rPr>
      </w:pPr>
    </w:p>
    <w:p w14:paraId="0B0C3074">
      <w:pPr>
        <w:pStyle w:val="3"/>
        <w:spacing w:before="156" w:beforeLines="50" w:after="156" w:afterLines="50" w:line="360" w:lineRule="auto"/>
        <w:jc w:val="center"/>
        <w:rPr>
          <w:rFonts w:ascii="宋体" w:hAnsi="宋体" w:eastAsia="宋体" w:cs="宋体"/>
          <w:sz w:val="24"/>
          <w:szCs w:val="24"/>
          <w:highlight w:val="none"/>
        </w:rPr>
      </w:pPr>
      <w:r>
        <w:rPr>
          <w:rFonts w:hint="eastAsia" w:ascii="宋体" w:hAnsi="宋体" w:eastAsia="宋体" w:cs="宋体"/>
          <w:b/>
          <w:bCs w:val="0"/>
          <w:sz w:val="24"/>
          <w:szCs w:val="24"/>
          <w:highlight w:val="none"/>
        </w:rPr>
        <w:t>（五）磋商响应文件的递交</w:t>
      </w:r>
    </w:p>
    <w:p w14:paraId="40A201E0">
      <w:pPr>
        <w:numPr>
          <w:ilvl w:val="0"/>
          <w:numId w:val="11"/>
        </w:numPr>
        <w:snapToGrid w:val="0"/>
        <w:spacing w:line="360" w:lineRule="auto"/>
        <w:outlineLvl w:val="2"/>
        <w:rPr>
          <w:rFonts w:ascii="宋体" w:hAnsi="宋体" w:eastAsia="宋体" w:cs="宋体"/>
          <w:b/>
          <w:bCs/>
          <w:sz w:val="24"/>
          <w:szCs w:val="22"/>
          <w:highlight w:val="none"/>
        </w:rPr>
      </w:pPr>
      <w:bookmarkStart w:id="188" w:name="_Toc18594"/>
      <w:bookmarkStart w:id="189" w:name="_Toc7521"/>
      <w:bookmarkStart w:id="190" w:name="_Toc7669"/>
      <w:bookmarkStart w:id="191" w:name="_Toc19248"/>
      <w:bookmarkStart w:id="192" w:name="_Toc22295"/>
      <w:r>
        <w:rPr>
          <w:rFonts w:hint="eastAsia" w:ascii="宋体" w:hAnsi="宋体" w:eastAsia="宋体" w:cs="宋体"/>
          <w:b/>
          <w:bCs/>
          <w:sz w:val="21"/>
          <w:szCs w:val="20"/>
          <w:highlight w:val="none"/>
        </w:rPr>
        <w:t>响应文件的修改（补充）和撤回</w:t>
      </w:r>
      <w:bookmarkEnd w:id="188"/>
      <w:bookmarkEnd w:id="189"/>
      <w:bookmarkEnd w:id="190"/>
      <w:bookmarkEnd w:id="191"/>
      <w:bookmarkEnd w:id="192"/>
    </w:p>
    <w:p w14:paraId="3ECEDCCC">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21.1    投标截止时间前可以补充、修改或撤回响应文件。补充或者修改响应文件的，应当先行撤回原文件，补充、修改后重新递交。投标截止时间前未完成递交的，视为撤回响应文件。</w:t>
      </w:r>
    </w:p>
    <w:p w14:paraId="4E43D3C3">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21.2    投标截止时间后，供应商不得修改（补充）或撤回其响应文件。</w:t>
      </w:r>
    </w:p>
    <w:p w14:paraId="025BE402">
      <w:pPr>
        <w:numPr>
          <w:ilvl w:val="0"/>
          <w:numId w:val="11"/>
        </w:numPr>
        <w:snapToGrid w:val="0"/>
        <w:spacing w:line="360" w:lineRule="auto"/>
        <w:outlineLvl w:val="2"/>
        <w:rPr>
          <w:rFonts w:ascii="宋体" w:hAnsi="宋体" w:eastAsia="宋体" w:cs="宋体"/>
          <w:b/>
          <w:sz w:val="24"/>
          <w:highlight w:val="none"/>
        </w:rPr>
      </w:pPr>
      <w:bookmarkStart w:id="193" w:name="_Toc24415"/>
      <w:bookmarkStart w:id="194" w:name="_Toc16064"/>
      <w:bookmarkStart w:id="195" w:name="_Toc15794"/>
      <w:bookmarkStart w:id="196" w:name="_Toc18812"/>
      <w:bookmarkStart w:id="197" w:name="_Toc9460"/>
      <w:r>
        <w:rPr>
          <w:rFonts w:hint="eastAsia" w:ascii="宋体" w:hAnsi="宋体" w:eastAsia="宋体" w:cs="宋体"/>
          <w:b/>
          <w:sz w:val="21"/>
          <w:szCs w:val="21"/>
          <w:highlight w:val="none"/>
        </w:rPr>
        <w:t>磋商截止时间</w:t>
      </w:r>
      <w:bookmarkEnd w:id="193"/>
      <w:bookmarkEnd w:id="194"/>
      <w:bookmarkEnd w:id="195"/>
      <w:bookmarkEnd w:id="196"/>
      <w:bookmarkEnd w:id="197"/>
    </w:p>
    <w:p w14:paraId="6DDCDB85">
      <w:pPr>
        <w:numPr>
          <w:ilvl w:val="1"/>
          <w:numId w:val="11"/>
        </w:numPr>
        <w:snapToGrid w:val="0"/>
        <w:spacing w:line="360" w:lineRule="auto"/>
        <w:rPr>
          <w:rFonts w:ascii="宋体" w:hAnsi="宋体" w:eastAsia="宋体" w:cs="宋体"/>
          <w:highlight w:val="none"/>
        </w:rPr>
      </w:pPr>
      <w:r>
        <w:rPr>
          <w:rFonts w:hint="eastAsia" w:ascii="宋体" w:hAnsi="宋体" w:eastAsia="宋体" w:cs="宋体"/>
          <w:szCs w:val="21"/>
          <w:highlight w:val="none"/>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14:paraId="6947670D">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在推迟了磋商开始时间的情况下，采购代理机构、采购人和磋商供应商受制约的所有权利和义务均应延长至新的截止时间。</w:t>
      </w:r>
    </w:p>
    <w:p w14:paraId="6CD793E3">
      <w:pPr>
        <w:rPr>
          <w:highlight w:val="none"/>
        </w:rPr>
      </w:pPr>
    </w:p>
    <w:p w14:paraId="7A376B29">
      <w:pPr>
        <w:pStyle w:val="3"/>
        <w:spacing w:before="156" w:beforeLines="50" w:after="156" w:afterLines="50" w:line="360" w:lineRule="auto"/>
        <w:jc w:val="center"/>
        <w:rPr>
          <w:rFonts w:ascii="宋体" w:hAnsi="宋体" w:eastAsia="宋体" w:cs="宋体"/>
          <w:sz w:val="24"/>
          <w:szCs w:val="24"/>
          <w:highlight w:val="none"/>
        </w:rPr>
      </w:pPr>
      <w:bookmarkStart w:id="198" w:name="_Toc31387"/>
      <w:bookmarkStart w:id="199" w:name="_Toc32322"/>
      <w:bookmarkStart w:id="200" w:name="_Toc31912"/>
      <w:bookmarkStart w:id="201" w:name="_Toc9703"/>
      <w:bookmarkStart w:id="202" w:name="_Toc29990"/>
      <w:bookmarkStart w:id="203" w:name="_Toc1310"/>
      <w:r>
        <w:rPr>
          <w:rFonts w:hint="eastAsia" w:ascii="宋体" w:hAnsi="宋体" w:eastAsia="宋体" w:cs="宋体"/>
          <w:b/>
          <w:bCs w:val="0"/>
          <w:sz w:val="24"/>
          <w:szCs w:val="24"/>
          <w:highlight w:val="none"/>
        </w:rPr>
        <w:t>（六）磋商与评审</w:t>
      </w:r>
      <w:bookmarkEnd w:id="198"/>
      <w:bookmarkEnd w:id="199"/>
      <w:bookmarkEnd w:id="200"/>
      <w:bookmarkEnd w:id="201"/>
      <w:bookmarkEnd w:id="202"/>
      <w:bookmarkEnd w:id="203"/>
    </w:p>
    <w:p w14:paraId="54F490F4">
      <w:pPr>
        <w:numPr>
          <w:ilvl w:val="0"/>
          <w:numId w:val="11"/>
        </w:numPr>
        <w:snapToGrid w:val="0"/>
        <w:spacing w:line="360" w:lineRule="auto"/>
        <w:outlineLvl w:val="2"/>
        <w:rPr>
          <w:rFonts w:ascii="宋体" w:hAnsi="宋体" w:eastAsia="宋体" w:cs="宋体"/>
          <w:b/>
          <w:sz w:val="21"/>
          <w:szCs w:val="21"/>
          <w:highlight w:val="none"/>
        </w:rPr>
      </w:pPr>
      <w:bookmarkStart w:id="204" w:name="_Toc21421"/>
      <w:bookmarkStart w:id="205" w:name="_Toc25714"/>
      <w:bookmarkStart w:id="206" w:name="_Toc30395"/>
      <w:bookmarkStart w:id="207" w:name="_Toc17545"/>
      <w:bookmarkStart w:id="208" w:name="_Toc26874"/>
      <w:r>
        <w:rPr>
          <w:rFonts w:hint="eastAsia" w:ascii="宋体" w:hAnsi="宋体" w:eastAsia="宋体" w:cs="宋体"/>
          <w:b/>
          <w:sz w:val="21"/>
          <w:szCs w:val="21"/>
          <w:highlight w:val="none"/>
        </w:rPr>
        <w:t>磋商</w:t>
      </w:r>
      <w:bookmarkEnd w:id="204"/>
      <w:bookmarkEnd w:id="205"/>
      <w:bookmarkEnd w:id="206"/>
      <w:bookmarkEnd w:id="207"/>
      <w:bookmarkEnd w:id="208"/>
    </w:p>
    <w:p w14:paraId="1161EA82">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磋商时间和地点：见本磋商文件“竞争性磋商公告”。</w:t>
      </w:r>
    </w:p>
    <w:p w14:paraId="057906B7">
      <w:pPr>
        <w:numPr>
          <w:ilvl w:val="1"/>
          <w:numId w:val="11"/>
        </w:numPr>
        <w:snapToGrid w:val="0"/>
        <w:spacing w:line="360" w:lineRule="auto"/>
        <w:rPr>
          <w:rFonts w:ascii="宋体" w:hAnsi="宋体" w:eastAsia="宋体" w:cs="宋体"/>
          <w:highlight w:val="none"/>
        </w:rPr>
      </w:pPr>
      <w:r>
        <w:rPr>
          <w:rFonts w:hint="eastAsia" w:ascii="宋体" w:hAnsi="宋体" w:eastAsia="宋体" w:cs="宋体"/>
          <w:szCs w:val="21"/>
          <w:highlight w:val="none"/>
        </w:rPr>
        <w:t>供应商应当在接到解密通知后30分钟内自行完成“电子加密响应文件”的在线解密。</w:t>
      </w:r>
    </w:p>
    <w:p w14:paraId="1C686B78">
      <w:pPr>
        <w:numPr>
          <w:ilvl w:val="0"/>
          <w:numId w:val="11"/>
        </w:numPr>
        <w:snapToGrid w:val="0"/>
        <w:spacing w:line="360" w:lineRule="auto"/>
        <w:outlineLvl w:val="2"/>
        <w:rPr>
          <w:rFonts w:ascii="宋体" w:hAnsi="宋体" w:eastAsia="宋体" w:cs="宋体"/>
          <w:b/>
          <w:sz w:val="21"/>
          <w:szCs w:val="20"/>
          <w:highlight w:val="none"/>
        </w:rPr>
      </w:pPr>
      <w:bookmarkStart w:id="209" w:name="_Toc30162"/>
      <w:bookmarkStart w:id="210" w:name="_Toc26411"/>
      <w:bookmarkStart w:id="211" w:name="_Toc11884"/>
      <w:bookmarkStart w:id="212" w:name="_Toc31570"/>
      <w:bookmarkStart w:id="213" w:name="_Toc21416"/>
      <w:r>
        <w:rPr>
          <w:rFonts w:hint="eastAsia" w:ascii="宋体" w:hAnsi="宋体" w:eastAsia="宋体" w:cs="宋体"/>
          <w:b/>
          <w:sz w:val="21"/>
          <w:szCs w:val="20"/>
          <w:highlight w:val="none"/>
        </w:rPr>
        <w:t>开标程序</w:t>
      </w:r>
      <w:bookmarkEnd w:id="209"/>
      <w:bookmarkEnd w:id="210"/>
      <w:bookmarkEnd w:id="211"/>
      <w:bookmarkEnd w:id="212"/>
      <w:bookmarkEnd w:id="213"/>
    </w:p>
    <w:p w14:paraId="7962684C">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206E79DA">
      <w:pPr>
        <w:numPr>
          <w:ilvl w:val="1"/>
          <w:numId w:val="11"/>
        </w:numPr>
        <w:snapToGrid w:val="0"/>
        <w:spacing w:line="360" w:lineRule="auto"/>
        <w:rPr>
          <w:rFonts w:ascii="宋体" w:hAnsi="宋体" w:eastAsia="宋体" w:cs="宋体"/>
          <w:b/>
          <w:bCs/>
          <w:szCs w:val="21"/>
          <w:highlight w:val="none"/>
        </w:rPr>
      </w:pPr>
      <w:r>
        <w:rPr>
          <w:rFonts w:hint="eastAsia" w:ascii="宋体" w:hAnsi="宋体" w:eastAsia="宋体" w:cs="宋体"/>
          <w:b/>
          <w:bCs/>
          <w:szCs w:val="21"/>
          <w:highlight w:val="none"/>
        </w:rPr>
        <w:t>响应文件解密结束后，各供应商签署《政府采购活动现场确认声明书》，并在15分钟内以扫描件方式发送至代理机构邮箱。</w:t>
      </w:r>
    </w:p>
    <w:p w14:paraId="29AE6587">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由代理机构根据法律法规和磋商文件的规定，检查响应文件提供的资格证明文件是否齐全、是否满足磋商文件的要求，若资格审查不符合磋商文件要求，不进入后续评审阶段。</w:t>
      </w:r>
    </w:p>
    <w:p w14:paraId="1358FDFA">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磋商小组对响应文件进行符合性审查，符合性审查不通过的供应商，不再进入后续评审阶段。</w:t>
      </w:r>
    </w:p>
    <w:p w14:paraId="703FF19C">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磋商小组认为需要磋商的，磋商小组与各供应商在线进行磋商并确定最终方案。</w:t>
      </w:r>
    </w:p>
    <w:p w14:paraId="259BBD53">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供应商按照磋商文件的变动情况和磋商小组的要求重新提交响应文件。</w:t>
      </w:r>
    </w:p>
    <w:p w14:paraId="54BD8DA8">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磋商小组在线要求所有实质性响应供应商进行最后报价。</w:t>
      </w:r>
      <w:r>
        <w:rPr>
          <w:rFonts w:hint="eastAsia" w:ascii="宋体" w:hAnsi="宋体" w:eastAsia="宋体" w:cs="宋体"/>
          <w:szCs w:val="21"/>
          <w:highlight w:val="none"/>
        </w:rPr>
        <w:tab/>
      </w:r>
    </w:p>
    <w:p w14:paraId="5D271109">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由磋商小组采用综合评分法对提交最后报价的供应商的响应文件和最后报价进行综合评分。</w:t>
      </w:r>
    </w:p>
    <w:p w14:paraId="37A874A9">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磋商小组根据综合评分情况，按照评审得分由高到低顺序推荐成交候选供应商。</w:t>
      </w:r>
    </w:p>
    <w:p w14:paraId="0C42067C">
      <w:pPr>
        <w:numPr>
          <w:ilvl w:val="1"/>
          <w:numId w:val="11"/>
        </w:numPr>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在系统上公布评审结果。</w:t>
      </w:r>
    </w:p>
    <w:p w14:paraId="307CC81B">
      <w:pPr>
        <w:spacing w:line="360" w:lineRule="auto"/>
        <w:rPr>
          <w:rFonts w:ascii="宋体" w:hAnsi="宋体" w:eastAsia="宋体" w:cs="宋体"/>
          <w:b/>
          <w:bCs/>
          <w:szCs w:val="21"/>
          <w:highlight w:val="none"/>
        </w:rPr>
      </w:pPr>
      <w:r>
        <w:rPr>
          <w:rFonts w:hint="eastAsia" w:ascii="宋体" w:hAnsi="宋体" w:eastAsia="宋体" w:cs="宋体"/>
          <w:b/>
          <w:bCs/>
          <w:szCs w:val="21"/>
          <w:highlight w:val="none"/>
        </w:rPr>
        <w:t>特别说明：政采云公司如对电子化开标及评审程序有调整的，按调整后的程序操作。</w:t>
      </w:r>
    </w:p>
    <w:p w14:paraId="1B9A7C8A">
      <w:pPr>
        <w:numPr>
          <w:ilvl w:val="0"/>
          <w:numId w:val="11"/>
        </w:numPr>
        <w:spacing w:line="360" w:lineRule="auto"/>
        <w:outlineLvl w:val="2"/>
        <w:rPr>
          <w:rFonts w:ascii="宋体" w:hAnsi="宋体" w:eastAsia="宋体" w:cs="宋体"/>
          <w:b/>
          <w:sz w:val="21"/>
          <w:szCs w:val="21"/>
          <w:highlight w:val="none"/>
        </w:rPr>
      </w:pPr>
      <w:bookmarkStart w:id="214" w:name="_Toc22155"/>
      <w:bookmarkStart w:id="215" w:name="_Toc13318"/>
      <w:bookmarkStart w:id="216" w:name="_Toc8779"/>
      <w:bookmarkStart w:id="217" w:name="_Toc4389"/>
      <w:bookmarkStart w:id="218" w:name="_Toc1306"/>
      <w:r>
        <w:rPr>
          <w:rFonts w:hint="eastAsia" w:ascii="宋体" w:hAnsi="宋体" w:eastAsia="宋体" w:cs="宋体"/>
          <w:b/>
          <w:sz w:val="21"/>
          <w:szCs w:val="21"/>
          <w:highlight w:val="none"/>
        </w:rPr>
        <w:t>磋商小组</w:t>
      </w:r>
      <w:bookmarkEnd w:id="214"/>
      <w:bookmarkEnd w:id="215"/>
      <w:bookmarkEnd w:id="216"/>
      <w:bookmarkEnd w:id="217"/>
      <w:bookmarkEnd w:id="218"/>
    </w:p>
    <w:p w14:paraId="253DC06C">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本次采购依法组建磋商小组。磋商小组由采购人的代表和有关专家共三人以上的单数组成，其中专家的人数不得少于成员总数的三分之二。</w:t>
      </w:r>
    </w:p>
    <w:p w14:paraId="483E00FC">
      <w:pPr>
        <w:numPr>
          <w:ilvl w:val="0"/>
          <w:numId w:val="11"/>
        </w:numPr>
        <w:spacing w:line="360" w:lineRule="auto"/>
        <w:outlineLvl w:val="2"/>
        <w:rPr>
          <w:rFonts w:ascii="宋体" w:hAnsi="宋体" w:eastAsia="宋体" w:cs="宋体"/>
          <w:b/>
          <w:sz w:val="21"/>
          <w:szCs w:val="21"/>
          <w:highlight w:val="none"/>
        </w:rPr>
      </w:pPr>
      <w:bookmarkStart w:id="219" w:name="_Toc29754"/>
      <w:bookmarkStart w:id="220" w:name="_Toc16082"/>
      <w:bookmarkStart w:id="221" w:name="_Toc24094"/>
      <w:bookmarkStart w:id="222" w:name="_Toc26774"/>
      <w:bookmarkStart w:id="223" w:name="_Toc9101"/>
      <w:r>
        <w:rPr>
          <w:rFonts w:hint="eastAsia" w:ascii="宋体" w:hAnsi="宋体" w:eastAsia="宋体" w:cs="宋体"/>
          <w:b/>
          <w:sz w:val="21"/>
          <w:szCs w:val="21"/>
          <w:highlight w:val="none"/>
        </w:rPr>
        <w:t>磋商工作程序</w:t>
      </w:r>
      <w:bookmarkEnd w:id="219"/>
      <w:bookmarkEnd w:id="220"/>
      <w:bookmarkEnd w:id="221"/>
      <w:bookmarkEnd w:id="222"/>
      <w:bookmarkEnd w:id="223"/>
    </w:p>
    <w:p w14:paraId="036F84AD">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26.1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eastAsia="宋体" w:cs="宋体"/>
          <w:b/>
          <w:bCs/>
          <w:szCs w:val="21"/>
          <w:highlight w:val="none"/>
        </w:rPr>
        <w:t>磋商小组将以书面通过“政府采购云平台”在线询标的形式要求磋商供应商在规定的时间内作出必要的澄清、说明或者补正。磋商供应商的澄清、说明或者补正应当采用书面通过“政府采购云平台”在线答复形式提交，并加盖</w:t>
      </w:r>
      <w:r>
        <w:rPr>
          <w:rFonts w:hint="eastAsia" w:ascii="宋体" w:hAnsi="宋体" w:eastAsia="宋体" w:cs="宋体"/>
          <w:b/>
          <w:bCs/>
          <w:highlight w:val="none"/>
        </w:rPr>
        <w:t>电子签章</w:t>
      </w:r>
      <w:r>
        <w:rPr>
          <w:rFonts w:hint="eastAsia" w:ascii="宋体" w:hAnsi="宋体" w:eastAsia="宋体" w:cs="宋体"/>
          <w:b/>
          <w:bCs/>
          <w:szCs w:val="21"/>
          <w:highlight w:val="none"/>
        </w:rPr>
        <w:t>，或者由法定代表人或其授权的代表签字。</w:t>
      </w:r>
    </w:p>
    <w:p w14:paraId="0FAAE0AB">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26.2    磋商小组所有成员集中与单一磋商供应商分别进行磋商。</w:t>
      </w:r>
      <w:r>
        <w:rPr>
          <w:rFonts w:hint="eastAsia" w:ascii="宋体" w:hAnsi="宋体" w:eastAsia="宋体" w:cs="宋体"/>
          <w:highlight w:val="none"/>
        </w:rPr>
        <w:t>磋商的顺序，按供应商解密响应文件时间的先后顺序进行在线磋商。</w:t>
      </w:r>
      <w:r>
        <w:rPr>
          <w:rFonts w:hint="eastAsia" w:ascii="宋体" w:hAnsi="宋体" w:eastAsia="宋体" w:cs="宋体"/>
          <w:szCs w:val="21"/>
          <w:highlight w:val="none"/>
        </w:rPr>
        <w:t>在磋商中，磋商的任何一方不得透露与磋商有关的其他磋商供应商的技术资料、价格和其他信息。</w:t>
      </w:r>
    </w:p>
    <w:p w14:paraId="39DBB3CB">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26.3    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电子签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首轮报价不公开。</w:t>
      </w:r>
    </w:p>
    <w:p w14:paraId="5067B17A">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26.4    磋商结束后，磋商小组要求所有实质性响应的供应商在规定时间内在线提交最后报价。最后报价是供应商响应文件的有效组成部分。</w:t>
      </w:r>
    </w:p>
    <w:p w14:paraId="65DEA66E">
      <w:pPr>
        <w:snapToGrid w:val="0"/>
        <w:spacing w:line="360" w:lineRule="auto"/>
        <w:ind w:left="823" w:hanging="823" w:hangingChars="392"/>
        <w:rPr>
          <w:rFonts w:ascii="宋体" w:hAnsi="宋体" w:eastAsia="宋体" w:cs="宋体"/>
          <w:szCs w:val="21"/>
          <w:highlight w:val="none"/>
        </w:rPr>
      </w:pPr>
      <w:r>
        <w:rPr>
          <w:rFonts w:hint="eastAsia" w:ascii="宋体" w:hAnsi="宋体" w:eastAsia="宋体" w:cs="宋体"/>
          <w:szCs w:val="21"/>
          <w:highlight w:val="none"/>
        </w:rPr>
        <w:t>26.5    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14:paraId="1F0F8993">
      <w:pPr>
        <w:numPr>
          <w:ilvl w:val="0"/>
          <w:numId w:val="11"/>
        </w:numPr>
        <w:spacing w:line="360" w:lineRule="auto"/>
        <w:outlineLvl w:val="2"/>
        <w:rPr>
          <w:rFonts w:ascii="宋体" w:hAnsi="宋体" w:eastAsia="宋体" w:cs="宋体"/>
          <w:b/>
          <w:sz w:val="24"/>
          <w:szCs w:val="22"/>
          <w:highlight w:val="none"/>
        </w:rPr>
      </w:pPr>
      <w:r>
        <w:rPr>
          <w:rFonts w:hint="eastAsia" w:ascii="宋体" w:hAnsi="宋体" w:eastAsia="宋体" w:cs="宋体"/>
          <w:szCs w:val="21"/>
          <w:highlight w:val="none"/>
        </w:rPr>
        <w:t>经磋商确定最终采购需求和提交最后报价的供应商后，由磋商小组采用综合评分法对提交</w:t>
      </w:r>
      <w:r>
        <w:rPr>
          <w:rFonts w:hint="eastAsia" w:ascii="宋体" w:hAnsi="宋体" w:eastAsia="宋体" w:cs="宋体"/>
          <w:szCs w:val="21"/>
          <w:highlight w:val="none"/>
          <w:lang w:eastAsia="zh-CN"/>
        </w:rPr>
        <w:t>投标折扣率大于100%的或小于等于0或未填写的</w:t>
      </w:r>
    </w:p>
    <w:p w14:paraId="5D94C3D4">
      <w:pPr>
        <w:numPr>
          <w:ilvl w:val="1"/>
          <w:numId w:val="11"/>
        </w:numPr>
        <w:tabs>
          <w:tab w:val="left" w:pos="0"/>
        </w:tabs>
        <w:snapToGrid w:val="0"/>
        <w:spacing w:line="360" w:lineRule="auto"/>
        <w:rPr>
          <w:rFonts w:ascii="宋体" w:hAnsi="宋体" w:eastAsia="宋体" w:cs="宋体"/>
          <w:highlight w:val="none"/>
        </w:rPr>
      </w:pPr>
      <w:r>
        <w:rPr>
          <w:rFonts w:hint="eastAsia" w:ascii="宋体" w:hAnsi="宋体" w:eastAsia="宋体" w:cs="宋体"/>
          <w:highlight w:val="none"/>
        </w:rPr>
        <w:t>资格性检查：采购人或代理机构根据法律法规和磋商文件的规定，检查响应文件提供的资格证明文件是否齐全、是否满足磋商文件的要求。</w:t>
      </w:r>
    </w:p>
    <w:p w14:paraId="0F614EEE">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符合性检查：磋商小组对符合资格的供应商进行符合性审查，以确定是否对磋商文件的实质性要求作出响应。</w:t>
      </w:r>
    </w:p>
    <w:p w14:paraId="6DBC1686">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▲在评审过程中，响应文件出现但不限于下列情况，按照无效报价处理：</w:t>
      </w:r>
    </w:p>
    <w:p w14:paraId="55F1D036">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lang w:eastAsia="zh-CN"/>
        </w:rPr>
        <w:t>投标折扣率大于100%的或小于等于0或未填写的；</w:t>
      </w:r>
    </w:p>
    <w:p w14:paraId="38E40241">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未在报价时限内提交最后报价的</w:t>
      </w:r>
      <w:r>
        <w:rPr>
          <w:rFonts w:hint="eastAsia" w:ascii="宋体" w:hAnsi="宋体" w:eastAsia="宋体" w:cs="宋体"/>
          <w:szCs w:val="21"/>
          <w:highlight w:val="none"/>
          <w:lang w:eastAsia="zh-CN"/>
        </w:rPr>
        <w:t>；</w:t>
      </w:r>
    </w:p>
    <w:p w14:paraId="7E456141">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磋商小组认为响应文件未实质性响应磋商文件的要求的；</w:t>
      </w:r>
    </w:p>
    <w:p w14:paraId="6EDA2A09">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响应文件中载明的工期超过磋商文件中规定的工期；</w:t>
      </w:r>
    </w:p>
    <w:p w14:paraId="1CFB63EF">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在报价评审中，发现价格计算有误，又不接受磋商小组修正的报价；</w:t>
      </w:r>
    </w:p>
    <w:p w14:paraId="67514026">
      <w:pPr>
        <w:numPr>
          <w:ilvl w:val="0"/>
          <w:numId w:val="18"/>
        </w:numPr>
        <w:tabs>
          <w:tab w:val="left" w:pos="1060"/>
        </w:tabs>
        <w:spacing w:line="360" w:lineRule="auto"/>
        <w:ind w:left="1045" w:hanging="405"/>
        <w:outlineLvl w:val="3"/>
        <w:rPr>
          <w:rFonts w:ascii="宋体" w:hAnsi="宋体" w:eastAsia="宋体" w:cs="宋体"/>
          <w:highlight w:val="none"/>
        </w:rPr>
      </w:pPr>
      <w:r>
        <w:rPr>
          <w:rFonts w:hint="eastAsia" w:ascii="宋体" w:hAnsi="宋体" w:eastAsia="宋体" w:cs="宋体"/>
          <w:szCs w:val="21"/>
          <w:highlight w:val="none"/>
        </w:rPr>
        <w:t>不具备磋商文件中规定资格要求的；</w:t>
      </w:r>
    </w:p>
    <w:p w14:paraId="47C8F24D">
      <w:pPr>
        <w:numPr>
          <w:ilvl w:val="0"/>
          <w:numId w:val="18"/>
        </w:numPr>
        <w:tabs>
          <w:tab w:val="left" w:pos="1060"/>
        </w:tabs>
        <w:spacing w:line="360" w:lineRule="auto"/>
        <w:ind w:left="1045" w:hanging="405"/>
        <w:rPr>
          <w:rFonts w:ascii="宋体" w:hAnsi="宋体" w:eastAsia="宋体" w:cs="宋体"/>
          <w:b/>
          <w:bCs/>
          <w:highlight w:val="none"/>
        </w:rPr>
      </w:pPr>
      <w:r>
        <w:rPr>
          <w:rFonts w:hint="eastAsia" w:ascii="宋体" w:hAnsi="宋体" w:eastAsia="宋体" w:cs="宋体"/>
          <w:b/>
          <w:bCs/>
          <w:highlight w:val="none"/>
        </w:rPr>
        <w:t>未按规定提供关于满足《中华人民共和国政府采购法》第二十二条规定的承诺函的；</w:t>
      </w:r>
    </w:p>
    <w:p w14:paraId="7F9AA262">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投标截止时间止，供应商仅递交了“备份响应文件”而未将电子加密投标文件上传至“政府采购云平台”的；</w:t>
      </w:r>
    </w:p>
    <w:p w14:paraId="6853046C">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电子响应文件解密失败的，且未在规定时间内提交备份响应文件的</w:t>
      </w:r>
      <w:r>
        <w:rPr>
          <w:rFonts w:hint="eastAsia" w:ascii="宋体" w:hAnsi="宋体" w:eastAsia="宋体" w:cs="宋体"/>
          <w:szCs w:val="21"/>
          <w:highlight w:val="none"/>
          <w:lang w:eastAsia="zh-CN"/>
        </w:rPr>
        <w:t>；</w:t>
      </w:r>
    </w:p>
    <w:p w14:paraId="2ABA6F4C">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未提供中小型企业声明函或磋商供应商不属于中小型企业的；</w:t>
      </w:r>
    </w:p>
    <w:p w14:paraId="43636F11">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资格性审查</w:t>
      </w:r>
      <w:r>
        <w:rPr>
          <w:rFonts w:hint="eastAsia" w:ascii="宋体" w:hAnsi="宋体" w:eastAsia="宋体" w:cs="宋体"/>
          <w:highlight w:val="none"/>
        </w:rPr>
        <w:t>、符合性审查不符合要求的；</w:t>
      </w:r>
    </w:p>
    <w:p w14:paraId="2971337E">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存在串标、抬标或弄虚作假情况的；</w:t>
      </w:r>
    </w:p>
    <w:p w14:paraId="56495FBD">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b/>
          <w:bCs/>
          <w:szCs w:val="21"/>
          <w:highlight w:val="none"/>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eastAsia="宋体" w:cs="宋体"/>
          <w:highlight w:val="none"/>
        </w:rPr>
        <w:t xml:space="preserve"> </w:t>
      </w:r>
    </w:p>
    <w:p w14:paraId="2DCB9272">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磋商响应文件存在一个或一个以上备选（替代）投标方案的</w:t>
      </w:r>
      <w:r>
        <w:rPr>
          <w:rFonts w:hint="eastAsia" w:ascii="宋体" w:hAnsi="宋体" w:eastAsia="宋体" w:cs="宋体"/>
          <w:szCs w:val="21"/>
          <w:highlight w:val="none"/>
          <w:lang w:eastAsia="zh-CN"/>
        </w:rPr>
        <w:t>；</w:t>
      </w:r>
    </w:p>
    <w:p w14:paraId="528ACF11">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在磋商结束前，磋商供应商发生重大变化或变更，未及时告知采购人或不再具备磋商文件规定的资格条件或者其投标影响招标公正性的；</w:t>
      </w:r>
    </w:p>
    <w:p w14:paraId="5689A1F7">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270E2D9E">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szCs w:val="21"/>
          <w:highlight w:val="none"/>
        </w:rPr>
        <w:t>不是法定代表人未在磋商响应文件中提供有效法定代表人授权委托书的；</w:t>
      </w:r>
    </w:p>
    <w:p w14:paraId="46323458">
      <w:pPr>
        <w:numPr>
          <w:ilvl w:val="0"/>
          <w:numId w:val="18"/>
        </w:numPr>
        <w:tabs>
          <w:tab w:val="left" w:pos="1060"/>
        </w:tabs>
        <w:spacing w:line="360" w:lineRule="auto"/>
        <w:ind w:left="1045" w:hanging="405"/>
        <w:rPr>
          <w:rFonts w:ascii="宋体" w:hAnsi="宋体" w:eastAsia="宋体" w:cs="宋体"/>
          <w:szCs w:val="21"/>
          <w:highlight w:val="none"/>
        </w:rPr>
      </w:pPr>
      <w:r>
        <w:rPr>
          <w:rFonts w:hint="eastAsia" w:ascii="宋体" w:hAnsi="宋体" w:eastAsia="宋体" w:cs="宋体"/>
          <w:bCs/>
          <w:szCs w:val="21"/>
          <w:highlight w:val="none"/>
        </w:rPr>
        <w:t>被列入失信被执行人、重大税收违法案件当事人名单、政府采购严重违法失信行为记录名单的；</w:t>
      </w:r>
    </w:p>
    <w:p w14:paraId="238B5B3A">
      <w:pPr>
        <w:numPr>
          <w:ilvl w:val="0"/>
          <w:numId w:val="18"/>
        </w:numPr>
        <w:tabs>
          <w:tab w:val="left" w:pos="1060"/>
        </w:tabs>
        <w:spacing w:line="360" w:lineRule="auto"/>
        <w:ind w:left="1045" w:hanging="405"/>
        <w:outlineLvl w:val="3"/>
        <w:rPr>
          <w:rFonts w:hint="eastAsia" w:ascii="宋体" w:hAnsi="宋体" w:eastAsia="宋体" w:cs="宋体"/>
          <w:szCs w:val="21"/>
          <w:highlight w:val="none"/>
        </w:rPr>
      </w:pPr>
      <w:r>
        <w:rPr>
          <w:rFonts w:hint="eastAsia" w:ascii="宋体" w:hAnsi="宋体" w:eastAsia="宋体" w:cs="宋体"/>
          <w:szCs w:val="21"/>
          <w:highlight w:val="none"/>
        </w:rPr>
        <w:t>不符合法律、法规和磋商文件中规定的其他实质性要求的。</w:t>
      </w:r>
    </w:p>
    <w:p w14:paraId="57607FD5">
      <w:pPr>
        <w:numPr>
          <w:ilvl w:val="0"/>
          <w:numId w:val="18"/>
        </w:numPr>
        <w:tabs>
          <w:tab w:val="left" w:pos="1060"/>
        </w:tabs>
        <w:spacing w:line="360" w:lineRule="auto"/>
        <w:ind w:left="1045" w:hanging="405"/>
        <w:outlineLvl w:val="3"/>
        <w:rPr>
          <w:rFonts w:hint="eastAsia" w:ascii="宋体" w:hAnsi="宋体" w:eastAsia="宋体" w:cs="宋体"/>
          <w:szCs w:val="21"/>
          <w:highlight w:val="none"/>
        </w:rPr>
      </w:pPr>
      <w:r>
        <w:rPr>
          <w:rFonts w:hint="eastAsia" w:ascii="宋体" w:hAnsi="宋体" w:eastAsia="宋体" w:cs="宋体"/>
          <w:szCs w:val="21"/>
          <w:highlight w:val="none"/>
        </w:rPr>
        <w:t>不同供应商的电子投标（响应）文件上传计算机的网卡MAC地址或硬盘序列号等硬件信息相同的。</w:t>
      </w:r>
    </w:p>
    <w:p w14:paraId="5BF8A0A6">
      <w:pPr>
        <w:numPr>
          <w:ilvl w:val="0"/>
          <w:numId w:val="18"/>
        </w:numPr>
        <w:tabs>
          <w:tab w:val="left" w:pos="1060"/>
        </w:tabs>
        <w:spacing w:line="360" w:lineRule="auto"/>
        <w:ind w:left="1045" w:hanging="405"/>
        <w:outlineLvl w:val="3"/>
        <w:rPr>
          <w:rFonts w:hint="eastAsia" w:ascii="宋体" w:hAnsi="宋体" w:eastAsia="宋体" w:cs="宋体"/>
          <w:szCs w:val="21"/>
          <w:highlight w:val="none"/>
        </w:rPr>
      </w:pPr>
      <w:r>
        <w:rPr>
          <w:rFonts w:hint="eastAsia" w:ascii="宋体" w:hAnsi="宋体" w:eastAsia="宋体" w:cs="宋体"/>
          <w:szCs w:val="21"/>
          <w:highlight w:val="none"/>
        </w:rPr>
        <w:t>上传的电子投标（响应）文件若出现使用本项目其他投标（响应）供应商的数字证书加密的，或者加盖本项目其他投标（响应）供应商的电子印章的。</w:t>
      </w:r>
    </w:p>
    <w:p w14:paraId="1E5F07E2">
      <w:pPr>
        <w:numPr>
          <w:ilvl w:val="0"/>
          <w:numId w:val="18"/>
        </w:numPr>
        <w:tabs>
          <w:tab w:val="left" w:pos="1060"/>
        </w:tabs>
        <w:spacing w:line="360" w:lineRule="auto"/>
        <w:ind w:left="1045" w:hanging="405"/>
        <w:outlineLvl w:val="3"/>
        <w:rPr>
          <w:rFonts w:hint="eastAsia" w:ascii="宋体" w:hAnsi="宋体" w:eastAsia="宋体" w:cs="宋体"/>
          <w:szCs w:val="21"/>
          <w:highlight w:val="none"/>
        </w:rPr>
      </w:pPr>
      <w:r>
        <w:rPr>
          <w:rFonts w:hint="eastAsia" w:ascii="宋体" w:hAnsi="宋体" w:eastAsia="宋体" w:cs="宋体"/>
          <w:szCs w:val="21"/>
          <w:highlight w:val="none"/>
        </w:rPr>
        <w:t>不同供应商的投标（响应）文件的内容存在三处（含）以上错误一致的。</w:t>
      </w:r>
    </w:p>
    <w:p w14:paraId="0F543441">
      <w:pPr>
        <w:numPr>
          <w:ilvl w:val="0"/>
          <w:numId w:val="18"/>
        </w:numPr>
        <w:tabs>
          <w:tab w:val="left" w:pos="1060"/>
        </w:tabs>
        <w:spacing w:line="360" w:lineRule="auto"/>
        <w:ind w:left="1045" w:hanging="405"/>
        <w:outlineLvl w:val="3"/>
        <w:rPr>
          <w:rFonts w:ascii="宋体" w:hAnsi="宋体" w:eastAsia="宋体" w:cs="宋体"/>
          <w:szCs w:val="21"/>
          <w:highlight w:val="none"/>
        </w:rPr>
      </w:pPr>
      <w:r>
        <w:rPr>
          <w:rFonts w:hint="eastAsia" w:ascii="宋体" w:hAnsi="宋体" w:eastAsia="宋体" w:cs="宋体"/>
          <w:szCs w:val="21"/>
          <w:highlight w:val="none"/>
        </w:rPr>
        <w:t>不同供应商联系人为同一人或不同联系人的联系电话一致的。</w:t>
      </w:r>
    </w:p>
    <w:p w14:paraId="2CD78785">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提供相同品牌产品且通过资格审查、符合性审查的不同投标人参加同一合同项下投标的，按一家投标人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14:paraId="4C04CC4F">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 xml:space="preserve">澄清有关问题： </w:t>
      </w:r>
    </w:p>
    <w:p w14:paraId="3DD819B6">
      <w:pPr>
        <w:snapToGrid w:val="0"/>
        <w:spacing w:line="360" w:lineRule="auto"/>
        <w:ind w:left="838" w:hanging="837" w:hangingChars="399"/>
        <w:rPr>
          <w:rFonts w:ascii="宋体" w:hAnsi="宋体" w:eastAsia="宋体" w:cs="宋体"/>
          <w:szCs w:val="21"/>
          <w:highlight w:val="none"/>
        </w:rPr>
      </w:pPr>
      <w:r>
        <w:rPr>
          <w:rFonts w:hint="eastAsia" w:ascii="宋体" w:hAnsi="宋体" w:eastAsia="宋体" w:cs="宋体"/>
          <w:szCs w:val="21"/>
          <w:highlight w:val="none"/>
        </w:rPr>
        <w:t>27.5.1  为有助于对响应文件的审核、评价和比较。磋商小组对资格性检查和符合性检查合格的响应文件进</w:t>
      </w:r>
      <w:r>
        <w:rPr>
          <w:rFonts w:hint="eastAsia" w:ascii="宋体" w:hAnsi="宋体" w:eastAsia="宋体" w:cs="宋体"/>
          <w:b w:val="0"/>
          <w:bCs w:val="0"/>
          <w:szCs w:val="21"/>
          <w:highlight w:val="none"/>
        </w:rPr>
        <w:t>行澄清，对响应文件中含义不明确、同类问题表述不一致或者有明显文字和计算错误的内容，磋商小组将以书面通过“政府采购云平台”在线询标的形式要求磋商供应商在规定的时间内作出必要的澄清、说明或者补正。磋商供应商的澄清、说明或者补正应当采用书面通过“政府采购云平台”在线答复形式提交，并加盖</w:t>
      </w:r>
      <w:r>
        <w:rPr>
          <w:rFonts w:hint="eastAsia" w:ascii="宋体" w:hAnsi="宋体" w:eastAsia="宋体" w:cs="宋体"/>
          <w:b w:val="0"/>
          <w:bCs w:val="0"/>
          <w:highlight w:val="none"/>
        </w:rPr>
        <w:t>电子签章</w:t>
      </w:r>
      <w:r>
        <w:rPr>
          <w:rFonts w:hint="eastAsia" w:ascii="宋体" w:hAnsi="宋体" w:eastAsia="宋体" w:cs="宋体"/>
          <w:b w:val="0"/>
          <w:bCs w:val="0"/>
          <w:szCs w:val="21"/>
          <w:highlight w:val="none"/>
        </w:rPr>
        <w:t>，或者由法定代表人或其授权的代表签字。</w:t>
      </w:r>
    </w:p>
    <w:p w14:paraId="5D22E9E4">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磋商</w:t>
      </w:r>
      <w:r>
        <w:rPr>
          <w:rFonts w:hint="eastAsia" w:ascii="宋体" w:hAnsi="宋体" w:eastAsia="宋体" w:cs="宋体"/>
          <w:szCs w:val="21"/>
          <w:highlight w:val="none"/>
        </w:rPr>
        <w:t>小组详细分析、核准价格表，看其是否有计算上或累加上的算术错误，并按本磋商文件第六部分“评定办法”中所明确的原则、修正错误的方法，调整响应文件中的投标报价，并确定评标价。调整后的价格对磋商供应商具有约束力。如果磋商供应商不接受修正后的价格，则其投标将被拒绝。</w:t>
      </w:r>
    </w:p>
    <w:p w14:paraId="517A17D6">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 xml:space="preserve">比较与评价：磋商小组按磋商文件中规定的评审方法和标准，对资格性检查和符合性检查合格的响应文件进行比较和评价；磋商小组对响应文件的判定，只依据响应文件内容本身，不依据任何外来证明。   </w:t>
      </w:r>
    </w:p>
    <w:p w14:paraId="23A45924">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磋商小组认为供应商的报价明显低于其他通过符合性审查供应商的报价，有可能影响产品质量或者不能诚信履约的，</w:t>
      </w:r>
      <w:r>
        <w:rPr>
          <w:rFonts w:hint="eastAsia" w:ascii="宋体" w:hAnsi="宋体" w:eastAsia="宋体" w:cs="宋体"/>
          <w:szCs w:val="21"/>
          <w:highlight w:val="none"/>
        </w:rPr>
        <w:t>磋商小组有权通知磋商供应商限期进行解释。若该磋商供应商未在规定期限内做出解释，或做出的解释不合理并拒绝改变，经磋商小组取得一致意见后，可确定拒绝该报价。</w:t>
      </w:r>
    </w:p>
    <w:p w14:paraId="795E5724">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经磋商确定最终采购需求和提交最后报价的供应商后，由磋商小组采用综合评分法对提交最后报价的供应商的响应文件和最后报价进行综合评分。</w:t>
      </w:r>
    </w:p>
    <w:p w14:paraId="1A9CD69E">
      <w:pPr>
        <w:numPr>
          <w:ilvl w:val="1"/>
          <w:numId w:val="11"/>
        </w:numPr>
        <w:tabs>
          <w:tab w:val="left" w:pos="0"/>
        </w:tabs>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磋商小组根据综合评分情况，按照评审总得分由高到低顺序推荐成交候选供应商，并编写评审报告。评审总得分相同的，按照最后报价由低到高顺序排列；评审总得分且最后报价相同的，由磋商小组按照商务技术得分由高到低顺序推荐；评审总得分、最后报价及商务技术得分均相同时，以政采云响应文件解密先后顺序确定。</w:t>
      </w:r>
    </w:p>
    <w:p w14:paraId="63D507DB">
      <w:pPr>
        <w:numPr>
          <w:ilvl w:val="0"/>
          <w:numId w:val="11"/>
        </w:numPr>
        <w:spacing w:line="360" w:lineRule="auto"/>
        <w:outlineLvl w:val="2"/>
        <w:rPr>
          <w:rFonts w:ascii="宋体" w:hAnsi="宋体" w:eastAsia="宋体" w:cs="宋体"/>
          <w:b/>
          <w:sz w:val="21"/>
          <w:szCs w:val="20"/>
          <w:highlight w:val="none"/>
        </w:rPr>
      </w:pPr>
      <w:bookmarkStart w:id="224" w:name="_Toc30863"/>
      <w:bookmarkStart w:id="225" w:name="_Toc27061"/>
      <w:bookmarkStart w:id="226" w:name="_Toc4489"/>
      <w:bookmarkStart w:id="227" w:name="_Toc11620"/>
      <w:bookmarkStart w:id="228" w:name="_Toc24887"/>
      <w:r>
        <w:rPr>
          <w:rFonts w:hint="eastAsia" w:ascii="宋体" w:hAnsi="宋体" w:eastAsia="宋体" w:cs="宋体"/>
          <w:b/>
          <w:sz w:val="21"/>
          <w:szCs w:val="20"/>
          <w:highlight w:val="none"/>
        </w:rPr>
        <w:t>成交供应商的确定</w:t>
      </w:r>
      <w:bookmarkEnd w:id="224"/>
      <w:bookmarkEnd w:id="225"/>
      <w:bookmarkEnd w:id="226"/>
      <w:bookmarkEnd w:id="227"/>
      <w:bookmarkEnd w:id="228"/>
    </w:p>
    <w:p w14:paraId="36D11946">
      <w:pPr>
        <w:snapToGrid w:val="0"/>
        <w:spacing w:line="360" w:lineRule="auto"/>
        <w:ind w:left="840" w:hanging="840" w:hangingChars="400"/>
        <w:rPr>
          <w:rFonts w:ascii="宋体" w:hAnsi="宋体" w:eastAsia="宋体" w:cs="宋体"/>
          <w:highlight w:val="none"/>
        </w:rPr>
      </w:pPr>
      <w:r>
        <w:rPr>
          <w:rFonts w:hint="eastAsia" w:ascii="宋体" w:hAnsi="宋体" w:eastAsia="宋体" w:cs="宋体"/>
          <w:highlight w:val="none"/>
        </w:rPr>
        <w:t>28.1    采购机构按磋商小组的评审结果，确定第一成交预选供应商为成交供应商，当第一成交预选供应商因故不能成交时，可以确定第二成交预选供应商为成交供应商，以此类推。</w:t>
      </w:r>
    </w:p>
    <w:p w14:paraId="3F742A02">
      <w:pPr>
        <w:snapToGrid w:val="0"/>
        <w:spacing w:line="360" w:lineRule="auto"/>
        <w:ind w:left="840" w:hanging="840" w:hangingChars="400"/>
        <w:rPr>
          <w:rFonts w:ascii="宋体" w:hAnsi="宋体" w:eastAsia="宋体" w:cs="宋体"/>
          <w:highlight w:val="none"/>
        </w:rPr>
      </w:pPr>
      <w:r>
        <w:rPr>
          <w:rFonts w:hint="eastAsia" w:ascii="宋体" w:hAnsi="宋体" w:eastAsia="宋体" w:cs="宋体"/>
          <w:highlight w:val="none"/>
        </w:rPr>
        <w:t>28.2    采购代理机构在成交供应商确定后2个工作日内，在“温州市公共资源交易网—瑞安市分网”</w:t>
      </w:r>
      <w:r>
        <w:rPr>
          <w:rFonts w:hint="eastAsia" w:ascii="宋体" w:hAnsi="宋体" w:eastAsia="宋体" w:cs="宋体"/>
          <w:szCs w:val="22"/>
          <w:highlight w:val="none"/>
        </w:rPr>
        <w:t>（www.ruian.gov.cn）</w:t>
      </w:r>
      <w:r>
        <w:rPr>
          <w:rFonts w:hint="eastAsia" w:ascii="宋体" w:hAnsi="宋体" w:eastAsia="宋体" w:cs="宋体"/>
          <w:highlight w:val="none"/>
        </w:rPr>
        <w:t>及“浙江政府采购网”</w:t>
      </w:r>
      <w:r>
        <w:rPr>
          <w:rFonts w:hint="eastAsia" w:ascii="宋体" w:hAnsi="宋体" w:eastAsia="宋体" w:cs="宋体"/>
          <w:szCs w:val="22"/>
          <w:highlight w:val="none"/>
        </w:rPr>
        <w:t>（zfcg.czt.zj.gov.cn/）</w:t>
      </w:r>
      <w:r>
        <w:rPr>
          <w:rFonts w:hint="eastAsia" w:ascii="宋体" w:hAnsi="宋体" w:eastAsia="宋体" w:cs="宋体"/>
          <w:highlight w:val="none"/>
        </w:rPr>
        <w:t>发布成交结果公告，同时向成交供应商发出成交通知书。</w:t>
      </w:r>
    </w:p>
    <w:p w14:paraId="505D248A">
      <w:pPr>
        <w:numPr>
          <w:ilvl w:val="0"/>
          <w:numId w:val="11"/>
        </w:numPr>
        <w:spacing w:line="360" w:lineRule="auto"/>
        <w:outlineLvl w:val="2"/>
        <w:rPr>
          <w:rFonts w:ascii="宋体" w:hAnsi="宋体" w:eastAsia="宋体" w:cs="宋体"/>
          <w:b/>
          <w:sz w:val="21"/>
          <w:szCs w:val="20"/>
          <w:highlight w:val="none"/>
        </w:rPr>
      </w:pPr>
      <w:bookmarkStart w:id="229" w:name="_Toc5669"/>
      <w:bookmarkStart w:id="230" w:name="_Toc26658"/>
      <w:bookmarkStart w:id="231" w:name="_Toc4528"/>
      <w:bookmarkStart w:id="232" w:name="_Toc4070"/>
      <w:bookmarkStart w:id="233" w:name="_Toc31753"/>
      <w:r>
        <w:rPr>
          <w:rFonts w:hint="eastAsia" w:ascii="宋体" w:hAnsi="宋体" w:eastAsia="宋体" w:cs="宋体"/>
          <w:b/>
          <w:sz w:val="21"/>
          <w:szCs w:val="20"/>
          <w:highlight w:val="none"/>
        </w:rPr>
        <w:t>评标过程保密</w:t>
      </w:r>
      <w:bookmarkEnd w:id="229"/>
      <w:bookmarkEnd w:id="230"/>
      <w:bookmarkEnd w:id="231"/>
      <w:bookmarkEnd w:id="232"/>
      <w:bookmarkEnd w:id="233"/>
    </w:p>
    <w:p w14:paraId="0AA8AC13">
      <w:pPr>
        <w:snapToGrid w:val="0"/>
        <w:spacing w:line="360" w:lineRule="auto"/>
        <w:ind w:left="840" w:hanging="840" w:hangingChars="400"/>
        <w:rPr>
          <w:rFonts w:ascii="宋体" w:hAnsi="宋体" w:eastAsia="宋体" w:cs="宋体"/>
          <w:highlight w:val="none"/>
        </w:rPr>
      </w:pPr>
      <w:r>
        <w:rPr>
          <w:rFonts w:hint="eastAsia" w:ascii="宋体" w:hAnsi="宋体" w:eastAsia="宋体" w:cs="宋体"/>
          <w:highlight w:val="none"/>
        </w:rPr>
        <w:t>29.1    磋商之后，直到授予磋商供应商合同止，凡是属于审查、澄清、评价和比较磋商的有关资料以及授标意向等，均不得向磋商供应商或其他无关的人员透露。</w:t>
      </w:r>
    </w:p>
    <w:p w14:paraId="0E3F7343">
      <w:pPr>
        <w:numPr>
          <w:ilvl w:val="0"/>
          <w:numId w:val="11"/>
        </w:numPr>
        <w:spacing w:line="360" w:lineRule="auto"/>
        <w:outlineLvl w:val="2"/>
        <w:rPr>
          <w:rFonts w:ascii="宋体" w:hAnsi="宋体" w:eastAsia="宋体" w:cs="宋体"/>
          <w:b/>
          <w:sz w:val="21"/>
          <w:szCs w:val="20"/>
          <w:highlight w:val="none"/>
        </w:rPr>
      </w:pPr>
      <w:bookmarkStart w:id="234" w:name="_Toc12275"/>
      <w:bookmarkStart w:id="235" w:name="_Toc3598"/>
      <w:bookmarkStart w:id="236" w:name="_Toc16469"/>
      <w:bookmarkStart w:id="237" w:name="_Toc24591"/>
      <w:bookmarkStart w:id="238" w:name="_Toc1384"/>
      <w:r>
        <w:rPr>
          <w:rFonts w:hint="eastAsia" w:ascii="宋体" w:hAnsi="宋体" w:eastAsia="宋体" w:cs="宋体"/>
          <w:b/>
          <w:sz w:val="21"/>
          <w:szCs w:val="20"/>
          <w:highlight w:val="none"/>
        </w:rPr>
        <w:t>否决任何或所有磋商的权利</w:t>
      </w:r>
      <w:bookmarkEnd w:id="234"/>
      <w:bookmarkEnd w:id="235"/>
      <w:bookmarkEnd w:id="236"/>
      <w:bookmarkEnd w:id="237"/>
      <w:bookmarkEnd w:id="238"/>
    </w:p>
    <w:p w14:paraId="3B1DFC10">
      <w:pPr>
        <w:snapToGrid w:val="0"/>
        <w:spacing w:line="360" w:lineRule="auto"/>
        <w:rPr>
          <w:rFonts w:ascii="宋体" w:hAnsi="宋体" w:eastAsia="宋体" w:cs="宋体"/>
          <w:highlight w:val="none"/>
        </w:rPr>
      </w:pPr>
      <w:r>
        <w:rPr>
          <w:rFonts w:hint="eastAsia" w:ascii="宋体" w:hAnsi="宋体" w:eastAsia="宋体" w:cs="宋体"/>
          <w:highlight w:val="none"/>
        </w:rPr>
        <w:t>30.1    磋商小组经评审，认为所有磋商都不符合磋商文件要求的，可以否决所有磋商。</w:t>
      </w:r>
    </w:p>
    <w:p w14:paraId="3EFA73F2">
      <w:pPr>
        <w:snapToGrid w:val="0"/>
        <w:spacing w:line="360" w:lineRule="auto"/>
        <w:ind w:left="840" w:hanging="840" w:hangingChars="400"/>
        <w:rPr>
          <w:rFonts w:ascii="宋体" w:hAnsi="宋体" w:eastAsia="宋体" w:cs="宋体"/>
          <w:highlight w:val="none"/>
        </w:rPr>
      </w:pPr>
      <w:r>
        <w:rPr>
          <w:rFonts w:hint="eastAsia" w:ascii="宋体" w:hAnsi="宋体" w:eastAsia="宋体" w:cs="宋体"/>
          <w:highlight w:val="none"/>
        </w:rPr>
        <w:t>30.2    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14:paraId="75A80E3D">
      <w:pPr>
        <w:numPr>
          <w:ilvl w:val="0"/>
          <w:numId w:val="11"/>
        </w:numPr>
        <w:spacing w:line="360" w:lineRule="auto"/>
        <w:outlineLvl w:val="2"/>
        <w:rPr>
          <w:rFonts w:ascii="宋体" w:hAnsi="宋体" w:eastAsia="宋体" w:cs="宋体"/>
          <w:b/>
          <w:sz w:val="21"/>
          <w:szCs w:val="20"/>
          <w:highlight w:val="none"/>
        </w:rPr>
      </w:pPr>
      <w:bookmarkStart w:id="239" w:name="_Toc20995"/>
      <w:bookmarkStart w:id="240" w:name="_Toc2511"/>
      <w:bookmarkStart w:id="241" w:name="_Toc32764"/>
      <w:bookmarkStart w:id="242" w:name="_Toc20159"/>
      <w:bookmarkStart w:id="243" w:name="_Toc24726"/>
      <w:r>
        <w:rPr>
          <w:rFonts w:hint="eastAsia" w:ascii="宋体" w:hAnsi="宋体" w:eastAsia="宋体" w:cs="宋体"/>
          <w:b/>
          <w:sz w:val="21"/>
          <w:szCs w:val="20"/>
          <w:highlight w:val="none"/>
        </w:rPr>
        <w:t>质疑与投诉</w:t>
      </w:r>
      <w:bookmarkEnd w:id="239"/>
      <w:bookmarkEnd w:id="240"/>
      <w:bookmarkEnd w:id="241"/>
      <w:bookmarkEnd w:id="242"/>
      <w:bookmarkEnd w:id="243"/>
    </w:p>
    <w:p w14:paraId="30EC82E4">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磋商供应商</w:t>
      </w:r>
      <w:r>
        <w:rPr>
          <w:rFonts w:hint="eastAsia" w:ascii="宋体" w:hAnsi="宋体" w:eastAsia="宋体" w:cs="宋体"/>
          <w:highlight w:val="none"/>
          <w:lang w:val="en-US" w:eastAsia="zh-CN"/>
        </w:rPr>
        <w:t>应</w:t>
      </w:r>
      <w:r>
        <w:rPr>
          <w:rFonts w:hint="eastAsia"/>
          <w:highlight w:val="none"/>
        </w:rPr>
        <w:t>在法定质疑期内一次性提出针对同一采购程序环节的质疑</w:t>
      </w:r>
      <w:r>
        <w:rPr>
          <w:rFonts w:hint="eastAsia"/>
          <w:highlight w:val="none"/>
          <w:lang w:eastAsia="zh-CN"/>
        </w:rPr>
        <w:t>。</w:t>
      </w:r>
    </w:p>
    <w:p w14:paraId="75878EB9">
      <w:pPr>
        <w:numPr>
          <w:ilvl w:val="1"/>
          <w:numId w:val="11"/>
        </w:numPr>
        <w:snapToGrid w:val="0"/>
        <w:spacing w:line="360" w:lineRule="auto"/>
        <w:rPr>
          <w:rFonts w:ascii="宋体" w:hAnsi="宋体" w:eastAsia="宋体" w:cs="宋体"/>
          <w:highlight w:val="none"/>
        </w:rPr>
      </w:pPr>
      <w:r>
        <w:rPr>
          <w:rFonts w:hint="eastAsia" w:ascii="宋体" w:hAnsi="宋体" w:eastAsia="宋体" w:cs="宋体"/>
          <w:highlight w:val="none"/>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14:paraId="41336A93">
      <w:pPr>
        <w:numPr>
          <w:ilvl w:val="1"/>
          <w:numId w:val="11"/>
        </w:numPr>
        <w:snapToGrid w:val="0"/>
        <w:spacing w:line="360" w:lineRule="auto"/>
        <w:rPr>
          <w:rFonts w:ascii="宋体" w:hAnsi="宋体" w:eastAsia="宋体" w:cs="宋体"/>
          <w:szCs w:val="22"/>
          <w:highlight w:val="none"/>
        </w:rPr>
      </w:pPr>
      <w:r>
        <w:rPr>
          <w:rFonts w:hint="eastAsia" w:ascii="宋体" w:hAnsi="宋体" w:eastAsia="宋体" w:cs="宋体"/>
          <w:szCs w:val="22"/>
          <w:highlight w:val="none"/>
        </w:rPr>
        <w:t>质疑、投诉应当采用书面形式，质疑书、投诉书均应明确阐述磋商文件、磋商过程和成交结果中使自己合法权益受到损害的实质性内容，提供相关事实、依据和证据及其来源或线索，便于有关单位调查、答复和处理。</w:t>
      </w:r>
    </w:p>
    <w:p w14:paraId="51F35062">
      <w:pPr>
        <w:numPr>
          <w:ilvl w:val="0"/>
          <w:numId w:val="19"/>
        </w:numPr>
        <w:tabs>
          <w:tab w:val="left" w:pos="425"/>
          <w:tab w:val="left" w:pos="1133"/>
        </w:tabs>
        <w:spacing w:line="360" w:lineRule="auto"/>
        <w:ind w:left="1453" w:leftChars="392" w:hanging="630" w:hangingChars="300"/>
        <w:outlineLvl w:val="3"/>
        <w:rPr>
          <w:rFonts w:ascii="宋体" w:hAnsi="宋体" w:eastAsia="宋体" w:cs="宋体"/>
          <w:highlight w:val="none"/>
        </w:rPr>
      </w:pPr>
      <w:r>
        <w:rPr>
          <w:rFonts w:hint="eastAsia" w:ascii="宋体" w:hAnsi="宋体" w:eastAsia="宋体" w:cs="宋体"/>
          <w:highlight w:val="none"/>
        </w:rPr>
        <w:t>质疑受理机构：浙江综盛项目管理有限公司</w:t>
      </w:r>
    </w:p>
    <w:p w14:paraId="194B6272">
      <w:pPr>
        <w:tabs>
          <w:tab w:val="left" w:pos="425"/>
          <w:tab w:val="left" w:pos="1133"/>
        </w:tabs>
        <w:spacing w:line="360" w:lineRule="auto"/>
        <w:ind w:left="1418"/>
        <w:rPr>
          <w:rFonts w:ascii="宋体" w:hAnsi="宋体" w:eastAsia="宋体" w:cs="宋体"/>
          <w:highlight w:val="none"/>
        </w:rPr>
      </w:pPr>
      <w:r>
        <w:rPr>
          <w:rFonts w:hint="eastAsia" w:ascii="宋体" w:hAnsi="宋体" w:eastAsia="宋体" w:cs="宋体"/>
          <w:highlight w:val="none"/>
        </w:rPr>
        <w:t>受理电话：17826851140，传真：65921160</w:t>
      </w:r>
    </w:p>
    <w:p w14:paraId="27E7F2F1">
      <w:pPr>
        <w:numPr>
          <w:ilvl w:val="0"/>
          <w:numId w:val="19"/>
        </w:numPr>
        <w:tabs>
          <w:tab w:val="left" w:pos="425"/>
          <w:tab w:val="left" w:pos="1133"/>
        </w:tabs>
        <w:spacing w:line="360" w:lineRule="auto"/>
        <w:ind w:left="1453" w:leftChars="392" w:hanging="630" w:hangingChars="300"/>
        <w:outlineLvl w:val="3"/>
        <w:rPr>
          <w:rFonts w:ascii="宋体" w:hAnsi="宋体" w:eastAsia="宋体" w:cs="宋体"/>
          <w:highlight w:val="none"/>
        </w:rPr>
      </w:pPr>
      <w:r>
        <w:rPr>
          <w:rFonts w:hint="eastAsia" w:ascii="宋体" w:hAnsi="宋体" w:eastAsia="宋体" w:cs="宋体"/>
          <w:highlight w:val="none"/>
        </w:rPr>
        <w:t>投诉受理机构：瑞安市财政局（浙江省政府采购行政裁决服务中心（温州））</w:t>
      </w:r>
    </w:p>
    <w:p w14:paraId="6A286E55">
      <w:pPr>
        <w:tabs>
          <w:tab w:val="left" w:pos="425"/>
          <w:tab w:val="left" w:pos="1133"/>
        </w:tabs>
        <w:spacing w:line="360" w:lineRule="auto"/>
        <w:ind w:left="1418"/>
        <w:rPr>
          <w:rFonts w:ascii="宋体" w:hAnsi="宋体" w:eastAsia="宋体" w:cs="宋体"/>
          <w:highlight w:val="none"/>
        </w:rPr>
      </w:pPr>
      <w:r>
        <w:rPr>
          <w:rFonts w:hint="eastAsia" w:ascii="宋体" w:hAnsi="宋体" w:eastAsia="宋体" w:cs="宋体"/>
          <w:highlight w:val="none"/>
        </w:rPr>
        <w:t>投诉地址：温州市鹿城区滨江街道瓯江路展银大厦1606室</w:t>
      </w:r>
    </w:p>
    <w:p w14:paraId="6ADD6BB8">
      <w:pPr>
        <w:tabs>
          <w:tab w:val="left" w:pos="425"/>
          <w:tab w:val="left" w:pos="1133"/>
        </w:tabs>
        <w:spacing w:line="360" w:lineRule="auto"/>
        <w:ind w:left="1418"/>
        <w:rPr>
          <w:rFonts w:ascii="宋体" w:hAnsi="宋体" w:eastAsia="宋体" w:cs="宋体"/>
          <w:highlight w:val="none"/>
        </w:rPr>
      </w:pPr>
      <w:r>
        <w:rPr>
          <w:rFonts w:hint="eastAsia" w:ascii="宋体" w:hAnsi="宋体" w:eastAsia="宋体" w:cs="宋体"/>
          <w:highlight w:val="none"/>
        </w:rPr>
        <w:t>投诉电话：0577-85501561，0577-85501562</w:t>
      </w:r>
    </w:p>
    <w:p w14:paraId="324C8615">
      <w:pPr>
        <w:pStyle w:val="3"/>
        <w:spacing w:before="156" w:beforeLines="50" w:after="156" w:afterLines="50" w:line="360" w:lineRule="auto"/>
        <w:jc w:val="center"/>
        <w:rPr>
          <w:rFonts w:ascii="宋体" w:hAnsi="宋体" w:eastAsia="宋体" w:cs="宋体"/>
          <w:sz w:val="24"/>
          <w:szCs w:val="24"/>
          <w:highlight w:val="none"/>
        </w:rPr>
      </w:pPr>
      <w:bookmarkStart w:id="244" w:name="_Toc18788"/>
      <w:bookmarkStart w:id="245" w:name="_Toc31522"/>
      <w:bookmarkStart w:id="246" w:name="_Toc27017"/>
      <w:bookmarkStart w:id="247" w:name="_Toc13178"/>
      <w:bookmarkStart w:id="248" w:name="_Toc11534"/>
      <w:bookmarkStart w:id="249" w:name="_Toc20783"/>
      <w:bookmarkStart w:id="250" w:name="_Toc29640"/>
      <w:bookmarkStart w:id="251" w:name="_Toc28631"/>
      <w:r>
        <w:rPr>
          <w:rFonts w:hint="eastAsia" w:ascii="宋体" w:hAnsi="宋体" w:eastAsia="宋体" w:cs="宋体"/>
          <w:b/>
          <w:bCs w:val="0"/>
          <w:sz w:val="24"/>
          <w:szCs w:val="24"/>
          <w:highlight w:val="none"/>
        </w:rPr>
        <w:t>（七）授予合同</w:t>
      </w:r>
      <w:bookmarkEnd w:id="244"/>
      <w:bookmarkEnd w:id="245"/>
      <w:bookmarkEnd w:id="246"/>
      <w:bookmarkEnd w:id="247"/>
      <w:bookmarkEnd w:id="248"/>
      <w:bookmarkEnd w:id="249"/>
      <w:bookmarkEnd w:id="250"/>
      <w:bookmarkEnd w:id="251"/>
    </w:p>
    <w:p w14:paraId="6AA1F437">
      <w:pPr>
        <w:numPr>
          <w:ilvl w:val="0"/>
          <w:numId w:val="11"/>
        </w:numPr>
        <w:spacing w:line="360" w:lineRule="auto"/>
        <w:outlineLvl w:val="2"/>
        <w:rPr>
          <w:rFonts w:ascii="宋体" w:hAnsi="宋体" w:eastAsia="宋体" w:cs="宋体"/>
          <w:b/>
          <w:sz w:val="21"/>
          <w:szCs w:val="20"/>
          <w:highlight w:val="none"/>
        </w:rPr>
      </w:pPr>
      <w:bookmarkStart w:id="252" w:name="_Toc15108"/>
      <w:bookmarkStart w:id="253" w:name="_Toc6546"/>
      <w:bookmarkStart w:id="254" w:name="_Toc12586"/>
      <w:bookmarkStart w:id="255" w:name="_Toc29302"/>
      <w:bookmarkStart w:id="256" w:name="_Toc21812"/>
      <w:r>
        <w:rPr>
          <w:rFonts w:hint="eastAsia" w:ascii="宋体" w:hAnsi="宋体" w:eastAsia="宋体" w:cs="宋体"/>
          <w:b/>
          <w:sz w:val="21"/>
          <w:szCs w:val="20"/>
          <w:highlight w:val="none"/>
        </w:rPr>
        <w:t>成交通知</w:t>
      </w:r>
      <w:bookmarkEnd w:id="252"/>
      <w:bookmarkEnd w:id="253"/>
      <w:bookmarkEnd w:id="254"/>
      <w:bookmarkEnd w:id="255"/>
      <w:bookmarkEnd w:id="256"/>
    </w:p>
    <w:p w14:paraId="1283691D">
      <w:pPr>
        <w:numPr>
          <w:ilvl w:val="1"/>
          <w:numId w:val="11"/>
        </w:numPr>
        <w:bidi w:val="0"/>
        <w:spacing w:line="360" w:lineRule="auto"/>
        <w:rPr>
          <w:rFonts w:ascii="宋体" w:hAnsi="宋体" w:eastAsia="宋体" w:cs="宋体"/>
          <w:szCs w:val="22"/>
          <w:highlight w:val="none"/>
        </w:rPr>
      </w:pPr>
      <w:r>
        <w:rPr>
          <w:rFonts w:hint="eastAsia"/>
          <w:highlight w:val="none"/>
        </w:rPr>
        <w:t>在磋商有效期期满之前，采购机构将用书面形式向获接受的成交供应商发出书面的《成交通知书》。《成交通知书》将是合同的一个组成部分。</w:t>
      </w:r>
    </w:p>
    <w:p w14:paraId="044B2353">
      <w:pPr>
        <w:numPr>
          <w:ilvl w:val="0"/>
          <w:numId w:val="11"/>
        </w:numPr>
        <w:spacing w:line="360" w:lineRule="auto"/>
        <w:outlineLvl w:val="2"/>
        <w:rPr>
          <w:rFonts w:ascii="宋体" w:hAnsi="宋体" w:eastAsia="宋体" w:cs="宋体"/>
          <w:b/>
          <w:sz w:val="21"/>
          <w:szCs w:val="20"/>
          <w:highlight w:val="none"/>
        </w:rPr>
      </w:pPr>
      <w:bookmarkStart w:id="257" w:name="_Toc17109"/>
      <w:bookmarkStart w:id="258" w:name="_Toc2160"/>
      <w:bookmarkStart w:id="259" w:name="_Toc1340"/>
      <w:bookmarkStart w:id="260" w:name="_Toc935"/>
      <w:bookmarkStart w:id="261" w:name="_Toc2503"/>
      <w:r>
        <w:rPr>
          <w:rFonts w:hint="eastAsia" w:ascii="宋体" w:hAnsi="宋体" w:eastAsia="宋体" w:cs="宋体"/>
          <w:b/>
          <w:sz w:val="21"/>
          <w:szCs w:val="20"/>
          <w:highlight w:val="none"/>
        </w:rPr>
        <w:t>签订合同</w:t>
      </w:r>
      <w:bookmarkEnd w:id="257"/>
      <w:bookmarkEnd w:id="258"/>
      <w:bookmarkEnd w:id="259"/>
      <w:bookmarkEnd w:id="260"/>
      <w:bookmarkEnd w:id="261"/>
    </w:p>
    <w:p w14:paraId="1099C87E">
      <w:pPr>
        <w:numPr>
          <w:ilvl w:val="1"/>
          <w:numId w:val="11"/>
        </w:numPr>
        <w:bidi w:val="0"/>
        <w:spacing w:line="360" w:lineRule="auto"/>
        <w:rPr>
          <w:highlight w:val="none"/>
        </w:rPr>
      </w:pPr>
      <w:r>
        <w:rPr>
          <w:rFonts w:hint="eastAsia"/>
          <w:highlight w:val="none"/>
        </w:rPr>
        <w:t>磋商文件、成交供应商的磋商响应文件及其澄清文件等，均为签订经济合同的依据。成交供应商自发出成交通知书后30天内与采购人签订合同。</w:t>
      </w:r>
    </w:p>
    <w:p w14:paraId="23458B2B">
      <w:pPr>
        <w:numPr>
          <w:ilvl w:val="1"/>
          <w:numId w:val="11"/>
        </w:numPr>
        <w:bidi w:val="0"/>
        <w:spacing w:line="360" w:lineRule="auto"/>
        <w:rPr>
          <w:highlight w:val="none"/>
        </w:rPr>
      </w:pPr>
      <w:r>
        <w:rPr>
          <w:rFonts w:hint="eastAsia"/>
          <w:highlight w:val="none"/>
        </w:rPr>
        <w:t>成交供应商不遵守磋商文件或磋商书的要约、承诺，擅自修改报价或在发出成交通知书30天内，借故拖延、拒签合同者，采购机构即可消该单位的成交权，另选其它磋商供应商成交。</w:t>
      </w:r>
    </w:p>
    <w:p w14:paraId="7014BA71">
      <w:pPr>
        <w:numPr>
          <w:ilvl w:val="1"/>
          <w:numId w:val="11"/>
        </w:numPr>
        <w:bidi w:val="0"/>
        <w:spacing w:line="360" w:lineRule="auto"/>
        <w:rPr>
          <w:rFonts w:hint="eastAsia"/>
          <w:highlight w:val="none"/>
          <w:lang w:val="en-US" w:eastAsia="zh-CN"/>
        </w:rPr>
      </w:pPr>
      <w:r>
        <w:rPr>
          <w:rFonts w:hint="eastAsia"/>
          <w:highlight w:val="none"/>
          <w:lang w:val="en-US" w:eastAsia="zh-CN"/>
        </w:rPr>
        <w:t>成交供应商不遵守磋商文件或磋商书的要约、承诺，擅自修改报价或在发出成交通知书后，借故拖延、拒签合同者，采购机构取消其成交资格。</w:t>
      </w:r>
    </w:p>
    <w:p w14:paraId="5C90CB13">
      <w:pPr>
        <w:numPr>
          <w:ilvl w:val="1"/>
          <w:numId w:val="11"/>
        </w:numPr>
        <w:bidi w:val="0"/>
        <w:spacing w:line="360" w:lineRule="auto"/>
        <w:rPr>
          <w:rFonts w:hint="default"/>
          <w:highlight w:val="none"/>
          <w:lang w:val="en-US" w:eastAsia="zh-CN"/>
        </w:rPr>
      </w:pPr>
      <w:r>
        <w:rPr>
          <w:rFonts w:hint="default"/>
          <w:highlight w:val="none"/>
          <w:lang w:val="en-US" w:eastAsia="zh-CN"/>
        </w:rPr>
        <w:t>享受扶持政策获得政府采购合同的，小微企业不得将合同分包给大中型企业，中型企业不得将合同分包给大型企业。</w:t>
      </w:r>
    </w:p>
    <w:p w14:paraId="30954017">
      <w:pPr>
        <w:numPr>
          <w:ilvl w:val="0"/>
          <w:numId w:val="11"/>
        </w:numPr>
        <w:spacing w:line="360" w:lineRule="auto"/>
        <w:outlineLvl w:val="2"/>
        <w:rPr>
          <w:rFonts w:ascii="宋体" w:hAnsi="宋体" w:eastAsia="宋体" w:cs="宋体"/>
          <w:b/>
          <w:sz w:val="21"/>
          <w:szCs w:val="20"/>
          <w:highlight w:val="none"/>
        </w:rPr>
      </w:pPr>
      <w:bookmarkStart w:id="262" w:name="_Toc15574"/>
      <w:bookmarkStart w:id="263" w:name="_Toc18817"/>
      <w:bookmarkStart w:id="264" w:name="_Toc15678"/>
      <w:bookmarkStart w:id="265" w:name="_Toc9311"/>
      <w:bookmarkStart w:id="266" w:name="_Toc9215"/>
      <w:r>
        <w:rPr>
          <w:rFonts w:hint="eastAsia" w:ascii="宋体" w:hAnsi="宋体" w:eastAsia="宋体" w:cs="宋体"/>
          <w:b/>
          <w:sz w:val="21"/>
          <w:szCs w:val="20"/>
          <w:highlight w:val="none"/>
        </w:rPr>
        <w:t>代理服务费</w:t>
      </w:r>
      <w:bookmarkEnd w:id="262"/>
      <w:bookmarkEnd w:id="263"/>
      <w:bookmarkEnd w:id="264"/>
      <w:bookmarkEnd w:id="265"/>
      <w:bookmarkEnd w:id="266"/>
    </w:p>
    <w:p w14:paraId="21515241">
      <w:pPr>
        <w:spacing w:line="360" w:lineRule="auto"/>
        <w:ind w:left="840" w:leftChars="400" w:firstLine="420" w:firstLineChars="200"/>
        <w:rPr>
          <w:rFonts w:hint="eastAsia" w:ascii="宋体" w:hAnsi="宋体" w:eastAsia="宋体" w:cs="宋体"/>
          <w:color w:val="000000"/>
          <w:szCs w:val="22"/>
          <w:highlight w:val="none"/>
        </w:rPr>
      </w:pPr>
      <w:r>
        <w:rPr>
          <w:rFonts w:hint="eastAsia" w:ascii="宋体" w:hAnsi="宋体" w:eastAsia="宋体" w:cs="宋体"/>
          <w:color w:val="000000"/>
          <w:szCs w:val="22"/>
          <w:highlight w:val="none"/>
        </w:rPr>
        <w:t>经采购人和代理人双方协商，本次采购代理服务费由中标供应商支付，代理服务费按《招标代理服务收费管理暂行办法》（计价格[2002]1980号）收费标准收取</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lang w:val="en-US" w:eastAsia="zh-CN"/>
        </w:rPr>
        <w:t>不足捌仟元按捌仟元收取，采购代理服务费不在报价中单列，</w:t>
      </w:r>
      <w:r>
        <w:rPr>
          <w:rFonts w:hint="eastAsia" w:ascii="宋体" w:hAnsi="宋体" w:eastAsia="宋体" w:cs="宋体"/>
          <w:color w:val="000000"/>
          <w:szCs w:val="22"/>
          <w:highlight w:val="none"/>
        </w:rPr>
        <w:t>请报价人在报价时予以考虑。</w:t>
      </w:r>
    </w:p>
    <w:p w14:paraId="16E78F8B">
      <w:pPr>
        <w:spacing w:line="360" w:lineRule="auto"/>
        <w:rPr>
          <w:rFonts w:hint="eastAsia" w:ascii="宋体" w:hAnsi="宋体" w:eastAsia="宋体" w:cs="宋体"/>
          <w:color w:val="000000"/>
          <w:szCs w:val="22"/>
          <w:highlight w:val="none"/>
        </w:rPr>
      </w:pPr>
    </w:p>
    <w:p w14:paraId="6FF8F714">
      <w:pPr>
        <w:pStyle w:val="3"/>
        <w:spacing w:before="120" w:beforeLines="50" w:after="120" w:afterLines="50" w:line="360" w:lineRule="auto"/>
        <w:jc w:val="center"/>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（八）验收</w:t>
      </w:r>
    </w:p>
    <w:p w14:paraId="680F67F8">
      <w:pPr>
        <w:numPr>
          <w:ilvl w:val="0"/>
          <w:numId w:val="11"/>
        </w:numPr>
        <w:snapToGrid w:val="0"/>
        <w:spacing w:line="360" w:lineRule="auto"/>
        <w:jc w:val="both"/>
        <w:rPr>
          <w:rFonts w:hint="eastAsia" w:ascii="宋体" w:hAnsi="宋体" w:cs="宋体"/>
          <w:b/>
          <w:color w:val="auto"/>
          <w:sz w:val="24"/>
          <w:szCs w:val="22"/>
          <w:highlight w:val="none"/>
        </w:rPr>
      </w:pPr>
      <w:r>
        <w:rPr>
          <w:rFonts w:hint="eastAsia" w:ascii="宋体" w:hAnsi="宋体" w:cs="宋体"/>
          <w:b/>
          <w:color w:val="auto"/>
          <w:sz w:val="24"/>
          <w:szCs w:val="22"/>
          <w:highlight w:val="none"/>
        </w:rPr>
        <w:t>验收</w:t>
      </w:r>
    </w:p>
    <w:p w14:paraId="0223120C">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采购人组织对供应商履约的验收。大型或者复杂的采购项目，应当邀请国家认可的质量检测机构参加验收工作。验收方成员应当在验收书上签字，并承担相应的法律责任</w:t>
      </w:r>
      <w:r>
        <w:rPr>
          <w:rFonts w:hint="eastAsia" w:ascii="宋体" w:hAnsi="宋体" w:cs="宋体"/>
          <w:color w:val="auto"/>
          <w:szCs w:val="22"/>
          <w:highlight w:val="none"/>
          <w:lang w:eastAsia="zh-CN"/>
        </w:rPr>
        <w:t>。</w:t>
      </w:r>
      <w:r>
        <w:rPr>
          <w:rFonts w:hint="eastAsia" w:ascii="宋体" w:hAnsi="宋体" w:cs="宋体"/>
          <w:color w:val="auto"/>
          <w:szCs w:val="22"/>
          <w:highlight w:val="none"/>
        </w:rPr>
        <w:t>如果发现与合同中要求不符，供应商须承担由此发生的一切损失和费用，并接受相应的处理。</w:t>
      </w:r>
    </w:p>
    <w:p w14:paraId="2969732A">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采购人可以邀请参加本项目的其他供应商或者第三方机构参与验收。参与验收的供应商或者第三方机构的意见作为验收书的参考资料一并存档。</w:t>
      </w:r>
    </w:p>
    <w:p w14:paraId="3DB3F08A">
      <w:pPr>
        <w:numPr>
          <w:ilvl w:val="1"/>
          <w:numId w:val="11"/>
        </w:numPr>
        <w:snapToGrid w:val="0"/>
        <w:spacing w:line="360" w:lineRule="auto"/>
        <w:jc w:val="both"/>
        <w:rPr>
          <w:rFonts w:hint="eastAsia" w:ascii="宋体" w:hAnsi="宋体" w:cs="宋体"/>
          <w:color w:val="auto"/>
          <w:szCs w:val="22"/>
          <w:highlight w:val="none"/>
        </w:rPr>
      </w:pPr>
      <w:r>
        <w:rPr>
          <w:rFonts w:hint="eastAsia" w:ascii="宋体" w:hAnsi="宋体" w:cs="宋体"/>
          <w:color w:val="auto"/>
          <w:szCs w:val="22"/>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担保返还条件挂钩。履约验收的各项资料应当存档备查。</w:t>
      </w:r>
    </w:p>
    <w:p w14:paraId="6388EA98">
      <w:pPr>
        <w:spacing w:line="360" w:lineRule="auto"/>
        <w:ind w:left="840" w:hanging="840" w:hangingChars="400"/>
        <w:rPr>
          <w:rFonts w:hint="eastAsia" w:ascii="宋体" w:hAnsi="宋体" w:eastAsia="宋体" w:cs="宋体"/>
          <w:color w:val="000000"/>
          <w:szCs w:val="22"/>
          <w:highlight w:val="none"/>
        </w:rPr>
      </w:pPr>
      <w:r>
        <w:rPr>
          <w:rFonts w:hint="eastAsia" w:ascii="宋体" w:hAnsi="宋体" w:cs="宋体"/>
          <w:color w:val="auto"/>
          <w:szCs w:val="22"/>
          <w:highlight w:val="none"/>
          <w:lang w:val="en-US" w:eastAsia="zh-CN"/>
        </w:rPr>
        <w:t xml:space="preserve">35.4    </w:t>
      </w:r>
      <w:r>
        <w:rPr>
          <w:rFonts w:hint="eastAsia" w:ascii="宋体" w:hAnsi="宋体" w:cs="宋体"/>
          <w:color w:val="auto"/>
          <w:szCs w:val="22"/>
          <w:highlight w:val="none"/>
        </w:rPr>
        <w:t>验收合格的项目，采购人将根据采购合同的约定及时向供应商支付采购资金、退还履约担保。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szCs w:val="22"/>
          <w:highlight w:val="none"/>
          <w:lang w:eastAsia="zh-CN"/>
        </w:rPr>
        <w:t>。</w:t>
      </w:r>
    </w:p>
    <w:p w14:paraId="2C101970">
      <w:pPr>
        <w:pStyle w:val="2"/>
        <w:keepNext w:val="0"/>
        <w:keepLines w:val="0"/>
        <w:spacing w:after="156" w:afterLines="50" w:line="400" w:lineRule="exact"/>
        <w:jc w:val="center"/>
        <w:rPr>
          <w:rFonts w:hint="eastAsia" w:hAnsi="宋体" w:eastAsia="宋体" w:cs="宋体"/>
          <w:sz w:val="28"/>
          <w:szCs w:val="36"/>
          <w:highlight w:val="none"/>
        </w:rPr>
      </w:pPr>
    </w:p>
    <w:p w14:paraId="21867BE1">
      <w:pPr>
        <w:pStyle w:val="2"/>
        <w:keepNext w:val="0"/>
        <w:keepLines w:val="0"/>
        <w:spacing w:after="156" w:afterLines="50" w:line="400" w:lineRule="exact"/>
        <w:jc w:val="center"/>
        <w:rPr>
          <w:rFonts w:hint="eastAsia" w:hAnsi="宋体" w:eastAsia="宋体" w:cs="宋体"/>
          <w:sz w:val="28"/>
          <w:szCs w:val="36"/>
          <w:highlight w:val="none"/>
        </w:rPr>
      </w:pPr>
    </w:p>
    <w:p w14:paraId="2028290A">
      <w:pPr>
        <w:pStyle w:val="2"/>
        <w:keepNext w:val="0"/>
        <w:keepLines w:val="0"/>
        <w:spacing w:after="156" w:afterLines="50" w:line="400" w:lineRule="exact"/>
        <w:jc w:val="center"/>
        <w:rPr>
          <w:rFonts w:hint="eastAsia" w:hAnsi="宋体" w:eastAsia="宋体" w:cs="宋体"/>
          <w:sz w:val="28"/>
          <w:szCs w:val="36"/>
          <w:highlight w:val="none"/>
        </w:rPr>
      </w:pPr>
    </w:p>
    <w:p w14:paraId="3111B2FE">
      <w:pPr>
        <w:pStyle w:val="2"/>
        <w:keepNext w:val="0"/>
        <w:keepLines w:val="0"/>
        <w:spacing w:after="156" w:afterLines="50" w:line="400" w:lineRule="exact"/>
        <w:jc w:val="center"/>
        <w:rPr>
          <w:rFonts w:hint="eastAsia" w:hAnsi="宋体" w:eastAsia="宋体" w:cs="宋体"/>
          <w:sz w:val="28"/>
          <w:szCs w:val="36"/>
          <w:highlight w:val="none"/>
        </w:rPr>
      </w:pPr>
    </w:p>
    <w:p w14:paraId="59EFE6D7">
      <w:pPr>
        <w:pStyle w:val="2"/>
        <w:keepNext w:val="0"/>
        <w:keepLines w:val="0"/>
        <w:spacing w:after="156" w:afterLines="50" w:line="400" w:lineRule="exact"/>
        <w:jc w:val="center"/>
        <w:rPr>
          <w:rFonts w:hAnsi="宋体" w:eastAsia="宋体" w:cs="宋体"/>
          <w:sz w:val="28"/>
          <w:szCs w:val="36"/>
          <w:highlight w:val="none"/>
        </w:rPr>
      </w:pPr>
      <w:r>
        <w:rPr>
          <w:rFonts w:hint="eastAsia" w:hAnsi="宋体" w:eastAsia="宋体" w:cs="宋体"/>
          <w:sz w:val="28"/>
          <w:szCs w:val="36"/>
          <w:highlight w:val="none"/>
        </w:rPr>
        <w:t>第三部分  竞争性磋商内容及要求</w:t>
      </w:r>
    </w:p>
    <w:p w14:paraId="36E6B9DF">
      <w:pPr>
        <w:tabs>
          <w:tab w:val="left" w:pos="927"/>
        </w:tabs>
        <w:snapToGrid w:val="0"/>
        <w:spacing w:before="156" w:beforeLines="50" w:after="156" w:afterLines="50" w:line="420" w:lineRule="exact"/>
        <w:jc w:val="center"/>
        <w:outlineLvl w:val="1"/>
        <w:rPr>
          <w:rFonts w:ascii="宋体" w:hAnsi="宋体" w:eastAsia="宋体" w:cs="宋体"/>
          <w:b/>
          <w:sz w:val="24"/>
          <w:highlight w:val="none"/>
        </w:rPr>
      </w:pPr>
      <w:bookmarkStart w:id="267" w:name="_Toc17649"/>
      <w:bookmarkStart w:id="268" w:name="_Toc23936"/>
      <w:bookmarkStart w:id="269" w:name="_Toc7616"/>
      <w:r>
        <w:rPr>
          <w:rFonts w:hint="eastAsia" w:ascii="宋体" w:hAnsi="宋体" w:eastAsia="宋体" w:cs="宋体"/>
          <w:b/>
          <w:bCs/>
          <w:sz w:val="24"/>
          <w:highlight w:val="none"/>
        </w:rPr>
        <w:t>（一）概述</w:t>
      </w:r>
      <w:bookmarkEnd w:id="267"/>
      <w:bookmarkEnd w:id="268"/>
      <w:bookmarkEnd w:id="269"/>
    </w:p>
    <w:p w14:paraId="5C93D714">
      <w:pPr>
        <w:bidi w:val="0"/>
        <w:spacing w:line="360" w:lineRule="auto"/>
        <w:rPr>
          <w:highlight w:val="none"/>
        </w:rPr>
      </w:pPr>
      <w:r>
        <w:rPr>
          <w:rFonts w:hint="eastAsia"/>
          <w:highlight w:val="none"/>
        </w:rPr>
        <w:t>1、每个磋商供应商必须完成采购内容和合同规定义务，不允许只对部分内容进行报价。</w:t>
      </w:r>
    </w:p>
    <w:p w14:paraId="3C164294">
      <w:pPr>
        <w:bidi w:val="0"/>
        <w:spacing w:line="360" w:lineRule="auto"/>
        <w:rPr>
          <w:highlight w:val="none"/>
        </w:rPr>
      </w:pPr>
      <w:r>
        <w:rPr>
          <w:rFonts w:hint="eastAsia"/>
          <w:highlight w:val="none"/>
        </w:rPr>
        <w:t>2、现场踏勘</w:t>
      </w:r>
      <w:r>
        <w:rPr>
          <w:rFonts w:hint="eastAsia"/>
          <w:highlight w:val="none"/>
          <w:lang w:eastAsia="zh-CN"/>
        </w:rPr>
        <w:t>（</w:t>
      </w:r>
      <w:r>
        <w:rPr>
          <w:rFonts w:hint="eastAsia"/>
          <w:highlight w:val="none"/>
          <w:lang w:val="en-US" w:eastAsia="zh-CN"/>
        </w:rPr>
        <w:t>如有</w:t>
      </w:r>
      <w:r>
        <w:rPr>
          <w:rFonts w:hint="eastAsia"/>
          <w:highlight w:val="none"/>
          <w:lang w:eastAsia="zh-CN"/>
        </w:rPr>
        <w:t>）</w:t>
      </w:r>
      <w:r>
        <w:rPr>
          <w:rFonts w:hint="eastAsia"/>
          <w:highlight w:val="none"/>
        </w:rPr>
        <w:t>：各磋商供应商于磋商截止时间前自行到现场进行踏勘，以获取本次磋商所需的现场资料及数据，磋商人若未到现场踏勘，引起的一切后果均由其自行负责，由此造成投标价的偏差均不予调整。现场踏勘费用自理。</w:t>
      </w:r>
    </w:p>
    <w:p w14:paraId="25CF8A76">
      <w:pPr>
        <w:bidi w:val="0"/>
        <w:spacing w:line="360" w:lineRule="auto"/>
        <w:rPr>
          <w:rFonts w:hint="eastAsia"/>
          <w:highlight w:val="none"/>
        </w:rPr>
      </w:pPr>
      <w:r>
        <w:rPr>
          <w:rFonts w:hint="eastAsia"/>
          <w:highlight w:val="none"/>
        </w:rPr>
        <w:t>3、磋商供应商需按磋商文件的要求完成采购服务工作。按工作顺序提交所需的无论其是否被明细列在合同文件中的所有资料，提供的服务必须满足磋商文件中提出的相关要求。</w:t>
      </w:r>
    </w:p>
    <w:p w14:paraId="48613F21">
      <w:pPr>
        <w:bidi w:val="0"/>
        <w:spacing w:line="360" w:lineRule="auto"/>
        <w:rPr>
          <w:rFonts w:hint="eastAsia"/>
          <w:highlight w:val="none"/>
        </w:rPr>
      </w:pPr>
      <w:r>
        <w:rPr>
          <w:rFonts w:hint="eastAsia"/>
          <w:highlight w:val="none"/>
          <w:lang w:val="en-US" w:eastAsia="zh-CN"/>
        </w:rPr>
        <w:t>4</w:t>
      </w:r>
      <w:r>
        <w:rPr>
          <w:rFonts w:hint="eastAsia"/>
          <w:highlight w:val="none"/>
        </w:rPr>
        <w:t>、在报价之前，磋商供应商须仔细阅读磋商文件，如发现有任何疑问、冲突或技术问题，磋商供应商须在答疑截止时间前以书面形式向采购代理机构提出。逾期采购人不再作答复，有关风险及责任由磋商供应商自行承担。</w:t>
      </w:r>
    </w:p>
    <w:p w14:paraId="4103B647">
      <w:pPr>
        <w:bidi w:val="0"/>
        <w:spacing w:line="360" w:lineRule="auto"/>
        <w:rPr>
          <w:rFonts w:hint="eastAsia"/>
          <w:highlight w:val="none"/>
          <w:lang w:val="en-US" w:eastAsia="zh-CN"/>
        </w:rPr>
      </w:pPr>
      <w:r>
        <w:rPr>
          <w:rFonts w:hint="eastAsia"/>
          <w:highlight w:val="none"/>
          <w:lang w:val="en-US" w:eastAsia="zh-CN"/>
        </w:rPr>
        <w:t>5、鼓励在采购活动中允许中小企业引入信用担保手段，为中小企业在投标（响应）保证、履约保证等方面提供专业化服务。鼓励中小企业依法合规通过政府采购合同融资。</w:t>
      </w:r>
    </w:p>
    <w:p w14:paraId="59795C6E">
      <w:pPr>
        <w:bidi w:val="0"/>
        <w:spacing w:line="360" w:lineRule="auto"/>
        <w:rPr>
          <w:rFonts w:hint="eastAsia"/>
          <w:highlight w:val="none"/>
        </w:rPr>
      </w:pPr>
      <w:r>
        <w:rPr>
          <w:rFonts w:hint="eastAsia"/>
          <w:highlight w:val="none"/>
          <w:lang w:val="en-US" w:eastAsia="zh-CN"/>
        </w:rPr>
        <w:t>6</w:t>
      </w:r>
      <w:r>
        <w:rPr>
          <w:rFonts w:hint="eastAsia"/>
          <w:highlight w:val="none"/>
        </w:rPr>
        <w:t>、磋商供应商须对磋商文件中各个条款一一给予实质性答复，否则有可能导致作无效标处理。</w:t>
      </w:r>
    </w:p>
    <w:p w14:paraId="2B89D0AF">
      <w:pPr>
        <w:numPr>
          <w:ilvl w:val="0"/>
          <w:numId w:val="0"/>
        </w:numPr>
        <w:spacing w:line="360" w:lineRule="auto"/>
        <w:jc w:val="both"/>
        <w:rPr>
          <w:rFonts w:hint="eastAsia"/>
          <w:highlight w:val="none"/>
          <w:lang w:val="en-US" w:eastAsia="zh-CN"/>
        </w:rPr>
      </w:pPr>
      <w:r>
        <w:rPr>
          <w:rFonts w:hint="eastAsia"/>
          <w:highlight w:val="none"/>
          <w:lang w:val="en-US" w:eastAsia="zh-CN"/>
        </w:rPr>
        <w:t>7、此份采购内容及技术要求是磋商文件的一部分，包括所有条款的具体说明及技术要求，磋商供应商需在各自技术和商务占优势的基础上对本次采购的服务（货物或工程）进行报价。</w:t>
      </w:r>
    </w:p>
    <w:p w14:paraId="55B5F302">
      <w:pPr>
        <w:spacing w:line="360" w:lineRule="auto"/>
        <w:rPr>
          <w:rFonts w:hint="eastAsia" w:ascii="宋体" w:hAnsi="宋体" w:eastAsia="宋体" w:cs="宋体"/>
          <w:color w:val="000000"/>
          <w:szCs w:val="22"/>
          <w:highlight w:val="none"/>
        </w:rPr>
      </w:pPr>
    </w:p>
    <w:p w14:paraId="1F818E25">
      <w:pPr>
        <w:spacing w:line="360" w:lineRule="auto"/>
        <w:rPr>
          <w:rFonts w:hint="eastAsia" w:ascii="宋体" w:hAnsi="宋体" w:eastAsia="宋体" w:cs="宋体"/>
          <w:color w:val="000000"/>
          <w:szCs w:val="22"/>
          <w:highlight w:val="none"/>
        </w:rPr>
      </w:pPr>
    </w:p>
    <w:p w14:paraId="3A65B246">
      <w:pPr>
        <w:spacing w:line="360" w:lineRule="auto"/>
        <w:rPr>
          <w:rFonts w:hint="eastAsia" w:ascii="宋体" w:hAnsi="宋体" w:eastAsia="宋体" w:cs="宋体"/>
          <w:color w:val="000000"/>
          <w:szCs w:val="22"/>
          <w:highlight w:val="none"/>
        </w:rPr>
      </w:pPr>
    </w:p>
    <w:p w14:paraId="7BA0B51B">
      <w:pPr>
        <w:spacing w:line="360" w:lineRule="auto"/>
        <w:rPr>
          <w:rFonts w:hint="eastAsia" w:ascii="宋体" w:hAnsi="宋体" w:eastAsia="宋体" w:cs="宋体"/>
          <w:color w:val="000000"/>
          <w:szCs w:val="22"/>
          <w:highlight w:val="none"/>
        </w:rPr>
      </w:pPr>
    </w:p>
    <w:p w14:paraId="4DDCD155">
      <w:pPr>
        <w:spacing w:line="360" w:lineRule="auto"/>
        <w:rPr>
          <w:rFonts w:hint="eastAsia" w:ascii="宋体" w:hAnsi="宋体" w:eastAsia="宋体" w:cs="宋体"/>
          <w:color w:val="000000"/>
          <w:szCs w:val="22"/>
          <w:highlight w:val="none"/>
        </w:rPr>
      </w:pPr>
    </w:p>
    <w:p w14:paraId="2EA337BF">
      <w:pPr>
        <w:spacing w:line="360" w:lineRule="auto"/>
        <w:rPr>
          <w:rFonts w:hint="eastAsia" w:ascii="宋体" w:hAnsi="宋体" w:eastAsia="宋体" w:cs="宋体"/>
          <w:color w:val="000000"/>
          <w:szCs w:val="22"/>
          <w:highlight w:val="none"/>
        </w:rPr>
      </w:pPr>
    </w:p>
    <w:p w14:paraId="18CFB2C4">
      <w:pPr>
        <w:spacing w:line="360" w:lineRule="auto"/>
        <w:rPr>
          <w:rFonts w:hint="eastAsia" w:ascii="宋体" w:hAnsi="宋体" w:eastAsia="宋体" w:cs="宋体"/>
          <w:color w:val="000000"/>
          <w:szCs w:val="22"/>
          <w:highlight w:val="none"/>
        </w:rPr>
      </w:pPr>
    </w:p>
    <w:p w14:paraId="2644DF72">
      <w:pPr>
        <w:spacing w:line="360" w:lineRule="auto"/>
        <w:rPr>
          <w:rFonts w:hint="eastAsia" w:ascii="宋体" w:hAnsi="宋体" w:eastAsia="宋体" w:cs="宋体"/>
          <w:color w:val="000000"/>
          <w:szCs w:val="22"/>
          <w:highlight w:val="none"/>
        </w:rPr>
      </w:pPr>
    </w:p>
    <w:p w14:paraId="30F12C5B">
      <w:pPr>
        <w:spacing w:line="360" w:lineRule="auto"/>
        <w:rPr>
          <w:rFonts w:hint="eastAsia" w:ascii="宋体" w:hAnsi="宋体" w:eastAsia="宋体" w:cs="宋体"/>
          <w:color w:val="000000"/>
          <w:szCs w:val="22"/>
          <w:highlight w:val="none"/>
        </w:rPr>
      </w:pPr>
    </w:p>
    <w:p w14:paraId="2183DD4E">
      <w:pPr>
        <w:spacing w:line="360" w:lineRule="auto"/>
        <w:rPr>
          <w:rFonts w:hint="eastAsia" w:ascii="宋体" w:hAnsi="宋体" w:eastAsia="宋体" w:cs="宋体"/>
          <w:color w:val="000000"/>
          <w:szCs w:val="22"/>
          <w:highlight w:val="none"/>
        </w:rPr>
      </w:pPr>
    </w:p>
    <w:p w14:paraId="3E37C736">
      <w:pPr>
        <w:spacing w:line="360" w:lineRule="auto"/>
        <w:rPr>
          <w:rFonts w:hint="eastAsia" w:ascii="宋体" w:hAnsi="宋体" w:eastAsia="宋体" w:cs="宋体"/>
          <w:color w:val="000000"/>
          <w:szCs w:val="22"/>
          <w:highlight w:val="none"/>
        </w:rPr>
      </w:pPr>
    </w:p>
    <w:p w14:paraId="35DC92DF">
      <w:pPr>
        <w:pStyle w:val="2"/>
        <w:rPr>
          <w:rFonts w:hint="eastAsia"/>
          <w:highlight w:val="none"/>
        </w:rPr>
      </w:pPr>
    </w:p>
    <w:p w14:paraId="21BE2C8C">
      <w:pPr>
        <w:pStyle w:val="9"/>
        <w:ind w:left="0" w:leftChars="0" w:firstLine="0" w:firstLineChars="0"/>
        <w:rPr>
          <w:rFonts w:hint="eastAsia"/>
          <w:highlight w:val="none"/>
        </w:rPr>
      </w:pPr>
    </w:p>
    <w:p w14:paraId="6D89F110">
      <w:pPr>
        <w:keepNext w:val="0"/>
        <w:keepLines w:val="0"/>
        <w:pageBreakBefore w:val="0"/>
        <w:widowControl/>
        <w:tabs>
          <w:tab w:val="left" w:pos="927"/>
        </w:tabs>
        <w:kinsoku/>
        <w:wordWrap/>
        <w:overflowPunct/>
        <w:topLinePunct w:val="0"/>
        <w:autoSpaceDE/>
        <w:autoSpaceDN/>
        <w:bidi w:val="0"/>
        <w:adjustRightInd/>
        <w:snapToGrid w:val="0"/>
        <w:spacing w:line="360" w:lineRule="auto"/>
        <w:ind w:left="4056" w:leftChars="146" w:hanging="3749" w:hangingChars="1556"/>
        <w:jc w:val="center"/>
        <w:outlineLvl w:val="1"/>
        <w:rPr>
          <w:rFonts w:hint="eastAsia" w:asciiTheme="majorEastAsia" w:hAnsiTheme="majorEastAsia" w:eastAsiaTheme="majorEastAsia" w:cstheme="majorEastAsia"/>
          <w:color w:val="auto"/>
          <w:sz w:val="24"/>
          <w:szCs w:val="24"/>
          <w:highlight w:val="none"/>
        </w:rPr>
      </w:pPr>
      <w:bookmarkStart w:id="270" w:name="_Toc15830"/>
      <w:r>
        <w:rPr>
          <w:rFonts w:hint="eastAsia" w:ascii="宋体"/>
          <w:b/>
          <w:bCs/>
          <w:sz w:val="24"/>
          <w:szCs w:val="24"/>
          <w:highlight w:val="none"/>
        </w:rPr>
        <w:t>（二）</w:t>
      </w:r>
      <w:r>
        <w:rPr>
          <w:rFonts w:hint="eastAsia"/>
          <w:b/>
          <w:bCs/>
          <w:sz w:val="24"/>
          <w:szCs w:val="24"/>
          <w:highlight w:val="none"/>
        </w:rPr>
        <w:t>采购内容及要求</w:t>
      </w:r>
      <w:bookmarkEnd w:id="270"/>
    </w:p>
    <w:p w14:paraId="4464A87A">
      <w:pPr>
        <w:numPr>
          <w:ilvl w:val="0"/>
          <w:numId w:val="0"/>
        </w:numPr>
        <w:tabs>
          <w:tab w:val="left" w:pos="425"/>
        </w:tabs>
        <w:snapToGrid w:val="0"/>
        <w:spacing w:line="360" w:lineRule="auto"/>
        <w:ind w:leftChars="0"/>
        <w:jc w:val="both"/>
        <w:outlineLvl w:val="3"/>
        <w:rPr>
          <w:rFonts w:hint="eastAsia" w:ascii="宋体" w:hAnsi="宋体" w:eastAsia="宋体" w:cs="宋体"/>
          <w:bCs/>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lang w:eastAsia="zh-CN"/>
        </w:rPr>
        <w:t>瑞安市水库堤防白蚁等害堤动物普查与防治项目</w:t>
      </w:r>
      <w:r>
        <w:rPr>
          <w:rFonts w:hint="eastAsia" w:ascii="宋体" w:hAnsi="宋体" w:eastAsia="宋体" w:cs="宋体"/>
          <w:color w:val="auto"/>
          <w:szCs w:val="21"/>
          <w:highlight w:val="none"/>
        </w:rPr>
        <w:t>。</w:t>
      </w:r>
    </w:p>
    <w:p w14:paraId="0B9E92E5">
      <w:pPr>
        <w:numPr>
          <w:ilvl w:val="0"/>
          <w:numId w:val="0"/>
        </w:numPr>
        <w:tabs>
          <w:tab w:val="left" w:pos="425"/>
        </w:tabs>
        <w:snapToGrid w:val="0"/>
        <w:spacing w:line="360" w:lineRule="auto"/>
        <w:ind w:leftChars="0"/>
        <w:jc w:val="both"/>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背景</w:t>
      </w:r>
      <w:r>
        <w:rPr>
          <w:rFonts w:hint="eastAsia" w:ascii="宋体" w:hAnsi="宋体" w:eastAsia="宋体" w:cs="宋体"/>
          <w:b/>
          <w:bCs/>
          <w:color w:val="auto"/>
          <w:highlight w:val="none"/>
        </w:rPr>
        <w:t>：</w:t>
      </w:r>
    </w:p>
    <w:p w14:paraId="5C985392">
      <w:pPr>
        <w:numPr>
          <w:ilvl w:val="0"/>
          <w:numId w:val="0"/>
        </w:numPr>
        <w:tabs>
          <w:tab w:val="left" w:pos="425"/>
        </w:tabs>
        <w:snapToGrid w:val="0"/>
        <w:spacing w:line="360" w:lineRule="auto"/>
        <w:ind w:leftChars="0" w:firstLine="420" w:firstLineChars="200"/>
        <w:jc w:val="both"/>
        <w:rPr>
          <w:rFonts w:hint="eastAsia" w:ascii="Arial" w:hAnsi="Arial" w:cs="Arial"/>
          <w:bCs/>
          <w:color w:val="auto"/>
          <w:szCs w:val="21"/>
          <w:highlight w:val="none"/>
          <w:lang w:eastAsia="zh-CN"/>
        </w:rPr>
      </w:pPr>
      <w:r>
        <w:rPr>
          <w:rFonts w:hint="eastAsia" w:ascii="Arial" w:hAnsi="Arial" w:cs="Arial"/>
          <w:bCs/>
          <w:color w:val="auto"/>
          <w:szCs w:val="21"/>
          <w:highlight w:val="none"/>
          <w:lang w:eastAsia="zh-CN"/>
        </w:rPr>
        <w:t>根据《关于做好水利工程白蚁等害堤动物隐患应急整治工作的通知》（办运管〔2023〕119号）、《水利工程白蚁防治工作指导意见》、《浙江省水利厅关于深化落实“六个一”机制进一步加强水利工程蚁患防治工作的通知》（浙水运管〔2024〕4 号）、《浙江省水利厅 浙江省财政厅关于印发浙江省水利工程维修养护定额标准（白蚁防治部分）的通知》（浙水运管〔2023〕19 号）等文件要求，各地高度重视白蚁等害堤动物防治，抓紧开展白蚁等害堤动物隐患应急整治，建立完善白蚁等害堤动物防治长效机制。</w:t>
      </w:r>
    </w:p>
    <w:p w14:paraId="7C4D9E8A">
      <w:pPr>
        <w:numPr>
          <w:ilvl w:val="0"/>
          <w:numId w:val="0"/>
        </w:numPr>
        <w:tabs>
          <w:tab w:val="left" w:pos="425"/>
        </w:tabs>
        <w:snapToGrid w:val="0"/>
        <w:spacing w:line="360" w:lineRule="auto"/>
        <w:ind w:leftChars="0"/>
        <w:jc w:val="both"/>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3、服务内容：</w:t>
      </w:r>
    </w:p>
    <w:tbl>
      <w:tblPr>
        <w:tblStyle w:val="2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77"/>
        <w:gridCol w:w="789"/>
        <w:gridCol w:w="1900"/>
        <w:gridCol w:w="3231"/>
      </w:tblGrid>
      <w:tr w14:paraId="6B80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0CF16DD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序号</w:t>
            </w:r>
          </w:p>
        </w:tc>
        <w:tc>
          <w:tcPr>
            <w:tcW w:w="2877" w:type="dxa"/>
            <w:shd w:val="clear" w:color="auto" w:fill="auto"/>
            <w:vAlign w:val="center"/>
          </w:tcPr>
          <w:p w14:paraId="2456E1F3">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项目内容</w:t>
            </w:r>
          </w:p>
        </w:tc>
        <w:tc>
          <w:tcPr>
            <w:tcW w:w="789" w:type="dxa"/>
            <w:shd w:val="clear" w:color="auto" w:fill="auto"/>
            <w:vAlign w:val="center"/>
          </w:tcPr>
          <w:p w14:paraId="6B92140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单位</w:t>
            </w:r>
          </w:p>
        </w:tc>
        <w:tc>
          <w:tcPr>
            <w:tcW w:w="1900" w:type="dxa"/>
            <w:shd w:val="clear" w:color="auto" w:fill="auto"/>
            <w:vAlign w:val="center"/>
          </w:tcPr>
          <w:p w14:paraId="04D656C3">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最高综合单价限价（元）</w:t>
            </w:r>
          </w:p>
        </w:tc>
        <w:tc>
          <w:tcPr>
            <w:tcW w:w="3231" w:type="dxa"/>
            <w:shd w:val="clear" w:color="auto" w:fill="auto"/>
            <w:vAlign w:val="center"/>
          </w:tcPr>
          <w:p w14:paraId="3268E7FB">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说明</w:t>
            </w:r>
          </w:p>
        </w:tc>
      </w:tr>
      <w:tr w14:paraId="36CF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87" w:type="dxa"/>
            <w:shd w:val="clear" w:color="auto" w:fill="auto"/>
            <w:vAlign w:val="center"/>
          </w:tcPr>
          <w:p w14:paraId="72CCCBDF">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w:t>
            </w:r>
          </w:p>
        </w:tc>
        <w:tc>
          <w:tcPr>
            <w:tcW w:w="2877" w:type="dxa"/>
            <w:shd w:val="clear" w:color="auto" w:fill="auto"/>
            <w:vAlign w:val="center"/>
          </w:tcPr>
          <w:p w14:paraId="7BE71DD3">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现场勘查和防治（土坝）</w:t>
            </w:r>
          </w:p>
        </w:tc>
        <w:tc>
          <w:tcPr>
            <w:tcW w:w="789" w:type="dxa"/>
            <w:shd w:val="clear" w:color="auto" w:fill="auto"/>
            <w:vAlign w:val="center"/>
          </w:tcPr>
          <w:p w14:paraId="52323248">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座</w:t>
            </w:r>
          </w:p>
        </w:tc>
        <w:tc>
          <w:tcPr>
            <w:tcW w:w="1900" w:type="dxa"/>
            <w:shd w:val="clear" w:color="auto" w:fill="auto"/>
            <w:vAlign w:val="center"/>
          </w:tcPr>
          <w:p w14:paraId="41991491">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2500</w:t>
            </w:r>
          </w:p>
        </w:tc>
        <w:tc>
          <w:tcPr>
            <w:tcW w:w="3231" w:type="dxa"/>
            <w:shd w:val="clear" w:color="auto" w:fill="auto"/>
            <w:vAlign w:val="center"/>
          </w:tcPr>
          <w:p w14:paraId="06EF1E93">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普查次数一年至少3次，含覆盖式喷药</w:t>
            </w:r>
          </w:p>
        </w:tc>
      </w:tr>
      <w:tr w14:paraId="3EE7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87" w:type="dxa"/>
            <w:shd w:val="clear" w:color="auto" w:fill="auto"/>
            <w:vAlign w:val="center"/>
          </w:tcPr>
          <w:p w14:paraId="49BD0684">
            <w:pPr>
              <w:bidi w:val="0"/>
              <w:spacing w:line="360" w:lineRule="auto"/>
              <w:jc w:val="center"/>
              <w:rPr>
                <w:highlight w:val="none"/>
              </w:rPr>
            </w:pPr>
            <w:r>
              <w:rPr>
                <w:rFonts w:hint="eastAsia"/>
                <w:highlight w:val="none"/>
                <w:vertAlign w:val="baseline"/>
                <w:lang w:val="en-US" w:eastAsia="zh-CN"/>
              </w:rPr>
              <w:t>2</w:t>
            </w:r>
          </w:p>
        </w:tc>
        <w:tc>
          <w:tcPr>
            <w:tcW w:w="2877" w:type="dxa"/>
            <w:shd w:val="clear" w:color="auto" w:fill="auto"/>
            <w:vAlign w:val="center"/>
          </w:tcPr>
          <w:p w14:paraId="274C167F">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现场勘查和防治（拱坝）</w:t>
            </w:r>
          </w:p>
        </w:tc>
        <w:tc>
          <w:tcPr>
            <w:tcW w:w="789" w:type="dxa"/>
            <w:shd w:val="clear" w:color="auto" w:fill="auto"/>
            <w:vAlign w:val="center"/>
          </w:tcPr>
          <w:p w14:paraId="40CD1D0C">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座</w:t>
            </w:r>
          </w:p>
        </w:tc>
        <w:tc>
          <w:tcPr>
            <w:tcW w:w="1900" w:type="dxa"/>
            <w:shd w:val="clear" w:color="auto" w:fill="auto"/>
            <w:vAlign w:val="center"/>
          </w:tcPr>
          <w:p w14:paraId="5F77CF5F">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1000</w:t>
            </w:r>
          </w:p>
        </w:tc>
        <w:tc>
          <w:tcPr>
            <w:tcW w:w="3231" w:type="dxa"/>
            <w:shd w:val="clear" w:color="auto" w:fill="auto"/>
            <w:vAlign w:val="center"/>
          </w:tcPr>
          <w:p w14:paraId="696A10AA">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含覆盖式喷药</w:t>
            </w:r>
          </w:p>
        </w:tc>
      </w:tr>
      <w:tr w14:paraId="7FAE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73FE732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3</w:t>
            </w:r>
          </w:p>
        </w:tc>
        <w:tc>
          <w:tcPr>
            <w:tcW w:w="2877" w:type="dxa"/>
            <w:shd w:val="clear" w:color="auto" w:fill="auto"/>
            <w:vAlign w:val="center"/>
          </w:tcPr>
          <w:p w14:paraId="7BA1020C">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现场勘查（堤防）</w:t>
            </w:r>
          </w:p>
        </w:tc>
        <w:tc>
          <w:tcPr>
            <w:tcW w:w="789" w:type="dxa"/>
            <w:shd w:val="clear" w:color="auto" w:fill="auto"/>
            <w:vAlign w:val="center"/>
          </w:tcPr>
          <w:p w14:paraId="7812B52C">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KM</w:t>
            </w:r>
          </w:p>
        </w:tc>
        <w:tc>
          <w:tcPr>
            <w:tcW w:w="1900" w:type="dxa"/>
            <w:shd w:val="clear" w:color="auto" w:fill="auto"/>
            <w:vAlign w:val="center"/>
          </w:tcPr>
          <w:p w14:paraId="7BF43437">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360</w:t>
            </w:r>
          </w:p>
        </w:tc>
        <w:tc>
          <w:tcPr>
            <w:tcW w:w="3231" w:type="dxa"/>
            <w:shd w:val="clear" w:color="auto" w:fill="auto"/>
            <w:vAlign w:val="center"/>
          </w:tcPr>
          <w:p w14:paraId="369541F6">
            <w:pPr>
              <w:bidi w:val="0"/>
              <w:spacing w:line="360" w:lineRule="auto"/>
              <w:jc w:val="center"/>
              <w:rPr>
                <w:rFonts w:hint="default"/>
                <w:highlight w:val="none"/>
                <w:vertAlign w:val="baseline"/>
                <w:lang w:val="en-US" w:eastAsia="zh-CN"/>
              </w:rPr>
            </w:pPr>
          </w:p>
        </w:tc>
      </w:tr>
      <w:tr w14:paraId="447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7B0810AC">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4</w:t>
            </w:r>
          </w:p>
        </w:tc>
        <w:tc>
          <w:tcPr>
            <w:tcW w:w="2877" w:type="dxa"/>
            <w:shd w:val="clear" w:color="auto" w:fill="auto"/>
            <w:vAlign w:val="center"/>
          </w:tcPr>
          <w:p w14:paraId="0D841508">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现场防治（堤防）</w:t>
            </w:r>
          </w:p>
        </w:tc>
        <w:tc>
          <w:tcPr>
            <w:tcW w:w="789" w:type="dxa"/>
            <w:shd w:val="clear" w:color="auto" w:fill="auto"/>
            <w:vAlign w:val="center"/>
          </w:tcPr>
          <w:p w14:paraId="359A03B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M</w:t>
            </w:r>
            <w:r>
              <w:rPr>
                <w:rFonts w:hint="eastAsia"/>
                <w:highlight w:val="none"/>
                <w:vertAlign w:val="superscript"/>
                <w:lang w:val="en-US" w:eastAsia="zh-CN"/>
              </w:rPr>
              <w:t>2</w:t>
            </w:r>
          </w:p>
        </w:tc>
        <w:tc>
          <w:tcPr>
            <w:tcW w:w="1900" w:type="dxa"/>
            <w:shd w:val="clear" w:color="auto" w:fill="auto"/>
            <w:vAlign w:val="center"/>
          </w:tcPr>
          <w:p w14:paraId="59EB19CE">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2.29</w:t>
            </w:r>
          </w:p>
        </w:tc>
        <w:tc>
          <w:tcPr>
            <w:tcW w:w="3231" w:type="dxa"/>
            <w:shd w:val="clear" w:color="auto" w:fill="auto"/>
            <w:vAlign w:val="center"/>
          </w:tcPr>
          <w:p w14:paraId="25B1645A">
            <w:pPr>
              <w:bidi w:val="0"/>
              <w:spacing w:line="360" w:lineRule="auto"/>
              <w:jc w:val="center"/>
              <w:rPr>
                <w:rFonts w:hint="default"/>
                <w:highlight w:val="none"/>
                <w:vertAlign w:val="baseline"/>
                <w:lang w:val="en-US" w:eastAsia="zh-CN"/>
              </w:rPr>
            </w:pPr>
            <w:r>
              <w:rPr>
                <w:rFonts w:hint="eastAsia" w:cstheme="minorBidi"/>
                <w:kern w:val="2"/>
                <w:sz w:val="21"/>
                <w:szCs w:val="24"/>
                <w:highlight w:val="none"/>
                <w:vertAlign w:val="baseline"/>
                <w:lang w:val="en-US" w:eastAsia="zh-CN" w:bidi="ar-SA"/>
              </w:rPr>
              <w:t>含覆盖式喷药</w:t>
            </w:r>
          </w:p>
        </w:tc>
      </w:tr>
      <w:tr w14:paraId="48AD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0D46ED14">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5</w:t>
            </w:r>
          </w:p>
        </w:tc>
        <w:tc>
          <w:tcPr>
            <w:tcW w:w="2877" w:type="dxa"/>
            <w:shd w:val="clear" w:color="auto" w:fill="auto"/>
            <w:vAlign w:val="center"/>
          </w:tcPr>
          <w:p w14:paraId="3907F908">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打孔灌药</w:t>
            </w:r>
          </w:p>
        </w:tc>
        <w:tc>
          <w:tcPr>
            <w:tcW w:w="789" w:type="dxa"/>
            <w:shd w:val="clear" w:color="auto" w:fill="auto"/>
            <w:vAlign w:val="center"/>
          </w:tcPr>
          <w:p w14:paraId="6ADF8B44">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孔</w:t>
            </w:r>
          </w:p>
        </w:tc>
        <w:tc>
          <w:tcPr>
            <w:tcW w:w="1900" w:type="dxa"/>
            <w:shd w:val="clear" w:color="auto" w:fill="auto"/>
            <w:vAlign w:val="center"/>
          </w:tcPr>
          <w:p w14:paraId="3B699616">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15</w:t>
            </w:r>
          </w:p>
        </w:tc>
        <w:tc>
          <w:tcPr>
            <w:tcW w:w="3231" w:type="dxa"/>
            <w:shd w:val="clear" w:color="auto" w:fill="auto"/>
            <w:vAlign w:val="center"/>
          </w:tcPr>
          <w:p w14:paraId="2EC448A3">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梅花孔分布</w:t>
            </w:r>
          </w:p>
        </w:tc>
      </w:tr>
      <w:tr w14:paraId="61AC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5C9C9E33">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6</w:t>
            </w:r>
          </w:p>
        </w:tc>
        <w:tc>
          <w:tcPr>
            <w:tcW w:w="2877" w:type="dxa"/>
            <w:shd w:val="clear" w:color="auto" w:fill="auto"/>
            <w:vAlign w:val="center"/>
          </w:tcPr>
          <w:p w14:paraId="76291222">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打孔灌浆</w:t>
            </w:r>
          </w:p>
        </w:tc>
        <w:tc>
          <w:tcPr>
            <w:tcW w:w="789" w:type="dxa"/>
            <w:shd w:val="clear" w:color="auto" w:fill="auto"/>
            <w:vAlign w:val="center"/>
          </w:tcPr>
          <w:p w14:paraId="4911C84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M</w:t>
            </w:r>
          </w:p>
        </w:tc>
        <w:tc>
          <w:tcPr>
            <w:tcW w:w="1900" w:type="dxa"/>
            <w:shd w:val="clear" w:color="auto" w:fill="auto"/>
            <w:vAlign w:val="center"/>
          </w:tcPr>
          <w:p w14:paraId="31DCED3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30</w:t>
            </w:r>
          </w:p>
        </w:tc>
        <w:tc>
          <w:tcPr>
            <w:tcW w:w="3231" w:type="dxa"/>
            <w:shd w:val="clear" w:color="auto" w:fill="auto"/>
            <w:vAlign w:val="center"/>
          </w:tcPr>
          <w:p w14:paraId="19833CAF">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按灌浆孔深以“m”计算，孔深为地表以下垂直距离。</w:t>
            </w:r>
          </w:p>
        </w:tc>
      </w:tr>
      <w:tr w14:paraId="536A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6B7E02C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7</w:t>
            </w:r>
          </w:p>
        </w:tc>
        <w:tc>
          <w:tcPr>
            <w:tcW w:w="2877" w:type="dxa"/>
            <w:shd w:val="clear" w:color="auto" w:fill="auto"/>
            <w:vAlign w:val="center"/>
          </w:tcPr>
          <w:p w14:paraId="3152C00C">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设置诱杀点(坑)及回填夯实</w:t>
            </w:r>
          </w:p>
        </w:tc>
        <w:tc>
          <w:tcPr>
            <w:tcW w:w="789" w:type="dxa"/>
            <w:shd w:val="clear" w:color="auto" w:fill="auto"/>
            <w:vAlign w:val="center"/>
          </w:tcPr>
          <w:p w14:paraId="3DCBA143">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个</w:t>
            </w:r>
          </w:p>
        </w:tc>
        <w:tc>
          <w:tcPr>
            <w:tcW w:w="1900" w:type="dxa"/>
            <w:shd w:val="clear" w:color="auto" w:fill="auto"/>
            <w:vAlign w:val="center"/>
          </w:tcPr>
          <w:p w14:paraId="62C5729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80</w:t>
            </w:r>
          </w:p>
        </w:tc>
        <w:tc>
          <w:tcPr>
            <w:tcW w:w="3231" w:type="dxa"/>
            <w:shd w:val="clear" w:color="auto" w:fill="auto"/>
            <w:vAlign w:val="center"/>
          </w:tcPr>
          <w:p w14:paraId="18D38AE8">
            <w:pPr>
              <w:bidi w:val="0"/>
              <w:spacing w:line="360" w:lineRule="auto"/>
              <w:jc w:val="center"/>
              <w:rPr>
                <w:rFonts w:hint="default"/>
                <w:highlight w:val="none"/>
                <w:vertAlign w:val="baseline"/>
                <w:lang w:val="en-US" w:eastAsia="zh-CN"/>
              </w:rPr>
            </w:pPr>
            <w:r>
              <w:rPr>
                <w:rFonts w:hint="eastAsia"/>
                <w:b w:val="0"/>
                <w:bCs w:val="0"/>
                <w:highlight w:val="none"/>
                <w:vertAlign w:val="baseline"/>
                <w:lang w:val="en-US" w:eastAsia="zh-CN"/>
              </w:rPr>
              <w:t>人工挖设诱</w:t>
            </w:r>
            <w:r>
              <w:rPr>
                <w:rFonts w:hint="eastAsia"/>
                <w:b w:val="0"/>
                <w:bCs w:val="0"/>
                <w:highlight w:val="none"/>
                <w:lang w:val="en-US" w:eastAsia="zh-CN"/>
              </w:rPr>
              <w:t>杀点（坑）及回填</w:t>
            </w:r>
          </w:p>
        </w:tc>
      </w:tr>
      <w:tr w14:paraId="1DF7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87" w:type="dxa"/>
            <w:shd w:val="clear" w:color="auto" w:fill="auto"/>
            <w:vAlign w:val="center"/>
          </w:tcPr>
          <w:p w14:paraId="541238B2">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8</w:t>
            </w:r>
          </w:p>
        </w:tc>
        <w:tc>
          <w:tcPr>
            <w:tcW w:w="2877" w:type="dxa"/>
            <w:shd w:val="clear" w:color="auto" w:fill="auto"/>
            <w:vAlign w:val="center"/>
          </w:tcPr>
          <w:p w14:paraId="3B0CF0B0">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人工挖巢主巢</w:t>
            </w:r>
          </w:p>
        </w:tc>
        <w:tc>
          <w:tcPr>
            <w:tcW w:w="789" w:type="dxa"/>
            <w:shd w:val="clear" w:color="auto" w:fill="auto"/>
            <w:vAlign w:val="center"/>
          </w:tcPr>
          <w:p w14:paraId="3B0BA407">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巢</w:t>
            </w:r>
          </w:p>
        </w:tc>
        <w:tc>
          <w:tcPr>
            <w:tcW w:w="1900" w:type="dxa"/>
            <w:shd w:val="clear" w:color="auto" w:fill="auto"/>
            <w:vAlign w:val="center"/>
          </w:tcPr>
          <w:p w14:paraId="23562934">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600</w:t>
            </w:r>
          </w:p>
        </w:tc>
        <w:tc>
          <w:tcPr>
            <w:tcW w:w="3231" w:type="dxa"/>
            <w:shd w:val="clear" w:color="auto" w:fill="auto"/>
            <w:vAlign w:val="center"/>
          </w:tcPr>
          <w:p w14:paraId="71607EED">
            <w:pPr>
              <w:bidi w:val="0"/>
              <w:spacing w:line="360" w:lineRule="auto"/>
              <w:jc w:val="center"/>
              <w:rPr>
                <w:rFonts w:hint="default"/>
                <w:b w:val="0"/>
                <w:bCs w:val="0"/>
                <w:highlight w:val="none"/>
                <w:vertAlign w:val="baseline"/>
                <w:lang w:val="en-US" w:eastAsia="zh-CN"/>
              </w:rPr>
            </w:pPr>
            <w:r>
              <w:rPr>
                <w:rFonts w:hint="eastAsia"/>
                <w:b w:val="0"/>
                <w:bCs w:val="0"/>
                <w:highlight w:val="none"/>
                <w:vertAlign w:val="baseline"/>
                <w:lang w:val="en-US" w:eastAsia="zh-CN"/>
              </w:rPr>
              <w:t>需要有蚁王蚁后</w:t>
            </w:r>
          </w:p>
        </w:tc>
      </w:tr>
      <w:tr w14:paraId="725A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0F9985C1">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9</w:t>
            </w:r>
          </w:p>
        </w:tc>
        <w:tc>
          <w:tcPr>
            <w:tcW w:w="2877" w:type="dxa"/>
            <w:shd w:val="clear" w:color="auto" w:fill="auto"/>
            <w:vAlign w:val="center"/>
          </w:tcPr>
          <w:p w14:paraId="04496309">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人工挖巢副巢</w:t>
            </w:r>
          </w:p>
        </w:tc>
        <w:tc>
          <w:tcPr>
            <w:tcW w:w="789" w:type="dxa"/>
            <w:shd w:val="clear" w:color="auto" w:fill="auto"/>
            <w:vAlign w:val="center"/>
          </w:tcPr>
          <w:p w14:paraId="11641613">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巢</w:t>
            </w:r>
          </w:p>
        </w:tc>
        <w:tc>
          <w:tcPr>
            <w:tcW w:w="1900" w:type="dxa"/>
            <w:shd w:val="clear" w:color="auto" w:fill="auto"/>
            <w:vAlign w:val="center"/>
          </w:tcPr>
          <w:p w14:paraId="4F3A2C4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80</w:t>
            </w:r>
          </w:p>
        </w:tc>
        <w:tc>
          <w:tcPr>
            <w:tcW w:w="3231" w:type="dxa"/>
            <w:shd w:val="clear" w:color="auto" w:fill="auto"/>
            <w:vAlign w:val="center"/>
          </w:tcPr>
          <w:p w14:paraId="279D1A5B">
            <w:pPr>
              <w:bidi w:val="0"/>
              <w:spacing w:line="360" w:lineRule="auto"/>
              <w:jc w:val="center"/>
              <w:rPr>
                <w:rFonts w:hint="eastAsia"/>
                <w:b w:val="0"/>
                <w:bCs w:val="0"/>
                <w:highlight w:val="none"/>
                <w:vertAlign w:val="baseline"/>
                <w:lang w:val="en-US" w:eastAsia="zh-CN"/>
              </w:rPr>
            </w:pPr>
          </w:p>
        </w:tc>
      </w:tr>
      <w:tr w14:paraId="56A3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76FA307C">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10</w:t>
            </w:r>
          </w:p>
        </w:tc>
        <w:tc>
          <w:tcPr>
            <w:tcW w:w="2877" w:type="dxa"/>
            <w:shd w:val="clear" w:color="auto" w:fill="auto"/>
            <w:vAlign w:val="center"/>
          </w:tcPr>
          <w:p w14:paraId="5D0CC057">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监测点维护</w:t>
            </w:r>
          </w:p>
        </w:tc>
        <w:tc>
          <w:tcPr>
            <w:tcW w:w="789" w:type="dxa"/>
            <w:shd w:val="clear" w:color="auto" w:fill="auto"/>
            <w:vAlign w:val="center"/>
          </w:tcPr>
          <w:p w14:paraId="2A46CC0B">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个</w:t>
            </w:r>
          </w:p>
        </w:tc>
        <w:tc>
          <w:tcPr>
            <w:tcW w:w="1900" w:type="dxa"/>
            <w:shd w:val="clear" w:color="auto" w:fill="auto"/>
            <w:vAlign w:val="center"/>
          </w:tcPr>
          <w:p w14:paraId="764C68B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20</w:t>
            </w:r>
          </w:p>
        </w:tc>
        <w:tc>
          <w:tcPr>
            <w:tcW w:w="3231" w:type="dxa"/>
            <w:shd w:val="clear" w:color="auto" w:fill="auto"/>
            <w:vAlign w:val="center"/>
          </w:tcPr>
          <w:p w14:paraId="023402DE">
            <w:pPr>
              <w:bidi w:val="0"/>
              <w:spacing w:line="360" w:lineRule="auto"/>
              <w:jc w:val="center"/>
              <w:rPr>
                <w:rFonts w:hint="eastAsia"/>
                <w:highlight w:val="none"/>
                <w:vertAlign w:val="baseline"/>
                <w:lang w:val="en-US" w:eastAsia="zh-CN"/>
              </w:rPr>
            </w:pPr>
            <w:r>
              <w:rPr>
                <w:rFonts w:hint="eastAsia"/>
                <w:b w:val="0"/>
                <w:bCs w:val="0"/>
                <w:highlight w:val="none"/>
                <w:vertAlign w:val="baseline"/>
                <w:lang w:val="en-US" w:eastAsia="zh-CN"/>
              </w:rPr>
              <w:t>3座水库</w:t>
            </w:r>
          </w:p>
        </w:tc>
      </w:tr>
      <w:tr w14:paraId="6E9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6852FB64">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11</w:t>
            </w:r>
          </w:p>
        </w:tc>
        <w:tc>
          <w:tcPr>
            <w:tcW w:w="2877" w:type="dxa"/>
            <w:shd w:val="clear" w:color="auto" w:fill="auto"/>
            <w:vAlign w:val="center"/>
          </w:tcPr>
          <w:p w14:paraId="51B7C7EC">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施工验收台账及宣传费用</w:t>
            </w:r>
          </w:p>
        </w:tc>
        <w:tc>
          <w:tcPr>
            <w:tcW w:w="789" w:type="dxa"/>
            <w:shd w:val="clear" w:color="auto" w:fill="auto"/>
            <w:vAlign w:val="center"/>
          </w:tcPr>
          <w:p w14:paraId="1FDBA4DE">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项</w:t>
            </w:r>
          </w:p>
        </w:tc>
        <w:tc>
          <w:tcPr>
            <w:tcW w:w="1900" w:type="dxa"/>
            <w:shd w:val="clear" w:color="auto" w:fill="auto"/>
            <w:vAlign w:val="center"/>
          </w:tcPr>
          <w:p w14:paraId="08E9925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30000</w:t>
            </w:r>
          </w:p>
        </w:tc>
        <w:tc>
          <w:tcPr>
            <w:tcW w:w="3231" w:type="dxa"/>
            <w:shd w:val="clear" w:color="auto" w:fill="auto"/>
            <w:vAlign w:val="center"/>
          </w:tcPr>
          <w:p w14:paraId="64E69591">
            <w:pPr>
              <w:bidi w:val="0"/>
              <w:spacing w:line="360" w:lineRule="auto"/>
              <w:jc w:val="center"/>
              <w:rPr>
                <w:rFonts w:hint="eastAsia"/>
                <w:highlight w:val="none"/>
                <w:vertAlign w:val="baseline"/>
                <w:lang w:val="en-US" w:eastAsia="zh-CN"/>
              </w:rPr>
            </w:pPr>
            <w:r>
              <w:rPr>
                <w:rFonts w:hint="eastAsia"/>
                <w:b w:val="0"/>
                <w:bCs w:val="0"/>
                <w:highlight w:val="none"/>
                <w:vertAlign w:val="baseline"/>
                <w:lang w:val="en-US" w:eastAsia="zh-CN"/>
              </w:rPr>
              <w:t>维修电子宣传屏、整理台账上报平台及制作白蚁宣传</w:t>
            </w:r>
          </w:p>
        </w:tc>
      </w:tr>
      <w:tr w14:paraId="61C1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1CBE115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12</w:t>
            </w:r>
          </w:p>
        </w:tc>
        <w:tc>
          <w:tcPr>
            <w:tcW w:w="2877" w:type="dxa"/>
            <w:shd w:val="clear" w:color="auto" w:fill="auto"/>
            <w:vAlign w:val="center"/>
          </w:tcPr>
          <w:p w14:paraId="132BD566">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培训费用</w:t>
            </w:r>
          </w:p>
        </w:tc>
        <w:tc>
          <w:tcPr>
            <w:tcW w:w="789" w:type="dxa"/>
            <w:shd w:val="clear" w:color="auto" w:fill="auto"/>
            <w:vAlign w:val="center"/>
          </w:tcPr>
          <w:p w14:paraId="306A1629">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次</w:t>
            </w:r>
          </w:p>
        </w:tc>
        <w:tc>
          <w:tcPr>
            <w:tcW w:w="1900" w:type="dxa"/>
            <w:shd w:val="clear" w:color="auto" w:fill="auto"/>
            <w:vAlign w:val="center"/>
          </w:tcPr>
          <w:p w14:paraId="0894273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1600</w:t>
            </w:r>
          </w:p>
        </w:tc>
        <w:tc>
          <w:tcPr>
            <w:tcW w:w="3231" w:type="dxa"/>
            <w:shd w:val="clear" w:color="auto" w:fill="auto"/>
            <w:vAlign w:val="center"/>
          </w:tcPr>
          <w:p w14:paraId="67110141">
            <w:pPr>
              <w:bidi w:val="0"/>
              <w:spacing w:line="360" w:lineRule="auto"/>
              <w:jc w:val="center"/>
              <w:rPr>
                <w:rFonts w:hint="default"/>
                <w:highlight w:val="none"/>
                <w:lang w:val="en-US" w:eastAsia="zh-CN"/>
              </w:rPr>
            </w:pPr>
            <w:r>
              <w:rPr>
                <w:rFonts w:hint="eastAsia"/>
                <w:b w:val="0"/>
                <w:bCs w:val="0"/>
                <w:highlight w:val="none"/>
                <w:vertAlign w:val="baseline"/>
                <w:lang w:val="en-US" w:eastAsia="zh-CN"/>
              </w:rPr>
              <w:t>至少开展2次培训</w:t>
            </w:r>
          </w:p>
        </w:tc>
      </w:tr>
      <w:tr w14:paraId="4540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03DF6A1E">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13</w:t>
            </w:r>
          </w:p>
        </w:tc>
        <w:tc>
          <w:tcPr>
            <w:tcW w:w="2877" w:type="dxa"/>
            <w:shd w:val="clear" w:color="auto" w:fill="auto"/>
            <w:vAlign w:val="center"/>
          </w:tcPr>
          <w:p w14:paraId="731C2DE6">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设备维护费用（2年）</w:t>
            </w:r>
          </w:p>
        </w:tc>
        <w:tc>
          <w:tcPr>
            <w:tcW w:w="789" w:type="dxa"/>
            <w:shd w:val="clear" w:color="auto" w:fill="auto"/>
            <w:vAlign w:val="center"/>
          </w:tcPr>
          <w:p w14:paraId="77DE437B">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项</w:t>
            </w:r>
          </w:p>
        </w:tc>
        <w:tc>
          <w:tcPr>
            <w:tcW w:w="1900" w:type="dxa"/>
            <w:shd w:val="clear" w:color="auto" w:fill="auto"/>
            <w:vAlign w:val="center"/>
          </w:tcPr>
          <w:p w14:paraId="6C34ED73">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20000</w:t>
            </w:r>
          </w:p>
        </w:tc>
        <w:tc>
          <w:tcPr>
            <w:tcW w:w="3231" w:type="dxa"/>
            <w:shd w:val="clear" w:color="auto" w:fill="auto"/>
            <w:vAlign w:val="center"/>
          </w:tcPr>
          <w:p w14:paraId="19D1AAFE">
            <w:pPr>
              <w:bidi w:val="0"/>
              <w:spacing w:line="360" w:lineRule="auto"/>
              <w:jc w:val="center"/>
              <w:rPr>
                <w:rFonts w:hint="eastAsia" w:asciiTheme="minorHAnsi" w:hAnsiTheme="minorHAnsi" w:eastAsiaTheme="minorEastAsia" w:cstheme="minorBidi"/>
                <w:b w:val="0"/>
                <w:bCs w:val="0"/>
                <w:kern w:val="2"/>
                <w:sz w:val="21"/>
                <w:szCs w:val="24"/>
                <w:highlight w:val="none"/>
                <w:vertAlign w:val="baseline"/>
                <w:lang w:val="en-US" w:eastAsia="zh-CN" w:bidi="ar-SA"/>
              </w:rPr>
            </w:pPr>
          </w:p>
        </w:tc>
      </w:tr>
      <w:tr w14:paraId="6002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gridSpan w:val="5"/>
            <w:shd w:val="clear" w:color="auto" w:fill="auto"/>
            <w:vAlign w:val="center"/>
          </w:tcPr>
          <w:p w14:paraId="73778400">
            <w:pPr>
              <w:bidi w:val="0"/>
              <w:spacing w:line="360" w:lineRule="auto"/>
              <w:jc w:val="left"/>
              <w:rPr>
                <w:rFonts w:hint="default"/>
                <w:b w:val="0"/>
                <w:bCs w:val="0"/>
                <w:highlight w:val="none"/>
                <w:vertAlign w:val="baseline"/>
                <w:lang w:val="en-US" w:eastAsia="zh-CN"/>
              </w:rPr>
            </w:pPr>
            <w:r>
              <w:rPr>
                <w:rFonts w:hint="eastAsia"/>
                <w:b w:val="0"/>
                <w:bCs w:val="0"/>
                <w:highlight w:val="none"/>
                <w:vertAlign w:val="baseline"/>
                <w:lang w:val="en-US" w:eastAsia="zh-CN"/>
              </w:rPr>
              <w:t>注：所有项目均需有技术人员进行跟踪，服务期2年，以上施工内容均包含材料费用。</w:t>
            </w:r>
          </w:p>
        </w:tc>
      </w:tr>
    </w:tbl>
    <w:p w14:paraId="270A7479">
      <w:pPr>
        <w:numPr>
          <w:ilvl w:val="0"/>
          <w:numId w:val="0"/>
        </w:numPr>
        <w:tabs>
          <w:tab w:val="left" w:pos="425"/>
        </w:tabs>
        <w:snapToGrid w:val="0"/>
        <w:spacing w:line="360" w:lineRule="auto"/>
        <w:ind w:leftChars="0"/>
        <w:jc w:val="both"/>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4、</w:t>
      </w:r>
      <w:r>
        <w:rPr>
          <w:rFonts w:hint="eastAsia" w:asciiTheme="majorEastAsia" w:hAnsiTheme="majorEastAsia" w:eastAsiaTheme="majorEastAsia" w:cstheme="majorEastAsia"/>
          <w:b/>
          <w:bCs/>
          <w:color w:val="auto"/>
          <w:sz w:val="21"/>
          <w:szCs w:val="21"/>
          <w:highlight w:val="none"/>
        </w:rPr>
        <w:t>详细服务范围如下，包括但不限于下列：</w:t>
      </w:r>
    </w:p>
    <w:tbl>
      <w:tblPr>
        <w:tblStyle w:val="20"/>
        <w:tblW w:w="9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2599"/>
        <w:gridCol w:w="1120"/>
        <w:gridCol w:w="3039"/>
        <w:gridCol w:w="1593"/>
      </w:tblGrid>
      <w:tr w14:paraId="0994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A674D">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序号</w:t>
            </w:r>
          </w:p>
        </w:tc>
        <w:tc>
          <w:tcPr>
            <w:tcW w:w="2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1348D">
            <w:pPr>
              <w:keepNext w:val="0"/>
              <w:keepLines w:val="0"/>
              <w:widowControl/>
              <w:suppressLineNumbers w:val="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水库名称</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B3479">
            <w:pPr>
              <w:keepNext w:val="0"/>
              <w:keepLines w:val="0"/>
              <w:widowControl/>
              <w:suppressLineNumbers w:val="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工程规模或等别</w:t>
            </w:r>
          </w:p>
        </w:tc>
        <w:tc>
          <w:tcPr>
            <w:tcW w:w="3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A42F5">
            <w:pPr>
              <w:keepNext w:val="0"/>
              <w:keepLines w:val="0"/>
              <w:widowControl/>
              <w:suppressLineNumbers w:val="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项目实施内容</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DF4C">
            <w:pPr>
              <w:keepNext w:val="0"/>
              <w:keepLines w:val="0"/>
              <w:widowControl/>
              <w:suppressLineNumbers w:val="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7DAF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7A0A">
            <w:pPr>
              <w:jc w:val="center"/>
              <w:rPr>
                <w:rFonts w:hint="eastAsia" w:ascii="宋体" w:hAnsi="宋体" w:eastAsia="宋体" w:cs="宋体"/>
                <w:i w:val="0"/>
                <w:iCs w:val="0"/>
                <w:color w:val="000000"/>
                <w:sz w:val="22"/>
                <w:szCs w:val="22"/>
                <w:highlight w:val="none"/>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1049">
            <w:pPr>
              <w:jc w:val="center"/>
              <w:rPr>
                <w:rFonts w:hint="eastAsia" w:ascii="宋体" w:hAnsi="宋体" w:eastAsia="宋体" w:cs="宋体"/>
                <w:i w:val="0"/>
                <w:iCs w:val="0"/>
                <w:color w:val="000000"/>
                <w:sz w:val="22"/>
                <w:szCs w:val="22"/>
                <w:highlight w:val="none"/>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0FDE">
            <w:pPr>
              <w:jc w:val="center"/>
              <w:rPr>
                <w:rFonts w:hint="eastAsia" w:ascii="宋体" w:hAnsi="宋体" w:eastAsia="宋体" w:cs="宋体"/>
                <w:i w:val="0"/>
                <w:iCs w:val="0"/>
                <w:color w:val="000000"/>
                <w:sz w:val="22"/>
                <w:szCs w:val="22"/>
                <w:highlight w:val="none"/>
                <w:u w:val="none"/>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F3B0">
            <w:pPr>
              <w:jc w:val="center"/>
              <w:rPr>
                <w:rFonts w:hint="eastAsia" w:ascii="宋体" w:hAnsi="宋体" w:eastAsia="宋体" w:cs="宋体"/>
                <w:i w:val="0"/>
                <w:iCs w:val="0"/>
                <w:color w:val="000000"/>
                <w:sz w:val="22"/>
                <w:szCs w:val="22"/>
                <w:highlight w:val="none"/>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F00A">
            <w:pPr>
              <w:jc w:val="center"/>
              <w:rPr>
                <w:rFonts w:hint="eastAsia" w:ascii="宋体" w:hAnsi="宋体" w:eastAsia="宋体" w:cs="宋体"/>
                <w:i w:val="0"/>
                <w:iCs w:val="0"/>
                <w:color w:val="000000"/>
                <w:sz w:val="22"/>
                <w:szCs w:val="22"/>
                <w:highlight w:val="none"/>
                <w:u w:val="none"/>
              </w:rPr>
            </w:pPr>
          </w:p>
        </w:tc>
      </w:tr>
      <w:tr w14:paraId="635A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93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94D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长白桥水库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27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3E7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39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623F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300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A51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集云山水库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05D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30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DFE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496E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8F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83E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大南水库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643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FAE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2F0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3132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47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795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桐溪水库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24C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A4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白蚁检查、防治、监测、灌浆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918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2A28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6E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5</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6A8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马鞍山水库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48E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1B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272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58CE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670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6</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35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金河水库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7BB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77E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5F6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2368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D6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7</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F3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梧岙水库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9AE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小（1）型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85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D8A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143A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800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8</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36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龙船河水库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A2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37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02B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5A70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02C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9</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2D3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仙人岩水库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138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BE1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96E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6E7D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059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10</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A1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顺溪水库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3D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7D0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B72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6F99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58F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710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直坑水库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58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C96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E5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砌石重力坝</w:t>
            </w:r>
          </w:p>
        </w:tc>
      </w:tr>
      <w:tr w14:paraId="76BF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F60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12</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124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洪地水库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E55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F6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A4F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07E3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F86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13</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948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永安水库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3C4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934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E97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6F68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A04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14</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03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水坑水库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59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E6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022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27EE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C61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15</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1DD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上洞水库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0C1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D3D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333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37EF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90D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16</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1FF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愚溪水库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29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FFF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D30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3D09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6C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17</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68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云峰水库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E29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67D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5F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41C6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0B1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18</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9E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红旗水库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A02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10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3E3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4B0E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86F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19</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616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彭坑水库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A6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461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FF5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0A88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6F4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20</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12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十八亩水库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F1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1B9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A5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0EE3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504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64F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泛浦水库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A4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122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716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107D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15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22</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BC6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上岙水库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AD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451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971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1D98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F2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23</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065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黄林水库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4BD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7FB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1B4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583D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0DB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24</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FBC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大日溪水库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B24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4F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F4E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2B2C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8AC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25</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4E4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东岩水库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24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325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597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拱坝</w:t>
            </w:r>
          </w:p>
        </w:tc>
      </w:tr>
      <w:tr w14:paraId="58C2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9D9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26</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8FD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红岩水库</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E11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小（2）型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26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A79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灌砌石重力坝</w:t>
            </w:r>
          </w:p>
        </w:tc>
      </w:tr>
      <w:tr w14:paraId="7A5F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368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E7F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林溪水库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0BE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中型</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BE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白蚁检查、防治、灌浆</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085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土坝</w:t>
            </w:r>
          </w:p>
        </w:tc>
      </w:tr>
      <w:tr w14:paraId="11B7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713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28</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FE7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飞云江北岸标准海塘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F6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CF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FB9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18.9km</w:t>
            </w:r>
          </w:p>
        </w:tc>
      </w:tr>
      <w:tr w14:paraId="2D2F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D50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29</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8D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三十二溪繁湖至松坦段防洪堤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533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D55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F14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1.92km</w:t>
            </w:r>
          </w:p>
        </w:tc>
      </w:tr>
      <w:tr w14:paraId="46325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B16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30</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A14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阁巷围涂海塘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FB7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3BD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62E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3.653km</w:t>
            </w:r>
          </w:p>
        </w:tc>
      </w:tr>
      <w:tr w14:paraId="768B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FD9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AB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滨江防洪堤一二期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84A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42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569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2.062km</w:t>
            </w:r>
          </w:p>
        </w:tc>
      </w:tr>
      <w:tr w14:paraId="5042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7F3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32</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FD2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瑞安市飞云江治理一期工程</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1CF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BE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白蚁检查、防治、开挖</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85F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32.201km</w:t>
            </w:r>
          </w:p>
        </w:tc>
      </w:tr>
      <w:tr w14:paraId="698A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92A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33</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A5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丁山二期围涂海塘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601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050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FA3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7.957</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7E9B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8FE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34</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E87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三十四溪新垟至下林坳段防洪堤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A21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62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9F6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8.19</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2247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F2F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35</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A5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经济开发区海塘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AB5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5D7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D72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2.673</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41CE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0F5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36</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76F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玉泉溪石马村段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B62">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5级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E48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977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0.8km</w:t>
            </w:r>
          </w:p>
        </w:tc>
      </w:tr>
      <w:tr w14:paraId="05EF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B5C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37</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C30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三十四溪雅村至路头段防洪堤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606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5D9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F12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4.51</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7678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AD24">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38</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293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三十二溪湖东至山前段防洪堤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DFF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62C8">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7B9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1.9</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5443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4A5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39</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EDF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滨江防洪堤四期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F2E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BF7">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895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2.412</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223C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1E4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40</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BC3F">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飞云江南岸城市防洪堤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1E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742E">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331C">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4.774</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3109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FD8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5A1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滨江防洪堤三期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52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4B5">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B57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1.945</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4A25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424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42</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B0DA">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飞云江南岸标准海塘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348D">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BF39">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5830">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9.47</w:t>
            </w:r>
            <w:r>
              <w:rPr>
                <w:rFonts w:hint="eastAsia" w:ascii="楷体" w:hAnsi="楷体" w:eastAsia="楷体" w:cs="楷体"/>
                <w:b w:val="0"/>
                <w:bCs w:val="0"/>
                <w:i w:val="0"/>
                <w:iCs w:val="0"/>
                <w:color w:val="000000"/>
                <w:kern w:val="0"/>
                <w:sz w:val="22"/>
                <w:szCs w:val="22"/>
                <w:highlight w:val="none"/>
                <w:u w:val="none"/>
                <w:lang w:val="en-US" w:eastAsia="zh-CN" w:bidi="ar"/>
              </w:rPr>
              <w:t>km</w:t>
            </w:r>
          </w:p>
        </w:tc>
      </w:tr>
      <w:tr w14:paraId="47B1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DE1B">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43</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5981">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飞云段标准海堤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7B6">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3级</w:t>
            </w:r>
          </w:p>
        </w:tc>
        <w:tc>
          <w:tcPr>
            <w:tcW w:w="3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1FD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白蚁检查、防治</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F13">
            <w:pPr>
              <w:keepNext w:val="0"/>
              <w:keepLines w:val="0"/>
              <w:widowControl/>
              <w:suppressLineNumbers w:val="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4.404</w:t>
            </w:r>
            <w:r>
              <w:rPr>
                <w:rFonts w:hint="eastAsia" w:ascii="楷体" w:hAnsi="楷体" w:eastAsia="楷体" w:cs="楷体"/>
                <w:b w:val="0"/>
                <w:bCs w:val="0"/>
                <w:i w:val="0"/>
                <w:iCs w:val="0"/>
                <w:color w:val="000000"/>
                <w:kern w:val="0"/>
                <w:sz w:val="22"/>
                <w:szCs w:val="22"/>
                <w:highlight w:val="none"/>
                <w:u w:val="none"/>
                <w:lang w:val="en-US" w:eastAsia="zh-CN" w:bidi="ar"/>
              </w:rPr>
              <w:t>km</w:t>
            </w:r>
          </w:p>
        </w:tc>
      </w:tr>
    </w:tbl>
    <w:p w14:paraId="7815B686">
      <w:pPr>
        <w:bidi w:val="0"/>
        <w:spacing w:line="360" w:lineRule="auto"/>
        <w:rPr>
          <w:rFonts w:hint="eastAsia"/>
          <w:b/>
          <w:bCs/>
          <w:highlight w:val="none"/>
          <w:lang w:eastAsia="zh-CN"/>
        </w:rPr>
      </w:pPr>
      <w:r>
        <w:rPr>
          <w:rFonts w:hint="eastAsia"/>
          <w:b/>
          <w:bCs/>
          <w:highlight w:val="none"/>
          <w:lang w:val="en-US" w:eastAsia="zh-CN"/>
        </w:rPr>
        <w:t>5、</w:t>
      </w:r>
      <w:r>
        <w:rPr>
          <w:rFonts w:hint="eastAsia"/>
          <w:b/>
          <w:bCs/>
          <w:highlight w:val="none"/>
        </w:rPr>
        <w:t>服务</w:t>
      </w:r>
      <w:r>
        <w:rPr>
          <w:rFonts w:hint="eastAsia"/>
          <w:b/>
          <w:bCs/>
          <w:highlight w:val="none"/>
          <w:lang w:val="en-US" w:eastAsia="zh-CN"/>
        </w:rPr>
        <w:t>原则和</w:t>
      </w:r>
      <w:r>
        <w:rPr>
          <w:rFonts w:hint="eastAsia"/>
          <w:b/>
          <w:bCs/>
          <w:highlight w:val="none"/>
        </w:rPr>
        <w:t>目标</w:t>
      </w:r>
      <w:r>
        <w:rPr>
          <w:rFonts w:hint="eastAsia"/>
          <w:b/>
          <w:bCs/>
          <w:highlight w:val="none"/>
          <w:lang w:eastAsia="zh-CN"/>
        </w:rPr>
        <w:t>：</w:t>
      </w:r>
    </w:p>
    <w:p w14:paraId="788F6823">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白蚁防治必须“先治后防，标本兼治”的原则，彻底杀灭现存坝体的白蚁群体，杀灭主巢后的补充型繁殖蚁，最大限度地灭杀坝表面层众多的幼龄巢群，大范围地灭杀周围山坡白蚁群体。对大坝采取全面预防处理；使坝体达到长期抗蚁、防蚁能力。</w:t>
      </w:r>
    </w:p>
    <w:p w14:paraId="7F5D6CDA">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bookmarkStart w:id="271" w:name="_Toc645"/>
      <w:r>
        <w:rPr>
          <w:rFonts w:hint="eastAsia" w:ascii="宋体" w:hAnsi="宋体" w:eastAsia="宋体" w:cs="宋体"/>
          <w:color w:val="auto"/>
          <w:sz w:val="21"/>
          <w:szCs w:val="21"/>
          <w:highlight w:val="none"/>
          <w:lang w:val="en-US" w:eastAsia="zh-CN"/>
        </w:rPr>
        <w:t>（2）</w:t>
      </w:r>
      <w:bookmarkEnd w:id="271"/>
      <w:r>
        <w:rPr>
          <w:rFonts w:hint="eastAsia" w:ascii="宋体" w:hAnsi="宋体" w:eastAsia="宋体" w:cs="宋体"/>
          <w:color w:val="auto"/>
          <w:sz w:val="21"/>
          <w:szCs w:val="21"/>
          <w:highlight w:val="none"/>
          <w:lang w:val="en-US" w:eastAsia="zh-CN"/>
        </w:rPr>
        <w:t>运行水库堤坝白蚁防治，先进行堤坝白蚁危害的检查，应在白蚁活动的季节采用拉网式的检查方法，</w:t>
      </w:r>
    </w:p>
    <w:p w14:paraId="42BE4835">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看其坝体表面有无白蚁危害迹象，如泥被、泥线、分群孔、真菌指标物等，将检查情况填入《水库堤坝白</w:t>
      </w:r>
    </w:p>
    <w:p w14:paraId="1587034A">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蚁危害情况检查登记表》，并作出无危害、一般危害、严重危害、穿坝危害的结论和提出相应的防治措施。</w:t>
      </w:r>
    </w:p>
    <w:p w14:paraId="7077AAC0">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由于环境治理面广量大，地形复杂，蚁害严重等因素，治理人员根据蚁害分布和危害范围，抓住重点片段</w:t>
      </w:r>
    </w:p>
    <w:p w14:paraId="5BE9FBF4">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的大面积投药灭杀，以控制蚁源的分布和蔓延。</w:t>
      </w:r>
    </w:p>
    <w:p w14:paraId="2352333D">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（3）包含以上请单所列的27座水库的白蚁普查、防治和监测灭治处理等工作。防治期间应根据白蚁生长</w:t>
      </w:r>
    </w:p>
    <w:p w14:paraId="3ED5D83E">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特性，及时进行检查有无白蚁孳生情况，安装智能白蚁监测系统、检查已安装的监测装置、更换补充监测</w:t>
      </w:r>
    </w:p>
    <w:p w14:paraId="28C6C76C">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装置及引诱桩、埋设诱杀包、喷施灭蚁粉剂等防治措施、设施等。每年检查防治次数不得少于2次，白蚁</w:t>
      </w:r>
    </w:p>
    <w:p w14:paraId="346C6949">
      <w:pPr>
        <w:numPr>
          <w:ilvl w:val="2"/>
          <w:numId w:val="0"/>
        </w:numPr>
        <w:adjustRightInd w:val="0"/>
        <w:snapToGrid w:val="0"/>
        <w:spacing w:line="360" w:lineRule="auto"/>
        <w:ind w:left="680" w:leftChars="0" w:hanging="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活动高发期为每年的4-6月、9-11月两个季度，每个季度各进行1次。确保无白蚁孳生繁殖。</w:t>
      </w:r>
    </w:p>
    <w:p w14:paraId="7E0F61B0">
      <w:pPr>
        <w:numPr>
          <w:ilvl w:val="0"/>
          <w:numId w:val="0"/>
        </w:numPr>
        <w:adjustRightInd w:val="0"/>
        <w:snapToGrid w:val="0"/>
        <w:spacing w:line="360" w:lineRule="auto"/>
        <w:ind w:left="680" w:leftChars="0" w:hanging="680" w:firstLineChars="0"/>
        <w:rPr>
          <w:rFonts w:hint="default" w:ascii="宋体" w:hAnsi="宋体" w:eastAsia="宋体" w:cs="宋体"/>
          <w:b w:val="0"/>
          <w:bCs/>
          <w:sz w:val="21"/>
          <w:szCs w:val="21"/>
          <w:highlight w:val="none"/>
          <w:lang w:val="en-US" w:eastAsia="zh-CN"/>
        </w:rPr>
      </w:pPr>
      <w:r>
        <w:rPr>
          <w:rFonts w:hint="eastAsia" w:ascii="宋体" w:hAnsi="宋体" w:eastAsia="宋体" w:cs="宋体"/>
          <w:b w:val="0"/>
          <w:i w:val="0"/>
          <w:color w:val="auto"/>
          <w:kern w:val="2"/>
          <w:sz w:val="21"/>
          <w:szCs w:val="21"/>
          <w:highlight w:val="none"/>
          <w:lang w:val="en-US" w:eastAsia="zh-CN" w:bidi="ar-SA"/>
        </w:rPr>
        <w:t>（4）</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每次服务需拍照留档，由采购方技术责任人或水库巡查人员到场监督，签字确认服务内容及数量。</w:t>
      </w:r>
    </w:p>
    <w:p w14:paraId="4E815A0A">
      <w:pPr>
        <w:numPr>
          <w:ilvl w:val="0"/>
          <w:numId w:val="0"/>
        </w:numPr>
        <w:adjustRightInd w:val="0"/>
        <w:snapToGrid w:val="0"/>
        <w:spacing w:line="360" w:lineRule="auto"/>
        <w:ind w:left="680" w:leftChars="0" w:hanging="680" w:firstLineChars="0"/>
        <w:rPr>
          <w:rFonts w:hint="default" w:ascii="宋体" w:hAnsi="宋体" w:eastAsia="宋体" w:cs="宋体"/>
          <w:b w:val="0"/>
          <w:i w:val="0"/>
          <w:color w:val="auto"/>
          <w:kern w:val="2"/>
          <w:sz w:val="21"/>
          <w:szCs w:val="21"/>
          <w:highlight w:val="none"/>
          <w:lang w:val="en-US" w:eastAsia="zh-CN" w:bidi="ar-SA"/>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在服务期内，成交供应商需治理</w:t>
      </w:r>
      <w:r>
        <w:rPr>
          <w:rFonts w:hint="eastAsia" w:ascii="宋体" w:hAnsi="宋体" w:eastAsia="宋体" w:cs="宋体"/>
          <w:b w:val="0"/>
          <w:bCs/>
          <w:sz w:val="21"/>
          <w:szCs w:val="21"/>
          <w:highlight w:val="none"/>
        </w:rPr>
        <w:t>土坝水库</w:t>
      </w:r>
      <w:r>
        <w:rPr>
          <w:rFonts w:hint="eastAsia" w:ascii="宋体" w:hAnsi="宋体" w:eastAsia="宋体" w:cs="宋体"/>
          <w:b w:val="0"/>
          <w:bCs/>
          <w:sz w:val="21"/>
          <w:szCs w:val="21"/>
          <w:highlight w:val="none"/>
          <w:lang w:val="en-US" w:eastAsia="zh-CN"/>
        </w:rPr>
        <w:t>至少6座，防治堤防至少4.8km。</w:t>
      </w:r>
    </w:p>
    <w:p w14:paraId="5B06DFE4">
      <w:pPr>
        <w:numPr>
          <w:ilvl w:val="0"/>
          <w:numId w:val="0"/>
        </w:numPr>
        <w:adjustRightInd w:val="0"/>
        <w:snapToGrid w:val="0"/>
        <w:spacing w:line="360" w:lineRule="auto"/>
        <w:ind w:left="680" w:leftChars="0" w:hanging="68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val="0"/>
          <w:i w:val="0"/>
          <w:color w:val="auto"/>
          <w:kern w:val="2"/>
          <w:sz w:val="21"/>
          <w:szCs w:val="21"/>
          <w:highlight w:val="none"/>
          <w:lang w:val="en-US" w:eastAsia="zh-CN" w:bidi="ar-SA"/>
        </w:rPr>
        <w:t>6、</w:t>
      </w:r>
      <w:r>
        <w:rPr>
          <w:rFonts w:hint="eastAsia" w:ascii="宋体" w:hAnsi="宋体" w:eastAsia="宋体" w:cs="宋体"/>
          <w:b/>
          <w:color w:val="auto"/>
          <w:sz w:val="21"/>
          <w:szCs w:val="21"/>
          <w:highlight w:val="none"/>
          <w:lang w:val="en-US" w:eastAsia="zh-CN"/>
        </w:rPr>
        <w:t>白蚁防治布置要求</w:t>
      </w:r>
    </w:p>
    <w:p w14:paraId="642B8CBE">
      <w:pPr>
        <w:bidi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基于白蚁的特定习性，通过长时间的演变，其具有隐蔽性强、繁殖快、破坏性大等诸多特点，应及时做出有效的防治措施。防治理办法：采用挖巢抓王、打孔灌药、设隔离沟等三位一体的综合根治方法治理蚁害。</w:t>
      </w:r>
    </w:p>
    <w:p w14:paraId="269DED1A">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（1）人工挖巢</w:t>
      </w:r>
    </w:p>
    <w:p w14:paraId="581A9005">
      <w:pPr>
        <w:bidi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消灭新生白蚁，通过人工挖巢，大面积的消除堤防坝体原生白蚁巢穴，然后对坝体不能开挖的位置，进行药杀处理，填充白蚁巢穴造成的空洞。依据堤坝白蚁活动的迹象和确定的白蚁危害活动的区域，针对有一定规律性的土栖白蚁，它的生活特性是栖息在黏性土质里，有其固定的巢穴，因为蚁巢是白蚁生活的大本营和繁殖中心，根据确定的主巢位置，跟踪挖出主巢。捕捉蚁王蚁后，清除掉主巢周边的副巢，对巢坑进行施药处理后，再对所挖巢坑进行逐层回填夯实。每 20cm 夯实一次。恢复坝体原型，以防水土流失。每挖出一巢白蚁就能减少一份白蚁繁殖、蔓延和危害。通过人工开挖及回填，能有效地清楚、填充堤坝内部空腔，加强坝体内部结构，增强提防大坝蓄水、抗洪能力。同时在回填过程中，巢内对坝体残余白蚁亦有较好的药杀效果，可达到标本兼治的防治目的。后进行回填夯实，切断白蚁从蚁源区进入堤坝体筑巢的通道，阻止其周边白蚁蔓延进入大坝造成新的危害，形成一道药物屏障，使防治效果更为持久化。</w:t>
      </w:r>
    </w:p>
    <w:p w14:paraId="67E332A8">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（2）设置毒土隔离沟</w:t>
      </w:r>
    </w:p>
    <w:p w14:paraId="3A905083">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1）在坝外坡左边及右边浸润线上各开一条横沟，通过开沟来截断坝体上的蚁道。沟的规格：上口 50cm，下口（底部）为 40cm，外壁深度 40cm。</w:t>
      </w:r>
    </w:p>
    <w:p w14:paraId="0C3B9E32">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2）施工工艺流程：人工开沟达到质量要求后，在沟壁、沟底打孔。打孔间距 0.5m，孔深 0.3m，对孔内施药，然后由低向上分层回填毒土，每回填毒土 0.2m 厚，再行施药，再回填 0.2m 毒土，再回填毒土、施药、 夯实，周而复始，直至填平坝表面为止。</w:t>
      </w:r>
    </w:p>
    <w:p w14:paraId="41CE16F3">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（3）设置毒土网幕</w:t>
      </w:r>
    </w:p>
    <w:p w14:paraId="0261DF26">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1）在外坡左边浸润线上和右边外坡全部坝体斜面上，用人工从坝顶向坝底方向为序打孔，呈梅花形排列。</w:t>
      </w:r>
    </w:p>
    <w:p w14:paraId="5C0BC0BD">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2）每孔规格：孔深 0.4-0.5m，孔距 2m。</w:t>
      </w:r>
    </w:p>
    <w:p w14:paraId="60CA98BE">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3）每孔进行施药处理。</w:t>
      </w:r>
    </w:p>
    <w:p w14:paraId="2E6573E0">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4）工艺流程：人工钢钎打孔→施药→封口</w:t>
      </w:r>
    </w:p>
    <w:p w14:paraId="7F6E44CF">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（4）埋设诱杀包</w:t>
      </w:r>
    </w:p>
    <w:p w14:paraId="6F203395">
      <w:pPr>
        <w:bidi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诱杀法：在白蚁活动点及危害严重位置，挖掘长 40cm×宽 30cm×深 20cm诱杀坑，并在其坑内投放由樟树片、松木片、松树皮等饵料和红、白糖、甘蔗渣、白酒等催引剂及浓度 5%的天鹰灭杀白蚁乳油混合而成的诱杀饵料，让隐蔽分散的白蚁相互传染中毒死亡，从而减少和控制周围环境白蚁繁殖数量和发展速度。</w:t>
      </w:r>
    </w:p>
    <w:p w14:paraId="5BA255B9">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（5）坝面覆盖式喷药</w:t>
      </w:r>
    </w:p>
    <w:p w14:paraId="6F7A916E">
      <w:pPr>
        <w:bidi w:val="0"/>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在背水坡易产生白蚁区域，直接用稀释后的高效低毒、安全环保，专杀白蚁的“吡虫啉悬浮剂”药液进行喷洒，喷药剂的方法，采取密集型地毯式，可药化白蚁食源、杀灭地表白蚁和预防白蚁的作用。</w:t>
      </w:r>
    </w:p>
    <w:p w14:paraId="12BA94FC">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（6）服务期内回访复查</w:t>
      </w:r>
    </w:p>
    <w:p w14:paraId="3C4863EC">
      <w:pPr>
        <w:bidi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highlight w:val="none"/>
          <w:lang w:val="en-US" w:eastAsia="zh-CN"/>
        </w:rPr>
        <w:t>每年的4-5月为白蚁的纷飞期，每年的这个时候中标供应商对各个水库进行排查，发现有新的蚁患及时喷药灭治，确保大坝不会新生白蚁危害。</w:t>
      </w:r>
    </w:p>
    <w:p w14:paraId="0C446480">
      <w:pPr>
        <w:numPr>
          <w:ilvl w:val="0"/>
          <w:numId w:val="0"/>
        </w:numPr>
        <w:adjustRightInd w:val="0"/>
        <w:snapToGrid w:val="0"/>
        <w:spacing w:line="360" w:lineRule="auto"/>
        <w:ind w:left="680" w:leftChars="0" w:hanging="680" w:firstLineChars="0"/>
        <w:rPr>
          <w:rFonts w:hint="eastAsia" w:ascii="宋体" w:hAnsi="宋体" w:eastAsia="宋体" w:cs="宋体"/>
          <w:b/>
          <w:bCs/>
          <w:i w:val="0"/>
          <w:color w:val="auto"/>
          <w:kern w:val="2"/>
          <w:sz w:val="21"/>
          <w:szCs w:val="21"/>
          <w:highlight w:val="none"/>
          <w:lang w:val="en-US" w:eastAsia="zh-CN" w:bidi="ar-SA"/>
        </w:rPr>
      </w:pPr>
      <w:bookmarkStart w:id="272" w:name="_Toc22994"/>
      <w:r>
        <w:rPr>
          <w:rFonts w:hint="eastAsia" w:ascii="宋体" w:hAnsi="宋体" w:eastAsia="宋体" w:cs="宋体"/>
          <w:b/>
          <w:bCs/>
          <w:i w:val="0"/>
          <w:color w:val="auto"/>
          <w:kern w:val="2"/>
          <w:sz w:val="21"/>
          <w:szCs w:val="21"/>
          <w:highlight w:val="none"/>
          <w:lang w:val="en-US" w:eastAsia="zh-CN" w:bidi="ar-SA"/>
        </w:rPr>
        <w:t>7、</w:t>
      </w:r>
      <w:bookmarkEnd w:id="272"/>
      <w:r>
        <w:rPr>
          <w:rFonts w:hint="eastAsia" w:ascii="宋体" w:hAnsi="宋体" w:eastAsia="宋体" w:cs="宋体"/>
          <w:b/>
          <w:bCs/>
          <w:i w:val="0"/>
          <w:color w:val="auto"/>
          <w:kern w:val="2"/>
          <w:sz w:val="21"/>
          <w:szCs w:val="21"/>
          <w:highlight w:val="none"/>
          <w:lang w:val="en-US" w:eastAsia="zh-CN" w:bidi="ar-SA"/>
        </w:rPr>
        <w:t>资料要求：</w:t>
      </w:r>
    </w:p>
    <w:p w14:paraId="4360D790">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（1）防治评估需要中标供应商提供相关资料，以下是评估所需要的资料：</w:t>
      </w:r>
    </w:p>
    <w:p w14:paraId="49A033FD">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1）蚁患防治方案（含蚁情检查/排查/普查报告）；</w:t>
      </w:r>
    </w:p>
    <w:p w14:paraId="64CF8696">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2）防治团队人员清单（职业证书或职称证书，可能含在防治方案中）；</w:t>
      </w:r>
    </w:p>
    <w:p w14:paraId="113E62A5">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3）白蚁危害等级评价报告（防治前、后）；</w:t>
      </w:r>
    </w:p>
    <w:p w14:paraId="195CF1BC">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4）设备使用记录、铭牌、出厂合格证（若使用）；</w:t>
      </w:r>
    </w:p>
    <w:p w14:paraId="39E76DDB">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5）药物使用记录及三证；</w:t>
      </w:r>
    </w:p>
    <w:p w14:paraId="7B6B68CE">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6）饵剂使用记录及（有效成分的）三证（若使用）；</w:t>
      </w:r>
    </w:p>
    <w:p w14:paraId="461A150E">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7）监测装置使用记录、铭牌及出厂合格证（若使用）；</w:t>
      </w:r>
    </w:p>
    <w:p w14:paraId="5C7B7000">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8）水质监测报告（若工程为水源地，含防治前、后）；</w:t>
      </w:r>
    </w:p>
    <w:p w14:paraId="155C5DFD">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9）隐蔽性工程施工记录（若存在隐蔽工程如挖巢、灌浆等）；</w:t>
      </w:r>
    </w:p>
    <w:p w14:paraId="0FC5A2BC">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10）检查巡查记录台账（含设备巡检、工程日常巡检）；</w:t>
      </w:r>
    </w:p>
    <w:p w14:paraId="66930E40">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11）防治施工开工申请报告及批复；</w:t>
      </w:r>
    </w:p>
    <w:p w14:paraId="6E921148">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12）验收申请报告及验收合格批复；</w:t>
      </w:r>
    </w:p>
    <w:p w14:paraId="48915B61">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13）白蚁防治合同或工程维养经费预算、计划表；</w:t>
      </w:r>
    </w:p>
    <w:p w14:paraId="48FBBDD6">
      <w:pPr>
        <w:numPr>
          <w:ilvl w:val="0"/>
          <w:numId w:val="0"/>
        </w:numPr>
        <w:adjustRightInd w:val="0"/>
        <w:snapToGrid w:val="0"/>
        <w:spacing w:line="360" w:lineRule="auto"/>
        <w:ind w:left="680" w:leftChars="0" w:hanging="680" w:firstLineChars="0"/>
        <w:rPr>
          <w:rFonts w:hint="eastAsia" w:ascii="宋体" w:hAnsi="宋体" w:eastAsia="宋体" w:cs="宋体"/>
          <w:b w:val="0"/>
          <w:bCs w:val="0"/>
          <w:i w:val="0"/>
          <w:color w:val="auto"/>
          <w:kern w:val="2"/>
          <w:sz w:val="21"/>
          <w:szCs w:val="21"/>
          <w:highlight w:val="none"/>
          <w:lang w:val="en-US" w:eastAsia="zh-CN" w:bidi="ar-SA"/>
        </w:rPr>
      </w:pPr>
      <w:r>
        <w:rPr>
          <w:rFonts w:hint="eastAsia" w:ascii="宋体" w:hAnsi="宋体" w:eastAsia="宋体" w:cs="宋体"/>
          <w:b w:val="0"/>
          <w:bCs w:val="0"/>
          <w:i w:val="0"/>
          <w:color w:val="auto"/>
          <w:kern w:val="2"/>
          <w:sz w:val="21"/>
          <w:szCs w:val="21"/>
          <w:highlight w:val="none"/>
          <w:lang w:val="en-US" w:eastAsia="zh-CN" w:bidi="ar-SA"/>
        </w:rPr>
        <w:t>14）防治验收资料。</w:t>
      </w:r>
    </w:p>
    <w:p w14:paraId="7C97870C">
      <w:pPr>
        <w:numPr>
          <w:ilvl w:val="0"/>
          <w:numId w:val="0"/>
        </w:numPr>
        <w:adjustRightInd w:val="0"/>
        <w:snapToGrid w:val="0"/>
        <w:spacing w:line="360" w:lineRule="auto"/>
        <w:ind w:left="680" w:leftChars="0" w:hanging="68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bCs/>
          <w:i w:val="0"/>
          <w:color w:val="auto"/>
          <w:kern w:val="2"/>
          <w:sz w:val="21"/>
          <w:szCs w:val="21"/>
          <w:highlight w:val="none"/>
          <w:lang w:val="en-US" w:eastAsia="zh-CN" w:bidi="ar-SA"/>
        </w:rPr>
        <w:t>8.服务、培训和应急</w:t>
      </w:r>
      <w:r>
        <w:rPr>
          <w:rFonts w:hint="eastAsia" w:ascii="宋体" w:hAnsi="宋体" w:eastAsia="宋体" w:cs="宋体"/>
          <w:b/>
          <w:color w:val="auto"/>
          <w:sz w:val="21"/>
          <w:szCs w:val="21"/>
          <w:highlight w:val="none"/>
          <w:lang w:val="en-US" w:eastAsia="zh-CN"/>
        </w:rPr>
        <w:t>要求：</w:t>
      </w:r>
    </w:p>
    <w:p w14:paraId="051DAC1B">
      <w:pPr>
        <w:bidi w:val="0"/>
        <w:spacing w:line="360" w:lineRule="auto"/>
        <w:rPr>
          <w:rFonts w:hint="eastAsia" w:ascii="宋体" w:hAnsi="宋体" w:eastAsia="宋体" w:cs="宋体"/>
          <w:color w:val="auto"/>
          <w:sz w:val="21"/>
          <w:szCs w:val="21"/>
          <w:highlight w:val="none"/>
          <w:lang w:val="en-US" w:eastAsia="zh-CN"/>
        </w:rPr>
      </w:pPr>
      <w:bookmarkStart w:id="273" w:name="_Toc22044"/>
      <w:r>
        <w:rPr>
          <w:rFonts w:hint="eastAsia" w:ascii="宋体" w:hAnsi="宋体" w:eastAsia="宋体" w:cs="宋体"/>
          <w:b w:val="0"/>
          <w:i w:val="0"/>
          <w:color w:val="auto"/>
          <w:kern w:val="2"/>
          <w:sz w:val="21"/>
          <w:szCs w:val="21"/>
          <w:highlight w:val="none"/>
          <w:lang w:val="en-US" w:eastAsia="zh-CN" w:bidi="ar-SA"/>
        </w:rPr>
        <w:t>（1）</w:t>
      </w:r>
      <w:bookmarkEnd w:id="273"/>
      <w:r>
        <w:rPr>
          <w:rFonts w:hint="eastAsia" w:ascii="宋体" w:hAnsi="宋体" w:eastAsia="宋体" w:cs="宋体"/>
          <w:color w:val="auto"/>
          <w:sz w:val="21"/>
          <w:szCs w:val="21"/>
          <w:highlight w:val="none"/>
          <w:lang w:val="en-US" w:eastAsia="zh-CN"/>
        </w:rPr>
        <w:t>本次服务期为贰年。</w:t>
      </w:r>
    </w:p>
    <w:p w14:paraId="45DDE8E5">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（2）中标供应商每年为采购人提供1次培训。</w:t>
      </w:r>
    </w:p>
    <w:p w14:paraId="3DC5F9F5">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（3）供应商需接到采购人通知时起1小时内响应，24小时内到达现场进行处理。</w:t>
      </w:r>
    </w:p>
    <w:p w14:paraId="326F0526">
      <w:pPr>
        <w:bidi w:val="0"/>
        <w:spacing w:line="360" w:lineRule="auto"/>
        <w:rPr>
          <w:rFonts w:hint="default" w:ascii="宋体" w:hAnsi="宋体" w:eastAsia="宋体" w:cs="宋体"/>
          <w:b w:val="0"/>
          <w:bCs w:val="0"/>
          <w:highlight w:val="none"/>
          <w:lang w:val="en-US" w:eastAsia="zh-CN"/>
        </w:rPr>
      </w:pPr>
      <w:r>
        <w:rPr>
          <w:rFonts w:hint="eastAsia" w:ascii="宋体" w:hAnsi="宋体" w:eastAsia="宋体" w:cs="宋体"/>
          <w:color w:val="auto"/>
          <w:sz w:val="21"/>
          <w:szCs w:val="21"/>
          <w:highlight w:val="none"/>
          <w:lang w:val="en-US" w:eastAsia="zh-CN"/>
        </w:rPr>
        <w:t>（4）提供驻点人员名单，且不可随意更换，如若更换需经得采购人同意。</w:t>
      </w:r>
    </w:p>
    <w:p w14:paraId="46E2AFB5">
      <w:pPr>
        <w:spacing w:line="360" w:lineRule="auto"/>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9、报价</w:t>
      </w:r>
      <w:r>
        <w:rPr>
          <w:rFonts w:hint="eastAsia" w:ascii="宋体" w:hAnsi="宋体" w:eastAsia="宋体" w:cs="宋体"/>
          <w:b/>
          <w:bCs/>
          <w:highlight w:val="none"/>
        </w:rPr>
        <w:t>要求</w:t>
      </w:r>
      <w:r>
        <w:rPr>
          <w:rFonts w:hint="eastAsia" w:ascii="宋体" w:hAnsi="宋体" w:eastAsia="宋体" w:cs="宋体"/>
          <w:b/>
          <w:bCs/>
          <w:highlight w:val="none"/>
          <w:lang w:eastAsia="zh-CN"/>
        </w:rPr>
        <w:t>：</w:t>
      </w:r>
    </w:p>
    <w:p w14:paraId="5B904696">
      <w:pPr>
        <w:tabs>
          <w:tab w:val="left" w:pos="0"/>
        </w:tabs>
        <w:spacing w:line="360" w:lineRule="auto"/>
        <w:rPr>
          <w:rFonts w:hint="eastAsia" w:ascii="宋体" w:hAnsi="宋体" w:eastAsia="宋体" w:cs="宋体"/>
          <w:b/>
          <w:bCs/>
          <w:szCs w:val="21"/>
          <w:highlight w:val="none"/>
        </w:rPr>
      </w:pPr>
      <w:r>
        <w:rPr>
          <w:rFonts w:hint="eastAsia" w:ascii="宋体" w:hAnsi="宋体" w:eastAsia="宋体" w:cs="宋体"/>
          <w:b w:val="0"/>
          <w:bCs/>
          <w:szCs w:val="21"/>
          <w:highlight w:val="none"/>
          <w:lang w:val="en-US" w:eastAsia="zh-CN"/>
        </w:rPr>
        <w:t>（1）本次采购为统一折扣率报价，</w:t>
      </w:r>
      <w:r>
        <w:rPr>
          <w:rFonts w:hint="eastAsia" w:ascii="宋体" w:hAnsi="宋体" w:eastAsia="宋体" w:cs="宋体"/>
          <w:bCs/>
          <w:szCs w:val="21"/>
          <w:highlight w:val="none"/>
        </w:rPr>
        <w:t>磋商供应商的报价应为承包完成本次采购需完成全部工作所发生的所有费用，并承担一切风险责任。包括本次项目实施所需的</w:t>
      </w:r>
      <w:r>
        <w:rPr>
          <w:rFonts w:hint="eastAsia" w:ascii="宋体" w:hAnsi="宋体" w:eastAsia="宋体" w:cs="宋体"/>
          <w:bCs/>
          <w:szCs w:val="21"/>
          <w:highlight w:val="none"/>
          <w:lang w:val="en-US" w:eastAsia="zh-CN"/>
        </w:rPr>
        <w:t>员工</w:t>
      </w:r>
      <w:r>
        <w:rPr>
          <w:rFonts w:hint="eastAsia" w:ascii="宋体" w:hAnsi="宋体" w:eastAsia="宋体" w:cs="宋体"/>
          <w:bCs/>
          <w:szCs w:val="21"/>
          <w:highlight w:val="none"/>
        </w:rPr>
        <w:t>工资、餐费、饮水（矿泉水）、</w:t>
      </w:r>
      <w:r>
        <w:rPr>
          <w:rFonts w:hint="eastAsia" w:ascii="宋体" w:hAnsi="宋体" w:eastAsia="宋体" w:cs="宋体"/>
          <w:bCs/>
          <w:szCs w:val="21"/>
          <w:highlight w:val="none"/>
          <w:lang w:val="en-US" w:eastAsia="zh-CN"/>
        </w:rPr>
        <w:t>法定节假日加班费、</w:t>
      </w:r>
      <w:r>
        <w:rPr>
          <w:rFonts w:hint="eastAsia" w:ascii="宋体" w:hAnsi="宋体" w:eastAsia="宋体" w:cs="宋体"/>
          <w:bCs/>
          <w:szCs w:val="21"/>
          <w:highlight w:val="none"/>
        </w:rPr>
        <w:t>到达采购人指定地点的交通费、奖金、劳保福利社保、意外保险、工伤费、</w:t>
      </w:r>
      <w:r>
        <w:rPr>
          <w:rFonts w:hint="eastAsia" w:ascii="宋体" w:hAnsi="宋体" w:eastAsia="宋体" w:cs="宋体"/>
          <w:bCs/>
          <w:szCs w:val="21"/>
          <w:highlight w:val="none"/>
          <w:lang w:val="en-US" w:eastAsia="zh-CN"/>
        </w:rPr>
        <w:t>油费、充电费、</w:t>
      </w:r>
      <w:r>
        <w:rPr>
          <w:rFonts w:hint="eastAsia" w:ascii="宋体" w:hAnsi="宋体" w:eastAsia="宋体" w:cs="宋体"/>
          <w:bCs/>
          <w:szCs w:val="21"/>
          <w:highlight w:val="none"/>
        </w:rPr>
        <w:t>教育培训费及处理一切伤亡事故、管理费用、企业应缴税金和应得利润、应急、</w:t>
      </w:r>
      <w:r>
        <w:rPr>
          <w:rFonts w:hint="eastAsia" w:ascii="宋体" w:hAnsi="宋体" w:eastAsia="宋体" w:cs="宋体"/>
          <w:highlight w:val="none"/>
        </w:rPr>
        <w:t>物价因素</w:t>
      </w:r>
      <w:r>
        <w:rPr>
          <w:rFonts w:hint="eastAsia" w:ascii="宋体" w:hAnsi="宋体" w:eastAsia="宋体" w:cs="宋体"/>
          <w:highlight w:val="none"/>
          <w:lang w:eastAsia="zh-CN"/>
        </w:rPr>
        <w:t>、</w:t>
      </w:r>
      <w:r>
        <w:rPr>
          <w:rFonts w:hint="eastAsia" w:ascii="宋体" w:hAnsi="宋体" w:eastAsia="宋体" w:cs="宋体"/>
          <w:bCs/>
          <w:szCs w:val="21"/>
          <w:highlight w:val="none"/>
        </w:rPr>
        <w:t>政策性文件规定费用及合同包含的所有风险、责任等所有费用等一切费用。供应商应结合本项目特点，市场行情及磋商供应商自身的技术，管理水平，竞争能力，确定最终报价。</w:t>
      </w:r>
    </w:p>
    <w:p w14:paraId="3FB9EEEC">
      <w:pPr>
        <w:tabs>
          <w:tab w:val="left" w:pos="0"/>
        </w:tabs>
        <w:spacing w:line="360" w:lineRule="auto"/>
        <w:rPr>
          <w:rFonts w:hint="eastAsia" w:ascii="宋体" w:hAnsi="宋体" w:eastAsia="宋体" w:cs="宋体"/>
          <w:b w:val="0"/>
          <w:bCs w:val="0"/>
          <w:highlight w:val="none"/>
        </w:rPr>
      </w:pPr>
      <w:bookmarkStart w:id="274" w:name="_Toc21601"/>
      <w:bookmarkStart w:id="275" w:name="_Toc31219"/>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rPr>
        <w:t>本次服务项目</w:t>
      </w:r>
      <w:r>
        <w:rPr>
          <w:rFonts w:hint="eastAsia" w:ascii="宋体" w:hAnsi="宋体" w:eastAsia="宋体" w:cs="宋体"/>
          <w:b w:val="0"/>
          <w:bCs w:val="0"/>
          <w:highlight w:val="none"/>
          <w:lang w:val="en-US" w:eastAsia="zh-CN"/>
        </w:rPr>
        <w:t>的</w:t>
      </w:r>
      <w:r>
        <w:rPr>
          <w:rFonts w:hint="eastAsia" w:ascii="宋体" w:hAnsi="宋体" w:eastAsia="宋体" w:cs="宋体"/>
          <w:b w:val="0"/>
          <w:bCs w:val="0"/>
          <w:highlight w:val="none"/>
        </w:rPr>
        <w:t>采购人已设最高</w:t>
      </w:r>
      <w:r>
        <w:rPr>
          <w:rFonts w:hint="eastAsia" w:ascii="宋体" w:hAnsi="宋体" w:eastAsia="宋体" w:cs="宋体"/>
          <w:b w:val="0"/>
          <w:bCs w:val="0"/>
          <w:highlight w:val="none"/>
          <w:lang w:val="en-US" w:eastAsia="zh-CN"/>
        </w:rPr>
        <w:t>综合单价</w:t>
      </w:r>
      <w:r>
        <w:rPr>
          <w:rFonts w:hint="eastAsia" w:ascii="宋体" w:hAnsi="宋体" w:eastAsia="宋体" w:cs="宋体"/>
          <w:b w:val="0"/>
          <w:bCs w:val="0"/>
          <w:highlight w:val="none"/>
        </w:rPr>
        <w:t>限价，各磋商供应商在采购人设定的最高</w:t>
      </w:r>
      <w:r>
        <w:rPr>
          <w:rFonts w:hint="eastAsia" w:ascii="宋体" w:hAnsi="宋体" w:eastAsia="宋体" w:cs="宋体"/>
          <w:b w:val="0"/>
          <w:bCs w:val="0"/>
          <w:highlight w:val="none"/>
          <w:lang w:val="en-US" w:eastAsia="zh-CN"/>
        </w:rPr>
        <w:t>综合单价</w:t>
      </w:r>
      <w:r>
        <w:rPr>
          <w:rFonts w:hint="eastAsia" w:ascii="宋体" w:hAnsi="宋体" w:eastAsia="宋体" w:cs="宋体"/>
          <w:b w:val="0"/>
          <w:bCs w:val="0"/>
          <w:highlight w:val="none"/>
        </w:rPr>
        <w:t>限价的基础上根据企业自身实力及市场行情自行填报</w:t>
      </w:r>
      <w:r>
        <w:rPr>
          <w:rFonts w:hint="eastAsia" w:ascii="宋体" w:hAnsi="宋体" w:eastAsia="宋体" w:cs="宋体"/>
          <w:b w:val="0"/>
          <w:bCs w:val="0"/>
          <w:highlight w:val="none"/>
          <w:lang w:val="en-US" w:eastAsia="zh-CN"/>
        </w:rPr>
        <w:t>投标单价</w:t>
      </w:r>
      <w:r>
        <w:rPr>
          <w:rFonts w:hint="eastAsia" w:ascii="宋体" w:hAnsi="宋体" w:eastAsia="宋体" w:cs="宋体"/>
          <w:b w:val="0"/>
          <w:bCs w:val="0"/>
          <w:highlight w:val="none"/>
        </w:rPr>
        <w:t>，保留二位小数（第三位四舍五入）</w:t>
      </w:r>
      <w:r>
        <w:rPr>
          <w:rFonts w:hint="eastAsia" w:ascii="宋体" w:hAnsi="宋体" w:eastAsia="宋体" w:cs="宋体"/>
          <w:b w:val="0"/>
          <w:bCs w:val="0"/>
          <w:szCs w:val="21"/>
          <w:highlight w:val="none"/>
        </w:rPr>
        <w:t>报价超过最高综合单价限价的，其磋商响应文件按无效标处理</w:t>
      </w:r>
      <w:r>
        <w:rPr>
          <w:rFonts w:hint="eastAsia" w:ascii="宋体" w:hAnsi="宋体" w:eastAsia="宋体" w:cs="宋体"/>
          <w:b w:val="0"/>
          <w:bCs w:val="0"/>
          <w:highlight w:val="none"/>
        </w:rPr>
        <w:t>。</w:t>
      </w:r>
      <w:bookmarkEnd w:id="274"/>
      <w:bookmarkEnd w:id="275"/>
    </w:p>
    <w:p w14:paraId="20B40514">
      <w:pPr>
        <w:bidi w:val="0"/>
        <w:spacing w:line="360" w:lineRule="auto"/>
        <w:rPr>
          <w:rFonts w:hint="eastAsia" w:ascii="宋体" w:hAnsi="宋体" w:eastAsia="宋体" w:cs="宋体"/>
          <w:b/>
          <w:bCs/>
          <w:highlight w:val="none"/>
          <w:lang w:eastAsia="zh-CN"/>
        </w:rPr>
      </w:pPr>
      <w:bookmarkStart w:id="276" w:name="_Toc8307829"/>
      <w:bookmarkStart w:id="277" w:name="_Toc17993013"/>
      <w:bookmarkStart w:id="278" w:name="_Toc496166829"/>
      <w:bookmarkStart w:id="279" w:name="_Toc496163886"/>
      <w:bookmarkStart w:id="280" w:name="_Toc44256596"/>
      <w:bookmarkStart w:id="281" w:name="_Toc12928"/>
      <w:bookmarkStart w:id="282" w:name="_Toc37146124"/>
      <w:bookmarkStart w:id="283" w:name="_Toc22808746"/>
      <w:bookmarkStart w:id="284" w:name="_Toc10212"/>
      <w:bookmarkStart w:id="285" w:name="_Toc8137080"/>
      <w:bookmarkStart w:id="286" w:name="_Toc5624967"/>
      <w:bookmarkStart w:id="287" w:name="_Toc14794661"/>
      <w:bookmarkStart w:id="288" w:name="_Toc521678977"/>
      <w:bookmarkStart w:id="289" w:name="_Toc24566488"/>
      <w:bookmarkStart w:id="290" w:name="_Toc44229567"/>
      <w:bookmarkStart w:id="291" w:name="_Toc496078336"/>
      <w:bookmarkStart w:id="292" w:name="_Toc22909739"/>
      <w:bookmarkStart w:id="293" w:name="_Toc18411"/>
      <w:bookmarkStart w:id="294" w:name="_Toc521679028"/>
      <w:bookmarkStart w:id="295" w:name="_Toc41642974"/>
      <w:bookmarkStart w:id="296" w:name="_Toc5287498"/>
      <w:bookmarkStart w:id="297" w:name="_Toc25227853"/>
      <w:bookmarkStart w:id="298" w:name="_Toc17975082"/>
      <w:bookmarkStart w:id="299" w:name="_Toc521679147"/>
      <w:bookmarkStart w:id="300" w:name="_Toc510529065"/>
      <w:bookmarkStart w:id="301" w:name="_Toc24455"/>
      <w:bookmarkStart w:id="302" w:name="_Toc26588"/>
      <w:bookmarkStart w:id="303" w:name="_Toc25241348"/>
      <w:bookmarkStart w:id="304" w:name="_Toc14937304"/>
      <w:bookmarkStart w:id="305" w:name="_Toc1250"/>
      <w:bookmarkStart w:id="306" w:name="_Toc9647"/>
      <w:r>
        <w:rPr>
          <w:rFonts w:hint="eastAsia" w:ascii="宋体" w:hAnsi="宋体" w:eastAsia="宋体" w:cs="宋体"/>
          <w:b/>
          <w:bCs/>
          <w:highlight w:val="none"/>
          <w:lang w:val="en-US" w:eastAsia="zh-CN"/>
        </w:rPr>
        <w:t>10</w:t>
      </w:r>
      <w:r>
        <w:rPr>
          <w:rFonts w:hint="eastAsia" w:ascii="宋体" w:hAnsi="宋体" w:eastAsia="宋体" w:cs="宋体"/>
          <w:b/>
          <w:bCs/>
          <w:highlight w:val="none"/>
        </w:rPr>
        <w:t>、付款方式</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hint="eastAsia" w:ascii="宋体" w:hAnsi="宋体" w:eastAsia="宋体" w:cs="宋体"/>
          <w:b/>
          <w:bCs/>
          <w:highlight w:val="none"/>
          <w:lang w:eastAsia="zh-CN"/>
        </w:rPr>
        <w:t>：</w:t>
      </w:r>
    </w:p>
    <w:p w14:paraId="4178C07F">
      <w:pPr>
        <w:bidi w:val="0"/>
        <w:spacing w:line="360" w:lineRule="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预付款支付比例或金额：以人工投入为主的项目，合同生效以及具备实施条件后7个工作日内，采购人向成交供应商支付合同价款的</w:t>
      </w:r>
      <w:r>
        <w:rPr>
          <w:rFonts w:hint="eastAsia" w:ascii="宋体" w:hAnsi="宋体" w:eastAsia="宋体" w:cs="宋体"/>
          <w:highlight w:val="none"/>
          <w:lang w:val="en-US" w:eastAsia="zh-CN"/>
        </w:rPr>
        <w:t>4</w:t>
      </w:r>
      <w:r>
        <w:rPr>
          <w:rFonts w:hint="eastAsia" w:ascii="宋体" w:hAnsi="宋体" w:eastAsia="宋体" w:cs="宋体"/>
          <w:highlight w:val="none"/>
        </w:rPr>
        <w:t>0%的预付款。（根据浙财采监[2022]3号文件执行，在签订合同时，成交供应商明确表示无需预付款或者主动要求降低预付款比例的，采购人可不适用前述规定预付款）</w:t>
      </w:r>
    </w:p>
    <w:p w14:paraId="5949F47C">
      <w:pPr>
        <w:bidi w:val="0"/>
        <w:spacing w:line="360" w:lineRule="auto"/>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2026</w:t>
      </w:r>
      <w:r>
        <w:rPr>
          <w:rFonts w:hint="eastAsia" w:ascii="宋体" w:hAnsi="宋体" w:eastAsia="宋体" w:cs="宋体"/>
          <w:color w:val="FF0000"/>
          <w:highlight w:val="none"/>
          <w:lang w:val="en-US" w:eastAsia="zh-CN"/>
        </w:rPr>
        <w:t>年1月31日</w:t>
      </w:r>
      <w:r>
        <w:rPr>
          <w:rFonts w:hint="eastAsia" w:ascii="宋体" w:hAnsi="宋体" w:eastAsia="宋体" w:cs="宋体"/>
          <w:highlight w:val="none"/>
          <w:lang w:val="en-US" w:eastAsia="zh-CN"/>
        </w:rPr>
        <w:t>之前支付至合同价款的85%，2026</w:t>
      </w:r>
      <w:r>
        <w:rPr>
          <w:rFonts w:hint="eastAsia" w:ascii="宋体" w:hAnsi="宋体" w:eastAsia="宋体" w:cs="宋体"/>
          <w:color w:val="FF0000"/>
          <w:highlight w:val="none"/>
          <w:lang w:val="en-US" w:eastAsia="zh-CN"/>
        </w:rPr>
        <w:t>年5月31日</w:t>
      </w:r>
      <w:r>
        <w:rPr>
          <w:rFonts w:hint="eastAsia" w:ascii="宋体" w:hAnsi="宋体" w:eastAsia="宋体" w:cs="宋体"/>
          <w:highlight w:val="none"/>
          <w:lang w:val="en-US" w:eastAsia="zh-CN"/>
        </w:rPr>
        <w:t>前支付至合同价款的95%，</w:t>
      </w:r>
      <w:r>
        <w:rPr>
          <w:rFonts w:hint="eastAsia" w:ascii="宋体" w:hAnsi="宋体" w:eastAsia="宋体" w:cs="宋体"/>
          <w:highlight w:val="none"/>
        </w:rPr>
        <w:t>合同</w:t>
      </w:r>
      <w:r>
        <w:rPr>
          <w:rFonts w:hint="eastAsia" w:ascii="宋体" w:hAnsi="宋体" w:eastAsia="宋体" w:cs="宋体"/>
          <w:highlight w:val="none"/>
          <w:lang w:val="en-US" w:eastAsia="zh-CN"/>
        </w:rPr>
        <w:t>履约完成且通过验收后</w:t>
      </w:r>
      <w:r>
        <w:rPr>
          <w:rFonts w:hint="eastAsia" w:ascii="宋体" w:hAnsi="宋体" w:eastAsia="宋体" w:cs="宋体"/>
          <w:highlight w:val="none"/>
        </w:rPr>
        <w:t>，</w:t>
      </w:r>
      <w:r>
        <w:rPr>
          <w:rFonts w:hint="eastAsia" w:ascii="宋体" w:hAnsi="宋体" w:eastAsia="宋体" w:cs="宋体"/>
          <w:highlight w:val="none"/>
          <w:lang w:val="en-US" w:eastAsia="zh-CN"/>
        </w:rPr>
        <w:t>采购人支付至合同价款的100%</w:t>
      </w:r>
      <w:r>
        <w:rPr>
          <w:rFonts w:hint="eastAsia" w:ascii="宋体" w:hAnsi="宋体" w:eastAsia="宋体" w:cs="宋体"/>
          <w:highlight w:val="none"/>
        </w:rPr>
        <w:t>。对于满足合同支付约定条件的，采购人于收到中标供应商开具的正式税务发票后7个工作日内予以支付相应款项，具体视财政资金到位情况为准，由违约或验收结果引起的经济扣罚，直接在进度款中扣除。（具体支付情况视财政资金到位情况为准）</w:t>
      </w:r>
    </w:p>
    <w:p w14:paraId="299DF3F9">
      <w:pPr>
        <w:pStyle w:val="2"/>
        <w:keepNext w:val="0"/>
        <w:keepLines w:val="0"/>
        <w:pageBreakBefore/>
        <w:spacing w:before="240" w:beforeLines="100" w:after="240" w:afterLines="100" w:line="240" w:lineRule="auto"/>
        <w:jc w:val="center"/>
        <w:rPr>
          <w:rFonts w:hint="eastAsia" w:hAnsi="宋体" w:cs="宋体"/>
          <w:b w:val="0"/>
          <w:color w:val="auto"/>
          <w:sz w:val="28"/>
          <w:szCs w:val="36"/>
          <w:highlight w:val="none"/>
        </w:rPr>
      </w:pPr>
      <w:r>
        <w:rPr>
          <w:rFonts w:hint="eastAsia" w:hAnsi="宋体" w:cs="宋体"/>
          <w:color w:val="auto"/>
          <w:sz w:val="28"/>
          <w:szCs w:val="36"/>
          <w:highlight w:val="none"/>
        </w:rPr>
        <w:t>第</w:t>
      </w:r>
      <w:r>
        <w:rPr>
          <w:rFonts w:hint="eastAsia" w:hAnsi="宋体" w:cs="宋体"/>
          <w:color w:val="auto"/>
          <w:sz w:val="28"/>
          <w:szCs w:val="36"/>
          <w:highlight w:val="none"/>
          <w:lang w:eastAsia="zh-CN"/>
        </w:rPr>
        <w:t>四</w:t>
      </w:r>
      <w:r>
        <w:rPr>
          <w:rFonts w:hint="eastAsia" w:hAnsi="宋体" w:cs="宋体"/>
          <w:color w:val="auto"/>
          <w:sz w:val="28"/>
          <w:szCs w:val="36"/>
          <w:highlight w:val="none"/>
        </w:rPr>
        <w:t>部分   合同条款</w:t>
      </w:r>
    </w:p>
    <w:p w14:paraId="3E45A303">
      <w:pPr>
        <w:keepNext w:val="0"/>
        <w:keepLines w:val="0"/>
        <w:pageBreakBefore w:val="0"/>
        <w:widowControl/>
        <w:kinsoku/>
        <w:wordWrap/>
        <w:overflowPunct/>
        <w:topLinePunct w:val="0"/>
        <w:autoSpaceDE/>
        <w:autoSpaceDN/>
        <w:bidi w:val="0"/>
        <w:adjustRightInd/>
        <w:snapToGrid/>
        <w:spacing w:beforeLines="0" w:afterLines="0" w:line="360" w:lineRule="auto"/>
        <w:rPr>
          <w:rFonts w:hint="eastAsia" w:ascii="新宋体" w:hAnsi="新宋体" w:eastAsia="新宋体" w:cs="Times New Roman"/>
          <w:color w:val="auto"/>
          <w:sz w:val="21"/>
          <w:highlight w:val="none"/>
          <w:lang w:val="en-US"/>
        </w:rPr>
      </w:pPr>
      <w:r>
        <w:rPr>
          <w:rFonts w:hint="eastAsia" w:ascii="新宋体" w:hAnsi="新宋体" w:eastAsia="新宋体" w:cs="Times New Roman"/>
          <w:color w:val="auto"/>
          <w:sz w:val="21"/>
          <w:highlight w:val="none"/>
          <w:lang w:val="en-US"/>
        </w:rPr>
        <w:t>发包方：                 （以下简称甲方）</w:t>
      </w:r>
    </w:p>
    <w:p w14:paraId="4D0F8390">
      <w:pPr>
        <w:keepNext w:val="0"/>
        <w:keepLines w:val="0"/>
        <w:pageBreakBefore w:val="0"/>
        <w:widowControl/>
        <w:kinsoku/>
        <w:wordWrap/>
        <w:overflowPunct/>
        <w:topLinePunct w:val="0"/>
        <w:autoSpaceDE/>
        <w:autoSpaceDN/>
        <w:bidi w:val="0"/>
        <w:adjustRightInd/>
        <w:snapToGrid/>
        <w:spacing w:beforeLines="0" w:afterLines="0" w:line="360" w:lineRule="auto"/>
        <w:rPr>
          <w:rFonts w:hint="eastAsia" w:ascii="新宋体" w:hAnsi="新宋体" w:eastAsia="新宋体" w:cs="Times New Roman"/>
          <w:color w:val="auto"/>
          <w:sz w:val="21"/>
          <w:highlight w:val="none"/>
          <w:lang w:val="en-US"/>
        </w:rPr>
      </w:pPr>
      <w:r>
        <w:rPr>
          <w:rFonts w:hint="eastAsia" w:ascii="新宋体" w:hAnsi="新宋体" w:eastAsia="新宋体" w:cs="Times New Roman"/>
          <w:color w:val="auto"/>
          <w:sz w:val="21"/>
          <w:highlight w:val="none"/>
          <w:lang w:val="en-US"/>
        </w:rPr>
        <w:t>承包方：                 （以下简称乙方）</w:t>
      </w:r>
    </w:p>
    <w:p w14:paraId="7F82BA25">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甲、乙双方根据有关法律规定，本着友好合作、协商一致的原则，就乙方承包甲方服务项目的有关事宜达成协议如下：</w:t>
      </w:r>
    </w:p>
    <w:p w14:paraId="7CAABBB3">
      <w:pPr>
        <w:numPr>
          <w:ilvl w:val="0"/>
          <w:numId w:val="0"/>
        </w:numPr>
        <w:tabs>
          <w:tab w:val="left" w:pos="425"/>
        </w:tabs>
        <w:snapToGrid w:val="0"/>
        <w:spacing w:line="360" w:lineRule="auto"/>
        <w:rPr>
          <w:rFonts w:hint="eastAsia" w:asciiTheme="majorEastAsia" w:hAnsiTheme="majorEastAsia" w:eastAsiaTheme="majorEastAsia" w:cstheme="majorEastAsia"/>
          <w:b/>
          <w:bCs/>
          <w:color w:val="auto"/>
          <w:sz w:val="21"/>
          <w:szCs w:val="21"/>
          <w:highlight w:val="none"/>
        </w:rPr>
      </w:pPr>
      <w:bookmarkStart w:id="307" w:name="_Toc352672509"/>
      <w:bookmarkStart w:id="308" w:name="_Toc416183439"/>
      <w:bookmarkStart w:id="309" w:name="_Toc306964746"/>
      <w:bookmarkStart w:id="310" w:name="_Toc416183585"/>
      <w:bookmarkStart w:id="311" w:name="_Toc15720"/>
      <w:bookmarkStart w:id="312" w:name="_Toc251826125"/>
      <w:bookmarkStart w:id="313" w:name="_Toc200784869"/>
      <w:bookmarkStart w:id="314" w:name="_Toc452058289"/>
      <w:bookmarkStart w:id="315" w:name="_Toc200785155"/>
      <w:bookmarkStart w:id="316" w:name="_Toc3602"/>
      <w:bookmarkStart w:id="317" w:name="_Toc25266"/>
      <w:bookmarkStart w:id="318" w:name="_Toc19983"/>
      <w:r>
        <w:rPr>
          <w:rFonts w:hint="eastAsia" w:asciiTheme="majorEastAsia" w:hAnsiTheme="majorEastAsia" w:eastAsiaTheme="majorEastAsia" w:cstheme="majorEastAsia"/>
          <w:b/>
          <w:bCs/>
          <w:color w:val="auto"/>
          <w:sz w:val="21"/>
          <w:szCs w:val="21"/>
          <w:highlight w:val="none"/>
          <w:lang w:eastAsia="zh-CN"/>
        </w:rPr>
        <w:t>第一条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承包范围、内容和要求：</w:t>
      </w:r>
      <w:bookmarkEnd w:id="307"/>
      <w:bookmarkEnd w:id="308"/>
      <w:bookmarkEnd w:id="309"/>
      <w:bookmarkEnd w:id="310"/>
      <w:bookmarkEnd w:id="311"/>
      <w:bookmarkEnd w:id="312"/>
      <w:bookmarkEnd w:id="313"/>
      <w:bookmarkEnd w:id="314"/>
      <w:bookmarkEnd w:id="315"/>
      <w:bookmarkEnd w:id="316"/>
      <w:bookmarkEnd w:id="317"/>
      <w:bookmarkEnd w:id="318"/>
    </w:p>
    <w:p w14:paraId="43A6C7D4">
      <w:pPr>
        <w:adjustRightInd w:val="0"/>
        <w:snapToGrid w:val="0"/>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1、服务内容和要求：</w:t>
      </w:r>
      <w:r>
        <w:rPr>
          <w:rFonts w:hint="eastAsia" w:asciiTheme="majorEastAsia" w:hAnsiTheme="majorEastAsia" w:eastAsiaTheme="majorEastAsia" w:cstheme="majorEastAsia"/>
          <w:color w:val="auto"/>
          <w:sz w:val="21"/>
          <w:szCs w:val="21"/>
          <w:highlight w:val="none"/>
          <w:u w:val="single"/>
        </w:rPr>
        <w:t>详见采购文件的招标范围和投标文件的相应内容</w:t>
      </w:r>
      <w:r>
        <w:rPr>
          <w:rFonts w:hint="eastAsia" w:asciiTheme="majorEastAsia" w:hAnsiTheme="majorEastAsia" w:eastAsiaTheme="majorEastAsia" w:cstheme="majorEastAsia"/>
          <w:color w:val="auto"/>
          <w:sz w:val="21"/>
          <w:szCs w:val="21"/>
          <w:highlight w:val="none"/>
        </w:rPr>
        <w:t>。</w:t>
      </w:r>
    </w:p>
    <w:p w14:paraId="21C45216">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2、乙方在承包区域内提供合同约定的服务及相关服务管理，且只能在该范围内从事合同约定的相关工作。（甲方调配除外）。</w:t>
      </w:r>
    </w:p>
    <w:p w14:paraId="7769BC68">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3、乙方在投标文件中明确的服务内容、管理措施、岗位责任制和服务流程、服务管理质量目标、控制及检验手段作为考核办法的补充考核依据，乙方必须严格落实。</w:t>
      </w:r>
    </w:p>
    <w:p w14:paraId="3D924CAB">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乙方的投标文件中约定的项目管理人员和其他人员、项目部及其他人员的考核激励办法和稳定人员、提升人员素质的具体措施应严格履行、落实到位，否则甲方可单方面采取相应措施予以落实，费用由乙方承担。</w:t>
      </w:r>
    </w:p>
    <w:p w14:paraId="3B397E78">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5、乙方的投标文件中有关人员配置、设备设施配置、配合协助单位等内容，针对本项目的特点和难点分析及解决措施，相关承诺或优惠条件（如有）等，乙方应履行到位。</w:t>
      </w:r>
    </w:p>
    <w:p w14:paraId="3770FC3C">
      <w:pPr>
        <w:adjustRightInd w:val="0"/>
        <w:snapToGrid w:val="0"/>
        <w:spacing w:line="360" w:lineRule="auto"/>
        <w:ind w:left="210"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6、甲方的《考核办法》作为合同附件，与合同具有同等法律效力。招标文件、乙方的投标文件和投标承诺也作为合同附件，与合同具有同等法律效力。</w:t>
      </w:r>
    </w:p>
    <w:p w14:paraId="786E4D27">
      <w:pPr>
        <w:numPr>
          <w:ilvl w:val="0"/>
          <w:numId w:val="0"/>
        </w:numPr>
        <w:tabs>
          <w:tab w:val="left" w:pos="425"/>
        </w:tabs>
        <w:snapToGrid w:val="0"/>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第二条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服务期限</w:t>
      </w:r>
    </w:p>
    <w:p w14:paraId="48AA3E4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本合同服务时间为</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本合同服务期限自    年  月  日-    年  月  日。若乙方有违约行为，甲方有权单方面解除合同。</w:t>
      </w:r>
    </w:p>
    <w:p w14:paraId="74E4BA28">
      <w:pPr>
        <w:numPr>
          <w:ilvl w:val="0"/>
          <w:numId w:val="0"/>
        </w:numPr>
        <w:tabs>
          <w:tab w:val="left" w:pos="425"/>
        </w:tabs>
        <w:snapToGrid w:val="0"/>
        <w:spacing w:line="360" w:lineRule="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第三条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Theme="majorEastAsia" w:hAnsiTheme="majorEastAsia" w:eastAsiaTheme="majorEastAsia" w:cstheme="majorEastAsia"/>
          <w:b/>
          <w:bCs/>
          <w:color w:val="auto"/>
          <w:sz w:val="21"/>
          <w:szCs w:val="21"/>
          <w:highlight w:val="none"/>
        </w:rPr>
        <w:t>服务经费：</w:t>
      </w:r>
    </w:p>
    <w:p w14:paraId="76989CDA">
      <w:pPr>
        <w:keepNext w:val="0"/>
        <w:keepLines w:val="0"/>
        <w:pageBreakBefore w:val="0"/>
        <w:widowControl/>
        <w:kinsoku/>
        <w:wordWrap/>
        <w:overflowPunct/>
        <w:topLinePunct w:val="0"/>
        <w:autoSpaceDE/>
        <w:autoSpaceDN/>
        <w:bidi w:val="0"/>
        <w:adjustRightInd/>
        <w:spacing w:beforeLines="0" w:afterLines="0" w:line="360" w:lineRule="auto"/>
        <w:ind w:firstLine="420" w:firstLineChars="200"/>
        <w:outlineLvl w:val="2"/>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lang w:eastAsia="zh-CN"/>
        </w:rPr>
        <w:t>瑞安市水库堤防白蚁等害堤动物普查与防治项目合同总额为：</w:t>
      </w:r>
    </w:p>
    <w:p w14:paraId="0D6A96E0">
      <w:pPr>
        <w:keepNext w:val="0"/>
        <w:keepLines w:val="0"/>
        <w:pageBreakBefore w:val="0"/>
        <w:widowControl/>
        <w:kinsoku/>
        <w:wordWrap/>
        <w:overflowPunct/>
        <w:topLinePunct w:val="0"/>
        <w:autoSpaceDE/>
        <w:autoSpaceDN/>
        <w:bidi w:val="0"/>
        <w:adjustRightInd/>
        <w:spacing w:beforeLines="0" w:afterLines="0" w:line="360" w:lineRule="auto"/>
        <w:ind w:firstLine="420" w:firstLineChars="200"/>
        <w:outlineLvl w:val="2"/>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lang w:eastAsia="zh-CN"/>
        </w:rPr>
        <w:t>小写（人民币）：              元，大写（人民币）：                  元整。</w:t>
      </w:r>
    </w:p>
    <w:tbl>
      <w:tblPr>
        <w:tblStyle w:val="2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77"/>
        <w:gridCol w:w="789"/>
        <w:gridCol w:w="1900"/>
        <w:gridCol w:w="3231"/>
      </w:tblGrid>
      <w:tr w14:paraId="3CA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027906F0">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序号</w:t>
            </w:r>
          </w:p>
        </w:tc>
        <w:tc>
          <w:tcPr>
            <w:tcW w:w="2877" w:type="dxa"/>
            <w:shd w:val="clear" w:color="auto" w:fill="auto"/>
            <w:vAlign w:val="center"/>
          </w:tcPr>
          <w:p w14:paraId="41CEF6FB">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项目内容</w:t>
            </w:r>
          </w:p>
        </w:tc>
        <w:tc>
          <w:tcPr>
            <w:tcW w:w="789" w:type="dxa"/>
            <w:shd w:val="clear" w:color="auto" w:fill="auto"/>
            <w:vAlign w:val="center"/>
          </w:tcPr>
          <w:p w14:paraId="00C0360E">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单位</w:t>
            </w:r>
          </w:p>
        </w:tc>
        <w:tc>
          <w:tcPr>
            <w:tcW w:w="1900" w:type="dxa"/>
            <w:shd w:val="clear" w:color="auto" w:fill="auto"/>
            <w:vAlign w:val="center"/>
          </w:tcPr>
          <w:p w14:paraId="372C1004">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投标综合单价（元）</w:t>
            </w:r>
          </w:p>
        </w:tc>
        <w:tc>
          <w:tcPr>
            <w:tcW w:w="3231" w:type="dxa"/>
            <w:shd w:val="clear" w:color="auto" w:fill="auto"/>
            <w:vAlign w:val="center"/>
          </w:tcPr>
          <w:p w14:paraId="54FA6B4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说明</w:t>
            </w:r>
          </w:p>
        </w:tc>
      </w:tr>
      <w:tr w14:paraId="74FA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87" w:type="dxa"/>
            <w:shd w:val="clear" w:color="auto" w:fill="auto"/>
            <w:vAlign w:val="center"/>
          </w:tcPr>
          <w:p w14:paraId="0D7AB3F0">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w:t>
            </w:r>
          </w:p>
        </w:tc>
        <w:tc>
          <w:tcPr>
            <w:tcW w:w="2877" w:type="dxa"/>
            <w:shd w:val="clear" w:color="auto" w:fill="auto"/>
            <w:vAlign w:val="center"/>
          </w:tcPr>
          <w:p w14:paraId="02A6F711">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现场勘查和防治（土坝）</w:t>
            </w:r>
          </w:p>
        </w:tc>
        <w:tc>
          <w:tcPr>
            <w:tcW w:w="789" w:type="dxa"/>
            <w:shd w:val="clear" w:color="auto" w:fill="auto"/>
            <w:vAlign w:val="center"/>
          </w:tcPr>
          <w:p w14:paraId="41BACA8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座</w:t>
            </w:r>
          </w:p>
        </w:tc>
        <w:tc>
          <w:tcPr>
            <w:tcW w:w="1900" w:type="dxa"/>
            <w:shd w:val="clear" w:color="auto" w:fill="auto"/>
            <w:vAlign w:val="center"/>
          </w:tcPr>
          <w:p w14:paraId="4C53729F">
            <w:pPr>
              <w:bidi w:val="0"/>
              <w:spacing w:line="360" w:lineRule="auto"/>
              <w:jc w:val="center"/>
              <w:rPr>
                <w:rFonts w:hint="default"/>
                <w:highlight w:val="none"/>
                <w:vertAlign w:val="baseline"/>
                <w:lang w:val="en-US" w:eastAsia="zh-CN"/>
              </w:rPr>
            </w:pPr>
          </w:p>
        </w:tc>
        <w:tc>
          <w:tcPr>
            <w:tcW w:w="3231" w:type="dxa"/>
            <w:shd w:val="clear" w:color="auto" w:fill="auto"/>
            <w:vAlign w:val="center"/>
          </w:tcPr>
          <w:p w14:paraId="5A27323D">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普查次数一年至少3次，含覆盖式喷药</w:t>
            </w:r>
          </w:p>
        </w:tc>
      </w:tr>
      <w:tr w14:paraId="3DB7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87" w:type="dxa"/>
            <w:shd w:val="clear" w:color="auto" w:fill="auto"/>
            <w:vAlign w:val="center"/>
          </w:tcPr>
          <w:p w14:paraId="168F65BD">
            <w:pPr>
              <w:bidi w:val="0"/>
              <w:spacing w:line="360" w:lineRule="auto"/>
              <w:jc w:val="center"/>
              <w:rPr>
                <w:highlight w:val="none"/>
              </w:rPr>
            </w:pPr>
            <w:r>
              <w:rPr>
                <w:rFonts w:hint="eastAsia"/>
                <w:highlight w:val="none"/>
                <w:vertAlign w:val="baseline"/>
                <w:lang w:val="en-US" w:eastAsia="zh-CN"/>
              </w:rPr>
              <w:t>2</w:t>
            </w:r>
          </w:p>
        </w:tc>
        <w:tc>
          <w:tcPr>
            <w:tcW w:w="2877" w:type="dxa"/>
            <w:shd w:val="clear" w:color="auto" w:fill="auto"/>
            <w:vAlign w:val="center"/>
          </w:tcPr>
          <w:p w14:paraId="0E75331D">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现场勘查和防治（拱坝）</w:t>
            </w:r>
          </w:p>
        </w:tc>
        <w:tc>
          <w:tcPr>
            <w:tcW w:w="789" w:type="dxa"/>
            <w:shd w:val="clear" w:color="auto" w:fill="auto"/>
            <w:vAlign w:val="center"/>
          </w:tcPr>
          <w:p w14:paraId="012336CE">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座</w:t>
            </w:r>
          </w:p>
        </w:tc>
        <w:tc>
          <w:tcPr>
            <w:tcW w:w="1900" w:type="dxa"/>
            <w:shd w:val="clear" w:color="auto" w:fill="auto"/>
            <w:vAlign w:val="center"/>
          </w:tcPr>
          <w:p w14:paraId="34B810DD">
            <w:pPr>
              <w:bidi w:val="0"/>
              <w:spacing w:line="360" w:lineRule="auto"/>
              <w:jc w:val="center"/>
              <w:rPr>
                <w:rFonts w:hint="eastAsia"/>
                <w:highlight w:val="none"/>
                <w:vertAlign w:val="baseline"/>
                <w:lang w:val="en-US" w:eastAsia="zh-CN"/>
              </w:rPr>
            </w:pPr>
          </w:p>
        </w:tc>
        <w:tc>
          <w:tcPr>
            <w:tcW w:w="3231" w:type="dxa"/>
            <w:shd w:val="clear" w:color="auto" w:fill="auto"/>
            <w:vAlign w:val="center"/>
          </w:tcPr>
          <w:p w14:paraId="16ED40B9">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含覆盖式喷药</w:t>
            </w:r>
          </w:p>
        </w:tc>
      </w:tr>
      <w:tr w14:paraId="19FD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1FB59DCC">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3</w:t>
            </w:r>
          </w:p>
        </w:tc>
        <w:tc>
          <w:tcPr>
            <w:tcW w:w="2877" w:type="dxa"/>
            <w:shd w:val="clear" w:color="auto" w:fill="auto"/>
            <w:vAlign w:val="center"/>
          </w:tcPr>
          <w:p w14:paraId="2E410940">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现场勘查（堤防）</w:t>
            </w:r>
          </w:p>
        </w:tc>
        <w:tc>
          <w:tcPr>
            <w:tcW w:w="789" w:type="dxa"/>
            <w:shd w:val="clear" w:color="auto" w:fill="auto"/>
            <w:vAlign w:val="center"/>
          </w:tcPr>
          <w:p w14:paraId="531B71EE">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KM</w:t>
            </w:r>
          </w:p>
        </w:tc>
        <w:tc>
          <w:tcPr>
            <w:tcW w:w="1900" w:type="dxa"/>
            <w:shd w:val="clear" w:color="auto" w:fill="auto"/>
            <w:vAlign w:val="center"/>
          </w:tcPr>
          <w:p w14:paraId="61FF1BD2">
            <w:pPr>
              <w:bidi w:val="0"/>
              <w:spacing w:line="360" w:lineRule="auto"/>
              <w:jc w:val="center"/>
              <w:rPr>
                <w:rFonts w:hint="eastAsia"/>
                <w:highlight w:val="none"/>
                <w:vertAlign w:val="baseline"/>
                <w:lang w:val="en-US" w:eastAsia="zh-CN"/>
              </w:rPr>
            </w:pPr>
          </w:p>
        </w:tc>
        <w:tc>
          <w:tcPr>
            <w:tcW w:w="3231" w:type="dxa"/>
            <w:shd w:val="clear" w:color="auto" w:fill="auto"/>
            <w:vAlign w:val="center"/>
          </w:tcPr>
          <w:p w14:paraId="6B798B1C">
            <w:pPr>
              <w:bidi w:val="0"/>
              <w:spacing w:line="360" w:lineRule="auto"/>
              <w:jc w:val="center"/>
              <w:rPr>
                <w:rFonts w:hint="default"/>
                <w:highlight w:val="none"/>
                <w:vertAlign w:val="baseline"/>
                <w:lang w:val="en-US" w:eastAsia="zh-CN"/>
              </w:rPr>
            </w:pPr>
          </w:p>
        </w:tc>
      </w:tr>
      <w:tr w14:paraId="0686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3A4FFD09">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4</w:t>
            </w:r>
          </w:p>
        </w:tc>
        <w:tc>
          <w:tcPr>
            <w:tcW w:w="2877" w:type="dxa"/>
            <w:shd w:val="clear" w:color="auto" w:fill="auto"/>
            <w:vAlign w:val="center"/>
          </w:tcPr>
          <w:p w14:paraId="1F3C5CE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现场防治（堤防）</w:t>
            </w:r>
          </w:p>
        </w:tc>
        <w:tc>
          <w:tcPr>
            <w:tcW w:w="789" w:type="dxa"/>
            <w:shd w:val="clear" w:color="auto" w:fill="auto"/>
            <w:vAlign w:val="center"/>
          </w:tcPr>
          <w:p w14:paraId="0F5266A7">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M</w:t>
            </w:r>
            <w:r>
              <w:rPr>
                <w:rFonts w:hint="eastAsia"/>
                <w:highlight w:val="none"/>
                <w:vertAlign w:val="superscript"/>
                <w:lang w:val="en-US" w:eastAsia="zh-CN"/>
              </w:rPr>
              <w:t>2</w:t>
            </w:r>
          </w:p>
        </w:tc>
        <w:tc>
          <w:tcPr>
            <w:tcW w:w="1900" w:type="dxa"/>
            <w:shd w:val="clear" w:color="auto" w:fill="auto"/>
            <w:vAlign w:val="center"/>
          </w:tcPr>
          <w:p w14:paraId="2E5CE876">
            <w:pPr>
              <w:bidi w:val="0"/>
              <w:spacing w:line="360" w:lineRule="auto"/>
              <w:jc w:val="center"/>
              <w:rPr>
                <w:rFonts w:hint="eastAsia"/>
                <w:highlight w:val="none"/>
                <w:vertAlign w:val="baseline"/>
                <w:lang w:val="en-US" w:eastAsia="zh-CN"/>
              </w:rPr>
            </w:pPr>
          </w:p>
        </w:tc>
        <w:tc>
          <w:tcPr>
            <w:tcW w:w="3231" w:type="dxa"/>
            <w:shd w:val="clear" w:color="auto" w:fill="auto"/>
            <w:vAlign w:val="center"/>
          </w:tcPr>
          <w:p w14:paraId="1177725C">
            <w:pPr>
              <w:bidi w:val="0"/>
              <w:spacing w:line="360" w:lineRule="auto"/>
              <w:jc w:val="center"/>
              <w:rPr>
                <w:rFonts w:hint="default"/>
                <w:highlight w:val="none"/>
                <w:vertAlign w:val="baseline"/>
                <w:lang w:val="en-US" w:eastAsia="zh-CN"/>
              </w:rPr>
            </w:pPr>
            <w:r>
              <w:rPr>
                <w:rFonts w:hint="eastAsia" w:cstheme="minorBidi"/>
                <w:kern w:val="2"/>
                <w:sz w:val="21"/>
                <w:szCs w:val="24"/>
                <w:highlight w:val="none"/>
                <w:vertAlign w:val="baseline"/>
                <w:lang w:val="en-US" w:eastAsia="zh-CN" w:bidi="ar-SA"/>
              </w:rPr>
              <w:t>含覆盖式喷药</w:t>
            </w:r>
          </w:p>
        </w:tc>
      </w:tr>
      <w:tr w14:paraId="19AC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3D89F93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5</w:t>
            </w:r>
          </w:p>
        </w:tc>
        <w:tc>
          <w:tcPr>
            <w:tcW w:w="2877" w:type="dxa"/>
            <w:shd w:val="clear" w:color="auto" w:fill="auto"/>
            <w:vAlign w:val="center"/>
          </w:tcPr>
          <w:p w14:paraId="425ABE0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打孔灌药</w:t>
            </w:r>
          </w:p>
        </w:tc>
        <w:tc>
          <w:tcPr>
            <w:tcW w:w="789" w:type="dxa"/>
            <w:shd w:val="clear" w:color="auto" w:fill="auto"/>
            <w:vAlign w:val="center"/>
          </w:tcPr>
          <w:p w14:paraId="1E862F67">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孔</w:t>
            </w:r>
          </w:p>
        </w:tc>
        <w:tc>
          <w:tcPr>
            <w:tcW w:w="1900" w:type="dxa"/>
            <w:shd w:val="clear" w:color="auto" w:fill="auto"/>
            <w:vAlign w:val="center"/>
          </w:tcPr>
          <w:p w14:paraId="7BED30F3">
            <w:pPr>
              <w:bidi w:val="0"/>
              <w:spacing w:line="360" w:lineRule="auto"/>
              <w:jc w:val="center"/>
              <w:rPr>
                <w:rFonts w:hint="eastAsia"/>
                <w:highlight w:val="none"/>
                <w:vertAlign w:val="baseline"/>
                <w:lang w:val="en-US" w:eastAsia="zh-CN"/>
              </w:rPr>
            </w:pPr>
          </w:p>
        </w:tc>
        <w:tc>
          <w:tcPr>
            <w:tcW w:w="3231" w:type="dxa"/>
            <w:shd w:val="clear" w:color="auto" w:fill="auto"/>
            <w:vAlign w:val="center"/>
          </w:tcPr>
          <w:p w14:paraId="31C3F366">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梅花孔分布</w:t>
            </w:r>
          </w:p>
        </w:tc>
      </w:tr>
      <w:tr w14:paraId="18A5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18B4E389">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6</w:t>
            </w:r>
          </w:p>
        </w:tc>
        <w:tc>
          <w:tcPr>
            <w:tcW w:w="2877" w:type="dxa"/>
            <w:shd w:val="clear" w:color="auto" w:fill="auto"/>
            <w:vAlign w:val="center"/>
          </w:tcPr>
          <w:p w14:paraId="44104012">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打孔灌浆</w:t>
            </w:r>
          </w:p>
        </w:tc>
        <w:tc>
          <w:tcPr>
            <w:tcW w:w="789" w:type="dxa"/>
            <w:shd w:val="clear" w:color="auto" w:fill="auto"/>
            <w:vAlign w:val="center"/>
          </w:tcPr>
          <w:p w14:paraId="37F42903">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M</w:t>
            </w:r>
          </w:p>
        </w:tc>
        <w:tc>
          <w:tcPr>
            <w:tcW w:w="1900" w:type="dxa"/>
            <w:shd w:val="clear" w:color="auto" w:fill="auto"/>
            <w:vAlign w:val="center"/>
          </w:tcPr>
          <w:p w14:paraId="2C01E67C">
            <w:pPr>
              <w:bidi w:val="0"/>
              <w:spacing w:line="360" w:lineRule="auto"/>
              <w:jc w:val="center"/>
              <w:rPr>
                <w:rFonts w:hint="eastAsia"/>
                <w:highlight w:val="none"/>
                <w:vertAlign w:val="baseline"/>
                <w:lang w:val="en-US" w:eastAsia="zh-CN"/>
              </w:rPr>
            </w:pPr>
          </w:p>
        </w:tc>
        <w:tc>
          <w:tcPr>
            <w:tcW w:w="3231" w:type="dxa"/>
            <w:shd w:val="clear" w:color="auto" w:fill="auto"/>
            <w:vAlign w:val="center"/>
          </w:tcPr>
          <w:p w14:paraId="74B10642">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按灌浆孔深以“m”计算，孔深为地表以下垂直距离。</w:t>
            </w:r>
          </w:p>
        </w:tc>
      </w:tr>
      <w:tr w14:paraId="5D0F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203857E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7</w:t>
            </w:r>
          </w:p>
        </w:tc>
        <w:tc>
          <w:tcPr>
            <w:tcW w:w="2877" w:type="dxa"/>
            <w:shd w:val="clear" w:color="auto" w:fill="auto"/>
            <w:vAlign w:val="center"/>
          </w:tcPr>
          <w:p w14:paraId="6F29ED48">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设置诱杀点(坑)及回填夯实</w:t>
            </w:r>
          </w:p>
        </w:tc>
        <w:tc>
          <w:tcPr>
            <w:tcW w:w="789" w:type="dxa"/>
            <w:shd w:val="clear" w:color="auto" w:fill="auto"/>
            <w:vAlign w:val="center"/>
          </w:tcPr>
          <w:p w14:paraId="70399E82">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个</w:t>
            </w:r>
          </w:p>
        </w:tc>
        <w:tc>
          <w:tcPr>
            <w:tcW w:w="1900" w:type="dxa"/>
            <w:shd w:val="clear" w:color="auto" w:fill="auto"/>
            <w:vAlign w:val="center"/>
          </w:tcPr>
          <w:p w14:paraId="4B652788">
            <w:pPr>
              <w:bidi w:val="0"/>
              <w:spacing w:line="360" w:lineRule="auto"/>
              <w:jc w:val="center"/>
              <w:rPr>
                <w:rFonts w:hint="default"/>
                <w:highlight w:val="none"/>
                <w:vertAlign w:val="baseline"/>
                <w:lang w:val="en-US" w:eastAsia="zh-CN"/>
              </w:rPr>
            </w:pPr>
          </w:p>
        </w:tc>
        <w:tc>
          <w:tcPr>
            <w:tcW w:w="3231" w:type="dxa"/>
            <w:shd w:val="clear" w:color="auto" w:fill="auto"/>
            <w:vAlign w:val="center"/>
          </w:tcPr>
          <w:p w14:paraId="26C42B93">
            <w:pPr>
              <w:bidi w:val="0"/>
              <w:spacing w:line="360" w:lineRule="auto"/>
              <w:jc w:val="center"/>
              <w:rPr>
                <w:rFonts w:hint="default"/>
                <w:highlight w:val="none"/>
                <w:vertAlign w:val="baseline"/>
                <w:lang w:val="en-US" w:eastAsia="zh-CN"/>
              </w:rPr>
            </w:pPr>
            <w:r>
              <w:rPr>
                <w:rFonts w:hint="eastAsia"/>
                <w:b w:val="0"/>
                <w:bCs w:val="0"/>
                <w:highlight w:val="none"/>
                <w:vertAlign w:val="baseline"/>
                <w:lang w:val="en-US" w:eastAsia="zh-CN"/>
              </w:rPr>
              <w:t>人工挖设诱</w:t>
            </w:r>
            <w:r>
              <w:rPr>
                <w:rFonts w:hint="eastAsia"/>
                <w:b w:val="0"/>
                <w:bCs w:val="0"/>
                <w:highlight w:val="none"/>
                <w:lang w:val="en-US" w:eastAsia="zh-CN"/>
              </w:rPr>
              <w:t>杀点（坑）及回填</w:t>
            </w:r>
          </w:p>
        </w:tc>
      </w:tr>
      <w:tr w14:paraId="37A0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87" w:type="dxa"/>
            <w:shd w:val="clear" w:color="auto" w:fill="auto"/>
            <w:vAlign w:val="center"/>
          </w:tcPr>
          <w:p w14:paraId="16CB4B94">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8</w:t>
            </w:r>
          </w:p>
        </w:tc>
        <w:tc>
          <w:tcPr>
            <w:tcW w:w="2877" w:type="dxa"/>
            <w:shd w:val="clear" w:color="auto" w:fill="auto"/>
            <w:vAlign w:val="center"/>
          </w:tcPr>
          <w:p w14:paraId="2DDDDD4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人工挖巢主巢</w:t>
            </w:r>
          </w:p>
        </w:tc>
        <w:tc>
          <w:tcPr>
            <w:tcW w:w="789" w:type="dxa"/>
            <w:shd w:val="clear" w:color="auto" w:fill="auto"/>
            <w:vAlign w:val="center"/>
          </w:tcPr>
          <w:p w14:paraId="7827DC0D">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巢</w:t>
            </w:r>
          </w:p>
        </w:tc>
        <w:tc>
          <w:tcPr>
            <w:tcW w:w="1900" w:type="dxa"/>
            <w:shd w:val="clear" w:color="auto" w:fill="auto"/>
            <w:vAlign w:val="center"/>
          </w:tcPr>
          <w:p w14:paraId="13A7EB8E">
            <w:pPr>
              <w:bidi w:val="0"/>
              <w:spacing w:line="360" w:lineRule="auto"/>
              <w:jc w:val="center"/>
              <w:rPr>
                <w:rFonts w:hint="default"/>
                <w:highlight w:val="none"/>
                <w:vertAlign w:val="baseline"/>
                <w:lang w:val="en-US" w:eastAsia="zh-CN"/>
              </w:rPr>
            </w:pPr>
          </w:p>
        </w:tc>
        <w:tc>
          <w:tcPr>
            <w:tcW w:w="3231" w:type="dxa"/>
            <w:shd w:val="clear" w:color="auto" w:fill="auto"/>
            <w:vAlign w:val="center"/>
          </w:tcPr>
          <w:p w14:paraId="7052FDAE">
            <w:pPr>
              <w:bidi w:val="0"/>
              <w:spacing w:line="360" w:lineRule="auto"/>
              <w:jc w:val="center"/>
              <w:rPr>
                <w:rFonts w:hint="default"/>
                <w:b w:val="0"/>
                <w:bCs w:val="0"/>
                <w:highlight w:val="none"/>
                <w:vertAlign w:val="baseline"/>
                <w:lang w:val="en-US" w:eastAsia="zh-CN"/>
              </w:rPr>
            </w:pPr>
            <w:r>
              <w:rPr>
                <w:rFonts w:hint="eastAsia"/>
                <w:b w:val="0"/>
                <w:bCs w:val="0"/>
                <w:highlight w:val="none"/>
                <w:vertAlign w:val="baseline"/>
                <w:lang w:val="en-US" w:eastAsia="zh-CN"/>
              </w:rPr>
              <w:t>需要有蚁王蚁后</w:t>
            </w:r>
          </w:p>
        </w:tc>
      </w:tr>
      <w:tr w14:paraId="22F9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3E8172EF">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9</w:t>
            </w:r>
          </w:p>
        </w:tc>
        <w:tc>
          <w:tcPr>
            <w:tcW w:w="2877" w:type="dxa"/>
            <w:shd w:val="clear" w:color="auto" w:fill="auto"/>
            <w:vAlign w:val="center"/>
          </w:tcPr>
          <w:p w14:paraId="20806C9A">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人工挖巢副巢</w:t>
            </w:r>
          </w:p>
        </w:tc>
        <w:tc>
          <w:tcPr>
            <w:tcW w:w="789" w:type="dxa"/>
            <w:shd w:val="clear" w:color="auto" w:fill="auto"/>
            <w:vAlign w:val="center"/>
          </w:tcPr>
          <w:p w14:paraId="50A0BB15">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巢</w:t>
            </w:r>
          </w:p>
        </w:tc>
        <w:tc>
          <w:tcPr>
            <w:tcW w:w="1900" w:type="dxa"/>
            <w:shd w:val="clear" w:color="auto" w:fill="auto"/>
            <w:vAlign w:val="center"/>
          </w:tcPr>
          <w:p w14:paraId="51177019">
            <w:pPr>
              <w:bidi w:val="0"/>
              <w:spacing w:line="360" w:lineRule="auto"/>
              <w:jc w:val="center"/>
              <w:rPr>
                <w:rFonts w:hint="default"/>
                <w:highlight w:val="none"/>
                <w:vertAlign w:val="baseline"/>
                <w:lang w:val="en-US" w:eastAsia="zh-CN"/>
              </w:rPr>
            </w:pPr>
          </w:p>
        </w:tc>
        <w:tc>
          <w:tcPr>
            <w:tcW w:w="3231" w:type="dxa"/>
            <w:shd w:val="clear" w:color="auto" w:fill="auto"/>
            <w:vAlign w:val="center"/>
          </w:tcPr>
          <w:p w14:paraId="6590FA6D">
            <w:pPr>
              <w:bidi w:val="0"/>
              <w:spacing w:line="360" w:lineRule="auto"/>
              <w:jc w:val="center"/>
              <w:rPr>
                <w:rFonts w:hint="eastAsia"/>
                <w:b w:val="0"/>
                <w:bCs w:val="0"/>
                <w:highlight w:val="none"/>
                <w:vertAlign w:val="baseline"/>
                <w:lang w:val="en-US" w:eastAsia="zh-CN"/>
              </w:rPr>
            </w:pPr>
          </w:p>
        </w:tc>
      </w:tr>
      <w:tr w14:paraId="23F4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1357163E">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10</w:t>
            </w:r>
          </w:p>
        </w:tc>
        <w:tc>
          <w:tcPr>
            <w:tcW w:w="2877" w:type="dxa"/>
            <w:shd w:val="clear" w:color="auto" w:fill="auto"/>
            <w:vAlign w:val="center"/>
          </w:tcPr>
          <w:p w14:paraId="0158C646">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监测点维护</w:t>
            </w:r>
          </w:p>
        </w:tc>
        <w:tc>
          <w:tcPr>
            <w:tcW w:w="789" w:type="dxa"/>
            <w:shd w:val="clear" w:color="auto" w:fill="auto"/>
            <w:vAlign w:val="center"/>
          </w:tcPr>
          <w:p w14:paraId="520186E2">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个</w:t>
            </w:r>
          </w:p>
        </w:tc>
        <w:tc>
          <w:tcPr>
            <w:tcW w:w="1900" w:type="dxa"/>
            <w:shd w:val="clear" w:color="auto" w:fill="auto"/>
            <w:vAlign w:val="center"/>
          </w:tcPr>
          <w:p w14:paraId="7DB2BC20">
            <w:pPr>
              <w:bidi w:val="0"/>
              <w:spacing w:line="360" w:lineRule="auto"/>
              <w:jc w:val="center"/>
              <w:rPr>
                <w:rFonts w:hint="eastAsia"/>
                <w:highlight w:val="none"/>
                <w:vertAlign w:val="baseline"/>
                <w:lang w:val="en-US" w:eastAsia="zh-CN"/>
              </w:rPr>
            </w:pPr>
          </w:p>
        </w:tc>
        <w:tc>
          <w:tcPr>
            <w:tcW w:w="3231" w:type="dxa"/>
            <w:shd w:val="clear" w:color="auto" w:fill="auto"/>
            <w:vAlign w:val="center"/>
          </w:tcPr>
          <w:p w14:paraId="4455AD02">
            <w:pPr>
              <w:bidi w:val="0"/>
              <w:spacing w:line="360" w:lineRule="auto"/>
              <w:jc w:val="center"/>
              <w:rPr>
                <w:rFonts w:hint="eastAsia"/>
                <w:highlight w:val="none"/>
                <w:vertAlign w:val="baseline"/>
                <w:lang w:val="en-US" w:eastAsia="zh-CN"/>
              </w:rPr>
            </w:pPr>
            <w:r>
              <w:rPr>
                <w:rFonts w:hint="eastAsia"/>
                <w:b w:val="0"/>
                <w:bCs w:val="0"/>
                <w:highlight w:val="none"/>
                <w:vertAlign w:val="baseline"/>
                <w:lang w:val="en-US" w:eastAsia="zh-CN"/>
              </w:rPr>
              <w:t>3座水库</w:t>
            </w:r>
          </w:p>
        </w:tc>
      </w:tr>
      <w:tr w14:paraId="2420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11874C4A">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11</w:t>
            </w:r>
          </w:p>
        </w:tc>
        <w:tc>
          <w:tcPr>
            <w:tcW w:w="2877" w:type="dxa"/>
            <w:shd w:val="clear" w:color="auto" w:fill="auto"/>
            <w:vAlign w:val="center"/>
          </w:tcPr>
          <w:p w14:paraId="284DB853">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施工验收台账及宣传费用</w:t>
            </w:r>
          </w:p>
        </w:tc>
        <w:tc>
          <w:tcPr>
            <w:tcW w:w="789" w:type="dxa"/>
            <w:shd w:val="clear" w:color="auto" w:fill="auto"/>
            <w:vAlign w:val="center"/>
          </w:tcPr>
          <w:p w14:paraId="65FD06B2">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项</w:t>
            </w:r>
          </w:p>
        </w:tc>
        <w:tc>
          <w:tcPr>
            <w:tcW w:w="1900" w:type="dxa"/>
            <w:shd w:val="clear" w:color="auto" w:fill="auto"/>
            <w:vAlign w:val="center"/>
          </w:tcPr>
          <w:p w14:paraId="2C006EDE">
            <w:pPr>
              <w:bidi w:val="0"/>
              <w:spacing w:line="360" w:lineRule="auto"/>
              <w:jc w:val="center"/>
              <w:rPr>
                <w:rFonts w:hint="default"/>
                <w:highlight w:val="none"/>
                <w:vertAlign w:val="baseline"/>
                <w:lang w:val="en-US" w:eastAsia="zh-CN"/>
              </w:rPr>
            </w:pPr>
          </w:p>
        </w:tc>
        <w:tc>
          <w:tcPr>
            <w:tcW w:w="3231" w:type="dxa"/>
            <w:shd w:val="clear" w:color="auto" w:fill="auto"/>
            <w:vAlign w:val="center"/>
          </w:tcPr>
          <w:p w14:paraId="08454963">
            <w:pPr>
              <w:bidi w:val="0"/>
              <w:spacing w:line="360" w:lineRule="auto"/>
              <w:jc w:val="center"/>
              <w:rPr>
                <w:rFonts w:hint="eastAsia"/>
                <w:highlight w:val="none"/>
                <w:vertAlign w:val="baseline"/>
                <w:lang w:val="en-US" w:eastAsia="zh-CN"/>
              </w:rPr>
            </w:pPr>
            <w:r>
              <w:rPr>
                <w:rFonts w:hint="eastAsia"/>
                <w:b w:val="0"/>
                <w:bCs w:val="0"/>
                <w:highlight w:val="none"/>
                <w:vertAlign w:val="baseline"/>
                <w:lang w:val="en-US" w:eastAsia="zh-CN"/>
              </w:rPr>
              <w:t>维修电子宣传屏、整理台账上报平台及制作白蚁宣传</w:t>
            </w:r>
          </w:p>
        </w:tc>
      </w:tr>
      <w:tr w14:paraId="3C9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116F15B8">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12</w:t>
            </w:r>
          </w:p>
        </w:tc>
        <w:tc>
          <w:tcPr>
            <w:tcW w:w="2877" w:type="dxa"/>
            <w:shd w:val="clear" w:color="auto" w:fill="auto"/>
            <w:vAlign w:val="center"/>
          </w:tcPr>
          <w:p w14:paraId="02751B9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培训费用</w:t>
            </w:r>
          </w:p>
        </w:tc>
        <w:tc>
          <w:tcPr>
            <w:tcW w:w="789" w:type="dxa"/>
            <w:shd w:val="clear" w:color="auto" w:fill="auto"/>
            <w:vAlign w:val="center"/>
          </w:tcPr>
          <w:p w14:paraId="1FF8523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次</w:t>
            </w:r>
          </w:p>
        </w:tc>
        <w:tc>
          <w:tcPr>
            <w:tcW w:w="1900" w:type="dxa"/>
            <w:shd w:val="clear" w:color="auto" w:fill="auto"/>
            <w:vAlign w:val="center"/>
          </w:tcPr>
          <w:p w14:paraId="375BAF1D">
            <w:pPr>
              <w:bidi w:val="0"/>
              <w:spacing w:line="360" w:lineRule="auto"/>
              <w:jc w:val="center"/>
              <w:rPr>
                <w:rFonts w:hint="default"/>
                <w:highlight w:val="none"/>
                <w:vertAlign w:val="baseline"/>
                <w:lang w:val="en-US" w:eastAsia="zh-CN"/>
              </w:rPr>
            </w:pPr>
          </w:p>
        </w:tc>
        <w:tc>
          <w:tcPr>
            <w:tcW w:w="3231" w:type="dxa"/>
            <w:shd w:val="clear" w:color="auto" w:fill="auto"/>
            <w:vAlign w:val="center"/>
          </w:tcPr>
          <w:p w14:paraId="00CC7382">
            <w:pPr>
              <w:bidi w:val="0"/>
              <w:spacing w:line="360" w:lineRule="auto"/>
              <w:jc w:val="center"/>
              <w:rPr>
                <w:rFonts w:hint="default"/>
                <w:highlight w:val="none"/>
                <w:lang w:val="en-US" w:eastAsia="zh-CN"/>
              </w:rPr>
            </w:pPr>
            <w:r>
              <w:rPr>
                <w:rFonts w:hint="eastAsia"/>
                <w:b w:val="0"/>
                <w:bCs w:val="0"/>
                <w:highlight w:val="none"/>
                <w:vertAlign w:val="baseline"/>
                <w:lang w:val="en-US" w:eastAsia="zh-CN"/>
              </w:rPr>
              <w:t>至少开展2次培训</w:t>
            </w:r>
          </w:p>
        </w:tc>
      </w:tr>
      <w:tr w14:paraId="6F5A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151167C2">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13</w:t>
            </w:r>
          </w:p>
        </w:tc>
        <w:tc>
          <w:tcPr>
            <w:tcW w:w="2877" w:type="dxa"/>
            <w:shd w:val="clear" w:color="auto" w:fill="auto"/>
            <w:vAlign w:val="center"/>
          </w:tcPr>
          <w:p w14:paraId="32AF2492">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设备维护费用（2年）</w:t>
            </w:r>
          </w:p>
        </w:tc>
        <w:tc>
          <w:tcPr>
            <w:tcW w:w="789" w:type="dxa"/>
            <w:shd w:val="clear" w:color="auto" w:fill="auto"/>
            <w:vAlign w:val="center"/>
          </w:tcPr>
          <w:p w14:paraId="7E57914E">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项</w:t>
            </w:r>
          </w:p>
        </w:tc>
        <w:tc>
          <w:tcPr>
            <w:tcW w:w="1900" w:type="dxa"/>
            <w:shd w:val="clear" w:color="auto" w:fill="auto"/>
            <w:vAlign w:val="center"/>
          </w:tcPr>
          <w:p w14:paraId="63D8DDA1">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p>
        </w:tc>
        <w:tc>
          <w:tcPr>
            <w:tcW w:w="3231" w:type="dxa"/>
            <w:shd w:val="clear" w:color="auto" w:fill="auto"/>
            <w:vAlign w:val="center"/>
          </w:tcPr>
          <w:p w14:paraId="72FA098D">
            <w:pPr>
              <w:bidi w:val="0"/>
              <w:spacing w:line="360" w:lineRule="auto"/>
              <w:jc w:val="center"/>
              <w:rPr>
                <w:rFonts w:hint="eastAsia" w:asciiTheme="minorHAnsi" w:hAnsiTheme="minorHAnsi" w:eastAsiaTheme="minorEastAsia" w:cstheme="minorBidi"/>
                <w:b w:val="0"/>
                <w:bCs w:val="0"/>
                <w:kern w:val="2"/>
                <w:sz w:val="21"/>
                <w:szCs w:val="24"/>
                <w:highlight w:val="none"/>
                <w:vertAlign w:val="baseline"/>
                <w:lang w:val="en-US" w:eastAsia="zh-CN" w:bidi="ar-SA"/>
              </w:rPr>
            </w:pPr>
          </w:p>
        </w:tc>
      </w:tr>
      <w:tr w14:paraId="4AF6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4" w:type="dxa"/>
            <w:gridSpan w:val="5"/>
            <w:shd w:val="clear" w:color="auto" w:fill="auto"/>
            <w:vAlign w:val="center"/>
          </w:tcPr>
          <w:p w14:paraId="36367873">
            <w:pPr>
              <w:bidi w:val="0"/>
              <w:spacing w:line="360" w:lineRule="auto"/>
              <w:jc w:val="left"/>
              <w:rPr>
                <w:rFonts w:hint="default"/>
                <w:b w:val="0"/>
                <w:bCs w:val="0"/>
                <w:highlight w:val="none"/>
                <w:vertAlign w:val="baseline"/>
                <w:lang w:val="en-US" w:eastAsia="zh-CN"/>
              </w:rPr>
            </w:pPr>
            <w:r>
              <w:rPr>
                <w:rFonts w:hint="eastAsia"/>
                <w:b w:val="0"/>
                <w:bCs w:val="0"/>
                <w:highlight w:val="none"/>
                <w:vertAlign w:val="baseline"/>
                <w:lang w:val="en-US" w:eastAsia="zh-CN"/>
              </w:rPr>
              <w:t>注：所有项目均需有技术人员进行跟踪，服务期2年，以上施工内容均包含材料费用。</w:t>
            </w:r>
          </w:p>
        </w:tc>
      </w:tr>
    </w:tbl>
    <w:p w14:paraId="651ACB96">
      <w:pPr>
        <w:keepNext w:val="0"/>
        <w:keepLines w:val="0"/>
        <w:pageBreakBefore w:val="0"/>
        <w:widowControl/>
        <w:kinsoku/>
        <w:wordWrap/>
        <w:overflowPunct/>
        <w:topLinePunct w:val="0"/>
        <w:autoSpaceDE/>
        <w:autoSpaceDN/>
        <w:bidi w:val="0"/>
        <w:adjustRightInd/>
        <w:spacing w:beforeLines="0" w:afterLines="0" w:line="360" w:lineRule="auto"/>
        <w:outlineLvl w:val="2"/>
        <w:rPr>
          <w:rFonts w:hint="eastAsia" w:ascii="新宋体" w:hAnsi="新宋体" w:eastAsia="新宋体"/>
          <w:color w:val="auto"/>
          <w:sz w:val="21"/>
          <w:highlight w:val="none"/>
          <w:lang w:val="en-US"/>
        </w:rPr>
      </w:pPr>
      <w:r>
        <w:rPr>
          <w:rFonts w:hint="eastAsia" w:asciiTheme="majorEastAsia" w:hAnsiTheme="majorEastAsia" w:eastAsiaTheme="majorEastAsia" w:cstheme="majorEastAsia"/>
          <w:b/>
          <w:bCs/>
          <w:color w:val="auto"/>
          <w:sz w:val="21"/>
          <w:szCs w:val="21"/>
          <w:highlight w:val="none"/>
          <w:lang w:eastAsia="zh-CN"/>
        </w:rPr>
        <w:t>第</w:t>
      </w:r>
      <w:r>
        <w:rPr>
          <w:rFonts w:hint="eastAsia" w:asciiTheme="majorEastAsia" w:hAnsiTheme="majorEastAsia" w:eastAsiaTheme="majorEastAsia" w:cstheme="majorEastAsia"/>
          <w:b/>
          <w:bCs/>
          <w:color w:val="auto"/>
          <w:sz w:val="21"/>
          <w:szCs w:val="21"/>
          <w:highlight w:val="none"/>
          <w:lang w:val="en-US" w:eastAsia="zh-CN"/>
        </w:rPr>
        <w:t>四</w:t>
      </w:r>
      <w:r>
        <w:rPr>
          <w:rFonts w:hint="eastAsia" w:asciiTheme="majorEastAsia" w:hAnsiTheme="majorEastAsia" w:eastAsiaTheme="majorEastAsia" w:cstheme="majorEastAsia"/>
          <w:b/>
          <w:bCs/>
          <w:color w:val="auto"/>
          <w:sz w:val="21"/>
          <w:szCs w:val="21"/>
          <w:highlight w:val="none"/>
          <w:lang w:eastAsia="zh-CN"/>
        </w:rPr>
        <w:t>条</w:t>
      </w:r>
      <w:r>
        <w:rPr>
          <w:rFonts w:hint="eastAsia" w:asciiTheme="majorEastAsia" w:hAnsiTheme="majorEastAsia" w:eastAsiaTheme="majorEastAsia" w:cstheme="majorEastAsia"/>
          <w:b/>
          <w:bCs/>
          <w:color w:val="auto"/>
          <w:sz w:val="21"/>
          <w:szCs w:val="21"/>
          <w:highlight w:val="none"/>
          <w:lang w:val="en-US" w:eastAsia="zh-CN"/>
        </w:rPr>
        <w:t xml:space="preserve"> </w:t>
      </w:r>
      <w:r>
        <w:rPr>
          <w:rFonts w:hint="eastAsia" w:ascii="新宋体" w:hAnsi="新宋体" w:eastAsia="新宋体"/>
          <w:b/>
          <w:color w:val="auto"/>
          <w:sz w:val="21"/>
          <w:highlight w:val="none"/>
          <w:lang w:val="en-US"/>
        </w:rPr>
        <w:t>付款方式：</w:t>
      </w:r>
    </w:p>
    <w:p w14:paraId="7B81FD65">
      <w:pPr>
        <w:bidi w:val="0"/>
        <w:spacing w:line="360" w:lineRule="auto"/>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）预付款支付比例或金额：以人工投入为主的项目，合同生效以及具备实施条件后7个工作日内，甲方向乙方支付合同价款的</w:t>
      </w:r>
      <w:r>
        <w:rPr>
          <w:rFonts w:hint="eastAsia"/>
          <w:highlight w:val="none"/>
          <w:lang w:val="en-US" w:eastAsia="zh-CN"/>
        </w:rPr>
        <w:t>40</w:t>
      </w:r>
      <w:r>
        <w:rPr>
          <w:rFonts w:hint="eastAsia"/>
          <w:highlight w:val="none"/>
          <w:lang w:eastAsia="zh-CN"/>
        </w:rPr>
        <w:t>%的预付款。（根据浙财采监[2022]3号文件执行，在签订合同时，乙方明确表示无需预付款或者主动要求降低预付款比例的，甲方可不适用前述规定预付款）</w:t>
      </w:r>
    </w:p>
    <w:p w14:paraId="3072C5DB">
      <w:pPr>
        <w:bidi w:val="0"/>
        <w:spacing w:line="360" w:lineRule="auto"/>
        <w:rPr>
          <w:rFonts w:hint="eastAsia" w:ascii="宋体" w:hAnsi="宋体" w:eastAsia="宋体" w:cs="宋体"/>
          <w:highlight w:val="none"/>
        </w:rPr>
      </w:pPr>
      <w:r>
        <w:rPr>
          <w:rFonts w:hint="eastAsia"/>
          <w:highlight w:val="none"/>
          <w:lang w:eastAsia="zh-CN"/>
        </w:rPr>
        <w:t>（2）</w:t>
      </w:r>
      <w:r>
        <w:rPr>
          <w:rFonts w:hint="eastAsia" w:ascii="宋体" w:hAnsi="宋体" w:eastAsia="宋体" w:cs="宋体"/>
          <w:highlight w:val="none"/>
          <w:lang w:val="en-US" w:eastAsia="zh-CN"/>
        </w:rPr>
        <w:t>2026</w:t>
      </w:r>
      <w:r>
        <w:rPr>
          <w:rFonts w:hint="eastAsia" w:ascii="宋体" w:hAnsi="宋体" w:eastAsia="宋体" w:cs="宋体"/>
          <w:color w:val="FF0000"/>
          <w:highlight w:val="none"/>
          <w:lang w:val="en-US" w:eastAsia="zh-CN"/>
        </w:rPr>
        <w:t>年1月31日</w:t>
      </w:r>
      <w:r>
        <w:rPr>
          <w:rFonts w:hint="eastAsia" w:ascii="宋体" w:hAnsi="宋体" w:eastAsia="宋体" w:cs="宋体"/>
          <w:highlight w:val="none"/>
          <w:lang w:val="en-US" w:eastAsia="zh-CN"/>
        </w:rPr>
        <w:t>之前支付至合同价款的85%，2026</w:t>
      </w:r>
      <w:r>
        <w:rPr>
          <w:rFonts w:hint="eastAsia" w:ascii="宋体" w:hAnsi="宋体" w:eastAsia="宋体" w:cs="宋体"/>
          <w:color w:val="FF0000"/>
          <w:highlight w:val="none"/>
          <w:lang w:val="en-US" w:eastAsia="zh-CN"/>
        </w:rPr>
        <w:t>年5月31日</w:t>
      </w:r>
      <w:r>
        <w:rPr>
          <w:rFonts w:hint="eastAsia" w:ascii="宋体" w:hAnsi="宋体" w:eastAsia="宋体" w:cs="宋体"/>
          <w:highlight w:val="none"/>
          <w:lang w:val="en-US" w:eastAsia="zh-CN"/>
        </w:rPr>
        <w:t>前支付至合同价款的95%，</w:t>
      </w:r>
      <w:r>
        <w:rPr>
          <w:rFonts w:hint="eastAsia" w:ascii="宋体" w:hAnsi="宋体" w:eastAsia="宋体" w:cs="宋体"/>
          <w:highlight w:val="none"/>
        </w:rPr>
        <w:t>合同</w:t>
      </w:r>
      <w:r>
        <w:rPr>
          <w:rFonts w:hint="eastAsia" w:ascii="宋体" w:hAnsi="宋体" w:eastAsia="宋体" w:cs="宋体"/>
          <w:highlight w:val="none"/>
          <w:lang w:val="en-US" w:eastAsia="zh-CN"/>
        </w:rPr>
        <w:t>履约完成且通过验收后</w:t>
      </w:r>
      <w:r>
        <w:rPr>
          <w:rFonts w:hint="eastAsia" w:ascii="宋体" w:hAnsi="宋体" w:eastAsia="宋体" w:cs="宋体"/>
          <w:highlight w:val="none"/>
        </w:rPr>
        <w:t>，</w:t>
      </w:r>
      <w:r>
        <w:rPr>
          <w:rFonts w:hint="eastAsia" w:ascii="宋体" w:hAnsi="宋体" w:eastAsia="宋体" w:cs="宋体"/>
          <w:highlight w:val="none"/>
          <w:lang w:val="en-US" w:eastAsia="zh-CN"/>
        </w:rPr>
        <w:t>采购人支付至合同价款的100%</w:t>
      </w:r>
      <w:r>
        <w:rPr>
          <w:rFonts w:hint="eastAsia" w:ascii="宋体" w:hAnsi="宋体" w:eastAsia="宋体" w:cs="宋体"/>
          <w:highlight w:val="none"/>
        </w:rPr>
        <w:t>。对于满足合同支付约定条件的，采购人于收到中标供应商开具的正式税务发票后7个工作日内予以支付相应款项，具体视财政资金到位情况为准，由违约或验收结果引起的经济扣罚，直接在进度款中扣除。（具体支付情况视财政资金到位情况为准）</w:t>
      </w:r>
    </w:p>
    <w:p w14:paraId="028FAB1C">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bookmarkStart w:id="319" w:name="_Toc12684"/>
      <w:r>
        <w:rPr>
          <w:rFonts w:hint="eastAsia" w:ascii="新宋体" w:hAnsi="新宋体" w:eastAsia="新宋体"/>
          <w:b/>
          <w:color w:val="auto"/>
          <w:sz w:val="21"/>
          <w:highlight w:val="none"/>
          <w:lang w:val="en-US"/>
        </w:rPr>
        <w:t>第五条  承包方式</w:t>
      </w:r>
      <w:bookmarkEnd w:id="319"/>
    </w:p>
    <w:p w14:paraId="21A3E4DB">
      <w:pPr>
        <w:keepNext w:val="0"/>
        <w:keepLines w:val="0"/>
        <w:pageBreakBefore w:val="0"/>
        <w:widowControl/>
        <w:kinsoku/>
        <w:wordWrap/>
        <w:overflowPunct/>
        <w:topLinePunct w:val="0"/>
        <w:autoSpaceDE/>
        <w:autoSpaceDN/>
        <w:bidi w:val="0"/>
        <w:adjustRightInd/>
        <w:spacing w:beforeLines="0" w:afterLines="0" w:line="360" w:lineRule="auto"/>
        <w:rPr>
          <w:rFonts w:hint="eastAsia" w:ascii="宋体" w:hAnsi="宋体" w:eastAsia="宋体"/>
          <w:b/>
          <w:color w:val="auto"/>
          <w:sz w:val="21"/>
          <w:highlight w:val="none"/>
          <w:lang w:val="en-US"/>
        </w:rPr>
      </w:pPr>
      <w:r>
        <w:rPr>
          <w:rFonts w:hint="eastAsia" w:ascii="宋体" w:hAnsi="宋体" w:eastAsia="宋体"/>
          <w:b/>
          <w:color w:val="auto"/>
          <w:sz w:val="21"/>
          <w:highlight w:val="none"/>
          <w:lang w:val="en-US" w:eastAsia="zh-CN"/>
        </w:rPr>
        <w:t>① 固定总价</w:t>
      </w:r>
      <w:r>
        <w:rPr>
          <w:rFonts w:hint="eastAsia" w:ascii="宋体" w:hAnsi="宋体" w:eastAsia="宋体"/>
          <w:b/>
          <w:color w:val="auto"/>
          <w:sz w:val="21"/>
          <w:highlight w:val="none"/>
          <w:lang w:val="en-US"/>
        </w:rPr>
        <w:t>承包。</w:t>
      </w:r>
    </w:p>
    <w:p w14:paraId="57C83A63">
      <w:pPr>
        <w:pStyle w:val="9"/>
        <w:keepNext w:val="0"/>
        <w:keepLines w:val="0"/>
        <w:pageBreakBefore w:val="0"/>
        <w:widowControl/>
        <w:numPr>
          <w:ilvl w:val="0"/>
          <w:numId w:val="0"/>
        </w:numPr>
        <w:kinsoku/>
        <w:wordWrap/>
        <w:overflowPunct/>
        <w:topLinePunct w:val="0"/>
        <w:autoSpaceDE/>
        <w:autoSpaceDN/>
        <w:bidi w:val="0"/>
        <w:adjustRightInd/>
        <w:spacing w:after="0" w:line="360" w:lineRule="auto"/>
        <w:ind w:leftChars="0"/>
        <w:rPr>
          <w:rFonts w:hint="eastAsia" w:eastAsiaTheme="minorEastAsia"/>
          <w:highlight w:val="none"/>
          <w:lang w:val="en-US" w:eastAsia="zh-CN"/>
        </w:rPr>
      </w:pPr>
      <w:r>
        <w:rPr>
          <w:rFonts w:hint="eastAsia" w:ascii="宋体" w:hAnsi="宋体" w:eastAsia="宋体" w:cs="宋体"/>
          <w:highlight w:val="none"/>
          <w:lang w:val="en-US" w:eastAsia="zh-CN"/>
        </w:rPr>
        <w:t xml:space="preserve">② </w:t>
      </w:r>
      <w:r>
        <w:rPr>
          <w:rFonts w:hint="eastAsia" w:ascii="Arial" w:hAnsi="宋体" w:cs="Arial"/>
          <w:highlight w:val="none"/>
          <w:lang w:eastAsia="zh-CN"/>
        </w:rPr>
        <w:t>乙方</w:t>
      </w:r>
      <w:r>
        <w:rPr>
          <w:rFonts w:hint="eastAsia" w:ascii="Arial" w:hAnsi="宋体" w:cs="Arial"/>
          <w:highlight w:val="none"/>
        </w:rPr>
        <w:t>按有关规定采取严格的安全措施，承担由于自身安全措施不力造成的事故责任和因此发生的费用及后果，</w:t>
      </w:r>
      <w:r>
        <w:rPr>
          <w:rFonts w:hint="eastAsia" w:ascii="Arial" w:hAnsi="宋体" w:cs="Arial"/>
          <w:highlight w:val="none"/>
          <w:lang w:eastAsia="zh-CN"/>
        </w:rPr>
        <w:t>乙方</w:t>
      </w:r>
      <w:r>
        <w:rPr>
          <w:rFonts w:hint="eastAsia" w:ascii="Arial" w:hAnsi="宋体" w:cs="Arial"/>
          <w:highlight w:val="none"/>
        </w:rPr>
        <w:t>服务人员的人身安全由</w:t>
      </w:r>
      <w:r>
        <w:rPr>
          <w:rFonts w:hint="eastAsia" w:ascii="Arial" w:hAnsi="宋体" w:cs="Arial"/>
          <w:highlight w:val="none"/>
          <w:lang w:eastAsia="zh-CN"/>
        </w:rPr>
        <w:t>乙方</w:t>
      </w:r>
      <w:r>
        <w:rPr>
          <w:rFonts w:hint="eastAsia" w:ascii="Arial" w:hAnsi="宋体" w:cs="Arial"/>
          <w:highlight w:val="none"/>
        </w:rPr>
        <w:t>负责。</w:t>
      </w:r>
      <w:r>
        <w:rPr>
          <w:rFonts w:hint="eastAsia" w:ascii="Arial" w:hAnsi="宋体" w:cs="Arial"/>
          <w:highlight w:val="none"/>
          <w:lang w:eastAsia="zh-CN"/>
        </w:rPr>
        <w:t>乙方</w:t>
      </w:r>
      <w:r>
        <w:rPr>
          <w:rFonts w:hint="eastAsia" w:ascii="Arial" w:hAnsi="宋体" w:cs="Arial"/>
          <w:highlight w:val="none"/>
        </w:rPr>
        <w:t>应为服务人员购买人身意外伤害险及与</w:t>
      </w:r>
      <w:r>
        <w:rPr>
          <w:rFonts w:hint="eastAsia" w:ascii="Arial" w:hAnsi="宋体" w:cs="Arial"/>
          <w:highlight w:val="none"/>
          <w:lang w:val="en-US" w:eastAsia="zh-CN"/>
        </w:rPr>
        <w:t>服务</w:t>
      </w:r>
      <w:r>
        <w:rPr>
          <w:rFonts w:hint="eastAsia" w:ascii="Arial" w:hAnsi="宋体" w:cs="Arial"/>
          <w:highlight w:val="none"/>
        </w:rPr>
        <w:t>有关的一切保险。凡在</w:t>
      </w:r>
      <w:r>
        <w:rPr>
          <w:rFonts w:hint="eastAsia" w:ascii="Arial" w:hAnsi="宋体" w:cs="Arial"/>
          <w:highlight w:val="none"/>
          <w:lang w:val="en-US" w:eastAsia="zh-CN"/>
        </w:rPr>
        <w:t>服务</w:t>
      </w:r>
      <w:r>
        <w:rPr>
          <w:rFonts w:hint="eastAsia" w:ascii="Arial" w:hAnsi="宋体" w:cs="Arial"/>
          <w:highlight w:val="none"/>
        </w:rPr>
        <w:t>过程中发生安全责任事故或其他责任事故，均由</w:t>
      </w:r>
      <w:r>
        <w:rPr>
          <w:rFonts w:hint="eastAsia" w:ascii="Arial" w:hAnsi="宋体" w:cs="Arial"/>
          <w:highlight w:val="none"/>
          <w:lang w:eastAsia="zh-CN"/>
        </w:rPr>
        <w:t>乙方</w:t>
      </w:r>
      <w:r>
        <w:rPr>
          <w:rFonts w:hint="eastAsia" w:ascii="Arial" w:hAnsi="宋体" w:cs="Arial"/>
          <w:highlight w:val="none"/>
        </w:rPr>
        <w:t xml:space="preserve">承担责任。 </w:t>
      </w:r>
    </w:p>
    <w:p w14:paraId="5639EA9E">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bookmarkStart w:id="320" w:name="_Toc7509"/>
      <w:r>
        <w:rPr>
          <w:rFonts w:hint="eastAsia" w:ascii="新宋体" w:hAnsi="新宋体" w:eastAsia="新宋体"/>
          <w:b/>
          <w:color w:val="auto"/>
          <w:sz w:val="21"/>
          <w:highlight w:val="none"/>
          <w:lang w:val="en-US"/>
        </w:rPr>
        <w:t>第</w:t>
      </w:r>
      <w:r>
        <w:rPr>
          <w:rFonts w:hint="eastAsia" w:ascii="新宋体" w:hAnsi="新宋体" w:eastAsia="新宋体"/>
          <w:b/>
          <w:color w:val="auto"/>
          <w:sz w:val="21"/>
          <w:highlight w:val="none"/>
          <w:lang w:val="en-US" w:eastAsia="zh-CN"/>
        </w:rPr>
        <w:t>六</w:t>
      </w:r>
      <w:r>
        <w:rPr>
          <w:rFonts w:hint="eastAsia" w:ascii="新宋体" w:hAnsi="新宋体" w:eastAsia="新宋体"/>
          <w:b/>
          <w:color w:val="auto"/>
          <w:sz w:val="21"/>
          <w:highlight w:val="none"/>
          <w:lang w:val="en-US"/>
        </w:rPr>
        <w:t>条  权利和义务</w:t>
      </w:r>
      <w:bookmarkEnd w:id="320"/>
    </w:p>
    <w:p w14:paraId="1CF15676">
      <w:pPr>
        <w:keepNext w:val="0"/>
        <w:keepLines w:val="0"/>
        <w:pageBreakBefore w:val="0"/>
        <w:widowControl/>
        <w:kinsoku/>
        <w:wordWrap/>
        <w:overflowPunct/>
        <w:topLinePunct w:val="0"/>
        <w:autoSpaceDE/>
        <w:autoSpaceDN/>
        <w:bidi w:val="0"/>
        <w:adjustRightInd/>
        <w:spacing w:beforeLines="0" w:afterLines="0" w:line="360" w:lineRule="auto"/>
        <w:outlineLvl w:val="2"/>
        <w:rPr>
          <w:rFonts w:hint="eastAsia" w:ascii="新宋体" w:hAnsi="新宋体" w:eastAsia="新宋体"/>
          <w:color w:val="auto"/>
          <w:sz w:val="21"/>
          <w:highlight w:val="none"/>
          <w:lang w:val="en-US"/>
        </w:rPr>
      </w:pPr>
      <w:bookmarkStart w:id="321" w:name="_Toc23536"/>
      <w:r>
        <w:rPr>
          <w:rFonts w:hint="eastAsia" w:ascii="新宋体" w:hAnsi="新宋体" w:eastAsia="新宋体"/>
          <w:color w:val="auto"/>
          <w:sz w:val="21"/>
          <w:highlight w:val="none"/>
          <w:lang w:val="en-US"/>
        </w:rPr>
        <w:t>（一）甲方权利与义务</w:t>
      </w:r>
      <w:bookmarkEnd w:id="321"/>
    </w:p>
    <w:p w14:paraId="104FC1CA">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eastAsia="zh-CN"/>
        </w:rPr>
        <w:t>1、</w:t>
      </w:r>
      <w:r>
        <w:rPr>
          <w:rFonts w:hint="eastAsia" w:ascii="新宋体" w:hAnsi="新宋体" w:eastAsia="新宋体"/>
          <w:color w:val="auto"/>
          <w:sz w:val="21"/>
          <w:highlight w:val="none"/>
          <w:lang w:val="en-US"/>
        </w:rPr>
        <w:t>在合同执行期内，甲方应积极配合乙方做好</w:t>
      </w:r>
      <w:r>
        <w:rPr>
          <w:rFonts w:hint="eastAsia" w:ascii="新宋体" w:hAnsi="新宋体" w:eastAsia="新宋体"/>
          <w:color w:val="auto"/>
          <w:sz w:val="21"/>
          <w:highlight w:val="none"/>
          <w:lang w:val="en-US" w:eastAsia="zh-CN"/>
        </w:rPr>
        <w:t>白蚁防治</w:t>
      </w:r>
      <w:r>
        <w:rPr>
          <w:rFonts w:hint="eastAsia" w:ascii="新宋体" w:hAnsi="新宋体" w:eastAsia="新宋体"/>
          <w:color w:val="auto"/>
          <w:sz w:val="21"/>
          <w:highlight w:val="none"/>
          <w:lang w:val="en-US"/>
        </w:rPr>
        <w:t>工作。</w:t>
      </w:r>
    </w:p>
    <w:p w14:paraId="4E1EE1CF">
      <w:pPr>
        <w:keepNext w:val="0"/>
        <w:keepLines w:val="0"/>
        <w:pageBreakBefore w:val="0"/>
        <w:widowControl/>
        <w:kinsoku/>
        <w:wordWrap/>
        <w:overflowPunct/>
        <w:topLinePunct w:val="0"/>
        <w:autoSpaceDE/>
        <w:autoSpaceDN/>
        <w:bidi w:val="0"/>
        <w:adjustRightInd/>
        <w:spacing w:beforeLines="0" w:afterLines="0" w:line="360" w:lineRule="auto"/>
        <w:outlineLvl w:val="2"/>
        <w:rPr>
          <w:rFonts w:hint="default" w:ascii="Arial" w:hAnsi="Arial" w:eastAsia="宋体" w:cs="Arial"/>
          <w:color w:val="auto"/>
          <w:sz w:val="21"/>
          <w:szCs w:val="21"/>
          <w:highlight w:val="none"/>
        </w:rPr>
      </w:pPr>
      <w:bookmarkStart w:id="322" w:name="_Toc2638"/>
      <w:r>
        <w:rPr>
          <w:rFonts w:hint="eastAsia" w:ascii="新宋体" w:hAnsi="新宋体" w:eastAsia="新宋体"/>
          <w:color w:val="auto"/>
          <w:sz w:val="21"/>
          <w:highlight w:val="none"/>
          <w:lang w:val="en-US"/>
        </w:rPr>
        <w:t>（二）乙方权利和义务</w:t>
      </w:r>
      <w:bookmarkEnd w:id="322"/>
      <w:r>
        <w:rPr>
          <w:rFonts w:hint="default" w:ascii="Arial" w:hAnsi="Arial" w:eastAsia="宋体" w:cs="Arial"/>
          <w:color w:val="auto"/>
          <w:sz w:val="21"/>
          <w:szCs w:val="21"/>
          <w:highlight w:val="none"/>
        </w:rPr>
        <w:t>。</w:t>
      </w:r>
    </w:p>
    <w:p w14:paraId="6944E1F1">
      <w:pPr>
        <w:bidi w:val="0"/>
        <w:spacing w:line="360" w:lineRule="auto"/>
        <w:rPr>
          <w:rFonts w:hint="default"/>
          <w:highlight w:val="none"/>
        </w:rPr>
      </w:pPr>
      <w:r>
        <w:rPr>
          <w:rFonts w:hint="eastAsia"/>
          <w:highlight w:val="none"/>
          <w:lang w:val="en-US" w:eastAsia="zh-CN"/>
        </w:rPr>
        <w:t>1、</w:t>
      </w:r>
      <w:r>
        <w:rPr>
          <w:rFonts w:hint="default"/>
          <w:highlight w:val="none"/>
          <w:lang w:eastAsia="zh-CN"/>
        </w:rPr>
        <w:t>合同</w:t>
      </w:r>
      <w:r>
        <w:rPr>
          <w:rFonts w:hint="default"/>
          <w:highlight w:val="none"/>
        </w:rPr>
        <w:t>生效后，乙方将派具有专业的技术人员为甲方提供白蚁等害堤动物普查与防治</w:t>
      </w:r>
      <w:r>
        <w:rPr>
          <w:rFonts w:hint="eastAsia"/>
          <w:highlight w:val="none"/>
          <w:lang w:val="en-US" w:eastAsia="zh-CN"/>
        </w:rPr>
        <w:t>服务</w:t>
      </w:r>
      <w:r>
        <w:rPr>
          <w:rFonts w:hint="default"/>
          <w:highlight w:val="none"/>
        </w:rPr>
        <w:t>。</w:t>
      </w:r>
    </w:p>
    <w:p w14:paraId="34EB06E9">
      <w:pPr>
        <w:bidi w:val="0"/>
        <w:spacing w:line="360" w:lineRule="auto"/>
        <w:rPr>
          <w:rFonts w:hint="default"/>
          <w:highlight w:val="none"/>
        </w:rPr>
      </w:pPr>
      <w:r>
        <w:rPr>
          <w:rFonts w:hint="eastAsia"/>
          <w:highlight w:val="none"/>
          <w:lang w:val="en-US" w:eastAsia="zh-CN"/>
        </w:rPr>
        <w:t>2、</w:t>
      </w:r>
      <w:r>
        <w:rPr>
          <w:rFonts w:hint="default"/>
          <w:highlight w:val="none"/>
        </w:rPr>
        <w:t>在</w:t>
      </w:r>
      <w:r>
        <w:rPr>
          <w:rFonts w:hint="eastAsia"/>
          <w:highlight w:val="none"/>
          <w:lang w:val="en-US" w:eastAsia="zh-CN"/>
        </w:rPr>
        <w:t>服务</w:t>
      </w:r>
      <w:r>
        <w:rPr>
          <w:rFonts w:hint="default"/>
          <w:highlight w:val="none"/>
        </w:rPr>
        <w:t>过程中乙方人员如需将甲方的设备搬离甲方所在地，须征得甲方同意，出具相关手续，并在指定时间内</w:t>
      </w:r>
      <w:r>
        <w:rPr>
          <w:rFonts w:hint="default"/>
          <w:highlight w:val="none"/>
          <w:lang w:val="en-US" w:eastAsia="zh-CN"/>
        </w:rPr>
        <w:t>归</w:t>
      </w:r>
      <w:r>
        <w:rPr>
          <w:rFonts w:hint="default"/>
          <w:highlight w:val="none"/>
        </w:rPr>
        <w:t>还给甲方。</w:t>
      </w:r>
    </w:p>
    <w:p w14:paraId="20B8953A">
      <w:pPr>
        <w:bidi w:val="0"/>
        <w:spacing w:line="360" w:lineRule="auto"/>
        <w:rPr>
          <w:rFonts w:hint="default"/>
          <w:highlight w:val="none"/>
        </w:rPr>
      </w:pPr>
      <w:r>
        <w:rPr>
          <w:rFonts w:hint="eastAsia"/>
          <w:highlight w:val="none"/>
          <w:lang w:val="en-US" w:eastAsia="zh-CN"/>
        </w:rPr>
        <w:t>3、</w:t>
      </w:r>
      <w:r>
        <w:rPr>
          <w:rFonts w:hint="default"/>
          <w:highlight w:val="none"/>
          <w:lang w:val="en-US" w:eastAsia="zh-CN"/>
        </w:rPr>
        <w:t>如发现异常，乙方</w:t>
      </w:r>
      <w:r>
        <w:rPr>
          <w:rFonts w:hint="eastAsia"/>
          <w:highlight w:val="none"/>
          <w:lang w:val="en-US" w:eastAsia="zh-CN"/>
        </w:rPr>
        <w:t>应</w:t>
      </w:r>
      <w:r>
        <w:rPr>
          <w:rFonts w:hint="default"/>
          <w:highlight w:val="none"/>
          <w:lang w:val="en-US" w:eastAsia="zh-CN"/>
        </w:rPr>
        <w:t>及时出具</w:t>
      </w:r>
      <w:r>
        <w:rPr>
          <w:rFonts w:hint="eastAsia"/>
          <w:highlight w:val="none"/>
          <w:lang w:val="en-US" w:eastAsia="zh-CN"/>
        </w:rPr>
        <w:t>异常</w:t>
      </w:r>
      <w:r>
        <w:rPr>
          <w:rFonts w:hint="default"/>
          <w:highlight w:val="none"/>
          <w:lang w:val="en-US" w:eastAsia="zh-CN"/>
        </w:rPr>
        <w:t>报告单告知甲方</w:t>
      </w:r>
      <w:r>
        <w:rPr>
          <w:rFonts w:hint="default"/>
          <w:highlight w:val="none"/>
        </w:rPr>
        <w:t>，</w:t>
      </w:r>
      <w:r>
        <w:rPr>
          <w:rFonts w:hint="default"/>
          <w:highlight w:val="none"/>
          <w:lang w:val="en-US" w:eastAsia="zh-CN"/>
        </w:rPr>
        <w:t>在征</w:t>
      </w:r>
      <w:r>
        <w:rPr>
          <w:rFonts w:hint="eastAsia"/>
          <w:highlight w:val="none"/>
          <w:lang w:val="en-US" w:eastAsia="zh-CN"/>
        </w:rPr>
        <w:t>得</w:t>
      </w:r>
      <w:r>
        <w:rPr>
          <w:rFonts w:hint="default"/>
          <w:highlight w:val="none"/>
          <w:lang w:val="en-US" w:eastAsia="zh-CN"/>
        </w:rPr>
        <w:t>甲方处理意见后乙方安排专业技术人员对相关问题进行排查处理，并将最终处理结果返馈给乙方备案</w:t>
      </w:r>
      <w:r>
        <w:rPr>
          <w:rFonts w:hint="default"/>
          <w:highlight w:val="none"/>
        </w:rPr>
        <w:t>。</w:t>
      </w:r>
    </w:p>
    <w:p w14:paraId="68B11833">
      <w:pPr>
        <w:bidi w:val="0"/>
        <w:spacing w:line="360" w:lineRule="auto"/>
        <w:rPr>
          <w:rFonts w:hint="default"/>
          <w:highlight w:val="none"/>
        </w:rPr>
      </w:pPr>
      <w:r>
        <w:rPr>
          <w:rFonts w:hint="eastAsia"/>
          <w:highlight w:val="none"/>
          <w:lang w:val="en-US" w:eastAsia="zh-CN"/>
        </w:rPr>
        <w:t>4、</w:t>
      </w:r>
      <w:r>
        <w:rPr>
          <w:rFonts w:hint="default"/>
          <w:highlight w:val="none"/>
        </w:rPr>
        <w:t>在</w:t>
      </w:r>
      <w:r>
        <w:rPr>
          <w:rFonts w:hint="default"/>
          <w:highlight w:val="none"/>
          <w:lang w:eastAsia="zh-CN"/>
        </w:rPr>
        <w:t>合同</w:t>
      </w:r>
      <w:r>
        <w:rPr>
          <w:rFonts w:hint="default"/>
          <w:highlight w:val="none"/>
        </w:rPr>
        <w:t>期内，乙方向甲方提供</w:t>
      </w:r>
      <w:r>
        <w:rPr>
          <w:rFonts w:hint="default"/>
          <w:highlight w:val="none"/>
          <w:lang w:val="en-US" w:eastAsia="zh-CN"/>
        </w:rPr>
        <w:t>白蚁等害堤动物普查与防治</w:t>
      </w:r>
      <w:r>
        <w:rPr>
          <w:rFonts w:hint="eastAsia"/>
          <w:highlight w:val="none"/>
          <w:lang w:val="en-US" w:eastAsia="zh-CN"/>
        </w:rPr>
        <w:t>服务，</w:t>
      </w:r>
      <w:r>
        <w:rPr>
          <w:rFonts w:hint="default"/>
          <w:highlight w:val="none"/>
        </w:rPr>
        <w:t>所产生的各项</w:t>
      </w:r>
      <w:r>
        <w:rPr>
          <w:rFonts w:hint="default"/>
          <w:highlight w:val="none"/>
          <w:lang w:val="en-US" w:eastAsia="zh-CN"/>
        </w:rPr>
        <w:t>人员、交通等</w:t>
      </w:r>
      <w:r>
        <w:rPr>
          <w:rFonts w:hint="default"/>
          <w:highlight w:val="none"/>
        </w:rPr>
        <w:t>费用，由乙方自行负担，不再另外收费。</w:t>
      </w:r>
    </w:p>
    <w:p w14:paraId="5FB25C9D">
      <w:pPr>
        <w:bidi w:val="0"/>
        <w:spacing w:line="360" w:lineRule="auto"/>
        <w:rPr>
          <w:rFonts w:hint="default"/>
          <w:highlight w:val="none"/>
        </w:rPr>
      </w:pPr>
      <w:r>
        <w:rPr>
          <w:rFonts w:hint="eastAsia"/>
          <w:highlight w:val="none"/>
          <w:lang w:val="en-US" w:eastAsia="zh-CN"/>
        </w:rPr>
        <w:t>5、</w:t>
      </w:r>
      <w:r>
        <w:rPr>
          <w:rFonts w:hint="default"/>
          <w:highlight w:val="none"/>
        </w:rPr>
        <w:t>在</w:t>
      </w:r>
      <w:r>
        <w:rPr>
          <w:rFonts w:hint="default"/>
          <w:highlight w:val="none"/>
          <w:lang w:eastAsia="zh-CN"/>
        </w:rPr>
        <w:t>合同</w:t>
      </w:r>
      <w:r>
        <w:rPr>
          <w:rFonts w:hint="default"/>
          <w:highlight w:val="none"/>
        </w:rPr>
        <w:t>期内，甲方有关</w:t>
      </w:r>
      <w:r>
        <w:rPr>
          <w:rFonts w:hint="eastAsia"/>
          <w:highlight w:val="none"/>
          <w:lang w:val="en-US" w:eastAsia="zh-CN"/>
        </w:rPr>
        <w:t>白蚁防治的</w:t>
      </w:r>
      <w:r>
        <w:rPr>
          <w:rFonts w:hint="default"/>
          <w:highlight w:val="none"/>
        </w:rPr>
        <w:t>其他工作需要配合的，乙方应当予以积极配合。</w:t>
      </w:r>
    </w:p>
    <w:p w14:paraId="4ADAA69A">
      <w:pPr>
        <w:bidi w:val="0"/>
        <w:spacing w:line="360" w:lineRule="auto"/>
        <w:rPr>
          <w:rFonts w:hint="eastAsia" w:ascii="宋体" w:hAnsi="宋体" w:eastAsia="宋体"/>
          <w:color w:val="auto"/>
          <w:highlight w:val="none"/>
          <w:lang w:val="en-US"/>
        </w:rPr>
      </w:pPr>
      <w:r>
        <w:rPr>
          <w:rFonts w:hint="eastAsia"/>
          <w:highlight w:val="none"/>
          <w:lang w:val="en-US" w:eastAsia="zh-CN"/>
        </w:rPr>
        <w:t>6、</w:t>
      </w:r>
      <w:r>
        <w:rPr>
          <w:rFonts w:hint="default"/>
          <w:highlight w:val="none"/>
          <w:lang w:val="en-US" w:eastAsia="zh-CN"/>
        </w:rPr>
        <w:t>合同期内乙方人员的安全由乙方完全负责，乙方应严格落实人员的安全防范措施和责任</w:t>
      </w:r>
      <w:r>
        <w:rPr>
          <w:rFonts w:hint="default" w:ascii="Arial" w:hAnsi="Arial" w:eastAsia="宋体" w:cs="Arial"/>
          <w:color w:val="auto"/>
          <w:szCs w:val="21"/>
          <w:highlight w:val="none"/>
          <w:lang w:val="en-US" w:eastAsia="zh-CN"/>
        </w:rPr>
        <w:t>。</w:t>
      </w:r>
    </w:p>
    <w:p w14:paraId="3638F609">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bookmarkStart w:id="323" w:name="_Toc16211"/>
      <w:r>
        <w:rPr>
          <w:rFonts w:hint="eastAsia" w:ascii="新宋体" w:hAnsi="新宋体" w:eastAsia="新宋体"/>
          <w:b/>
          <w:color w:val="auto"/>
          <w:sz w:val="21"/>
          <w:highlight w:val="none"/>
          <w:lang w:val="en-US"/>
        </w:rPr>
        <w:t>第</w:t>
      </w:r>
      <w:r>
        <w:rPr>
          <w:rFonts w:hint="eastAsia" w:ascii="新宋体" w:hAnsi="新宋体" w:eastAsia="新宋体"/>
          <w:b/>
          <w:color w:val="auto"/>
          <w:sz w:val="21"/>
          <w:highlight w:val="none"/>
          <w:lang w:val="en-US" w:eastAsia="zh-CN"/>
        </w:rPr>
        <w:t>七</w:t>
      </w:r>
      <w:r>
        <w:rPr>
          <w:rFonts w:hint="eastAsia" w:ascii="新宋体" w:hAnsi="新宋体" w:eastAsia="新宋体"/>
          <w:b/>
          <w:color w:val="auto"/>
          <w:sz w:val="21"/>
          <w:highlight w:val="none"/>
          <w:lang w:val="en-US"/>
        </w:rPr>
        <w:t>条  合同组成</w:t>
      </w:r>
      <w:bookmarkEnd w:id="323"/>
    </w:p>
    <w:p w14:paraId="52040487">
      <w:pPr>
        <w:keepNext w:val="0"/>
        <w:keepLines w:val="0"/>
        <w:pageBreakBefore w:val="0"/>
        <w:widowControl/>
        <w:kinsoku/>
        <w:wordWrap/>
        <w:overflowPunct/>
        <w:topLinePunct w:val="0"/>
        <w:autoSpaceDE/>
        <w:autoSpaceDN/>
        <w:bidi w:val="0"/>
        <w:adjustRightInd/>
        <w:spacing w:beforeLines="0" w:afterLines="0" w:line="360" w:lineRule="auto"/>
        <w:ind w:firstLine="420"/>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承包合同由《招标文件》、《投标文件》、承诺书及附件为本合同的有效组成部分。</w:t>
      </w:r>
    </w:p>
    <w:p w14:paraId="2FE6C218">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bookmarkStart w:id="324" w:name="_Toc9173"/>
      <w:r>
        <w:rPr>
          <w:rFonts w:hint="eastAsia" w:ascii="新宋体" w:hAnsi="新宋体" w:eastAsia="新宋体"/>
          <w:b/>
          <w:color w:val="auto"/>
          <w:sz w:val="21"/>
          <w:highlight w:val="none"/>
          <w:lang w:val="en-US"/>
        </w:rPr>
        <w:t>第</w:t>
      </w:r>
      <w:r>
        <w:rPr>
          <w:rFonts w:hint="eastAsia" w:ascii="新宋体" w:hAnsi="新宋体" w:eastAsia="新宋体"/>
          <w:b/>
          <w:color w:val="auto"/>
          <w:sz w:val="21"/>
          <w:highlight w:val="none"/>
          <w:lang w:val="en-US" w:eastAsia="zh-CN"/>
        </w:rPr>
        <w:t>八</w:t>
      </w:r>
      <w:r>
        <w:rPr>
          <w:rFonts w:hint="eastAsia" w:ascii="新宋体" w:hAnsi="新宋体" w:eastAsia="新宋体"/>
          <w:b/>
          <w:color w:val="auto"/>
          <w:sz w:val="21"/>
          <w:highlight w:val="none"/>
          <w:lang w:val="en-US"/>
        </w:rPr>
        <w:t>条  违约责任</w:t>
      </w:r>
      <w:bookmarkEnd w:id="324"/>
    </w:p>
    <w:p w14:paraId="44CBFAC6">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eastAsia="zh-CN"/>
        </w:rPr>
      </w:pPr>
      <w:r>
        <w:rPr>
          <w:rFonts w:hint="eastAsia" w:ascii="新宋体" w:hAnsi="新宋体" w:eastAsia="新宋体"/>
          <w:color w:val="auto"/>
          <w:sz w:val="21"/>
          <w:highlight w:val="none"/>
          <w:lang w:val="en-US" w:eastAsia="zh-CN"/>
        </w:rPr>
        <w:t>（一）</w:t>
      </w:r>
      <w:r>
        <w:rPr>
          <w:rFonts w:hint="eastAsia" w:ascii="新宋体" w:hAnsi="新宋体" w:eastAsia="新宋体"/>
          <w:color w:val="auto"/>
          <w:sz w:val="21"/>
          <w:highlight w:val="none"/>
          <w:lang w:val="en-US"/>
        </w:rPr>
        <w:t>方在合同期内未按合同约定为乙方开展工作提供便利条件的，免除乙方责任；未按约定进行费用结算的，支付未付金额10％的违约金。因政策、财政原因导致逾期支付的，甲方不承担违约责任</w:t>
      </w:r>
      <w:r>
        <w:rPr>
          <w:rFonts w:hint="eastAsia" w:ascii="新宋体" w:hAnsi="新宋体" w:eastAsia="新宋体"/>
          <w:color w:val="auto"/>
          <w:sz w:val="21"/>
          <w:highlight w:val="none"/>
          <w:lang w:val="en-US" w:eastAsia="zh-CN"/>
        </w:rPr>
        <w:t>。</w:t>
      </w:r>
    </w:p>
    <w:p w14:paraId="54AEFE5E">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eastAsia="zh-CN"/>
        </w:rPr>
        <w:t>（二）</w:t>
      </w:r>
      <w:r>
        <w:rPr>
          <w:rFonts w:hint="eastAsia" w:ascii="新宋体" w:hAnsi="新宋体" w:eastAsia="新宋体"/>
          <w:color w:val="auto"/>
          <w:sz w:val="21"/>
          <w:highlight w:val="none"/>
          <w:lang w:val="en-US"/>
        </w:rPr>
        <w:t>乙方在合同期内未按合同约定提供服务的，甲方有权每次扣除合同金额1％的违约金；乙方违反保密合同的，甲方有权扣除合同金额5％的违约金，且甲方有权解除本合同；乙方不能胜任工作的，甲方有权解除本合同，乙方需向甲方支付合同金额10％的违约金。</w:t>
      </w:r>
    </w:p>
    <w:p w14:paraId="042296EC">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r>
        <w:rPr>
          <w:rFonts w:hint="eastAsia" w:ascii="新宋体" w:hAnsi="新宋体" w:eastAsia="新宋体"/>
          <w:b/>
          <w:color w:val="auto"/>
          <w:sz w:val="21"/>
          <w:highlight w:val="none"/>
          <w:lang w:val="en-US"/>
        </w:rPr>
        <w:t>第</w:t>
      </w:r>
      <w:r>
        <w:rPr>
          <w:rFonts w:hint="eastAsia" w:ascii="新宋体" w:hAnsi="新宋体" w:eastAsia="新宋体"/>
          <w:b/>
          <w:color w:val="auto"/>
          <w:sz w:val="21"/>
          <w:highlight w:val="none"/>
          <w:lang w:val="en-US" w:eastAsia="zh-CN"/>
        </w:rPr>
        <w:t>九</w:t>
      </w:r>
      <w:r>
        <w:rPr>
          <w:rFonts w:hint="eastAsia" w:ascii="新宋体" w:hAnsi="新宋体" w:eastAsia="新宋体"/>
          <w:b/>
          <w:color w:val="auto"/>
          <w:sz w:val="21"/>
          <w:highlight w:val="none"/>
          <w:lang w:val="en-US"/>
        </w:rPr>
        <w:t>条  关于保密</w:t>
      </w:r>
    </w:p>
    <w:p w14:paraId="27963C4B">
      <w:pPr>
        <w:keepNext w:val="0"/>
        <w:keepLines w:val="0"/>
        <w:pageBreakBefore w:val="0"/>
        <w:widowControl/>
        <w:kinsoku/>
        <w:wordWrap/>
        <w:overflowPunct/>
        <w:topLinePunct w:val="0"/>
        <w:autoSpaceDE/>
        <w:autoSpaceDN/>
        <w:bidi w:val="0"/>
        <w:adjustRightInd/>
        <w:spacing w:beforeLines="0" w:afterLines="0" w:line="360" w:lineRule="auto"/>
        <w:ind w:firstLine="420" w:firstLineChars="200"/>
        <w:outlineLvl w:val="1"/>
        <w:rPr>
          <w:rFonts w:hint="eastAsia" w:ascii="新宋体" w:hAnsi="新宋体" w:eastAsia="新宋体"/>
          <w:b/>
          <w:color w:val="auto"/>
          <w:sz w:val="21"/>
          <w:highlight w:val="none"/>
          <w:lang w:val="en-US"/>
        </w:rPr>
      </w:pPr>
      <w:r>
        <w:rPr>
          <w:rFonts w:hint="eastAsia" w:ascii="新宋体" w:hAnsi="新宋体" w:eastAsia="新宋体"/>
          <w:b w:val="0"/>
          <w:bCs/>
          <w:color w:val="auto"/>
          <w:sz w:val="21"/>
          <w:highlight w:val="none"/>
          <w:lang w:val="en-US"/>
        </w:rPr>
        <w:t>凡涉及甲方的信息不得向第三方泄露，维护过程中如需涉及业务数据资料，必须先通过甲方认可，但业务数据资料严禁乙方任何人员查看、删除、拷贝。乙方须与甲方签定保密合同，乙方与维护人员须签定保密合同，并提供一份给甲方。</w:t>
      </w:r>
    </w:p>
    <w:p w14:paraId="0C5B7ADD">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r>
        <w:rPr>
          <w:rFonts w:hint="eastAsia" w:ascii="新宋体" w:hAnsi="新宋体" w:eastAsia="新宋体"/>
          <w:b/>
          <w:color w:val="auto"/>
          <w:sz w:val="21"/>
          <w:highlight w:val="none"/>
          <w:lang w:val="en-US" w:eastAsia="zh-CN"/>
        </w:rPr>
        <w:t xml:space="preserve">第十条  </w:t>
      </w:r>
      <w:r>
        <w:rPr>
          <w:rFonts w:hint="eastAsia" w:ascii="新宋体" w:hAnsi="新宋体" w:eastAsia="新宋体"/>
          <w:b/>
          <w:color w:val="auto"/>
          <w:sz w:val="21"/>
          <w:highlight w:val="none"/>
          <w:lang w:val="en-US"/>
        </w:rPr>
        <w:t>争议的解决</w:t>
      </w:r>
    </w:p>
    <w:p w14:paraId="31908BD7">
      <w:pPr>
        <w:keepNext w:val="0"/>
        <w:keepLines w:val="0"/>
        <w:pageBreakBefore w:val="0"/>
        <w:widowControl/>
        <w:kinsoku/>
        <w:wordWrap/>
        <w:overflowPunct/>
        <w:topLinePunct w:val="0"/>
        <w:autoSpaceDE/>
        <w:autoSpaceDN/>
        <w:bidi w:val="0"/>
        <w:adjustRightInd/>
        <w:spacing w:beforeLines="0" w:afterLines="0" w:line="360" w:lineRule="auto"/>
        <w:ind w:firstLine="420"/>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合同未尽事宜，应双方友好协调解决。协商不一致，任何一方均可提起仲裁或诉讼，仲裁或诉讼按合同履行地原则。</w:t>
      </w:r>
    </w:p>
    <w:p w14:paraId="0FA059A6">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eastAsia="zh-CN"/>
        </w:rPr>
      </w:pPr>
      <w:r>
        <w:rPr>
          <w:rFonts w:hint="eastAsia" w:ascii="新宋体" w:hAnsi="新宋体" w:eastAsia="新宋体"/>
          <w:b/>
          <w:color w:val="auto"/>
          <w:sz w:val="21"/>
          <w:highlight w:val="none"/>
          <w:lang w:val="en-US"/>
        </w:rPr>
        <w:t>第十</w:t>
      </w:r>
      <w:r>
        <w:rPr>
          <w:rFonts w:hint="eastAsia" w:ascii="新宋体" w:hAnsi="新宋体" w:eastAsia="新宋体"/>
          <w:b/>
          <w:color w:val="auto"/>
          <w:sz w:val="21"/>
          <w:highlight w:val="none"/>
          <w:lang w:val="en-US" w:eastAsia="zh-CN"/>
        </w:rPr>
        <w:t>一</w:t>
      </w:r>
      <w:r>
        <w:rPr>
          <w:rFonts w:hint="eastAsia" w:ascii="新宋体" w:hAnsi="新宋体" w:eastAsia="新宋体"/>
          <w:b/>
          <w:color w:val="auto"/>
          <w:sz w:val="21"/>
          <w:highlight w:val="none"/>
          <w:lang w:val="en-US"/>
        </w:rPr>
        <w:t xml:space="preserve">条  </w:t>
      </w:r>
      <w:r>
        <w:rPr>
          <w:rFonts w:hint="eastAsia" w:ascii="新宋体" w:hAnsi="新宋体" w:eastAsia="新宋体"/>
          <w:b/>
          <w:color w:val="auto"/>
          <w:sz w:val="21"/>
          <w:highlight w:val="none"/>
          <w:lang w:val="en-US" w:eastAsia="zh-CN"/>
        </w:rPr>
        <w:t>不可抗力</w:t>
      </w:r>
    </w:p>
    <w:p w14:paraId="52A70EF0">
      <w:pPr>
        <w:keepNext w:val="0"/>
        <w:keepLines w:val="0"/>
        <w:pageBreakBefore w:val="0"/>
        <w:widowControl/>
        <w:kinsoku/>
        <w:wordWrap/>
        <w:overflowPunct/>
        <w:topLinePunct w:val="0"/>
        <w:autoSpaceDE/>
        <w:autoSpaceDN/>
        <w:bidi w:val="0"/>
        <w:adjustRightInd/>
        <w:spacing w:beforeLines="0" w:afterLines="0" w:line="360" w:lineRule="auto"/>
        <w:ind w:firstLine="420" w:firstLineChars="200"/>
        <w:outlineLvl w:val="1"/>
        <w:rPr>
          <w:rFonts w:hint="eastAsia" w:ascii="新宋体" w:hAnsi="新宋体" w:eastAsia="新宋体"/>
          <w:b/>
          <w:color w:val="auto"/>
          <w:sz w:val="21"/>
          <w:highlight w:val="none"/>
          <w:lang w:val="en-US" w:eastAsia="zh-CN"/>
        </w:rPr>
      </w:pPr>
      <w:r>
        <w:rPr>
          <w:rFonts w:hint="eastAsia" w:ascii="新宋体" w:hAnsi="新宋体" w:eastAsia="新宋体"/>
          <w:b w:val="0"/>
          <w:bCs/>
          <w:color w:val="auto"/>
          <w:sz w:val="21"/>
          <w:highlight w:val="none"/>
          <w:lang w:val="en-US" w:eastAsia="zh-CN"/>
        </w:rPr>
        <w:t>任何一方由于不可抗力因素致使合同无法履行或延期履行的，应于不可抗力发生后合理时间内书面通知对方，双方可另行协商履行期限、终止或解除本合同，并根据情况可部分或全部免予承担违约责任。</w:t>
      </w:r>
    </w:p>
    <w:p w14:paraId="26C669C2">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r>
        <w:rPr>
          <w:rFonts w:hint="eastAsia" w:ascii="新宋体" w:hAnsi="新宋体" w:eastAsia="新宋体"/>
          <w:b/>
          <w:color w:val="auto"/>
          <w:sz w:val="21"/>
          <w:highlight w:val="none"/>
          <w:lang w:val="en-US" w:eastAsia="zh-CN"/>
        </w:rPr>
        <w:t xml:space="preserve">第十二条  </w:t>
      </w:r>
      <w:r>
        <w:rPr>
          <w:rFonts w:hint="eastAsia" w:ascii="新宋体" w:hAnsi="新宋体" w:eastAsia="新宋体"/>
          <w:b/>
          <w:color w:val="auto"/>
          <w:sz w:val="21"/>
          <w:highlight w:val="none"/>
          <w:lang w:val="en-US"/>
        </w:rPr>
        <w:t>合同生效及终止</w:t>
      </w:r>
    </w:p>
    <w:p w14:paraId="01317024">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（一）合同生效：本合同自甲乙双方全权代表人签字、盖章之日起生效。</w:t>
      </w:r>
    </w:p>
    <w:p w14:paraId="5FA1BDD5">
      <w:pPr>
        <w:keepNext w:val="0"/>
        <w:keepLines w:val="0"/>
        <w:pageBreakBefore w:val="0"/>
        <w:widowControl/>
        <w:kinsoku/>
        <w:wordWrap/>
        <w:overflowPunct/>
        <w:topLinePunct w:val="0"/>
        <w:autoSpaceDE/>
        <w:autoSpaceDN/>
        <w:bidi w:val="0"/>
        <w:adjustRightInd/>
        <w:spacing w:beforeLines="0" w:afterLines="0" w:line="360" w:lineRule="auto"/>
        <w:outlineLvl w:val="2"/>
        <w:rPr>
          <w:rFonts w:hint="eastAsia" w:ascii="新宋体" w:hAnsi="新宋体" w:eastAsia="新宋体"/>
          <w:color w:val="auto"/>
          <w:sz w:val="21"/>
          <w:highlight w:val="none"/>
          <w:lang w:val="en-US"/>
        </w:rPr>
      </w:pPr>
      <w:bookmarkStart w:id="325" w:name="_Toc6855"/>
      <w:r>
        <w:rPr>
          <w:rFonts w:hint="eastAsia" w:ascii="新宋体" w:hAnsi="新宋体" w:eastAsia="新宋体"/>
          <w:color w:val="auto"/>
          <w:sz w:val="21"/>
          <w:highlight w:val="none"/>
          <w:lang w:val="en-US"/>
        </w:rPr>
        <w:t>（二）合同终止：本合同出现以下情况时终止。</w:t>
      </w:r>
      <w:bookmarkEnd w:id="325"/>
    </w:p>
    <w:p w14:paraId="2F232436">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1、期限届满时自行终止。</w:t>
      </w:r>
    </w:p>
    <w:p w14:paraId="1405ACCA">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2、有以下行为之一的：</w:t>
      </w:r>
    </w:p>
    <w:p w14:paraId="4ACEC74D">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（1）违反管理规定，造成重大伤亡或重大损失。</w:t>
      </w:r>
    </w:p>
    <w:p w14:paraId="6A3E1618">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（2）因管理不善造成恶劣影响。</w:t>
      </w:r>
    </w:p>
    <w:p w14:paraId="0837E3D0">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（3）擅自将合同转包给第三者。</w:t>
      </w:r>
    </w:p>
    <w:p w14:paraId="03A4EE51">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（4）违反劳动法或其他相关法律法规，造成恶劣影响。</w:t>
      </w:r>
    </w:p>
    <w:p w14:paraId="391635A9">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（5）弄虚作假及其他不正当行为。</w:t>
      </w:r>
    </w:p>
    <w:p w14:paraId="402FD699">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3、</w:t>
      </w:r>
      <w:r>
        <w:rPr>
          <w:rFonts w:hint="eastAsia" w:ascii="宋体" w:hAnsi="宋体" w:eastAsia="宋体"/>
          <w:color w:val="auto"/>
          <w:sz w:val="21"/>
          <w:highlight w:val="none"/>
          <w:lang w:val="en-US"/>
        </w:rPr>
        <w:t>如上述文件与本合同有不符之处，以有利于甲方的为准。</w:t>
      </w:r>
    </w:p>
    <w:p w14:paraId="03129342">
      <w:pPr>
        <w:keepNext w:val="0"/>
        <w:keepLines w:val="0"/>
        <w:pageBreakBefore w:val="0"/>
        <w:widowControl/>
        <w:kinsoku/>
        <w:wordWrap/>
        <w:overflowPunct/>
        <w:topLinePunct w:val="0"/>
        <w:autoSpaceDE/>
        <w:autoSpaceDN/>
        <w:bidi w:val="0"/>
        <w:adjustRightInd/>
        <w:spacing w:beforeLines="0" w:afterLines="0" w:line="360" w:lineRule="auto"/>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4、法律规定的终止事由。</w:t>
      </w:r>
    </w:p>
    <w:p w14:paraId="53DCE2C7">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bookmarkStart w:id="326" w:name="_Toc24301"/>
      <w:r>
        <w:rPr>
          <w:rFonts w:hint="eastAsia" w:ascii="新宋体" w:hAnsi="新宋体" w:eastAsia="新宋体"/>
          <w:b/>
          <w:color w:val="auto"/>
          <w:sz w:val="21"/>
          <w:highlight w:val="none"/>
          <w:lang w:val="en-US"/>
        </w:rPr>
        <w:t>第十</w:t>
      </w:r>
      <w:r>
        <w:rPr>
          <w:rFonts w:hint="eastAsia" w:ascii="新宋体" w:hAnsi="新宋体" w:eastAsia="新宋体"/>
          <w:b/>
          <w:color w:val="auto"/>
          <w:sz w:val="21"/>
          <w:highlight w:val="none"/>
          <w:lang w:val="en-US" w:eastAsia="zh-CN"/>
        </w:rPr>
        <w:t>三</w:t>
      </w:r>
      <w:r>
        <w:rPr>
          <w:rFonts w:hint="eastAsia" w:ascii="新宋体" w:hAnsi="新宋体" w:eastAsia="新宋体"/>
          <w:b/>
          <w:color w:val="auto"/>
          <w:sz w:val="21"/>
          <w:highlight w:val="none"/>
          <w:lang w:val="en-US"/>
        </w:rPr>
        <w:t>条  合同的解释</w:t>
      </w:r>
      <w:bookmarkEnd w:id="326"/>
    </w:p>
    <w:p w14:paraId="7EF93E20">
      <w:pPr>
        <w:keepNext w:val="0"/>
        <w:keepLines w:val="0"/>
        <w:pageBreakBefore w:val="0"/>
        <w:widowControl/>
        <w:kinsoku/>
        <w:wordWrap/>
        <w:overflowPunct/>
        <w:topLinePunct w:val="0"/>
        <w:autoSpaceDE/>
        <w:autoSpaceDN/>
        <w:bidi w:val="0"/>
        <w:adjustRightInd/>
        <w:spacing w:beforeLines="0" w:afterLines="0" w:line="360" w:lineRule="auto"/>
        <w:ind w:firstLine="420" w:firstLineChars="200"/>
        <w:rPr>
          <w:rFonts w:hint="eastAsia" w:ascii="新宋体" w:hAnsi="新宋体" w:eastAsia="新宋体"/>
          <w:color w:val="auto"/>
          <w:sz w:val="21"/>
          <w:highlight w:val="none"/>
          <w:lang w:val="en-US"/>
        </w:rPr>
      </w:pPr>
      <w:r>
        <w:rPr>
          <w:rFonts w:hint="eastAsia" w:ascii="新宋体" w:hAnsi="新宋体" w:eastAsia="新宋体"/>
          <w:color w:val="auto"/>
          <w:sz w:val="21"/>
          <w:highlight w:val="none"/>
          <w:lang w:val="en-US"/>
        </w:rPr>
        <w:t>本合同的解释权在甲方</w:t>
      </w:r>
      <w:r>
        <w:rPr>
          <w:rFonts w:hint="eastAsia" w:ascii="新宋体" w:hAnsi="新宋体" w:eastAsia="新宋体"/>
          <w:color w:val="auto"/>
          <w:sz w:val="22"/>
          <w:highlight w:val="none"/>
          <w:lang w:val="en-US"/>
        </w:rPr>
        <w:t>。</w:t>
      </w:r>
      <w:r>
        <w:rPr>
          <w:rFonts w:hint="eastAsia" w:ascii="新宋体" w:hAnsi="新宋体" w:eastAsia="新宋体"/>
          <w:color w:val="auto"/>
          <w:sz w:val="21"/>
          <w:highlight w:val="none"/>
          <w:lang w:val="en-US"/>
        </w:rPr>
        <w:t xml:space="preserve">         </w:t>
      </w:r>
    </w:p>
    <w:p w14:paraId="71230C92">
      <w:pPr>
        <w:keepNext w:val="0"/>
        <w:keepLines w:val="0"/>
        <w:pageBreakBefore w:val="0"/>
        <w:widowControl/>
        <w:kinsoku/>
        <w:wordWrap/>
        <w:overflowPunct/>
        <w:topLinePunct w:val="0"/>
        <w:autoSpaceDE/>
        <w:autoSpaceDN/>
        <w:bidi w:val="0"/>
        <w:adjustRightInd/>
        <w:spacing w:beforeLines="0" w:afterLines="0" w:line="360" w:lineRule="auto"/>
        <w:outlineLvl w:val="1"/>
        <w:rPr>
          <w:rFonts w:hint="eastAsia" w:ascii="新宋体" w:hAnsi="新宋体" w:eastAsia="新宋体"/>
          <w:b/>
          <w:color w:val="auto"/>
          <w:sz w:val="21"/>
          <w:highlight w:val="none"/>
          <w:lang w:val="en-US"/>
        </w:rPr>
      </w:pPr>
      <w:bookmarkStart w:id="327" w:name="_Toc359"/>
      <w:r>
        <w:rPr>
          <w:rFonts w:hint="eastAsia" w:ascii="新宋体" w:hAnsi="新宋体" w:eastAsia="新宋体"/>
          <w:b/>
          <w:color w:val="auto"/>
          <w:sz w:val="21"/>
          <w:highlight w:val="none"/>
          <w:lang w:val="en-US"/>
        </w:rPr>
        <w:t>第十</w:t>
      </w:r>
      <w:r>
        <w:rPr>
          <w:rFonts w:hint="eastAsia" w:ascii="新宋体" w:hAnsi="新宋体" w:eastAsia="新宋体"/>
          <w:b/>
          <w:color w:val="auto"/>
          <w:sz w:val="21"/>
          <w:highlight w:val="none"/>
          <w:lang w:val="en-US" w:eastAsia="zh-CN"/>
        </w:rPr>
        <w:t>四</w:t>
      </w:r>
      <w:r>
        <w:rPr>
          <w:rFonts w:hint="eastAsia" w:ascii="新宋体" w:hAnsi="新宋体" w:eastAsia="新宋体"/>
          <w:b/>
          <w:color w:val="auto"/>
          <w:sz w:val="21"/>
          <w:highlight w:val="none"/>
          <w:lang w:val="en-US"/>
        </w:rPr>
        <w:t>条  合同的份数</w:t>
      </w:r>
      <w:bookmarkEnd w:id="327"/>
    </w:p>
    <w:p w14:paraId="6B06DF94">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20" w:firstLineChars="200"/>
        <w:jc w:val="both"/>
        <w:rPr>
          <w:rFonts w:hint="eastAsia" w:ascii="宋体" w:hAnsi="宋体"/>
          <w:highlight w:val="none"/>
          <w:lang w:val="en-US"/>
        </w:rPr>
      </w:pPr>
      <w:r>
        <w:rPr>
          <w:rFonts w:hint="eastAsia" w:ascii="宋体" w:hAnsi="宋体"/>
          <w:highlight w:val="none"/>
          <w:lang w:val="en-US"/>
        </w:rPr>
        <w:t>本合同一式</w:t>
      </w:r>
      <w:r>
        <w:rPr>
          <w:rFonts w:hint="eastAsia" w:ascii="宋体" w:hAnsi="宋体"/>
          <w:highlight w:val="none"/>
          <w:lang w:val="en-US" w:eastAsia="zh-CN"/>
        </w:rPr>
        <w:t>伍</w:t>
      </w:r>
      <w:r>
        <w:rPr>
          <w:rFonts w:hint="eastAsia" w:ascii="宋体" w:hAnsi="宋体"/>
          <w:highlight w:val="none"/>
          <w:lang w:val="en-US"/>
        </w:rPr>
        <w:t>份，双方各执</w:t>
      </w:r>
      <w:r>
        <w:rPr>
          <w:rFonts w:hint="eastAsia" w:ascii="宋体" w:hAnsi="宋体"/>
          <w:highlight w:val="none"/>
          <w:lang w:val="en-US" w:eastAsia="zh-CN"/>
        </w:rPr>
        <w:t>贰</w:t>
      </w:r>
      <w:r>
        <w:rPr>
          <w:rFonts w:hint="eastAsia" w:ascii="宋体" w:hAnsi="宋体"/>
          <w:highlight w:val="none"/>
          <w:lang w:val="en-US"/>
        </w:rPr>
        <w:t>份，代理机构执</w:t>
      </w:r>
      <w:r>
        <w:rPr>
          <w:rFonts w:hint="eastAsia" w:ascii="宋体" w:hAnsi="宋体"/>
          <w:highlight w:val="none"/>
          <w:lang w:val="en-US" w:eastAsia="zh-CN"/>
        </w:rPr>
        <w:t>壹</w:t>
      </w:r>
      <w:r>
        <w:rPr>
          <w:rFonts w:hint="eastAsia" w:ascii="宋体" w:hAnsi="宋体"/>
          <w:highlight w:val="none"/>
          <w:lang w:val="en-US"/>
        </w:rPr>
        <w:t>份，每份具有同等法律效力，自双方签字盖章后生效。</w:t>
      </w:r>
    </w:p>
    <w:p w14:paraId="5FB3B866">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甲    方：（印章）                   乙    方：（印章）</w:t>
      </w:r>
    </w:p>
    <w:p w14:paraId="700B6FB6">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全权代表：（签字）                   全权代表：（签字）</w:t>
      </w:r>
    </w:p>
    <w:p w14:paraId="43389005">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地    址：                           地    址：</w:t>
      </w:r>
    </w:p>
    <w:p w14:paraId="1E0A1B63">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邮政编码：                           邮政编码：</w:t>
      </w:r>
    </w:p>
    <w:p w14:paraId="3FAE5F05">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电    话：                           电    话：</w:t>
      </w:r>
    </w:p>
    <w:p w14:paraId="179C5B34">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传    真：                           传    真：</w:t>
      </w:r>
    </w:p>
    <w:p w14:paraId="23C133BD">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开户银行：                           开户银行：</w:t>
      </w:r>
    </w:p>
    <w:p w14:paraId="49E45E52">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帐    号：                           帐    号：</w:t>
      </w:r>
    </w:p>
    <w:p w14:paraId="1A8D062B">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highlight w:val="none"/>
          <w:lang w:val="en-US"/>
        </w:rPr>
      </w:pPr>
      <w:r>
        <w:rPr>
          <w:rFonts w:hint="eastAsia" w:ascii="宋体" w:hAnsi="宋体"/>
          <w:highlight w:val="none"/>
          <w:lang w:val="en-US"/>
        </w:rPr>
        <w:t>签约时间：                           签约时间：</w:t>
      </w:r>
    </w:p>
    <w:p w14:paraId="6FDBBABC">
      <w:pPr>
        <w:pStyle w:val="32"/>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jc w:val="left"/>
        <w:rPr>
          <w:rFonts w:hint="eastAsia" w:ascii="宋体" w:hAnsi="宋体"/>
          <w:b/>
          <w:bCs/>
          <w:sz w:val="28"/>
          <w:highlight w:val="none"/>
        </w:rPr>
      </w:pPr>
      <w:r>
        <w:rPr>
          <w:rFonts w:hint="eastAsia" w:ascii="宋体" w:hAnsi="宋体" w:eastAsia="宋体"/>
          <w:b/>
          <w:color w:val="auto"/>
          <w:sz w:val="21"/>
          <w:highlight w:val="none"/>
          <w:lang w:val="en-US"/>
        </w:rPr>
        <w:t>注：本合同作为示范文本，具体以成交供应商与采购人所签定正式合同为准。</w:t>
      </w:r>
    </w:p>
    <w:p w14:paraId="5E8B7182">
      <w:pPr>
        <w:pStyle w:val="2"/>
        <w:keepNext w:val="0"/>
        <w:keepLines w:val="0"/>
        <w:pageBreakBefore/>
        <w:spacing w:before="312" w:beforeLines="100" w:after="312" w:afterLines="100" w:line="240" w:lineRule="auto"/>
        <w:jc w:val="center"/>
        <w:rPr>
          <w:rFonts w:hAnsi="宋体" w:eastAsia="宋体" w:cs="宋体"/>
          <w:sz w:val="28"/>
          <w:szCs w:val="36"/>
          <w:highlight w:val="none"/>
        </w:rPr>
      </w:pPr>
      <w:bookmarkStart w:id="328" w:name="_Toc20247"/>
      <w:bookmarkStart w:id="329" w:name="_Toc16135"/>
      <w:bookmarkStart w:id="330" w:name="_Toc17321"/>
      <w:bookmarkStart w:id="331" w:name="_Toc19240"/>
      <w:bookmarkStart w:id="332" w:name="_Toc29343"/>
      <w:bookmarkStart w:id="333" w:name="_Toc15479"/>
      <w:r>
        <w:rPr>
          <w:rFonts w:hint="eastAsia" w:hAnsi="宋体" w:eastAsia="宋体" w:cs="宋体"/>
          <w:sz w:val="28"/>
          <w:szCs w:val="36"/>
          <w:highlight w:val="none"/>
        </w:rPr>
        <w:t>第五部分  磋商响应文件格式</w:t>
      </w:r>
      <w:bookmarkEnd w:id="328"/>
      <w:bookmarkEnd w:id="329"/>
      <w:bookmarkEnd w:id="330"/>
      <w:bookmarkEnd w:id="331"/>
      <w:bookmarkEnd w:id="332"/>
      <w:bookmarkEnd w:id="333"/>
    </w:p>
    <w:p w14:paraId="07690DAD">
      <w:pPr>
        <w:snapToGrid w:val="0"/>
        <w:spacing w:before="624" w:beforeLines="200" w:after="156" w:afterLines="50"/>
        <w:jc w:val="center"/>
        <w:outlineLvl w:val="1"/>
        <w:rPr>
          <w:rFonts w:ascii="宋体" w:hAnsi="宋体" w:eastAsia="宋体" w:cs="宋体"/>
          <w:b/>
          <w:bCs/>
          <w:sz w:val="28"/>
          <w:highlight w:val="none"/>
        </w:rPr>
      </w:pPr>
      <w:bookmarkStart w:id="334" w:name="_Toc30728"/>
      <w:bookmarkStart w:id="335" w:name="_Toc22646"/>
      <w:bookmarkStart w:id="336" w:name="_Toc10201"/>
      <w:bookmarkStart w:id="337" w:name="_Toc11041"/>
      <w:bookmarkStart w:id="338" w:name="_Toc23685"/>
      <w:r>
        <w:rPr>
          <w:rFonts w:hint="eastAsia" w:ascii="宋体" w:hAnsi="宋体" w:eastAsia="宋体" w:cs="宋体"/>
          <w:b/>
          <w:bCs/>
          <w:sz w:val="28"/>
          <w:highlight w:val="none"/>
        </w:rPr>
        <w:t>磋商供应商提交磋商响应文件须知</w:t>
      </w:r>
      <w:bookmarkEnd w:id="334"/>
      <w:bookmarkEnd w:id="335"/>
      <w:bookmarkEnd w:id="336"/>
      <w:bookmarkEnd w:id="337"/>
      <w:bookmarkEnd w:id="338"/>
    </w:p>
    <w:p w14:paraId="652CC26C">
      <w:pPr>
        <w:snapToGrid w:val="0"/>
        <w:jc w:val="center"/>
        <w:rPr>
          <w:rFonts w:ascii="宋体" w:hAnsi="宋体" w:eastAsia="宋体" w:cs="宋体"/>
          <w:sz w:val="28"/>
          <w:szCs w:val="21"/>
          <w:highlight w:val="none"/>
        </w:rPr>
      </w:pPr>
    </w:p>
    <w:p w14:paraId="2EF3B375">
      <w:pPr>
        <w:pStyle w:val="32"/>
        <w:numPr>
          <w:ilvl w:val="0"/>
          <w:numId w:val="0"/>
        </w:numPr>
        <w:snapToGrid w:val="0"/>
        <w:spacing w:line="400" w:lineRule="exact"/>
        <w:rPr>
          <w:rFonts w:ascii="宋体" w:hAnsi="宋体" w:eastAsia="宋体" w:cs="宋体"/>
          <w:szCs w:val="22"/>
          <w:highlight w:val="none"/>
        </w:rPr>
      </w:pPr>
      <w:r>
        <w:rPr>
          <w:rFonts w:hint="eastAsia" w:ascii="宋体" w:hAnsi="宋体" w:eastAsia="宋体" w:cs="宋体"/>
          <w:szCs w:val="22"/>
          <w:highlight w:val="none"/>
          <w:lang w:val="en-US" w:eastAsia="zh-CN"/>
        </w:rPr>
        <w:t>1、</w:t>
      </w:r>
      <w:r>
        <w:rPr>
          <w:rFonts w:hint="eastAsia" w:ascii="宋体" w:hAnsi="宋体" w:eastAsia="宋体" w:cs="宋体"/>
          <w:szCs w:val="22"/>
          <w:highlight w:val="none"/>
        </w:rPr>
        <w:t>磋商供应商应严格按照磋商响应文件的组成提交下述规定的全部格式文件以及其他有关资料，混乱的编排导致磋商响应文件被误读或采购机构、磋商小组查找不到有效文件是磋商供应商的风险。</w:t>
      </w:r>
    </w:p>
    <w:p w14:paraId="7560D2E7">
      <w:pPr>
        <w:pStyle w:val="32"/>
        <w:numPr>
          <w:ilvl w:val="0"/>
          <w:numId w:val="0"/>
        </w:numPr>
        <w:snapToGrid w:val="0"/>
        <w:spacing w:line="400" w:lineRule="exact"/>
        <w:outlineLvl w:val="1"/>
        <w:rPr>
          <w:rFonts w:ascii="宋体" w:hAnsi="宋体" w:eastAsia="宋体" w:cs="宋体"/>
          <w:szCs w:val="22"/>
          <w:highlight w:val="none"/>
        </w:rPr>
      </w:pPr>
      <w:bookmarkStart w:id="339" w:name="_Toc8092"/>
      <w:bookmarkStart w:id="340" w:name="_Toc7418"/>
      <w:bookmarkStart w:id="341" w:name="_Toc17398"/>
      <w:bookmarkStart w:id="342" w:name="_Toc2242"/>
      <w:bookmarkStart w:id="343" w:name="_Toc24815"/>
      <w:r>
        <w:rPr>
          <w:rFonts w:hint="eastAsia" w:ascii="宋体" w:hAnsi="宋体" w:eastAsia="宋体" w:cs="宋体"/>
          <w:szCs w:val="22"/>
          <w:highlight w:val="none"/>
          <w:lang w:val="en-US" w:eastAsia="zh-CN"/>
        </w:rPr>
        <w:t>2、</w:t>
      </w:r>
      <w:r>
        <w:rPr>
          <w:rFonts w:hint="eastAsia" w:ascii="宋体" w:hAnsi="宋体" w:eastAsia="宋体" w:cs="宋体"/>
          <w:szCs w:val="22"/>
          <w:highlight w:val="none"/>
        </w:rPr>
        <w:t>所附表格中要求回答的全部问题和/或信息都必须正面回答。</w:t>
      </w:r>
      <w:bookmarkEnd w:id="339"/>
      <w:bookmarkEnd w:id="340"/>
      <w:bookmarkEnd w:id="341"/>
      <w:bookmarkEnd w:id="342"/>
      <w:bookmarkEnd w:id="343"/>
    </w:p>
    <w:p w14:paraId="13EDF822">
      <w:pPr>
        <w:pStyle w:val="32"/>
        <w:numPr>
          <w:ilvl w:val="0"/>
          <w:numId w:val="0"/>
        </w:numPr>
        <w:snapToGrid w:val="0"/>
        <w:spacing w:line="400" w:lineRule="exact"/>
        <w:rPr>
          <w:rFonts w:ascii="宋体" w:hAnsi="宋体" w:eastAsia="宋体" w:cs="宋体"/>
          <w:szCs w:val="22"/>
          <w:highlight w:val="none"/>
        </w:rPr>
      </w:pPr>
      <w:r>
        <w:rPr>
          <w:rFonts w:hint="eastAsia" w:ascii="宋体" w:hAnsi="宋体" w:eastAsia="宋体" w:cs="宋体"/>
          <w:szCs w:val="22"/>
          <w:highlight w:val="none"/>
          <w:lang w:val="en-US" w:eastAsia="zh-CN"/>
        </w:rPr>
        <w:t>3、</w:t>
      </w:r>
      <w:r>
        <w:rPr>
          <w:rFonts w:hint="eastAsia" w:ascii="宋体" w:hAnsi="宋体" w:eastAsia="宋体" w:cs="宋体"/>
          <w:szCs w:val="22"/>
          <w:highlight w:val="none"/>
        </w:rPr>
        <w:t>本资格声明的签字人应保证全部声明和问题的回答是真实的和准确的。</w:t>
      </w:r>
    </w:p>
    <w:p w14:paraId="246C28BB">
      <w:pPr>
        <w:pStyle w:val="32"/>
        <w:numPr>
          <w:ilvl w:val="0"/>
          <w:numId w:val="0"/>
        </w:numPr>
        <w:snapToGrid w:val="0"/>
        <w:spacing w:line="400" w:lineRule="exact"/>
        <w:rPr>
          <w:rFonts w:ascii="宋体" w:hAnsi="宋体" w:eastAsia="宋体" w:cs="宋体"/>
          <w:szCs w:val="22"/>
          <w:highlight w:val="none"/>
        </w:rPr>
      </w:pPr>
      <w:r>
        <w:rPr>
          <w:rFonts w:hint="eastAsia" w:ascii="宋体" w:hAnsi="宋体" w:eastAsia="宋体" w:cs="宋体"/>
          <w:szCs w:val="22"/>
          <w:highlight w:val="none"/>
          <w:lang w:val="en-US" w:eastAsia="zh-CN"/>
        </w:rPr>
        <w:t>4、</w:t>
      </w:r>
      <w:r>
        <w:rPr>
          <w:rFonts w:hint="eastAsia" w:ascii="宋体" w:hAnsi="宋体" w:eastAsia="宋体" w:cs="宋体"/>
          <w:szCs w:val="22"/>
          <w:highlight w:val="none"/>
        </w:rPr>
        <w:t>采购机构将应用磋商供应商提交的资料根据自己的判断和考虑决定磋商供应商履行合同的合格性及能力。</w:t>
      </w:r>
    </w:p>
    <w:p w14:paraId="6295BE48">
      <w:pPr>
        <w:pStyle w:val="32"/>
        <w:numPr>
          <w:ilvl w:val="0"/>
          <w:numId w:val="0"/>
        </w:numPr>
        <w:snapToGrid w:val="0"/>
        <w:spacing w:line="400" w:lineRule="exact"/>
        <w:rPr>
          <w:rFonts w:ascii="宋体" w:hAnsi="宋体" w:eastAsia="宋体" w:cs="宋体"/>
          <w:szCs w:val="22"/>
          <w:highlight w:val="none"/>
        </w:rPr>
      </w:pPr>
      <w:r>
        <w:rPr>
          <w:rFonts w:hint="eastAsia" w:ascii="宋体" w:hAnsi="宋体" w:eastAsia="宋体" w:cs="宋体"/>
          <w:szCs w:val="22"/>
          <w:highlight w:val="none"/>
          <w:lang w:val="en-US" w:eastAsia="zh-CN"/>
        </w:rPr>
        <w:t>5、</w:t>
      </w:r>
      <w:r>
        <w:rPr>
          <w:rFonts w:hint="eastAsia" w:ascii="宋体" w:hAnsi="宋体" w:eastAsia="宋体" w:cs="宋体"/>
          <w:szCs w:val="22"/>
          <w:highlight w:val="none"/>
        </w:rPr>
        <w:t>磋商供应商提交的材料将被保密保存，但不退还。</w:t>
      </w:r>
    </w:p>
    <w:p w14:paraId="1EA1FC3A">
      <w:pPr>
        <w:pStyle w:val="32"/>
        <w:numPr>
          <w:ilvl w:val="0"/>
          <w:numId w:val="0"/>
        </w:numPr>
        <w:snapToGrid w:val="0"/>
        <w:spacing w:line="400" w:lineRule="exact"/>
        <w:rPr>
          <w:rFonts w:ascii="宋体" w:hAnsi="宋体" w:eastAsia="宋体" w:cs="宋体"/>
          <w:szCs w:val="22"/>
          <w:highlight w:val="none"/>
        </w:rPr>
      </w:pPr>
      <w:r>
        <w:rPr>
          <w:rFonts w:hint="eastAsia"/>
          <w:highlight w:val="none"/>
          <w:lang w:val="en-US" w:eastAsia="zh-CN"/>
        </w:rPr>
        <w:t>6、</w:t>
      </w:r>
      <w:r>
        <w:rPr>
          <w:rFonts w:hint="eastAsia"/>
          <w:highlight w:val="none"/>
        </w:rPr>
        <w:t>全部文件应按磋商供应商须知中规定的语言和份数提交。</w:t>
      </w:r>
    </w:p>
    <w:p w14:paraId="2C7682F6">
      <w:pPr>
        <w:snapToGrid w:val="0"/>
        <w:spacing w:line="340" w:lineRule="exact"/>
        <w:jc w:val="both"/>
        <w:outlineLvl w:val="9"/>
        <w:rPr>
          <w:rFonts w:hint="eastAsia" w:ascii="宋体" w:hAnsi="宋体"/>
          <w:b/>
          <w:bCs/>
          <w:sz w:val="28"/>
          <w:highlight w:val="none"/>
        </w:rPr>
      </w:pPr>
    </w:p>
    <w:p w14:paraId="7F50C1E1">
      <w:pPr>
        <w:pStyle w:val="2"/>
        <w:outlineLvl w:val="9"/>
        <w:rPr>
          <w:rFonts w:hint="eastAsia"/>
          <w:highlight w:val="none"/>
        </w:rPr>
      </w:pPr>
    </w:p>
    <w:p w14:paraId="55E89F8D">
      <w:pPr>
        <w:pStyle w:val="7"/>
        <w:rPr>
          <w:rFonts w:hint="eastAsia"/>
          <w:highlight w:val="none"/>
        </w:rPr>
      </w:pPr>
    </w:p>
    <w:p w14:paraId="0BFEB8E7">
      <w:pPr>
        <w:rPr>
          <w:rFonts w:hint="eastAsia"/>
          <w:highlight w:val="none"/>
        </w:rPr>
      </w:pPr>
    </w:p>
    <w:p w14:paraId="08E29705">
      <w:pPr>
        <w:pStyle w:val="2"/>
        <w:outlineLvl w:val="9"/>
        <w:rPr>
          <w:rFonts w:hint="eastAsia"/>
          <w:highlight w:val="none"/>
        </w:rPr>
      </w:pPr>
    </w:p>
    <w:p w14:paraId="7280D5E7">
      <w:pPr>
        <w:pStyle w:val="7"/>
        <w:rPr>
          <w:rFonts w:hint="eastAsia"/>
          <w:highlight w:val="none"/>
        </w:rPr>
      </w:pPr>
    </w:p>
    <w:p w14:paraId="0D85DD5B">
      <w:pPr>
        <w:rPr>
          <w:rFonts w:hint="eastAsia"/>
          <w:highlight w:val="none"/>
        </w:rPr>
      </w:pPr>
    </w:p>
    <w:p w14:paraId="4153EE9B">
      <w:pPr>
        <w:pStyle w:val="2"/>
        <w:outlineLvl w:val="9"/>
        <w:rPr>
          <w:rFonts w:hint="eastAsia"/>
          <w:highlight w:val="none"/>
        </w:rPr>
      </w:pPr>
    </w:p>
    <w:p w14:paraId="0C518F9D">
      <w:pPr>
        <w:pStyle w:val="7"/>
        <w:rPr>
          <w:rFonts w:hint="eastAsia"/>
          <w:highlight w:val="none"/>
        </w:rPr>
      </w:pPr>
    </w:p>
    <w:p w14:paraId="4E45CCAF">
      <w:pPr>
        <w:rPr>
          <w:rFonts w:hint="eastAsia"/>
          <w:highlight w:val="none"/>
        </w:rPr>
      </w:pPr>
    </w:p>
    <w:p w14:paraId="69D1406B">
      <w:pPr>
        <w:pStyle w:val="2"/>
        <w:outlineLvl w:val="9"/>
        <w:rPr>
          <w:rFonts w:hint="eastAsia"/>
          <w:highlight w:val="none"/>
        </w:rPr>
      </w:pPr>
    </w:p>
    <w:p w14:paraId="098BBFFC">
      <w:pPr>
        <w:pStyle w:val="7"/>
        <w:rPr>
          <w:rFonts w:hint="eastAsia"/>
          <w:highlight w:val="none"/>
        </w:rPr>
      </w:pPr>
    </w:p>
    <w:p w14:paraId="5AA8B04E">
      <w:pPr>
        <w:rPr>
          <w:rFonts w:hint="eastAsia"/>
          <w:highlight w:val="none"/>
        </w:rPr>
      </w:pPr>
    </w:p>
    <w:p w14:paraId="6DD17347">
      <w:pPr>
        <w:pStyle w:val="2"/>
        <w:outlineLvl w:val="9"/>
        <w:rPr>
          <w:rFonts w:hint="eastAsia"/>
          <w:highlight w:val="none"/>
        </w:rPr>
      </w:pPr>
    </w:p>
    <w:p w14:paraId="0871FCFD">
      <w:pPr>
        <w:pStyle w:val="7"/>
        <w:rPr>
          <w:rFonts w:hint="eastAsia"/>
          <w:highlight w:val="none"/>
        </w:rPr>
      </w:pPr>
    </w:p>
    <w:p w14:paraId="2C9CBB23">
      <w:pPr>
        <w:rPr>
          <w:rFonts w:hint="eastAsia"/>
          <w:highlight w:val="none"/>
        </w:rPr>
      </w:pPr>
    </w:p>
    <w:p w14:paraId="7B6DDDFF">
      <w:pPr>
        <w:pStyle w:val="2"/>
        <w:outlineLvl w:val="9"/>
        <w:rPr>
          <w:rFonts w:hint="eastAsia"/>
          <w:highlight w:val="none"/>
        </w:rPr>
      </w:pPr>
    </w:p>
    <w:p w14:paraId="50716A9F">
      <w:pPr>
        <w:pStyle w:val="7"/>
        <w:rPr>
          <w:rFonts w:hint="eastAsia"/>
          <w:highlight w:val="none"/>
        </w:rPr>
      </w:pPr>
    </w:p>
    <w:p w14:paraId="3E1AEE74">
      <w:pPr>
        <w:rPr>
          <w:rFonts w:hint="eastAsia"/>
          <w:highlight w:val="none"/>
        </w:rPr>
      </w:pPr>
    </w:p>
    <w:p w14:paraId="25919B4C">
      <w:pPr>
        <w:pStyle w:val="2"/>
        <w:outlineLvl w:val="9"/>
        <w:rPr>
          <w:rFonts w:hint="eastAsia"/>
          <w:highlight w:val="none"/>
        </w:rPr>
      </w:pPr>
    </w:p>
    <w:p w14:paraId="45E38F83">
      <w:pPr>
        <w:pStyle w:val="2"/>
        <w:outlineLvl w:val="9"/>
        <w:rPr>
          <w:rFonts w:hint="eastAsia"/>
          <w:highlight w:val="none"/>
        </w:rPr>
      </w:pPr>
    </w:p>
    <w:p w14:paraId="3ECD7677">
      <w:pPr>
        <w:pStyle w:val="7"/>
        <w:rPr>
          <w:rFonts w:hint="eastAsia"/>
          <w:highlight w:val="none"/>
        </w:rPr>
      </w:pPr>
    </w:p>
    <w:p w14:paraId="1E91C612">
      <w:pPr>
        <w:rPr>
          <w:rFonts w:hint="eastAsia"/>
          <w:highlight w:val="none"/>
        </w:rPr>
      </w:pPr>
    </w:p>
    <w:p w14:paraId="790C1E95">
      <w:pPr>
        <w:jc w:val="center"/>
        <w:outlineLvl w:val="2"/>
        <w:rPr>
          <w:rFonts w:ascii="宋体" w:hAnsi="宋体" w:eastAsia="宋体" w:cs="宋体"/>
          <w:b/>
          <w:bCs/>
          <w:sz w:val="28"/>
          <w:szCs w:val="28"/>
          <w:highlight w:val="none"/>
        </w:rPr>
      </w:pPr>
      <w:bookmarkStart w:id="344" w:name="_Toc122"/>
      <w:bookmarkStart w:id="345" w:name="_Toc156"/>
      <w:bookmarkStart w:id="346" w:name="_Toc17896"/>
      <w:bookmarkStart w:id="347" w:name="_Toc31916"/>
      <w:bookmarkStart w:id="348" w:name="_Toc19899"/>
      <w:bookmarkStart w:id="349" w:name="_Toc1009"/>
      <w:bookmarkStart w:id="350" w:name="_Toc14319"/>
      <w:bookmarkStart w:id="351" w:name="_Toc9700"/>
      <w:bookmarkStart w:id="352" w:name="_Toc16581"/>
      <w:r>
        <w:rPr>
          <w:rFonts w:hint="eastAsia" w:ascii="宋体" w:hAnsi="宋体" w:eastAsia="宋体" w:cs="宋体"/>
          <w:b/>
          <w:bCs/>
          <w:sz w:val="28"/>
          <w:szCs w:val="28"/>
          <w:highlight w:val="none"/>
        </w:rPr>
        <w:t>附件一  资格、资质证明文件</w:t>
      </w:r>
      <w:bookmarkEnd w:id="344"/>
      <w:bookmarkEnd w:id="345"/>
      <w:bookmarkEnd w:id="346"/>
      <w:bookmarkEnd w:id="347"/>
      <w:bookmarkEnd w:id="348"/>
      <w:bookmarkEnd w:id="349"/>
      <w:bookmarkEnd w:id="350"/>
      <w:bookmarkEnd w:id="351"/>
      <w:bookmarkEnd w:id="352"/>
    </w:p>
    <w:p w14:paraId="6CDBE1AF">
      <w:pPr>
        <w:spacing w:before="312" w:beforeLines="100" w:after="156" w:afterLines="50"/>
        <w:ind w:right="-11"/>
        <w:jc w:val="center"/>
        <w:outlineLvl w:val="2"/>
        <w:rPr>
          <w:rFonts w:ascii="宋体" w:hAnsi="宋体" w:eastAsia="宋体" w:cs="宋体"/>
          <w:b/>
          <w:bCs/>
          <w:sz w:val="24"/>
          <w:highlight w:val="none"/>
        </w:rPr>
      </w:pPr>
      <w:bookmarkStart w:id="353" w:name="_Toc30033"/>
      <w:bookmarkStart w:id="354" w:name="_Toc19034"/>
      <w:bookmarkStart w:id="355" w:name="_Toc29654"/>
      <w:bookmarkStart w:id="356" w:name="_Toc25534"/>
      <w:bookmarkStart w:id="357" w:name="_Toc20488"/>
      <w:r>
        <w:rPr>
          <w:rFonts w:hint="eastAsia" w:ascii="宋体" w:hAnsi="宋体" w:eastAsia="宋体" w:cs="宋体"/>
          <w:b/>
          <w:bCs/>
          <w:sz w:val="24"/>
          <w:highlight w:val="none"/>
        </w:rPr>
        <w:t>（一） 关于资格、资质证明文件的声明函</w:t>
      </w:r>
      <w:bookmarkEnd w:id="353"/>
      <w:bookmarkEnd w:id="354"/>
      <w:bookmarkEnd w:id="355"/>
      <w:bookmarkEnd w:id="356"/>
      <w:bookmarkEnd w:id="357"/>
    </w:p>
    <w:p w14:paraId="4EEE24FD">
      <w:pPr>
        <w:pStyle w:val="7"/>
        <w:overflowPunct w:val="0"/>
        <w:spacing w:line="360" w:lineRule="auto"/>
        <w:ind w:right="-21" w:rightChars="-10" w:firstLine="0"/>
        <w:rPr>
          <w:rFonts w:ascii="宋体" w:hAnsi="宋体" w:eastAsia="宋体" w:cs="宋体"/>
          <w:highlight w:val="none"/>
        </w:rPr>
      </w:pPr>
    </w:p>
    <w:p w14:paraId="5171D126">
      <w:pPr>
        <w:pStyle w:val="7"/>
        <w:overflowPunct w:val="0"/>
        <w:spacing w:line="360" w:lineRule="auto"/>
        <w:ind w:right="-21" w:rightChars="-10" w:firstLine="0"/>
        <w:rPr>
          <w:rFonts w:ascii="宋体" w:hAnsi="宋体" w:eastAsia="宋体" w:cs="宋体"/>
          <w:highlight w:val="none"/>
        </w:rPr>
      </w:pPr>
      <w:r>
        <w:rPr>
          <w:rFonts w:hint="eastAsia" w:ascii="宋体" w:hAnsi="宋体" w:eastAsia="宋体" w:cs="宋体"/>
          <w:highlight w:val="none"/>
          <w:lang w:eastAsia="zh-CN"/>
        </w:rPr>
        <w:t>瑞安市水利局</w:t>
      </w:r>
      <w:r>
        <w:rPr>
          <w:rFonts w:hint="eastAsia" w:ascii="宋体" w:hAnsi="宋体" w:eastAsia="宋体" w:cs="宋体"/>
          <w:highlight w:val="none"/>
        </w:rPr>
        <w:t>：</w:t>
      </w:r>
    </w:p>
    <w:p w14:paraId="52B092B2">
      <w:pPr>
        <w:pStyle w:val="7"/>
        <w:overflowPunct w:val="0"/>
        <w:spacing w:line="360" w:lineRule="auto"/>
        <w:ind w:right="-21" w:rightChars="-10" w:firstLine="480"/>
        <w:rPr>
          <w:rFonts w:ascii="宋体" w:hAnsi="宋体" w:eastAsia="宋体" w:cs="宋体"/>
          <w:highlight w:val="none"/>
        </w:rPr>
      </w:pPr>
    </w:p>
    <w:p w14:paraId="0FA5D5FD">
      <w:pPr>
        <w:pStyle w:val="7"/>
        <w:overflowPunct w:val="0"/>
        <w:spacing w:line="360" w:lineRule="auto"/>
        <w:ind w:right="-21" w:rightChars="-10" w:firstLine="400" w:firstLineChars="200"/>
        <w:rPr>
          <w:rFonts w:ascii="宋体" w:hAnsi="宋体" w:eastAsia="宋体" w:cs="宋体"/>
          <w:highlight w:val="none"/>
        </w:rPr>
      </w:pPr>
      <w:r>
        <w:rPr>
          <w:rFonts w:hint="eastAsia" w:ascii="宋体" w:hAnsi="宋体" w:eastAsia="宋体" w:cs="宋体"/>
          <w:highlight w:val="none"/>
        </w:rPr>
        <w:t>本公司愿就由贵单位组织实施的</w:t>
      </w:r>
      <w:r>
        <w:rPr>
          <w:rFonts w:hint="eastAsia" w:ascii="宋体" w:hAnsi="宋体" w:eastAsia="宋体" w:cs="宋体"/>
          <w:highlight w:val="none"/>
          <w:u w:val="single"/>
        </w:rPr>
        <w:t xml:space="preserve">                       </w:t>
      </w:r>
      <w:r>
        <w:rPr>
          <w:rFonts w:hint="eastAsia" w:ascii="宋体" w:hAnsi="宋体" w:eastAsia="宋体" w:cs="宋体"/>
          <w:highlight w:val="none"/>
        </w:rPr>
        <w:t>项目编号为</w:t>
      </w:r>
      <w:r>
        <w:rPr>
          <w:rFonts w:hint="eastAsia" w:ascii="宋体" w:hAnsi="宋体" w:eastAsia="宋体" w:cs="宋体"/>
          <w:highlight w:val="none"/>
          <w:u w:val="single"/>
        </w:rPr>
        <w:t xml:space="preserve">             </w:t>
      </w:r>
      <w:r>
        <w:rPr>
          <w:rFonts w:hint="eastAsia" w:ascii="宋体" w:hAnsi="宋体" w:eastAsia="宋体" w:cs="宋体"/>
          <w:highlight w:val="none"/>
        </w:rPr>
        <w:t>号的招标活动进行磋商。本公司所提交的磋商响应文件中所有关于磋商资格的文件、证明和陈述均是真实的、准确的。若与真实情况不符，本公司愿意承担由此而产生的一切后果。</w:t>
      </w:r>
    </w:p>
    <w:p w14:paraId="4D58B559">
      <w:pPr>
        <w:pStyle w:val="7"/>
        <w:overflowPunct w:val="0"/>
        <w:spacing w:line="360" w:lineRule="auto"/>
        <w:ind w:right="-21" w:rightChars="-10" w:firstLine="480"/>
        <w:rPr>
          <w:rFonts w:ascii="宋体" w:hAnsi="宋体" w:eastAsia="宋体" w:cs="宋体"/>
          <w:highlight w:val="none"/>
        </w:rPr>
      </w:pPr>
    </w:p>
    <w:p w14:paraId="017C281A">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磋商供应商全称（</w:t>
      </w:r>
      <w:r>
        <w:rPr>
          <w:rFonts w:hint="eastAsia" w:ascii="宋体" w:hAnsi="宋体" w:eastAsia="宋体" w:cs="宋体"/>
          <w:highlight w:val="none"/>
        </w:rPr>
        <w:t>盖电子签章</w:t>
      </w:r>
      <w:r>
        <w:rPr>
          <w:rFonts w:hint="eastAsia" w:ascii="宋体" w:hAnsi="宋体" w:eastAsia="宋体" w:cs="宋体"/>
          <w:szCs w:val="21"/>
          <w:highlight w:val="none"/>
        </w:rPr>
        <w:t>）：</w:t>
      </w:r>
    </w:p>
    <w:p w14:paraId="6E089F69">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0950CBA1">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日      期：    年   月     日</w:t>
      </w:r>
    </w:p>
    <w:p w14:paraId="6AB3D5ED">
      <w:pPr>
        <w:spacing w:before="312" w:beforeLines="100" w:after="156" w:afterLines="50"/>
        <w:ind w:right="-11"/>
        <w:rPr>
          <w:rFonts w:ascii="宋体" w:hAnsi="宋体" w:eastAsia="宋体" w:cs="宋体"/>
          <w:b/>
          <w:bCs/>
          <w:sz w:val="24"/>
          <w:highlight w:val="none"/>
        </w:rPr>
      </w:pPr>
    </w:p>
    <w:p w14:paraId="7BFF744E">
      <w:pPr>
        <w:spacing w:before="312" w:beforeLines="100" w:after="156" w:afterLines="50"/>
        <w:ind w:right="-11"/>
        <w:jc w:val="center"/>
        <w:outlineLvl w:val="2"/>
        <w:rPr>
          <w:rFonts w:ascii="宋体" w:hAnsi="宋体" w:eastAsia="宋体" w:cs="宋体"/>
          <w:b/>
          <w:bCs/>
          <w:sz w:val="24"/>
          <w:highlight w:val="none"/>
        </w:rPr>
      </w:pPr>
      <w:bookmarkStart w:id="358" w:name="_Toc16970"/>
      <w:bookmarkStart w:id="359" w:name="_Toc13249"/>
      <w:bookmarkStart w:id="360" w:name="_Toc9021"/>
      <w:bookmarkStart w:id="361" w:name="_Toc8005"/>
      <w:bookmarkStart w:id="362" w:name="_Toc1248"/>
      <w:r>
        <w:rPr>
          <w:rFonts w:hint="eastAsia" w:ascii="宋体" w:hAnsi="宋体" w:eastAsia="宋体" w:cs="宋体"/>
          <w:b/>
          <w:bCs/>
          <w:sz w:val="24"/>
          <w:highlight w:val="none"/>
        </w:rPr>
        <w:t>（二） 其它证明文件</w:t>
      </w:r>
      <w:bookmarkEnd w:id="358"/>
      <w:bookmarkEnd w:id="359"/>
      <w:bookmarkEnd w:id="360"/>
      <w:bookmarkEnd w:id="361"/>
      <w:bookmarkEnd w:id="362"/>
    </w:p>
    <w:p w14:paraId="320152E8">
      <w:pPr>
        <w:pStyle w:val="8"/>
        <w:numPr>
          <w:ilvl w:val="0"/>
          <w:numId w:val="20"/>
        </w:numPr>
        <w:spacing w:line="400" w:lineRule="atLeast"/>
        <w:outlineLvl w:val="3"/>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出具符合以下情况的证明材料扫描件（五选一）</w:t>
      </w:r>
    </w:p>
    <w:p w14:paraId="453BC451">
      <w:pPr>
        <w:pStyle w:val="8"/>
        <w:numPr>
          <w:ilvl w:val="0"/>
          <w:numId w:val="0"/>
        </w:numPr>
        <w:spacing w:line="400" w:lineRule="atLeast"/>
        <w:ind w:left="631" w:leftChars="200" w:hanging="211" w:hanging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①如磋商供应商是企业（包括合伙企业），提供在工商部门注册的有效“企业法人营业执照”或“营业执照”；</w:t>
      </w:r>
    </w:p>
    <w:p w14:paraId="5E8FE00F">
      <w:pPr>
        <w:pStyle w:val="8"/>
        <w:numPr>
          <w:ilvl w:val="0"/>
          <w:numId w:val="0"/>
        </w:numPr>
        <w:spacing w:line="400" w:lineRule="atLeast"/>
        <w:ind w:leftChars="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②如磋商供应商是事业单位，提供有效的“事业单位法人证书”；</w:t>
      </w:r>
    </w:p>
    <w:p w14:paraId="378C0CFB">
      <w:pPr>
        <w:pStyle w:val="8"/>
        <w:numPr>
          <w:ilvl w:val="0"/>
          <w:numId w:val="0"/>
        </w:numPr>
        <w:spacing w:line="400" w:lineRule="atLeast"/>
        <w:ind w:leftChars="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③如磋商供应商是非企业专业服务机构的，提供执业许可证等证明文件；</w:t>
      </w:r>
    </w:p>
    <w:p w14:paraId="0850276B">
      <w:pPr>
        <w:pStyle w:val="8"/>
        <w:numPr>
          <w:ilvl w:val="0"/>
          <w:numId w:val="0"/>
        </w:numPr>
        <w:spacing w:line="400" w:lineRule="atLeast"/>
        <w:ind w:leftChars="0"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④如磋商供应商是个体工商户，提供有效的“个体工商户营业执照”；</w:t>
      </w:r>
    </w:p>
    <w:p w14:paraId="466596AF">
      <w:pPr>
        <w:pStyle w:val="8"/>
        <w:numPr>
          <w:ilvl w:val="0"/>
          <w:numId w:val="0"/>
        </w:numPr>
        <w:spacing w:line="400" w:lineRule="atLeast"/>
        <w:ind w:left="631" w:leftChars="200" w:hanging="211" w:hanging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⑤如磋商供应商是自然人，提供有效的自然人身份证明（居民身份证正反面或公安机关出具的临时居民身份证正反面或港澳台胞证或证照）。</w:t>
      </w:r>
    </w:p>
    <w:p w14:paraId="0DDC0A1F">
      <w:pPr>
        <w:pStyle w:val="8"/>
        <w:numPr>
          <w:ilvl w:val="0"/>
          <w:numId w:val="20"/>
        </w:numPr>
        <w:spacing w:line="400" w:lineRule="atLeas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供应商相关</w:t>
      </w:r>
      <w:r>
        <w:rPr>
          <w:rFonts w:hint="eastAsia" w:ascii="宋体" w:hAnsi="宋体" w:eastAsia="宋体" w:cs="宋体"/>
          <w:b/>
          <w:bCs/>
          <w:sz w:val="21"/>
          <w:szCs w:val="21"/>
          <w:highlight w:val="none"/>
          <w:lang w:val="en-US" w:eastAsia="zh-CN"/>
        </w:rPr>
        <w:t>特定</w:t>
      </w:r>
      <w:r>
        <w:rPr>
          <w:rFonts w:hint="eastAsia" w:ascii="宋体" w:hAnsi="宋体" w:eastAsia="宋体" w:cs="宋体"/>
          <w:b/>
          <w:bCs/>
          <w:sz w:val="21"/>
          <w:szCs w:val="21"/>
          <w:highlight w:val="none"/>
        </w:rPr>
        <w:t>资质证明文件扫描件；</w:t>
      </w:r>
    </w:p>
    <w:p w14:paraId="7618E788">
      <w:pPr>
        <w:pStyle w:val="8"/>
        <w:numPr>
          <w:ilvl w:val="0"/>
          <w:numId w:val="20"/>
        </w:numPr>
        <w:spacing w:line="400" w:lineRule="atLeas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项目负责人相关证书扫描件</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如有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p>
    <w:p w14:paraId="7ADCDE57">
      <w:pPr>
        <w:pStyle w:val="8"/>
        <w:numPr>
          <w:ilvl w:val="0"/>
          <w:numId w:val="20"/>
        </w:numPr>
        <w:spacing w:line="400" w:lineRule="atLeast"/>
        <w:rPr>
          <w:rFonts w:ascii="宋体" w:hAnsi="宋体" w:eastAsia="宋体" w:cs="宋体"/>
          <w:b/>
          <w:bCs/>
          <w:kern w:val="0"/>
          <w:sz w:val="21"/>
          <w:szCs w:val="21"/>
          <w:highlight w:val="none"/>
        </w:rPr>
      </w:pPr>
      <w:r>
        <w:rPr>
          <w:rFonts w:hint="eastAsia" w:ascii="宋体" w:hAnsi="宋体" w:eastAsia="宋体" w:cs="宋体"/>
          <w:b/>
          <w:bCs/>
          <w:sz w:val="21"/>
          <w:szCs w:val="21"/>
          <w:highlight w:val="none"/>
        </w:rPr>
        <w:t>供应商的其他证书扫描件（如有）。</w:t>
      </w:r>
    </w:p>
    <w:p w14:paraId="4A43A9E5">
      <w:pPr>
        <w:pStyle w:val="26"/>
        <w:spacing w:line="400" w:lineRule="exact"/>
        <w:rPr>
          <w:rFonts w:ascii="宋体" w:hAnsi="宋体" w:eastAsia="宋体" w:cs="宋体"/>
          <w:b/>
          <w:bCs/>
          <w:highlight w:val="none"/>
        </w:rPr>
      </w:pPr>
    </w:p>
    <w:p w14:paraId="07153A05">
      <w:pPr>
        <w:pStyle w:val="2"/>
        <w:outlineLvl w:val="2"/>
        <w:rPr>
          <w:rFonts w:hint="eastAsia" w:ascii="宋体" w:hAnsi="宋体" w:eastAsia="宋体" w:cs="宋体"/>
          <w:b/>
          <w:bCs/>
          <w:sz w:val="21"/>
          <w:szCs w:val="21"/>
          <w:highlight w:val="none"/>
        </w:rPr>
      </w:pPr>
      <w:bookmarkStart w:id="363" w:name="_Toc12068"/>
      <w:r>
        <w:rPr>
          <w:rFonts w:hint="eastAsia" w:ascii="宋体" w:hAnsi="宋体" w:eastAsia="宋体" w:cs="宋体"/>
          <w:b/>
          <w:bCs/>
          <w:sz w:val="21"/>
          <w:szCs w:val="21"/>
          <w:highlight w:val="none"/>
        </w:rPr>
        <w:t>备注：以上所需的各种证书、证件、证明、执照等证明材料均须加盖供应商公章。</w:t>
      </w:r>
      <w:bookmarkEnd w:id="363"/>
    </w:p>
    <w:p w14:paraId="539E9D45">
      <w:pPr>
        <w:pStyle w:val="7"/>
        <w:rPr>
          <w:rFonts w:hint="eastAsia" w:ascii="宋体" w:hAnsi="宋体" w:eastAsia="宋体" w:cs="宋体"/>
          <w:b/>
          <w:bCs/>
          <w:sz w:val="21"/>
          <w:szCs w:val="21"/>
          <w:highlight w:val="none"/>
        </w:rPr>
      </w:pPr>
    </w:p>
    <w:p w14:paraId="1DD08D11">
      <w:pPr>
        <w:jc w:val="center"/>
        <w:outlineLvl w:val="2"/>
        <w:rPr>
          <w:rFonts w:ascii="宋体" w:hAnsi="宋体" w:eastAsia="宋体" w:cs="宋体"/>
          <w:b/>
          <w:bCs/>
          <w:sz w:val="28"/>
          <w:szCs w:val="28"/>
          <w:highlight w:val="none"/>
        </w:rPr>
      </w:pPr>
      <w:bookmarkStart w:id="364" w:name="_Toc9057"/>
      <w:bookmarkStart w:id="365" w:name="_Toc14903"/>
      <w:bookmarkStart w:id="366" w:name="_Toc32722"/>
      <w:bookmarkStart w:id="367" w:name="_Toc1967"/>
      <w:bookmarkStart w:id="368" w:name="_Toc16532"/>
      <w:bookmarkStart w:id="369" w:name="_Toc9828"/>
      <w:bookmarkStart w:id="370" w:name="_Toc5464"/>
      <w:bookmarkStart w:id="371" w:name="_Toc6171"/>
      <w:r>
        <w:rPr>
          <w:rFonts w:hint="eastAsia" w:ascii="宋体" w:hAnsi="宋体" w:eastAsia="宋体" w:cs="宋体"/>
          <w:b/>
          <w:bCs/>
          <w:sz w:val="28"/>
          <w:szCs w:val="28"/>
          <w:highlight w:val="none"/>
        </w:rPr>
        <w:t>附件二  关于满足《中华人民共和国政府采购法》第二十二条规定的</w:t>
      </w:r>
      <w:bookmarkEnd w:id="364"/>
      <w:bookmarkEnd w:id="365"/>
      <w:bookmarkEnd w:id="366"/>
      <w:bookmarkEnd w:id="367"/>
      <w:bookmarkEnd w:id="368"/>
      <w:bookmarkEnd w:id="369"/>
      <w:bookmarkEnd w:id="370"/>
      <w:bookmarkEnd w:id="371"/>
    </w:p>
    <w:p w14:paraId="38921F89">
      <w:pPr>
        <w:jc w:val="center"/>
        <w:outlineLvl w:val="1"/>
        <w:rPr>
          <w:rFonts w:ascii="宋体" w:hAnsi="宋体" w:eastAsia="宋体" w:cs="宋体"/>
          <w:b/>
          <w:bCs/>
          <w:sz w:val="28"/>
          <w:szCs w:val="28"/>
          <w:highlight w:val="none"/>
        </w:rPr>
      </w:pPr>
      <w:bookmarkStart w:id="372" w:name="_Toc7964"/>
      <w:bookmarkStart w:id="373" w:name="_Toc21525"/>
      <w:bookmarkStart w:id="374" w:name="_Toc9510"/>
      <w:bookmarkStart w:id="375" w:name="_Toc31909"/>
      <w:bookmarkStart w:id="376" w:name="_Toc5866"/>
      <w:bookmarkStart w:id="377" w:name="_Toc21851"/>
      <w:bookmarkStart w:id="378" w:name="_Toc12976"/>
      <w:bookmarkStart w:id="379" w:name="_Toc5178"/>
      <w:bookmarkStart w:id="380" w:name="_Toc8955"/>
      <w:bookmarkStart w:id="381" w:name="_Toc13171"/>
      <w:r>
        <w:rPr>
          <w:rFonts w:hint="eastAsia" w:ascii="宋体" w:hAnsi="宋体" w:eastAsia="宋体" w:cs="宋体"/>
          <w:b/>
          <w:bCs/>
          <w:sz w:val="28"/>
          <w:szCs w:val="28"/>
          <w:highlight w:val="none"/>
        </w:rPr>
        <w:t>承诺函</w:t>
      </w:r>
      <w:bookmarkEnd w:id="372"/>
      <w:bookmarkEnd w:id="373"/>
      <w:bookmarkEnd w:id="374"/>
      <w:bookmarkEnd w:id="375"/>
      <w:bookmarkEnd w:id="376"/>
      <w:bookmarkEnd w:id="377"/>
      <w:bookmarkEnd w:id="378"/>
      <w:bookmarkEnd w:id="379"/>
      <w:bookmarkEnd w:id="380"/>
      <w:bookmarkEnd w:id="381"/>
    </w:p>
    <w:p w14:paraId="077AB50E">
      <w:pPr>
        <w:rPr>
          <w:rFonts w:ascii="宋体" w:hAnsi="宋体" w:eastAsia="宋体" w:cs="宋体"/>
          <w:highlight w:val="none"/>
        </w:rPr>
      </w:pPr>
    </w:p>
    <w:p w14:paraId="10938236">
      <w:pPr>
        <w:spacing w:line="276" w:lineRule="auto"/>
        <w:rPr>
          <w:rFonts w:ascii="宋体" w:hAnsi="宋体" w:eastAsia="宋体" w:cs="宋体"/>
          <w:bCs/>
          <w:highlight w:val="none"/>
        </w:rPr>
      </w:pPr>
      <w:r>
        <w:rPr>
          <w:rFonts w:hint="eastAsia" w:ascii="宋体" w:hAnsi="宋体" w:eastAsia="宋体" w:cs="宋体"/>
          <w:bCs/>
          <w:highlight w:val="none"/>
          <w:lang w:eastAsia="zh-CN"/>
        </w:rPr>
        <w:t>瑞安市水利局</w:t>
      </w:r>
      <w:r>
        <w:rPr>
          <w:rFonts w:hint="eastAsia" w:ascii="宋体" w:hAnsi="宋体" w:eastAsia="宋体" w:cs="宋体"/>
          <w:bCs/>
          <w:highlight w:val="none"/>
        </w:rPr>
        <w:t>：</w:t>
      </w:r>
    </w:p>
    <w:p w14:paraId="697476A2">
      <w:pPr>
        <w:snapToGrid w:val="0"/>
        <w:spacing w:before="156" w:beforeLines="50" w:after="50" w:line="276" w:lineRule="auto"/>
        <w:rPr>
          <w:rFonts w:ascii="宋体" w:hAnsi="宋体" w:eastAsia="宋体" w:cs="宋体"/>
          <w:szCs w:val="21"/>
          <w:highlight w:val="none"/>
        </w:rPr>
      </w:pPr>
      <w:r>
        <w:rPr>
          <w:rFonts w:hint="eastAsia" w:ascii="宋体" w:hAnsi="宋体" w:eastAsia="宋体" w:cs="宋体"/>
          <w:szCs w:val="21"/>
          <w:highlight w:val="none"/>
        </w:rPr>
        <w:t>浙江综盛项目管理有限公司：</w:t>
      </w:r>
    </w:p>
    <w:p w14:paraId="218DAC6F">
      <w:pPr>
        <w:rPr>
          <w:rFonts w:ascii="宋体" w:hAnsi="宋体" w:eastAsia="宋体" w:cs="宋体"/>
          <w:highlight w:val="none"/>
        </w:rPr>
      </w:pPr>
    </w:p>
    <w:p w14:paraId="4BC2C5B3">
      <w:pPr>
        <w:spacing w:line="360" w:lineRule="auto"/>
        <w:ind w:firstLine="420" w:firstLineChars="200"/>
        <w:rPr>
          <w:rStyle w:val="29"/>
          <w:rFonts w:ascii="宋体" w:hAnsi="宋体" w:eastAsia="宋体" w:cs="宋体"/>
          <w:highlight w:val="none"/>
        </w:rPr>
      </w:pPr>
      <w:r>
        <w:rPr>
          <w:rStyle w:val="29"/>
          <w:rFonts w:hint="eastAsia" w:ascii="宋体" w:hAnsi="宋体" w:eastAsia="宋体" w:cs="宋体"/>
          <w:highlight w:val="none"/>
        </w:rPr>
        <w:t>我公司参与</w:t>
      </w:r>
      <w:r>
        <w:rPr>
          <w:rStyle w:val="29"/>
          <w:rFonts w:hint="eastAsia" w:ascii="宋体" w:hAnsi="宋体" w:eastAsia="宋体" w:cs="宋体"/>
          <w:highlight w:val="none"/>
          <w:u w:val="single"/>
        </w:rPr>
        <w:t xml:space="preserve">        项目名称        </w:t>
      </w:r>
      <w:r>
        <w:rPr>
          <w:rStyle w:val="29"/>
          <w:rFonts w:hint="eastAsia" w:ascii="宋体" w:hAnsi="宋体" w:eastAsia="宋体" w:cs="宋体"/>
          <w:highlight w:val="none"/>
        </w:rPr>
        <w:t>（项目编号：</w:t>
      </w:r>
      <w:r>
        <w:rPr>
          <w:rStyle w:val="29"/>
          <w:rFonts w:hint="eastAsia" w:ascii="宋体" w:hAnsi="宋体" w:eastAsia="宋体" w:cs="宋体"/>
          <w:highlight w:val="none"/>
          <w:u w:val="single"/>
        </w:rPr>
        <w:t xml:space="preserve">                  </w:t>
      </w:r>
      <w:r>
        <w:rPr>
          <w:rStyle w:val="29"/>
          <w:rFonts w:hint="eastAsia" w:ascii="宋体" w:hAnsi="宋体" w:eastAsia="宋体" w:cs="宋体"/>
          <w:highlight w:val="none"/>
        </w:rPr>
        <w:t>）投标，郑重承诺具备以下条件：</w:t>
      </w:r>
    </w:p>
    <w:p w14:paraId="69065AE7">
      <w:pPr>
        <w:numPr>
          <w:ilvl w:val="0"/>
          <w:numId w:val="21"/>
        </w:numPr>
        <w:spacing w:line="360" w:lineRule="auto"/>
        <w:rPr>
          <w:rStyle w:val="29"/>
          <w:rFonts w:ascii="宋体" w:hAnsi="宋体" w:eastAsia="宋体" w:cs="宋体"/>
          <w:highlight w:val="none"/>
        </w:rPr>
      </w:pPr>
      <w:r>
        <w:rPr>
          <w:rStyle w:val="29"/>
          <w:rFonts w:hint="eastAsia" w:ascii="宋体" w:hAnsi="宋体" w:eastAsia="宋体" w:cs="宋体"/>
          <w:highlight w:val="none"/>
        </w:rPr>
        <w:t>具有独立承担民事责任的能力；</w:t>
      </w:r>
    </w:p>
    <w:p w14:paraId="6A6A5444">
      <w:pPr>
        <w:numPr>
          <w:ilvl w:val="0"/>
          <w:numId w:val="21"/>
        </w:numPr>
        <w:spacing w:line="360" w:lineRule="auto"/>
        <w:rPr>
          <w:rStyle w:val="29"/>
          <w:rFonts w:ascii="宋体" w:hAnsi="宋体" w:eastAsia="宋体" w:cs="宋体"/>
          <w:highlight w:val="none"/>
        </w:rPr>
      </w:pPr>
      <w:r>
        <w:rPr>
          <w:rStyle w:val="29"/>
          <w:rFonts w:hint="eastAsia" w:ascii="宋体" w:hAnsi="宋体" w:eastAsia="宋体" w:cs="宋体"/>
          <w:highlight w:val="none"/>
        </w:rPr>
        <w:t>具有良好的商业信誉和健全的财务会计制度；</w:t>
      </w:r>
    </w:p>
    <w:p w14:paraId="7CF88013">
      <w:pPr>
        <w:numPr>
          <w:ilvl w:val="0"/>
          <w:numId w:val="21"/>
        </w:numPr>
        <w:spacing w:line="360" w:lineRule="auto"/>
        <w:rPr>
          <w:rStyle w:val="29"/>
          <w:rFonts w:ascii="宋体" w:hAnsi="宋体" w:eastAsia="宋体" w:cs="宋体"/>
          <w:highlight w:val="none"/>
        </w:rPr>
      </w:pPr>
      <w:r>
        <w:rPr>
          <w:rStyle w:val="29"/>
          <w:rFonts w:hint="eastAsia" w:ascii="宋体" w:hAnsi="宋体" w:eastAsia="宋体" w:cs="宋体"/>
          <w:highlight w:val="none"/>
        </w:rPr>
        <w:t>具有履行合同所必需的设备和专业技术能力；</w:t>
      </w:r>
    </w:p>
    <w:p w14:paraId="5499434A">
      <w:pPr>
        <w:numPr>
          <w:ilvl w:val="0"/>
          <w:numId w:val="21"/>
        </w:numPr>
        <w:spacing w:line="360" w:lineRule="auto"/>
        <w:rPr>
          <w:rStyle w:val="29"/>
          <w:rFonts w:ascii="宋体" w:hAnsi="宋体" w:eastAsia="宋体" w:cs="宋体"/>
          <w:highlight w:val="none"/>
        </w:rPr>
      </w:pPr>
      <w:r>
        <w:rPr>
          <w:rStyle w:val="29"/>
          <w:rFonts w:hint="eastAsia" w:ascii="宋体" w:hAnsi="宋体" w:eastAsia="宋体" w:cs="宋体"/>
          <w:highlight w:val="none"/>
        </w:rPr>
        <w:t>有依法缴纳税收和社会保障资金的良好记录；</w:t>
      </w:r>
    </w:p>
    <w:p w14:paraId="74B458A4">
      <w:pPr>
        <w:numPr>
          <w:ilvl w:val="0"/>
          <w:numId w:val="21"/>
        </w:numPr>
        <w:spacing w:line="360" w:lineRule="auto"/>
        <w:rPr>
          <w:rStyle w:val="29"/>
          <w:rFonts w:ascii="宋体" w:hAnsi="宋体" w:eastAsia="宋体" w:cs="宋体"/>
          <w:highlight w:val="none"/>
        </w:rPr>
      </w:pPr>
      <w:r>
        <w:rPr>
          <w:rStyle w:val="29"/>
          <w:rFonts w:hint="eastAsia" w:ascii="宋体" w:hAnsi="宋体" w:eastAsia="宋体" w:cs="宋体"/>
          <w:highlight w:val="none"/>
        </w:rPr>
        <w:t>参加政府采购活动前三年内，在经营活动中没有重大违法记录；</w:t>
      </w:r>
    </w:p>
    <w:p w14:paraId="3898B500">
      <w:pPr>
        <w:numPr>
          <w:ilvl w:val="0"/>
          <w:numId w:val="21"/>
        </w:numPr>
        <w:spacing w:line="360" w:lineRule="auto"/>
        <w:outlineLvl w:val="2"/>
        <w:rPr>
          <w:rStyle w:val="29"/>
          <w:rFonts w:ascii="宋体" w:hAnsi="宋体" w:eastAsia="宋体" w:cs="宋体"/>
          <w:highlight w:val="none"/>
        </w:rPr>
      </w:pPr>
      <w:bookmarkStart w:id="382" w:name="_Toc18820"/>
      <w:bookmarkStart w:id="383" w:name="_Toc9392"/>
      <w:bookmarkStart w:id="384" w:name="_Toc6253"/>
      <w:bookmarkStart w:id="385" w:name="_Toc20673"/>
      <w:bookmarkStart w:id="386" w:name="_Toc7954"/>
      <w:r>
        <w:rPr>
          <w:rStyle w:val="29"/>
          <w:rFonts w:hint="eastAsia" w:ascii="宋体" w:hAnsi="宋体" w:eastAsia="宋体" w:cs="宋体"/>
          <w:highlight w:val="none"/>
        </w:rPr>
        <w:t>法律、行政法规规定的其他条件。</w:t>
      </w:r>
      <w:bookmarkEnd w:id="382"/>
      <w:bookmarkEnd w:id="383"/>
      <w:bookmarkEnd w:id="384"/>
      <w:bookmarkEnd w:id="385"/>
      <w:bookmarkEnd w:id="386"/>
    </w:p>
    <w:p w14:paraId="1F5B9D25">
      <w:pPr>
        <w:spacing w:line="360" w:lineRule="auto"/>
        <w:ind w:firstLine="422" w:firstLineChars="200"/>
        <w:rPr>
          <w:rStyle w:val="29"/>
          <w:rFonts w:ascii="宋体" w:hAnsi="宋体" w:eastAsia="宋体" w:cs="宋体"/>
          <w:highlight w:val="none"/>
        </w:rPr>
      </w:pPr>
      <w:r>
        <w:rPr>
          <w:rStyle w:val="29"/>
          <w:rFonts w:hint="eastAsia" w:ascii="宋体" w:hAnsi="宋体" w:eastAsia="宋体" w:cs="宋体"/>
          <w:b/>
          <w:bCs/>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29"/>
          <w:rFonts w:hint="eastAsia" w:ascii="宋体" w:hAnsi="宋体" w:eastAsia="宋体" w:cs="宋体"/>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7CEE27BB">
      <w:pPr>
        <w:spacing w:line="360" w:lineRule="auto"/>
        <w:ind w:firstLine="420" w:firstLineChars="200"/>
        <w:rPr>
          <w:rStyle w:val="29"/>
          <w:rFonts w:ascii="宋体" w:hAnsi="宋体" w:eastAsia="宋体" w:cs="宋体"/>
          <w:highlight w:val="none"/>
        </w:rPr>
      </w:pPr>
      <w:r>
        <w:rPr>
          <w:rStyle w:val="29"/>
          <w:rFonts w:hint="eastAsia" w:ascii="宋体" w:hAnsi="宋体" w:eastAsia="宋体" w:cs="宋体"/>
          <w:highlight w:val="none"/>
        </w:rPr>
        <w:t>我单位已知晓前述法律规定，对此无任何异议。</w:t>
      </w:r>
    </w:p>
    <w:p w14:paraId="750BE8DB">
      <w:pPr>
        <w:ind w:firstLine="420" w:firstLineChars="200"/>
        <w:rPr>
          <w:rStyle w:val="29"/>
          <w:rFonts w:ascii="宋体" w:hAnsi="宋体" w:eastAsia="宋体" w:cs="宋体"/>
          <w:highlight w:val="none"/>
        </w:rPr>
      </w:pPr>
    </w:p>
    <w:p w14:paraId="0CE674C3">
      <w:pPr>
        <w:ind w:firstLine="420" w:firstLineChars="200"/>
        <w:rPr>
          <w:rStyle w:val="29"/>
          <w:rFonts w:ascii="宋体" w:hAnsi="宋体" w:eastAsia="宋体" w:cs="宋体"/>
          <w:highlight w:val="none"/>
        </w:rPr>
      </w:pPr>
    </w:p>
    <w:p w14:paraId="104ACF88">
      <w:pPr>
        <w:tabs>
          <w:tab w:val="left" w:pos="4635"/>
        </w:tabs>
        <w:spacing w:line="360" w:lineRule="auto"/>
        <w:ind w:left="4601" w:leftChars="2191" w:right="93" w:firstLine="16" w:firstLineChars="8"/>
        <w:rPr>
          <w:rFonts w:ascii="宋体" w:hAnsi="宋体" w:eastAsia="宋体" w:cs="宋体"/>
          <w:szCs w:val="22"/>
          <w:highlight w:val="none"/>
        </w:rPr>
      </w:pPr>
      <w:r>
        <w:rPr>
          <w:rFonts w:hint="eastAsia" w:ascii="宋体" w:hAnsi="宋体" w:eastAsia="宋体" w:cs="宋体"/>
          <w:szCs w:val="22"/>
          <w:highlight w:val="none"/>
        </w:rPr>
        <w:t>磋商供应商全称（电子签章）：</w:t>
      </w:r>
    </w:p>
    <w:p w14:paraId="59EA9BB9">
      <w:pPr>
        <w:tabs>
          <w:tab w:val="left" w:pos="4635"/>
        </w:tabs>
        <w:spacing w:line="360" w:lineRule="auto"/>
        <w:ind w:left="4601" w:leftChars="2191" w:right="93" w:firstLine="16" w:firstLineChars="8"/>
        <w:rPr>
          <w:rFonts w:ascii="宋体" w:hAnsi="宋体" w:eastAsia="宋体" w:cs="宋体"/>
          <w:szCs w:val="22"/>
          <w:highlight w:val="none"/>
        </w:rPr>
      </w:pPr>
      <w:r>
        <w:rPr>
          <w:rFonts w:hint="eastAsia" w:ascii="宋体" w:hAnsi="宋体" w:eastAsia="宋体" w:cs="宋体"/>
          <w:szCs w:val="22"/>
          <w:highlight w:val="none"/>
        </w:rPr>
        <w:t>日  期：</w:t>
      </w:r>
    </w:p>
    <w:p w14:paraId="297F6243">
      <w:pPr>
        <w:rPr>
          <w:rStyle w:val="29"/>
          <w:rFonts w:ascii="宋体" w:hAnsi="宋体" w:eastAsia="宋体" w:cs="宋体"/>
          <w:b/>
          <w:bCs/>
          <w:highlight w:val="none"/>
        </w:rPr>
      </w:pPr>
    </w:p>
    <w:p w14:paraId="6DAB56B9">
      <w:pPr>
        <w:rPr>
          <w:rStyle w:val="29"/>
          <w:rFonts w:ascii="宋体" w:hAnsi="宋体" w:eastAsia="宋体" w:cs="宋体"/>
          <w:b/>
          <w:bCs/>
          <w:highlight w:val="none"/>
        </w:rPr>
      </w:pPr>
    </w:p>
    <w:p w14:paraId="4F6B87C4">
      <w:pPr>
        <w:pStyle w:val="6"/>
        <w:outlineLvl w:val="1"/>
        <w:rPr>
          <w:rFonts w:hint="eastAsia"/>
          <w:highlight w:val="none"/>
          <w:lang w:val="en-US" w:eastAsia="zh-CN"/>
        </w:rPr>
      </w:pPr>
      <w:bookmarkStart w:id="387" w:name="_Toc27711"/>
      <w:r>
        <w:rPr>
          <w:rStyle w:val="29"/>
          <w:rFonts w:hint="eastAsia" w:ascii="宋体" w:hAnsi="宋体" w:eastAsia="宋体" w:cs="宋体"/>
          <w:b/>
          <w:bCs/>
          <w:sz w:val="21"/>
          <w:szCs w:val="21"/>
          <w:highlight w:val="none"/>
        </w:rPr>
        <w:t>注：1、</w:t>
      </w:r>
      <w:r>
        <w:rPr>
          <w:rStyle w:val="29"/>
          <w:rFonts w:hint="eastAsia" w:ascii="宋体" w:hAnsi="宋体" w:eastAsia="宋体" w:cs="宋体"/>
          <w:sz w:val="21"/>
          <w:szCs w:val="21"/>
          <w:highlight w:val="none"/>
        </w:rPr>
        <w:t>▲</w:t>
      </w:r>
      <w:r>
        <w:rPr>
          <w:rStyle w:val="29"/>
          <w:rFonts w:hint="eastAsia" w:ascii="宋体" w:hAnsi="宋体" w:eastAsia="宋体" w:cs="宋体"/>
          <w:b/>
          <w:bCs/>
          <w:sz w:val="21"/>
          <w:szCs w:val="21"/>
          <w:highlight w:val="none"/>
        </w:rPr>
        <w:t>本承诺函必须提供。</w:t>
      </w:r>
      <w:bookmarkEnd w:id="387"/>
    </w:p>
    <w:p w14:paraId="3757222B">
      <w:pPr>
        <w:rPr>
          <w:rFonts w:hint="eastAsia"/>
          <w:highlight w:val="none"/>
          <w:lang w:val="en-US" w:eastAsia="zh-CN"/>
        </w:rPr>
      </w:pPr>
    </w:p>
    <w:p w14:paraId="0492C783">
      <w:pPr>
        <w:pStyle w:val="2"/>
        <w:rPr>
          <w:rFonts w:hint="eastAsia"/>
          <w:highlight w:val="none"/>
        </w:rPr>
      </w:pPr>
    </w:p>
    <w:p w14:paraId="221B9621">
      <w:pPr>
        <w:pStyle w:val="7"/>
        <w:rPr>
          <w:rFonts w:hint="eastAsia"/>
          <w:highlight w:val="none"/>
        </w:rPr>
      </w:pPr>
    </w:p>
    <w:p w14:paraId="028908C2">
      <w:pPr>
        <w:jc w:val="center"/>
        <w:outlineLvl w:val="1"/>
        <w:rPr>
          <w:rFonts w:ascii="宋体" w:hAnsi="宋体" w:eastAsia="宋体" w:cs="宋体"/>
          <w:b/>
          <w:bCs/>
          <w:sz w:val="28"/>
          <w:szCs w:val="28"/>
          <w:highlight w:val="none"/>
        </w:rPr>
      </w:pPr>
      <w:bookmarkStart w:id="388" w:name="_Toc25118"/>
      <w:bookmarkStart w:id="389" w:name="_Toc22170"/>
      <w:bookmarkStart w:id="390" w:name="_Toc10372"/>
      <w:r>
        <w:rPr>
          <w:rFonts w:hint="eastAsia" w:ascii="宋体" w:hAnsi="宋体" w:eastAsia="宋体" w:cs="宋体"/>
          <w:b/>
          <w:bCs/>
          <w:sz w:val="28"/>
          <w:szCs w:val="28"/>
          <w:highlight w:val="none"/>
        </w:rPr>
        <w:t>附件三-1  法定代表人授权委托书</w:t>
      </w:r>
      <w:bookmarkEnd w:id="388"/>
      <w:bookmarkEnd w:id="389"/>
      <w:bookmarkEnd w:id="390"/>
    </w:p>
    <w:p w14:paraId="717B6B24">
      <w:pPr>
        <w:spacing w:line="276" w:lineRule="auto"/>
        <w:rPr>
          <w:rFonts w:ascii="宋体" w:hAnsi="宋体" w:eastAsia="宋体" w:cs="宋体"/>
          <w:bCs/>
          <w:highlight w:val="none"/>
        </w:rPr>
      </w:pPr>
      <w:r>
        <w:rPr>
          <w:rFonts w:hint="eastAsia" w:ascii="宋体" w:hAnsi="宋体" w:eastAsia="宋体" w:cs="宋体"/>
          <w:bCs/>
          <w:highlight w:val="none"/>
          <w:lang w:eastAsia="zh-CN"/>
        </w:rPr>
        <w:t>瑞安市水利局</w:t>
      </w:r>
      <w:r>
        <w:rPr>
          <w:rFonts w:hint="eastAsia" w:ascii="宋体" w:hAnsi="宋体" w:eastAsia="宋体" w:cs="宋体"/>
          <w:bCs/>
          <w:highlight w:val="none"/>
        </w:rPr>
        <w:t>：</w:t>
      </w:r>
    </w:p>
    <w:p w14:paraId="266D7102">
      <w:pPr>
        <w:snapToGrid w:val="0"/>
        <w:spacing w:before="156" w:beforeLines="50" w:after="50" w:line="276" w:lineRule="auto"/>
        <w:rPr>
          <w:rFonts w:ascii="宋体" w:hAnsi="宋体" w:eastAsia="宋体" w:cs="宋体"/>
          <w:szCs w:val="21"/>
          <w:highlight w:val="none"/>
        </w:rPr>
      </w:pPr>
      <w:r>
        <w:rPr>
          <w:rFonts w:hint="eastAsia" w:ascii="宋体" w:hAnsi="宋体" w:eastAsia="宋体" w:cs="宋体"/>
          <w:szCs w:val="21"/>
          <w:highlight w:val="none"/>
        </w:rPr>
        <w:t>浙江综盛项目管理有限公司：</w:t>
      </w:r>
    </w:p>
    <w:p w14:paraId="76FE269B">
      <w:pPr>
        <w:spacing w:line="360" w:lineRule="auto"/>
        <w:ind w:firstLine="426" w:firstLineChars="203"/>
        <w:rPr>
          <w:rFonts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 xml:space="preserve">   （法人代表姓名）  </w:t>
      </w:r>
      <w:r>
        <w:rPr>
          <w:rFonts w:hint="eastAsia" w:ascii="宋体" w:hAnsi="宋体" w:eastAsia="宋体" w:cs="宋体"/>
          <w:highlight w:val="none"/>
        </w:rPr>
        <w:t>系</w:t>
      </w:r>
      <w:r>
        <w:rPr>
          <w:rFonts w:hint="eastAsia" w:ascii="宋体" w:hAnsi="宋体" w:eastAsia="宋体" w:cs="宋体"/>
          <w:highlight w:val="none"/>
          <w:u w:val="single"/>
        </w:rPr>
        <w:t xml:space="preserve">  （磋商供应商名称）</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的法定代表人，现授权委托本单位正式职工</w:t>
      </w:r>
      <w:r>
        <w:rPr>
          <w:rFonts w:hint="eastAsia" w:ascii="宋体" w:hAnsi="宋体" w:eastAsia="宋体" w:cs="宋体"/>
          <w:highlight w:val="none"/>
          <w:u w:val="single"/>
        </w:rPr>
        <w:t xml:space="preserve">    （授权代表姓名）    </w:t>
      </w:r>
      <w:r>
        <w:rPr>
          <w:rFonts w:hint="eastAsia" w:ascii="宋体" w:hAnsi="宋体" w:eastAsia="宋体" w:cs="宋体"/>
          <w:highlight w:val="none"/>
        </w:rPr>
        <w:t>为我公司法定代表人授权代表，参加贵处组织的</w:t>
      </w:r>
      <w:r>
        <w:rPr>
          <w:rFonts w:hint="eastAsia" w:ascii="宋体" w:hAnsi="宋体" w:eastAsia="宋体" w:cs="宋体"/>
          <w:highlight w:val="none"/>
          <w:u w:val="single"/>
        </w:rPr>
        <w:t xml:space="preserve">（项目编号）          </w:t>
      </w:r>
      <w:r>
        <w:rPr>
          <w:rFonts w:hint="eastAsia" w:ascii="宋体" w:hAnsi="宋体" w:eastAsia="宋体" w:cs="宋体"/>
          <w:highlight w:val="none"/>
        </w:rPr>
        <w:t xml:space="preserve">项目投标，全权处理本次招投标活动中的一切事宜，并代表我方全权办理针对上述项目的投标、开标、评标、签约等具体事务和签署相关文件。   </w:t>
      </w:r>
    </w:p>
    <w:p w14:paraId="0D8C0300">
      <w:pPr>
        <w:spacing w:line="360" w:lineRule="auto"/>
        <w:ind w:left="283" w:leftChars="135" w:firstLine="140" w:firstLineChars="67"/>
        <w:rPr>
          <w:rFonts w:ascii="宋体" w:hAnsi="宋体" w:eastAsia="宋体" w:cs="宋体"/>
          <w:highlight w:val="none"/>
        </w:rPr>
      </w:pPr>
      <w:r>
        <w:rPr>
          <w:rFonts w:hint="eastAsia" w:ascii="宋体" w:hAnsi="宋体" w:eastAsia="宋体" w:cs="宋体"/>
          <w:highlight w:val="none"/>
        </w:rPr>
        <w:t>我方对被授权人的签名负全部责任。</w:t>
      </w:r>
    </w:p>
    <w:p w14:paraId="068A29E3">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在撤销授权的书面通知以前，本授权委托书一直有效。被授权人在授权委托书有效期内签署的所有文件不因授权的撤销而失效。</w:t>
      </w:r>
    </w:p>
    <w:p w14:paraId="62179BE1">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授权代表无转委托权，特此委托。</w:t>
      </w:r>
    </w:p>
    <w:p w14:paraId="183A2A1D">
      <w:pPr>
        <w:spacing w:line="276" w:lineRule="auto"/>
        <w:ind w:firstLine="697"/>
        <w:rPr>
          <w:rFonts w:ascii="宋体" w:hAnsi="宋体" w:eastAsia="宋体" w:cs="宋体"/>
          <w:highlight w:val="none"/>
        </w:rPr>
      </w:pPr>
    </w:p>
    <w:p w14:paraId="4E4379F9">
      <w:pPr>
        <w:spacing w:before="312" w:beforeLines="100" w:after="312" w:afterLines="100" w:line="400" w:lineRule="atLeast"/>
        <w:ind w:firstLine="697"/>
        <w:rPr>
          <w:rFonts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1" name="文本框 2"/>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19B36731"/>
                          <w:p w14:paraId="09D8C1F8"/>
                          <w:p w14:paraId="314B38EE"/>
                          <w:p w14:paraId="5D4088D2"/>
                          <w:p w14:paraId="16035020"/>
                          <w:p w14:paraId="31787057"/>
                          <w:p w14:paraId="7E05AE99"/>
                          <w:p w14:paraId="48C1CE81"/>
                          <w:p w14:paraId="5656FAEF"/>
                          <w:p w14:paraId="659852AF">
                            <w:pPr>
                              <w:jc w:val="center"/>
                            </w:pPr>
                            <w:r>
                              <w:rPr>
                                <w:rFonts w:hint="eastAsia"/>
                              </w:rPr>
                              <w:t>授权代表身份证复印件（正反两面）</w:t>
                            </w:r>
                          </w:p>
                        </w:txbxContent>
                      </wps:txbx>
                      <wps:bodyPr rot="0" vert="horz" wrap="square" lIns="91440" tIns="45720" rIns="91440" bIns="45720" anchor="t" anchorCtr="0"/>
                    </wps:wsp>
                  </a:graphicData>
                </a:graphic>
              </wp:anchor>
            </w:drawing>
          </mc:Choice>
          <mc:Fallback>
            <w:pict>
              <v:shape id="文本框 2"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kgM2TbAAAACgEAAA8AAAAAAAAAAQAgAAAA&#10;IgAAAGRycy9kb3ducmV2LnhtbFBLAQIUABQAAAAIAIdO4kBnzc5WQQIAAKIEAAAOAAAAAAAAAAEA&#10;IAAAACoBAABkcnMvZTJvRG9jLnhtbFBLBQYAAAAABgAGAFkBAADdBQAAAAA=&#10;">
                <v:fill on="t" focussize="0,0"/>
                <v:stroke color="#000000" miterlimit="0" joinstyle="miter"/>
                <v:imagedata o:title=""/>
                <o:lock v:ext="edit" aspectratio="f"/>
                <v:textbox>
                  <w:txbxContent>
                    <w:p w14:paraId="19B36731"/>
                    <w:p w14:paraId="09D8C1F8"/>
                    <w:p w14:paraId="314B38EE"/>
                    <w:p w14:paraId="5D4088D2"/>
                    <w:p w14:paraId="16035020"/>
                    <w:p w14:paraId="31787057"/>
                    <w:p w14:paraId="7E05AE99"/>
                    <w:p w14:paraId="48C1CE81"/>
                    <w:p w14:paraId="5656FAEF"/>
                    <w:p w14:paraId="659852AF">
                      <w:pPr>
                        <w:jc w:val="center"/>
                      </w:pPr>
                      <w:r>
                        <w:rPr>
                          <w:rFonts w:hint="eastAsia"/>
                        </w:rPr>
                        <w:t>授权代表身份证复印件（正反两面）</w:t>
                      </w:r>
                    </w:p>
                  </w:txbxContent>
                </v:textbox>
              </v:shape>
            </w:pict>
          </mc:Fallback>
        </mc:AlternateContent>
      </w:r>
    </w:p>
    <w:p w14:paraId="40F20BDE">
      <w:pPr>
        <w:spacing w:before="312" w:beforeLines="100" w:after="312" w:afterLines="100" w:line="400" w:lineRule="atLeast"/>
        <w:ind w:left="2100" w:leftChars="1000" w:firstLine="1365" w:firstLineChars="650"/>
        <w:rPr>
          <w:rFonts w:ascii="宋体" w:hAnsi="宋体" w:eastAsia="宋体" w:cs="宋体"/>
          <w:szCs w:val="21"/>
          <w:highlight w:val="none"/>
          <w:u w:val="single"/>
        </w:rPr>
      </w:pPr>
      <w:r>
        <w:rPr>
          <w:rFonts w:hint="eastAsia" w:ascii="宋体" w:hAnsi="宋体" w:eastAsia="宋体" w:cs="宋体"/>
          <w:szCs w:val="21"/>
          <w:highlight w:val="none"/>
        </w:rPr>
        <w:t>授权代表：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性别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1E822621">
      <w:pPr>
        <w:spacing w:before="312" w:beforeLines="100" w:after="312" w:afterLines="100" w:line="400" w:lineRule="atLeast"/>
        <w:ind w:left="2100" w:leftChars="1000" w:firstLine="1365" w:firstLineChars="650"/>
        <w:rPr>
          <w:rFonts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7FD759D2">
      <w:pPr>
        <w:spacing w:before="312" w:beforeLines="100" w:after="312" w:afterLines="100" w:line="400" w:lineRule="atLeast"/>
        <w:ind w:left="2100" w:leftChars="1000" w:firstLine="1365" w:firstLineChars="650"/>
        <w:rPr>
          <w:rFonts w:ascii="宋体" w:hAnsi="宋体" w:eastAsia="宋体" w:cs="宋体"/>
          <w:szCs w:val="21"/>
          <w:highlight w:val="none"/>
          <w:u w:val="single"/>
        </w:rPr>
      </w:pPr>
      <w:r>
        <w:rPr>
          <w:rFonts w:hint="eastAsia" w:ascii="宋体" w:hAnsi="宋体" w:eastAsia="宋体" w:cs="宋体"/>
          <w:szCs w:val="21"/>
          <w:highlight w:val="none"/>
        </w:rPr>
        <w:t>详细通讯地址：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p>
    <w:p w14:paraId="373A6DAC">
      <w:pPr>
        <w:spacing w:before="312" w:beforeLines="100" w:after="312" w:afterLines="100" w:line="400" w:lineRule="atLeast"/>
        <w:ind w:firstLine="3465" w:firstLineChars="1650"/>
        <w:rPr>
          <w:rFonts w:ascii="宋体" w:hAnsi="宋体" w:eastAsia="宋体" w:cs="宋体"/>
          <w:szCs w:val="21"/>
          <w:highlight w:val="none"/>
          <w:u w:val="single"/>
        </w:rPr>
      </w:pPr>
      <w:r>
        <w:rPr>
          <w:rFonts w:hint="eastAsia" w:ascii="宋体" w:hAnsi="宋体" w:eastAsia="宋体" w:cs="宋体"/>
          <w:szCs w:val="21"/>
          <w:highlight w:val="none"/>
        </w:rPr>
        <w:t xml:space="preserve">手机号码：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2ED994D2">
      <w:pPr>
        <w:spacing w:before="312" w:beforeLines="100" w:after="312" w:afterLines="100" w:line="400" w:lineRule="atLeast"/>
        <w:ind w:firstLine="3465" w:firstLineChars="1650"/>
        <w:rPr>
          <w:rFonts w:ascii="宋体" w:hAnsi="宋体" w:eastAsia="宋体" w:cs="宋体"/>
          <w:szCs w:val="21"/>
          <w:highlight w:val="none"/>
          <w:u w:val="single"/>
        </w:rPr>
      </w:pPr>
      <w:r>
        <w:rPr>
          <w:rFonts w:hint="eastAsia" w:ascii="宋体" w:hAnsi="宋体" w:eastAsia="宋体" w:cs="宋体"/>
          <w:szCs w:val="21"/>
          <w:highlight w:val="none"/>
        </w:rPr>
        <w:t>电</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真：</w:t>
      </w:r>
      <w:r>
        <w:rPr>
          <w:rFonts w:hint="eastAsia" w:ascii="宋体" w:hAnsi="宋体" w:eastAsia="宋体" w:cs="宋体"/>
          <w:szCs w:val="21"/>
          <w:highlight w:val="none"/>
          <w:u w:val="single"/>
        </w:rPr>
        <w:t xml:space="preserve">             </w:t>
      </w:r>
    </w:p>
    <w:p w14:paraId="639E0483">
      <w:pPr>
        <w:spacing w:before="312" w:beforeLines="100" w:after="312" w:afterLines="100" w:line="400" w:lineRule="atLeast"/>
        <w:ind w:left="1" w:firstLine="403" w:firstLineChars="192"/>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                             磋商供应商：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highlight w:val="none"/>
          <w:u w:val="single"/>
        </w:rPr>
        <w:t>盖电子签章</w:t>
      </w:r>
      <w:r>
        <w:rPr>
          <w:rFonts w:hint="eastAsia" w:ascii="宋体" w:hAnsi="宋体" w:eastAsia="宋体" w:cs="宋体"/>
          <w:highlight w:val="none"/>
          <w:u w:val="single"/>
          <w:lang w:eastAsia="zh-CN"/>
        </w:rPr>
        <w:t>）</w:t>
      </w:r>
    </w:p>
    <w:p w14:paraId="495C2A76">
      <w:pPr>
        <w:spacing w:before="312" w:beforeLines="100" w:after="312" w:afterLines="100" w:line="400" w:lineRule="atLeast"/>
        <w:ind w:left="2100" w:right="420" w:firstLine="1365" w:firstLineChars="650"/>
        <w:rPr>
          <w:rFonts w:hint="eastAsia" w:ascii="宋体" w:hAnsi="宋体" w:eastAsia="宋体" w:cs="宋体"/>
          <w:szCs w:val="21"/>
          <w:highlight w:val="none"/>
          <w:lang w:eastAsia="zh-CN"/>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（签字或盖章</w:t>
      </w:r>
      <w:r>
        <w:rPr>
          <w:rFonts w:hint="eastAsia" w:ascii="宋体" w:hAnsi="宋体" w:eastAsia="宋体" w:cs="宋体"/>
          <w:szCs w:val="21"/>
          <w:highlight w:val="none"/>
          <w:u w:val="single"/>
          <w:lang w:eastAsia="zh-CN"/>
        </w:rPr>
        <w:t>）</w:t>
      </w:r>
    </w:p>
    <w:p w14:paraId="1C1D4B58">
      <w:pPr>
        <w:spacing w:before="312" w:beforeLines="100" w:after="312" w:afterLines="100" w:line="400" w:lineRule="atLeast"/>
        <w:ind w:firstLine="3150" w:firstLineChars="1500"/>
        <w:jc w:val="right"/>
        <w:rPr>
          <w:rFonts w:hint="eastAsia" w:ascii="宋体" w:hAnsi="宋体" w:eastAsia="宋体" w:cs="宋体"/>
          <w:szCs w:val="21"/>
          <w:highlight w:val="none"/>
        </w:rPr>
      </w:pPr>
    </w:p>
    <w:p w14:paraId="004424B2">
      <w:pPr>
        <w:spacing w:before="312" w:beforeLines="100" w:after="312" w:afterLines="100" w:line="400" w:lineRule="atLeast"/>
        <w:ind w:firstLine="3150" w:firstLineChars="1500"/>
        <w:jc w:val="right"/>
        <w:rPr>
          <w:rFonts w:hint="eastAsia" w:ascii="宋体" w:hAnsi="宋体" w:eastAsia="宋体" w:cs="宋体"/>
          <w:szCs w:val="21"/>
          <w:highlight w:val="none"/>
        </w:rPr>
      </w:pPr>
    </w:p>
    <w:p w14:paraId="193EAD50">
      <w:pPr>
        <w:spacing w:before="312" w:beforeLines="100" w:after="312" w:afterLines="100" w:line="400" w:lineRule="atLeast"/>
        <w:ind w:firstLine="3150" w:firstLineChars="1500"/>
        <w:jc w:val="right"/>
        <w:rPr>
          <w:rFonts w:hint="eastAsia" w:ascii="宋体" w:hAnsi="宋体" w:eastAsia="宋体" w:cs="宋体"/>
          <w:b/>
          <w:bCs/>
          <w:sz w:val="28"/>
          <w:szCs w:val="28"/>
          <w:highlight w:val="none"/>
        </w:rPr>
      </w:pPr>
      <w:r>
        <w:rPr>
          <w:rFonts w:hint="eastAsia" w:ascii="宋体" w:hAnsi="宋体" w:eastAsia="宋体" w:cs="宋体"/>
          <w:szCs w:val="21"/>
          <w:highlight w:val="none"/>
        </w:rPr>
        <w:t>授权委托日期：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6D2D0AB">
      <w:pPr>
        <w:jc w:val="center"/>
        <w:outlineLvl w:val="1"/>
        <w:rPr>
          <w:rFonts w:ascii="宋体" w:hAnsi="宋体" w:eastAsia="宋体" w:cs="宋体"/>
          <w:b/>
          <w:bCs/>
          <w:sz w:val="28"/>
          <w:szCs w:val="28"/>
          <w:highlight w:val="none"/>
        </w:rPr>
      </w:pPr>
      <w:bookmarkStart w:id="391" w:name="_Toc18364"/>
      <w:bookmarkStart w:id="392" w:name="_Toc28500"/>
      <w:bookmarkStart w:id="393" w:name="_Toc12958"/>
      <w:r>
        <w:rPr>
          <w:rFonts w:hint="eastAsia" w:ascii="宋体" w:hAnsi="宋体" w:eastAsia="宋体" w:cs="宋体"/>
          <w:b/>
          <w:bCs/>
          <w:sz w:val="28"/>
          <w:szCs w:val="28"/>
          <w:highlight w:val="none"/>
        </w:rPr>
        <w:t>附件三-2  法定代表人身份证明</w:t>
      </w:r>
      <w:bookmarkEnd w:id="391"/>
      <w:bookmarkEnd w:id="392"/>
      <w:bookmarkEnd w:id="393"/>
    </w:p>
    <w:p w14:paraId="28AF8393">
      <w:pPr>
        <w:rPr>
          <w:rFonts w:ascii="宋体" w:hAnsi="宋体" w:eastAsia="宋体" w:cs="宋体"/>
          <w:highlight w:val="none"/>
        </w:rPr>
      </w:pPr>
    </w:p>
    <w:p w14:paraId="11732C6A">
      <w:pPr>
        <w:spacing w:line="360" w:lineRule="auto"/>
        <w:rPr>
          <w:rFonts w:ascii="宋体" w:hAnsi="宋体" w:eastAsia="宋体" w:cs="宋体"/>
          <w:szCs w:val="21"/>
          <w:highlight w:val="none"/>
        </w:rPr>
      </w:pPr>
      <w:r>
        <w:rPr>
          <w:rFonts w:hint="eastAsia" w:ascii="宋体" w:hAnsi="宋体" w:eastAsia="宋体" w:cs="宋体"/>
          <w:szCs w:val="21"/>
          <w:highlight w:val="none"/>
        </w:rPr>
        <w:t>申 请 人：</w:t>
      </w:r>
      <w:r>
        <w:rPr>
          <w:rFonts w:hint="eastAsia" w:ascii="宋体" w:hAnsi="宋体" w:eastAsia="宋体" w:cs="宋体"/>
          <w:szCs w:val="21"/>
          <w:highlight w:val="none"/>
          <w:u w:val="single"/>
        </w:rPr>
        <w:t xml:space="preserve">                                                       </w:t>
      </w:r>
    </w:p>
    <w:p w14:paraId="0410ADDE">
      <w:pPr>
        <w:spacing w:line="360" w:lineRule="auto"/>
        <w:rPr>
          <w:rFonts w:ascii="宋体" w:hAnsi="宋体" w:eastAsia="宋体" w:cs="宋体"/>
          <w:szCs w:val="21"/>
          <w:highlight w:val="none"/>
          <w:u w:val="singl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14:paraId="266884AA">
      <w:pPr>
        <w:spacing w:line="360" w:lineRule="auto"/>
        <w:rPr>
          <w:rFonts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14:paraId="5C877302">
      <w:pPr>
        <w:spacing w:line="360" w:lineRule="auto"/>
        <w:rPr>
          <w:rFonts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68BA0F3">
      <w:pPr>
        <w:spacing w:line="360" w:lineRule="auto"/>
        <w:rPr>
          <w:rFonts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0C891950">
      <w:pPr>
        <w:spacing w:line="360" w:lineRule="auto"/>
        <w:rPr>
          <w:rFonts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14:paraId="1A6481A6">
      <w:pPr>
        <w:spacing w:line="360" w:lineRule="auto"/>
        <w:rPr>
          <w:rFonts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14:paraId="7751E7CC">
      <w:pPr>
        <w:spacing w:line="360" w:lineRule="auto"/>
        <w:rPr>
          <w:rFonts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（申请人名称）的法定代表人。</w:t>
      </w:r>
    </w:p>
    <w:p w14:paraId="4647B0F8">
      <w:pPr>
        <w:spacing w:line="360" w:lineRule="auto"/>
        <w:rPr>
          <w:rFonts w:ascii="宋体" w:hAnsi="宋体" w:eastAsia="宋体" w:cs="宋体"/>
          <w:szCs w:val="21"/>
          <w:highlight w:val="none"/>
        </w:rPr>
      </w:pPr>
      <w:r>
        <w:rPr>
          <w:rFonts w:hint="eastAsia" w:ascii="宋体" w:hAnsi="宋体" w:eastAsia="宋体" w:cs="宋体"/>
          <w:szCs w:val="21"/>
          <w:highlight w:val="none"/>
        </w:rPr>
        <w:t>特此证明。</w:t>
      </w:r>
    </w:p>
    <w:p w14:paraId="4F13199F">
      <w:pPr>
        <w:spacing w:line="360" w:lineRule="exact"/>
        <w:rPr>
          <w:rFonts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2128520</wp:posOffset>
                </wp:positionH>
                <wp:positionV relativeFrom="paragraph">
                  <wp:posOffset>61595</wp:posOffset>
                </wp:positionV>
                <wp:extent cx="3529330" cy="2476500"/>
                <wp:effectExtent l="5080" t="4445" r="8890" b="14605"/>
                <wp:wrapNone/>
                <wp:docPr id="2" name="文本框 3"/>
                <wp:cNvGraphicFramePr/>
                <a:graphic xmlns:a="http://schemas.openxmlformats.org/drawingml/2006/main">
                  <a:graphicData uri="http://schemas.microsoft.com/office/word/2010/wordprocessingShape">
                    <wps:wsp>
                      <wps:cNvSpPr txBox="1"/>
                      <wps:spPr>
                        <a:xfrm>
                          <a:off x="0" y="0"/>
                          <a:ext cx="3529330" cy="2476500"/>
                        </a:xfrm>
                        <a:prstGeom prst="rect">
                          <a:avLst/>
                        </a:prstGeom>
                        <a:noFill/>
                        <a:ln w="9525" cap="flat" cmpd="sng">
                          <a:solidFill>
                            <a:srgbClr val="000000"/>
                          </a:solidFill>
                          <a:prstDash val="solid"/>
                          <a:miter lim="0"/>
                          <a:headEnd type="none" w="med" len="med"/>
                          <a:tailEnd type="none" w="med" len="med"/>
                        </a:ln>
                      </wps:spPr>
                      <wps:txbx>
                        <w:txbxContent>
                          <w:p w14:paraId="532AD1B0">
                            <w:pPr>
                              <w:jc w:val="center"/>
                              <w:rPr>
                                <w:rFonts w:ascii="新宋体" w:hAnsi="新宋体" w:eastAsia="新宋体"/>
                                <w:sz w:val="22"/>
                              </w:rPr>
                            </w:pPr>
                          </w:p>
                          <w:p w14:paraId="2D4DB2F9">
                            <w:pPr>
                              <w:jc w:val="center"/>
                              <w:rPr>
                                <w:rFonts w:ascii="新宋体" w:hAnsi="新宋体" w:eastAsia="新宋体"/>
                                <w:sz w:val="22"/>
                              </w:rPr>
                            </w:pPr>
                          </w:p>
                          <w:p w14:paraId="30EC66EB">
                            <w:pPr>
                              <w:jc w:val="center"/>
                              <w:rPr>
                                <w:rFonts w:ascii="新宋体" w:hAnsi="新宋体" w:eastAsia="新宋体"/>
                                <w:sz w:val="22"/>
                              </w:rPr>
                            </w:pPr>
                          </w:p>
                          <w:p w14:paraId="54931202">
                            <w:pPr>
                              <w:jc w:val="center"/>
                              <w:rPr>
                                <w:rFonts w:ascii="新宋体" w:hAnsi="新宋体" w:eastAsia="新宋体"/>
                                <w:sz w:val="22"/>
                              </w:rPr>
                            </w:pPr>
                          </w:p>
                          <w:p w14:paraId="352388EB">
                            <w:pPr>
                              <w:jc w:val="center"/>
                              <w:rPr>
                                <w:rFonts w:ascii="新宋体" w:hAnsi="新宋体" w:eastAsia="新宋体"/>
                                <w:sz w:val="22"/>
                              </w:rPr>
                            </w:pPr>
                          </w:p>
                          <w:p w14:paraId="195656B1">
                            <w:pPr>
                              <w:jc w:val="center"/>
                              <w:rPr>
                                <w:rFonts w:ascii="新宋体" w:hAnsi="新宋体" w:eastAsia="新宋体"/>
                                <w:sz w:val="22"/>
                              </w:rPr>
                            </w:pPr>
                          </w:p>
                          <w:p w14:paraId="360EAF93">
                            <w:pPr>
                              <w:jc w:val="center"/>
                              <w:rPr>
                                <w:rFonts w:ascii="新宋体" w:hAnsi="新宋体" w:eastAsia="新宋体"/>
                                <w:sz w:val="22"/>
                              </w:rPr>
                            </w:pPr>
                            <w:r>
                              <w:rPr>
                                <w:rFonts w:hint="eastAsia" w:ascii="新宋体" w:hAnsi="新宋体" w:eastAsia="新宋体"/>
                                <w:sz w:val="22"/>
                              </w:rPr>
                              <w:t>法定代表人身份证复印件粘贴处（正反两面）：</w:t>
                            </w:r>
                          </w:p>
                          <w:p w14:paraId="316AF235">
                            <w:pPr>
                              <w:jc w:val="center"/>
                              <w:rPr>
                                <w:rFonts w:ascii="新宋体" w:hAnsi="新宋体" w:eastAsia="新宋体"/>
                                <w:sz w:val="22"/>
                              </w:rPr>
                            </w:pPr>
                          </w:p>
                          <w:p w14:paraId="07CB58E4">
                            <w:pPr>
                              <w:jc w:val="center"/>
                              <w:rPr>
                                <w:rFonts w:ascii="新宋体" w:hAnsi="新宋体" w:eastAsia="新宋体"/>
                                <w:sz w:val="22"/>
                              </w:rPr>
                            </w:pPr>
                          </w:p>
                          <w:p w14:paraId="005468F8">
                            <w:pPr>
                              <w:jc w:val="center"/>
                              <w:rPr>
                                <w:rFonts w:ascii="新宋体" w:hAnsi="新宋体" w:eastAsia="新宋体"/>
                                <w:sz w:val="22"/>
                              </w:rPr>
                            </w:pPr>
                          </w:p>
                          <w:p w14:paraId="4B8554E8">
                            <w:pPr>
                              <w:jc w:val="center"/>
                              <w:rPr>
                                <w:rFonts w:ascii="新宋体" w:hAnsi="新宋体" w:eastAsia="新宋体"/>
                                <w:sz w:val="22"/>
                              </w:rPr>
                            </w:pPr>
                          </w:p>
                          <w:p w14:paraId="1D770F30">
                            <w:pPr>
                              <w:jc w:val="center"/>
                              <w:rPr>
                                <w:rFonts w:ascii="新宋体" w:hAnsi="新宋体" w:eastAsia="新宋体"/>
                                <w:sz w:val="22"/>
                              </w:rPr>
                            </w:pPr>
                          </w:p>
                          <w:p w14:paraId="0A00B3C2">
                            <w:pPr>
                              <w:jc w:val="center"/>
                              <w:rPr>
                                <w:rFonts w:ascii="新宋体" w:hAnsi="新宋体" w:eastAsia="新宋体"/>
                                <w:sz w:val="22"/>
                              </w:rPr>
                            </w:pPr>
                          </w:p>
                          <w:p w14:paraId="79B7FD4D">
                            <w:pPr>
                              <w:jc w:val="center"/>
                              <w:rPr>
                                <w:rFonts w:ascii="新宋体" w:hAnsi="新宋体" w:eastAsia="新宋体"/>
                                <w:sz w:val="22"/>
                              </w:rPr>
                            </w:pPr>
                          </w:p>
                          <w:p w14:paraId="4524C808">
                            <w:pPr>
                              <w:jc w:val="center"/>
                              <w:rPr>
                                <w:rFonts w:ascii="新宋体" w:hAnsi="新宋体" w:eastAsia="新宋体"/>
                                <w:sz w:val="22"/>
                              </w:rPr>
                            </w:pPr>
                          </w:p>
                          <w:p w14:paraId="66E521D4">
                            <w:pPr>
                              <w:jc w:val="center"/>
                              <w:rPr>
                                <w:rFonts w:ascii="新宋体" w:hAnsi="新宋体" w:eastAsia="新宋体"/>
                                <w:sz w:val="22"/>
                              </w:rPr>
                            </w:pPr>
                          </w:p>
                          <w:p w14:paraId="2334D09E">
                            <w:pPr>
                              <w:jc w:val="center"/>
                            </w:pPr>
                          </w:p>
                          <w:p w14:paraId="21EB756A"/>
                          <w:p w14:paraId="632973E5"/>
                          <w:p w14:paraId="19F137F3"/>
                          <w:p w14:paraId="748BCF65"/>
                          <w:p w14:paraId="052B6A65"/>
                          <w:p w14:paraId="654B030D"/>
                        </w:txbxContent>
                      </wps:txbx>
                      <wps:bodyPr rot="0" vert="horz" wrap="square" lIns="91440" tIns="45720" rIns="91440" bIns="45720" anchor="t" anchorCtr="0"/>
                    </wps:wsp>
                  </a:graphicData>
                </a:graphic>
              </wp:anchor>
            </w:drawing>
          </mc:Choice>
          <mc:Fallback>
            <w:pict>
              <v:shape id="文本框 3" o:spid="_x0000_s1026" o:spt="202" type="#_x0000_t202" style="position:absolute;left:0pt;margin-left:167.6pt;margin-top:4.85pt;height:195pt;width:277.9pt;z-index:251662336;mso-width-relative:page;mso-height-relative:page;" filled="f" stroked="t" coordsize="21600,21600" o:gfxdata="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EkNoAAAAJAQAADwAAAAAAAAABACAAAAAiAAAA&#10;ZHJzL2Rvd25yZXYueG1sUEsBAhQAFAAAAAgAh07iQFMhbiU+AgAAeQQAAA4AAAAAAAAAAQAgAAAA&#10;KQEAAGRycy9lMm9Eb2MueG1sUEsFBgAAAAAGAAYAWQEAANkFAAAAAA==&#10;">
                <v:fill on="f" focussize="0,0"/>
                <v:stroke color="#000000" miterlimit="0" joinstyle="miter"/>
                <v:imagedata o:title=""/>
                <o:lock v:ext="edit" aspectratio="f"/>
                <v:textbox>
                  <w:txbxContent>
                    <w:p w14:paraId="532AD1B0">
                      <w:pPr>
                        <w:jc w:val="center"/>
                        <w:rPr>
                          <w:rFonts w:ascii="新宋体" w:hAnsi="新宋体" w:eastAsia="新宋体"/>
                          <w:sz w:val="22"/>
                        </w:rPr>
                      </w:pPr>
                    </w:p>
                    <w:p w14:paraId="2D4DB2F9">
                      <w:pPr>
                        <w:jc w:val="center"/>
                        <w:rPr>
                          <w:rFonts w:ascii="新宋体" w:hAnsi="新宋体" w:eastAsia="新宋体"/>
                          <w:sz w:val="22"/>
                        </w:rPr>
                      </w:pPr>
                    </w:p>
                    <w:p w14:paraId="30EC66EB">
                      <w:pPr>
                        <w:jc w:val="center"/>
                        <w:rPr>
                          <w:rFonts w:ascii="新宋体" w:hAnsi="新宋体" w:eastAsia="新宋体"/>
                          <w:sz w:val="22"/>
                        </w:rPr>
                      </w:pPr>
                    </w:p>
                    <w:p w14:paraId="54931202">
                      <w:pPr>
                        <w:jc w:val="center"/>
                        <w:rPr>
                          <w:rFonts w:ascii="新宋体" w:hAnsi="新宋体" w:eastAsia="新宋体"/>
                          <w:sz w:val="22"/>
                        </w:rPr>
                      </w:pPr>
                    </w:p>
                    <w:p w14:paraId="352388EB">
                      <w:pPr>
                        <w:jc w:val="center"/>
                        <w:rPr>
                          <w:rFonts w:ascii="新宋体" w:hAnsi="新宋体" w:eastAsia="新宋体"/>
                          <w:sz w:val="22"/>
                        </w:rPr>
                      </w:pPr>
                    </w:p>
                    <w:p w14:paraId="195656B1">
                      <w:pPr>
                        <w:jc w:val="center"/>
                        <w:rPr>
                          <w:rFonts w:ascii="新宋体" w:hAnsi="新宋体" w:eastAsia="新宋体"/>
                          <w:sz w:val="22"/>
                        </w:rPr>
                      </w:pPr>
                    </w:p>
                    <w:p w14:paraId="360EAF93">
                      <w:pPr>
                        <w:jc w:val="center"/>
                        <w:rPr>
                          <w:rFonts w:ascii="新宋体" w:hAnsi="新宋体" w:eastAsia="新宋体"/>
                          <w:sz w:val="22"/>
                        </w:rPr>
                      </w:pPr>
                      <w:r>
                        <w:rPr>
                          <w:rFonts w:hint="eastAsia" w:ascii="新宋体" w:hAnsi="新宋体" w:eastAsia="新宋体"/>
                          <w:sz w:val="22"/>
                        </w:rPr>
                        <w:t>法定代表人身份证复印件粘贴处（正反两面）：</w:t>
                      </w:r>
                    </w:p>
                    <w:p w14:paraId="316AF235">
                      <w:pPr>
                        <w:jc w:val="center"/>
                        <w:rPr>
                          <w:rFonts w:ascii="新宋体" w:hAnsi="新宋体" w:eastAsia="新宋体"/>
                          <w:sz w:val="22"/>
                        </w:rPr>
                      </w:pPr>
                    </w:p>
                    <w:p w14:paraId="07CB58E4">
                      <w:pPr>
                        <w:jc w:val="center"/>
                        <w:rPr>
                          <w:rFonts w:ascii="新宋体" w:hAnsi="新宋体" w:eastAsia="新宋体"/>
                          <w:sz w:val="22"/>
                        </w:rPr>
                      </w:pPr>
                    </w:p>
                    <w:p w14:paraId="005468F8">
                      <w:pPr>
                        <w:jc w:val="center"/>
                        <w:rPr>
                          <w:rFonts w:ascii="新宋体" w:hAnsi="新宋体" w:eastAsia="新宋体"/>
                          <w:sz w:val="22"/>
                        </w:rPr>
                      </w:pPr>
                    </w:p>
                    <w:p w14:paraId="4B8554E8">
                      <w:pPr>
                        <w:jc w:val="center"/>
                        <w:rPr>
                          <w:rFonts w:ascii="新宋体" w:hAnsi="新宋体" w:eastAsia="新宋体"/>
                          <w:sz w:val="22"/>
                        </w:rPr>
                      </w:pPr>
                    </w:p>
                    <w:p w14:paraId="1D770F30">
                      <w:pPr>
                        <w:jc w:val="center"/>
                        <w:rPr>
                          <w:rFonts w:ascii="新宋体" w:hAnsi="新宋体" w:eastAsia="新宋体"/>
                          <w:sz w:val="22"/>
                        </w:rPr>
                      </w:pPr>
                    </w:p>
                    <w:p w14:paraId="0A00B3C2">
                      <w:pPr>
                        <w:jc w:val="center"/>
                        <w:rPr>
                          <w:rFonts w:ascii="新宋体" w:hAnsi="新宋体" w:eastAsia="新宋体"/>
                          <w:sz w:val="22"/>
                        </w:rPr>
                      </w:pPr>
                    </w:p>
                    <w:p w14:paraId="79B7FD4D">
                      <w:pPr>
                        <w:jc w:val="center"/>
                        <w:rPr>
                          <w:rFonts w:ascii="新宋体" w:hAnsi="新宋体" w:eastAsia="新宋体"/>
                          <w:sz w:val="22"/>
                        </w:rPr>
                      </w:pPr>
                    </w:p>
                    <w:p w14:paraId="4524C808">
                      <w:pPr>
                        <w:jc w:val="center"/>
                        <w:rPr>
                          <w:rFonts w:ascii="新宋体" w:hAnsi="新宋体" w:eastAsia="新宋体"/>
                          <w:sz w:val="22"/>
                        </w:rPr>
                      </w:pPr>
                    </w:p>
                    <w:p w14:paraId="66E521D4">
                      <w:pPr>
                        <w:jc w:val="center"/>
                        <w:rPr>
                          <w:rFonts w:ascii="新宋体" w:hAnsi="新宋体" w:eastAsia="新宋体"/>
                          <w:sz w:val="22"/>
                        </w:rPr>
                      </w:pPr>
                    </w:p>
                    <w:p w14:paraId="2334D09E">
                      <w:pPr>
                        <w:jc w:val="center"/>
                      </w:pPr>
                    </w:p>
                    <w:p w14:paraId="21EB756A"/>
                    <w:p w14:paraId="632973E5"/>
                    <w:p w14:paraId="19F137F3"/>
                    <w:p w14:paraId="748BCF65"/>
                    <w:p w14:paraId="052B6A65"/>
                    <w:p w14:paraId="654B030D"/>
                  </w:txbxContent>
                </v:textbox>
              </v:shape>
            </w:pict>
          </mc:Fallback>
        </mc:AlternateContent>
      </w:r>
    </w:p>
    <w:p w14:paraId="3CFFD5DB">
      <w:pPr>
        <w:wordWrap w:val="0"/>
        <w:rPr>
          <w:rFonts w:ascii="宋体" w:hAnsi="宋体" w:eastAsia="宋体" w:cs="宋体"/>
          <w:highlight w:val="none"/>
        </w:rPr>
      </w:pPr>
      <w:r>
        <w:rPr>
          <w:rFonts w:hint="eastAsia" w:ascii="宋体" w:hAnsi="宋体" w:eastAsia="宋体" w:cs="宋体"/>
          <w:szCs w:val="21"/>
          <w:highlight w:val="none"/>
        </w:rPr>
        <w:t xml:space="preserve">           </w:t>
      </w:r>
    </w:p>
    <w:p w14:paraId="023BC0DA">
      <w:pPr>
        <w:tabs>
          <w:tab w:val="left" w:pos="4532"/>
        </w:tabs>
        <w:spacing w:line="360" w:lineRule="auto"/>
        <w:rPr>
          <w:rFonts w:ascii="宋体" w:hAnsi="宋体" w:eastAsia="宋体" w:cs="宋体"/>
          <w:highlight w:val="none"/>
        </w:rPr>
      </w:pPr>
    </w:p>
    <w:p w14:paraId="706FEC90">
      <w:pPr>
        <w:rPr>
          <w:rFonts w:ascii="宋体" w:hAnsi="宋体" w:eastAsia="宋体" w:cs="宋体"/>
          <w:highlight w:val="none"/>
        </w:rPr>
      </w:pPr>
    </w:p>
    <w:p w14:paraId="2B878428">
      <w:pPr>
        <w:rPr>
          <w:rFonts w:ascii="宋体" w:hAnsi="宋体" w:eastAsia="宋体" w:cs="宋体"/>
          <w:highlight w:val="none"/>
        </w:rPr>
      </w:pPr>
    </w:p>
    <w:p w14:paraId="04F5CA8D">
      <w:pPr>
        <w:rPr>
          <w:rFonts w:ascii="宋体" w:hAnsi="宋体" w:eastAsia="宋体" w:cs="宋体"/>
          <w:highlight w:val="none"/>
        </w:rPr>
      </w:pPr>
    </w:p>
    <w:p w14:paraId="5B5F7207">
      <w:pPr>
        <w:rPr>
          <w:rFonts w:ascii="宋体" w:hAnsi="宋体" w:eastAsia="宋体" w:cs="宋体"/>
          <w:highlight w:val="none"/>
        </w:rPr>
      </w:pPr>
    </w:p>
    <w:p w14:paraId="33130629">
      <w:pPr>
        <w:rPr>
          <w:rFonts w:ascii="宋体" w:hAnsi="宋体" w:eastAsia="宋体" w:cs="宋体"/>
          <w:highlight w:val="none"/>
        </w:rPr>
      </w:pPr>
    </w:p>
    <w:p w14:paraId="3DAE0F4C">
      <w:pPr>
        <w:tabs>
          <w:tab w:val="left" w:pos="720"/>
          <w:tab w:val="left" w:pos="900"/>
        </w:tabs>
        <w:spacing w:line="360" w:lineRule="auto"/>
        <w:ind w:firstLine="4624" w:firstLineChars="2202"/>
        <w:rPr>
          <w:rFonts w:ascii="宋体" w:hAnsi="宋体" w:eastAsia="宋体" w:cs="宋体"/>
          <w:highlight w:val="none"/>
        </w:rPr>
      </w:pPr>
    </w:p>
    <w:p w14:paraId="5E5E1A9D">
      <w:pPr>
        <w:tabs>
          <w:tab w:val="left" w:pos="720"/>
          <w:tab w:val="left" w:pos="900"/>
        </w:tabs>
        <w:spacing w:line="360" w:lineRule="auto"/>
        <w:ind w:firstLine="4624" w:firstLineChars="2202"/>
        <w:rPr>
          <w:rFonts w:ascii="宋体" w:hAnsi="宋体" w:eastAsia="宋体" w:cs="宋体"/>
          <w:highlight w:val="none"/>
        </w:rPr>
      </w:pPr>
    </w:p>
    <w:p w14:paraId="1FF3EA56">
      <w:pPr>
        <w:tabs>
          <w:tab w:val="left" w:pos="720"/>
          <w:tab w:val="left" w:pos="900"/>
        </w:tabs>
        <w:spacing w:line="360" w:lineRule="auto"/>
        <w:ind w:firstLine="4624" w:firstLineChars="2202"/>
        <w:rPr>
          <w:rFonts w:ascii="宋体" w:hAnsi="宋体" w:eastAsia="宋体" w:cs="宋体"/>
          <w:highlight w:val="none"/>
        </w:rPr>
      </w:pPr>
    </w:p>
    <w:p w14:paraId="3C9B41AA">
      <w:pPr>
        <w:tabs>
          <w:tab w:val="left" w:pos="720"/>
          <w:tab w:val="left" w:pos="900"/>
        </w:tabs>
        <w:spacing w:line="360" w:lineRule="auto"/>
        <w:ind w:firstLine="3990" w:firstLineChars="1900"/>
        <w:rPr>
          <w:rFonts w:ascii="宋体" w:hAnsi="宋体" w:eastAsia="宋体" w:cs="宋体"/>
          <w:highlight w:val="none"/>
        </w:rPr>
      </w:pPr>
    </w:p>
    <w:p w14:paraId="24D3C0A8">
      <w:pPr>
        <w:tabs>
          <w:tab w:val="left" w:pos="720"/>
          <w:tab w:val="left" w:pos="900"/>
        </w:tabs>
        <w:spacing w:line="360" w:lineRule="auto"/>
        <w:ind w:firstLine="3990" w:firstLineChars="1900"/>
        <w:rPr>
          <w:rFonts w:ascii="宋体" w:hAnsi="宋体" w:eastAsia="宋体" w:cs="宋体"/>
          <w:highlight w:val="none"/>
        </w:rPr>
      </w:pPr>
      <w:r>
        <w:rPr>
          <w:rFonts w:hint="eastAsia" w:ascii="宋体" w:hAnsi="宋体" w:eastAsia="宋体" w:cs="宋体"/>
          <w:highlight w:val="none"/>
        </w:rPr>
        <w:t>磋商供应商：</w:t>
      </w:r>
      <w:r>
        <w:rPr>
          <w:rFonts w:hint="eastAsia" w:ascii="宋体" w:hAnsi="宋体" w:eastAsia="宋体" w:cs="宋体"/>
          <w:highlight w:val="none"/>
          <w:u w:val="single"/>
        </w:rPr>
        <w:t xml:space="preserve">        （盖电子签章）</w:t>
      </w:r>
    </w:p>
    <w:p w14:paraId="4402CACE">
      <w:pPr>
        <w:tabs>
          <w:tab w:val="left" w:pos="720"/>
          <w:tab w:val="left" w:pos="900"/>
        </w:tabs>
        <w:spacing w:line="360" w:lineRule="auto"/>
        <w:ind w:firstLine="3990" w:firstLineChars="1900"/>
        <w:rPr>
          <w:rFonts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68D1E1E">
      <w:pPr>
        <w:rPr>
          <w:rFonts w:ascii="宋体" w:hAnsi="宋体" w:eastAsia="宋体" w:cs="宋体"/>
          <w:highlight w:val="none"/>
        </w:rPr>
      </w:pPr>
    </w:p>
    <w:p w14:paraId="04474FB0">
      <w:pPr>
        <w:rPr>
          <w:rFonts w:ascii="宋体" w:hAnsi="宋体" w:eastAsia="宋体" w:cs="宋体"/>
          <w:highlight w:val="none"/>
        </w:rPr>
      </w:pPr>
    </w:p>
    <w:p w14:paraId="5E22411C">
      <w:pPr>
        <w:rPr>
          <w:rFonts w:ascii="宋体" w:hAnsi="宋体" w:eastAsia="宋体" w:cs="宋体"/>
          <w:highlight w:val="none"/>
        </w:rPr>
      </w:pPr>
    </w:p>
    <w:p w14:paraId="6CE41F4B">
      <w:pPr>
        <w:rPr>
          <w:rFonts w:ascii="宋体" w:hAnsi="宋体" w:eastAsia="宋体" w:cs="宋体"/>
          <w:highlight w:val="none"/>
        </w:rPr>
      </w:pPr>
    </w:p>
    <w:p w14:paraId="10B0841B">
      <w:pPr>
        <w:rPr>
          <w:rFonts w:ascii="宋体" w:hAnsi="宋体" w:eastAsia="宋体" w:cs="宋体"/>
          <w:highlight w:val="none"/>
        </w:rPr>
      </w:pPr>
    </w:p>
    <w:p w14:paraId="1B48D34E">
      <w:pPr>
        <w:rPr>
          <w:rFonts w:ascii="宋体" w:hAnsi="宋体" w:eastAsia="宋体" w:cs="宋体"/>
          <w:highlight w:val="none"/>
        </w:rPr>
      </w:pPr>
    </w:p>
    <w:p w14:paraId="1211A4DA">
      <w:pPr>
        <w:pStyle w:val="9"/>
        <w:rPr>
          <w:rFonts w:ascii="宋体" w:hAnsi="宋体" w:eastAsia="宋体" w:cs="宋体"/>
          <w:highlight w:val="none"/>
        </w:rPr>
      </w:pPr>
    </w:p>
    <w:p w14:paraId="49E4DAF7">
      <w:pPr>
        <w:bidi w:val="0"/>
        <w:rPr>
          <w:highlight w:val="none"/>
        </w:rPr>
      </w:pPr>
    </w:p>
    <w:p w14:paraId="6F77DA90">
      <w:pPr>
        <w:bidi w:val="0"/>
        <w:rPr>
          <w:highlight w:val="none"/>
        </w:rPr>
      </w:pPr>
    </w:p>
    <w:p w14:paraId="306CBD64">
      <w:pPr>
        <w:widowControl/>
        <w:spacing w:before="156" w:beforeLines="50" w:after="312" w:afterLines="100"/>
        <w:jc w:val="center"/>
        <w:outlineLvl w:val="1"/>
        <w:rPr>
          <w:rFonts w:ascii="宋体" w:hAnsi="宋体" w:eastAsia="宋体" w:cs="宋体"/>
          <w:b/>
          <w:bCs/>
          <w:kern w:val="0"/>
          <w:sz w:val="28"/>
          <w:szCs w:val="28"/>
          <w:highlight w:val="none"/>
        </w:rPr>
      </w:pPr>
      <w:bookmarkStart w:id="394" w:name="_Toc12823"/>
      <w:bookmarkStart w:id="395" w:name="_Toc5086"/>
      <w:bookmarkStart w:id="396" w:name="_Toc17424"/>
      <w:bookmarkStart w:id="397" w:name="_Toc30234"/>
      <w:bookmarkStart w:id="398" w:name="_Toc28539"/>
      <w:r>
        <w:rPr>
          <w:rFonts w:hint="eastAsia" w:ascii="宋体" w:hAnsi="宋体" w:eastAsia="宋体" w:cs="宋体"/>
          <w:b/>
          <w:bCs/>
          <w:kern w:val="0"/>
          <w:sz w:val="28"/>
          <w:szCs w:val="28"/>
          <w:highlight w:val="none"/>
        </w:rPr>
        <w:t>附件四    中小企业声明函（</w:t>
      </w:r>
      <w:r>
        <w:rPr>
          <w:rFonts w:hint="eastAsia" w:ascii="宋体" w:hAnsi="宋体" w:eastAsia="宋体" w:cs="宋体"/>
          <w:b/>
          <w:bCs/>
          <w:kern w:val="0"/>
          <w:sz w:val="28"/>
          <w:szCs w:val="28"/>
          <w:highlight w:val="none"/>
          <w:lang w:val="en-US" w:eastAsia="zh-CN"/>
        </w:rPr>
        <w:t>服务</w:t>
      </w:r>
      <w:r>
        <w:rPr>
          <w:rFonts w:hint="eastAsia" w:ascii="宋体" w:hAnsi="宋体" w:eastAsia="宋体" w:cs="宋体"/>
          <w:b/>
          <w:bCs/>
          <w:kern w:val="0"/>
          <w:sz w:val="28"/>
          <w:szCs w:val="28"/>
          <w:highlight w:val="none"/>
        </w:rPr>
        <w:t>）</w:t>
      </w:r>
      <w:bookmarkEnd w:id="394"/>
      <w:bookmarkEnd w:id="395"/>
      <w:bookmarkEnd w:id="396"/>
      <w:bookmarkEnd w:id="397"/>
      <w:bookmarkEnd w:id="398"/>
    </w:p>
    <w:p w14:paraId="4C632851">
      <w:pPr>
        <w:widowControl/>
        <w:spacing w:line="600" w:lineRule="exact"/>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lang w:bidi="ar"/>
        </w:rPr>
        <w:t>本公司（联合体）郑重声明，根据《政府采购促进中小企业发展管理办法》（财库﹝2020﹞46 号）的规定，本公司（联合体）参加</w:t>
      </w:r>
      <w:r>
        <w:rPr>
          <w:rFonts w:hint="eastAsia" w:ascii="宋体" w:hAnsi="宋体" w:eastAsia="宋体" w:cs="宋体"/>
          <w:kern w:val="0"/>
          <w:szCs w:val="21"/>
          <w:highlight w:val="none"/>
          <w:u w:val="single"/>
          <w:lang w:bidi="ar"/>
        </w:rPr>
        <w:t>（单位名称）</w:t>
      </w:r>
      <w:r>
        <w:rPr>
          <w:rFonts w:hint="eastAsia" w:ascii="宋体" w:hAnsi="宋体" w:eastAsia="宋体" w:cs="宋体"/>
          <w:kern w:val="0"/>
          <w:szCs w:val="21"/>
          <w:highlight w:val="none"/>
          <w:lang w:bidi="ar"/>
        </w:rPr>
        <w:t>的</w:t>
      </w:r>
      <w:r>
        <w:rPr>
          <w:rFonts w:hint="eastAsia" w:ascii="宋体" w:hAnsi="宋体" w:eastAsia="宋体" w:cs="宋体"/>
          <w:kern w:val="0"/>
          <w:szCs w:val="21"/>
          <w:highlight w:val="none"/>
          <w:u w:val="single"/>
          <w:lang w:bidi="ar"/>
        </w:rPr>
        <w:t>（项目名称）</w:t>
      </w:r>
      <w:r>
        <w:rPr>
          <w:rFonts w:hint="eastAsia" w:ascii="宋体" w:hAnsi="宋体" w:eastAsia="宋体" w:cs="宋体"/>
          <w:kern w:val="0"/>
          <w:szCs w:val="21"/>
          <w:highlight w:val="none"/>
          <w:lang w:bidi="ar"/>
        </w:rPr>
        <w:t>采购活动，</w:t>
      </w:r>
      <w:r>
        <w:rPr>
          <w:rFonts w:hint="eastAsia" w:ascii="宋体" w:hAnsi="宋体"/>
          <w:b/>
          <w:bCs/>
          <w:szCs w:val="21"/>
          <w:highlight w:val="none"/>
        </w:rPr>
        <w:t>服务全部为符合政策要求的中小企业</w:t>
      </w:r>
      <w:r>
        <w:rPr>
          <w:rFonts w:hint="eastAsia" w:ascii="宋体" w:hAnsi="宋体"/>
          <w:szCs w:val="21"/>
          <w:highlight w:val="none"/>
        </w:rPr>
        <w:t>。</w:t>
      </w:r>
      <w:r>
        <w:rPr>
          <w:rFonts w:hint="eastAsia" w:ascii="宋体" w:hAnsi="宋体" w:eastAsia="宋体" w:cs="宋体"/>
          <w:kern w:val="0"/>
          <w:szCs w:val="21"/>
          <w:highlight w:val="none"/>
          <w:lang w:bidi="ar"/>
        </w:rPr>
        <w:t>相关企业（含联合体中的中小企业、签订分包意向协议的中小企业）的具体情况如下：</w:t>
      </w:r>
    </w:p>
    <w:p w14:paraId="7FD9F67C">
      <w:pPr>
        <w:widowControl/>
        <w:spacing w:line="600" w:lineRule="exact"/>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lang w:bidi="ar"/>
        </w:rPr>
        <w:t xml:space="preserve">1. </w:t>
      </w:r>
      <w:r>
        <w:rPr>
          <w:rFonts w:hint="eastAsia" w:ascii="宋体" w:hAnsi="宋体" w:eastAsia="宋体" w:cs="宋体"/>
          <w:kern w:val="0"/>
          <w:szCs w:val="21"/>
          <w:highlight w:val="none"/>
          <w:u w:val="single"/>
          <w:lang w:bidi="ar"/>
        </w:rPr>
        <w:t>（标的名称）</w:t>
      </w:r>
      <w:r>
        <w:rPr>
          <w:rFonts w:hint="eastAsia" w:ascii="宋体" w:hAnsi="宋体" w:eastAsia="宋体" w:cs="宋体"/>
          <w:kern w:val="0"/>
          <w:szCs w:val="21"/>
          <w:highlight w:val="none"/>
          <w:lang w:bidi="ar"/>
        </w:rPr>
        <w:t xml:space="preserve"> ，属于</w:t>
      </w:r>
      <w:r>
        <w:rPr>
          <w:rFonts w:hint="eastAsia" w:ascii="宋体" w:hAnsi="宋体" w:eastAsia="宋体" w:cs="宋体"/>
          <w:kern w:val="0"/>
          <w:szCs w:val="21"/>
          <w:highlight w:val="none"/>
          <w:u w:val="single"/>
          <w:lang w:bidi="ar"/>
        </w:rPr>
        <w:t>（采购文件中明确的所属行业）</w:t>
      </w:r>
      <w:r>
        <w:rPr>
          <w:rFonts w:hint="eastAsia" w:ascii="宋体" w:hAnsi="宋体" w:eastAsia="宋体" w:cs="宋体"/>
          <w:kern w:val="0"/>
          <w:szCs w:val="21"/>
          <w:highlight w:val="none"/>
          <w:lang w:bidi="ar"/>
        </w:rPr>
        <w:t>；</w:t>
      </w:r>
      <w:r>
        <w:rPr>
          <w:rFonts w:hint="eastAsia" w:ascii="宋体" w:hAnsi="宋体"/>
          <w:szCs w:val="21"/>
          <w:highlight w:val="none"/>
        </w:rPr>
        <w:t>承建（承接）企业</w:t>
      </w:r>
      <w:r>
        <w:rPr>
          <w:rFonts w:hint="eastAsia" w:ascii="宋体" w:hAnsi="宋体" w:eastAsia="宋体" w:cs="宋体"/>
          <w:kern w:val="0"/>
          <w:szCs w:val="21"/>
          <w:highlight w:val="none"/>
          <w:lang w:bidi="ar"/>
        </w:rPr>
        <w:t>为</w:t>
      </w:r>
      <w:r>
        <w:rPr>
          <w:rFonts w:hint="eastAsia" w:ascii="宋体" w:hAnsi="宋体" w:eastAsia="宋体" w:cs="宋体"/>
          <w:kern w:val="0"/>
          <w:szCs w:val="21"/>
          <w:highlight w:val="none"/>
          <w:u w:val="single"/>
          <w:lang w:bidi="ar"/>
        </w:rPr>
        <w:t>（企业名称）</w:t>
      </w:r>
      <w:r>
        <w:rPr>
          <w:rFonts w:hint="eastAsia" w:ascii="宋体" w:hAnsi="宋体" w:eastAsia="宋体" w:cs="宋体"/>
          <w:kern w:val="0"/>
          <w:szCs w:val="21"/>
          <w:highlight w:val="none"/>
          <w:lang w:bidi="ar"/>
        </w:rPr>
        <w:t>，从业人员</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人，营业收入为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万元，资产总额为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万元</w:t>
      </w:r>
      <w:r>
        <w:rPr>
          <w:rFonts w:hint="eastAsia" w:ascii="宋体" w:hAnsi="宋体" w:eastAsia="宋体" w:cs="宋体"/>
          <w:kern w:val="0"/>
          <w:szCs w:val="21"/>
          <w:highlight w:val="none"/>
          <w:vertAlign w:val="superscript"/>
          <w:lang w:bidi="ar"/>
        </w:rPr>
        <w:t>1</w:t>
      </w:r>
      <w:r>
        <w:rPr>
          <w:rFonts w:hint="eastAsia" w:ascii="宋体" w:hAnsi="宋体" w:eastAsia="宋体" w:cs="宋体"/>
          <w:kern w:val="0"/>
          <w:szCs w:val="21"/>
          <w:highlight w:val="none"/>
          <w:lang w:bidi="ar"/>
        </w:rPr>
        <w:t>，属于</w:t>
      </w:r>
      <w:r>
        <w:rPr>
          <w:rFonts w:hint="eastAsia" w:ascii="宋体" w:hAnsi="宋体" w:eastAsia="宋体" w:cs="宋体"/>
          <w:kern w:val="0"/>
          <w:szCs w:val="21"/>
          <w:highlight w:val="none"/>
          <w:u w:val="single"/>
          <w:lang w:bidi="ar"/>
        </w:rPr>
        <w:t>（中型企业、小型企业、微型企业）</w:t>
      </w:r>
      <w:r>
        <w:rPr>
          <w:rFonts w:hint="eastAsia" w:ascii="宋体" w:hAnsi="宋体" w:eastAsia="宋体" w:cs="宋体"/>
          <w:kern w:val="0"/>
          <w:szCs w:val="21"/>
          <w:highlight w:val="none"/>
          <w:lang w:bidi="ar"/>
        </w:rPr>
        <w:t xml:space="preserve">； </w:t>
      </w:r>
    </w:p>
    <w:p w14:paraId="1620D86A">
      <w:pPr>
        <w:widowControl/>
        <w:spacing w:line="600" w:lineRule="exact"/>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lang w:bidi="ar"/>
        </w:rPr>
        <w:t xml:space="preserve">2. </w:t>
      </w:r>
      <w:r>
        <w:rPr>
          <w:rFonts w:hint="eastAsia" w:ascii="宋体" w:hAnsi="宋体" w:eastAsia="宋体" w:cs="宋体"/>
          <w:kern w:val="0"/>
          <w:szCs w:val="21"/>
          <w:highlight w:val="none"/>
          <w:u w:val="single"/>
          <w:lang w:bidi="ar"/>
        </w:rPr>
        <w:t>（标的名称）</w:t>
      </w:r>
      <w:r>
        <w:rPr>
          <w:rFonts w:hint="eastAsia" w:ascii="宋体" w:hAnsi="宋体" w:eastAsia="宋体" w:cs="宋体"/>
          <w:kern w:val="0"/>
          <w:szCs w:val="21"/>
          <w:highlight w:val="none"/>
          <w:lang w:bidi="ar"/>
        </w:rPr>
        <w:t xml:space="preserve"> ，属于</w:t>
      </w:r>
      <w:r>
        <w:rPr>
          <w:rFonts w:hint="eastAsia" w:ascii="宋体" w:hAnsi="宋体" w:eastAsia="宋体" w:cs="宋体"/>
          <w:kern w:val="0"/>
          <w:szCs w:val="21"/>
          <w:highlight w:val="none"/>
          <w:u w:val="single"/>
          <w:lang w:bidi="ar"/>
        </w:rPr>
        <w:t>（采购文件中明确的所属行业）</w:t>
      </w:r>
      <w:r>
        <w:rPr>
          <w:rFonts w:hint="eastAsia" w:ascii="宋体" w:hAnsi="宋体" w:eastAsia="宋体" w:cs="宋体"/>
          <w:kern w:val="0"/>
          <w:szCs w:val="21"/>
          <w:highlight w:val="none"/>
          <w:lang w:bidi="ar"/>
        </w:rPr>
        <w:t>；</w:t>
      </w:r>
      <w:r>
        <w:rPr>
          <w:rFonts w:hint="eastAsia" w:ascii="宋体" w:hAnsi="宋体"/>
          <w:szCs w:val="21"/>
          <w:highlight w:val="none"/>
        </w:rPr>
        <w:t>承建（承接）企业</w:t>
      </w:r>
      <w:r>
        <w:rPr>
          <w:rFonts w:hint="eastAsia" w:ascii="宋体" w:hAnsi="宋体" w:eastAsia="宋体" w:cs="宋体"/>
          <w:kern w:val="0"/>
          <w:szCs w:val="21"/>
          <w:highlight w:val="none"/>
          <w:lang w:bidi="ar"/>
        </w:rPr>
        <w:t>为</w:t>
      </w:r>
      <w:r>
        <w:rPr>
          <w:rFonts w:hint="eastAsia" w:ascii="宋体" w:hAnsi="宋体" w:eastAsia="宋体" w:cs="宋体"/>
          <w:kern w:val="0"/>
          <w:szCs w:val="21"/>
          <w:highlight w:val="none"/>
          <w:u w:val="single"/>
          <w:lang w:bidi="ar"/>
        </w:rPr>
        <w:t>（企业名称）</w:t>
      </w:r>
      <w:r>
        <w:rPr>
          <w:rFonts w:hint="eastAsia" w:ascii="宋体" w:hAnsi="宋体" w:eastAsia="宋体" w:cs="宋体"/>
          <w:kern w:val="0"/>
          <w:szCs w:val="21"/>
          <w:highlight w:val="none"/>
          <w:lang w:bidi="ar"/>
        </w:rPr>
        <w:t>，从业人员</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人，营业收入为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万元，资产总额为</w:t>
      </w:r>
      <w:r>
        <w:rPr>
          <w:rFonts w:hint="eastAsia" w:ascii="宋体" w:hAnsi="宋体" w:eastAsia="宋体" w:cs="宋体"/>
          <w:kern w:val="0"/>
          <w:szCs w:val="21"/>
          <w:highlight w:val="none"/>
          <w:u w:val="single"/>
          <w:lang w:bidi="ar"/>
        </w:rPr>
        <w:t xml:space="preserve">      </w:t>
      </w:r>
      <w:r>
        <w:rPr>
          <w:rFonts w:hint="eastAsia" w:ascii="宋体" w:hAnsi="宋体" w:eastAsia="宋体" w:cs="宋体"/>
          <w:kern w:val="0"/>
          <w:szCs w:val="21"/>
          <w:highlight w:val="none"/>
          <w:lang w:bidi="ar"/>
        </w:rPr>
        <w:t>万元，属于</w:t>
      </w:r>
      <w:r>
        <w:rPr>
          <w:rFonts w:hint="eastAsia" w:ascii="宋体" w:hAnsi="宋体" w:eastAsia="宋体" w:cs="宋体"/>
          <w:kern w:val="0"/>
          <w:szCs w:val="21"/>
          <w:highlight w:val="none"/>
          <w:u w:val="single"/>
          <w:lang w:bidi="ar"/>
        </w:rPr>
        <w:t>（中型企业、小型企业、微型企业）</w:t>
      </w:r>
      <w:r>
        <w:rPr>
          <w:rFonts w:hint="eastAsia" w:ascii="宋体" w:hAnsi="宋体" w:eastAsia="宋体" w:cs="宋体"/>
          <w:kern w:val="0"/>
          <w:szCs w:val="21"/>
          <w:highlight w:val="none"/>
          <w:lang w:bidi="ar"/>
        </w:rPr>
        <w:t xml:space="preserve">； </w:t>
      </w:r>
    </w:p>
    <w:p w14:paraId="23B23B5F">
      <w:pPr>
        <w:widowControl/>
        <w:spacing w:line="600" w:lineRule="exact"/>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lang w:bidi="ar"/>
        </w:rPr>
        <w:t>……</w:t>
      </w:r>
    </w:p>
    <w:p w14:paraId="263F2AD9">
      <w:pPr>
        <w:widowControl/>
        <w:spacing w:line="600" w:lineRule="exact"/>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lang w:bidi="ar"/>
        </w:rPr>
        <w:t>以上企业，不属于大企业的分支机构，不存在控股股东为大企业的情形，也不存在与大企业的负责人为同一人的情形。</w:t>
      </w:r>
    </w:p>
    <w:p w14:paraId="58B15C95">
      <w:pPr>
        <w:widowControl/>
        <w:spacing w:line="600" w:lineRule="exact"/>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lang w:bidi="ar"/>
        </w:rPr>
        <w:t xml:space="preserve">本企业对上述声明内容的真实性负责。如有虚假，将依法承担相应责任。 </w:t>
      </w:r>
    </w:p>
    <w:p w14:paraId="14F253A1">
      <w:pPr>
        <w:widowControl/>
        <w:spacing w:line="360" w:lineRule="auto"/>
        <w:jc w:val="left"/>
        <w:rPr>
          <w:rFonts w:ascii="宋体" w:hAnsi="宋体" w:eastAsia="宋体" w:cs="宋体"/>
          <w:kern w:val="0"/>
          <w:szCs w:val="21"/>
          <w:highlight w:val="none"/>
          <w:lang w:bidi="ar"/>
        </w:rPr>
      </w:pPr>
    </w:p>
    <w:p w14:paraId="764AB146">
      <w:pPr>
        <w:bidi w:val="0"/>
        <w:spacing w:line="480" w:lineRule="auto"/>
        <w:jc w:val="center"/>
        <w:rPr>
          <w:highlight w:val="none"/>
        </w:rPr>
      </w:pPr>
      <w:r>
        <w:rPr>
          <w:rFonts w:hint="eastAsia"/>
          <w:highlight w:val="none"/>
          <w:lang w:val="en-US" w:eastAsia="zh-CN"/>
        </w:rPr>
        <w:t xml:space="preserve">                                      </w:t>
      </w:r>
      <w:r>
        <w:rPr>
          <w:rFonts w:hint="eastAsia"/>
          <w:highlight w:val="none"/>
        </w:rPr>
        <w:t>磋商供应商全称（盖电子签章）：</w:t>
      </w:r>
    </w:p>
    <w:p w14:paraId="69B7F04D">
      <w:pPr>
        <w:bidi w:val="0"/>
        <w:spacing w:line="480" w:lineRule="auto"/>
        <w:jc w:val="center"/>
        <w:rPr>
          <w:highlight w:val="none"/>
        </w:rPr>
      </w:pPr>
      <w:r>
        <w:rPr>
          <w:rFonts w:hint="eastAsia"/>
          <w:highlight w:val="none"/>
          <w:lang w:val="en-US" w:eastAsia="zh-CN"/>
        </w:rPr>
        <w:t xml:space="preserve">                                            </w:t>
      </w:r>
      <w:r>
        <w:rPr>
          <w:rFonts w:hint="eastAsia"/>
          <w:highlight w:val="none"/>
        </w:rPr>
        <w:t>法定代表人或授权代表（签字或盖章）：</w:t>
      </w:r>
    </w:p>
    <w:p w14:paraId="60A8E361">
      <w:pPr>
        <w:bidi w:val="0"/>
        <w:spacing w:line="480" w:lineRule="auto"/>
        <w:jc w:val="center"/>
        <w:rPr>
          <w:highlight w:val="none"/>
        </w:rPr>
      </w:pPr>
      <w:r>
        <w:rPr>
          <w:rFonts w:hint="eastAsia"/>
          <w:highlight w:val="none"/>
          <w:lang w:val="en-US" w:eastAsia="zh-CN"/>
        </w:rPr>
        <w:t xml:space="preserve">                                     </w:t>
      </w:r>
      <w:r>
        <w:rPr>
          <w:rFonts w:hint="eastAsia"/>
          <w:highlight w:val="none"/>
        </w:rPr>
        <w:t>日      期：    年   月   日</w:t>
      </w:r>
      <w:r>
        <w:rPr>
          <w:rFonts w:hint="eastAsia"/>
          <w:highlight w:val="none"/>
          <w:lang w:val="en-US" w:eastAsia="zh-CN"/>
        </w:rPr>
        <w:t xml:space="preserve"> </w:t>
      </w:r>
      <w:r>
        <w:rPr>
          <w:rFonts w:hint="eastAsia"/>
          <w:highlight w:val="none"/>
        </w:rPr>
        <w:t xml:space="preserve"> </w:t>
      </w:r>
    </w:p>
    <w:p w14:paraId="5D54576C">
      <w:pPr>
        <w:spacing w:line="360" w:lineRule="auto"/>
        <w:rPr>
          <w:b/>
          <w:bCs/>
          <w:szCs w:val="21"/>
          <w:highlight w:val="none"/>
        </w:rPr>
      </w:pPr>
      <w:r>
        <w:rPr>
          <w:rFonts w:hint="eastAsia"/>
          <w:b/>
          <w:bCs/>
          <w:szCs w:val="21"/>
          <w:highlight w:val="none"/>
        </w:rPr>
        <w:t>1、从业人员、营业收入、资产总额填报上一年度数据，无上一年度数据的新成立企业可不填报。</w:t>
      </w:r>
    </w:p>
    <w:p w14:paraId="1CB4495F">
      <w:pPr>
        <w:spacing w:line="360" w:lineRule="auto"/>
        <w:rPr>
          <w:b/>
          <w:bCs/>
          <w:sz w:val="22"/>
          <w:szCs w:val="21"/>
          <w:highlight w:val="none"/>
        </w:rPr>
      </w:pPr>
      <w:r>
        <w:rPr>
          <w:rFonts w:hint="eastAsia"/>
          <w:b/>
          <w:bCs/>
          <w:szCs w:val="21"/>
          <w:highlight w:val="none"/>
        </w:rPr>
        <w:t>2、中小微型企业划分标准参照国家统计局印发的《统计上大中小微型企业划分办法（2017）》。</w:t>
      </w:r>
    </w:p>
    <w:p w14:paraId="1EC18C10">
      <w:pPr>
        <w:widowControl/>
        <w:spacing w:after="312" w:afterLines="100"/>
        <w:jc w:val="center"/>
        <w:outlineLvl w:val="1"/>
        <w:rPr>
          <w:rFonts w:ascii="宋体" w:hAnsi="宋体" w:eastAsia="宋体" w:cs="宋体"/>
          <w:highlight w:val="none"/>
        </w:rPr>
      </w:pPr>
      <w:r>
        <w:rPr>
          <w:rFonts w:hint="eastAsia" w:ascii="宋体" w:hAnsi="宋体" w:eastAsia="宋体" w:cs="宋体"/>
          <w:highlight w:val="none"/>
        </w:rPr>
        <w:br w:type="page"/>
      </w:r>
      <w:bookmarkStart w:id="399" w:name="_Toc23751"/>
      <w:bookmarkStart w:id="400" w:name="_Toc12169"/>
      <w:bookmarkStart w:id="401" w:name="_Toc14629"/>
      <w:bookmarkStart w:id="402" w:name="_Toc15811"/>
      <w:bookmarkStart w:id="403" w:name="_Toc13235"/>
      <w:bookmarkStart w:id="404" w:name="_Toc23283"/>
      <w:bookmarkStart w:id="405" w:name="_Toc9583"/>
      <w:bookmarkStart w:id="406" w:name="_Toc4757"/>
      <w:bookmarkStart w:id="407" w:name="_Toc12196"/>
      <w:bookmarkStart w:id="408" w:name="_Toc25728"/>
      <w:r>
        <w:rPr>
          <w:rFonts w:hint="eastAsia" w:ascii="宋体" w:hAnsi="宋体" w:eastAsia="宋体" w:cs="宋体"/>
          <w:b/>
          <w:bCs/>
          <w:kern w:val="0"/>
          <w:sz w:val="28"/>
          <w:szCs w:val="28"/>
          <w:highlight w:val="none"/>
        </w:rPr>
        <w:t>附件五    残疾人福利性单位声明函</w:t>
      </w:r>
      <w:bookmarkEnd w:id="399"/>
      <w:bookmarkEnd w:id="400"/>
      <w:bookmarkEnd w:id="401"/>
      <w:bookmarkEnd w:id="402"/>
      <w:bookmarkEnd w:id="403"/>
      <w:bookmarkEnd w:id="404"/>
      <w:bookmarkEnd w:id="405"/>
      <w:bookmarkEnd w:id="406"/>
      <w:bookmarkEnd w:id="407"/>
      <w:bookmarkEnd w:id="408"/>
    </w:p>
    <w:p w14:paraId="5013A0CC">
      <w:pPr>
        <w:spacing w:line="588" w:lineRule="exact"/>
        <w:rPr>
          <w:rFonts w:ascii="宋体" w:hAnsi="宋体" w:eastAsia="宋体" w:cs="宋体"/>
          <w:b/>
          <w:spacing w:val="6"/>
          <w:sz w:val="30"/>
          <w:szCs w:val="30"/>
          <w:highlight w:val="none"/>
        </w:rPr>
      </w:pPr>
    </w:p>
    <w:p w14:paraId="6241B80D">
      <w:pPr>
        <w:widowControl/>
        <w:spacing w:line="600" w:lineRule="exact"/>
        <w:ind w:firstLine="420" w:firstLineChars="200"/>
        <w:rPr>
          <w:rFonts w:ascii="宋体" w:hAnsi="宋体" w:eastAsia="宋体" w:cs="宋体"/>
          <w:highlight w:val="none"/>
        </w:rPr>
      </w:pPr>
      <w:r>
        <w:rPr>
          <w:rFonts w:hint="eastAsia" w:ascii="宋体" w:hAnsi="宋体" w:eastAsia="宋体" w:cs="宋体"/>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highlight w:val="none"/>
          <w:u w:val="none"/>
        </w:rPr>
        <w:t>__________单位的___________</w:t>
      </w:r>
      <w:r>
        <w:rPr>
          <w:rFonts w:hint="eastAsia" w:ascii="宋体" w:hAnsi="宋体" w:eastAsia="宋体" w:cs="宋体"/>
          <w:highlight w:val="none"/>
        </w:rPr>
        <w:t>项目采购活动提供服务（由本单位承担工程/提供本单位制造的货物），或者提供其他残疾人福利性单位</w:t>
      </w:r>
      <w:r>
        <w:rPr>
          <w:rFonts w:hint="eastAsia" w:ascii="宋体" w:hAnsi="宋体" w:eastAsia="宋体" w:cs="宋体"/>
          <w:highlight w:val="none"/>
          <w:lang w:val="en-US" w:eastAsia="zh-CN"/>
        </w:rPr>
        <w:t>的服务</w:t>
      </w:r>
      <w:r>
        <w:rPr>
          <w:rFonts w:hint="eastAsia" w:ascii="宋体" w:hAnsi="宋体" w:eastAsia="宋体" w:cs="宋体"/>
          <w:highlight w:val="none"/>
        </w:rPr>
        <w:t>（不包括使用非残疾人福利性单位注册商标的货物）。</w:t>
      </w:r>
    </w:p>
    <w:p w14:paraId="2C4BAB21">
      <w:pPr>
        <w:widowControl/>
        <w:spacing w:line="600" w:lineRule="exact"/>
        <w:ind w:firstLine="420" w:firstLineChars="200"/>
        <w:rPr>
          <w:rFonts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30EA4B68">
      <w:pPr>
        <w:spacing w:line="588" w:lineRule="exact"/>
        <w:ind w:firstLine="624" w:firstLineChars="200"/>
        <w:rPr>
          <w:rFonts w:ascii="宋体" w:hAnsi="宋体" w:eastAsia="宋体" w:cs="宋体"/>
          <w:spacing w:val="6"/>
          <w:sz w:val="30"/>
          <w:szCs w:val="30"/>
          <w:highlight w:val="none"/>
        </w:rPr>
      </w:pPr>
    </w:p>
    <w:p w14:paraId="632C19B9">
      <w:pPr>
        <w:spacing w:line="588" w:lineRule="exact"/>
        <w:ind w:firstLine="624" w:firstLineChars="200"/>
        <w:rPr>
          <w:rFonts w:ascii="宋体" w:hAnsi="宋体" w:eastAsia="宋体" w:cs="宋体"/>
          <w:spacing w:val="6"/>
          <w:sz w:val="30"/>
          <w:szCs w:val="30"/>
          <w:highlight w:val="none"/>
        </w:rPr>
      </w:pPr>
    </w:p>
    <w:p w14:paraId="4D9B3CB4">
      <w:pPr>
        <w:rPr>
          <w:rFonts w:ascii="宋体" w:hAnsi="宋体" w:eastAsia="宋体" w:cs="宋体"/>
          <w:highlight w:val="none"/>
        </w:rPr>
      </w:pPr>
      <w:r>
        <w:rPr>
          <w:rFonts w:hint="eastAsia" w:ascii="宋体" w:hAnsi="宋体" w:eastAsia="宋体" w:cs="宋体"/>
          <w:spacing w:val="6"/>
          <w:sz w:val="30"/>
          <w:szCs w:val="30"/>
          <w:highlight w:val="none"/>
        </w:rPr>
        <w:t xml:space="preserve">                        </w:t>
      </w:r>
    </w:p>
    <w:p w14:paraId="0C3C2B09">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磋商供应商全称（</w:t>
      </w:r>
      <w:r>
        <w:rPr>
          <w:rFonts w:hint="eastAsia" w:ascii="宋体" w:hAnsi="宋体" w:eastAsia="宋体" w:cs="宋体"/>
          <w:highlight w:val="none"/>
        </w:rPr>
        <w:t>盖电子签章</w:t>
      </w:r>
      <w:r>
        <w:rPr>
          <w:rFonts w:hint="eastAsia" w:ascii="宋体" w:hAnsi="宋体" w:eastAsia="宋体" w:cs="宋体"/>
          <w:szCs w:val="21"/>
          <w:highlight w:val="none"/>
        </w:rPr>
        <w:t>）：</w:t>
      </w:r>
    </w:p>
    <w:p w14:paraId="7A350DFF">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24DE9D37">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日      期：    年   月   日</w:t>
      </w:r>
    </w:p>
    <w:p w14:paraId="54DC78E3">
      <w:pPr>
        <w:rPr>
          <w:rFonts w:ascii="宋体" w:hAnsi="宋体" w:eastAsia="宋体" w:cs="宋体"/>
          <w:highlight w:val="none"/>
        </w:rPr>
      </w:pPr>
    </w:p>
    <w:p w14:paraId="74E8AA4F">
      <w:pPr>
        <w:rPr>
          <w:rFonts w:ascii="宋体" w:hAnsi="宋体" w:eastAsia="宋体" w:cs="宋体"/>
          <w:highlight w:val="none"/>
        </w:rPr>
      </w:pPr>
    </w:p>
    <w:p w14:paraId="5FD075D6">
      <w:pPr>
        <w:numPr>
          <w:ilvl w:val="0"/>
          <w:numId w:val="22"/>
        </w:numPr>
        <w:tabs>
          <w:tab w:val="left" w:pos="420"/>
          <w:tab w:val="clear" w:pos="1244"/>
        </w:tabs>
        <w:spacing w:before="100" w:beforeAutospacing="1" w:after="100" w:afterAutospacing="1" w:line="432" w:lineRule="auto"/>
        <w:ind w:hanging="1244"/>
        <w:outlineLvl w:val="1"/>
        <w:rPr>
          <w:rFonts w:ascii="宋体" w:hAnsi="宋体" w:eastAsia="宋体" w:cs="宋体"/>
          <w:b/>
          <w:szCs w:val="21"/>
          <w:highlight w:val="none"/>
        </w:rPr>
      </w:pPr>
      <w:bookmarkStart w:id="409" w:name="_Toc14863"/>
      <w:bookmarkStart w:id="410" w:name="_Toc14561"/>
      <w:bookmarkStart w:id="411" w:name="_Toc13296"/>
      <w:bookmarkStart w:id="412" w:name="_Toc30199"/>
      <w:bookmarkStart w:id="413" w:name="_Toc26892"/>
      <w:r>
        <w:rPr>
          <w:rFonts w:hint="eastAsia" w:ascii="宋体" w:hAnsi="宋体" w:eastAsia="宋体" w:cs="宋体"/>
          <w:b/>
          <w:szCs w:val="21"/>
          <w:highlight w:val="none"/>
        </w:rPr>
        <w:t>残疾人福利性单位属于小型、微型企业的，不重复享受政策。</w:t>
      </w:r>
      <w:bookmarkEnd w:id="409"/>
      <w:bookmarkEnd w:id="410"/>
      <w:bookmarkEnd w:id="411"/>
      <w:bookmarkEnd w:id="412"/>
      <w:bookmarkEnd w:id="413"/>
    </w:p>
    <w:p w14:paraId="6290F7F4">
      <w:pPr>
        <w:numPr>
          <w:ilvl w:val="0"/>
          <w:numId w:val="22"/>
        </w:numPr>
        <w:tabs>
          <w:tab w:val="left" w:pos="420"/>
          <w:tab w:val="clear" w:pos="1244"/>
        </w:tabs>
        <w:spacing w:before="100" w:beforeAutospacing="1" w:after="100" w:afterAutospacing="1" w:line="432" w:lineRule="auto"/>
        <w:ind w:hanging="1244"/>
        <w:rPr>
          <w:rFonts w:ascii="宋体" w:hAnsi="宋体" w:eastAsia="宋体" w:cs="宋体"/>
          <w:b/>
          <w:szCs w:val="21"/>
          <w:highlight w:val="none"/>
        </w:rPr>
      </w:pPr>
      <w:r>
        <w:rPr>
          <w:rFonts w:hint="eastAsia" w:ascii="宋体" w:hAnsi="宋体" w:eastAsia="宋体" w:cs="宋体"/>
          <w:b/>
          <w:szCs w:val="21"/>
          <w:highlight w:val="none"/>
        </w:rPr>
        <w:t>如中标人声明为残疾人福利性单位，本声明函将随中标结果同时公告，接受社会监督。</w:t>
      </w:r>
    </w:p>
    <w:p w14:paraId="57B3A849">
      <w:pPr>
        <w:rPr>
          <w:rFonts w:ascii="宋体" w:hAnsi="宋体" w:eastAsia="宋体" w:cs="宋体"/>
          <w:highlight w:val="none"/>
        </w:rPr>
      </w:pPr>
    </w:p>
    <w:p w14:paraId="1FE542D0">
      <w:pPr>
        <w:pStyle w:val="26"/>
        <w:rPr>
          <w:rFonts w:ascii="宋体" w:hAnsi="宋体" w:eastAsia="宋体" w:cs="宋体"/>
          <w:highlight w:val="none"/>
        </w:rPr>
      </w:pPr>
    </w:p>
    <w:p w14:paraId="5CA22D4A">
      <w:pPr>
        <w:pStyle w:val="8"/>
        <w:rPr>
          <w:rFonts w:ascii="宋体" w:hAnsi="宋体" w:eastAsia="宋体" w:cs="宋体"/>
          <w:highlight w:val="none"/>
        </w:rPr>
      </w:pPr>
    </w:p>
    <w:p w14:paraId="5AFDAFA3">
      <w:pPr>
        <w:pStyle w:val="19"/>
        <w:rPr>
          <w:rFonts w:ascii="宋体" w:hAnsi="宋体" w:eastAsia="宋体" w:cs="宋体"/>
          <w:highlight w:val="none"/>
        </w:rPr>
      </w:pPr>
    </w:p>
    <w:p w14:paraId="55DA9881">
      <w:pPr>
        <w:pStyle w:val="16"/>
        <w:rPr>
          <w:highlight w:val="none"/>
        </w:rPr>
      </w:pPr>
    </w:p>
    <w:p w14:paraId="076221A3">
      <w:pPr>
        <w:jc w:val="center"/>
        <w:outlineLvl w:val="2"/>
        <w:rPr>
          <w:rFonts w:hint="eastAsia" w:ascii="宋体" w:hAnsi="宋体" w:eastAsia="宋体" w:cs="宋体"/>
          <w:b/>
          <w:bCs/>
          <w:sz w:val="28"/>
          <w:szCs w:val="28"/>
          <w:highlight w:val="none"/>
        </w:rPr>
        <w:sectPr>
          <w:footerReference r:id="rId6" w:type="default"/>
          <w:pgSz w:w="11906" w:h="16838"/>
          <w:pgMar w:top="1134" w:right="1134" w:bottom="1134" w:left="1134" w:header="851" w:footer="992" w:gutter="0"/>
          <w:pgNumType w:fmt="decimal"/>
          <w:cols w:space="0" w:num="1"/>
          <w:rtlGutter w:val="0"/>
          <w:docGrid w:type="lines" w:linePitch="312" w:charSpace="0"/>
        </w:sectPr>
      </w:pPr>
    </w:p>
    <w:p w14:paraId="5409CB6F">
      <w:pPr>
        <w:spacing w:line="48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lang w:val="en-US" w:eastAsia="zh-CN"/>
        </w:rPr>
        <w:t xml:space="preserve">附件六  </w:t>
      </w:r>
      <w:r>
        <w:rPr>
          <w:rFonts w:hint="eastAsia" w:ascii="宋体" w:hAnsi="宋体" w:eastAsia="宋体" w:cs="宋体"/>
          <w:b/>
          <w:kern w:val="0"/>
          <w:sz w:val="28"/>
          <w:szCs w:val="28"/>
          <w:highlight w:val="none"/>
        </w:rPr>
        <w:t>联合协议（如有）</w:t>
      </w:r>
    </w:p>
    <w:p w14:paraId="7B7C8FC4">
      <w:pPr>
        <w:spacing w:line="360" w:lineRule="auto"/>
        <w:rPr>
          <w:rFonts w:hint="eastAsia" w:ascii="宋体" w:hAnsi="宋体" w:eastAsia="宋体" w:cs="宋体"/>
          <w:highlight w:val="none"/>
        </w:rPr>
      </w:pPr>
      <w:r>
        <w:rPr>
          <w:rFonts w:hint="eastAsia" w:ascii="宋体" w:hAnsi="宋体" w:eastAsia="宋体" w:cs="宋体"/>
          <w:highlight w:val="none"/>
          <w:u w:val="single"/>
        </w:rPr>
        <w:t xml:space="preserve">     （公司名称）</w:t>
      </w:r>
      <w:r>
        <w:rPr>
          <w:rFonts w:hint="eastAsia" w:ascii="宋体" w:hAnsi="宋体" w:eastAsia="宋体" w:cs="宋体"/>
          <w:highlight w:val="none"/>
        </w:rPr>
        <w:t>、</w:t>
      </w:r>
      <w:r>
        <w:rPr>
          <w:rFonts w:hint="eastAsia" w:ascii="宋体" w:hAnsi="宋体" w:eastAsia="宋体" w:cs="宋体"/>
          <w:highlight w:val="none"/>
          <w:u w:val="single"/>
        </w:rPr>
        <w:t xml:space="preserve">     （公司名称）</w:t>
      </w:r>
      <w:r>
        <w:rPr>
          <w:rFonts w:hint="eastAsia" w:ascii="宋体" w:hAnsi="宋体" w:eastAsia="宋体" w:cs="宋体"/>
          <w:highlight w:val="none"/>
        </w:rPr>
        <w:t>自愿组成：</w:t>
      </w:r>
      <w:r>
        <w:rPr>
          <w:rFonts w:hint="eastAsia" w:ascii="宋体" w:hAnsi="宋体" w:eastAsia="宋体" w:cs="宋体"/>
          <w:highlight w:val="none"/>
          <w:u w:val="single"/>
        </w:rPr>
        <w:t xml:space="preserve">      （公司名称）</w:t>
      </w:r>
      <w:r>
        <w:rPr>
          <w:rFonts w:hint="eastAsia" w:ascii="宋体" w:hAnsi="宋体" w:eastAsia="宋体" w:cs="宋体"/>
          <w:highlight w:val="none"/>
        </w:rPr>
        <w:t>、</w:t>
      </w:r>
      <w:r>
        <w:rPr>
          <w:rFonts w:hint="eastAsia" w:ascii="宋体" w:hAnsi="宋体" w:eastAsia="宋体" w:cs="宋体"/>
          <w:highlight w:val="none"/>
          <w:u w:val="single"/>
        </w:rPr>
        <w:t xml:space="preserve">     （公司名称）</w:t>
      </w:r>
      <w:r>
        <w:rPr>
          <w:rFonts w:hint="eastAsia" w:ascii="宋体" w:hAnsi="宋体" w:eastAsia="宋体" w:cs="宋体"/>
          <w:highlight w:val="none"/>
        </w:rPr>
        <w:t>联合体（以下简称“联合体”或“我们”），共同参加</w:t>
      </w:r>
      <w:r>
        <w:rPr>
          <w:rFonts w:hint="eastAsia" w:ascii="宋体" w:hAnsi="宋体" w:eastAsia="宋体" w:cs="宋体"/>
          <w:highlight w:val="none"/>
          <w:u w:val="single"/>
          <w:lang w:eastAsia="zh-CN"/>
        </w:rPr>
        <w:t>瑞安市水库堤防白蚁等害堤动物普查与防治项目</w:t>
      </w:r>
      <w:r>
        <w:rPr>
          <w:rFonts w:hint="eastAsia" w:ascii="宋体" w:hAnsi="宋体" w:eastAsia="宋体" w:cs="宋体"/>
          <w:highlight w:val="none"/>
        </w:rPr>
        <w:t>（招标编号：</w:t>
      </w:r>
      <w:r>
        <w:rPr>
          <w:rFonts w:hint="eastAsia" w:ascii="宋体" w:hAnsi="宋体" w:eastAsia="宋体" w:cs="宋体"/>
          <w:highlight w:val="none"/>
          <w:lang w:val="en-US" w:eastAsia="zh-CN"/>
        </w:rPr>
        <w:t xml:space="preserve">  </w:t>
      </w:r>
      <w:r>
        <w:rPr>
          <w:rFonts w:hint="eastAsia" w:ascii="宋体" w:hAnsi="宋体" w:eastAsia="宋体" w:cs="宋体"/>
          <w:highlight w:val="none"/>
        </w:rPr>
        <w:t>）投标（以下简称“本项目”）。现就联合体投标事宜声明如下：</w:t>
      </w:r>
    </w:p>
    <w:p w14:paraId="3CC75E7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（公司名称）</w:t>
      </w:r>
      <w:r>
        <w:rPr>
          <w:rFonts w:hint="eastAsia" w:ascii="宋体" w:hAnsi="宋体" w:eastAsia="宋体" w:cs="宋体"/>
          <w:highlight w:val="none"/>
        </w:rPr>
        <w:t>、</w:t>
      </w:r>
      <w:r>
        <w:rPr>
          <w:rFonts w:hint="eastAsia" w:ascii="宋体" w:hAnsi="宋体" w:eastAsia="宋体" w:cs="宋体"/>
          <w:highlight w:val="none"/>
          <w:u w:val="single"/>
        </w:rPr>
        <w:t xml:space="preserve">     （公司名称）</w:t>
      </w:r>
      <w:r>
        <w:rPr>
          <w:rFonts w:hint="eastAsia" w:ascii="宋体" w:hAnsi="宋体" w:eastAsia="宋体" w:cs="宋体"/>
          <w:highlight w:val="none"/>
        </w:rPr>
        <w:t>特此正式授权</w:t>
      </w:r>
      <w:r>
        <w:rPr>
          <w:rFonts w:hint="eastAsia" w:ascii="宋体" w:hAnsi="宋体" w:eastAsia="宋体" w:cs="宋体"/>
          <w:highlight w:val="none"/>
          <w:u w:val="single"/>
        </w:rPr>
        <w:t xml:space="preserve">     （公司名称）</w:t>
      </w:r>
      <w:r>
        <w:rPr>
          <w:rFonts w:hint="eastAsia" w:ascii="宋体" w:hAnsi="宋体" w:eastAsia="宋体" w:cs="宋体"/>
          <w:highlight w:val="none"/>
        </w:rPr>
        <w:t>为联合体牵头人，合法代表我们签署</w:t>
      </w:r>
      <w:r>
        <w:rPr>
          <w:rFonts w:hint="eastAsia" w:ascii="宋体" w:hAnsi="宋体" w:eastAsia="宋体" w:cs="宋体"/>
          <w:highlight w:val="none"/>
          <w:u w:val="single"/>
          <w:lang w:eastAsia="zh-CN"/>
        </w:rPr>
        <w:t>瑞安市水库堤防白蚁等害堤动物普查与防治项目</w:t>
      </w:r>
      <w:r>
        <w:rPr>
          <w:rFonts w:hint="eastAsia" w:ascii="宋体" w:hAnsi="宋体" w:eastAsia="宋体" w:cs="宋体"/>
          <w:highlight w:val="none"/>
        </w:rPr>
        <w:t>（招标编号：</w:t>
      </w:r>
      <w:r>
        <w:rPr>
          <w:rFonts w:hint="eastAsia" w:ascii="宋体" w:hAnsi="宋体" w:eastAsia="宋体" w:cs="宋体"/>
          <w:highlight w:val="none"/>
          <w:lang w:val="en-US" w:eastAsia="zh-CN"/>
        </w:rPr>
        <w:t xml:space="preserve">  </w:t>
      </w:r>
      <w:r>
        <w:rPr>
          <w:rFonts w:hint="eastAsia" w:ascii="宋体" w:hAnsi="宋体" w:eastAsia="宋体" w:cs="宋体"/>
          <w:highlight w:val="none"/>
        </w:rPr>
        <w:t>）投标文件、进行谈判、承担责任、接受指示和处理、负责合同实施阶段的主办、组织和协调工作以及处理与本项目有关的所有其它必要事宜。对于牵头人所为行为产生的一切法律后果，由联合体对外承担连带责任。</w:t>
      </w:r>
    </w:p>
    <w:p w14:paraId="6DC712E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2.本联合体特此正式授权牵头人使用联合体成员相关资质文件（如：</w:t>
      </w:r>
      <w:r>
        <w:rPr>
          <w:rFonts w:hint="eastAsia" w:ascii="宋体" w:hAnsi="宋体" w:eastAsia="宋体" w:cs="宋体"/>
          <w:highlight w:val="none"/>
          <w:u w:val="single"/>
        </w:rPr>
        <w:t xml:space="preserve">         证书名称</w:t>
      </w:r>
      <w:r>
        <w:rPr>
          <w:rFonts w:hint="eastAsia" w:ascii="宋体" w:hAnsi="宋体" w:eastAsia="宋体" w:cs="宋体"/>
          <w:highlight w:val="none"/>
        </w:rPr>
        <w:t>）和商务业绩进行合法投标，投标有效范围为：</w:t>
      </w:r>
      <w:r>
        <w:rPr>
          <w:rFonts w:hint="eastAsia" w:ascii="宋体" w:hAnsi="宋体" w:eastAsia="宋体" w:cs="宋体"/>
          <w:highlight w:val="none"/>
          <w:lang w:eastAsia="zh-CN"/>
        </w:rPr>
        <w:t>瑞安市水库堤防白蚁等害堤动物普查与防治项目</w:t>
      </w:r>
      <w:r>
        <w:rPr>
          <w:rFonts w:hint="eastAsia" w:ascii="宋体" w:hAnsi="宋体" w:eastAsia="宋体" w:cs="宋体"/>
          <w:highlight w:val="none"/>
        </w:rPr>
        <w:t>（招标编号：</w:t>
      </w:r>
      <w:r>
        <w:rPr>
          <w:rFonts w:hint="eastAsia" w:ascii="宋体" w:hAnsi="宋体" w:eastAsia="宋体" w:cs="宋体"/>
          <w:highlight w:val="none"/>
          <w:lang w:val="en-US" w:eastAsia="zh-CN"/>
        </w:rPr>
        <w:t xml:space="preserve">  </w:t>
      </w:r>
      <w:r>
        <w:rPr>
          <w:rFonts w:hint="eastAsia" w:ascii="宋体" w:hAnsi="宋体" w:eastAsia="宋体" w:cs="宋体"/>
          <w:highlight w:val="none"/>
        </w:rPr>
        <w:t>）招标项目。</w:t>
      </w:r>
    </w:p>
    <w:p w14:paraId="7F042E2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3.本投标文件及中标后签署的合同、协议书对联合体的每一个成员均具有法律约束力。</w:t>
      </w:r>
    </w:p>
    <w:p w14:paraId="09EB4CC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4.联合体将严格按照招标文件的各项要求，递交投标文件，履行合同，并对外承担连带责任。</w:t>
      </w:r>
    </w:p>
    <w:p w14:paraId="619B046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5.联合体实施合同的责任分工如下：</w:t>
      </w:r>
    </w:p>
    <w:p w14:paraId="5CCE83CE">
      <w:pPr>
        <w:spacing w:line="360" w:lineRule="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（公司名称）</w:t>
      </w:r>
      <w:r>
        <w:rPr>
          <w:rFonts w:hint="eastAsia" w:ascii="宋体" w:hAnsi="宋体" w:eastAsia="宋体" w:cs="宋体"/>
          <w:highlight w:val="none"/>
        </w:rPr>
        <w:t>：作为本项目总体牵头单位，负责</w:t>
      </w:r>
      <w:r>
        <w:rPr>
          <w:rFonts w:hint="eastAsia" w:ascii="宋体" w:hAnsi="宋体" w:eastAsia="宋体" w:cs="宋体"/>
          <w:highlight w:val="none"/>
          <w:lang w:eastAsia="zh-CN"/>
        </w:rPr>
        <w:t>瑞安市水库堤防白蚁等害堤动物普查与防治项目</w:t>
      </w:r>
      <w:r>
        <w:rPr>
          <w:rFonts w:hint="eastAsia" w:ascii="宋体" w:hAnsi="宋体" w:eastAsia="宋体" w:cs="宋体"/>
          <w:highlight w:val="none"/>
        </w:rPr>
        <w:t>（招标编号：</w:t>
      </w:r>
      <w:r>
        <w:rPr>
          <w:rFonts w:hint="eastAsia" w:ascii="宋体" w:hAnsi="宋体" w:eastAsia="宋体" w:cs="宋体"/>
          <w:highlight w:val="none"/>
          <w:lang w:val="en-US" w:eastAsia="zh-CN"/>
        </w:rPr>
        <w:t xml:space="preserve">  </w:t>
      </w:r>
      <w:r>
        <w:rPr>
          <w:rFonts w:hint="eastAsia" w:ascii="宋体" w:hAnsi="宋体" w:eastAsia="宋体" w:cs="宋体"/>
          <w:highlight w:val="none"/>
        </w:rPr>
        <w:t>）项目投标、合同签署、合同承接、全部合同条款实施以及其他与本项目相关的事项，占项目总体内容和投标金额的</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453331E6">
      <w:pPr>
        <w:spacing w:line="360" w:lineRule="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（公司名称）</w:t>
      </w:r>
      <w:r>
        <w:rPr>
          <w:rFonts w:hint="eastAsia" w:ascii="宋体" w:hAnsi="宋体" w:eastAsia="宋体" w:cs="宋体"/>
          <w:highlight w:val="none"/>
        </w:rPr>
        <w:t>：作为项目主要联合体成员，负责配合牵头单位进行</w:t>
      </w:r>
      <w:r>
        <w:rPr>
          <w:rFonts w:hint="eastAsia" w:ascii="宋体" w:hAnsi="宋体" w:eastAsia="宋体" w:cs="宋体"/>
          <w:highlight w:val="none"/>
          <w:lang w:eastAsia="zh-CN"/>
        </w:rPr>
        <w:t>瑞安市水库堤防白蚁等害堤动物普查与防治项目</w:t>
      </w:r>
      <w:r>
        <w:rPr>
          <w:rFonts w:hint="eastAsia" w:ascii="宋体" w:hAnsi="宋体" w:eastAsia="宋体" w:cs="宋体"/>
          <w:highlight w:val="none"/>
        </w:rPr>
        <w:t>（招标编号：</w:t>
      </w:r>
      <w:r>
        <w:rPr>
          <w:rFonts w:hint="eastAsia" w:ascii="宋体" w:hAnsi="宋体" w:eastAsia="宋体" w:cs="宋体"/>
          <w:highlight w:val="none"/>
          <w:lang w:val="en-US" w:eastAsia="zh-CN"/>
        </w:rPr>
        <w:t xml:space="preserve">  </w:t>
      </w:r>
      <w:r>
        <w:rPr>
          <w:rFonts w:hint="eastAsia" w:ascii="宋体" w:hAnsi="宋体" w:eastAsia="宋体" w:cs="宋体"/>
          <w:highlight w:val="none"/>
        </w:rPr>
        <w:t>）项目投标工作，中标后协助牵头单位实施履行合同以及其他牵头单位需要协助配合的事项占项目总体内容和投标金额的</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1E1CFAE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p>
    <w:p w14:paraId="2763552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6.联合体中标后，本联合体声明是合同的附件，对联合体各成员单位均具有同等的合同约束力。</w:t>
      </w:r>
    </w:p>
    <w:p w14:paraId="6A13C79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7.本声明自签署之日起生效，本项目中标后和本项目招标方签署的合同履行完毕后自动失效。</w:t>
      </w:r>
    </w:p>
    <w:p w14:paraId="070E64AA">
      <w:pPr>
        <w:spacing w:line="360" w:lineRule="auto"/>
        <w:rPr>
          <w:rFonts w:hint="eastAsia" w:ascii="宋体" w:hAnsi="宋体" w:eastAsia="宋体" w:cs="宋体"/>
          <w:highlight w:val="none"/>
        </w:rPr>
      </w:pPr>
      <w:r>
        <w:rPr>
          <w:rFonts w:hint="eastAsia" w:ascii="宋体" w:hAnsi="宋体" w:eastAsia="宋体" w:cs="宋体"/>
          <w:highlight w:val="none"/>
        </w:rPr>
        <w:t>牵头人名称：             （公章）</w:t>
      </w:r>
    </w:p>
    <w:p w14:paraId="6D5894BF">
      <w:pPr>
        <w:spacing w:line="360" w:lineRule="auto"/>
        <w:rPr>
          <w:rFonts w:hint="eastAsia" w:ascii="宋体" w:hAnsi="宋体" w:eastAsia="宋体" w:cs="宋体"/>
          <w:highlight w:val="none"/>
        </w:rPr>
      </w:pPr>
      <w:r>
        <w:rPr>
          <w:rFonts w:hint="eastAsia" w:ascii="宋体" w:hAnsi="宋体" w:eastAsia="宋体" w:cs="宋体"/>
          <w:highlight w:val="none"/>
        </w:rPr>
        <w:t>法定代表人或其委托代理人：（签字或盖章）</w:t>
      </w:r>
    </w:p>
    <w:p w14:paraId="371A1670">
      <w:pPr>
        <w:spacing w:line="360" w:lineRule="auto"/>
        <w:rPr>
          <w:rFonts w:hint="eastAsia" w:ascii="宋体" w:hAnsi="宋体" w:eastAsia="宋体" w:cs="宋体"/>
          <w:highlight w:val="none"/>
        </w:rPr>
      </w:pPr>
      <w:r>
        <w:rPr>
          <w:rFonts w:hint="eastAsia" w:ascii="宋体" w:hAnsi="宋体" w:eastAsia="宋体" w:cs="宋体"/>
          <w:highlight w:val="none"/>
        </w:rPr>
        <w:t>联合体成员名称：         （公章）           ……</w:t>
      </w:r>
    </w:p>
    <w:p w14:paraId="70640A6A">
      <w:pPr>
        <w:spacing w:line="360" w:lineRule="auto"/>
        <w:rPr>
          <w:rFonts w:hint="eastAsia" w:ascii="宋体" w:hAnsi="宋体" w:eastAsia="宋体" w:cs="宋体"/>
          <w:highlight w:val="none"/>
        </w:rPr>
      </w:pPr>
      <w:r>
        <w:rPr>
          <w:rFonts w:hint="eastAsia" w:ascii="宋体" w:hAnsi="宋体" w:eastAsia="宋体" w:cs="宋体"/>
          <w:highlight w:val="none"/>
        </w:rPr>
        <w:t>法定代表人或其委托代理人：（签字或盖章）</w:t>
      </w:r>
    </w:p>
    <w:p w14:paraId="01FEC41A">
      <w:pPr>
        <w:widowControl/>
        <w:spacing w:line="360" w:lineRule="auto"/>
        <w:ind w:left="150" w:firstLine="420"/>
        <w:jc w:val="center"/>
        <w:rPr>
          <w:rFonts w:hint="eastAsia" w:ascii="宋体" w:hAnsi="宋体" w:eastAsia="宋体" w:cs="宋体"/>
          <w:highlight w:val="none"/>
        </w:rPr>
      </w:pPr>
      <w:r>
        <w:rPr>
          <w:rFonts w:hint="eastAsia" w:ascii="宋体" w:hAnsi="宋体" w:eastAsia="宋体" w:cs="宋体"/>
          <w:highlight w:val="none"/>
        </w:rPr>
        <w:t>年  月  日</w:t>
      </w:r>
    </w:p>
    <w:p w14:paraId="1E1A39A5">
      <w:pPr>
        <w:jc w:val="both"/>
        <w:outlineLvl w:val="2"/>
        <w:rPr>
          <w:rFonts w:hint="eastAsia" w:ascii="宋体" w:hAnsi="宋体" w:eastAsia="宋体" w:cs="宋体"/>
          <w:b/>
          <w:bCs/>
          <w:sz w:val="28"/>
          <w:szCs w:val="28"/>
          <w:highlight w:val="none"/>
        </w:rPr>
        <w:sectPr>
          <w:pgSz w:w="11906" w:h="16838"/>
          <w:pgMar w:top="1134" w:right="1134" w:bottom="1134" w:left="1134" w:header="851" w:footer="992" w:gutter="0"/>
          <w:pgNumType w:fmt="decimal"/>
          <w:cols w:space="0" w:num="1"/>
          <w:rtlGutter w:val="0"/>
          <w:docGrid w:type="lines" w:linePitch="312" w:charSpace="0"/>
        </w:sectPr>
      </w:pPr>
      <w:r>
        <w:rPr>
          <w:rFonts w:hint="eastAsia" w:ascii="宋体" w:hAnsi="宋体" w:eastAsia="宋体" w:cs="宋体"/>
          <w:highlight w:val="none"/>
        </w:rPr>
        <w:t>注：▲联合体参与投标必须提供</w:t>
      </w:r>
    </w:p>
    <w:p w14:paraId="7980A43E">
      <w:pPr>
        <w:jc w:val="center"/>
        <w:outlineLvl w:val="2"/>
        <w:rPr>
          <w:rFonts w:ascii="宋体" w:hAnsi="宋体" w:eastAsia="宋体" w:cs="宋体"/>
          <w:b/>
          <w:bCs/>
          <w:sz w:val="28"/>
          <w:szCs w:val="28"/>
          <w:highlight w:val="none"/>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 xml:space="preserve">    磋商响应函</w:t>
      </w:r>
    </w:p>
    <w:p w14:paraId="283BCC42">
      <w:pPr>
        <w:spacing w:line="360" w:lineRule="auto"/>
        <w:rPr>
          <w:rFonts w:ascii="宋体" w:hAnsi="宋体" w:eastAsia="宋体" w:cs="宋体"/>
          <w:b w:val="0"/>
          <w:bCs w:val="0"/>
          <w:highlight w:val="none"/>
          <w:u w:val="single"/>
        </w:rPr>
      </w:pPr>
      <w:r>
        <w:rPr>
          <w:rFonts w:hint="eastAsia" w:ascii="宋体" w:hAnsi="宋体" w:eastAsia="宋体" w:cs="宋体"/>
          <w:b w:val="0"/>
          <w:bCs w:val="0"/>
          <w:highlight w:val="none"/>
          <w:u w:val="single"/>
          <w:lang w:eastAsia="zh-CN"/>
        </w:rPr>
        <w:t>瑞安市水利局</w:t>
      </w:r>
      <w:r>
        <w:rPr>
          <w:rFonts w:hint="eastAsia" w:ascii="宋体" w:hAnsi="宋体" w:eastAsia="宋体" w:cs="宋体"/>
          <w:b w:val="0"/>
          <w:bCs w:val="0"/>
          <w:highlight w:val="none"/>
          <w:u w:val="single"/>
        </w:rPr>
        <w:t>：</w:t>
      </w:r>
    </w:p>
    <w:p w14:paraId="34615EE2">
      <w:pPr>
        <w:spacing w:line="360" w:lineRule="auto"/>
        <w:ind w:firstLine="411" w:firstLineChars="196"/>
        <w:rPr>
          <w:rFonts w:ascii="宋体" w:hAnsi="宋体" w:eastAsia="宋体" w:cs="宋体"/>
          <w:highlight w:val="none"/>
        </w:rPr>
      </w:pPr>
      <w:r>
        <w:rPr>
          <w:rFonts w:hint="eastAsia" w:ascii="宋体" w:hAnsi="宋体" w:eastAsia="宋体" w:cs="宋体"/>
          <w:highlight w:val="none"/>
          <w:u w:val="single"/>
        </w:rPr>
        <w:t xml:space="preserve">（磋商供应商全称）  </w:t>
      </w:r>
      <w:r>
        <w:rPr>
          <w:rFonts w:hint="eastAsia" w:ascii="宋体" w:hAnsi="宋体" w:eastAsia="宋体" w:cs="宋体"/>
          <w:highlight w:val="none"/>
        </w:rPr>
        <w:t xml:space="preserve"> 授权 </w:t>
      </w:r>
      <w:r>
        <w:rPr>
          <w:rFonts w:hint="eastAsia" w:ascii="宋体" w:hAnsi="宋体" w:eastAsia="宋体" w:cs="宋体"/>
          <w:highlight w:val="none"/>
          <w:u w:val="single"/>
        </w:rPr>
        <w:t xml:space="preserve">   （授权代表名称、职务、职称）    </w:t>
      </w:r>
      <w:r>
        <w:rPr>
          <w:rFonts w:hint="eastAsia" w:ascii="宋体" w:hAnsi="宋体" w:eastAsia="宋体" w:cs="宋体"/>
          <w:highlight w:val="none"/>
        </w:rPr>
        <w:t xml:space="preserve"> 为本公司授权代表，参加贵方组织的</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瑞安市水库堤防白蚁等害堤动物普查与防治项目</w:t>
      </w:r>
      <w:r>
        <w:rPr>
          <w:rFonts w:hint="eastAsia" w:ascii="宋体" w:hAnsi="宋体" w:eastAsia="宋体" w:cs="宋体"/>
          <w:highlight w:val="none"/>
          <w:u w:val="single"/>
        </w:rPr>
        <w:t xml:space="preserve"> </w:t>
      </w:r>
      <w:r>
        <w:rPr>
          <w:rFonts w:hint="eastAsia" w:ascii="宋体" w:hAnsi="宋体" w:eastAsia="宋体" w:cs="宋体"/>
          <w:highlight w:val="none"/>
        </w:rPr>
        <w:t>（项目编号</w:t>
      </w:r>
      <w:r>
        <w:rPr>
          <w:rFonts w:hint="eastAsia" w:ascii="宋体" w:hAnsi="宋体" w:eastAsia="宋体" w:cs="宋体"/>
          <w:highlight w:val="none"/>
          <w:u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）竞争性磋商采购的有关活动，进行磋商。为此：</w:t>
      </w:r>
    </w:p>
    <w:p w14:paraId="494CB9F2">
      <w:pPr>
        <w:pStyle w:val="32"/>
        <w:numPr>
          <w:ilvl w:val="1"/>
          <w:numId w:val="23"/>
        </w:numPr>
        <w:spacing w:line="360" w:lineRule="auto"/>
        <w:ind w:left="851" w:firstLineChars="0"/>
        <w:rPr>
          <w:rFonts w:ascii="宋体" w:hAnsi="宋体" w:eastAsia="宋体" w:cs="宋体"/>
          <w:highlight w:val="none"/>
        </w:rPr>
      </w:pPr>
      <w:r>
        <w:rPr>
          <w:rFonts w:hint="eastAsia" w:ascii="宋体" w:hAnsi="宋体" w:eastAsia="宋体" w:cs="宋体"/>
          <w:highlight w:val="none"/>
        </w:rPr>
        <w:t>提供磋商须知规定的全部磋商响应文件。</w:t>
      </w:r>
    </w:p>
    <w:p w14:paraId="20A5ED13">
      <w:pPr>
        <w:pStyle w:val="32"/>
        <w:numPr>
          <w:ilvl w:val="1"/>
          <w:numId w:val="23"/>
        </w:numPr>
        <w:spacing w:line="360" w:lineRule="auto"/>
        <w:ind w:left="851" w:firstLineChars="0"/>
        <w:rPr>
          <w:rFonts w:ascii="宋体" w:hAnsi="宋体" w:eastAsia="宋体" w:cs="宋体"/>
          <w:highlight w:val="none"/>
        </w:rPr>
      </w:pPr>
      <w:r>
        <w:rPr>
          <w:rFonts w:hint="eastAsia" w:ascii="宋体" w:hAnsi="宋体" w:eastAsia="宋体" w:cs="宋体"/>
          <w:highlight w:val="none"/>
        </w:rPr>
        <w:t>据此函，签字人兹宣布同意如下：</w:t>
      </w:r>
    </w:p>
    <w:p w14:paraId="74637933">
      <w:pPr>
        <w:pStyle w:val="32"/>
        <w:numPr>
          <w:ilvl w:val="2"/>
          <w:numId w:val="23"/>
        </w:numPr>
        <w:spacing w:line="360" w:lineRule="auto"/>
        <w:ind w:left="1276" w:firstLineChars="0"/>
        <w:rPr>
          <w:rFonts w:ascii="宋体" w:hAnsi="宋体" w:eastAsia="宋体" w:cs="宋体"/>
          <w:highlight w:val="none"/>
        </w:rPr>
      </w:pPr>
      <w:r>
        <w:rPr>
          <w:rFonts w:hint="eastAsia" w:ascii="宋体" w:hAnsi="宋体" w:eastAsia="宋体" w:cs="宋体"/>
          <w:szCs w:val="21"/>
          <w:highlight w:val="none"/>
        </w:rPr>
        <w:t>该项目的磋商报价</w:t>
      </w:r>
      <w:r>
        <w:rPr>
          <w:rFonts w:hint="eastAsia" w:ascii="宋体" w:hAnsi="宋体" w:eastAsia="宋体" w:cs="宋体"/>
          <w:highlight w:val="none"/>
        </w:rPr>
        <w:t xml:space="preserve">以最后一轮报价为准； </w:t>
      </w:r>
    </w:p>
    <w:p w14:paraId="23CC969B">
      <w:pPr>
        <w:pStyle w:val="32"/>
        <w:numPr>
          <w:ilvl w:val="2"/>
          <w:numId w:val="23"/>
        </w:numPr>
        <w:spacing w:line="360" w:lineRule="auto"/>
        <w:ind w:left="1276" w:firstLineChars="0"/>
        <w:rPr>
          <w:rFonts w:ascii="宋体" w:hAnsi="宋体" w:eastAsia="宋体" w:cs="宋体"/>
          <w:highlight w:val="none"/>
        </w:rPr>
      </w:pPr>
      <w:r>
        <w:rPr>
          <w:rFonts w:hint="eastAsia" w:ascii="宋体" w:hAnsi="宋体" w:eastAsia="宋体" w:cs="宋体"/>
          <w:highlight w:val="none"/>
        </w:rPr>
        <w:t>保证遵守竞争性磋商的磋商文件中的有关规定。</w:t>
      </w:r>
    </w:p>
    <w:p w14:paraId="3DE7E158">
      <w:pPr>
        <w:pStyle w:val="32"/>
        <w:numPr>
          <w:ilvl w:val="2"/>
          <w:numId w:val="23"/>
        </w:numPr>
        <w:spacing w:line="360" w:lineRule="auto"/>
        <w:ind w:left="1276" w:firstLineChars="0"/>
        <w:rPr>
          <w:rFonts w:ascii="宋体" w:hAnsi="宋体" w:eastAsia="宋体" w:cs="宋体"/>
          <w:highlight w:val="none"/>
        </w:rPr>
      </w:pPr>
      <w:r>
        <w:rPr>
          <w:rFonts w:hint="eastAsia" w:ascii="宋体" w:hAnsi="宋体" w:eastAsia="宋体" w:cs="宋体"/>
          <w:highlight w:val="none"/>
        </w:rPr>
        <w:t>保证严格执行双方所签的服务合同，并承担全部规定的责任义务。</w:t>
      </w:r>
    </w:p>
    <w:p w14:paraId="62697E1A">
      <w:pPr>
        <w:pStyle w:val="32"/>
        <w:numPr>
          <w:ilvl w:val="2"/>
          <w:numId w:val="23"/>
        </w:numPr>
        <w:spacing w:line="360" w:lineRule="auto"/>
        <w:ind w:left="1276" w:firstLineChars="0"/>
        <w:rPr>
          <w:rFonts w:ascii="宋体" w:hAnsi="宋体" w:eastAsia="宋体" w:cs="宋体"/>
          <w:highlight w:val="none"/>
        </w:rPr>
      </w:pPr>
      <w:r>
        <w:rPr>
          <w:rFonts w:hint="eastAsia" w:ascii="宋体" w:hAnsi="宋体" w:eastAsia="宋体" w:cs="宋体"/>
          <w:highlight w:val="none"/>
        </w:rPr>
        <w:t>磋商供应商已详细审查全部竞争性磋商文件，包括竞争性磋商文件补充文件（如果有的话）。我们完全理解并同意放弃对这方面有不明及误解的权力。</w:t>
      </w:r>
    </w:p>
    <w:p w14:paraId="0824205F">
      <w:pPr>
        <w:pStyle w:val="32"/>
        <w:numPr>
          <w:ilvl w:val="2"/>
          <w:numId w:val="23"/>
        </w:numPr>
        <w:spacing w:line="360" w:lineRule="auto"/>
        <w:ind w:left="1276" w:firstLineChars="0"/>
        <w:rPr>
          <w:rFonts w:ascii="宋体" w:hAnsi="宋体" w:eastAsia="宋体" w:cs="宋体"/>
          <w:highlight w:val="none"/>
        </w:rPr>
      </w:pPr>
      <w:r>
        <w:rPr>
          <w:rFonts w:hint="eastAsia" w:ascii="宋体" w:hAnsi="宋体" w:eastAsia="宋体" w:cs="宋体"/>
          <w:highlight w:val="none"/>
        </w:rPr>
        <w:t>愿意向贵方提供任何与该项磋商有关的数据、情况和技术资料，完全理解贵方不一定接受最低价的投标或收到的任何投标。</w:t>
      </w:r>
    </w:p>
    <w:p w14:paraId="64F4A13F">
      <w:pPr>
        <w:pStyle w:val="32"/>
        <w:numPr>
          <w:ilvl w:val="2"/>
          <w:numId w:val="23"/>
        </w:numPr>
        <w:spacing w:line="360" w:lineRule="auto"/>
        <w:ind w:left="1276" w:firstLineChars="0"/>
        <w:rPr>
          <w:rFonts w:ascii="宋体" w:hAnsi="宋体" w:eastAsia="宋体" w:cs="宋体"/>
          <w:highlight w:val="none"/>
        </w:rPr>
      </w:pPr>
      <w:r>
        <w:rPr>
          <w:rFonts w:hint="eastAsia" w:ascii="宋体" w:hAnsi="宋体" w:eastAsia="宋体" w:cs="宋体"/>
          <w:highlight w:val="none"/>
        </w:rPr>
        <w:t>本磋商自磋商截止时间之日起</w:t>
      </w:r>
      <w:r>
        <w:rPr>
          <w:rFonts w:hint="eastAsia" w:ascii="宋体" w:hAnsi="宋体" w:eastAsia="宋体" w:cs="宋体"/>
          <w:highlight w:val="none"/>
          <w:u w:val="single"/>
          <w:lang w:val="en-US" w:eastAsia="zh-CN"/>
        </w:rPr>
        <w:t>9</w:t>
      </w:r>
      <w:r>
        <w:rPr>
          <w:rFonts w:hint="eastAsia" w:ascii="宋体" w:hAnsi="宋体" w:eastAsia="宋体" w:cs="宋体"/>
          <w:highlight w:val="none"/>
          <w:u w:val="single"/>
        </w:rPr>
        <w:t>0</w:t>
      </w:r>
      <w:r>
        <w:rPr>
          <w:rFonts w:hint="eastAsia" w:ascii="宋体" w:hAnsi="宋体" w:eastAsia="宋体" w:cs="宋体"/>
          <w:highlight w:val="none"/>
        </w:rPr>
        <w:t>日历天有效。</w:t>
      </w:r>
    </w:p>
    <w:p w14:paraId="62420F81">
      <w:pPr>
        <w:pStyle w:val="32"/>
        <w:numPr>
          <w:ilvl w:val="2"/>
          <w:numId w:val="23"/>
        </w:numPr>
        <w:spacing w:line="360" w:lineRule="auto"/>
        <w:ind w:left="1276" w:firstLineChars="0"/>
        <w:rPr>
          <w:rFonts w:ascii="宋体" w:hAnsi="宋体" w:eastAsia="宋体" w:cs="宋体"/>
          <w:szCs w:val="21"/>
          <w:highlight w:val="none"/>
        </w:rPr>
      </w:pPr>
      <w:r>
        <w:rPr>
          <w:rFonts w:hint="eastAsia" w:ascii="宋体" w:hAnsi="宋体" w:eastAsia="宋体" w:cs="宋体"/>
          <w:szCs w:val="21"/>
          <w:highlight w:val="none"/>
        </w:rPr>
        <w:t>与本磋商有关的正式通讯地址为：</w:t>
      </w:r>
      <w:r>
        <w:rPr>
          <w:rFonts w:hint="eastAsia" w:ascii="宋体" w:hAnsi="宋体" w:eastAsia="宋体" w:cs="宋体"/>
          <w:szCs w:val="21"/>
          <w:highlight w:val="none"/>
          <w:u w:val="single"/>
        </w:rPr>
        <w:t xml:space="preserve">                                           </w:t>
      </w:r>
    </w:p>
    <w:p w14:paraId="2F93E29D">
      <w:pPr>
        <w:spacing w:line="360" w:lineRule="auto"/>
        <w:ind w:left="1276"/>
        <w:rPr>
          <w:rFonts w:ascii="宋体" w:hAnsi="宋体" w:eastAsia="宋体" w:cs="宋体"/>
          <w:highlight w:val="none"/>
        </w:rPr>
      </w:pPr>
      <w:r>
        <w:rPr>
          <w:rFonts w:hint="eastAsia" w:ascii="宋体" w:hAnsi="宋体" w:eastAsia="宋体" w:cs="宋体"/>
          <w:highlight w:val="none"/>
        </w:rPr>
        <w:t>邮编：</w:t>
      </w:r>
      <w:r>
        <w:rPr>
          <w:rFonts w:hint="eastAsia" w:ascii="宋体" w:hAnsi="宋体" w:eastAsia="宋体" w:cs="宋体"/>
          <w:highlight w:val="none"/>
          <w:u w:val="single"/>
        </w:rPr>
        <w:t xml:space="preserve">              </w:t>
      </w: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88B95CF">
      <w:pPr>
        <w:spacing w:line="480" w:lineRule="auto"/>
        <w:ind w:firstLine="5250" w:firstLineChars="2500"/>
        <w:rPr>
          <w:rFonts w:ascii="宋体" w:hAnsi="宋体" w:eastAsia="宋体" w:cs="宋体"/>
          <w:highlight w:val="none"/>
        </w:rPr>
      </w:pPr>
    </w:p>
    <w:p w14:paraId="070C9178">
      <w:pPr>
        <w:spacing w:line="480" w:lineRule="auto"/>
        <w:ind w:firstLine="5250" w:firstLineChars="2500"/>
        <w:rPr>
          <w:rFonts w:ascii="宋体" w:hAnsi="宋体" w:eastAsia="宋体" w:cs="宋体"/>
          <w:highlight w:val="none"/>
        </w:rPr>
      </w:pPr>
    </w:p>
    <w:p w14:paraId="6305F701">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磋商供应商全称（</w:t>
      </w:r>
      <w:r>
        <w:rPr>
          <w:rFonts w:hint="eastAsia" w:ascii="宋体" w:hAnsi="宋体" w:eastAsia="宋体" w:cs="宋体"/>
          <w:highlight w:val="none"/>
        </w:rPr>
        <w:t>盖电子签章</w:t>
      </w:r>
      <w:r>
        <w:rPr>
          <w:rFonts w:hint="eastAsia" w:ascii="宋体" w:hAnsi="宋体" w:eastAsia="宋体" w:cs="宋体"/>
          <w:szCs w:val="21"/>
          <w:highlight w:val="none"/>
        </w:rPr>
        <w:t>）：</w:t>
      </w:r>
    </w:p>
    <w:p w14:paraId="5B3E6428">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4651B030">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日      期：    年   月     日</w:t>
      </w:r>
    </w:p>
    <w:p w14:paraId="670718A7">
      <w:pPr>
        <w:pStyle w:val="8"/>
        <w:rPr>
          <w:rFonts w:ascii="宋体" w:hAnsi="宋体" w:eastAsia="宋体" w:cs="宋体"/>
          <w:highlight w:val="none"/>
        </w:rPr>
      </w:pPr>
    </w:p>
    <w:p w14:paraId="4DB9ED82">
      <w:pPr>
        <w:rPr>
          <w:rFonts w:ascii="宋体" w:hAnsi="宋体" w:eastAsia="宋体" w:cs="宋体"/>
          <w:highlight w:val="none"/>
        </w:rPr>
      </w:pPr>
    </w:p>
    <w:p w14:paraId="364BD7BC">
      <w:pPr>
        <w:pStyle w:val="9"/>
        <w:rPr>
          <w:highlight w:val="none"/>
        </w:rPr>
      </w:pPr>
    </w:p>
    <w:p w14:paraId="5973E327">
      <w:pPr>
        <w:rPr>
          <w:rFonts w:ascii="宋体" w:hAnsi="宋体" w:eastAsia="宋体" w:cs="宋体"/>
          <w:highlight w:val="none"/>
        </w:rPr>
      </w:pPr>
    </w:p>
    <w:p w14:paraId="083E3459">
      <w:pPr>
        <w:pStyle w:val="3"/>
        <w:jc w:val="center"/>
        <w:outlineLvl w:val="1"/>
        <w:rPr>
          <w:rFonts w:hint="eastAsia" w:ascii="宋体" w:hAnsi="宋体" w:eastAsia="宋体" w:cs="宋体"/>
          <w:b/>
          <w:bCs/>
          <w:sz w:val="28"/>
          <w:szCs w:val="28"/>
          <w:highlight w:val="none"/>
        </w:rPr>
      </w:pPr>
      <w:bookmarkStart w:id="414" w:name="_Toc4433"/>
      <w:bookmarkStart w:id="415" w:name="_Toc6776"/>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 xml:space="preserve">    磋商供应商情况一览表</w:t>
      </w:r>
      <w:bookmarkEnd w:id="414"/>
      <w:bookmarkEnd w:id="415"/>
    </w:p>
    <w:tbl>
      <w:tblPr>
        <w:tblStyle w:val="2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911"/>
        <w:gridCol w:w="1459"/>
        <w:gridCol w:w="2048"/>
      </w:tblGrid>
      <w:tr w14:paraId="0E9D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195" w:type="dxa"/>
            <w:tcBorders>
              <w:top w:val="single" w:color="auto" w:sz="4" w:space="0"/>
              <w:left w:val="single" w:color="auto" w:sz="4" w:space="0"/>
              <w:bottom w:val="single" w:color="auto" w:sz="6" w:space="0"/>
              <w:right w:val="single" w:color="auto" w:sz="6" w:space="0"/>
            </w:tcBorders>
            <w:vAlign w:val="center"/>
          </w:tcPr>
          <w:p w14:paraId="68D293A4">
            <w:pPr>
              <w:shd w:val="clear" w:color="auto" w:fill="auto"/>
              <w:jc w:val="center"/>
              <w:rPr>
                <w:rFonts w:ascii="宋体" w:hAnsi="宋体" w:cs="宋体"/>
                <w:b/>
                <w:bCs/>
                <w:highlight w:val="none"/>
              </w:rPr>
            </w:pPr>
            <w:r>
              <w:rPr>
                <w:rFonts w:hint="eastAsia" w:ascii="宋体" w:hAnsi="宋体" w:cs="宋体"/>
                <w:b/>
                <w:bCs/>
                <w:highlight w:val="none"/>
              </w:rPr>
              <w:t>供应商名称</w:t>
            </w:r>
          </w:p>
        </w:tc>
        <w:tc>
          <w:tcPr>
            <w:tcW w:w="6418" w:type="dxa"/>
            <w:gridSpan w:val="3"/>
            <w:tcBorders>
              <w:top w:val="single" w:color="auto" w:sz="4" w:space="0"/>
              <w:left w:val="single" w:color="auto" w:sz="6" w:space="0"/>
              <w:bottom w:val="single" w:color="auto" w:sz="6" w:space="0"/>
              <w:right w:val="single" w:color="auto" w:sz="4" w:space="0"/>
            </w:tcBorders>
            <w:vAlign w:val="center"/>
          </w:tcPr>
          <w:p w14:paraId="779FB28C">
            <w:pPr>
              <w:shd w:val="clear" w:color="auto" w:fill="auto"/>
              <w:jc w:val="center"/>
              <w:rPr>
                <w:rFonts w:ascii="宋体" w:hAnsi="宋体" w:cs="宋体"/>
                <w:highlight w:val="none"/>
              </w:rPr>
            </w:pPr>
          </w:p>
        </w:tc>
      </w:tr>
      <w:tr w14:paraId="017E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53F82410">
            <w:pPr>
              <w:shd w:val="clear" w:color="auto" w:fill="auto"/>
              <w:jc w:val="center"/>
              <w:rPr>
                <w:rFonts w:ascii="宋体" w:hAnsi="宋体" w:cs="宋体"/>
                <w:b/>
                <w:bCs/>
                <w:highlight w:val="none"/>
              </w:rPr>
            </w:pPr>
            <w:r>
              <w:rPr>
                <w:rFonts w:hint="eastAsia" w:ascii="宋体" w:hAnsi="宋体" w:cs="宋体"/>
                <w:b/>
                <w:bCs/>
                <w:highlight w:val="none"/>
              </w:rPr>
              <w:t>单位地址</w:t>
            </w:r>
          </w:p>
        </w:tc>
        <w:tc>
          <w:tcPr>
            <w:tcW w:w="2911" w:type="dxa"/>
            <w:tcBorders>
              <w:top w:val="single" w:color="auto" w:sz="6" w:space="0"/>
              <w:left w:val="single" w:color="auto" w:sz="6" w:space="0"/>
              <w:bottom w:val="single" w:color="auto" w:sz="6" w:space="0"/>
              <w:right w:val="single" w:color="auto" w:sz="6" w:space="0"/>
            </w:tcBorders>
            <w:vAlign w:val="center"/>
          </w:tcPr>
          <w:p w14:paraId="0E51FB9B">
            <w:pPr>
              <w:shd w:val="clear" w:color="auto" w:fill="auto"/>
              <w:jc w:val="center"/>
              <w:rPr>
                <w:rFonts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1699A773">
            <w:pPr>
              <w:shd w:val="clear" w:color="auto" w:fill="auto"/>
              <w:jc w:val="center"/>
              <w:rPr>
                <w:rFonts w:ascii="宋体" w:hAnsi="宋体" w:cs="宋体"/>
                <w:b/>
                <w:bCs/>
                <w:highlight w:val="none"/>
              </w:rPr>
            </w:pPr>
            <w:r>
              <w:rPr>
                <w:rFonts w:hint="eastAsia" w:ascii="宋体" w:hAnsi="宋体" w:cs="宋体"/>
                <w:b/>
                <w:bCs/>
                <w:highlight w:val="none"/>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33AE64C0">
            <w:pPr>
              <w:shd w:val="clear" w:color="auto" w:fill="auto"/>
              <w:jc w:val="center"/>
              <w:rPr>
                <w:rFonts w:ascii="宋体" w:hAnsi="宋体" w:cs="宋体"/>
                <w:highlight w:val="none"/>
              </w:rPr>
            </w:pPr>
          </w:p>
        </w:tc>
      </w:tr>
      <w:tr w14:paraId="51F1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69441D26">
            <w:pPr>
              <w:shd w:val="clear" w:color="auto" w:fill="auto"/>
              <w:jc w:val="center"/>
              <w:rPr>
                <w:rFonts w:ascii="宋体" w:hAnsi="宋体" w:cs="宋体"/>
                <w:b/>
                <w:bCs/>
                <w:highlight w:val="none"/>
              </w:rPr>
            </w:pPr>
            <w:r>
              <w:rPr>
                <w:rFonts w:hint="eastAsia" w:ascii="宋体" w:hAnsi="宋体" w:cs="宋体"/>
                <w:b/>
                <w:bCs/>
                <w:highlight w:val="none"/>
              </w:rPr>
              <w:t>企业资质</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40CA02D7">
            <w:pPr>
              <w:shd w:val="clear" w:color="auto" w:fill="auto"/>
              <w:jc w:val="center"/>
              <w:rPr>
                <w:rFonts w:ascii="宋体" w:hAnsi="宋体" w:cs="宋体"/>
                <w:highlight w:val="none"/>
              </w:rPr>
            </w:pPr>
          </w:p>
        </w:tc>
      </w:tr>
      <w:tr w14:paraId="5349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6B74866F">
            <w:pPr>
              <w:shd w:val="clear" w:color="auto" w:fill="auto"/>
              <w:jc w:val="center"/>
              <w:rPr>
                <w:rFonts w:ascii="宋体" w:hAnsi="宋体" w:cs="宋体"/>
                <w:b/>
                <w:bCs/>
                <w:highlight w:val="none"/>
              </w:rPr>
            </w:pPr>
            <w:r>
              <w:rPr>
                <w:rFonts w:hint="eastAsia" w:ascii="宋体" w:hAnsi="宋体" w:cs="宋体"/>
                <w:b/>
                <w:bCs/>
                <w:highlight w:val="none"/>
              </w:rPr>
              <w:t>法定代表人</w:t>
            </w:r>
          </w:p>
        </w:tc>
        <w:tc>
          <w:tcPr>
            <w:tcW w:w="2911" w:type="dxa"/>
            <w:tcBorders>
              <w:top w:val="single" w:color="auto" w:sz="6" w:space="0"/>
              <w:left w:val="single" w:color="auto" w:sz="6" w:space="0"/>
              <w:bottom w:val="single" w:color="auto" w:sz="6" w:space="0"/>
              <w:right w:val="single" w:color="auto" w:sz="6" w:space="0"/>
            </w:tcBorders>
            <w:vAlign w:val="center"/>
          </w:tcPr>
          <w:p w14:paraId="5856CA97">
            <w:pPr>
              <w:shd w:val="clear" w:color="auto" w:fill="auto"/>
              <w:jc w:val="center"/>
              <w:rPr>
                <w:rFonts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524BCA6F">
            <w:pPr>
              <w:shd w:val="clear" w:color="auto" w:fill="auto"/>
              <w:jc w:val="center"/>
              <w:rPr>
                <w:rFonts w:ascii="宋体" w:hAnsi="宋体" w:cs="宋体"/>
                <w:b/>
                <w:bCs/>
                <w:highlight w:val="none"/>
              </w:rPr>
            </w:pPr>
            <w:r>
              <w:rPr>
                <w:rFonts w:hint="eastAsia" w:ascii="宋体" w:hAnsi="宋体" w:cs="宋体"/>
                <w:b/>
                <w:bCs/>
                <w:highlight w:val="none"/>
              </w:rPr>
              <w:t>项目负责人</w:t>
            </w:r>
          </w:p>
        </w:tc>
        <w:tc>
          <w:tcPr>
            <w:tcW w:w="2048" w:type="dxa"/>
            <w:tcBorders>
              <w:top w:val="single" w:color="auto" w:sz="6" w:space="0"/>
              <w:left w:val="single" w:color="auto" w:sz="6" w:space="0"/>
              <w:bottom w:val="single" w:color="auto" w:sz="6" w:space="0"/>
              <w:right w:val="single" w:color="auto" w:sz="4" w:space="0"/>
            </w:tcBorders>
            <w:vAlign w:val="center"/>
          </w:tcPr>
          <w:p w14:paraId="68D86854">
            <w:pPr>
              <w:shd w:val="clear" w:color="auto" w:fill="auto"/>
              <w:jc w:val="center"/>
              <w:rPr>
                <w:rFonts w:ascii="宋体" w:hAnsi="宋体" w:cs="宋体"/>
                <w:highlight w:val="none"/>
              </w:rPr>
            </w:pPr>
          </w:p>
        </w:tc>
      </w:tr>
      <w:tr w14:paraId="7A12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195" w:type="dxa"/>
            <w:tcBorders>
              <w:top w:val="single" w:color="auto" w:sz="6" w:space="0"/>
              <w:left w:val="single" w:color="auto" w:sz="4" w:space="0"/>
              <w:right w:val="single" w:color="auto" w:sz="6" w:space="0"/>
            </w:tcBorders>
            <w:vAlign w:val="center"/>
          </w:tcPr>
          <w:p w14:paraId="583ED5C8">
            <w:pPr>
              <w:shd w:val="clear" w:color="auto" w:fill="auto"/>
              <w:jc w:val="center"/>
              <w:rPr>
                <w:rFonts w:ascii="宋体" w:hAnsi="宋体" w:cs="宋体"/>
                <w:b/>
                <w:bCs/>
                <w:highlight w:val="none"/>
              </w:rPr>
            </w:pPr>
            <w:r>
              <w:rPr>
                <w:rFonts w:hint="eastAsia" w:ascii="宋体" w:hAnsi="宋体" w:cs="宋体"/>
                <w:b/>
                <w:bCs/>
                <w:highlight w:val="none"/>
              </w:rPr>
              <w:t>职工人数</w:t>
            </w:r>
          </w:p>
        </w:tc>
        <w:tc>
          <w:tcPr>
            <w:tcW w:w="2911" w:type="dxa"/>
            <w:tcBorders>
              <w:top w:val="single" w:color="auto" w:sz="6" w:space="0"/>
              <w:left w:val="single" w:color="auto" w:sz="6" w:space="0"/>
              <w:right w:val="single" w:color="auto" w:sz="4" w:space="0"/>
            </w:tcBorders>
            <w:vAlign w:val="center"/>
          </w:tcPr>
          <w:p w14:paraId="1DA0F249">
            <w:pPr>
              <w:shd w:val="clear" w:color="auto" w:fill="auto"/>
              <w:jc w:val="center"/>
              <w:rPr>
                <w:rFonts w:ascii="宋体" w:hAnsi="宋体" w:cs="宋体"/>
                <w:highlight w:val="none"/>
              </w:rPr>
            </w:pPr>
          </w:p>
        </w:tc>
        <w:tc>
          <w:tcPr>
            <w:tcW w:w="1459" w:type="dxa"/>
            <w:tcBorders>
              <w:top w:val="single" w:color="auto" w:sz="6" w:space="0"/>
              <w:left w:val="single" w:color="auto" w:sz="6" w:space="0"/>
              <w:right w:val="single" w:color="auto" w:sz="4" w:space="0"/>
            </w:tcBorders>
            <w:vAlign w:val="center"/>
          </w:tcPr>
          <w:p w14:paraId="3E4FBA2B">
            <w:pPr>
              <w:shd w:val="clear" w:color="auto" w:fill="auto"/>
              <w:jc w:val="center"/>
              <w:rPr>
                <w:rFonts w:ascii="宋体" w:hAnsi="宋体" w:cs="宋体"/>
                <w:b/>
                <w:bCs/>
                <w:highlight w:val="none"/>
              </w:rPr>
            </w:pPr>
            <w:r>
              <w:rPr>
                <w:rFonts w:hint="eastAsia" w:ascii="宋体" w:hAnsi="宋体" w:cs="宋体"/>
                <w:b/>
                <w:bCs/>
                <w:highlight w:val="none"/>
              </w:rPr>
              <w:t>管理人员</w:t>
            </w:r>
          </w:p>
        </w:tc>
        <w:tc>
          <w:tcPr>
            <w:tcW w:w="2048" w:type="dxa"/>
            <w:tcBorders>
              <w:top w:val="single" w:color="auto" w:sz="6" w:space="0"/>
              <w:left w:val="single" w:color="auto" w:sz="6" w:space="0"/>
              <w:bottom w:val="single" w:color="auto" w:sz="6" w:space="0"/>
              <w:right w:val="single" w:color="auto" w:sz="4" w:space="0"/>
            </w:tcBorders>
            <w:vAlign w:val="center"/>
          </w:tcPr>
          <w:p w14:paraId="22D586CB">
            <w:pPr>
              <w:shd w:val="clear" w:color="auto" w:fill="auto"/>
              <w:jc w:val="center"/>
              <w:rPr>
                <w:rFonts w:ascii="宋体" w:hAnsi="宋体" w:cs="宋体"/>
                <w:highlight w:val="none"/>
              </w:rPr>
            </w:pPr>
          </w:p>
        </w:tc>
      </w:tr>
      <w:tr w14:paraId="60D1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7F5A69C7">
            <w:pPr>
              <w:shd w:val="clear" w:color="auto" w:fill="auto"/>
              <w:jc w:val="center"/>
              <w:rPr>
                <w:rFonts w:ascii="宋体" w:hAnsi="宋体" w:cs="宋体"/>
                <w:b/>
                <w:bCs/>
                <w:highlight w:val="none"/>
              </w:rPr>
            </w:pPr>
            <w:r>
              <w:rPr>
                <w:rFonts w:hint="eastAsia" w:ascii="宋体" w:hAnsi="宋体" w:cs="宋体"/>
                <w:b/>
                <w:bCs/>
                <w:highlight w:val="none"/>
              </w:rPr>
              <w:t>授权委托代理人</w:t>
            </w:r>
          </w:p>
        </w:tc>
        <w:tc>
          <w:tcPr>
            <w:tcW w:w="2911" w:type="dxa"/>
            <w:tcBorders>
              <w:top w:val="single" w:color="auto" w:sz="6" w:space="0"/>
              <w:left w:val="single" w:color="auto" w:sz="6" w:space="0"/>
              <w:bottom w:val="single" w:color="auto" w:sz="6" w:space="0"/>
              <w:right w:val="single" w:color="auto" w:sz="6" w:space="0"/>
            </w:tcBorders>
            <w:vAlign w:val="center"/>
          </w:tcPr>
          <w:p w14:paraId="62357658">
            <w:pPr>
              <w:shd w:val="clear" w:color="auto" w:fill="auto"/>
              <w:jc w:val="center"/>
              <w:rPr>
                <w:rFonts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69FE2FB7">
            <w:pPr>
              <w:shd w:val="clear" w:color="auto" w:fill="auto"/>
              <w:jc w:val="center"/>
              <w:rPr>
                <w:rFonts w:ascii="宋体" w:hAnsi="宋体" w:cs="宋体"/>
                <w:b/>
                <w:bCs/>
                <w:highlight w:val="none"/>
              </w:rPr>
            </w:pPr>
            <w:r>
              <w:rPr>
                <w:rFonts w:hint="eastAsia" w:ascii="宋体" w:hAnsi="宋体" w:cs="宋体"/>
                <w:b/>
                <w:bCs/>
                <w:highlight w:val="none"/>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48873022">
            <w:pPr>
              <w:shd w:val="clear" w:color="auto" w:fill="auto"/>
              <w:jc w:val="center"/>
              <w:rPr>
                <w:rFonts w:ascii="宋体" w:hAnsi="宋体" w:cs="宋体"/>
                <w:highlight w:val="none"/>
              </w:rPr>
            </w:pPr>
          </w:p>
        </w:tc>
      </w:tr>
      <w:tr w14:paraId="360A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C1CE4BF">
            <w:pPr>
              <w:shd w:val="clear" w:color="auto" w:fill="auto"/>
              <w:jc w:val="center"/>
              <w:rPr>
                <w:rFonts w:ascii="宋体" w:hAnsi="宋体" w:cs="宋体"/>
                <w:b/>
                <w:bCs/>
                <w:highlight w:val="none"/>
              </w:rPr>
            </w:pPr>
            <w:r>
              <w:rPr>
                <w:rFonts w:hint="eastAsia" w:ascii="宋体" w:hAnsi="宋体" w:cs="宋体"/>
                <w:b/>
                <w:bCs/>
                <w:highlight w:val="none"/>
              </w:rPr>
              <w:t>驻瑞分支机构（如有）</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64D8E336">
            <w:pPr>
              <w:shd w:val="clear" w:color="auto" w:fill="auto"/>
              <w:jc w:val="center"/>
              <w:rPr>
                <w:rFonts w:ascii="宋体" w:hAnsi="宋体" w:cs="宋体"/>
                <w:highlight w:val="none"/>
              </w:rPr>
            </w:pPr>
          </w:p>
        </w:tc>
      </w:tr>
      <w:tr w14:paraId="7935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2B4D5A59">
            <w:pPr>
              <w:shd w:val="clear" w:color="auto" w:fill="auto"/>
              <w:jc w:val="center"/>
              <w:rPr>
                <w:rFonts w:ascii="宋体" w:hAnsi="宋体" w:cs="宋体"/>
                <w:b/>
                <w:bCs/>
                <w:highlight w:val="none"/>
              </w:rPr>
            </w:pPr>
            <w:r>
              <w:rPr>
                <w:rFonts w:hint="eastAsia" w:ascii="宋体" w:hAnsi="宋体" w:cs="宋体"/>
                <w:b/>
                <w:bCs/>
                <w:highlight w:val="none"/>
              </w:rPr>
              <w:t>驻瑞负责人</w:t>
            </w:r>
          </w:p>
        </w:tc>
        <w:tc>
          <w:tcPr>
            <w:tcW w:w="2911" w:type="dxa"/>
            <w:tcBorders>
              <w:top w:val="single" w:color="auto" w:sz="6" w:space="0"/>
              <w:left w:val="single" w:color="auto" w:sz="6" w:space="0"/>
              <w:bottom w:val="single" w:color="auto" w:sz="6" w:space="0"/>
              <w:right w:val="single" w:color="auto" w:sz="6" w:space="0"/>
            </w:tcBorders>
            <w:vAlign w:val="center"/>
          </w:tcPr>
          <w:p w14:paraId="6BC4F07B">
            <w:pPr>
              <w:shd w:val="clear" w:color="auto" w:fill="auto"/>
              <w:jc w:val="center"/>
              <w:rPr>
                <w:rFonts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77A41230">
            <w:pPr>
              <w:shd w:val="clear" w:color="auto" w:fill="auto"/>
              <w:jc w:val="center"/>
              <w:rPr>
                <w:rFonts w:ascii="宋体" w:hAnsi="宋体" w:cs="宋体"/>
                <w:highlight w:val="none"/>
              </w:rPr>
            </w:pPr>
            <w:r>
              <w:rPr>
                <w:rFonts w:hint="eastAsia" w:ascii="宋体" w:hAnsi="宋体" w:cs="宋体"/>
                <w:b/>
                <w:bCs/>
                <w:highlight w:val="none"/>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3E6C9530">
            <w:pPr>
              <w:shd w:val="clear" w:color="auto" w:fill="auto"/>
              <w:jc w:val="center"/>
              <w:rPr>
                <w:rFonts w:ascii="宋体" w:hAnsi="宋体" w:cs="宋体"/>
                <w:highlight w:val="none"/>
              </w:rPr>
            </w:pPr>
          </w:p>
        </w:tc>
      </w:tr>
      <w:tr w14:paraId="25F9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BF23B74">
            <w:pPr>
              <w:shd w:val="clear" w:color="auto" w:fill="auto"/>
              <w:jc w:val="center"/>
              <w:rPr>
                <w:rFonts w:ascii="宋体" w:hAnsi="宋体" w:cs="宋体"/>
                <w:b/>
                <w:bCs/>
                <w:highlight w:val="none"/>
              </w:rPr>
            </w:pPr>
            <w:r>
              <w:rPr>
                <w:rFonts w:hint="eastAsia" w:ascii="宋体" w:hAnsi="宋体" w:cs="宋体"/>
                <w:b/>
                <w:bCs/>
                <w:highlight w:val="none"/>
              </w:rPr>
              <w:t>企业概况</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5FCD110A">
            <w:pPr>
              <w:shd w:val="clear" w:color="auto" w:fill="auto"/>
              <w:rPr>
                <w:rFonts w:ascii="宋体" w:hAnsi="宋体" w:cs="宋体"/>
                <w:highlight w:val="none"/>
              </w:rPr>
            </w:pPr>
            <w:r>
              <w:rPr>
                <w:rFonts w:hint="eastAsia" w:ascii="宋体" w:hAnsi="宋体" w:cs="宋体"/>
                <w:highlight w:val="none"/>
              </w:rPr>
              <w:t xml:space="preserve">                      </w:t>
            </w:r>
          </w:p>
          <w:p w14:paraId="62B0254B">
            <w:pPr>
              <w:shd w:val="clear" w:color="auto" w:fill="auto"/>
              <w:jc w:val="center"/>
              <w:rPr>
                <w:rFonts w:ascii="宋体" w:hAnsi="宋体" w:cs="宋体"/>
                <w:highlight w:val="none"/>
              </w:rPr>
            </w:pPr>
            <w:r>
              <w:rPr>
                <w:rFonts w:hint="eastAsia" w:ascii="宋体" w:hAnsi="宋体" w:cs="宋体"/>
                <w:highlight w:val="none"/>
              </w:rPr>
              <w:t xml:space="preserve">                     ：</w:t>
            </w:r>
          </w:p>
        </w:tc>
      </w:tr>
      <w:tr w14:paraId="5360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8613" w:type="dxa"/>
            <w:gridSpan w:val="4"/>
            <w:tcBorders>
              <w:top w:val="single" w:color="auto" w:sz="6" w:space="0"/>
              <w:left w:val="single" w:color="auto" w:sz="4" w:space="0"/>
              <w:bottom w:val="single" w:color="auto" w:sz="4" w:space="0"/>
              <w:right w:val="single" w:color="auto" w:sz="4" w:space="0"/>
            </w:tcBorders>
            <w:vAlign w:val="top"/>
          </w:tcPr>
          <w:p w14:paraId="60F25BB9">
            <w:pPr>
              <w:shd w:val="clear" w:color="auto" w:fill="auto"/>
              <w:spacing w:line="360" w:lineRule="auto"/>
              <w:rPr>
                <w:rFonts w:hint="eastAsia" w:ascii="宋体" w:hAnsi="宋体" w:cs="宋体"/>
                <w:b/>
                <w:bCs/>
                <w:highlight w:val="none"/>
              </w:rPr>
            </w:pPr>
          </w:p>
          <w:p w14:paraId="46D7ECA3">
            <w:pPr>
              <w:shd w:val="clear" w:color="auto" w:fill="auto"/>
              <w:spacing w:line="360" w:lineRule="auto"/>
              <w:rPr>
                <w:rFonts w:ascii="宋体" w:hAnsi="宋体" w:cs="宋体"/>
                <w:b/>
                <w:bCs/>
                <w:highlight w:val="none"/>
              </w:rPr>
            </w:pPr>
            <w:r>
              <w:rPr>
                <w:rFonts w:hint="eastAsia" w:ascii="宋体" w:hAnsi="宋体" w:cs="宋体"/>
                <w:b/>
                <w:bCs/>
                <w:highlight w:val="none"/>
              </w:rPr>
              <w:t>上述表格填写均已经过核对，确信没有疏漏或差错。</w:t>
            </w:r>
          </w:p>
          <w:p w14:paraId="636D8FC1">
            <w:pPr>
              <w:shd w:val="clear" w:color="auto" w:fill="auto"/>
              <w:rPr>
                <w:rFonts w:ascii="宋体" w:hAnsi="宋体" w:cs="宋体"/>
                <w:highlight w:val="none"/>
              </w:rPr>
            </w:pPr>
          </w:p>
          <w:p w14:paraId="583A66E2">
            <w:pPr>
              <w:shd w:val="clear" w:color="auto" w:fill="auto"/>
              <w:ind w:firstLine="6090" w:firstLineChars="2900"/>
              <w:rPr>
                <w:rFonts w:ascii="宋体" w:hAnsi="宋体" w:cs="宋体"/>
                <w:highlight w:val="none"/>
              </w:rPr>
            </w:pPr>
          </w:p>
          <w:p w14:paraId="1EFCEBB5">
            <w:pPr>
              <w:shd w:val="clear" w:color="auto" w:fill="auto"/>
              <w:spacing w:before="312" w:beforeLines="100" w:after="312" w:afterLines="100" w:line="400" w:lineRule="atLeast"/>
              <w:jc w:val="right"/>
              <w:rPr>
                <w:rFonts w:ascii="宋体" w:hAnsi="宋体"/>
                <w:szCs w:val="21"/>
                <w:highlight w:val="none"/>
              </w:rPr>
            </w:pPr>
            <w:r>
              <w:rPr>
                <w:rFonts w:hint="eastAsia" w:ascii="宋体" w:hAnsi="宋体"/>
                <w:szCs w:val="21"/>
                <w:highlight w:val="none"/>
              </w:rPr>
              <w:t>磋商供应商全称（盖电子签章）：</w:t>
            </w:r>
          </w:p>
          <w:p w14:paraId="09AF5972">
            <w:pPr>
              <w:shd w:val="clear" w:color="auto" w:fill="auto"/>
              <w:ind w:firstLine="6720" w:firstLineChars="3200"/>
              <w:jc w:val="right"/>
              <w:rPr>
                <w:rFonts w:hint="eastAsia" w:ascii="宋体" w:hAnsi="宋体"/>
                <w:szCs w:val="21"/>
                <w:highlight w:val="none"/>
              </w:rPr>
            </w:pPr>
            <w:r>
              <w:rPr>
                <w:rFonts w:hint="eastAsia" w:ascii="宋体" w:hAnsi="宋体"/>
                <w:szCs w:val="21"/>
                <w:highlight w:val="none"/>
              </w:rPr>
              <w:t xml:space="preserve">                                          </w:t>
            </w:r>
          </w:p>
          <w:p w14:paraId="4B0BD58F">
            <w:pPr>
              <w:shd w:val="clear" w:color="auto" w:fill="auto"/>
              <w:jc w:val="center"/>
              <w:rPr>
                <w:rFonts w:ascii="宋体" w:hAnsi="宋体" w:cs="宋体"/>
                <w:highlight w:val="none"/>
              </w:rPr>
            </w:pPr>
            <w:r>
              <w:rPr>
                <w:rFonts w:hint="eastAsia" w:ascii="宋体" w:hAnsi="宋体"/>
                <w:szCs w:val="21"/>
                <w:highlight w:val="none"/>
                <w:lang w:val="en-US" w:eastAsia="zh-CN"/>
              </w:rPr>
              <w:t xml:space="preserve">                                             </w:t>
            </w:r>
            <w:r>
              <w:rPr>
                <w:rFonts w:hint="eastAsia" w:ascii="宋体" w:hAnsi="宋体"/>
                <w:szCs w:val="21"/>
                <w:highlight w:val="none"/>
              </w:rPr>
              <w:t>日</w:t>
            </w:r>
            <w:r>
              <w:rPr>
                <w:rFonts w:hint="eastAsia" w:ascii="宋体" w:hAnsi="宋体"/>
                <w:szCs w:val="21"/>
                <w:highlight w:val="none"/>
                <w:lang w:val="en-US" w:eastAsia="zh-CN"/>
              </w:rPr>
              <w:t xml:space="preserve">  </w:t>
            </w:r>
            <w:r>
              <w:rPr>
                <w:rFonts w:hint="eastAsia" w:ascii="宋体" w:hAnsi="宋体"/>
                <w:szCs w:val="21"/>
                <w:highlight w:val="none"/>
              </w:rPr>
              <w:t>期：    年   月    日</w:t>
            </w:r>
          </w:p>
        </w:tc>
      </w:tr>
    </w:tbl>
    <w:p w14:paraId="602AB68B">
      <w:pPr>
        <w:rPr>
          <w:sz w:val="21"/>
          <w:szCs w:val="21"/>
          <w:highlight w:val="none"/>
        </w:rPr>
      </w:pPr>
    </w:p>
    <w:p w14:paraId="6AD8B344">
      <w:pPr>
        <w:jc w:val="center"/>
        <w:outlineLvl w:val="9"/>
        <w:rPr>
          <w:rFonts w:hint="eastAsia" w:ascii="宋体" w:hAnsi="宋体" w:eastAsia="宋体" w:cs="宋体"/>
          <w:b/>
          <w:bCs/>
          <w:sz w:val="28"/>
          <w:szCs w:val="28"/>
          <w:highlight w:val="none"/>
        </w:rPr>
      </w:pPr>
    </w:p>
    <w:p w14:paraId="6977B520">
      <w:pPr>
        <w:pStyle w:val="9"/>
        <w:rPr>
          <w:rFonts w:hint="eastAsia" w:ascii="宋体" w:hAnsi="宋体" w:eastAsia="宋体" w:cs="宋体"/>
          <w:b/>
          <w:bCs/>
          <w:sz w:val="28"/>
          <w:szCs w:val="28"/>
          <w:highlight w:val="none"/>
        </w:rPr>
      </w:pPr>
    </w:p>
    <w:p w14:paraId="4EEC0BFE">
      <w:pPr>
        <w:pStyle w:val="9"/>
        <w:ind w:left="0" w:leftChars="0" w:firstLine="0" w:firstLineChars="0"/>
        <w:rPr>
          <w:rFonts w:hint="eastAsia"/>
          <w:highlight w:val="none"/>
        </w:rPr>
      </w:pPr>
    </w:p>
    <w:p w14:paraId="083C78D9">
      <w:pPr>
        <w:pStyle w:val="9"/>
        <w:ind w:left="0" w:leftChars="0" w:firstLine="0" w:firstLineChars="0"/>
        <w:rPr>
          <w:rFonts w:hint="eastAsia"/>
          <w:highlight w:val="none"/>
        </w:rPr>
      </w:pPr>
    </w:p>
    <w:p w14:paraId="0D4F0049">
      <w:pPr>
        <w:jc w:val="center"/>
        <w:outlineLvl w:val="1"/>
        <w:rPr>
          <w:rFonts w:ascii="宋体" w:hAnsi="宋体" w:eastAsia="宋体" w:cs="宋体"/>
          <w:b/>
          <w:bCs/>
          <w:sz w:val="28"/>
          <w:szCs w:val="28"/>
          <w:highlight w:val="none"/>
        </w:rPr>
      </w:pPr>
      <w:bookmarkStart w:id="416" w:name="_Toc18203"/>
      <w:bookmarkStart w:id="417" w:name="_Toc16911"/>
      <w:bookmarkStart w:id="418" w:name="_Toc28772"/>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 xml:space="preserve">    少量偏离表</w:t>
      </w:r>
      <w:bookmarkEnd w:id="416"/>
      <w:bookmarkEnd w:id="417"/>
      <w:bookmarkEnd w:id="418"/>
    </w:p>
    <w:p w14:paraId="3CC08D3A">
      <w:pPr>
        <w:pStyle w:val="7"/>
        <w:ind w:firstLine="400"/>
        <w:rPr>
          <w:rFonts w:ascii="宋体" w:hAnsi="宋体" w:eastAsia="宋体" w:cs="宋体"/>
          <w:highlight w:val="none"/>
        </w:rPr>
      </w:pPr>
    </w:p>
    <w:tbl>
      <w:tblPr>
        <w:tblStyle w:val="20"/>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035"/>
        <w:gridCol w:w="3268"/>
        <w:gridCol w:w="1282"/>
      </w:tblGrid>
      <w:tr w14:paraId="3AB88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11" w:type="dxa"/>
            <w:tcBorders>
              <w:top w:val="single" w:color="auto" w:sz="12" w:space="0"/>
              <w:bottom w:val="single" w:color="auto" w:sz="12" w:space="0"/>
            </w:tcBorders>
            <w:vAlign w:val="center"/>
          </w:tcPr>
          <w:p w14:paraId="509CA197">
            <w:pPr>
              <w:jc w:val="center"/>
              <w:rPr>
                <w:rFonts w:ascii="宋体" w:hAnsi="宋体" w:eastAsia="宋体" w:cs="宋体"/>
                <w:b/>
                <w:bCs/>
                <w:highlight w:val="none"/>
              </w:rPr>
            </w:pPr>
            <w:r>
              <w:rPr>
                <w:rFonts w:hint="eastAsia" w:ascii="宋体" w:hAnsi="宋体" w:eastAsia="宋体" w:cs="宋体"/>
                <w:b/>
                <w:bCs/>
                <w:highlight w:val="none"/>
              </w:rPr>
              <w:t>序号</w:t>
            </w:r>
          </w:p>
        </w:tc>
        <w:tc>
          <w:tcPr>
            <w:tcW w:w="3035" w:type="dxa"/>
            <w:tcBorders>
              <w:top w:val="single" w:color="auto" w:sz="12" w:space="0"/>
              <w:bottom w:val="single" w:color="auto" w:sz="12" w:space="0"/>
            </w:tcBorders>
            <w:vAlign w:val="center"/>
          </w:tcPr>
          <w:p w14:paraId="7EFCDBC1">
            <w:pPr>
              <w:jc w:val="center"/>
              <w:rPr>
                <w:rFonts w:ascii="宋体" w:hAnsi="宋体" w:eastAsia="宋体" w:cs="宋体"/>
                <w:b/>
                <w:bCs/>
                <w:highlight w:val="none"/>
              </w:rPr>
            </w:pPr>
            <w:r>
              <w:rPr>
                <w:rFonts w:hint="eastAsia" w:ascii="宋体" w:hAnsi="宋体" w:eastAsia="宋体" w:cs="宋体"/>
                <w:b/>
                <w:bCs/>
                <w:highlight w:val="none"/>
              </w:rPr>
              <w:t>磋商文件重述</w:t>
            </w:r>
          </w:p>
        </w:tc>
        <w:tc>
          <w:tcPr>
            <w:tcW w:w="3268" w:type="dxa"/>
            <w:tcBorders>
              <w:top w:val="single" w:color="auto" w:sz="12" w:space="0"/>
              <w:bottom w:val="single" w:color="auto" w:sz="12" w:space="0"/>
            </w:tcBorders>
            <w:vAlign w:val="center"/>
          </w:tcPr>
          <w:p w14:paraId="7ACEBD33">
            <w:pPr>
              <w:jc w:val="center"/>
              <w:rPr>
                <w:rFonts w:ascii="宋体" w:hAnsi="宋体" w:eastAsia="宋体" w:cs="宋体"/>
                <w:b/>
                <w:bCs/>
                <w:highlight w:val="none"/>
              </w:rPr>
            </w:pPr>
            <w:r>
              <w:rPr>
                <w:rFonts w:hint="eastAsia" w:ascii="宋体" w:hAnsi="宋体" w:eastAsia="宋体" w:cs="宋体"/>
                <w:b/>
                <w:bCs/>
                <w:highlight w:val="none"/>
                <w:lang w:val="en-US" w:eastAsia="zh-CN"/>
              </w:rPr>
              <w:t>对应</w:t>
            </w:r>
            <w:r>
              <w:rPr>
                <w:rFonts w:hint="eastAsia" w:ascii="宋体" w:hAnsi="宋体" w:eastAsia="宋体" w:cs="宋体"/>
                <w:b/>
                <w:bCs/>
                <w:highlight w:val="none"/>
              </w:rPr>
              <w:t>磋商响应文件偏离</w:t>
            </w:r>
          </w:p>
        </w:tc>
        <w:tc>
          <w:tcPr>
            <w:tcW w:w="1282" w:type="dxa"/>
            <w:tcBorders>
              <w:top w:val="single" w:color="auto" w:sz="12" w:space="0"/>
              <w:bottom w:val="single" w:color="auto" w:sz="12" w:space="0"/>
            </w:tcBorders>
            <w:vAlign w:val="center"/>
          </w:tcPr>
          <w:p w14:paraId="7F7E2D0B">
            <w:pPr>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偏离情况</w:t>
            </w:r>
          </w:p>
        </w:tc>
      </w:tr>
      <w:tr w14:paraId="2AEBD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911" w:type="dxa"/>
            <w:tcBorders>
              <w:top w:val="single" w:color="auto" w:sz="12" w:space="0"/>
            </w:tcBorders>
          </w:tcPr>
          <w:p w14:paraId="5C00BFA3">
            <w:pPr>
              <w:ind w:firstLine="592"/>
              <w:rPr>
                <w:rFonts w:ascii="宋体" w:hAnsi="宋体" w:eastAsia="宋体" w:cs="宋体"/>
                <w:highlight w:val="none"/>
              </w:rPr>
            </w:pPr>
          </w:p>
        </w:tc>
        <w:tc>
          <w:tcPr>
            <w:tcW w:w="3035" w:type="dxa"/>
            <w:tcBorders>
              <w:top w:val="single" w:color="auto" w:sz="12" w:space="0"/>
            </w:tcBorders>
          </w:tcPr>
          <w:p w14:paraId="0691B82C">
            <w:pPr>
              <w:ind w:firstLine="592"/>
              <w:rPr>
                <w:rFonts w:ascii="宋体" w:hAnsi="宋体" w:eastAsia="宋体" w:cs="宋体"/>
                <w:highlight w:val="none"/>
              </w:rPr>
            </w:pPr>
          </w:p>
        </w:tc>
        <w:tc>
          <w:tcPr>
            <w:tcW w:w="3268" w:type="dxa"/>
            <w:tcBorders>
              <w:top w:val="single" w:color="auto" w:sz="12" w:space="0"/>
            </w:tcBorders>
          </w:tcPr>
          <w:p w14:paraId="799A8F15">
            <w:pPr>
              <w:ind w:firstLine="592"/>
              <w:rPr>
                <w:rFonts w:ascii="宋体" w:hAnsi="宋体" w:eastAsia="宋体" w:cs="宋体"/>
                <w:highlight w:val="none"/>
              </w:rPr>
            </w:pPr>
          </w:p>
        </w:tc>
        <w:tc>
          <w:tcPr>
            <w:tcW w:w="1282" w:type="dxa"/>
            <w:tcBorders>
              <w:top w:val="single" w:color="auto" w:sz="12" w:space="0"/>
            </w:tcBorders>
          </w:tcPr>
          <w:p w14:paraId="57C0AA5A">
            <w:pPr>
              <w:ind w:firstLine="592"/>
              <w:rPr>
                <w:rFonts w:ascii="宋体" w:hAnsi="宋体" w:eastAsia="宋体" w:cs="宋体"/>
                <w:highlight w:val="none"/>
              </w:rPr>
            </w:pPr>
          </w:p>
        </w:tc>
      </w:tr>
    </w:tbl>
    <w:p w14:paraId="6548A182">
      <w:pPr>
        <w:pStyle w:val="15"/>
        <w:tabs>
          <w:tab w:val="left" w:pos="945"/>
        </w:tabs>
        <w:rPr>
          <w:rFonts w:hint="eastAsia" w:eastAsia="宋体" w:cs="宋体"/>
          <w:highlight w:val="none"/>
        </w:rPr>
      </w:pPr>
    </w:p>
    <w:p w14:paraId="057014E2">
      <w:pPr>
        <w:pStyle w:val="15"/>
        <w:tabs>
          <w:tab w:val="left" w:pos="945"/>
        </w:tabs>
        <w:rPr>
          <w:rFonts w:eastAsia="宋体" w:cs="宋体"/>
          <w:highlight w:val="none"/>
        </w:rPr>
      </w:pPr>
      <w:r>
        <w:rPr>
          <w:rFonts w:hint="eastAsia" w:eastAsia="宋体" w:cs="宋体"/>
          <w:highlight w:val="none"/>
        </w:rPr>
        <w:t>注：如不填写，则视为完全响应磋商文件的技术及商务要求。</w:t>
      </w:r>
    </w:p>
    <w:p w14:paraId="617F8C0D">
      <w:pPr>
        <w:spacing w:after="156" w:afterLines="50" w:line="400" w:lineRule="exact"/>
        <w:ind w:firstLine="4412" w:firstLineChars="2101"/>
        <w:rPr>
          <w:rFonts w:ascii="宋体" w:hAnsi="宋体" w:eastAsia="宋体" w:cs="宋体"/>
          <w:szCs w:val="21"/>
          <w:highlight w:val="none"/>
        </w:rPr>
      </w:pPr>
    </w:p>
    <w:p w14:paraId="673EF52B">
      <w:pPr>
        <w:spacing w:after="156" w:afterLines="50" w:line="400" w:lineRule="exact"/>
        <w:ind w:firstLine="4412" w:firstLineChars="2101"/>
        <w:rPr>
          <w:rFonts w:ascii="宋体" w:hAnsi="宋体" w:eastAsia="宋体" w:cs="宋体"/>
          <w:szCs w:val="21"/>
          <w:highlight w:val="none"/>
        </w:rPr>
      </w:pPr>
    </w:p>
    <w:p w14:paraId="12547F17">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磋商供应商全称（</w:t>
      </w:r>
      <w:r>
        <w:rPr>
          <w:rFonts w:hint="eastAsia" w:ascii="宋体" w:hAnsi="宋体" w:eastAsia="宋体" w:cs="宋体"/>
          <w:highlight w:val="none"/>
        </w:rPr>
        <w:t>盖电子签章</w:t>
      </w:r>
      <w:r>
        <w:rPr>
          <w:rFonts w:hint="eastAsia" w:ascii="宋体" w:hAnsi="宋体" w:eastAsia="宋体" w:cs="宋体"/>
          <w:szCs w:val="21"/>
          <w:highlight w:val="none"/>
        </w:rPr>
        <w:t>）：</w:t>
      </w:r>
    </w:p>
    <w:p w14:paraId="04088060">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65C988AB">
      <w:pPr>
        <w:bidi w:val="0"/>
        <w:ind w:firstLine="4620" w:firstLineChars="2200"/>
        <w:rPr>
          <w:rFonts w:hint="eastAsia"/>
          <w:highlight w:val="none"/>
          <w:lang w:val="en-US" w:eastAsia="zh-CN"/>
        </w:rPr>
      </w:pPr>
      <w:r>
        <w:rPr>
          <w:rFonts w:hint="eastAsia"/>
          <w:highlight w:val="none"/>
        </w:rPr>
        <w:t>日      期：    年   月     日</w:t>
      </w:r>
    </w:p>
    <w:p w14:paraId="62968D2B">
      <w:pPr>
        <w:rPr>
          <w:rFonts w:hint="eastAsia"/>
          <w:highlight w:val="none"/>
          <w:lang w:val="en-US" w:eastAsia="zh-CN"/>
        </w:rPr>
      </w:pPr>
    </w:p>
    <w:p w14:paraId="5EEA099D">
      <w:pPr>
        <w:pStyle w:val="3"/>
        <w:tabs>
          <w:tab w:val="left" w:pos="1152"/>
          <w:tab w:val="clear" w:pos="840"/>
        </w:tabs>
        <w:jc w:val="center"/>
        <w:outlineLvl w:val="1"/>
        <w:rPr>
          <w:rFonts w:hint="eastAsia"/>
          <w:highlight w:val="none"/>
          <w:lang w:val="en-US" w:eastAsia="zh-CN"/>
        </w:rPr>
      </w:pPr>
      <w:bookmarkStart w:id="419" w:name="_Toc18872"/>
      <w:bookmarkStart w:id="420" w:name="_Toc6757"/>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十</w:t>
      </w:r>
      <w:r>
        <w:rPr>
          <w:rFonts w:hint="eastAsia" w:ascii="宋体" w:hAnsi="宋体" w:eastAsia="宋体" w:cs="宋体"/>
          <w:b/>
          <w:bCs/>
          <w:sz w:val="28"/>
          <w:szCs w:val="28"/>
          <w:highlight w:val="none"/>
        </w:rPr>
        <w:t xml:space="preserve">    项目负责人简历表</w:t>
      </w:r>
      <w:bookmarkEnd w:id="419"/>
      <w:bookmarkEnd w:id="420"/>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534"/>
        <w:gridCol w:w="1503"/>
      </w:tblGrid>
      <w:tr w14:paraId="352B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0443580B">
            <w:pPr>
              <w:spacing w:line="36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rPr>
              <w:t>1、一般情况</w:t>
            </w:r>
          </w:p>
        </w:tc>
      </w:tr>
      <w:tr w14:paraId="68FE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A0D3320">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08E5A597">
            <w:pPr>
              <w:spacing w:line="360" w:lineRule="exact"/>
              <w:jc w:val="center"/>
              <w:rPr>
                <w:rFonts w:hint="eastAsia" w:asciiTheme="majorEastAsia" w:hAnsiTheme="majorEastAsia" w:eastAsiaTheme="majorEastAsia" w:cstheme="majorEastAsia"/>
                <w:sz w:val="21"/>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7E3EC8B6">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24996D98">
            <w:pPr>
              <w:spacing w:line="360" w:lineRule="exact"/>
              <w:jc w:val="center"/>
              <w:rPr>
                <w:rFonts w:hint="eastAsia" w:asciiTheme="majorEastAsia" w:hAnsiTheme="majorEastAsia" w:eastAsiaTheme="majorEastAsia" w:cstheme="majorEastAsia"/>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14:paraId="640A6A31">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学  历</w:t>
            </w:r>
          </w:p>
        </w:tc>
        <w:tc>
          <w:tcPr>
            <w:tcW w:w="1503" w:type="dxa"/>
            <w:tcBorders>
              <w:top w:val="single" w:color="auto" w:sz="4" w:space="0"/>
              <w:left w:val="single" w:color="auto" w:sz="4" w:space="0"/>
              <w:bottom w:val="single" w:color="auto" w:sz="4" w:space="0"/>
              <w:right w:val="single" w:color="auto" w:sz="12" w:space="0"/>
            </w:tcBorders>
            <w:vAlign w:val="center"/>
          </w:tcPr>
          <w:p w14:paraId="70B41B74">
            <w:pPr>
              <w:spacing w:line="360" w:lineRule="exact"/>
              <w:jc w:val="center"/>
              <w:rPr>
                <w:rFonts w:hint="eastAsia" w:asciiTheme="majorEastAsia" w:hAnsiTheme="majorEastAsia" w:eastAsiaTheme="majorEastAsia" w:cstheme="majorEastAsia"/>
                <w:sz w:val="21"/>
                <w:szCs w:val="21"/>
                <w:highlight w:val="none"/>
              </w:rPr>
            </w:pPr>
          </w:p>
        </w:tc>
      </w:tr>
      <w:tr w14:paraId="74CB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41F50C9E">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0F3716E9">
            <w:pPr>
              <w:spacing w:line="360" w:lineRule="exact"/>
              <w:rPr>
                <w:rFonts w:hint="eastAsia" w:asciiTheme="majorEastAsia" w:hAnsiTheme="majorEastAsia" w:eastAsiaTheme="majorEastAsia" w:cstheme="majorEastAsia"/>
                <w:sz w:val="21"/>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3743E3C3">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04BD02BB">
            <w:pPr>
              <w:spacing w:line="360" w:lineRule="exact"/>
              <w:jc w:val="center"/>
              <w:rPr>
                <w:rFonts w:hint="eastAsia" w:asciiTheme="majorEastAsia" w:hAnsiTheme="majorEastAsia" w:eastAsiaTheme="majorEastAsia" w:cstheme="majorEastAsia"/>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14:paraId="6A429320">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职  务</w:t>
            </w:r>
          </w:p>
        </w:tc>
        <w:tc>
          <w:tcPr>
            <w:tcW w:w="1503" w:type="dxa"/>
            <w:tcBorders>
              <w:top w:val="single" w:color="auto" w:sz="4" w:space="0"/>
              <w:left w:val="single" w:color="auto" w:sz="4" w:space="0"/>
              <w:bottom w:val="single" w:color="auto" w:sz="4" w:space="0"/>
              <w:right w:val="single" w:color="auto" w:sz="12" w:space="0"/>
            </w:tcBorders>
            <w:vAlign w:val="center"/>
          </w:tcPr>
          <w:p w14:paraId="35A1A885">
            <w:pPr>
              <w:spacing w:line="360" w:lineRule="exact"/>
              <w:jc w:val="center"/>
              <w:rPr>
                <w:rFonts w:hint="eastAsia" w:asciiTheme="majorEastAsia" w:hAnsiTheme="majorEastAsia" w:eastAsiaTheme="majorEastAsia" w:cstheme="majorEastAsia"/>
                <w:sz w:val="21"/>
                <w:szCs w:val="21"/>
                <w:highlight w:val="none"/>
              </w:rPr>
            </w:pPr>
          </w:p>
        </w:tc>
      </w:tr>
      <w:tr w14:paraId="315B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822C684">
            <w:pPr>
              <w:spacing w:line="2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职  称</w:t>
            </w:r>
          </w:p>
          <w:p w14:paraId="2AA3AD1E">
            <w:pPr>
              <w:spacing w:line="2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（或学位）</w:t>
            </w:r>
          </w:p>
        </w:tc>
        <w:tc>
          <w:tcPr>
            <w:tcW w:w="1822" w:type="dxa"/>
            <w:tcBorders>
              <w:top w:val="single" w:color="auto" w:sz="4" w:space="0"/>
              <w:left w:val="single" w:color="auto" w:sz="4" w:space="0"/>
              <w:bottom w:val="single" w:color="auto" w:sz="4" w:space="0"/>
              <w:right w:val="single" w:color="auto" w:sz="4" w:space="0"/>
            </w:tcBorders>
            <w:vAlign w:val="center"/>
          </w:tcPr>
          <w:p w14:paraId="6B69D74B">
            <w:pPr>
              <w:spacing w:line="360" w:lineRule="exact"/>
              <w:rPr>
                <w:rFonts w:hint="eastAsia" w:asciiTheme="majorEastAsia" w:hAnsiTheme="majorEastAsia" w:eastAsiaTheme="majorEastAsia" w:cstheme="majorEastAsia"/>
                <w:sz w:val="21"/>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03929F9F">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595A9D56">
            <w:pPr>
              <w:spacing w:line="360" w:lineRule="exact"/>
              <w:jc w:val="center"/>
              <w:rPr>
                <w:rFonts w:hint="eastAsia" w:asciiTheme="majorEastAsia" w:hAnsiTheme="majorEastAsia" w:eastAsiaTheme="majorEastAsia" w:cstheme="majorEastAsia"/>
                <w:sz w:val="21"/>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14:paraId="4FA6C6AB">
            <w:pPr>
              <w:spacing w:line="28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参加工作时间</w:t>
            </w:r>
          </w:p>
        </w:tc>
        <w:tc>
          <w:tcPr>
            <w:tcW w:w="1503" w:type="dxa"/>
            <w:tcBorders>
              <w:top w:val="single" w:color="auto" w:sz="4" w:space="0"/>
              <w:left w:val="single" w:color="auto" w:sz="4" w:space="0"/>
              <w:bottom w:val="single" w:color="auto" w:sz="4" w:space="0"/>
              <w:right w:val="single" w:color="auto" w:sz="12" w:space="0"/>
            </w:tcBorders>
            <w:vAlign w:val="center"/>
          </w:tcPr>
          <w:p w14:paraId="3B9410B3">
            <w:pPr>
              <w:spacing w:line="360" w:lineRule="exact"/>
              <w:jc w:val="center"/>
              <w:rPr>
                <w:rFonts w:hint="eastAsia" w:asciiTheme="majorEastAsia" w:hAnsiTheme="majorEastAsia" w:eastAsiaTheme="majorEastAsia" w:cstheme="majorEastAsia"/>
                <w:sz w:val="21"/>
                <w:szCs w:val="21"/>
                <w:highlight w:val="none"/>
              </w:rPr>
            </w:pPr>
          </w:p>
        </w:tc>
      </w:tr>
      <w:tr w14:paraId="7F39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229EE913">
            <w:pPr>
              <w:spacing w:line="36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rPr>
              <w:t>2、个人简历</w:t>
            </w:r>
          </w:p>
        </w:tc>
      </w:tr>
      <w:tr w14:paraId="167C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53EAF8FA">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1F044416">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专业工作经历</w:t>
            </w:r>
          </w:p>
        </w:tc>
      </w:tr>
      <w:tr w14:paraId="1374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FEF81E2">
            <w:pPr>
              <w:spacing w:line="360" w:lineRule="exact"/>
              <w:rPr>
                <w:rFonts w:hint="eastAsia" w:asciiTheme="majorEastAsia" w:hAnsiTheme="majorEastAsia" w:eastAsiaTheme="majorEastAsia" w:cstheme="majorEastAsia"/>
                <w:sz w:val="21"/>
                <w:szCs w:val="21"/>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607F19C6">
            <w:pPr>
              <w:spacing w:line="360" w:lineRule="exact"/>
              <w:rPr>
                <w:rFonts w:hint="eastAsia" w:asciiTheme="majorEastAsia" w:hAnsiTheme="majorEastAsia" w:eastAsiaTheme="majorEastAsia" w:cstheme="majorEastAsia"/>
                <w:sz w:val="21"/>
                <w:szCs w:val="21"/>
                <w:highlight w:val="none"/>
              </w:rPr>
            </w:pPr>
          </w:p>
        </w:tc>
      </w:tr>
      <w:tr w14:paraId="0AD8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46B74D39">
            <w:pPr>
              <w:spacing w:line="360" w:lineRule="exact"/>
              <w:rPr>
                <w:rFonts w:hint="eastAsia" w:asciiTheme="majorEastAsia" w:hAnsiTheme="majorEastAsia" w:eastAsiaTheme="majorEastAsia" w:cstheme="majorEastAsia"/>
                <w:sz w:val="21"/>
                <w:szCs w:val="21"/>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29557E43">
            <w:pPr>
              <w:spacing w:line="360" w:lineRule="exact"/>
              <w:rPr>
                <w:rFonts w:hint="eastAsia" w:asciiTheme="majorEastAsia" w:hAnsiTheme="majorEastAsia" w:eastAsiaTheme="majorEastAsia" w:cstheme="majorEastAsia"/>
                <w:sz w:val="21"/>
                <w:szCs w:val="21"/>
                <w:highlight w:val="none"/>
              </w:rPr>
            </w:pPr>
          </w:p>
        </w:tc>
      </w:tr>
      <w:tr w14:paraId="6E73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2D236867">
            <w:pPr>
              <w:spacing w:line="36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b/>
                <w:bCs/>
                <w:sz w:val="21"/>
                <w:szCs w:val="21"/>
                <w:highlight w:val="none"/>
              </w:rPr>
              <w:t>3、负责类似项目业绩</w:t>
            </w:r>
          </w:p>
        </w:tc>
      </w:tr>
      <w:tr w14:paraId="1F02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556E4C3">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03126598">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77DDDC42">
            <w:pPr>
              <w:spacing w:line="36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该项目中任何职</w:t>
            </w:r>
          </w:p>
        </w:tc>
      </w:tr>
      <w:tr w14:paraId="2082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28F021F">
            <w:pPr>
              <w:spacing w:line="360" w:lineRule="exact"/>
              <w:rPr>
                <w:rFonts w:hint="eastAsia" w:asciiTheme="majorEastAsia" w:hAnsiTheme="majorEastAsia" w:eastAsiaTheme="majorEastAsia" w:cstheme="majorEastAsia"/>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771820C">
            <w:pPr>
              <w:spacing w:line="360" w:lineRule="exact"/>
              <w:rPr>
                <w:rFonts w:hint="eastAsia" w:asciiTheme="majorEastAsia" w:hAnsiTheme="majorEastAsia" w:eastAsiaTheme="majorEastAsia" w:cstheme="majorEastAsia"/>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2B540CD">
            <w:pPr>
              <w:spacing w:line="360" w:lineRule="exact"/>
              <w:rPr>
                <w:rFonts w:hint="eastAsia" w:asciiTheme="majorEastAsia" w:hAnsiTheme="majorEastAsia" w:eastAsiaTheme="majorEastAsia" w:cstheme="majorEastAsia"/>
                <w:sz w:val="21"/>
                <w:szCs w:val="21"/>
                <w:highlight w:val="none"/>
              </w:rPr>
            </w:pPr>
          </w:p>
        </w:tc>
      </w:tr>
      <w:tr w14:paraId="184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3C77E15">
            <w:pPr>
              <w:spacing w:line="360" w:lineRule="exact"/>
              <w:rPr>
                <w:rFonts w:hint="eastAsia" w:asciiTheme="majorEastAsia" w:hAnsiTheme="majorEastAsia" w:eastAsiaTheme="majorEastAsia" w:cstheme="majorEastAsia"/>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EA108E9">
            <w:pPr>
              <w:spacing w:line="360" w:lineRule="exact"/>
              <w:rPr>
                <w:rFonts w:hint="eastAsia" w:asciiTheme="majorEastAsia" w:hAnsiTheme="majorEastAsia" w:eastAsiaTheme="majorEastAsia" w:cstheme="majorEastAsia"/>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936D099">
            <w:pPr>
              <w:spacing w:line="360" w:lineRule="exact"/>
              <w:rPr>
                <w:rFonts w:hint="eastAsia" w:asciiTheme="majorEastAsia" w:hAnsiTheme="majorEastAsia" w:eastAsiaTheme="majorEastAsia" w:cstheme="majorEastAsia"/>
                <w:sz w:val="21"/>
                <w:szCs w:val="21"/>
                <w:highlight w:val="none"/>
              </w:rPr>
            </w:pPr>
          </w:p>
        </w:tc>
      </w:tr>
      <w:tr w14:paraId="62FB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19409E37">
            <w:pPr>
              <w:spacing w:line="360" w:lineRule="exact"/>
              <w:rPr>
                <w:rFonts w:hint="eastAsia" w:asciiTheme="majorEastAsia" w:hAnsiTheme="majorEastAsia" w:eastAsiaTheme="majorEastAsia" w:cstheme="majorEastAsia"/>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FE04382">
            <w:pPr>
              <w:spacing w:line="360" w:lineRule="exact"/>
              <w:rPr>
                <w:rFonts w:hint="eastAsia" w:asciiTheme="majorEastAsia" w:hAnsiTheme="majorEastAsia" w:eastAsiaTheme="majorEastAsia" w:cstheme="majorEastAsia"/>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83C9292">
            <w:pPr>
              <w:spacing w:line="360" w:lineRule="exact"/>
              <w:rPr>
                <w:rFonts w:hint="eastAsia" w:asciiTheme="majorEastAsia" w:hAnsiTheme="majorEastAsia" w:eastAsiaTheme="majorEastAsia" w:cstheme="majorEastAsia"/>
                <w:sz w:val="21"/>
                <w:szCs w:val="21"/>
                <w:highlight w:val="none"/>
              </w:rPr>
            </w:pPr>
          </w:p>
        </w:tc>
      </w:tr>
      <w:tr w14:paraId="5CC1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040077FC">
            <w:pPr>
              <w:spacing w:line="360" w:lineRule="exact"/>
              <w:rPr>
                <w:rFonts w:hint="eastAsia" w:asciiTheme="majorEastAsia" w:hAnsiTheme="majorEastAsia" w:eastAsiaTheme="majorEastAsia" w:cstheme="majorEastAsia"/>
                <w:sz w:val="21"/>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3CFE808">
            <w:pPr>
              <w:spacing w:line="360" w:lineRule="exact"/>
              <w:rPr>
                <w:rFonts w:hint="eastAsia" w:asciiTheme="majorEastAsia" w:hAnsiTheme="majorEastAsia" w:eastAsiaTheme="majorEastAsia" w:cstheme="majorEastAsia"/>
                <w:sz w:val="21"/>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E2EA7B6">
            <w:pPr>
              <w:spacing w:line="360" w:lineRule="exact"/>
              <w:rPr>
                <w:rFonts w:hint="eastAsia" w:asciiTheme="majorEastAsia" w:hAnsiTheme="majorEastAsia" w:eastAsiaTheme="majorEastAsia" w:cstheme="majorEastAsia"/>
                <w:sz w:val="21"/>
                <w:szCs w:val="21"/>
                <w:highlight w:val="none"/>
              </w:rPr>
            </w:pPr>
          </w:p>
        </w:tc>
      </w:tr>
    </w:tbl>
    <w:p w14:paraId="391CCC33">
      <w:pPr>
        <w:spacing w:line="360" w:lineRule="auto"/>
        <w:rPr>
          <w:rFonts w:hint="eastAsia"/>
          <w:b/>
          <w:bCs/>
          <w:highlight w:val="none"/>
          <w:lang w:val="en-US" w:eastAsia="zh-CN"/>
        </w:rPr>
      </w:pPr>
      <w:r>
        <w:rPr>
          <w:rFonts w:hint="eastAsia"/>
          <w:b/>
          <w:bCs/>
          <w:highlight w:val="none"/>
          <w:lang w:val="en-US" w:eastAsia="zh-CN"/>
        </w:rPr>
        <w:t>注：</w:t>
      </w:r>
    </w:p>
    <w:p w14:paraId="036CBFF0">
      <w:pPr>
        <w:spacing w:line="360" w:lineRule="auto"/>
        <w:rPr>
          <w:rFonts w:hint="eastAsia"/>
          <w:b/>
          <w:bCs/>
          <w:highlight w:val="none"/>
          <w:lang w:val="en-US" w:eastAsia="zh-CN"/>
        </w:rPr>
      </w:pPr>
      <w:r>
        <w:rPr>
          <w:rFonts w:hint="eastAsia"/>
          <w:b/>
          <w:bCs/>
          <w:highlight w:val="none"/>
          <w:lang w:val="en-US" w:eastAsia="zh-CN"/>
        </w:rPr>
        <w:t>1、本表应附学历证书、技术职称/资格证书、业绩证明等扫描件并加盖公章；</w:t>
      </w:r>
    </w:p>
    <w:p w14:paraId="3A15E1E2">
      <w:pPr>
        <w:spacing w:line="360" w:lineRule="auto"/>
        <w:rPr>
          <w:rFonts w:hint="default"/>
          <w:b/>
          <w:bCs/>
          <w:highlight w:val="none"/>
          <w:lang w:val="en-US" w:eastAsia="zh-CN"/>
        </w:rPr>
      </w:pPr>
      <w:r>
        <w:rPr>
          <w:rFonts w:hint="eastAsia"/>
          <w:b/>
          <w:bCs/>
          <w:highlight w:val="none"/>
          <w:lang w:val="en-US" w:eastAsia="zh-CN"/>
        </w:rPr>
        <w:t>2、提供所在单位连续缴纳近三个月的社保证明（公司注册时间未满三个月的，提供最近一个月的社保证明，公司注册时间未满一个月的，提供公司社会保险参保证明）。</w:t>
      </w:r>
    </w:p>
    <w:p w14:paraId="1B8A58A0">
      <w:pPr>
        <w:spacing w:line="360" w:lineRule="auto"/>
        <w:outlineLvl w:val="1"/>
        <w:rPr>
          <w:rFonts w:hint="eastAsia"/>
          <w:highlight w:val="none"/>
          <w:lang w:val="en-US" w:eastAsia="zh-CN"/>
        </w:rPr>
      </w:pPr>
      <w:bookmarkStart w:id="421" w:name="_Toc2448"/>
      <w:r>
        <w:rPr>
          <w:rFonts w:hint="eastAsia"/>
          <w:b/>
          <w:bCs/>
          <w:highlight w:val="none"/>
          <w:lang w:val="en-US" w:eastAsia="zh-CN"/>
        </w:rPr>
        <w:t>3、本表可在不改变格式的情况下根据具体需要自行增减。</w:t>
      </w:r>
      <w:bookmarkEnd w:id="421"/>
    </w:p>
    <w:p w14:paraId="6A541ECA">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磋商供应商全称（</w:t>
      </w:r>
      <w:r>
        <w:rPr>
          <w:rFonts w:hint="eastAsia" w:ascii="宋体" w:hAnsi="宋体" w:eastAsia="宋体" w:cs="宋体"/>
          <w:highlight w:val="none"/>
        </w:rPr>
        <w:t>盖电子签章</w:t>
      </w:r>
      <w:r>
        <w:rPr>
          <w:rFonts w:hint="eastAsia" w:ascii="宋体" w:hAnsi="宋体" w:eastAsia="宋体" w:cs="宋体"/>
          <w:szCs w:val="21"/>
          <w:highlight w:val="none"/>
        </w:rPr>
        <w:t>）：</w:t>
      </w:r>
    </w:p>
    <w:p w14:paraId="4591C008">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3AD1CC9A">
      <w:pPr>
        <w:ind w:firstLine="4620" w:firstLineChars="2200"/>
        <w:rPr>
          <w:highlight w:val="none"/>
        </w:rPr>
      </w:pPr>
      <w:r>
        <w:rPr>
          <w:rFonts w:hint="eastAsia"/>
          <w:highlight w:val="none"/>
        </w:rPr>
        <w:t>日      期：    年   月     日</w:t>
      </w:r>
    </w:p>
    <w:p w14:paraId="579FDC30">
      <w:pPr>
        <w:pStyle w:val="2"/>
        <w:jc w:val="center"/>
        <w:outlineLvl w:val="2"/>
        <w:rPr>
          <w:rFonts w:ascii="Arial" w:hAnsi="Arial" w:cs="Arial"/>
          <w:color w:val="auto"/>
          <w:sz w:val="28"/>
          <w:highlight w:val="none"/>
        </w:rPr>
      </w:pPr>
      <w:r>
        <w:rPr>
          <w:rFonts w:ascii="Arial" w:hAnsi="Arial" w:cs="Arial"/>
          <w:color w:val="auto"/>
          <w:sz w:val="28"/>
          <w:highlight w:val="none"/>
        </w:rPr>
        <w:t>附件</w:t>
      </w:r>
      <w:r>
        <w:rPr>
          <w:rFonts w:hint="eastAsia" w:ascii="Arial" w:hAnsi="Arial" w:cs="Arial"/>
          <w:color w:val="auto"/>
          <w:sz w:val="28"/>
          <w:highlight w:val="none"/>
          <w:lang w:val="en-US" w:eastAsia="zh-CN"/>
        </w:rPr>
        <w:t xml:space="preserve">十一  </w:t>
      </w:r>
      <w:r>
        <w:rPr>
          <w:rFonts w:ascii="Arial" w:hAnsi="Arial" w:cs="Arial"/>
          <w:color w:val="auto"/>
          <w:sz w:val="28"/>
          <w:highlight w:val="none"/>
        </w:rPr>
        <w:t>拟投入本项目</w:t>
      </w:r>
      <w:r>
        <w:rPr>
          <w:rFonts w:hint="eastAsia" w:ascii="Arial" w:hAnsi="Arial" w:cs="Arial"/>
          <w:color w:val="000000"/>
          <w:sz w:val="28"/>
          <w:highlight w:val="none"/>
          <w:lang w:eastAsia="zh-CN"/>
        </w:rPr>
        <w:t>服务</w:t>
      </w:r>
      <w:r>
        <w:rPr>
          <w:rFonts w:ascii="Arial" w:hAnsi="Arial" w:cs="Arial"/>
          <w:color w:val="auto"/>
          <w:sz w:val="28"/>
          <w:highlight w:val="none"/>
        </w:rPr>
        <w:t>人员配备情况表</w:t>
      </w:r>
    </w:p>
    <w:p w14:paraId="5F9A0BA3">
      <w:pPr>
        <w:tabs>
          <w:tab w:val="left" w:pos="540"/>
        </w:tabs>
        <w:spacing w:line="360" w:lineRule="auto"/>
        <w:rPr>
          <w:rFonts w:hint="eastAsia"/>
          <w:highlight w:val="none"/>
        </w:rPr>
      </w:pPr>
      <w:r>
        <w:rPr>
          <w:rFonts w:hint="eastAsia" w:asciiTheme="majorEastAsia" w:hAnsiTheme="majorEastAsia" w:eastAsiaTheme="majorEastAsia" w:cstheme="majorEastAsia"/>
          <w:sz w:val="21"/>
          <w:szCs w:val="21"/>
          <w:highlight w:val="none"/>
          <w:lang w:eastAsia="zh-CN"/>
        </w:rPr>
        <w:t>项目名称：</w:t>
      </w:r>
      <w:r>
        <w:rPr>
          <w:rFonts w:hint="eastAsia" w:asciiTheme="majorEastAsia" w:hAnsiTheme="majorEastAsia" w:eastAsiaTheme="majorEastAsia" w:cstheme="majorEastAsia"/>
          <w:sz w:val="21"/>
          <w:szCs w:val="21"/>
          <w:highlight w:val="none"/>
          <w:lang w:val="en-US" w:eastAsia="zh-CN"/>
        </w:rPr>
        <w:t xml:space="preserve">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09"/>
        <w:gridCol w:w="908"/>
        <w:gridCol w:w="909"/>
        <w:gridCol w:w="909"/>
        <w:gridCol w:w="1293"/>
        <w:gridCol w:w="1300"/>
        <w:gridCol w:w="1874"/>
      </w:tblGrid>
      <w:tr w14:paraId="6478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jc w:val="center"/>
        </w:trPr>
        <w:tc>
          <w:tcPr>
            <w:tcW w:w="908" w:type="dxa"/>
            <w:vAlign w:val="center"/>
          </w:tcPr>
          <w:p w14:paraId="1EE908F9">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姓名</w:t>
            </w:r>
          </w:p>
        </w:tc>
        <w:tc>
          <w:tcPr>
            <w:tcW w:w="909" w:type="dxa"/>
            <w:vAlign w:val="center"/>
          </w:tcPr>
          <w:p w14:paraId="6C44377D">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性别</w:t>
            </w:r>
          </w:p>
        </w:tc>
        <w:tc>
          <w:tcPr>
            <w:tcW w:w="908" w:type="dxa"/>
            <w:vAlign w:val="center"/>
          </w:tcPr>
          <w:p w14:paraId="5F396E20">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年龄</w:t>
            </w:r>
          </w:p>
        </w:tc>
        <w:tc>
          <w:tcPr>
            <w:tcW w:w="909" w:type="dxa"/>
            <w:vAlign w:val="center"/>
          </w:tcPr>
          <w:p w14:paraId="4AB9EDF2">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职务/</w:t>
            </w:r>
          </w:p>
          <w:p w14:paraId="3BAE18E2">
            <w:pPr>
              <w:spacing w:before="31" w:beforeLines="10" w:line="400" w:lineRule="exact"/>
              <w:jc w:val="center"/>
              <w:rPr>
                <w:rFonts w:ascii="Arial" w:hAnsi="Arial" w:cs="Arial"/>
                <w:b/>
                <w:bCs/>
                <w:color w:val="auto"/>
                <w:szCs w:val="21"/>
                <w:highlight w:val="none"/>
              </w:rPr>
            </w:pPr>
            <w:r>
              <w:rPr>
                <w:rFonts w:ascii="Arial" w:hAnsi="Arial" w:cs="Arial"/>
                <w:b/>
                <w:bCs/>
                <w:color w:val="auto"/>
                <w:szCs w:val="21"/>
                <w:highlight w:val="none"/>
              </w:rPr>
              <w:t>职称</w:t>
            </w:r>
          </w:p>
        </w:tc>
        <w:tc>
          <w:tcPr>
            <w:tcW w:w="909" w:type="dxa"/>
            <w:vAlign w:val="center"/>
          </w:tcPr>
          <w:p w14:paraId="3D37768A">
            <w:pPr>
              <w:spacing w:line="400" w:lineRule="atLeast"/>
              <w:jc w:val="center"/>
              <w:rPr>
                <w:rFonts w:ascii="Arial" w:hAnsi="Arial" w:cs="Arial"/>
                <w:b/>
                <w:bCs/>
                <w:color w:val="auto"/>
                <w:highlight w:val="none"/>
              </w:rPr>
            </w:pPr>
            <w:r>
              <w:rPr>
                <w:rFonts w:ascii="Arial" w:hAnsi="Arial" w:cs="Arial"/>
                <w:b/>
                <w:bCs/>
                <w:color w:val="auto"/>
                <w:highlight w:val="none"/>
              </w:rPr>
              <w:t>专业/</w:t>
            </w:r>
          </w:p>
          <w:p w14:paraId="224AE001">
            <w:pPr>
              <w:spacing w:line="400" w:lineRule="atLeast"/>
              <w:jc w:val="center"/>
              <w:rPr>
                <w:rFonts w:ascii="Arial" w:hAnsi="Arial" w:cs="Arial"/>
                <w:b/>
                <w:bCs/>
                <w:color w:val="auto"/>
                <w:szCs w:val="21"/>
                <w:highlight w:val="none"/>
              </w:rPr>
            </w:pPr>
            <w:r>
              <w:rPr>
                <w:rFonts w:ascii="Arial" w:hAnsi="Arial" w:cs="Arial"/>
                <w:b/>
                <w:bCs/>
                <w:color w:val="auto"/>
                <w:highlight w:val="none"/>
              </w:rPr>
              <w:t>年限</w:t>
            </w:r>
          </w:p>
        </w:tc>
        <w:tc>
          <w:tcPr>
            <w:tcW w:w="1293" w:type="dxa"/>
            <w:vAlign w:val="center"/>
          </w:tcPr>
          <w:p w14:paraId="0023098C">
            <w:pPr>
              <w:spacing w:line="400" w:lineRule="atLeast"/>
              <w:jc w:val="center"/>
              <w:rPr>
                <w:rFonts w:ascii="Arial" w:hAnsi="Arial" w:cs="Arial"/>
                <w:b/>
                <w:bCs/>
                <w:color w:val="auto"/>
                <w:highlight w:val="none"/>
              </w:rPr>
            </w:pPr>
            <w:r>
              <w:rPr>
                <w:rFonts w:ascii="Arial" w:hAnsi="Arial" w:cs="Arial"/>
                <w:b/>
                <w:bCs/>
                <w:color w:val="auto"/>
                <w:highlight w:val="none"/>
              </w:rPr>
              <w:t>承诺</w:t>
            </w:r>
          </w:p>
          <w:p w14:paraId="47099348">
            <w:pPr>
              <w:spacing w:line="400" w:lineRule="atLeast"/>
              <w:jc w:val="center"/>
              <w:rPr>
                <w:rFonts w:ascii="Arial" w:hAnsi="Arial" w:cs="Arial"/>
                <w:b/>
                <w:bCs/>
                <w:color w:val="auto"/>
                <w:szCs w:val="21"/>
                <w:highlight w:val="none"/>
              </w:rPr>
            </w:pPr>
            <w:r>
              <w:rPr>
                <w:rFonts w:ascii="Arial" w:hAnsi="Arial" w:cs="Arial"/>
                <w:b/>
                <w:bCs/>
                <w:color w:val="auto"/>
                <w:highlight w:val="none"/>
              </w:rPr>
              <w:t>到位率</w:t>
            </w:r>
          </w:p>
        </w:tc>
        <w:tc>
          <w:tcPr>
            <w:tcW w:w="1300" w:type="dxa"/>
            <w:vAlign w:val="center"/>
          </w:tcPr>
          <w:p w14:paraId="4FE3F49B">
            <w:pPr>
              <w:spacing w:line="400" w:lineRule="atLeast"/>
              <w:jc w:val="center"/>
              <w:rPr>
                <w:rFonts w:ascii="Arial" w:hAnsi="Arial" w:cs="Arial"/>
                <w:b/>
                <w:bCs/>
                <w:color w:val="auto"/>
                <w:szCs w:val="21"/>
                <w:highlight w:val="none"/>
              </w:rPr>
            </w:pPr>
            <w:r>
              <w:rPr>
                <w:rFonts w:ascii="Arial" w:hAnsi="Arial" w:cs="Arial"/>
                <w:b/>
                <w:bCs/>
                <w:color w:val="auto"/>
                <w:highlight w:val="none"/>
              </w:rPr>
              <w:t>到现场服务起止时间</w:t>
            </w:r>
          </w:p>
        </w:tc>
        <w:tc>
          <w:tcPr>
            <w:tcW w:w="1874" w:type="dxa"/>
            <w:vAlign w:val="center"/>
          </w:tcPr>
          <w:p w14:paraId="1ADD7E1F">
            <w:pPr>
              <w:spacing w:line="400" w:lineRule="atLeast"/>
              <w:jc w:val="center"/>
              <w:rPr>
                <w:rFonts w:ascii="Arial" w:hAnsi="Arial" w:cs="Arial"/>
                <w:b/>
                <w:bCs/>
                <w:color w:val="auto"/>
                <w:highlight w:val="none"/>
              </w:rPr>
            </w:pPr>
            <w:r>
              <w:rPr>
                <w:rFonts w:ascii="Arial" w:hAnsi="Arial" w:cs="Arial"/>
                <w:b/>
                <w:bCs/>
                <w:color w:val="auto"/>
                <w:highlight w:val="none"/>
              </w:rPr>
              <w:t>类似服务的经历、业绩、是否有上岗证等介绍</w:t>
            </w:r>
          </w:p>
          <w:p w14:paraId="6D6DDEE5">
            <w:pPr>
              <w:spacing w:line="400" w:lineRule="atLeast"/>
              <w:jc w:val="center"/>
              <w:rPr>
                <w:rFonts w:ascii="Arial" w:hAnsi="Arial" w:cs="Arial"/>
                <w:b/>
                <w:bCs/>
                <w:color w:val="auto"/>
                <w:szCs w:val="21"/>
                <w:highlight w:val="none"/>
              </w:rPr>
            </w:pPr>
            <w:r>
              <w:rPr>
                <w:rFonts w:ascii="Arial" w:hAnsi="Arial" w:cs="Arial"/>
                <w:b/>
                <w:bCs/>
                <w:color w:val="auto"/>
                <w:highlight w:val="none"/>
              </w:rPr>
              <w:t>（或另附简历）</w:t>
            </w:r>
          </w:p>
        </w:tc>
      </w:tr>
      <w:tr w14:paraId="0232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24427347">
            <w:pPr>
              <w:spacing w:before="31" w:beforeLines="10" w:line="400" w:lineRule="exact"/>
              <w:rPr>
                <w:rFonts w:ascii="Arial" w:hAnsi="Arial" w:cs="Arial"/>
                <w:color w:val="auto"/>
                <w:szCs w:val="21"/>
                <w:highlight w:val="none"/>
              </w:rPr>
            </w:pPr>
          </w:p>
        </w:tc>
        <w:tc>
          <w:tcPr>
            <w:tcW w:w="909" w:type="dxa"/>
            <w:vAlign w:val="top"/>
          </w:tcPr>
          <w:p w14:paraId="759012E5">
            <w:pPr>
              <w:spacing w:before="31" w:beforeLines="10" w:line="400" w:lineRule="exact"/>
              <w:rPr>
                <w:rFonts w:ascii="Arial" w:hAnsi="Arial" w:cs="Arial"/>
                <w:color w:val="auto"/>
                <w:szCs w:val="21"/>
                <w:highlight w:val="none"/>
              </w:rPr>
            </w:pPr>
          </w:p>
        </w:tc>
        <w:tc>
          <w:tcPr>
            <w:tcW w:w="908" w:type="dxa"/>
            <w:vAlign w:val="top"/>
          </w:tcPr>
          <w:p w14:paraId="16C1D67D">
            <w:pPr>
              <w:spacing w:before="31" w:beforeLines="10" w:line="400" w:lineRule="exact"/>
              <w:rPr>
                <w:rFonts w:ascii="Arial" w:hAnsi="Arial" w:cs="Arial"/>
                <w:color w:val="auto"/>
                <w:szCs w:val="21"/>
                <w:highlight w:val="none"/>
              </w:rPr>
            </w:pPr>
          </w:p>
        </w:tc>
        <w:tc>
          <w:tcPr>
            <w:tcW w:w="909" w:type="dxa"/>
            <w:vAlign w:val="top"/>
          </w:tcPr>
          <w:p w14:paraId="4D4D5886">
            <w:pPr>
              <w:spacing w:before="31" w:beforeLines="10" w:line="400" w:lineRule="exact"/>
              <w:rPr>
                <w:rFonts w:ascii="Arial" w:hAnsi="Arial" w:cs="Arial"/>
                <w:color w:val="auto"/>
                <w:szCs w:val="21"/>
                <w:highlight w:val="none"/>
              </w:rPr>
            </w:pPr>
          </w:p>
        </w:tc>
        <w:tc>
          <w:tcPr>
            <w:tcW w:w="909" w:type="dxa"/>
            <w:vAlign w:val="top"/>
          </w:tcPr>
          <w:p w14:paraId="68B854C2">
            <w:pPr>
              <w:spacing w:before="31" w:beforeLines="10" w:line="400" w:lineRule="exact"/>
              <w:rPr>
                <w:rFonts w:ascii="Arial" w:hAnsi="Arial" w:cs="Arial"/>
                <w:color w:val="auto"/>
                <w:szCs w:val="21"/>
                <w:highlight w:val="none"/>
              </w:rPr>
            </w:pPr>
          </w:p>
        </w:tc>
        <w:tc>
          <w:tcPr>
            <w:tcW w:w="1293" w:type="dxa"/>
            <w:vAlign w:val="top"/>
          </w:tcPr>
          <w:p w14:paraId="03705FBB">
            <w:pPr>
              <w:spacing w:before="31" w:beforeLines="10" w:line="400" w:lineRule="exact"/>
              <w:rPr>
                <w:rFonts w:ascii="Arial" w:hAnsi="Arial" w:cs="Arial"/>
                <w:color w:val="auto"/>
                <w:szCs w:val="21"/>
                <w:highlight w:val="none"/>
              </w:rPr>
            </w:pPr>
          </w:p>
        </w:tc>
        <w:tc>
          <w:tcPr>
            <w:tcW w:w="1300" w:type="dxa"/>
            <w:vAlign w:val="top"/>
          </w:tcPr>
          <w:p w14:paraId="6DC54FE6">
            <w:pPr>
              <w:spacing w:before="31" w:beforeLines="10" w:line="400" w:lineRule="exact"/>
              <w:rPr>
                <w:rFonts w:ascii="Arial" w:hAnsi="Arial" w:cs="Arial"/>
                <w:color w:val="auto"/>
                <w:szCs w:val="21"/>
                <w:highlight w:val="none"/>
              </w:rPr>
            </w:pPr>
          </w:p>
        </w:tc>
        <w:tc>
          <w:tcPr>
            <w:tcW w:w="1874" w:type="dxa"/>
            <w:vAlign w:val="top"/>
          </w:tcPr>
          <w:p w14:paraId="54A9AA3B">
            <w:pPr>
              <w:spacing w:before="31" w:beforeLines="10" w:line="400" w:lineRule="exact"/>
              <w:rPr>
                <w:rFonts w:ascii="Arial" w:hAnsi="Arial" w:cs="Arial"/>
                <w:color w:val="auto"/>
                <w:szCs w:val="21"/>
                <w:highlight w:val="none"/>
              </w:rPr>
            </w:pPr>
          </w:p>
        </w:tc>
      </w:tr>
      <w:tr w14:paraId="2AD3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0CCB3CA6">
            <w:pPr>
              <w:spacing w:before="31" w:beforeLines="10" w:line="400" w:lineRule="exact"/>
              <w:rPr>
                <w:rFonts w:ascii="Arial" w:hAnsi="Arial" w:cs="Arial"/>
                <w:color w:val="auto"/>
                <w:szCs w:val="21"/>
                <w:highlight w:val="none"/>
              </w:rPr>
            </w:pPr>
          </w:p>
        </w:tc>
        <w:tc>
          <w:tcPr>
            <w:tcW w:w="909" w:type="dxa"/>
            <w:vAlign w:val="top"/>
          </w:tcPr>
          <w:p w14:paraId="0AC8B6E2">
            <w:pPr>
              <w:spacing w:before="31" w:beforeLines="10" w:line="400" w:lineRule="exact"/>
              <w:rPr>
                <w:rFonts w:ascii="Arial" w:hAnsi="Arial" w:cs="Arial"/>
                <w:color w:val="auto"/>
                <w:szCs w:val="21"/>
                <w:highlight w:val="none"/>
              </w:rPr>
            </w:pPr>
          </w:p>
        </w:tc>
        <w:tc>
          <w:tcPr>
            <w:tcW w:w="908" w:type="dxa"/>
            <w:vAlign w:val="top"/>
          </w:tcPr>
          <w:p w14:paraId="365B0472">
            <w:pPr>
              <w:spacing w:before="31" w:beforeLines="10" w:line="400" w:lineRule="exact"/>
              <w:rPr>
                <w:rFonts w:ascii="Arial" w:hAnsi="Arial" w:cs="Arial"/>
                <w:color w:val="auto"/>
                <w:szCs w:val="21"/>
                <w:highlight w:val="none"/>
              </w:rPr>
            </w:pPr>
          </w:p>
        </w:tc>
        <w:tc>
          <w:tcPr>
            <w:tcW w:w="909" w:type="dxa"/>
            <w:vAlign w:val="top"/>
          </w:tcPr>
          <w:p w14:paraId="45920ADE">
            <w:pPr>
              <w:spacing w:before="31" w:beforeLines="10" w:line="400" w:lineRule="exact"/>
              <w:rPr>
                <w:rFonts w:ascii="Arial" w:hAnsi="Arial" w:cs="Arial"/>
                <w:color w:val="auto"/>
                <w:szCs w:val="21"/>
                <w:highlight w:val="none"/>
              </w:rPr>
            </w:pPr>
          </w:p>
        </w:tc>
        <w:tc>
          <w:tcPr>
            <w:tcW w:w="909" w:type="dxa"/>
            <w:vAlign w:val="top"/>
          </w:tcPr>
          <w:p w14:paraId="61DB78AB">
            <w:pPr>
              <w:spacing w:before="31" w:beforeLines="10" w:line="400" w:lineRule="exact"/>
              <w:rPr>
                <w:rFonts w:ascii="Arial" w:hAnsi="Arial" w:cs="Arial"/>
                <w:color w:val="auto"/>
                <w:szCs w:val="21"/>
                <w:highlight w:val="none"/>
              </w:rPr>
            </w:pPr>
          </w:p>
        </w:tc>
        <w:tc>
          <w:tcPr>
            <w:tcW w:w="1293" w:type="dxa"/>
            <w:vAlign w:val="top"/>
          </w:tcPr>
          <w:p w14:paraId="773EFB6E">
            <w:pPr>
              <w:spacing w:before="31" w:beforeLines="10" w:line="400" w:lineRule="exact"/>
              <w:rPr>
                <w:rFonts w:ascii="Arial" w:hAnsi="Arial" w:cs="Arial"/>
                <w:color w:val="auto"/>
                <w:szCs w:val="21"/>
                <w:highlight w:val="none"/>
              </w:rPr>
            </w:pPr>
          </w:p>
        </w:tc>
        <w:tc>
          <w:tcPr>
            <w:tcW w:w="1300" w:type="dxa"/>
            <w:vAlign w:val="top"/>
          </w:tcPr>
          <w:p w14:paraId="1F27157B">
            <w:pPr>
              <w:spacing w:before="31" w:beforeLines="10" w:line="400" w:lineRule="exact"/>
              <w:rPr>
                <w:rFonts w:ascii="Arial" w:hAnsi="Arial" w:cs="Arial"/>
                <w:color w:val="auto"/>
                <w:szCs w:val="21"/>
                <w:highlight w:val="none"/>
              </w:rPr>
            </w:pPr>
          </w:p>
        </w:tc>
        <w:tc>
          <w:tcPr>
            <w:tcW w:w="1874" w:type="dxa"/>
            <w:vAlign w:val="top"/>
          </w:tcPr>
          <w:p w14:paraId="22E2EF00">
            <w:pPr>
              <w:spacing w:before="31" w:beforeLines="10" w:line="400" w:lineRule="exact"/>
              <w:rPr>
                <w:rFonts w:ascii="Arial" w:hAnsi="Arial" w:cs="Arial"/>
                <w:color w:val="auto"/>
                <w:szCs w:val="21"/>
                <w:highlight w:val="none"/>
              </w:rPr>
            </w:pPr>
          </w:p>
        </w:tc>
      </w:tr>
      <w:tr w14:paraId="612E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908" w:type="dxa"/>
            <w:vAlign w:val="top"/>
          </w:tcPr>
          <w:p w14:paraId="44C36FC0">
            <w:pPr>
              <w:spacing w:before="31" w:beforeLines="10" w:line="400" w:lineRule="exact"/>
              <w:rPr>
                <w:rFonts w:ascii="Arial" w:hAnsi="Arial" w:cs="Arial"/>
                <w:color w:val="auto"/>
                <w:szCs w:val="21"/>
                <w:highlight w:val="none"/>
              </w:rPr>
            </w:pPr>
          </w:p>
        </w:tc>
        <w:tc>
          <w:tcPr>
            <w:tcW w:w="909" w:type="dxa"/>
            <w:vAlign w:val="top"/>
          </w:tcPr>
          <w:p w14:paraId="0FB4971A">
            <w:pPr>
              <w:spacing w:before="31" w:beforeLines="10" w:line="400" w:lineRule="exact"/>
              <w:rPr>
                <w:rFonts w:ascii="Arial" w:hAnsi="Arial" w:cs="Arial"/>
                <w:color w:val="auto"/>
                <w:szCs w:val="21"/>
                <w:highlight w:val="none"/>
              </w:rPr>
            </w:pPr>
          </w:p>
        </w:tc>
        <w:tc>
          <w:tcPr>
            <w:tcW w:w="908" w:type="dxa"/>
            <w:vAlign w:val="top"/>
          </w:tcPr>
          <w:p w14:paraId="643315C7">
            <w:pPr>
              <w:spacing w:before="31" w:beforeLines="10" w:line="400" w:lineRule="exact"/>
              <w:rPr>
                <w:rFonts w:ascii="Arial" w:hAnsi="Arial" w:cs="Arial"/>
                <w:color w:val="auto"/>
                <w:szCs w:val="21"/>
                <w:highlight w:val="none"/>
              </w:rPr>
            </w:pPr>
          </w:p>
        </w:tc>
        <w:tc>
          <w:tcPr>
            <w:tcW w:w="909" w:type="dxa"/>
            <w:vAlign w:val="top"/>
          </w:tcPr>
          <w:p w14:paraId="2E344E47">
            <w:pPr>
              <w:spacing w:before="31" w:beforeLines="10" w:line="400" w:lineRule="exact"/>
              <w:rPr>
                <w:rFonts w:ascii="Arial" w:hAnsi="Arial" w:cs="Arial"/>
                <w:color w:val="auto"/>
                <w:szCs w:val="21"/>
                <w:highlight w:val="none"/>
              </w:rPr>
            </w:pPr>
          </w:p>
        </w:tc>
        <w:tc>
          <w:tcPr>
            <w:tcW w:w="909" w:type="dxa"/>
            <w:vAlign w:val="top"/>
          </w:tcPr>
          <w:p w14:paraId="4932EAC6">
            <w:pPr>
              <w:spacing w:before="31" w:beforeLines="10" w:line="400" w:lineRule="exact"/>
              <w:rPr>
                <w:rFonts w:ascii="Arial" w:hAnsi="Arial" w:cs="Arial"/>
                <w:color w:val="auto"/>
                <w:szCs w:val="21"/>
                <w:highlight w:val="none"/>
              </w:rPr>
            </w:pPr>
          </w:p>
        </w:tc>
        <w:tc>
          <w:tcPr>
            <w:tcW w:w="1293" w:type="dxa"/>
            <w:vAlign w:val="top"/>
          </w:tcPr>
          <w:p w14:paraId="62DC85B0">
            <w:pPr>
              <w:spacing w:before="31" w:beforeLines="10" w:line="400" w:lineRule="exact"/>
              <w:rPr>
                <w:rFonts w:ascii="Arial" w:hAnsi="Arial" w:cs="Arial"/>
                <w:color w:val="auto"/>
                <w:szCs w:val="21"/>
                <w:highlight w:val="none"/>
              </w:rPr>
            </w:pPr>
          </w:p>
        </w:tc>
        <w:tc>
          <w:tcPr>
            <w:tcW w:w="1300" w:type="dxa"/>
            <w:vAlign w:val="top"/>
          </w:tcPr>
          <w:p w14:paraId="071519EA">
            <w:pPr>
              <w:spacing w:before="31" w:beforeLines="10" w:line="400" w:lineRule="exact"/>
              <w:rPr>
                <w:rFonts w:ascii="Arial" w:hAnsi="Arial" w:cs="Arial"/>
                <w:color w:val="auto"/>
                <w:szCs w:val="21"/>
                <w:highlight w:val="none"/>
              </w:rPr>
            </w:pPr>
          </w:p>
        </w:tc>
        <w:tc>
          <w:tcPr>
            <w:tcW w:w="1874" w:type="dxa"/>
            <w:vAlign w:val="top"/>
          </w:tcPr>
          <w:p w14:paraId="01A9E23F">
            <w:pPr>
              <w:spacing w:before="31" w:beforeLines="10" w:line="400" w:lineRule="exact"/>
              <w:rPr>
                <w:rFonts w:ascii="Arial" w:hAnsi="Arial" w:cs="Arial"/>
                <w:color w:val="auto"/>
                <w:szCs w:val="21"/>
                <w:highlight w:val="none"/>
              </w:rPr>
            </w:pPr>
          </w:p>
        </w:tc>
      </w:tr>
      <w:tr w14:paraId="123B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063DA32C">
            <w:pPr>
              <w:spacing w:before="31" w:beforeLines="10" w:line="400" w:lineRule="exact"/>
              <w:rPr>
                <w:rFonts w:ascii="Arial" w:hAnsi="Arial" w:cs="Arial"/>
                <w:color w:val="auto"/>
                <w:szCs w:val="21"/>
                <w:highlight w:val="none"/>
              </w:rPr>
            </w:pPr>
          </w:p>
        </w:tc>
        <w:tc>
          <w:tcPr>
            <w:tcW w:w="909" w:type="dxa"/>
            <w:vAlign w:val="top"/>
          </w:tcPr>
          <w:p w14:paraId="3A99B4B0">
            <w:pPr>
              <w:spacing w:before="31" w:beforeLines="10" w:line="400" w:lineRule="exact"/>
              <w:rPr>
                <w:rFonts w:ascii="Arial" w:hAnsi="Arial" w:cs="Arial"/>
                <w:color w:val="auto"/>
                <w:szCs w:val="21"/>
                <w:highlight w:val="none"/>
              </w:rPr>
            </w:pPr>
          </w:p>
        </w:tc>
        <w:tc>
          <w:tcPr>
            <w:tcW w:w="908" w:type="dxa"/>
            <w:vAlign w:val="top"/>
          </w:tcPr>
          <w:p w14:paraId="6D080D50">
            <w:pPr>
              <w:spacing w:before="31" w:beforeLines="10" w:line="400" w:lineRule="exact"/>
              <w:rPr>
                <w:rFonts w:ascii="Arial" w:hAnsi="Arial" w:cs="Arial"/>
                <w:color w:val="auto"/>
                <w:szCs w:val="21"/>
                <w:highlight w:val="none"/>
              </w:rPr>
            </w:pPr>
          </w:p>
        </w:tc>
        <w:tc>
          <w:tcPr>
            <w:tcW w:w="909" w:type="dxa"/>
            <w:vAlign w:val="top"/>
          </w:tcPr>
          <w:p w14:paraId="3B91F361">
            <w:pPr>
              <w:spacing w:before="31" w:beforeLines="10" w:line="400" w:lineRule="exact"/>
              <w:rPr>
                <w:rFonts w:ascii="Arial" w:hAnsi="Arial" w:cs="Arial"/>
                <w:color w:val="auto"/>
                <w:szCs w:val="21"/>
                <w:highlight w:val="none"/>
              </w:rPr>
            </w:pPr>
          </w:p>
        </w:tc>
        <w:tc>
          <w:tcPr>
            <w:tcW w:w="909" w:type="dxa"/>
            <w:vAlign w:val="top"/>
          </w:tcPr>
          <w:p w14:paraId="1A59D6CF">
            <w:pPr>
              <w:spacing w:before="31" w:beforeLines="10" w:line="400" w:lineRule="exact"/>
              <w:rPr>
                <w:rFonts w:ascii="Arial" w:hAnsi="Arial" w:cs="Arial"/>
                <w:color w:val="auto"/>
                <w:szCs w:val="21"/>
                <w:highlight w:val="none"/>
              </w:rPr>
            </w:pPr>
          </w:p>
        </w:tc>
        <w:tc>
          <w:tcPr>
            <w:tcW w:w="1293" w:type="dxa"/>
            <w:vAlign w:val="top"/>
          </w:tcPr>
          <w:p w14:paraId="0C586D44">
            <w:pPr>
              <w:spacing w:before="31" w:beforeLines="10" w:line="400" w:lineRule="exact"/>
              <w:rPr>
                <w:rFonts w:ascii="Arial" w:hAnsi="Arial" w:cs="Arial"/>
                <w:color w:val="auto"/>
                <w:szCs w:val="21"/>
                <w:highlight w:val="none"/>
              </w:rPr>
            </w:pPr>
          </w:p>
        </w:tc>
        <w:tc>
          <w:tcPr>
            <w:tcW w:w="1300" w:type="dxa"/>
            <w:vAlign w:val="top"/>
          </w:tcPr>
          <w:p w14:paraId="0AAAB476">
            <w:pPr>
              <w:spacing w:before="31" w:beforeLines="10" w:line="400" w:lineRule="exact"/>
              <w:rPr>
                <w:rFonts w:ascii="Arial" w:hAnsi="Arial" w:cs="Arial"/>
                <w:color w:val="auto"/>
                <w:szCs w:val="21"/>
                <w:highlight w:val="none"/>
              </w:rPr>
            </w:pPr>
          </w:p>
        </w:tc>
        <w:tc>
          <w:tcPr>
            <w:tcW w:w="1874" w:type="dxa"/>
            <w:vAlign w:val="top"/>
          </w:tcPr>
          <w:p w14:paraId="10E45131">
            <w:pPr>
              <w:spacing w:before="31" w:beforeLines="10" w:line="400" w:lineRule="exact"/>
              <w:rPr>
                <w:rFonts w:ascii="Arial" w:hAnsi="Arial" w:cs="Arial"/>
                <w:color w:val="auto"/>
                <w:szCs w:val="21"/>
                <w:highlight w:val="none"/>
              </w:rPr>
            </w:pPr>
          </w:p>
        </w:tc>
      </w:tr>
      <w:tr w14:paraId="605D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20D6DDB1">
            <w:pPr>
              <w:spacing w:before="31" w:beforeLines="10" w:line="400" w:lineRule="exact"/>
              <w:rPr>
                <w:rFonts w:ascii="Arial" w:hAnsi="Arial" w:cs="Arial"/>
                <w:color w:val="auto"/>
                <w:szCs w:val="21"/>
                <w:highlight w:val="none"/>
              </w:rPr>
            </w:pPr>
          </w:p>
        </w:tc>
        <w:tc>
          <w:tcPr>
            <w:tcW w:w="909" w:type="dxa"/>
            <w:vAlign w:val="top"/>
          </w:tcPr>
          <w:p w14:paraId="4B28A4F0">
            <w:pPr>
              <w:spacing w:before="31" w:beforeLines="10" w:line="400" w:lineRule="exact"/>
              <w:rPr>
                <w:rFonts w:ascii="Arial" w:hAnsi="Arial" w:cs="Arial"/>
                <w:color w:val="auto"/>
                <w:szCs w:val="21"/>
                <w:highlight w:val="none"/>
              </w:rPr>
            </w:pPr>
          </w:p>
        </w:tc>
        <w:tc>
          <w:tcPr>
            <w:tcW w:w="908" w:type="dxa"/>
            <w:vAlign w:val="top"/>
          </w:tcPr>
          <w:p w14:paraId="26234F58">
            <w:pPr>
              <w:spacing w:before="31" w:beforeLines="10" w:line="400" w:lineRule="exact"/>
              <w:rPr>
                <w:rFonts w:ascii="Arial" w:hAnsi="Arial" w:cs="Arial"/>
                <w:color w:val="auto"/>
                <w:szCs w:val="21"/>
                <w:highlight w:val="none"/>
              </w:rPr>
            </w:pPr>
          </w:p>
        </w:tc>
        <w:tc>
          <w:tcPr>
            <w:tcW w:w="909" w:type="dxa"/>
            <w:vAlign w:val="top"/>
          </w:tcPr>
          <w:p w14:paraId="4859A9BE">
            <w:pPr>
              <w:spacing w:before="31" w:beforeLines="10" w:line="400" w:lineRule="exact"/>
              <w:rPr>
                <w:rFonts w:ascii="Arial" w:hAnsi="Arial" w:cs="Arial"/>
                <w:color w:val="auto"/>
                <w:szCs w:val="21"/>
                <w:highlight w:val="none"/>
              </w:rPr>
            </w:pPr>
          </w:p>
        </w:tc>
        <w:tc>
          <w:tcPr>
            <w:tcW w:w="909" w:type="dxa"/>
            <w:vAlign w:val="top"/>
          </w:tcPr>
          <w:p w14:paraId="2281F124">
            <w:pPr>
              <w:spacing w:before="31" w:beforeLines="10" w:line="400" w:lineRule="exact"/>
              <w:rPr>
                <w:rFonts w:ascii="Arial" w:hAnsi="Arial" w:cs="Arial"/>
                <w:color w:val="auto"/>
                <w:szCs w:val="21"/>
                <w:highlight w:val="none"/>
              </w:rPr>
            </w:pPr>
          </w:p>
        </w:tc>
        <w:tc>
          <w:tcPr>
            <w:tcW w:w="1293" w:type="dxa"/>
            <w:vAlign w:val="top"/>
          </w:tcPr>
          <w:p w14:paraId="3313FE4E">
            <w:pPr>
              <w:spacing w:before="31" w:beforeLines="10" w:line="400" w:lineRule="exact"/>
              <w:rPr>
                <w:rFonts w:ascii="Arial" w:hAnsi="Arial" w:cs="Arial"/>
                <w:color w:val="auto"/>
                <w:szCs w:val="21"/>
                <w:highlight w:val="none"/>
              </w:rPr>
            </w:pPr>
          </w:p>
        </w:tc>
        <w:tc>
          <w:tcPr>
            <w:tcW w:w="1300" w:type="dxa"/>
            <w:vAlign w:val="top"/>
          </w:tcPr>
          <w:p w14:paraId="0BB1F4B8">
            <w:pPr>
              <w:spacing w:before="31" w:beforeLines="10" w:line="400" w:lineRule="exact"/>
              <w:rPr>
                <w:rFonts w:ascii="Arial" w:hAnsi="Arial" w:cs="Arial"/>
                <w:color w:val="auto"/>
                <w:szCs w:val="21"/>
                <w:highlight w:val="none"/>
              </w:rPr>
            </w:pPr>
          </w:p>
        </w:tc>
        <w:tc>
          <w:tcPr>
            <w:tcW w:w="1874" w:type="dxa"/>
            <w:vAlign w:val="top"/>
          </w:tcPr>
          <w:p w14:paraId="3C2A3295">
            <w:pPr>
              <w:spacing w:before="31" w:beforeLines="10" w:line="400" w:lineRule="exact"/>
              <w:rPr>
                <w:rFonts w:ascii="Arial" w:hAnsi="Arial" w:cs="Arial"/>
                <w:color w:val="auto"/>
                <w:szCs w:val="21"/>
                <w:highlight w:val="none"/>
              </w:rPr>
            </w:pPr>
          </w:p>
        </w:tc>
      </w:tr>
      <w:tr w14:paraId="007F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908" w:type="dxa"/>
            <w:vAlign w:val="top"/>
          </w:tcPr>
          <w:p w14:paraId="1CCFC6B0">
            <w:pPr>
              <w:spacing w:before="31" w:beforeLines="10" w:line="400" w:lineRule="exact"/>
              <w:rPr>
                <w:rFonts w:ascii="Arial" w:hAnsi="Arial" w:cs="Arial"/>
                <w:color w:val="auto"/>
                <w:szCs w:val="21"/>
                <w:highlight w:val="none"/>
              </w:rPr>
            </w:pPr>
          </w:p>
        </w:tc>
        <w:tc>
          <w:tcPr>
            <w:tcW w:w="909" w:type="dxa"/>
            <w:vAlign w:val="top"/>
          </w:tcPr>
          <w:p w14:paraId="7579F60A">
            <w:pPr>
              <w:spacing w:before="31" w:beforeLines="10" w:line="400" w:lineRule="exact"/>
              <w:rPr>
                <w:rFonts w:ascii="Arial" w:hAnsi="Arial" w:cs="Arial"/>
                <w:color w:val="auto"/>
                <w:szCs w:val="21"/>
                <w:highlight w:val="none"/>
              </w:rPr>
            </w:pPr>
          </w:p>
        </w:tc>
        <w:tc>
          <w:tcPr>
            <w:tcW w:w="908" w:type="dxa"/>
            <w:vAlign w:val="top"/>
          </w:tcPr>
          <w:p w14:paraId="56C2A1A2">
            <w:pPr>
              <w:spacing w:before="31" w:beforeLines="10" w:line="400" w:lineRule="exact"/>
              <w:rPr>
                <w:rFonts w:ascii="Arial" w:hAnsi="Arial" w:cs="Arial"/>
                <w:color w:val="auto"/>
                <w:szCs w:val="21"/>
                <w:highlight w:val="none"/>
              </w:rPr>
            </w:pPr>
          </w:p>
        </w:tc>
        <w:tc>
          <w:tcPr>
            <w:tcW w:w="909" w:type="dxa"/>
            <w:vAlign w:val="top"/>
          </w:tcPr>
          <w:p w14:paraId="44D12D4D">
            <w:pPr>
              <w:spacing w:before="31" w:beforeLines="10" w:line="400" w:lineRule="exact"/>
              <w:rPr>
                <w:rFonts w:ascii="Arial" w:hAnsi="Arial" w:cs="Arial"/>
                <w:color w:val="auto"/>
                <w:szCs w:val="21"/>
                <w:highlight w:val="none"/>
              </w:rPr>
            </w:pPr>
          </w:p>
        </w:tc>
        <w:tc>
          <w:tcPr>
            <w:tcW w:w="909" w:type="dxa"/>
            <w:vAlign w:val="top"/>
          </w:tcPr>
          <w:p w14:paraId="65052A51">
            <w:pPr>
              <w:spacing w:before="31" w:beforeLines="10" w:line="400" w:lineRule="exact"/>
              <w:rPr>
                <w:rFonts w:ascii="Arial" w:hAnsi="Arial" w:cs="Arial"/>
                <w:color w:val="auto"/>
                <w:szCs w:val="21"/>
                <w:highlight w:val="none"/>
              </w:rPr>
            </w:pPr>
          </w:p>
        </w:tc>
        <w:tc>
          <w:tcPr>
            <w:tcW w:w="1293" w:type="dxa"/>
            <w:vAlign w:val="top"/>
          </w:tcPr>
          <w:p w14:paraId="6A0650FF">
            <w:pPr>
              <w:spacing w:before="31" w:beforeLines="10" w:line="400" w:lineRule="exact"/>
              <w:rPr>
                <w:rFonts w:ascii="Arial" w:hAnsi="Arial" w:cs="Arial"/>
                <w:color w:val="auto"/>
                <w:szCs w:val="21"/>
                <w:highlight w:val="none"/>
              </w:rPr>
            </w:pPr>
          </w:p>
        </w:tc>
        <w:tc>
          <w:tcPr>
            <w:tcW w:w="1300" w:type="dxa"/>
            <w:vAlign w:val="top"/>
          </w:tcPr>
          <w:p w14:paraId="09F64EF8">
            <w:pPr>
              <w:spacing w:before="31" w:beforeLines="10" w:line="400" w:lineRule="exact"/>
              <w:rPr>
                <w:rFonts w:ascii="Arial" w:hAnsi="Arial" w:cs="Arial"/>
                <w:color w:val="auto"/>
                <w:szCs w:val="21"/>
                <w:highlight w:val="none"/>
              </w:rPr>
            </w:pPr>
          </w:p>
        </w:tc>
        <w:tc>
          <w:tcPr>
            <w:tcW w:w="1874" w:type="dxa"/>
            <w:vAlign w:val="top"/>
          </w:tcPr>
          <w:p w14:paraId="6C18FF86">
            <w:pPr>
              <w:spacing w:before="31" w:beforeLines="10" w:line="400" w:lineRule="exact"/>
              <w:rPr>
                <w:rFonts w:ascii="Arial" w:hAnsi="Arial" w:cs="Arial"/>
                <w:color w:val="auto"/>
                <w:szCs w:val="21"/>
                <w:highlight w:val="none"/>
              </w:rPr>
            </w:pPr>
          </w:p>
        </w:tc>
      </w:tr>
      <w:tr w14:paraId="019C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4E7775CC">
            <w:pPr>
              <w:spacing w:before="31" w:beforeLines="10" w:line="400" w:lineRule="exact"/>
              <w:rPr>
                <w:rFonts w:ascii="Arial" w:hAnsi="Arial" w:cs="Arial"/>
                <w:color w:val="auto"/>
                <w:szCs w:val="21"/>
                <w:highlight w:val="none"/>
              </w:rPr>
            </w:pPr>
          </w:p>
        </w:tc>
        <w:tc>
          <w:tcPr>
            <w:tcW w:w="909" w:type="dxa"/>
            <w:vAlign w:val="top"/>
          </w:tcPr>
          <w:p w14:paraId="0DE5F2F9">
            <w:pPr>
              <w:spacing w:before="31" w:beforeLines="10" w:line="400" w:lineRule="exact"/>
              <w:rPr>
                <w:rFonts w:ascii="Arial" w:hAnsi="Arial" w:cs="Arial"/>
                <w:color w:val="auto"/>
                <w:szCs w:val="21"/>
                <w:highlight w:val="none"/>
              </w:rPr>
            </w:pPr>
          </w:p>
        </w:tc>
        <w:tc>
          <w:tcPr>
            <w:tcW w:w="908" w:type="dxa"/>
            <w:vAlign w:val="top"/>
          </w:tcPr>
          <w:p w14:paraId="0E225276">
            <w:pPr>
              <w:spacing w:before="31" w:beforeLines="10" w:line="400" w:lineRule="exact"/>
              <w:rPr>
                <w:rFonts w:ascii="Arial" w:hAnsi="Arial" w:cs="Arial"/>
                <w:color w:val="auto"/>
                <w:szCs w:val="21"/>
                <w:highlight w:val="none"/>
              </w:rPr>
            </w:pPr>
          </w:p>
        </w:tc>
        <w:tc>
          <w:tcPr>
            <w:tcW w:w="909" w:type="dxa"/>
            <w:vAlign w:val="top"/>
          </w:tcPr>
          <w:p w14:paraId="15885846">
            <w:pPr>
              <w:spacing w:before="31" w:beforeLines="10" w:line="400" w:lineRule="exact"/>
              <w:rPr>
                <w:rFonts w:ascii="Arial" w:hAnsi="Arial" w:cs="Arial"/>
                <w:color w:val="auto"/>
                <w:szCs w:val="21"/>
                <w:highlight w:val="none"/>
              </w:rPr>
            </w:pPr>
          </w:p>
        </w:tc>
        <w:tc>
          <w:tcPr>
            <w:tcW w:w="909" w:type="dxa"/>
            <w:vAlign w:val="top"/>
          </w:tcPr>
          <w:p w14:paraId="48549E89">
            <w:pPr>
              <w:spacing w:before="31" w:beforeLines="10" w:line="400" w:lineRule="exact"/>
              <w:rPr>
                <w:rFonts w:ascii="Arial" w:hAnsi="Arial" w:cs="Arial"/>
                <w:color w:val="auto"/>
                <w:szCs w:val="21"/>
                <w:highlight w:val="none"/>
              </w:rPr>
            </w:pPr>
          </w:p>
        </w:tc>
        <w:tc>
          <w:tcPr>
            <w:tcW w:w="1293" w:type="dxa"/>
            <w:vAlign w:val="top"/>
          </w:tcPr>
          <w:p w14:paraId="6862BDD3">
            <w:pPr>
              <w:spacing w:before="31" w:beforeLines="10" w:line="400" w:lineRule="exact"/>
              <w:rPr>
                <w:rFonts w:ascii="Arial" w:hAnsi="Arial" w:cs="Arial"/>
                <w:color w:val="auto"/>
                <w:szCs w:val="21"/>
                <w:highlight w:val="none"/>
              </w:rPr>
            </w:pPr>
          </w:p>
        </w:tc>
        <w:tc>
          <w:tcPr>
            <w:tcW w:w="1300" w:type="dxa"/>
            <w:vAlign w:val="top"/>
          </w:tcPr>
          <w:p w14:paraId="2FD39175">
            <w:pPr>
              <w:spacing w:before="31" w:beforeLines="10" w:line="400" w:lineRule="exact"/>
              <w:rPr>
                <w:rFonts w:ascii="Arial" w:hAnsi="Arial" w:cs="Arial"/>
                <w:color w:val="auto"/>
                <w:szCs w:val="21"/>
                <w:highlight w:val="none"/>
              </w:rPr>
            </w:pPr>
          </w:p>
        </w:tc>
        <w:tc>
          <w:tcPr>
            <w:tcW w:w="1874" w:type="dxa"/>
            <w:vAlign w:val="top"/>
          </w:tcPr>
          <w:p w14:paraId="02238980">
            <w:pPr>
              <w:spacing w:before="31" w:beforeLines="10" w:line="400" w:lineRule="exact"/>
              <w:rPr>
                <w:rFonts w:ascii="Arial" w:hAnsi="Arial" w:cs="Arial"/>
                <w:color w:val="auto"/>
                <w:szCs w:val="21"/>
                <w:highlight w:val="none"/>
              </w:rPr>
            </w:pPr>
          </w:p>
        </w:tc>
      </w:tr>
      <w:tr w14:paraId="5BA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69B0EF3C">
            <w:pPr>
              <w:spacing w:before="31" w:beforeLines="10" w:line="400" w:lineRule="exact"/>
              <w:rPr>
                <w:rFonts w:ascii="Arial" w:hAnsi="Arial" w:cs="Arial"/>
                <w:color w:val="auto"/>
                <w:szCs w:val="21"/>
                <w:highlight w:val="none"/>
              </w:rPr>
            </w:pPr>
          </w:p>
        </w:tc>
        <w:tc>
          <w:tcPr>
            <w:tcW w:w="909" w:type="dxa"/>
            <w:vAlign w:val="top"/>
          </w:tcPr>
          <w:p w14:paraId="19197D1C">
            <w:pPr>
              <w:spacing w:before="31" w:beforeLines="10" w:line="400" w:lineRule="exact"/>
              <w:rPr>
                <w:rFonts w:ascii="Arial" w:hAnsi="Arial" w:cs="Arial"/>
                <w:color w:val="auto"/>
                <w:szCs w:val="21"/>
                <w:highlight w:val="none"/>
              </w:rPr>
            </w:pPr>
          </w:p>
        </w:tc>
        <w:tc>
          <w:tcPr>
            <w:tcW w:w="908" w:type="dxa"/>
            <w:vAlign w:val="top"/>
          </w:tcPr>
          <w:p w14:paraId="25D9ADF3">
            <w:pPr>
              <w:spacing w:before="31" w:beforeLines="10" w:line="400" w:lineRule="exact"/>
              <w:rPr>
                <w:rFonts w:ascii="Arial" w:hAnsi="Arial" w:cs="Arial"/>
                <w:color w:val="auto"/>
                <w:szCs w:val="21"/>
                <w:highlight w:val="none"/>
              </w:rPr>
            </w:pPr>
          </w:p>
        </w:tc>
        <w:tc>
          <w:tcPr>
            <w:tcW w:w="909" w:type="dxa"/>
            <w:vAlign w:val="top"/>
          </w:tcPr>
          <w:p w14:paraId="66F3D0F1">
            <w:pPr>
              <w:spacing w:before="31" w:beforeLines="10" w:line="400" w:lineRule="exact"/>
              <w:rPr>
                <w:rFonts w:ascii="Arial" w:hAnsi="Arial" w:cs="Arial"/>
                <w:color w:val="auto"/>
                <w:szCs w:val="21"/>
                <w:highlight w:val="none"/>
              </w:rPr>
            </w:pPr>
          </w:p>
        </w:tc>
        <w:tc>
          <w:tcPr>
            <w:tcW w:w="909" w:type="dxa"/>
            <w:vAlign w:val="top"/>
          </w:tcPr>
          <w:p w14:paraId="763A719F">
            <w:pPr>
              <w:spacing w:before="31" w:beforeLines="10" w:line="400" w:lineRule="exact"/>
              <w:rPr>
                <w:rFonts w:ascii="Arial" w:hAnsi="Arial" w:cs="Arial"/>
                <w:color w:val="auto"/>
                <w:szCs w:val="21"/>
                <w:highlight w:val="none"/>
              </w:rPr>
            </w:pPr>
          </w:p>
        </w:tc>
        <w:tc>
          <w:tcPr>
            <w:tcW w:w="1293" w:type="dxa"/>
            <w:vAlign w:val="top"/>
          </w:tcPr>
          <w:p w14:paraId="3363DE77">
            <w:pPr>
              <w:spacing w:before="31" w:beforeLines="10" w:line="400" w:lineRule="exact"/>
              <w:rPr>
                <w:rFonts w:ascii="Arial" w:hAnsi="Arial" w:cs="Arial"/>
                <w:color w:val="auto"/>
                <w:szCs w:val="21"/>
                <w:highlight w:val="none"/>
              </w:rPr>
            </w:pPr>
          </w:p>
        </w:tc>
        <w:tc>
          <w:tcPr>
            <w:tcW w:w="1300" w:type="dxa"/>
            <w:vAlign w:val="top"/>
          </w:tcPr>
          <w:p w14:paraId="3EC30CCE">
            <w:pPr>
              <w:spacing w:before="31" w:beforeLines="10" w:line="400" w:lineRule="exact"/>
              <w:rPr>
                <w:rFonts w:ascii="Arial" w:hAnsi="Arial" w:cs="Arial"/>
                <w:color w:val="auto"/>
                <w:szCs w:val="21"/>
                <w:highlight w:val="none"/>
              </w:rPr>
            </w:pPr>
          </w:p>
        </w:tc>
        <w:tc>
          <w:tcPr>
            <w:tcW w:w="1874" w:type="dxa"/>
            <w:vAlign w:val="top"/>
          </w:tcPr>
          <w:p w14:paraId="0C88C39F">
            <w:pPr>
              <w:spacing w:before="31" w:beforeLines="10" w:line="400" w:lineRule="exact"/>
              <w:rPr>
                <w:rFonts w:ascii="Arial" w:hAnsi="Arial" w:cs="Arial"/>
                <w:color w:val="auto"/>
                <w:szCs w:val="21"/>
                <w:highlight w:val="none"/>
              </w:rPr>
            </w:pPr>
          </w:p>
        </w:tc>
      </w:tr>
      <w:tr w14:paraId="039E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8" w:type="dxa"/>
            <w:vAlign w:val="top"/>
          </w:tcPr>
          <w:p w14:paraId="4173D77F">
            <w:pPr>
              <w:spacing w:before="31" w:beforeLines="10" w:line="360" w:lineRule="auto"/>
              <w:rPr>
                <w:rFonts w:ascii="Arial" w:hAnsi="Arial" w:cs="Arial"/>
                <w:color w:val="auto"/>
                <w:szCs w:val="21"/>
                <w:highlight w:val="none"/>
              </w:rPr>
            </w:pPr>
          </w:p>
        </w:tc>
        <w:tc>
          <w:tcPr>
            <w:tcW w:w="909" w:type="dxa"/>
            <w:vAlign w:val="top"/>
          </w:tcPr>
          <w:p w14:paraId="109D1768">
            <w:pPr>
              <w:spacing w:before="31" w:beforeLines="10" w:line="360" w:lineRule="auto"/>
              <w:rPr>
                <w:rFonts w:ascii="Arial" w:hAnsi="Arial" w:cs="Arial"/>
                <w:color w:val="auto"/>
                <w:szCs w:val="21"/>
                <w:highlight w:val="none"/>
              </w:rPr>
            </w:pPr>
          </w:p>
        </w:tc>
        <w:tc>
          <w:tcPr>
            <w:tcW w:w="908" w:type="dxa"/>
            <w:vAlign w:val="top"/>
          </w:tcPr>
          <w:p w14:paraId="7A543528">
            <w:pPr>
              <w:spacing w:before="31" w:beforeLines="10" w:line="360" w:lineRule="auto"/>
              <w:rPr>
                <w:rFonts w:ascii="Arial" w:hAnsi="Arial" w:cs="Arial"/>
                <w:color w:val="auto"/>
                <w:szCs w:val="21"/>
                <w:highlight w:val="none"/>
              </w:rPr>
            </w:pPr>
          </w:p>
        </w:tc>
        <w:tc>
          <w:tcPr>
            <w:tcW w:w="909" w:type="dxa"/>
            <w:vAlign w:val="top"/>
          </w:tcPr>
          <w:p w14:paraId="0B2971D1">
            <w:pPr>
              <w:spacing w:before="31" w:beforeLines="10" w:line="360" w:lineRule="auto"/>
              <w:rPr>
                <w:rFonts w:ascii="Arial" w:hAnsi="Arial" w:cs="Arial"/>
                <w:color w:val="auto"/>
                <w:szCs w:val="21"/>
                <w:highlight w:val="none"/>
              </w:rPr>
            </w:pPr>
          </w:p>
        </w:tc>
        <w:tc>
          <w:tcPr>
            <w:tcW w:w="909" w:type="dxa"/>
            <w:vAlign w:val="top"/>
          </w:tcPr>
          <w:p w14:paraId="717D3704">
            <w:pPr>
              <w:spacing w:before="31" w:beforeLines="10" w:line="360" w:lineRule="auto"/>
              <w:rPr>
                <w:rFonts w:ascii="Arial" w:hAnsi="Arial" w:cs="Arial"/>
                <w:color w:val="auto"/>
                <w:szCs w:val="21"/>
                <w:highlight w:val="none"/>
              </w:rPr>
            </w:pPr>
          </w:p>
        </w:tc>
        <w:tc>
          <w:tcPr>
            <w:tcW w:w="1293" w:type="dxa"/>
            <w:vAlign w:val="top"/>
          </w:tcPr>
          <w:p w14:paraId="3AC1EEF4">
            <w:pPr>
              <w:spacing w:before="31" w:beforeLines="10" w:line="360" w:lineRule="auto"/>
              <w:rPr>
                <w:rFonts w:ascii="Arial" w:hAnsi="Arial" w:cs="Arial"/>
                <w:color w:val="auto"/>
                <w:szCs w:val="21"/>
                <w:highlight w:val="none"/>
              </w:rPr>
            </w:pPr>
          </w:p>
        </w:tc>
        <w:tc>
          <w:tcPr>
            <w:tcW w:w="1300" w:type="dxa"/>
            <w:vAlign w:val="top"/>
          </w:tcPr>
          <w:p w14:paraId="66F90F34">
            <w:pPr>
              <w:spacing w:before="31" w:beforeLines="10" w:line="360" w:lineRule="auto"/>
              <w:rPr>
                <w:rFonts w:ascii="Arial" w:hAnsi="Arial" w:cs="Arial"/>
                <w:color w:val="auto"/>
                <w:szCs w:val="21"/>
                <w:highlight w:val="none"/>
              </w:rPr>
            </w:pPr>
          </w:p>
        </w:tc>
        <w:tc>
          <w:tcPr>
            <w:tcW w:w="1874" w:type="dxa"/>
            <w:vAlign w:val="top"/>
          </w:tcPr>
          <w:p w14:paraId="46AB8903">
            <w:pPr>
              <w:spacing w:before="31" w:beforeLines="10" w:line="360" w:lineRule="auto"/>
              <w:rPr>
                <w:rFonts w:ascii="Arial" w:hAnsi="Arial" w:cs="Arial"/>
                <w:color w:val="auto"/>
                <w:szCs w:val="21"/>
                <w:highlight w:val="none"/>
              </w:rPr>
            </w:pPr>
          </w:p>
        </w:tc>
      </w:tr>
      <w:tr w14:paraId="3E5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9010" w:type="dxa"/>
            <w:gridSpan w:val="8"/>
            <w:vAlign w:val="top"/>
          </w:tcPr>
          <w:p w14:paraId="3FC60090">
            <w:pPr>
              <w:spacing w:before="31" w:beforeLines="10" w:line="360" w:lineRule="auto"/>
              <w:rPr>
                <w:rFonts w:ascii="Arial" w:hAnsi="Arial" w:cs="Arial"/>
                <w:color w:val="auto"/>
                <w:highlight w:val="none"/>
              </w:rPr>
            </w:pPr>
            <w:r>
              <w:rPr>
                <w:rFonts w:hint="eastAsia" w:ascii="Arial" w:hAnsi="Arial" w:cs="Arial"/>
                <w:color w:val="auto"/>
                <w:highlight w:val="none"/>
                <w:lang w:val="en-US" w:eastAsia="zh-CN"/>
              </w:rPr>
              <w:t>1、</w:t>
            </w:r>
            <w:r>
              <w:rPr>
                <w:rFonts w:ascii="Arial" w:hAnsi="Arial" w:cs="Arial"/>
                <w:color w:val="auto"/>
                <w:highlight w:val="none"/>
              </w:rPr>
              <w:t>一旦我单位中标，将实行项目经理（负责人）负责制，我方保证并配备上述项目管理机构。</w:t>
            </w:r>
          </w:p>
          <w:p w14:paraId="1A3FC2B6">
            <w:pPr>
              <w:spacing w:before="31" w:beforeLines="10" w:line="360" w:lineRule="auto"/>
              <w:rPr>
                <w:rFonts w:ascii="Arial" w:hAnsi="Arial" w:cs="Arial"/>
                <w:color w:val="auto"/>
                <w:szCs w:val="21"/>
                <w:highlight w:val="none"/>
              </w:rPr>
            </w:pPr>
            <w:r>
              <w:rPr>
                <w:rFonts w:hint="eastAsia" w:ascii="Arial" w:hAnsi="Arial" w:cs="Arial"/>
                <w:color w:val="auto"/>
                <w:highlight w:val="none"/>
                <w:lang w:val="en-US" w:eastAsia="zh-CN"/>
              </w:rPr>
              <w:t>2、</w:t>
            </w:r>
            <w:r>
              <w:rPr>
                <w:rFonts w:ascii="Arial" w:hAnsi="Arial" w:cs="Arial"/>
                <w:color w:val="auto"/>
                <w:highlight w:val="none"/>
              </w:rPr>
              <w:t>上述填报内容真实，若不真实，愿按有关规定接受处理。</w:t>
            </w:r>
          </w:p>
        </w:tc>
      </w:tr>
    </w:tbl>
    <w:p w14:paraId="0230E8C8">
      <w:pPr>
        <w:spacing w:line="360" w:lineRule="auto"/>
        <w:rPr>
          <w:rFonts w:hint="eastAsia"/>
          <w:b/>
          <w:bCs/>
          <w:highlight w:val="none"/>
          <w:lang w:val="en-US" w:eastAsia="zh-CN"/>
        </w:rPr>
      </w:pPr>
      <w:r>
        <w:rPr>
          <w:rFonts w:hint="eastAsia"/>
          <w:b/>
          <w:bCs/>
          <w:highlight w:val="none"/>
          <w:lang w:val="en-US" w:eastAsia="zh-CN"/>
        </w:rPr>
        <w:t>注：1、本表应附学历证书、技术职称/资格证书、业绩证明等扫描件并加盖公章；</w:t>
      </w:r>
    </w:p>
    <w:p w14:paraId="29DF563D">
      <w:pPr>
        <w:spacing w:line="360" w:lineRule="auto"/>
        <w:ind w:left="632" w:hanging="632" w:hangingChars="300"/>
        <w:rPr>
          <w:rFonts w:hint="default"/>
          <w:b/>
          <w:bCs/>
          <w:highlight w:val="none"/>
          <w:lang w:val="en-US" w:eastAsia="zh-CN"/>
        </w:rPr>
      </w:pPr>
      <w:r>
        <w:rPr>
          <w:rFonts w:hint="eastAsia"/>
          <w:b/>
          <w:bCs/>
          <w:highlight w:val="none"/>
          <w:lang w:val="en-US" w:eastAsia="zh-CN"/>
        </w:rPr>
        <w:t xml:space="preserve">    2、提供所在单位连续缴纳近三个月社保证明（公司注册时间未满三个月的，提供最近一个月的社保证明，公司注册时间未满一个月的，提供公司社会保险参保证明）。</w:t>
      </w:r>
    </w:p>
    <w:p w14:paraId="1ED6267B">
      <w:pPr>
        <w:spacing w:line="360" w:lineRule="auto"/>
        <w:ind w:firstLine="422" w:firstLineChars="200"/>
        <w:outlineLvl w:val="1"/>
        <w:rPr>
          <w:rFonts w:hint="eastAsia"/>
          <w:highlight w:val="none"/>
        </w:rPr>
      </w:pPr>
      <w:r>
        <w:rPr>
          <w:rFonts w:hint="eastAsia"/>
          <w:b/>
          <w:bCs/>
          <w:highlight w:val="none"/>
          <w:lang w:val="en-US" w:eastAsia="zh-CN"/>
        </w:rPr>
        <w:t>3、本表可在不改变格式的情况下根据具体需要自行增减。</w:t>
      </w:r>
    </w:p>
    <w:p w14:paraId="294F2920">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磋商供应商全称（</w:t>
      </w:r>
      <w:r>
        <w:rPr>
          <w:rFonts w:hint="eastAsia" w:ascii="宋体" w:hAnsi="宋体" w:eastAsia="宋体" w:cs="宋体"/>
          <w:highlight w:val="none"/>
        </w:rPr>
        <w:t>盖电子签章</w:t>
      </w:r>
      <w:r>
        <w:rPr>
          <w:rFonts w:hint="eastAsia" w:ascii="宋体" w:hAnsi="宋体" w:eastAsia="宋体" w:cs="宋体"/>
          <w:szCs w:val="21"/>
          <w:highlight w:val="none"/>
        </w:rPr>
        <w:t>）：</w:t>
      </w:r>
    </w:p>
    <w:p w14:paraId="6C636A5C">
      <w:pPr>
        <w:spacing w:before="312" w:beforeLines="100" w:after="312" w:afterLines="100" w:line="400" w:lineRule="atLeast"/>
        <w:ind w:left="4620" w:leftChars="2200"/>
        <w:rPr>
          <w:rFonts w:ascii="宋体" w:hAnsi="宋体" w:eastAsia="宋体" w:cs="宋体"/>
          <w:szCs w:val="21"/>
          <w:highlight w:val="none"/>
        </w:rPr>
      </w:pPr>
      <w:r>
        <w:rPr>
          <w:rFonts w:hint="eastAsia" w:ascii="宋体" w:hAnsi="宋体" w:eastAsia="宋体" w:cs="宋体"/>
          <w:szCs w:val="21"/>
          <w:highlight w:val="none"/>
        </w:rPr>
        <w:t>法定代表人或授权代表（签字或盖章）：</w:t>
      </w:r>
    </w:p>
    <w:p w14:paraId="2CB66CA4">
      <w:pPr>
        <w:ind w:firstLine="4620" w:firstLineChars="2200"/>
        <w:rPr>
          <w:rFonts w:hint="eastAsia"/>
          <w:highlight w:val="none"/>
        </w:rPr>
      </w:pPr>
      <w:r>
        <w:rPr>
          <w:rFonts w:hint="eastAsia"/>
          <w:highlight w:val="none"/>
        </w:rPr>
        <w:t>日      期：    年   月     日</w:t>
      </w:r>
    </w:p>
    <w:p w14:paraId="5F372EE0">
      <w:pPr>
        <w:pStyle w:val="7"/>
        <w:ind w:left="0" w:leftChars="0" w:firstLine="0" w:firstLineChars="0"/>
        <w:rPr>
          <w:rFonts w:hint="eastAsia"/>
          <w:highlight w:val="none"/>
        </w:rPr>
      </w:pPr>
    </w:p>
    <w:p w14:paraId="5BB06056">
      <w:pPr>
        <w:pStyle w:val="3"/>
        <w:jc w:val="center"/>
        <w:outlineLvl w:val="2"/>
        <w:rPr>
          <w:rFonts w:ascii="Arial" w:hAnsi="Arial" w:cs="Arial"/>
          <w:b/>
          <w:bCs w:val="0"/>
          <w:color w:val="auto"/>
          <w:sz w:val="28"/>
          <w:highlight w:val="none"/>
          <w:lang w:val="en-US" w:eastAsia="zh-CN"/>
        </w:rPr>
      </w:pPr>
      <w:bookmarkStart w:id="422" w:name="_Toc27756"/>
      <w:bookmarkStart w:id="423" w:name="_Toc6987"/>
      <w:bookmarkStart w:id="424" w:name="_Toc22717"/>
      <w:bookmarkStart w:id="425" w:name="_Toc28867"/>
      <w:bookmarkStart w:id="426" w:name="_Toc28518"/>
      <w:bookmarkStart w:id="427" w:name="_Toc22732"/>
      <w:r>
        <w:rPr>
          <w:rFonts w:ascii="Arial" w:hAnsi="Arial" w:cs="Arial"/>
          <w:b/>
          <w:bCs w:val="0"/>
          <w:color w:val="auto"/>
          <w:sz w:val="28"/>
          <w:highlight w:val="none"/>
          <w:lang w:val="en-US" w:eastAsia="zh-CN"/>
        </w:rPr>
        <w:t>附件</w:t>
      </w:r>
      <w:r>
        <w:rPr>
          <w:rFonts w:hint="eastAsia" w:ascii="Arial" w:hAnsi="Arial" w:cs="Arial"/>
          <w:b/>
          <w:bCs w:val="0"/>
          <w:color w:val="auto"/>
          <w:sz w:val="28"/>
          <w:highlight w:val="none"/>
          <w:lang w:val="en-US" w:eastAsia="zh-CN"/>
        </w:rPr>
        <w:t xml:space="preserve">十二 </w:t>
      </w:r>
      <w:r>
        <w:rPr>
          <w:rFonts w:ascii="Arial" w:hAnsi="Arial" w:cs="Arial"/>
          <w:b/>
          <w:bCs w:val="0"/>
          <w:color w:val="auto"/>
          <w:sz w:val="28"/>
          <w:highlight w:val="none"/>
          <w:lang w:val="en-US" w:eastAsia="zh-CN"/>
        </w:rPr>
        <w:t xml:space="preserve"> 磋商供应</w:t>
      </w:r>
      <w:r>
        <w:rPr>
          <w:rFonts w:ascii="Arial" w:hAnsi="Arial" w:cs="Arial"/>
          <w:b/>
          <w:bCs w:val="0"/>
          <w:color w:val="auto"/>
          <w:sz w:val="28"/>
          <w:szCs w:val="28"/>
          <w:highlight w:val="none"/>
          <w:lang w:val="en-US" w:eastAsia="zh-CN"/>
        </w:rPr>
        <w:t>商</w:t>
      </w:r>
      <w:r>
        <w:rPr>
          <w:rFonts w:hint="eastAsia" w:ascii="Arial" w:hAnsi="Arial" w:cs="Arial"/>
          <w:b/>
          <w:bCs w:val="0"/>
          <w:color w:val="auto"/>
          <w:kern w:val="28"/>
          <w:sz w:val="28"/>
          <w:szCs w:val="28"/>
          <w:highlight w:val="none"/>
        </w:rPr>
        <w:t>20</w:t>
      </w:r>
      <w:r>
        <w:rPr>
          <w:rFonts w:hint="eastAsia" w:ascii="Arial" w:hAnsi="Arial" w:cs="Arial"/>
          <w:b/>
          <w:bCs w:val="0"/>
          <w:color w:val="auto"/>
          <w:kern w:val="28"/>
          <w:sz w:val="28"/>
          <w:szCs w:val="28"/>
          <w:highlight w:val="none"/>
          <w:lang w:val="en-US" w:eastAsia="zh-CN"/>
        </w:rPr>
        <w:t>22</w:t>
      </w:r>
      <w:r>
        <w:rPr>
          <w:rFonts w:hint="eastAsia" w:ascii="Arial" w:hAnsi="Arial" w:cs="Arial"/>
          <w:b/>
          <w:bCs w:val="0"/>
          <w:color w:val="auto"/>
          <w:kern w:val="28"/>
          <w:sz w:val="28"/>
          <w:szCs w:val="28"/>
          <w:highlight w:val="none"/>
        </w:rPr>
        <w:t>年</w:t>
      </w:r>
      <w:r>
        <w:rPr>
          <w:rFonts w:hint="eastAsia" w:ascii="Arial" w:hAnsi="Arial" w:cs="Arial"/>
          <w:b/>
          <w:bCs w:val="0"/>
          <w:color w:val="auto"/>
          <w:kern w:val="28"/>
          <w:sz w:val="28"/>
          <w:szCs w:val="28"/>
          <w:highlight w:val="none"/>
          <w:lang w:val="en-US" w:eastAsia="zh-CN"/>
        </w:rPr>
        <w:t>1</w:t>
      </w:r>
      <w:r>
        <w:rPr>
          <w:rFonts w:ascii="Arial" w:hAnsi="Arial" w:cs="Arial"/>
          <w:b/>
          <w:bCs w:val="0"/>
          <w:color w:val="auto"/>
          <w:kern w:val="28"/>
          <w:sz w:val="28"/>
          <w:szCs w:val="28"/>
          <w:highlight w:val="none"/>
        </w:rPr>
        <w:t>月</w:t>
      </w:r>
      <w:r>
        <w:rPr>
          <w:rFonts w:hint="eastAsia" w:ascii="Arial" w:hAnsi="Arial" w:cs="Arial"/>
          <w:b/>
          <w:bCs w:val="0"/>
          <w:color w:val="auto"/>
          <w:kern w:val="28"/>
          <w:sz w:val="28"/>
          <w:szCs w:val="28"/>
          <w:highlight w:val="none"/>
          <w:lang w:val="en-US" w:eastAsia="zh-CN"/>
        </w:rPr>
        <w:t>1日</w:t>
      </w:r>
      <w:r>
        <w:rPr>
          <w:rFonts w:ascii="Arial" w:hAnsi="Arial" w:cs="Arial"/>
          <w:b/>
          <w:bCs w:val="0"/>
          <w:color w:val="auto"/>
          <w:sz w:val="28"/>
          <w:highlight w:val="none"/>
          <w:lang w:val="en-US" w:eastAsia="zh-CN"/>
        </w:rPr>
        <w:t>以来</w:t>
      </w:r>
      <w:r>
        <w:rPr>
          <w:rFonts w:hint="eastAsia" w:ascii="Arial" w:hAnsi="Arial" w:cs="Arial"/>
          <w:b/>
          <w:bCs w:val="0"/>
          <w:color w:val="auto"/>
          <w:sz w:val="28"/>
          <w:highlight w:val="none"/>
          <w:lang w:val="en-US" w:eastAsia="zh-CN"/>
        </w:rPr>
        <w:t>类似项目</w:t>
      </w:r>
      <w:r>
        <w:rPr>
          <w:rFonts w:ascii="Arial" w:hAnsi="Arial" w:cs="Arial"/>
          <w:b/>
          <w:bCs w:val="0"/>
          <w:color w:val="auto"/>
          <w:sz w:val="28"/>
          <w:highlight w:val="none"/>
          <w:lang w:val="en-US" w:eastAsia="zh-CN"/>
        </w:rPr>
        <w:t>业绩一览表</w:t>
      </w:r>
      <w:bookmarkEnd w:id="422"/>
      <w:bookmarkEnd w:id="423"/>
      <w:bookmarkEnd w:id="424"/>
      <w:bookmarkEnd w:id="425"/>
      <w:bookmarkEnd w:id="426"/>
      <w:bookmarkEnd w:id="42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1672"/>
        <w:gridCol w:w="1437"/>
      </w:tblGrid>
      <w:tr w14:paraId="34B5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029D599C">
            <w:pPr>
              <w:spacing w:line="380" w:lineRule="exact"/>
              <w:jc w:val="center"/>
              <w:rPr>
                <w:rFonts w:ascii="Arial" w:hAnsi="Arial" w:cs="Arial"/>
                <w:b/>
                <w:bCs/>
                <w:color w:val="auto"/>
                <w:sz w:val="22"/>
                <w:highlight w:val="none"/>
              </w:rPr>
            </w:pPr>
            <w:r>
              <w:rPr>
                <w:rFonts w:ascii="Arial" w:hAnsi="Arial" w:cs="Arial"/>
                <w:b/>
                <w:bCs/>
                <w:color w:val="auto"/>
                <w:sz w:val="22"/>
                <w:highlight w:val="none"/>
              </w:rPr>
              <w:t>序号</w:t>
            </w:r>
          </w:p>
        </w:tc>
        <w:tc>
          <w:tcPr>
            <w:tcW w:w="1948" w:type="dxa"/>
            <w:vAlign w:val="center"/>
          </w:tcPr>
          <w:p w14:paraId="2D41B2FD">
            <w:pPr>
              <w:spacing w:line="380" w:lineRule="exact"/>
              <w:jc w:val="center"/>
              <w:rPr>
                <w:rFonts w:ascii="Arial" w:hAnsi="Arial" w:cs="Arial"/>
                <w:b/>
                <w:bCs/>
                <w:color w:val="auto"/>
                <w:sz w:val="22"/>
                <w:highlight w:val="none"/>
              </w:rPr>
            </w:pPr>
            <w:r>
              <w:rPr>
                <w:rFonts w:ascii="Arial" w:hAnsi="Arial" w:cs="Arial"/>
                <w:b/>
                <w:bCs/>
                <w:color w:val="auto"/>
                <w:sz w:val="22"/>
                <w:highlight w:val="none"/>
              </w:rPr>
              <w:t>项目名称</w:t>
            </w:r>
          </w:p>
        </w:tc>
        <w:tc>
          <w:tcPr>
            <w:tcW w:w="1764" w:type="dxa"/>
            <w:vAlign w:val="center"/>
          </w:tcPr>
          <w:p w14:paraId="1B7810C9">
            <w:pPr>
              <w:spacing w:line="380" w:lineRule="exact"/>
              <w:jc w:val="center"/>
              <w:rPr>
                <w:rFonts w:ascii="Arial" w:hAnsi="Arial" w:cs="Arial"/>
                <w:b/>
                <w:bCs/>
                <w:color w:val="auto"/>
                <w:sz w:val="22"/>
                <w:highlight w:val="none"/>
              </w:rPr>
            </w:pPr>
            <w:r>
              <w:rPr>
                <w:rFonts w:ascii="Arial" w:hAnsi="Arial" w:cs="Arial"/>
                <w:b/>
                <w:bCs/>
                <w:color w:val="auto"/>
                <w:sz w:val="22"/>
                <w:highlight w:val="none"/>
              </w:rPr>
              <w:t>用户单位</w:t>
            </w:r>
          </w:p>
        </w:tc>
        <w:tc>
          <w:tcPr>
            <w:tcW w:w="1203" w:type="dxa"/>
            <w:vAlign w:val="center"/>
          </w:tcPr>
          <w:p w14:paraId="5A8DA99A">
            <w:pPr>
              <w:spacing w:line="380" w:lineRule="exact"/>
              <w:jc w:val="center"/>
              <w:rPr>
                <w:rFonts w:ascii="Arial" w:hAnsi="Arial" w:cs="Arial"/>
                <w:b/>
                <w:bCs/>
                <w:color w:val="auto"/>
                <w:sz w:val="22"/>
                <w:highlight w:val="none"/>
              </w:rPr>
            </w:pPr>
            <w:r>
              <w:rPr>
                <w:rFonts w:ascii="Arial" w:hAnsi="Arial" w:cs="Arial"/>
                <w:b/>
                <w:bCs/>
                <w:color w:val="auto"/>
                <w:sz w:val="22"/>
                <w:highlight w:val="none"/>
              </w:rPr>
              <w:t>合同金额</w:t>
            </w:r>
          </w:p>
        </w:tc>
        <w:tc>
          <w:tcPr>
            <w:tcW w:w="1672" w:type="dxa"/>
            <w:vAlign w:val="center"/>
          </w:tcPr>
          <w:p w14:paraId="6BF1A275">
            <w:pPr>
              <w:spacing w:line="380" w:lineRule="exact"/>
              <w:jc w:val="center"/>
              <w:rPr>
                <w:rFonts w:ascii="Arial" w:hAnsi="Arial" w:cs="Arial"/>
                <w:b/>
                <w:bCs/>
                <w:color w:val="auto"/>
                <w:sz w:val="22"/>
                <w:highlight w:val="none"/>
              </w:rPr>
            </w:pPr>
            <w:r>
              <w:rPr>
                <w:rFonts w:ascii="Arial" w:hAnsi="Arial" w:cs="Arial"/>
                <w:b/>
                <w:bCs/>
                <w:color w:val="auto"/>
                <w:sz w:val="22"/>
                <w:highlight w:val="none"/>
              </w:rPr>
              <w:t>合同签订时间</w:t>
            </w:r>
          </w:p>
        </w:tc>
        <w:tc>
          <w:tcPr>
            <w:tcW w:w="1437" w:type="dxa"/>
            <w:vAlign w:val="center"/>
          </w:tcPr>
          <w:p w14:paraId="2AF19D9B">
            <w:pPr>
              <w:spacing w:line="380" w:lineRule="exact"/>
              <w:jc w:val="center"/>
              <w:rPr>
                <w:rFonts w:ascii="Arial" w:hAnsi="Arial" w:cs="Arial"/>
                <w:b/>
                <w:bCs/>
                <w:color w:val="auto"/>
                <w:sz w:val="22"/>
                <w:highlight w:val="none"/>
              </w:rPr>
            </w:pPr>
            <w:r>
              <w:rPr>
                <w:rFonts w:ascii="Arial" w:hAnsi="Arial" w:cs="Arial"/>
                <w:b/>
                <w:bCs/>
                <w:color w:val="auto"/>
                <w:sz w:val="22"/>
                <w:highlight w:val="none"/>
              </w:rPr>
              <w:t>用户联系人/联系方式</w:t>
            </w:r>
          </w:p>
        </w:tc>
      </w:tr>
      <w:tr w14:paraId="4804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0D75B4C">
            <w:pPr>
              <w:spacing w:line="380" w:lineRule="exact"/>
              <w:jc w:val="center"/>
              <w:rPr>
                <w:rFonts w:ascii="Arial" w:hAnsi="Arial" w:cs="Arial"/>
                <w:b/>
                <w:bCs/>
                <w:color w:val="auto"/>
                <w:sz w:val="22"/>
                <w:highlight w:val="none"/>
              </w:rPr>
            </w:pPr>
          </w:p>
        </w:tc>
        <w:tc>
          <w:tcPr>
            <w:tcW w:w="1948" w:type="dxa"/>
            <w:vAlign w:val="center"/>
          </w:tcPr>
          <w:p w14:paraId="3E91CD5F">
            <w:pPr>
              <w:spacing w:line="380" w:lineRule="exact"/>
              <w:jc w:val="center"/>
              <w:rPr>
                <w:rFonts w:ascii="Arial" w:hAnsi="Arial" w:cs="Arial"/>
                <w:b/>
                <w:bCs/>
                <w:color w:val="auto"/>
                <w:sz w:val="22"/>
                <w:highlight w:val="none"/>
              </w:rPr>
            </w:pPr>
          </w:p>
        </w:tc>
        <w:tc>
          <w:tcPr>
            <w:tcW w:w="1764" w:type="dxa"/>
            <w:vAlign w:val="center"/>
          </w:tcPr>
          <w:p w14:paraId="6D1902C2">
            <w:pPr>
              <w:spacing w:line="380" w:lineRule="exact"/>
              <w:jc w:val="center"/>
              <w:rPr>
                <w:rFonts w:ascii="Arial" w:hAnsi="Arial" w:cs="Arial"/>
                <w:b/>
                <w:bCs/>
                <w:color w:val="auto"/>
                <w:sz w:val="22"/>
                <w:highlight w:val="none"/>
              </w:rPr>
            </w:pPr>
          </w:p>
        </w:tc>
        <w:tc>
          <w:tcPr>
            <w:tcW w:w="1203" w:type="dxa"/>
            <w:vAlign w:val="center"/>
          </w:tcPr>
          <w:p w14:paraId="3A8D422A">
            <w:pPr>
              <w:spacing w:line="380" w:lineRule="exact"/>
              <w:jc w:val="center"/>
              <w:rPr>
                <w:rFonts w:ascii="Arial" w:hAnsi="Arial" w:cs="Arial"/>
                <w:b/>
                <w:bCs/>
                <w:color w:val="auto"/>
                <w:sz w:val="22"/>
                <w:highlight w:val="none"/>
              </w:rPr>
            </w:pPr>
          </w:p>
        </w:tc>
        <w:tc>
          <w:tcPr>
            <w:tcW w:w="1672" w:type="dxa"/>
            <w:vAlign w:val="center"/>
          </w:tcPr>
          <w:p w14:paraId="6583630B">
            <w:pPr>
              <w:spacing w:line="380" w:lineRule="exact"/>
              <w:jc w:val="center"/>
              <w:rPr>
                <w:rFonts w:ascii="Arial" w:hAnsi="Arial" w:cs="Arial"/>
                <w:b/>
                <w:bCs/>
                <w:color w:val="auto"/>
                <w:sz w:val="22"/>
                <w:highlight w:val="none"/>
              </w:rPr>
            </w:pPr>
          </w:p>
        </w:tc>
        <w:tc>
          <w:tcPr>
            <w:tcW w:w="1437" w:type="dxa"/>
            <w:vAlign w:val="center"/>
          </w:tcPr>
          <w:p w14:paraId="7AE7D792">
            <w:pPr>
              <w:spacing w:line="380" w:lineRule="exact"/>
              <w:jc w:val="center"/>
              <w:rPr>
                <w:rFonts w:ascii="Arial" w:hAnsi="Arial" w:cs="Arial"/>
                <w:b/>
                <w:bCs/>
                <w:color w:val="auto"/>
                <w:sz w:val="22"/>
                <w:highlight w:val="none"/>
              </w:rPr>
            </w:pPr>
          </w:p>
        </w:tc>
      </w:tr>
      <w:tr w14:paraId="2C18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22DDEFCC">
            <w:pPr>
              <w:spacing w:line="380" w:lineRule="exact"/>
              <w:jc w:val="center"/>
              <w:rPr>
                <w:rFonts w:ascii="Arial" w:hAnsi="Arial" w:cs="Arial"/>
                <w:b/>
                <w:bCs/>
                <w:color w:val="auto"/>
                <w:sz w:val="22"/>
                <w:highlight w:val="none"/>
              </w:rPr>
            </w:pPr>
          </w:p>
        </w:tc>
        <w:tc>
          <w:tcPr>
            <w:tcW w:w="1948" w:type="dxa"/>
            <w:vAlign w:val="center"/>
          </w:tcPr>
          <w:p w14:paraId="21F24695">
            <w:pPr>
              <w:spacing w:line="380" w:lineRule="exact"/>
              <w:jc w:val="center"/>
              <w:rPr>
                <w:rFonts w:ascii="Arial" w:hAnsi="Arial" w:cs="Arial"/>
                <w:b/>
                <w:bCs/>
                <w:color w:val="auto"/>
                <w:sz w:val="22"/>
                <w:highlight w:val="none"/>
              </w:rPr>
            </w:pPr>
          </w:p>
        </w:tc>
        <w:tc>
          <w:tcPr>
            <w:tcW w:w="1764" w:type="dxa"/>
            <w:vAlign w:val="center"/>
          </w:tcPr>
          <w:p w14:paraId="5D5AE16C">
            <w:pPr>
              <w:spacing w:line="380" w:lineRule="exact"/>
              <w:jc w:val="center"/>
              <w:rPr>
                <w:rFonts w:ascii="Arial" w:hAnsi="Arial" w:cs="Arial"/>
                <w:b/>
                <w:bCs/>
                <w:color w:val="auto"/>
                <w:sz w:val="22"/>
                <w:highlight w:val="none"/>
              </w:rPr>
            </w:pPr>
          </w:p>
        </w:tc>
        <w:tc>
          <w:tcPr>
            <w:tcW w:w="1203" w:type="dxa"/>
            <w:vAlign w:val="center"/>
          </w:tcPr>
          <w:p w14:paraId="199CFB9A">
            <w:pPr>
              <w:spacing w:line="380" w:lineRule="exact"/>
              <w:jc w:val="center"/>
              <w:rPr>
                <w:rFonts w:ascii="Arial" w:hAnsi="Arial" w:cs="Arial"/>
                <w:b/>
                <w:bCs/>
                <w:color w:val="auto"/>
                <w:sz w:val="22"/>
                <w:highlight w:val="none"/>
              </w:rPr>
            </w:pPr>
          </w:p>
        </w:tc>
        <w:tc>
          <w:tcPr>
            <w:tcW w:w="1672" w:type="dxa"/>
            <w:vAlign w:val="center"/>
          </w:tcPr>
          <w:p w14:paraId="49837572">
            <w:pPr>
              <w:spacing w:line="380" w:lineRule="exact"/>
              <w:jc w:val="center"/>
              <w:rPr>
                <w:rFonts w:ascii="Arial" w:hAnsi="Arial" w:cs="Arial"/>
                <w:b/>
                <w:bCs/>
                <w:color w:val="auto"/>
                <w:sz w:val="22"/>
                <w:highlight w:val="none"/>
              </w:rPr>
            </w:pPr>
          </w:p>
        </w:tc>
        <w:tc>
          <w:tcPr>
            <w:tcW w:w="1437" w:type="dxa"/>
            <w:vAlign w:val="center"/>
          </w:tcPr>
          <w:p w14:paraId="551C7690">
            <w:pPr>
              <w:spacing w:line="380" w:lineRule="exact"/>
              <w:jc w:val="center"/>
              <w:rPr>
                <w:rFonts w:ascii="Arial" w:hAnsi="Arial" w:cs="Arial"/>
                <w:b/>
                <w:bCs/>
                <w:color w:val="auto"/>
                <w:sz w:val="22"/>
                <w:highlight w:val="none"/>
              </w:rPr>
            </w:pPr>
          </w:p>
        </w:tc>
      </w:tr>
      <w:tr w14:paraId="276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99C25E6">
            <w:pPr>
              <w:spacing w:line="380" w:lineRule="exact"/>
              <w:jc w:val="center"/>
              <w:rPr>
                <w:rFonts w:ascii="Arial" w:hAnsi="Arial" w:cs="Arial"/>
                <w:b/>
                <w:bCs/>
                <w:color w:val="auto"/>
                <w:sz w:val="22"/>
                <w:highlight w:val="none"/>
              </w:rPr>
            </w:pPr>
          </w:p>
        </w:tc>
        <w:tc>
          <w:tcPr>
            <w:tcW w:w="1948" w:type="dxa"/>
            <w:vAlign w:val="center"/>
          </w:tcPr>
          <w:p w14:paraId="53ED5005">
            <w:pPr>
              <w:spacing w:line="380" w:lineRule="exact"/>
              <w:jc w:val="center"/>
              <w:rPr>
                <w:rFonts w:ascii="Arial" w:hAnsi="Arial" w:cs="Arial"/>
                <w:b/>
                <w:bCs/>
                <w:color w:val="auto"/>
                <w:sz w:val="22"/>
                <w:highlight w:val="none"/>
              </w:rPr>
            </w:pPr>
          </w:p>
        </w:tc>
        <w:tc>
          <w:tcPr>
            <w:tcW w:w="1764" w:type="dxa"/>
            <w:vAlign w:val="center"/>
          </w:tcPr>
          <w:p w14:paraId="3ACA0BFB">
            <w:pPr>
              <w:spacing w:line="380" w:lineRule="exact"/>
              <w:jc w:val="center"/>
              <w:rPr>
                <w:rFonts w:ascii="Arial" w:hAnsi="Arial" w:cs="Arial"/>
                <w:b/>
                <w:bCs/>
                <w:color w:val="auto"/>
                <w:sz w:val="22"/>
                <w:highlight w:val="none"/>
              </w:rPr>
            </w:pPr>
          </w:p>
        </w:tc>
        <w:tc>
          <w:tcPr>
            <w:tcW w:w="1203" w:type="dxa"/>
            <w:vAlign w:val="center"/>
          </w:tcPr>
          <w:p w14:paraId="21593DAC">
            <w:pPr>
              <w:spacing w:line="380" w:lineRule="exact"/>
              <w:jc w:val="center"/>
              <w:rPr>
                <w:rFonts w:ascii="Arial" w:hAnsi="Arial" w:cs="Arial"/>
                <w:b/>
                <w:bCs/>
                <w:color w:val="auto"/>
                <w:sz w:val="22"/>
                <w:highlight w:val="none"/>
              </w:rPr>
            </w:pPr>
          </w:p>
        </w:tc>
        <w:tc>
          <w:tcPr>
            <w:tcW w:w="1672" w:type="dxa"/>
            <w:vAlign w:val="center"/>
          </w:tcPr>
          <w:p w14:paraId="406FF46D">
            <w:pPr>
              <w:spacing w:line="380" w:lineRule="exact"/>
              <w:jc w:val="center"/>
              <w:rPr>
                <w:rFonts w:ascii="Arial" w:hAnsi="Arial" w:cs="Arial"/>
                <w:b/>
                <w:bCs/>
                <w:color w:val="auto"/>
                <w:sz w:val="22"/>
                <w:highlight w:val="none"/>
              </w:rPr>
            </w:pPr>
          </w:p>
        </w:tc>
        <w:tc>
          <w:tcPr>
            <w:tcW w:w="1437" w:type="dxa"/>
            <w:vAlign w:val="center"/>
          </w:tcPr>
          <w:p w14:paraId="5461A176">
            <w:pPr>
              <w:spacing w:line="380" w:lineRule="exact"/>
              <w:jc w:val="center"/>
              <w:rPr>
                <w:rFonts w:ascii="Arial" w:hAnsi="Arial" w:cs="Arial"/>
                <w:b/>
                <w:bCs/>
                <w:color w:val="auto"/>
                <w:sz w:val="22"/>
                <w:highlight w:val="none"/>
              </w:rPr>
            </w:pPr>
          </w:p>
        </w:tc>
      </w:tr>
      <w:tr w14:paraId="2A5D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68E2011A">
            <w:pPr>
              <w:spacing w:line="380" w:lineRule="exact"/>
              <w:jc w:val="center"/>
              <w:rPr>
                <w:rFonts w:ascii="Arial" w:hAnsi="Arial" w:cs="Arial"/>
                <w:b/>
                <w:bCs/>
                <w:color w:val="auto"/>
                <w:sz w:val="22"/>
                <w:highlight w:val="none"/>
              </w:rPr>
            </w:pPr>
          </w:p>
        </w:tc>
        <w:tc>
          <w:tcPr>
            <w:tcW w:w="1948" w:type="dxa"/>
            <w:vAlign w:val="center"/>
          </w:tcPr>
          <w:p w14:paraId="53364025">
            <w:pPr>
              <w:spacing w:line="380" w:lineRule="exact"/>
              <w:jc w:val="center"/>
              <w:rPr>
                <w:rFonts w:ascii="Arial" w:hAnsi="Arial" w:cs="Arial"/>
                <w:b/>
                <w:bCs/>
                <w:color w:val="auto"/>
                <w:sz w:val="22"/>
                <w:highlight w:val="none"/>
              </w:rPr>
            </w:pPr>
          </w:p>
        </w:tc>
        <w:tc>
          <w:tcPr>
            <w:tcW w:w="1764" w:type="dxa"/>
            <w:vAlign w:val="center"/>
          </w:tcPr>
          <w:p w14:paraId="0CD88541">
            <w:pPr>
              <w:spacing w:line="380" w:lineRule="exact"/>
              <w:jc w:val="center"/>
              <w:rPr>
                <w:rFonts w:ascii="Arial" w:hAnsi="Arial" w:cs="Arial"/>
                <w:b/>
                <w:bCs/>
                <w:color w:val="auto"/>
                <w:sz w:val="22"/>
                <w:highlight w:val="none"/>
              </w:rPr>
            </w:pPr>
          </w:p>
        </w:tc>
        <w:tc>
          <w:tcPr>
            <w:tcW w:w="1203" w:type="dxa"/>
            <w:vAlign w:val="center"/>
          </w:tcPr>
          <w:p w14:paraId="31E3A913">
            <w:pPr>
              <w:spacing w:line="380" w:lineRule="exact"/>
              <w:jc w:val="center"/>
              <w:rPr>
                <w:rFonts w:ascii="Arial" w:hAnsi="Arial" w:cs="Arial"/>
                <w:b/>
                <w:bCs/>
                <w:color w:val="auto"/>
                <w:sz w:val="22"/>
                <w:highlight w:val="none"/>
              </w:rPr>
            </w:pPr>
          </w:p>
        </w:tc>
        <w:tc>
          <w:tcPr>
            <w:tcW w:w="1672" w:type="dxa"/>
            <w:vAlign w:val="center"/>
          </w:tcPr>
          <w:p w14:paraId="168000BE">
            <w:pPr>
              <w:spacing w:line="380" w:lineRule="exact"/>
              <w:jc w:val="center"/>
              <w:rPr>
                <w:rFonts w:ascii="Arial" w:hAnsi="Arial" w:cs="Arial"/>
                <w:b/>
                <w:bCs/>
                <w:color w:val="auto"/>
                <w:sz w:val="22"/>
                <w:highlight w:val="none"/>
              </w:rPr>
            </w:pPr>
          </w:p>
        </w:tc>
        <w:tc>
          <w:tcPr>
            <w:tcW w:w="1437" w:type="dxa"/>
            <w:vAlign w:val="center"/>
          </w:tcPr>
          <w:p w14:paraId="44BE33EE">
            <w:pPr>
              <w:spacing w:line="380" w:lineRule="exact"/>
              <w:jc w:val="center"/>
              <w:rPr>
                <w:rFonts w:ascii="Arial" w:hAnsi="Arial" w:cs="Arial"/>
                <w:b/>
                <w:bCs/>
                <w:color w:val="auto"/>
                <w:sz w:val="22"/>
                <w:highlight w:val="none"/>
              </w:rPr>
            </w:pPr>
          </w:p>
        </w:tc>
      </w:tr>
      <w:tr w14:paraId="2782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242F21BE">
            <w:pPr>
              <w:spacing w:line="380" w:lineRule="exact"/>
              <w:jc w:val="center"/>
              <w:rPr>
                <w:rFonts w:ascii="Arial" w:hAnsi="Arial" w:cs="Arial"/>
                <w:b/>
                <w:bCs/>
                <w:color w:val="auto"/>
                <w:sz w:val="22"/>
                <w:highlight w:val="none"/>
              </w:rPr>
            </w:pPr>
          </w:p>
        </w:tc>
        <w:tc>
          <w:tcPr>
            <w:tcW w:w="1948" w:type="dxa"/>
            <w:vAlign w:val="center"/>
          </w:tcPr>
          <w:p w14:paraId="3249A8EC">
            <w:pPr>
              <w:spacing w:line="380" w:lineRule="exact"/>
              <w:jc w:val="center"/>
              <w:rPr>
                <w:rFonts w:ascii="Arial" w:hAnsi="Arial" w:cs="Arial"/>
                <w:b/>
                <w:bCs/>
                <w:color w:val="auto"/>
                <w:sz w:val="22"/>
                <w:highlight w:val="none"/>
              </w:rPr>
            </w:pPr>
          </w:p>
        </w:tc>
        <w:tc>
          <w:tcPr>
            <w:tcW w:w="1764" w:type="dxa"/>
            <w:vAlign w:val="center"/>
          </w:tcPr>
          <w:p w14:paraId="4936DCCC">
            <w:pPr>
              <w:spacing w:line="380" w:lineRule="exact"/>
              <w:jc w:val="center"/>
              <w:rPr>
                <w:rFonts w:ascii="Arial" w:hAnsi="Arial" w:cs="Arial"/>
                <w:b/>
                <w:bCs/>
                <w:color w:val="auto"/>
                <w:sz w:val="22"/>
                <w:highlight w:val="none"/>
              </w:rPr>
            </w:pPr>
          </w:p>
        </w:tc>
        <w:tc>
          <w:tcPr>
            <w:tcW w:w="1203" w:type="dxa"/>
            <w:vAlign w:val="center"/>
          </w:tcPr>
          <w:p w14:paraId="5AC1D92D">
            <w:pPr>
              <w:spacing w:line="380" w:lineRule="exact"/>
              <w:jc w:val="center"/>
              <w:rPr>
                <w:rFonts w:ascii="Arial" w:hAnsi="Arial" w:cs="Arial"/>
                <w:b/>
                <w:bCs/>
                <w:color w:val="auto"/>
                <w:sz w:val="22"/>
                <w:highlight w:val="none"/>
              </w:rPr>
            </w:pPr>
          </w:p>
        </w:tc>
        <w:tc>
          <w:tcPr>
            <w:tcW w:w="1672" w:type="dxa"/>
            <w:vAlign w:val="center"/>
          </w:tcPr>
          <w:p w14:paraId="4B1F3088">
            <w:pPr>
              <w:spacing w:line="380" w:lineRule="exact"/>
              <w:jc w:val="center"/>
              <w:rPr>
                <w:rFonts w:ascii="Arial" w:hAnsi="Arial" w:cs="Arial"/>
                <w:b/>
                <w:bCs/>
                <w:color w:val="auto"/>
                <w:sz w:val="22"/>
                <w:highlight w:val="none"/>
              </w:rPr>
            </w:pPr>
          </w:p>
        </w:tc>
        <w:tc>
          <w:tcPr>
            <w:tcW w:w="1437" w:type="dxa"/>
            <w:vAlign w:val="center"/>
          </w:tcPr>
          <w:p w14:paraId="7FD9C2C7">
            <w:pPr>
              <w:spacing w:line="380" w:lineRule="exact"/>
              <w:jc w:val="center"/>
              <w:rPr>
                <w:rFonts w:ascii="Arial" w:hAnsi="Arial" w:cs="Arial"/>
                <w:b/>
                <w:bCs/>
                <w:color w:val="auto"/>
                <w:sz w:val="22"/>
                <w:highlight w:val="none"/>
              </w:rPr>
            </w:pPr>
          </w:p>
        </w:tc>
      </w:tr>
      <w:tr w14:paraId="794A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40371C51">
            <w:pPr>
              <w:spacing w:line="380" w:lineRule="exact"/>
              <w:jc w:val="center"/>
              <w:rPr>
                <w:rFonts w:ascii="Arial" w:hAnsi="Arial" w:cs="Arial"/>
                <w:b/>
                <w:bCs/>
                <w:color w:val="auto"/>
                <w:sz w:val="22"/>
                <w:highlight w:val="none"/>
              </w:rPr>
            </w:pPr>
          </w:p>
        </w:tc>
        <w:tc>
          <w:tcPr>
            <w:tcW w:w="1948" w:type="dxa"/>
            <w:vAlign w:val="center"/>
          </w:tcPr>
          <w:p w14:paraId="06636448">
            <w:pPr>
              <w:spacing w:line="380" w:lineRule="exact"/>
              <w:jc w:val="center"/>
              <w:rPr>
                <w:rFonts w:ascii="Arial" w:hAnsi="Arial" w:cs="Arial"/>
                <w:b/>
                <w:bCs/>
                <w:color w:val="auto"/>
                <w:sz w:val="22"/>
                <w:highlight w:val="none"/>
              </w:rPr>
            </w:pPr>
          </w:p>
        </w:tc>
        <w:tc>
          <w:tcPr>
            <w:tcW w:w="1764" w:type="dxa"/>
            <w:vAlign w:val="center"/>
          </w:tcPr>
          <w:p w14:paraId="63682B72">
            <w:pPr>
              <w:spacing w:line="380" w:lineRule="exact"/>
              <w:jc w:val="center"/>
              <w:rPr>
                <w:rFonts w:ascii="Arial" w:hAnsi="Arial" w:cs="Arial"/>
                <w:b/>
                <w:bCs/>
                <w:color w:val="auto"/>
                <w:sz w:val="22"/>
                <w:highlight w:val="none"/>
              </w:rPr>
            </w:pPr>
          </w:p>
        </w:tc>
        <w:tc>
          <w:tcPr>
            <w:tcW w:w="1203" w:type="dxa"/>
            <w:vAlign w:val="center"/>
          </w:tcPr>
          <w:p w14:paraId="4B0C82CD">
            <w:pPr>
              <w:spacing w:line="380" w:lineRule="exact"/>
              <w:jc w:val="center"/>
              <w:rPr>
                <w:rFonts w:ascii="Arial" w:hAnsi="Arial" w:cs="Arial"/>
                <w:b/>
                <w:bCs/>
                <w:color w:val="auto"/>
                <w:sz w:val="22"/>
                <w:highlight w:val="none"/>
              </w:rPr>
            </w:pPr>
          </w:p>
        </w:tc>
        <w:tc>
          <w:tcPr>
            <w:tcW w:w="1672" w:type="dxa"/>
            <w:vAlign w:val="center"/>
          </w:tcPr>
          <w:p w14:paraId="3810F23D">
            <w:pPr>
              <w:spacing w:line="380" w:lineRule="exact"/>
              <w:jc w:val="center"/>
              <w:rPr>
                <w:rFonts w:ascii="Arial" w:hAnsi="Arial" w:cs="Arial"/>
                <w:b/>
                <w:bCs/>
                <w:color w:val="auto"/>
                <w:sz w:val="22"/>
                <w:highlight w:val="none"/>
              </w:rPr>
            </w:pPr>
          </w:p>
        </w:tc>
        <w:tc>
          <w:tcPr>
            <w:tcW w:w="1437" w:type="dxa"/>
            <w:vAlign w:val="center"/>
          </w:tcPr>
          <w:p w14:paraId="0FBB46DA">
            <w:pPr>
              <w:spacing w:line="380" w:lineRule="exact"/>
              <w:jc w:val="center"/>
              <w:rPr>
                <w:rFonts w:ascii="Arial" w:hAnsi="Arial" w:cs="Arial"/>
                <w:b/>
                <w:bCs/>
                <w:color w:val="auto"/>
                <w:sz w:val="22"/>
                <w:highlight w:val="none"/>
              </w:rPr>
            </w:pPr>
          </w:p>
        </w:tc>
      </w:tr>
      <w:tr w14:paraId="501B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3690940E">
            <w:pPr>
              <w:spacing w:line="380" w:lineRule="exact"/>
              <w:jc w:val="center"/>
              <w:rPr>
                <w:rFonts w:ascii="Arial" w:hAnsi="Arial" w:cs="Arial"/>
                <w:b/>
                <w:bCs/>
                <w:color w:val="auto"/>
                <w:sz w:val="22"/>
                <w:highlight w:val="none"/>
              </w:rPr>
            </w:pPr>
          </w:p>
        </w:tc>
        <w:tc>
          <w:tcPr>
            <w:tcW w:w="1948" w:type="dxa"/>
            <w:vAlign w:val="center"/>
          </w:tcPr>
          <w:p w14:paraId="35F6355F">
            <w:pPr>
              <w:spacing w:line="380" w:lineRule="exact"/>
              <w:jc w:val="center"/>
              <w:rPr>
                <w:rFonts w:ascii="Arial" w:hAnsi="Arial" w:cs="Arial"/>
                <w:b/>
                <w:bCs/>
                <w:color w:val="auto"/>
                <w:sz w:val="22"/>
                <w:highlight w:val="none"/>
              </w:rPr>
            </w:pPr>
          </w:p>
        </w:tc>
        <w:tc>
          <w:tcPr>
            <w:tcW w:w="1764" w:type="dxa"/>
            <w:vAlign w:val="center"/>
          </w:tcPr>
          <w:p w14:paraId="1751D959">
            <w:pPr>
              <w:spacing w:line="380" w:lineRule="exact"/>
              <w:jc w:val="center"/>
              <w:rPr>
                <w:rFonts w:ascii="Arial" w:hAnsi="Arial" w:cs="Arial"/>
                <w:b/>
                <w:bCs/>
                <w:color w:val="auto"/>
                <w:sz w:val="22"/>
                <w:highlight w:val="none"/>
              </w:rPr>
            </w:pPr>
          </w:p>
        </w:tc>
        <w:tc>
          <w:tcPr>
            <w:tcW w:w="1203" w:type="dxa"/>
            <w:vAlign w:val="center"/>
          </w:tcPr>
          <w:p w14:paraId="04CB616F">
            <w:pPr>
              <w:spacing w:line="380" w:lineRule="exact"/>
              <w:jc w:val="center"/>
              <w:rPr>
                <w:rFonts w:ascii="Arial" w:hAnsi="Arial" w:cs="Arial"/>
                <w:b/>
                <w:bCs/>
                <w:color w:val="auto"/>
                <w:sz w:val="22"/>
                <w:highlight w:val="none"/>
              </w:rPr>
            </w:pPr>
          </w:p>
        </w:tc>
        <w:tc>
          <w:tcPr>
            <w:tcW w:w="1672" w:type="dxa"/>
            <w:vAlign w:val="center"/>
          </w:tcPr>
          <w:p w14:paraId="0C82813B">
            <w:pPr>
              <w:spacing w:line="380" w:lineRule="exact"/>
              <w:jc w:val="center"/>
              <w:rPr>
                <w:rFonts w:ascii="Arial" w:hAnsi="Arial" w:cs="Arial"/>
                <w:b/>
                <w:bCs/>
                <w:color w:val="auto"/>
                <w:sz w:val="22"/>
                <w:highlight w:val="none"/>
              </w:rPr>
            </w:pPr>
          </w:p>
        </w:tc>
        <w:tc>
          <w:tcPr>
            <w:tcW w:w="1437" w:type="dxa"/>
            <w:vAlign w:val="center"/>
          </w:tcPr>
          <w:p w14:paraId="019B5DDE">
            <w:pPr>
              <w:spacing w:line="380" w:lineRule="exact"/>
              <w:jc w:val="center"/>
              <w:rPr>
                <w:rFonts w:ascii="Arial" w:hAnsi="Arial" w:cs="Arial"/>
                <w:b/>
                <w:bCs/>
                <w:color w:val="auto"/>
                <w:sz w:val="22"/>
                <w:highlight w:val="none"/>
              </w:rPr>
            </w:pPr>
          </w:p>
        </w:tc>
      </w:tr>
      <w:tr w14:paraId="5770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2DA52C1">
            <w:pPr>
              <w:spacing w:line="380" w:lineRule="exact"/>
              <w:jc w:val="center"/>
              <w:rPr>
                <w:rFonts w:ascii="Arial" w:hAnsi="Arial" w:cs="Arial"/>
                <w:b/>
                <w:bCs/>
                <w:color w:val="auto"/>
                <w:sz w:val="22"/>
                <w:highlight w:val="none"/>
              </w:rPr>
            </w:pPr>
          </w:p>
        </w:tc>
        <w:tc>
          <w:tcPr>
            <w:tcW w:w="1948" w:type="dxa"/>
            <w:vAlign w:val="center"/>
          </w:tcPr>
          <w:p w14:paraId="30638D21">
            <w:pPr>
              <w:spacing w:line="380" w:lineRule="exact"/>
              <w:jc w:val="center"/>
              <w:rPr>
                <w:rFonts w:ascii="Arial" w:hAnsi="Arial" w:cs="Arial"/>
                <w:b/>
                <w:bCs/>
                <w:color w:val="auto"/>
                <w:sz w:val="22"/>
                <w:highlight w:val="none"/>
              </w:rPr>
            </w:pPr>
          </w:p>
        </w:tc>
        <w:tc>
          <w:tcPr>
            <w:tcW w:w="1764" w:type="dxa"/>
            <w:vAlign w:val="center"/>
          </w:tcPr>
          <w:p w14:paraId="40243270">
            <w:pPr>
              <w:spacing w:line="380" w:lineRule="exact"/>
              <w:jc w:val="center"/>
              <w:rPr>
                <w:rFonts w:ascii="Arial" w:hAnsi="Arial" w:cs="Arial"/>
                <w:b/>
                <w:bCs/>
                <w:color w:val="auto"/>
                <w:sz w:val="22"/>
                <w:highlight w:val="none"/>
              </w:rPr>
            </w:pPr>
          </w:p>
        </w:tc>
        <w:tc>
          <w:tcPr>
            <w:tcW w:w="1203" w:type="dxa"/>
            <w:vAlign w:val="center"/>
          </w:tcPr>
          <w:p w14:paraId="214304F1">
            <w:pPr>
              <w:spacing w:line="380" w:lineRule="exact"/>
              <w:jc w:val="center"/>
              <w:rPr>
                <w:rFonts w:ascii="Arial" w:hAnsi="Arial" w:cs="Arial"/>
                <w:b/>
                <w:bCs/>
                <w:color w:val="auto"/>
                <w:sz w:val="22"/>
                <w:highlight w:val="none"/>
              </w:rPr>
            </w:pPr>
          </w:p>
        </w:tc>
        <w:tc>
          <w:tcPr>
            <w:tcW w:w="1672" w:type="dxa"/>
            <w:vAlign w:val="center"/>
          </w:tcPr>
          <w:p w14:paraId="3EE4E97C">
            <w:pPr>
              <w:spacing w:line="380" w:lineRule="exact"/>
              <w:jc w:val="center"/>
              <w:rPr>
                <w:rFonts w:ascii="Arial" w:hAnsi="Arial" w:cs="Arial"/>
                <w:b/>
                <w:bCs/>
                <w:color w:val="auto"/>
                <w:sz w:val="22"/>
                <w:highlight w:val="none"/>
              </w:rPr>
            </w:pPr>
          </w:p>
        </w:tc>
        <w:tc>
          <w:tcPr>
            <w:tcW w:w="1437" w:type="dxa"/>
            <w:vAlign w:val="center"/>
          </w:tcPr>
          <w:p w14:paraId="3FCD8CD5">
            <w:pPr>
              <w:spacing w:line="380" w:lineRule="exact"/>
              <w:jc w:val="center"/>
              <w:rPr>
                <w:rFonts w:ascii="Arial" w:hAnsi="Arial" w:cs="Arial"/>
                <w:b/>
                <w:bCs/>
                <w:color w:val="auto"/>
                <w:sz w:val="22"/>
                <w:highlight w:val="none"/>
              </w:rPr>
            </w:pPr>
          </w:p>
        </w:tc>
      </w:tr>
      <w:tr w14:paraId="0D6E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25A86128">
            <w:pPr>
              <w:spacing w:line="380" w:lineRule="exact"/>
              <w:jc w:val="center"/>
              <w:rPr>
                <w:rFonts w:ascii="Arial" w:hAnsi="Arial" w:cs="Arial"/>
                <w:b/>
                <w:bCs/>
                <w:color w:val="auto"/>
                <w:sz w:val="22"/>
                <w:highlight w:val="none"/>
              </w:rPr>
            </w:pPr>
          </w:p>
        </w:tc>
        <w:tc>
          <w:tcPr>
            <w:tcW w:w="1948" w:type="dxa"/>
            <w:vAlign w:val="center"/>
          </w:tcPr>
          <w:p w14:paraId="2349B778">
            <w:pPr>
              <w:spacing w:line="380" w:lineRule="exact"/>
              <w:jc w:val="center"/>
              <w:rPr>
                <w:rFonts w:ascii="Arial" w:hAnsi="Arial" w:cs="Arial"/>
                <w:b/>
                <w:bCs/>
                <w:color w:val="auto"/>
                <w:sz w:val="22"/>
                <w:highlight w:val="none"/>
              </w:rPr>
            </w:pPr>
          </w:p>
        </w:tc>
        <w:tc>
          <w:tcPr>
            <w:tcW w:w="1764" w:type="dxa"/>
            <w:vAlign w:val="center"/>
          </w:tcPr>
          <w:p w14:paraId="0F5F27F1">
            <w:pPr>
              <w:spacing w:line="380" w:lineRule="exact"/>
              <w:jc w:val="center"/>
              <w:rPr>
                <w:rFonts w:ascii="Arial" w:hAnsi="Arial" w:cs="Arial"/>
                <w:b/>
                <w:bCs/>
                <w:color w:val="auto"/>
                <w:sz w:val="22"/>
                <w:highlight w:val="none"/>
              </w:rPr>
            </w:pPr>
          </w:p>
        </w:tc>
        <w:tc>
          <w:tcPr>
            <w:tcW w:w="1203" w:type="dxa"/>
            <w:vAlign w:val="center"/>
          </w:tcPr>
          <w:p w14:paraId="05E09C6A">
            <w:pPr>
              <w:spacing w:line="380" w:lineRule="exact"/>
              <w:jc w:val="center"/>
              <w:rPr>
                <w:rFonts w:ascii="Arial" w:hAnsi="Arial" w:cs="Arial"/>
                <w:b/>
                <w:bCs/>
                <w:color w:val="auto"/>
                <w:sz w:val="22"/>
                <w:highlight w:val="none"/>
              </w:rPr>
            </w:pPr>
          </w:p>
        </w:tc>
        <w:tc>
          <w:tcPr>
            <w:tcW w:w="1672" w:type="dxa"/>
            <w:vAlign w:val="center"/>
          </w:tcPr>
          <w:p w14:paraId="13DA99E3">
            <w:pPr>
              <w:spacing w:line="380" w:lineRule="exact"/>
              <w:jc w:val="center"/>
              <w:rPr>
                <w:rFonts w:ascii="Arial" w:hAnsi="Arial" w:cs="Arial"/>
                <w:b/>
                <w:bCs/>
                <w:color w:val="auto"/>
                <w:sz w:val="22"/>
                <w:highlight w:val="none"/>
              </w:rPr>
            </w:pPr>
          </w:p>
        </w:tc>
        <w:tc>
          <w:tcPr>
            <w:tcW w:w="1437" w:type="dxa"/>
            <w:vAlign w:val="center"/>
          </w:tcPr>
          <w:p w14:paraId="53DE3AE5">
            <w:pPr>
              <w:spacing w:line="380" w:lineRule="exact"/>
              <w:jc w:val="center"/>
              <w:rPr>
                <w:rFonts w:ascii="Arial" w:hAnsi="Arial" w:cs="Arial"/>
                <w:b/>
                <w:bCs/>
                <w:color w:val="auto"/>
                <w:sz w:val="22"/>
                <w:highlight w:val="none"/>
              </w:rPr>
            </w:pPr>
          </w:p>
        </w:tc>
      </w:tr>
      <w:tr w14:paraId="51C3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94EDCC1">
            <w:pPr>
              <w:spacing w:line="380" w:lineRule="exact"/>
              <w:jc w:val="center"/>
              <w:rPr>
                <w:rFonts w:ascii="Arial" w:hAnsi="Arial" w:cs="Arial"/>
                <w:b/>
                <w:bCs/>
                <w:color w:val="auto"/>
                <w:sz w:val="22"/>
                <w:highlight w:val="none"/>
              </w:rPr>
            </w:pPr>
          </w:p>
        </w:tc>
        <w:tc>
          <w:tcPr>
            <w:tcW w:w="1948" w:type="dxa"/>
            <w:vAlign w:val="center"/>
          </w:tcPr>
          <w:p w14:paraId="135A7C71">
            <w:pPr>
              <w:spacing w:line="380" w:lineRule="exact"/>
              <w:jc w:val="center"/>
              <w:rPr>
                <w:rFonts w:ascii="Arial" w:hAnsi="Arial" w:cs="Arial"/>
                <w:b/>
                <w:bCs/>
                <w:color w:val="auto"/>
                <w:sz w:val="22"/>
                <w:highlight w:val="none"/>
              </w:rPr>
            </w:pPr>
          </w:p>
        </w:tc>
        <w:tc>
          <w:tcPr>
            <w:tcW w:w="1764" w:type="dxa"/>
            <w:vAlign w:val="center"/>
          </w:tcPr>
          <w:p w14:paraId="13A75E8A">
            <w:pPr>
              <w:spacing w:line="380" w:lineRule="exact"/>
              <w:jc w:val="center"/>
              <w:rPr>
                <w:rFonts w:ascii="Arial" w:hAnsi="Arial" w:cs="Arial"/>
                <w:b/>
                <w:bCs/>
                <w:color w:val="auto"/>
                <w:sz w:val="22"/>
                <w:highlight w:val="none"/>
              </w:rPr>
            </w:pPr>
          </w:p>
        </w:tc>
        <w:tc>
          <w:tcPr>
            <w:tcW w:w="1203" w:type="dxa"/>
            <w:vAlign w:val="center"/>
          </w:tcPr>
          <w:p w14:paraId="0A285D17">
            <w:pPr>
              <w:spacing w:line="380" w:lineRule="exact"/>
              <w:jc w:val="center"/>
              <w:rPr>
                <w:rFonts w:ascii="Arial" w:hAnsi="Arial" w:cs="Arial"/>
                <w:b/>
                <w:bCs/>
                <w:color w:val="auto"/>
                <w:sz w:val="22"/>
                <w:highlight w:val="none"/>
              </w:rPr>
            </w:pPr>
          </w:p>
        </w:tc>
        <w:tc>
          <w:tcPr>
            <w:tcW w:w="1672" w:type="dxa"/>
            <w:vAlign w:val="center"/>
          </w:tcPr>
          <w:p w14:paraId="34B9932D">
            <w:pPr>
              <w:spacing w:line="380" w:lineRule="exact"/>
              <w:jc w:val="center"/>
              <w:rPr>
                <w:rFonts w:ascii="Arial" w:hAnsi="Arial" w:cs="Arial"/>
                <w:b/>
                <w:bCs/>
                <w:color w:val="auto"/>
                <w:sz w:val="22"/>
                <w:highlight w:val="none"/>
              </w:rPr>
            </w:pPr>
          </w:p>
        </w:tc>
        <w:tc>
          <w:tcPr>
            <w:tcW w:w="1437" w:type="dxa"/>
            <w:vAlign w:val="center"/>
          </w:tcPr>
          <w:p w14:paraId="30CF663E">
            <w:pPr>
              <w:spacing w:line="380" w:lineRule="exact"/>
              <w:jc w:val="center"/>
              <w:rPr>
                <w:rFonts w:ascii="Arial" w:hAnsi="Arial" w:cs="Arial"/>
                <w:b/>
                <w:bCs/>
                <w:color w:val="auto"/>
                <w:sz w:val="22"/>
                <w:highlight w:val="none"/>
              </w:rPr>
            </w:pPr>
          </w:p>
        </w:tc>
      </w:tr>
      <w:tr w14:paraId="52E0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4AC2766D">
            <w:pPr>
              <w:spacing w:line="380" w:lineRule="exact"/>
              <w:jc w:val="center"/>
              <w:rPr>
                <w:rFonts w:ascii="Arial" w:hAnsi="Arial" w:cs="Arial"/>
                <w:b/>
                <w:bCs/>
                <w:color w:val="auto"/>
                <w:sz w:val="22"/>
                <w:highlight w:val="none"/>
              </w:rPr>
            </w:pPr>
          </w:p>
        </w:tc>
        <w:tc>
          <w:tcPr>
            <w:tcW w:w="1948" w:type="dxa"/>
            <w:vAlign w:val="center"/>
          </w:tcPr>
          <w:p w14:paraId="23BF25CA">
            <w:pPr>
              <w:spacing w:line="380" w:lineRule="exact"/>
              <w:jc w:val="center"/>
              <w:rPr>
                <w:rFonts w:ascii="Arial" w:hAnsi="Arial" w:cs="Arial"/>
                <w:b/>
                <w:bCs/>
                <w:color w:val="auto"/>
                <w:sz w:val="22"/>
                <w:highlight w:val="none"/>
              </w:rPr>
            </w:pPr>
          </w:p>
        </w:tc>
        <w:tc>
          <w:tcPr>
            <w:tcW w:w="1764" w:type="dxa"/>
            <w:vAlign w:val="center"/>
          </w:tcPr>
          <w:p w14:paraId="7645BF02">
            <w:pPr>
              <w:spacing w:line="380" w:lineRule="exact"/>
              <w:jc w:val="center"/>
              <w:rPr>
                <w:rFonts w:ascii="Arial" w:hAnsi="Arial" w:cs="Arial"/>
                <w:b/>
                <w:bCs/>
                <w:color w:val="auto"/>
                <w:sz w:val="22"/>
                <w:highlight w:val="none"/>
              </w:rPr>
            </w:pPr>
          </w:p>
        </w:tc>
        <w:tc>
          <w:tcPr>
            <w:tcW w:w="1203" w:type="dxa"/>
            <w:vAlign w:val="center"/>
          </w:tcPr>
          <w:p w14:paraId="1C1B5E87">
            <w:pPr>
              <w:spacing w:line="380" w:lineRule="exact"/>
              <w:jc w:val="center"/>
              <w:rPr>
                <w:rFonts w:ascii="Arial" w:hAnsi="Arial" w:cs="Arial"/>
                <w:b/>
                <w:bCs/>
                <w:color w:val="auto"/>
                <w:sz w:val="22"/>
                <w:highlight w:val="none"/>
              </w:rPr>
            </w:pPr>
          </w:p>
        </w:tc>
        <w:tc>
          <w:tcPr>
            <w:tcW w:w="1672" w:type="dxa"/>
            <w:vAlign w:val="center"/>
          </w:tcPr>
          <w:p w14:paraId="4692FFBB">
            <w:pPr>
              <w:spacing w:line="380" w:lineRule="exact"/>
              <w:jc w:val="center"/>
              <w:rPr>
                <w:rFonts w:ascii="Arial" w:hAnsi="Arial" w:cs="Arial"/>
                <w:b/>
                <w:bCs/>
                <w:color w:val="auto"/>
                <w:sz w:val="22"/>
                <w:highlight w:val="none"/>
              </w:rPr>
            </w:pPr>
          </w:p>
        </w:tc>
        <w:tc>
          <w:tcPr>
            <w:tcW w:w="1437" w:type="dxa"/>
            <w:vAlign w:val="center"/>
          </w:tcPr>
          <w:p w14:paraId="21A17C55">
            <w:pPr>
              <w:spacing w:line="380" w:lineRule="exact"/>
              <w:jc w:val="center"/>
              <w:rPr>
                <w:rFonts w:ascii="Arial" w:hAnsi="Arial" w:cs="Arial"/>
                <w:b/>
                <w:bCs/>
                <w:color w:val="auto"/>
                <w:sz w:val="22"/>
                <w:highlight w:val="none"/>
              </w:rPr>
            </w:pPr>
          </w:p>
        </w:tc>
      </w:tr>
      <w:tr w14:paraId="7561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5C9E87E4">
            <w:pPr>
              <w:spacing w:line="380" w:lineRule="exact"/>
              <w:jc w:val="center"/>
              <w:rPr>
                <w:rFonts w:ascii="Arial" w:hAnsi="Arial" w:cs="Arial"/>
                <w:b/>
                <w:bCs/>
                <w:color w:val="auto"/>
                <w:sz w:val="22"/>
                <w:highlight w:val="none"/>
              </w:rPr>
            </w:pPr>
          </w:p>
        </w:tc>
        <w:tc>
          <w:tcPr>
            <w:tcW w:w="1948" w:type="dxa"/>
            <w:vAlign w:val="center"/>
          </w:tcPr>
          <w:p w14:paraId="3151FDEB">
            <w:pPr>
              <w:spacing w:line="380" w:lineRule="exact"/>
              <w:jc w:val="center"/>
              <w:rPr>
                <w:rFonts w:ascii="Arial" w:hAnsi="Arial" w:cs="Arial"/>
                <w:b/>
                <w:bCs/>
                <w:color w:val="auto"/>
                <w:sz w:val="22"/>
                <w:highlight w:val="none"/>
              </w:rPr>
            </w:pPr>
          </w:p>
        </w:tc>
        <w:tc>
          <w:tcPr>
            <w:tcW w:w="1764" w:type="dxa"/>
            <w:vAlign w:val="center"/>
          </w:tcPr>
          <w:p w14:paraId="0AA229FC">
            <w:pPr>
              <w:spacing w:line="380" w:lineRule="exact"/>
              <w:jc w:val="center"/>
              <w:rPr>
                <w:rFonts w:ascii="Arial" w:hAnsi="Arial" w:cs="Arial"/>
                <w:b/>
                <w:bCs/>
                <w:color w:val="auto"/>
                <w:sz w:val="22"/>
                <w:highlight w:val="none"/>
              </w:rPr>
            </w:pPr>
          </w:p>
        </w:tc>
        <w:tc>
          <w:tcPr>
            <w:tcW w:w="1203" w:type="dxa"/>
            <w:vAlign w:val="center"/>
          </w:tcPr>
          <w:p w14:paraId="65E5B801">
            <w:pPr>
              <w:spacing w:line="380" w:lineRule="exact"/>
              <w:jc w:val="center"/>
              <w:rPr>
                <w:rFonts w:ascii="Arial" w:hAnsi="Arial" w:cs="Arial"/>
                <w:b/>
                <w:bCs/>
                <w:color w:val="auto"/>
                <w:sz w:val="22"/>
                <w:highlight w:val="none"/>
              </w:rPr>
            </w:pPr>
          </w:p>
        </w:tc>
        <w:tc>
          <w:tcPr>
            <w:tcW w:w="1672" w:type="dxa"/>
            <w:vAlign w:val="center"/>
          </w:tcPr>
          <w:p w14:paraId="783F86D8">
            <w:pPr>
              <w:spacing w:line="380" w:lineRule="exact"/>
              <w:jc w:val="center"/>
              <w:rPr>
                <w:rFonts w:ascii="Arial" w:hAnsi="Arial" w:cs="Arial"/>
                <w:b/>
                <w:bCs/>
                <w:color w:val="auto"/>
                <w:sz w:val="22"/>
                <w:highlight w:val="none"/>
              </w:rPr>
            </w:pPr>
          </w:p>
        </w:tc>
        <w:tc>
          <w:tcPr>
            <w:tcW w:w="1437" w:type="dxa"/>
            <w:vAlign w:val="center"/>
          </w:tcPr>
          <w:p w14:paraId="60335307">
            <w:pPr>
              <w:spacing w:line="380" w:lineRule="exact"/>
              <w:jc w:val="center"/>
              <w:rPr>
                <w:rFonts w:ascii="Arial" w:hAnsi="Arial" w:cs="Arial"/>
                <w:b/>
                <w:bCs/>
                <w:color w:val="auto"/>
                <w:sz w:val="22"/>
                <w:highlight w:val="none"/>
              </w:rPr>
            </w:pPr>
          </w:p>
        </w:tc>
      </w:tr>
    </w:tbl>
    <w:p w14:paraId="7F71E89D">
      <w:pPr>
        <w:autoSpaceDE w:val="0"/>
        <w:autoSpaceDN w:val="0"/>
        <w:adjustRightInd w:val="0"/>
        <w:spacing w:line="360" w:lineRule="auto"/>
        <w:rPr>
          <w:rFonts w:ascii="Arial" w:hAnsi="Arial" w:cs="Arial"/>
          <w:b/>
          <w:bCs/>
          <w:color w:val="auto"/>
          <w:szCs w:val="21"/>
          <w:highlight w:val="none"/>
          <w:lang w:val="zh-CN"/>
        </w:rPr>
      </w:pPr>
      <w:r>
        <w:rPr>
          <w:rFonts w:ascii="Arial" w:hAnsi="Arial" w:cs="Arial"/>
          <w:b/>
          <w:color w:val="auto"/>
          <w:szCs w:val="21"/>
          <w:highlight w:val="none"/>
        </w:rPr>
        <w:t>注：</w:t>
      </w:r>
      <w:r>
        <w:rPr>
          <w:rFonts w:hint="eastAsia" w:ascii="宋体" w:hAnsi="宋体" w:cs="Arial"/>
          <w:b/>
          <w:sz w:val="21"/>
          <w:szCs w:val="21"/>
          <w:highlight w:val="none"/>
        </w:rPr>
        <w:t>业绩有效性认定：提供20</w:t>
      </w:r>
      <w:r>
        <w:rPr>
          <w:rFonts w:hint="eastAsia" w:ascii="宋体" w:hAnsi="宋体" w:cs="Arial"/>
          <w:b/>
          <w:sz w:val="21"/>
          <w:szCs w:val="21"/>
          <w:highlight w:val="none"/>
          <w:lang w:val="en-US" w:eastAsia="zh-CN"/>
        </w:rPr>
        <w:t>22</w:t>
      </w:r>
      <w:r>
        <w:rPr>
          <w:rFonts w:hint="eastAsia" w:ascii="宋体" w:hAnsi="宋体" w:cs="Arial"/>
          <w:b/>
          <w:sz w:val="21"/>
          <w:szCs w:val="21"/>
          <w:highlight w:val="none"/>
        </w:rPr>
        <w:t>年1月1日</w:t>
      </w:r>
      <w:r>
        <w:rPr>
          <w:rFonts w:hint="eastAsia" w:ascii="宋体" w:hAnsi="宋体" w:cs="Arial"/>
          <w:b/>
          <w:sz w:val="21"/>
          <w:szCs w:val="21"/>
          <w:highlight w:val="none"/>
          <w:lang w:val="en-US" w:eastAsia="zh-CN"/>
        </w:rPr>
        <w:t>以来的</w:t>
      </w:r>
      <w:r>
        <w:rPr>
          <w:rFonts w:hint="eastAsia" w:ascii="宋体" w:hAnsi="宋体" w:cs="Arial"/>
          <w:b/>
          <w:sz w:val="21"/>
          <w:szCs w:val="21"/>
          <w:highlight w:val="none"/>
        </w:rPr>
        <w:t>中标通知书和合同扫描件并加盖公章，或者提供合同和发票扫描件并加盖公章</w:t>
      </w:r>
      <w:r>
        <w:rPr>
          <w:rFonts w:hint="eastAsia" w:ascii="宋体" w:hAnsi="宋体" w:cs="宋体"/>
          <w:b/>
          <w:bCs/>
          <w:sz w:val="21"/>
          <w:szCs w:val="21"/>
          <w:highlight w:val="none"/>
        </w:rPr>
        <w:t>；</w:t>
      </w:r>
      <w:r>
        <w:rPr>
          <w:rFonts w:hint="eastAsia" w:ascii="宋体" w:hAnsi="宋体" w:cs="Arial"/>
          <w:b/>
          <w:sz w:val="21"/>
          <w:szCs w:val="21"/>
          <w:highlight w:val="none"/>
        </w:rPr>
        <w:t>业绩认定时间以合同的签订时间为准。</w:t>
      </w:r>
    </w:p>
    <w:p w14:paraId="7B69B9B3">
      <w:pPr>
        <w:rPr>
          <w:rFonts w:ascii="Arial" w:hAnsi="Arial" w:cs="Arial"/>
          <w:color w:val="auto"/>
          <w:highlight w:val="none"/>
        </w:rPr>
      </w:pPr>
    </w:p>
    <w:p w14:paraId="2501F864">
      <w:pPr>
        <w:spacing w:before="312" w:beforeLines="100" w:after="312" w:afterLines="100" w:line="400" w:lineRule="atLeast"/>
        <w:ind w:firstLine="4200" w:firstLineChars="2000"/>
        <w:rPr>
          <w:rFonts w:ascii="Arial" w:hAnsi="Arial" w:cs="Arial"/>
          <w:color w:val="auto"/>
          <w:szCs w:val="21"/>
          <w:highlight w:val="none"/>
        </w:rPr>
      </w:pPr>
      <w:r>
        <w:rPr>
          <w:rFonts w:ascii="Arial" w:hAnsi="Arial" w:cs="Arial"/>
          <w:color w:val="auto"/>
          <w:szCs w:val="21"/>
          <w:highlight w:val="none"/>
        </w:rPr>
        <w:t>磋商供应商全称（盖章）：</w:t>
      </w:r>
    </w:p>
    <w:p w14:paraId="20C21855">
      <w:pPr>
        <w:spacing w:before="312" w:beforeLines="100" w:after="312" w:afterLines="100" w:line="400" w:lineRule="atLeast"/>
        <w:rPr>
          <w:rFonts w:ascii="Arial" w:hAnsi="Arial" w:cs="Arial"/>
          <w:color w:val="auto"/>
          <w:szCs w:val="21"/>
          <w:highlight w:val="none"/>
        </w:rPr>
      </w:pPr>
      <w:r>
        <w:rPr>
          <w:rFonts w:ascii="Arial" w:hAnsi="Arial" w:cs="Arial"/>
          <w:color w:val="auto"/>
          <w:szCs w:val="21"/>
          <w:highlight w:val="none"/>
        </w:rPr>
        <w:t xml:space="preserve">                                        法定代表人或授权代表（签字或盖章）：</w:t>
      </w:r>
    </w:p>
    <w:p w14:paraId="44BD5D72">
      <w:pPr>
        <w:jc w:val="center"/>
        <w:rPr>
          <w:rFonts w:ascii="Arial" w:hAnsi="Arial" w:cs="Arial"/>
          <w:color w:val="auto"/>
          <w:szCs w:val="21"/>
          <w:highlight w:val="none"/>
        </w:rPr>
      </w:pPr>
      <w:r>
        <w:rPr>
          <w:rFonts w:hint="eastAsia" w:ascii="Arial" w:hAnsi="Arial" w:cs="Arial"/>
          <w:color w:val="auto"/>
          <w:szCs w:val="21"/>
          <w:highlight w:val="none"/>
          <w:lang w:val="en-US" w:eastAsia="zh-CN"/>
        </w:rPr>
        <w:t xml:space="preserve">                         </w:t>
      </w:r>
      <w:r>
        <w:rPr>
          <w:rFonts w:ascii="Arial" w:hAnsi="Arial" w:cs="Arial"/>
          <w:color w:val="auto"/>
          <w:szCs w:val="21"/>
          <w:highlight w:val="none"/>
        </w:rPr>
        <w:t>日 期：    年   月    日</w:t>
      </w:r>
    </w:p>
    <w:p w14:paraId="44187E22">
      <w:pPr>
        <w:pStyle w:val="9"/>
        <w:rPr>
          <w:rFonts w:ascii="Arial" w:hAnsi="Arial" w:cs="Arial"/>
          <w:color w:val="auto"/>
          <w:szCs w:val="21"/>
          <w:highlight w:val="none"/>
        </w:rPr>
      </w:pPr>
    </w:p>
    <w:p w14:paraId="1A5E02ED">
      <w:pPr>
        <w:pStyle w:val="3"/>
        <w:jc w:val="center"/>
        <w:rPr>
          <w:rFonts w:hint="eastAsia" w:ascii="Arial" w:hAnsi="Arial" w:eastAsia="宋体" w:cs="Arial"/>
          <w:b/>
          <w:bCs/>
          <w:color w:val="auto"/>
          <w:sz w:val="28"/>
          <w:highlight w:val="none"/>
          <w:lang w:eastAsia="zh-CN"/>
        </w:rPr>
      </w:pPr>
      <w:bookmarkStart w:id="428" w:name="_Toc11813"/>
      <w:bookmarkStart w:id="429" w:name="_Toc30339"/>
      <w:bookmarkStart w:id="430" w:name="_Toc1843"/>
      <w:bookmarkStart w:id="431" w:name="_Toc16342"/>
      <w:bookmarkStart w:id="432" w:name="_Toc26090"/>
      <w:bookmarkStart w:id="433" w:name="_Toc16703"/>
      <w:bookmarkStart w:id="434" w:name="_Toc4888"/>
      <w:bookmarkStart w:id="435" w:name="_Toc29876"/>
      <w:bookmarkStart w:id="436" w:name="_Toc14108"/>
      <w:r>
        <w:rPr>
          <w:rFonts w:ascii="Arial" w:hAnsi="Arial" w:eastAsia="宋体" w:cs="Arial"/>
          <w:b/>
          <w:bCs/>
          <w:color w:val="auto"/>
          <w:sz w:val="28"/>
          <w:highlight w:val="none"/>
        </w:rPr>
        <w:t>附件</w:t>
      </w:r>
      <w:bookmarkEnd w:id="428"/>
      <w:r>
        <w:rPr>
          <w:rFonts w:hint="eastAsia" w:ascii="Arial" w:hAnsi="Arial" w:eastAsia="宋体" w:cs="Arial"/>
          <w:b/>
          <w:bCs/>
          <w:color w:val="auto"/>
          <w:sz w:val="28"/>
          <w:highlight w:val="none"/>
          <w:lang w:val="en-US" w:eastAsia="zh-CN"/>
        </w:rPr>
        <w:t xml:space="preserve">十三  </w:t>
      </w:r>
      <w:r>
        <w:rPr>
          <w:rFonts w:ascii="Arial" w:hAnsi="Arial" w:eastAsia="宋体" w:cs="Arial"/>
          <w:b/>
          <w:bCs/>
          <w:color w:val="auto"/>
          <w:sz w:val="28"/>
          <w:highlight w:val="none"/>
        </w:rPr>
        <w:t>投入</w:t>
      </w:r>
      <w:r>
        <w:rPr>
          <w:rFonts w:ascii="Arial" w:hAnsi="Arial" w:eastAsia="宋体" w:cs="Arial"/>
          <w:b/>
          <w:bCs/>
          <w:color w:val="auto"/>
          <w:sz w:val="28"/>
          <w:highlight w:val="none"/>
          <w:lang w:eastAsia="zh-CN"/>
        </w:rPr>
        <w:t>车辆、</w:t>
      </w:r>
      <w:r>
        <w:rPr>
          <w:rFonts w:ascii="Arial" w:hAnsi="Arial" w:eastAsia="宋体" w:cs="Arial"/>
          <w:b/>
          <w:bCs/>
          <w:color w:val="auto"/>
          <w:sz w:val="28"/>
          <w:highlight w:val="none"/>
        </w:rPr>
        <w:t>设备及工具一览表</w:t>
      </w:r>
      <w:bookmarkEnd w:id="429"/>
      <w:bookmarkEnd w:id="430"/>
      <w:bookmarkEnd w:id="431"/>
      <w:bookmarkEnd w:id="432"/>
      <w:bookmarkEnd w:id="433"/>
      <w:bookmarkEnd w:id="434"/>
      <w:bookmarkEnd w:id="435"/>
      <w:bookmarkEnd w:id="436"/>
      <w:r>
        <w:rPr>
          <w:rFonts w:hint="eastAsia" w:ascii="Arial" w:hAnsi="Arial" w:eastAsia="宋体" w:cs="Arial"/>
          <w:b/>
          <w:bCs/>
          <w:color w:val="auto"/>
          <w:sz w:val="28"/>
          <w:highlight w:val="none"/>
          <w:lang w:eastAsia="zh-CN"/>
        </w:rPr>
        <w:t>（</w:t>
      </w:r>
      <w:r>
        <w:rPr>
          <w:rFonts w:hint="eastAsia" w:ascii="Arial" w:hAnsi="Arial" w:eastAsia="宋体" w:cs="Arial"/>
          <w:b/>
          <w:bCs/>
          <w:color w:val="auto"/>
          <w:sz w:val="28"/>
          <w:highlight w:val="none"/>
          <w:lang w:val="en-US" w:eastAsia="zh-CN"/>
        </w:rPr>
        <w:t>如有</w:t>
      </w:r>
      <w:r>
        <w:rPr>
          <w:rFonts w:hint="eastAsia" w:ascii="Arial" w:hAnsi="Arial" w:eastAsia="宋体" w:cs="Arial"/>
          <w:b/>
          <w:bCs/>
          <w:color w:val="auto"/>
          <w:sz w:val="28"/>
          <w:highlight w:val="none"/>
          <w:lang w:eastAsia="zh-CN"/>
        </w:rPr>
        <w:t>）</w:t>
      </w:r>
    </w:p>
    <w:p w14:paraId="4D1536B8">
      <w:pPr>
        <w:spacing w:line="400" w:lineRule="atLeast"/>
        <w:ind w:firstLine="632" w:firstLineChars="300"/>
        <w:rPr>
          <w:rFonts w:ascii="Arial" w:hAnsi="Arial" w:cs="Arial"/>
          <w:color w:val="auto"/>
          <w:szCs w:val="21"/>
          <w:highlight w:val="none"/>
        </w:rPr>
      </w:pPr>
      <w:r>
        <w:rPr>
          <w:rFonts w:ascii="Arial" w:hAnsi="Arial" w:cs="Arial"/>
          <w:b/>
          <w:color w:val="auto"/>
          <w:szCs w:val="21"/>
          <w:highlight w:val="none"/>
        </w:rPr>
        <w:t>项目名称：                                     项目编号：</w:t>
      </w:r>
    </w:p>
    <w:tbl>
      <w:tblPr>
        <w:tblStyle w:val="20"/>
        <w:tblW w:w="90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26"/>
        <w:gridCol w:w="1575"/>
        <w:gridCol w:w="1452"/>
        <w:gridCol w:w="1006"/>
        <w:gridCol w:w="1307"/>
        <w:gridCol w:w="1262"/>
      </w:tblGrid>
      <w:tr w14:paraId="64185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6" w:type="dxa"/>
            <w:tcBorders>
              <w:top w:val="single" w:color="auto" w:sz="12" w:space="0"/>
              <w:bottom w:val="single" w:color="auto" w:sz="12" w:space="0"/>
            </w:tcBorders>
            <w:vAlign w:val="center"/>
          </w:tcPr>
          <w:p w14:paraId="34758FE7">
            <w:pPr>
              <w:spacing w:line="400" w:lineRule="atLeast"/>
              <w:jc w:val="center"/>
              <w:rPr>
                <w:rFonts w:ascii="Arial" w:hAnsi="Arial" w:cs="Arial"/>
                <w:b/>
                <w:bCs/>
                <w:color w:val="auto"/>
                <w:highlight w:val="none"/>
              </w:rPr>
            </w:pPr>
            <w:r>
              <w:rPr>
                <w:rFonts w:ascii="Arial" w:hAnsi="Arial" w:cs="Arial"/>
                <w:b/>
                <w:bCs/>
                <w:color w:val="auto"/>
                <w:highlight w:val="none"/>
              </w:rPr>
              <w:t>序号</w:t>
            </w:r>
          </w:p>
        </w:tc>
        <w:tc>
          <w:tcPr>
            <w:tcW w:w="1726" w:type="dxa"/>
            <w:tcBorders>
              <w:top w:val="single" w:color="auto" w:sz="12" w:space="0"/>
              <w:bottom w:val="single" w:color="auto" w:sz="12" w:space="0"/>
            </w:tcBorders>
            <w:vAlign w:val="center"/>
          </w:tcPr>
          <w:p w14:paraId="42E3C328">
            <w:pPr>
              <w:spacing w:line="400" w:lineRule="atLeast"/>
              <w:jc w:val="center"/>
              <w:rPr>
                <w:rFonts w:ascii="Arial" w:hAnsi="Arial" w:cs="Arial"/>
                <w:b/>
                <w:bCs/>
                <w:color w:val="auto"/>
                <w:highlight w:val="none"/>
              </w:rPr>
            </w:pPr>
            <w:r>
              <w:rPr>
                <w:rFonts w:ascii="Arial" w:hAnsi="Arial" w:cs="Arial"/>
                <w:b/>
                <w:bCs/>
                <w:color w:val="auto"/>
                <w:highlight w:val="none"/>
              </w:rPr>
              <w:t>名称</w:t>
            </w:r>
          </w:p>
        </w:tc>
        <w:tc>
          <w:tcPr>
            <w:tcW w:w="1575" w:type="dxa"/>
            <w:tcBorders>
              <w:top w:val="single" w:color="auto" w:sz="12" w:space="0"/>
              <w:bottom w:val="single" w:color="auto" w:sz="12" w:space="0"/>
            </w:tcBorders>
            <w:vAlign w:val="center"/>
          </w:tcPr>
          <w:p w14:paraId="6F657BA7">
            <w:pPr>
              <w:spacing w:line="400" w:lineRule="atLeast"/>
              <w:jc w:val="center"/>
              <w:rPr>
                <w:rFonts w:ascii="Arial" w:hAnsi="Arial" w:cs="Arial"/>
                <w:b/>
                <w:bCs/>
                <w:color w:val="auto"/>
                <w:highlight w:val="none"/>
              </w:rPr>
            </w:pPr>
            <w:r>
              <w:rPr>
                <w:rFonts w:ascii="Arial" w:hAnsi="Arial" w:cs="Arial"/>
                <w:b/>
                <w:bCs/>
                <w:color w:val="auto"/>
                <w:highlight w:val="none"/>
              </w:rPr>
              <w:t>型号规格</w:t>
            </w:r>
          </w:p>
        </w:tc>
        <w:tc>
          <w:tcPr>
            <w:tcW w:w="1452" w:type="dxa"/>
            <w:tcBorders>
              <w:top w:val="single" w:color="auto" w:sz="12" w:space="0"/>
              <w:bottom w:val="single" w:color="auto" w:sz="12" w:space="0"/>
            </w:tcBorders>
            <w:vAlign w:val="center"/>
          </w:tcPr>
          <w:p w14:paraId="7DCF9138">
            <w:pPr>
              <w:spacing w:line="400" w:lineRule="atLeast"/>
              <w:jc w:val="center"/>
              <w:rPr>
                <w:rFonts w:ascii="Arial" w:hAnsi="Arial" w:cs="Arial"/>
                <w:b/>
                <w:bCs/>
                <w:color w:val="auto"/>
                <w:highlight w:val="none"/>
              </w:rPr>
            </w:pPr>
            <w:r>
              <w:rPr>
                <w:rFonts w:ascii="Arial" w:hAnsi="Arial" w:cs="Arial"/>
                <w:b/>
                <w:bCs/>
                <w:color w:val="auto"/>
                <w:highlight w:val="none"/>
              </w:rPr>
              <w:t>品牌/产地</w:t>
            </w:r>
          </w:p>
        </w:tc>
        <w:tc>
          <w:tcPr>
            <w:tcW w:w="1006" w:type="dxa"/>
            <w:tcBorders>
              <w:top w:val="single" w:color="auto" w:sz="12" w:space="0"/>
              <w:bottom w:val="single" w:color="auto" w:sz="12" w:space="0"/>
            </w:tcBorders>
            <w:vAlign w:val="center"/>
          </w:tcPr>
          <w:p w14:paraId="419F91ED">
            <w:pPr>
              <w:spacing w:line="400" w:lineRule="atLeast"/>
              <w:jc w:val="center"/>
              <w:rPr>
                <w:rFonts w:ascii="Arial" w:hAnsi="Arial" w:cs="Arial"/>
                <w:b/>
                <w:bCs/>
                <w:color w:val="auto"/>
                <w:highlight w:val="none"/>
              </w:rPr>
            </w:pPr>
            <w:r>
              <w:rPr>
                <w:rFonts w:ascii="Arial" w:hAnsi="Arial" w:cs="Arial"/>
                <w:b/>
                <w:bCs/>
                <w:color w:val="auto"/>
                <w:highlight w:val="none"/>
              </w:rPr>
              <w:t>数量</w:t>
            </w:r>
          </w:p>
        </w:tc>
        <w:tc>
          <w:tcPr>
            <w:tcW w:w="1307" w:type="dxa"/>
            <w:tcBorders>
              <w:top w:val="single" w:color="auto" w:sz="12" w:space="0"/>
              <w:bottom w:val="single" w:color="auto" w:sz="12" w:space="0"/>
            </w:tcBorders>
            <w:vAlign w:val="center"/>
          </w:tcPr>
          <w:p w14:paraId="0A434009">
            <w:pPr>
              <w:spacing w:line="400" w:lineRule="atLeast"/>
              <w:jc w:val="center"/>
              <w:rPr>
                <w:rFonts w:hint="eastAsia" w:ascii="Arial" w:hAnsi="Arial" w:cs="Arial" w:eastAsiaTheme="minorEastAsia"/>
                <w:b/>
                <w:bCs/>
                <w:color w:val="auto"/>
                <w:highlight w:val="none"/>
                <w:lang w:val="en-US" w:eastAsia="zh-CN"/>
              </w:rPr>
            </w:pPr>
            <w:r>
              <w:rPr>
                <w:rFonts w:hint="eastAsia" w:ascii="Arial" w:hAnsi="Arial" w:cs="Arial"/>
                <w:b/>
                <w:bCs/>
                <w:color w:val="auto"/>
                <w:highlight w:val="none"/>
                <w:lang w:val="en-US" w:eastAsia="zh-CN"/>
              </w:rPr>
              <w:t>价格（元）</w:t>
            </w:r>
          </w:p>
        </w:tc>
        <w:tc>
          <w:tcPr>
            <w:tcW w:w="1262" w:type="dxa"/>
            <w:tcBorders>
              <w:top w:val="single" w:color="auto" w:sz="12" w:space="0"/>
              <w:bottom w:val="single" w:color="auto" w:sz="12" w:space="0"/>
            </w:tcBorders>
            <w:vAlign w:val="center"/>
          </w:tcPr>
          <w:p w14:paraId="30660AEE">
            <w:pPr>
              <w:spacing w:line="400" w:lineRule="atLeast"/>
              <w:jc w:val="center"/>
              <w:rPr>
                <w:rFonts w:ascii="Arial" w:hAnsi="Arial" w:cs="Arial"/>
                <w:b/>
                <w:bCs/>
                <w:color w:val="auto"/>
                <w:highlight w:val="none"/>
              </w:rPr>
            </w:pPr>
            <w:r>
              <w:rPr>
                <w:rFonts w:ascii="Arial" w:hAnsi="Arial" w:cs="Arial"/>
                <w:b/>
                <w:bCs/>
                <w:color w:val="auto"/>
                <w:highlight w:val="none"/>
              </w:rPr>
              <w:t>备注</w:t>
            </w:r>
          </w:p>
        </w:tc>
      </w:tr>
      <w:tr w14:paraId="203EF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tcBorders>
              <w:top w:val="single" w:color="auto" w:sz="12" w:space="0"/>
            </w:tcBorders>
            <w:vAlign w:val="center"/>
          </w:tcPr>
          <w:p w14:paraId="4DE8BD14">
            <w:pPr>
              <w:spacing w:line="400" w:lineRule="atLeast"/>
              <w:ind w:firstLine="592"/>
              <w:jc w:val="center"/>
              <w:rPr>
                <w:rFonts w:ascii="Arial" w:hAnsi="Arial" w:cs="Arial"/>
                <w:color w:val="auto"/>
                <w:highlight w:val="none"/>
              </w:rPr>
            </w:pPr>
          </w:p>
        </w:tc>
        <w:tc>
          <w:tcPr>
            <w:tcW w:w="1726" w:type="dxa"/>
            <w:tcBorders>
              <w:top w:val="single" w:color="auto" w:sz="12" w:space="0"/>
            </w:tcBorders>
            <w:vAlign w:val="center"/>
          </w:tcPr>
          <w:p w14:paraId="133E20B7">
            <w:pPr>
              <w:spacing w:line="400" w:lineRule="atLeast"/>
              <w:ind w:firstLine="592"/>
              <w:jc w:val="center"/>
              <w:rPr>
                <w:rFonts w:ascii="Arial" w:hAnsi="Arial" w:cs="Arial"/>
                <w:color w:val="auto"/>
                <w:highlight w:val="none"/>
              </w:rPr>
            </w:pPr>
          </w:p>
        </w:tc>
        <w:tc>
          <w:tcPr>
            <w:tcW w:w="1575" w:type="dxa"/>
            <w:tcBorders>
              <w:top w:val="single" w:color="auto" w:sz="12" w:space="0"/>
            </w:tcBorders>
            <w:vAlign w:val="center"/>
          </w:tcPr>
          <w:p w14:paraId="5E481E84">
            <w:pPr>
              <w:spacing w:line="400" w:lineRule="atLeast"/>
              <w:ind w:firstLine="592"/>
              <w:jc w:val="center"/>
              <w:rPr>
                <w:rFonts w:ascii="Arial" w:hAnsi="Arial" w:cs="Arial"/>
                <w:color w:val="auto"/>
                <w:highlight w:val="none"/>
              </w:rPr>
            </w:pPr>
          </w:p>
        </w:tc>
        <w:tc>
          <w:tcPr>
            <w:tcW w:w="1452" w:type="dxa"/>
            <w:tcBorders>
              <w:top w:val="single" w:color="auto" w:sz="12" w:space="0"/>
            </w:tcBorders>
            <w:vAlign w:val="center"/>
          </w:tcPr>
          <w:p w14:paraId="207E0A3F">
            <w:pPr>
              <w:spacing w:line="400" w:lineRule="atLeast"/>
              <w:ind w:firstLine="592"/>
              <w:jc w:val="center"/>
              <w:rPr>
                <w:rFonts w:ascii="Arial" w:hAnsi="Arial" w:cs="Arial"/>
                <w:color w:val="auto"/>
                <w:highlight w:val="none"/>
              </w:rPr>
            </w:pPr>
          </w:p>
        </w:tc>
        <w:tc>
          <w:tcPr>
            <w:tcW w:w="1006" w:type="dxa"/>
            <w:tcBorders>
              <w:top w:val="single" w:color="auto" w:sz="12" w:space="0"/>
            </w:tcBorders>
            <w:vAlign w:val="center"/>
          </w:tcPr>
          <w:p w14:paraId="3F632BD7">
            <w:pPr>
              <w:spacing w:line="400" w:lineRule="atLeast"/>
              <w:ind w:firstLine="592"/>
              <w:jc w:val="center"/>
              <w:rPr>
                <w:rFonts w:ascii="Arial" w:hAnsi="Arial" w:cs="Arial"/>
                <w:color w:val="auto"/>
                <w:highlight w:val="none"/>
              </w:rPr>
            </w:pPr>
          </w:p>
        </w:tc>
        <w:tc>
          <w:tcPr>
            <w:tcW w:w="1307" w:type="dxa"/>
            <w:tcBorders>
              <w:top w:val="single" w:color="auto" w:sz="12" w:space="0"/>
            </w:tcBorders>
            <w:vAlign w:val="center"/>
          </w:tcPr>
          <w:p w14:paraId="293620B6">
            <w:pPr>
              <w:spacing w:line="400" w:lineRule="atLeast"/>
              <w:ind w:firstLine="592"/>
              <w:jc w:val="center"/>
              <w:rPr>
                <w:rFonts w:ascii="Arial" w:hAnsi="Arial" w:cs="Arial"/>
                <w:color w:val="auto"/>
                <w:highlight w:val="none"/>
              </w:rPr>
            </w:pPr>
          </w:p>
        </w:tc>
        <w:tc>
          <w:tcPr>
            <w:tcW w:w="1262" w:type="dxa"/>
            <w:tcBorders>
              <w:top w:val="single" w:color="auto" w:sz="12" w:space="0"/>
            </w:tcBorders>
            <w:vAlign w:val="center"/>
          </w:tcPr>
          <w:p w14:paraId="43132E17">
            <w:pPr>
              <w:spacing w:line="400" w:lineRule="atLeast"/>
              <w:ind w:firstLine="592"/>
              <w:jc w:val="center"/>
              <w:rPr>
                <w:rFonts w:ascii="Arial" w:hAnsi="Arial" w:cs="Arial"/>
                <w:color w:val="auto"/>
                <w:highlight w:val="none"/>
              </w:rPr>
            </w:pPr>
          </w:p>
        </w:tc>
      </w:tr>
      <w:tr w14:paraId="357CD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0" w:hRule="atLeast"/>
          <w:jc w:val="center"/>
        </w:trPr>
        <w:tc>
          <w:tcPr>
            <w:tcW w:w="726" w:type="dxa"/>
            <w:vAlign w:val="center"/>
          </w:tcPr>
          <w:p w14:paraId="022A4F1C">
            <w:pPr>
              <w:spacing w:line="400" w:lineRule="atLeast"/>
              <w:ind w:firstLine="592"/>
              <w:jc w:val="center"/>
              <w:rPr>
                <w:rFonts w:ascii="Arial" w:hAnsi="Arial" w:cs="Arial"/>
                <w:color w:val="auto"/>
                <w:highlight w:val="none"/>
              </w:rPr>
            </w:pPr>
          </w:p>
        </w:tc>
        <w:tc>
          <w:tcPr>
            <w:tcW w:w="1726" w:type="dxa"/>
            <w:vAlign w:val="center"/>
          </w:tcPr>
          <w:p w14:paraId="7E662773">
            <w:pPr>
              <w:spacing w:line="400" w:lineRule="atLeast"/>
              <w:ind w:firstLine="592"/>
              <w:jc w:val="center"/>
              <w:rPr>
                <w:rFonts w:ascii="Arial" w:hAnsi="Arial" w:cs="Arial"/>
                <w:color w:val="auto"/>
                <w:highlight w:val="none"/>
              </w:rPr>
            </w:pPr>
          </w:p>
        </w:tc>
        <w:tc>
          <w:tcPr>
            <w:tcW w:w="1575" w:type="dxa"/>
            <w:vAlign w:val="center"/>
          </w:tcPr>
          <w:p w14:paraId="57519CAF">
            <w:pPr>
              <w:spacing w:line="400" w:lineRule="atLeast"/>
              <w:ind w:firstLine="592"/>
              <w:jc w:val="center"/>
              <w:rPr>
                <w:rFonts w:ascii="Arial" w:hAnsi="Arial" w:cs="Arial"/>
                <w:color w:val="auto"/>
                <w:highlight w:val="none"/>
              </w:rPr>
            </w:pPr>
          </w:p>
        </w:tc>
        <w:tc>
          <w:tcPr>
            <w:tcW w:w="1452" w:type="dxa"/>
            <w:vAlign w:val="center"/>
          </w:tcPr>
          <w:p w14:paraId="7E8257B0">
            <w:pPr>
              <w:spacing w:line="400" w:lineRule="atLeast"/>
              <w:ind w:firstLine="592"/>
              <w:jc w:val="center"/>
              <w:rPr>
                <w:rFonts w:ascii="Arial" w:hAnsi="Arial" w:cs="Arial"/>
                <w:color w:val="auto"/>
                <w:highlight w:val="none"/>
              </w:rPr>
            </w:pPr>
          </w:p>
        </w:tc>
        <w:tc>
          <w:tcPr>
            <w:tcW w:w="1006" w:type="dxa"/>
            <w:vAlign w:val="center"/>
          </w:tcPr>
          <w:p w14:paraId="7019B62C">
            <w:pPr>
              <w:spacing w:line="400" w:lineRule="atLeast"/>
              <w:ind w:firstLine="592"/>
              <w:jc w:val="center"/>
              <w:rPr>
                <w:rFonts w:ascii="Arial" w:hAnsi="Arial" w:cs="Arial"/>
                <w:color w:val="auto"/>
                <w:highlight w:val="none"/>
              </w:rPr>
            </w:pPr>
          </w:p>
        </w:tc>
        <w:tc>
          <w:tcPr>
            <w:tcW w:w="1307" w:type="dxa"/>
            <w:vAlign w:val="center"/>
          </w:tcPr>
          <w:p w14:paraId="68341489">
            <w:pPr>
              <w:spacing w:line="400" w:lineRule="atLeast"/>
              <w:ind w:firstLine="592"/>
              <w:jc w:val="center"/>
              <w:rPr>
                <w:rFonts w:ascii="Arial" w:hAnsi="Arial" w:cs="Arial"/>
                <w:color w:val="auto"/>
                <w:highlight w:val="none"/>
              </w:rPr>
            </w:pPr>
          </w:p>
        </w:tc>
        <w:tc>
          <w:tcPr>
            <w:tcW w:w="1262" w:type="dxa"/>
            <w:vAlign w:val="center"/>
          </w:tcPr>
          <w:p w14:paraId="297D5B21">
            <w:pPr>
              <w:spacing w:line="400" w:lineRule="atLeast"/>
              <w:ind w:firstLine="592"/>
              <w:jc w:val="center"/>
              <w:rPr>
                <w:rFonts w:ascii="Arial" w:hAnsi="Arial" w:cs="Arial"/>
                <w:color w:val="auto"/>
                <w:highlight w:val="none"/>
              </w:rPr>
            </w:pPr>
          </w:p>
        </w:tc>
      </w:tr>
      <w:tr w14:paraId="6B897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643CB1EF">
            <w:pPr>
              <w:spacing w:line="400" w:lineRule="atLeast"/>
              <w:ind w:firstLine="592"/>
              <w:jc w:val="center"/>
              <w:rPr>
                <w:rFonts w:ascii="Arial" w:hAnsi="Arial" w:cs="Arial"/>
                <w:color w:val="auto"/>
                <w:highlight w:val="none"/>
              </w:rPr>
            </w:pPr>
          </w:p>
        </w:tc>
        <w:tc>
          <w:tcPr>
            <w:tcW w:w="1726" w:type="dxa"/>
            <w:vAlign w:val="center"/>
          </w:tcPr>
          <w:p w14:paraId="507B7F1A">
            <w:pPr>
              <w:spacing w:line="400" w:lineRule="atLeast"/>
              <w:ind w:firstLine="592"/>
              <w:jc w:val="center"/>
              <w:rPr>
                <w:rFonts w:ascii="Arial" w:hAnsi="Arial" w:cs="Arial"/>
                <w:color w:val="auto"/>
                <w:highlight w:val="none"/>
              </w:rPr>
            </w:pPr>
          </w:p>
        </w:tc>
        <w:tc>
          <w:tcPr>
            <w:tcW w:w="1575" w:type="dxa"/>
            <w:vAlign w:val="center"/>
          </w:tcPr>
          <w:p w14:paraId="112F04CF">
            <w:pPr>
              <w:spacing w:line="400" w:lineRule="atLeast"/>
              <w:ind w:firstLine="592"/>
              <w:jc w:val="center"/>
              <w:rPr>
                <w:rFonts w:ascii="Arial" w:hAnsi="Arial" w:cs="Arial"/>
                <w:color w:val="auto"/>
                <w:highlight w:val="none"/>
              </w:rPr>
            </w:pPr>
          </w:p>
        </w:tc>
        <w:tc>
          <w:tcPr>
            <w:tcW w:w="1452" w:type="dxa"/>
            <w:vAlign w:val="center"/>
          </w:tcPr>
          <w:p w14:paraId="0CB91D08">
            <w:pPr>
              <w:spacing w:line="400" w:lineRule="atLeast"/>
              <w:ind w:firstLine="592"/>
              <w:jc w:val="center"/>
              <w:rPr>
                <w:rFonts w:ascii="Arial" w:hAnsi="Arial" w:cs="Arial"/>
                <w:color w:val="auto"/>
                <w:highlight w:val="none"/>
              </w:rPr>
            </w:pPr>
          </w:p>
        </w:tc>
        <w:tc>
          <w:tcPr>
            <w:tcW w:w="1006" w:type="dxa"/>
            <w:vAlign w:val="center"/>
          </w:tcPr>
          <w:p w14:paraId="04EAC925">
            <w:pPr>
              <w:spacing w:line="400" w:lineRule="atLeast"/>
              <w:ind w:firstLine="592"/>
              <w:jc w:val="center"/>
              <w:rPr>
                <w:rFonts w:ascii="Arial" w:hAnsi="Arial" w:cs="Arial"/>
                <w:color w:val="auto"/>
                <w:highlight w:val="none"/>
              </w:rPr>
            </w:pPr>
          </w:p>
        </w:tc>
        <w:tc>
          <w:tcPr>
            <w:tcW w:w="1307" w:type="dxa"/>
            <w:vAlign w:val="center"/>
          </w:tcPr>
          <w:p w14:paraId="65DE0AE9">
            <w:pPr>
              <w:spacing w:line="400" w:lineRule="atLeast"/>
              <w:ind w:firstLine="592"/>
              <w:jc w:val="center"/>
              <w:rPr>
                <w:rFonts w:ascii="Arial" w:hAnsi="Arial" w:cs="Arial"/>
                <w:color w:val="auto"/>
                <w:highlight w:val="none"/>
              </w:rPr>
            </w:pPr>
          </w:p>
        </w:tc>
        <w:tc>
          <w:tcPr>
            <w:tcW w:w="1262" w:type="dxa"/>
            <w:vAlign w:val="center"/>
          </w:tcPr>
          <w:p w14:paraId="1EC86BC8">
            <w:pPr>
              <w:spacing w:line="400" w:lineRule="atLeast"/>
              <w:ind w:firstLine="592"/>
              <w:jc w:val="center"/>
              <w:rPr>
                <w:rFonts w:ascii="Arial" w:hAnsi="Arial" w:cs="Arial"/>
                <w:color w:val="auto"/>
                <w:highlight w:val="none"/>
              </w:rPr>
            </w:pPr>
          </w:p>
        </w:tc>
      </w:tr>
      <w:tr w14:paraId="3AE66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66C7C6C5">
            <w:pPr>
              <w:spacing w:line="400" w:lineRule="atLeast"/>
              <w:ind w:firstLine="592"/>
              <w:jc w:val="center"/>
              <w:rPr>
                <w:rFonts w:ascii="Arial" w:hAnsi="Arial" w:cs="Arial"/>
                <w:color w:val="auto"/>
                <w:highlight w:val="none"/>
              </w:rPr>
            </w:pPr>
          </w:p>
        </w:tc>
        <w:tc>
          <w:tcPr>
            <w:tcW w:w="1726" w:type="dxa"/>
            <w:vAlign w:val="center"/>
          </w:tcPr>
          <w:p w14:paraId="74AB96F0">
            <w:pPr>
              <w:spacing w:line="400" w:lineRule="atLeast"/>
              <w:ind w:firstLine="592"/>
              <w:jc w:val="center"/>
              <w:rPr>
                <w:rFonts w:ascii="Arial" w:hAnsi="Arial" w:cs="Arial"/>
                <w:color w:val="auto"/>
                <w:highlight w:val="none"/>
              </w:rPr>
            </w:pPr>
          </w:p>
        </w:tc>
        <w:tc>
          <w:tcPr>
            <w:tcW w:w="1575" w:type="dxa"/>
            <w:vAlign w:val="center"/>
          </w:tcPr>
          <w:p w14:paraId="2BBCF292">
            <w:pPr>
              <w:spacing w:line="400" w:lineRule="atLeast"/>
              <w:ind w:firstLine="592"/>
              <w:jc w:val="center"/>
              <w:rPr>
                <w:rFonts w:ascii="Arial" w:hAnsi="Arial" w:cs="Arial"/>
                <w:color w:val="auto"/>
                <w:highlight w:val="none"/>
              </w:rPr>
            </w:pPr>
          </w:p>
        </w:tc>
        <w:tc>
          <w:tcPr>
            <w:tcW w:w="1452" w:type="dxa"/>
            <w:vAlign w:val="center"/>
          </w:tcPr>
          <w:p w14:paraId="6141F669">
            <w:pPr>
              <w:spacing w:line="400" w:lineRule="atLeast"/>
              <w:ind w:firstLine="592"/>
              <w:jc w:val="center"/>
              <w:rPr>
                <w:rFonts w:ascii="Arial" w:hAnsi="Arial" w:cs="Arial"/>
                <w:color w:val="auto"/>
                <w:highlight w:val="none"/>
              </w:rPr>
            </w:pPr>
          </w:p>
        </w:tc>
        <w:tc>
          <w:tcPr>
            <w:tcW w:w="1006" w:type="dxa"/>
            <w:vAlign w:val="center"/>
          </w:tcPr>
          <w:p w14:paraId="1352CE14">
            <w:pPr>
              <w:spacing w:line="400" w:lineRule="atLeast"/>
              <w:ind w:firstLine="592"/>
              <w:jc w:val="center"/>
              <w:rPr>
                <w:rFonts w:ascii="Arial" w:hAnsi="Arial" w:cs="Arial"/>
                <w:color w:val="auto"/>
                <w:highlight w:val="none"/>
              </w:rPr>
            </w:pPr>
          </w:p>
        </w:tc>
        <w:tc>
          <w:tcPr>
            <w:tcW w:w="1307" w:type="dxa"/>
            <w:vAlign w:val="center"/>
          </w:tcPr>
          <w:p w14:paraId="568F534B">
            <w:pPr>
              <w:spacing w:line="400" w:lineRule="atLeast"/>
              <w:ind w:firstLine="592"/>
              <w:jc w:val="center"/>
              <w:rPr>
                <w:rFonts w:ascii="Arial" w:hAnsi="Arial" w:cs="Arial"/>
                <w:color w:val="auto"/>
                <w:highlight w:val="none"/>
              </w:rPr>
            </w:pPr>
          </w:p>
        </w:tc>
        <w:tc>
          <w:tcPr>
            <w:tcW w:w="1262" w:type="dxa"/>
            <w:vAlign w:val="center"/>
          </w:tcPr>
          <w:p w14:paraId="3C297B54">
            <w:pPr>
              <w:spacing w:line="400" w:lineRule="atLeast"/>
              <w:ind w:firstLine="592"/>
              <w:jc w:val="center"/>
              <w:rPr>
                <w:rFonts w:ascii="Arial" w:hAnsi="Arial" w:cs="Arial"/>
                <w:color w:val="auto"/>
                <w:highlight w:val="none"/>
              </w:rPr>
            </w:pPr>
          </w:p>
        </w:tc>
      </w:tr>
      <w:tr w14:paraId="7117C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B3C2B40">
            <w:pPr>
              <w:spacing w:line="400" w:lineRule="atLeast"/>
              <w:ind w:firstLine="592"/>
              <w:jc w:val="center"/>
              <w:rPr>
                <w:rFonts w:ascii="Arial" w:hAnsi="Arial" w:cs="Arial"/>
                <w:color w:val="auto"/>
                <w:highlight w:val="none"/>
              </w:rPr>
            </w:pPr>
          </w:p>
        </w:tc>
        <w:tc>
          <w:tcPr>
            <w:tcW w:w="1726" w:type="dxa"/>
            <w:vAlign w:val="center"/>
          </w:tcPr>
          <w:p w14:paraId="25966F39">
            <w:pPr>
              <w:spacing w:line="400" w:lineRule="atLeast"/>
              <w:ind w:firstLine="592"/>
              <w:jc w:val="center"/>
              <w:rPr>
                <w:rFonts w:ascii="Arial" w:hAnsi="Arial" w:cs="Arial"/>
                <w:color w:val="auto"/>
                <w:highlight w:val="none"/>
              </w:rPr>
            </w:pPr>
          </w:p>
        </w:tc>
        <w:tc>
          <w:tcPr>
            <w:tcW w:w="1575" w:type="dxa"/>
            <w:vAlign w:val="center"/>
          </w:tcPr>
          <w:p w14:paraId="1DA904B0">
            <w:pPr>
              <w:spacing w:line="400" w:lineRule="atLeast"/>
              <w:ind w:firstLine="592"/>
              <w:jc w:val="center"/>
              <w:rPr>
                <w:rFonts w:ascii="Arial" w:hAnsi="Arial" w:cs="Arial"/>
                <w:color w:val="auto"/>
                <w:highlight w:val="none"/>
              </w:rPr>
            </w:pPr>
          </w:p>
        </w:tc>
        <w:tc>
          <w:tcPr>
            <w:tcW w:w="1452" w:type="dxa"/>
            <w:vAlign w:val="center"/>
          </w:tcPr>
          <w:p w14:paraId="5454ADC3">
            <w:pPr>
              <w:spacing w:line="400" w:lineRule="atLeast"/>
              <w:ind w:firstLine="592"/>
              <w:jc w:val="center"/>
              <w:rPr>
                <w:rFonts w:ascii="Arial" w:hAnsi="Arial" w:cs="Arial"/>
                <w:color w:val="auto"/>
                <w:highlight w:val="none"/>
              </w:rPr>
            </w:pPr>
          </w:p>
        </w:tc>
        <w:tc>
          <w:tcPr>
            <w:tcW w:w="1006" w:type="dxa"/>
            <w:vAlign w:val="center"/>
          </w:tcPr>
          <w:p w14:paraId="54D63705">
            <w:pPr>
              <w:spacing w:line="400" w:lineRule="atLeast"/>
              <w:ind w:firstLine="592"/>
              <w:jc w:val="center"/>
              <w:rPr>
                <w:rFonts w:ascii="Arial" w:hAnsi="Arial" w:cs="Arial"/>
                <w:color w:val="auto"/>
                <w:highlight w:val="none"/>
              </w:rPr>
            </w:pPr>
          </w:p>
        </w:tc>
        <w:tc>
          <w:tcPr>
            <w:tcW w:w="1307" w:type="dxa"/>
            <w:vAlign w:val="center"/>
          </w:tcPr>
          <w:p w14:paraId="3719EDEE">
            <w:pPr>
              <w:spacing w:line="400" w:lineRule="atLeast"/>
              <w:ind w:firstLine="592"/>
              <w:jc w:val="center"/>
              <w:rPr>
                <w:rFonts w:ascii="Arial" w:hAnsi="Arial" w:cs="Arial"/>
                <w:color w:val="auto"/>
                <w:highlight w:val="none"/>
              </w:rPr>
            </w:pPr>
          </w:p>
        </w:tc>
        <w:tc>
          <w:tcPr>
            <w:tcW w:w="1262" w:type="dxa"/>
            <w:vAlign w:val="center"/>
          </w:tcPr>
          <w:p w14:paraId="3FBF4519">
            <w:pPr>
              <w:spacing w:line="400" w:lineRule="atLeast"/>
              <w:ind w:firstLine="592"/>
              <w:jc w:val="center"/>
              <w:rPr>
                <w:rFonts w:ascii="Arial" w:hAnsi="Arial" w:cs="Arial"/>
                <w:color w:val="auto"/>
                <w:highlight w:val="none"/>
              </w:rPr>
            </w:pPr>
          </w:p>
        </w:tc>
      </w:tr>
      <w:tr w14:paraId="0B25F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4DC5699E">
            <w:pPr>
              <w:spacing w:line="400" w:lineRule="atLeast"/>
              <w:ind w:firstLine="592"/>
              <w:jc w:val="center"/>
              <w:rPr>
                <w:rFonts w:ascii="Arial" w:hAnsi="Arial" w:cs="Arial"/>
                <w:color w:val="auto"/>
                <w:highlight w:val="none"/>
              </w:rPr>
            </w:pPr>
          </w:p>
        </w:tc>
        <w:tc>
          <w:tcPr>
            <w:tcW w:w="1726" w:type="dxa"/>
            <w:vAlign w:val="center"/>
          </w:tcPr>
          <w:p w14:paraId="2BDEFCBD">
            <w:pPr>
              <w:spacing w:line="400" w:lineRule="atLeast"/>
              <w:ind w:firstLine="592"/>
              <w:jc w:val="center"/>
              <w:rPr>
                <w:rFonts w:ascii="Arial" w:hAnsi="Arial" w:cs="Arial"/>
                <w:color w:val="auto"/>
                <w:highlight w:val="none"/>
              </w:rPr>
            </w:pPr>
          </w:p>
        </w:tc>
        <w:tc>
          <w:tcPr>
            <w:tcW w:w="1575" w:type="dxa"/>
            <w:vAlign w:val="center"/>
          </w:tcPr>
          <w:p w14:paraId="69559553">
            <w:pPr>
              <w:spacing w:line="400" w:lineRule="atLeast"/>
              <w:ind w:firstLine="592"/>
              <w:jc w:val="center"/>
              <w:rPr>
                <w:rFonts w:ascii="Arial" w:hAnsi="Arial" w:cs="Arial"/>
                <w:color w:val="auto"/>
                <w:highlight w:val="none"/>
              </w:rPr>
            </w:pPr>
          </w:p>
        </w:tc>
        <w:tc>
          <w:tcPr>
            <w:tcW w:w="1452" w:type="dxa"/>
            <w:vAlign w:val="center"/>
          </w:tcPr>
          <w:p w14:paraId="1D33ECE1">
            <w:pPr>
              <w:spacing w:line="400" w:lineRule="atLeast"/>
              <w:ind w:firstLine="592"/>
              <w:jc w:val="center"/>
              <w:rPr>
                <w:rFonts w:ascii="Arial" w:hAnsi="Arial" w:cs="Arial"/>
                <w:color w:val="auto"/>
                <w:highlight w:val="none"/>
              </w:rPr>
            </w:pPr>
          </w:p>
        </w:tc>
        <w:tc>
          <w:tcPr>
            <w:tcW w:w="1006" w:type="dxa"/>
            <w:vAlign w:val="center"/>
          </w:tcPr>
          <w:p w14:paraId="2A6FCCFA">
            <w:pPr>
              <w:spacing w:line="400" w:lineRule="atLeast"/>
              <w:ind w:firstLine="592"/>
              <w:jc w:val="center"/>
              <w:rPr>
                <w:rFonts w:ascii="Arial" w:hAnsi="Arial" w:cs="Arial"/>
                <w:color w:val="auto"/>
                <w:highlight w:val="none"/>
              </w:rPr>
            </w:pPr>
          </w:p>
        </w:tc>
        <w:tc>
          <w:tcPr>
            <w:tcW w:w="1307" w:type="dxa"/>
            <w:vAlign w:val="center"/>
          </w:tcPr>
          <w:p w14:paraId="2BE19305">
            <w:pPr>
              <w:spacing w:line="400" w:lineRule="atLeast"/>
              <w:ind w:firstLine="592"/>
              <w:jc w:val="center"/>
              <w:rPr>
                <w:rFonts w:ascii="Arial" w:hAnsi="Arial" w:cs="Arial"/>
                <w:color w:val="auto"/>
                <w:highlight w:val="none"/>
              </w:rPr>
            </w:pPr>
          </w:p>
        </w:tc>
        <w:tc>
          <w:tcPr>
            <w:tcW w:w="1262" w:type="dxa"/>
            <w:vAlign w:val="center"/>
          </w:tcPr>
          <w:p w14:paraId="6E6CDB47">
            <w:pPr>
              <w:spacing w:line="400" w:lineRule="atLeast"/>
              <w:ind w:firstLine="592"/>
              <w:jc w:val="center"/>
              <w:rPr>
                <w:rFonts w:ascii="Arial" w:hAnsi="Arial" w:cs="Arial"/>
                <w:color w:val="auto"/>
                <w:highlight w:val="none"/>
              </w:rPr>
            </w:pPr>
          </w:p>
        </w:tc>
      </w:tr>
      <w:tr w14:paraId="722D0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706345C5">
            <w:pPr>
              <w:spacing w:line="400" w:lineRule="atLeast"/>
              <w:ind w:firstLine="592"/>
              <w:jc w:val="center"/>
              <w:rPr>
                <w:rFonts w:ascii="Arial" w:hAnsi="Arial" w:cs="Arial"/>
                <w:color w:val="auto"/>
                <w:highlight w:val="none"/>
              </w:rPr>
            </w:pPr>
          </w:p>
        </w:tc>
        <w:tc>
          <w:tcPr>
            <w:tcW w:w="1726" w:type="dxa"/>
            <w:vAlign w:val="center"/>
          </w:tcPr>
          <w:p w14:paraId="522CA05D">
            <w:pPr>
              <w:spacing w:line="400" w:lineRule="atLeast"/>
              <w:ind w:firstLine="592"/>
              <w:jc w:val="center"/>
              <w:rPr>
                <w:rFonts w:ascii="Arial" w:hAnsi="Arial" w:cs="Arial"/>
                <w:color w:val="auto"/>
                <w:highlight w:val="none"/>
              </w:rPr>
            </w:pPr>
          </w:p>
        </w:tc>
        <w:tc>
          <w:tcPr>
            <w:tcW w:w="1575" w:type="dxa"/>
            <w:vAlign w:val="center"/>
          </w:tcPr>
          <w:p w14:paraId="7DF5D6D3">
            <w:pPr>
              <w:spacing w:line="400" w:lineRule="atLeast"/>
              <w:ind w:firstLine="592"/>
              <w:jc w:val="center"/>
              <w:rPr>
                <w:rFonts w:ascii="Arial" w:hAnsi="Arial" w:cs="Arial"/>
                <w:color w:val="auto"/>
                <w:highlight w:val="none"/>
              </w:rPr>
            </w:pPr>
          </w:p>
        </w:tc>
        <w:tc>
          <w:tcPr>
            <w:tcW w:w="1452" w:type="dxa"/>
            <w:vAlign w:val="center"/>
          </w:tcPr>
          <w:p w14:paraId="5F80EEC6">
            <w:pPr>
              <w:spacing w:line="400" w:lineRule="atLeast"/>
              <w:ind w:firstLine="592"/>
              <w:jc w:val="center"/>
              <w:rPr>
                <w:rFonts w:ascii="Arial" w:hAnsi="Arial" w:cs="Arial"/>
                <w:color w:val="auto"/>
                <w:highlight w:val="none"/>
              </w:rPr>
            </w:pPr>
          </w:p>
        </w:tc>
        <w:tc>
          <w:tcPr>
            <w:tcW w:w="1006" w:type="dxa"/>
            <w:vAlign w:val="center"/>
          </w:tcPr>
          <w:p w14:paraId="21AA9BAB">
            <w:pPr>
              <w:spacing w:line="400" w:lineRule="atLeast"/>
              <w:ind w:firstLine="592"/>
              <w:jc w:val="center"/>
              <w:rPr>
                <w:rFonts w:ascii="Arial" w:hAnsi="Arial" w:cs="Arial"/>
                <w:color w:val="auto"/>
                <w:highlight w:val="none"/>
              </w:rPr>
            </w:pPr>
          </w:p>
        </w:tc>
        <w:tc>
          <w:tcPr>
            <w:tcW w:w="1307" w:type="dxa"/>
            <w:vAlign w:val="center"/>
          </w:tcPr>
          <w:p w14:paraId="01F7A246">
            <w:pPr>
              <w:spacing w:line="400" w:lineRule="atLeast"/>
              <w:ind w:firstLine="592"/>
              <w:jc w:val="center"/>
              <w:rPr>
                <w:rFonts w:ascii="Arial" w:hAnsi="Arial" w:cs="Arial"/>
                <w:color w:val="auto"/>
                <w:highlight w:val="none"/>
              </w:rPr>
            </w:pPr>
          </w:p>
        </w:tc>
        <w:tc>
          <w:tcPr>
            <w:tcW w:w="1262" w:type="dxa"/>
            <w:vAlign w:val="center"/>
          </w:tcPr>
          <w:p w14:paraId="26409020">
            <w:pPr>
              <w:spacing w:line="400" w:lineRule="atLeast"/>
              <w:ind w:firstLine="592"/>
              <w:jc w:val="center"/>
              <w:rPr>
                <w:rFonts w:ascii="Arial" w:hAnsi="Arial" w:cs="Arial"/>
                <w:color w:val="auto"/>
                <w:highlight w:val="none"/>
              </w:rPr>
            </w:pPr>
          </w:p>
        </w:tc>
      </w:tr>
      <w:tr w14:paraId="40A9E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763EA9C8">
            <w:pPr>
              <w:spacing w:line="400" w:lineRule="atLeast"/>
              <w:ind w:firstLine="592"/>
              <w:jc w:val="center"/>
              <w:rPr>
                <w:rFonts w:ascii="Arial" w:hAnsi="Arial" w:cs="Arial"/>
                <w:color w:val="auto"/>
                <w:highlight w:val="none"/>
              </w:rPr>
            </w:pPr>
          </w:p>
        </w:tc>
        <w:tc>
          <w:tcPr>
            <w:tcW w:w="1726" w:type="dxa"/>
            <w:vAlign w:val="center"/>
          </w:tcPr>
          <w:p w14:paraId="139425CB">
            <w:pPr>
              <w:spacing w:line="400" w:lineRule="atLeast"/>
              <w:ind w:firstLine="592"/>
              <w:jc w:val="center"/>
              <w:rPr>
                <w:rFonts w:ascii="Arial" w:hAnsi="Arial" w:cs="Arial"/>
                <w:color w:val="auto"/>
                <w:highlight w:val="none"/>
              </w:rPr>
            </w:pPr>
          </w:p>
        </w:tc>
        <w:tc>
          <w:tcPr>
            <w:tcW w:w="1575" w:type="dxa"/>
            <w:vAlign w:val="center"/>
          </w:tcPr>
          <w:p w14:paraId="2882F739">
            <w:pPr>
              <w:spacing w:line="400" w:lineRule="atLeast"/>
              <w:ind w:firstLine="592"/>
              <w:jc w:val="center"/>
              <w:rPr>
                <w:rFonts w:ascii="Arial" w:hAnsi="Arial" w:cs="Arial"/>
                <w:color w:val="auto"/>
                <w:highlight w:val="none"/>
              </w:rPr>
            </w:pPr>
          </w:p>
        </w:tc>
        <w:tc>
          <w:tcPr>
            <w:tcW w:w="1452" w:type="dxa"/>
            <w:vAlign w:val="center"/>
          </w:tcPr>
          <w:p w14:paraId="77179E60">
            <w:pPr>
              <w:spacing w:line="400" w:lineRule="atLeast"/>
              <w:ind w:firstLine="592"/>
              <w:jc w:val="center"/>
              <w:rPr>
                <w:rFonts w:ascii="Arial" w:hAnsi="Arial" w:cs="Arial"/>
                <w:color w:val="auto"/>
                <w:highlight w:val="none"/>
              </w:rPr>
            </w:pPr>
          </w:p>
        </w:tc>
        <w:tc>
          <w:tcPr>
            <w:tcW w:w="1006" w:type="dxa"/>
            <w:vAlign w:val="center"/>
          </w:tcPr>
          <w:p w14:paraId="1CC3A6E8">
            <w:pPr>
              <w:spacing w:line="400" w:lineRule="atLeast"/>
              <w:ind w:firstLine="592"/>
              <w:jc w:val="center"/>
              <w:rPr>
                <w:rFonts w:ascii="Arial" w:hAnsi="Arial" w:cs="Arial"/>
                <w:color w:val="auto"/>
                <w:highlight w:val="none"/>
              </w:rPr>
            </w:pPr>
          </w:p>
        </w:tc>
        <w:tc>
          <w:tcPr>
            <w:tcW w:w="1307" w:type="dxa"/>
            <w:vAlign w:val="center"/>
          </w:tcPr>
          <w:p w14:paraId="054C5ACC">
            <w:pPr>
              <w:spacing w:line="400" w:lineRule="atLeast"/>
              <w:ind w:firstLine="592"/>
              <w:jc w:val="center"/>
              <w:rPr>
                <w:rFonts w:ascii="Arial" w:hAnsi="Arial" w:cs="Arial"/>
                <w:color w:val="auto"/>
                <w:highlight w:val="none"/>
              </w:rPr>
            </w:pPr>
          </w:p>
        </w:tc>
        <w:tc>
          <w:tcPr>
            <w:tcW w:w="1262" w:type="dxa"/>
            <w:vAlign w:val="center"/>
          </w:tcPr>
          <w:p w14:paraId="7A8E0542">
            <w:pPr>
              <w:spacing w:line="400" w:lineRule="atLeast"/>
              <w:ind w:firstLine="592"/>
              <w:jc w:val="center"/>
              <w:rPr>
                <w:rFonts w:ascii="Arial" w:hAnsi="Arial" w:cs="Arial"/>
                <w:color w:val="auto"/>
                <w:highlight w:val="none"/>
              </w:rPr>
            </w:pPr>
          </w:p>
        </w:tc>
      </w:tr>
      <w:tr w14:paraId="5AD8F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59932E2E">
            <w:pPr>
              <w:spacing w:line="400" w:lineRule="atLeast"/>
              <w:ind w:firstLine="592"/>
              <w:jc w:val="center"/>
              <w:rPr>
                <w:rFonts w:ascii="Arial" w:hAnsi="Arial" w:cs="Arial"/>
                <w:color w:val="auto"/>
                <w:highlight w:val="none"/>
              </w:rPr>
            </w:pPr>
          </w:p>
        </w:tc>
        <w:tc>
          <w:tcPr>
            <w:tcW w:w="1726" w:type="dxa"/>
            <w:vAlign w:val="center"/>
          </w:tcPr>
          <w:p w14:paraId="07E0DDD1">
            <w:pPr>
              <w:spacing w:line="400" w:lineRule="atLeast"/>
              <w:ind w:firstLine="592"/>
              <w:jc w:val="center"/>
              <w:rPr>
                <w:rFonts w:ascii="Arial" w:hAnsi="Arial" w:cs="Arial"/>
                <w:color w:val="auto"/>
                <w:highlight w:val="none"/>
              </w:rPr>
            </w:pPr>
          </w:p>
        </w:tc>
        <w:tc>
          <w:tcPr>
            <w:tcW w:w="1575" w:type="dxa"/>
            <w:vAlign w:val="center"/>
          </w:tcPr>
          <w:p w14:paraId="396E78C9">
            <w:pPr>
              <w:spacing w:line="400" w:lineRule="atLeast"/>
              <w:ind w:firstLine="592"/>
              <w:jc w:val="center"/>
              <w:rPr>
                <w:rFonts w:ascii="Arial" w:hAnsi="Arial" w:cs="Arial"/>
                <w:color w:val="auto"/>
                <w:highlight w:val="none"/>
              </w:rPr>
            </w:pPr>
          </w:p>
        </w:tc>
        <w:tc>
          <w:tcPr>
            <w:tcW w:w="1452" w:type="dxa"/>
            <w:vAlign w:val="center"/>
          </w:tcPr>
          <w:p w14:paraId="7C18F22B">
            <w:pPr>
              <w:spacing w:line="400" w:lineRule="atLeast"/>
              <w:ind w:firstLine="592"/>
              <w:jc w:val="center"/>
              <w:rPr>
                <w:rFonts w:ascii="Arial" w:hAnsi="Arial" w:cs="Arial"/>
                <w:color w:val="auto"/>
                <w:highlight w:val="none"/>
              </w:rPr>
            </w:pPr>
          </w:p>
        </w:tc>
        <w:tc>
          <w:tcPr>
            <w:tcW w:w="1006" w:type="dxa"/>
            <w:vAlign w:val="center"/>
          </w:tcPr>
          <w:p w14:paraId="3673BAE8">
            <w:pPr>
              <w:spacing w:line="400" w:lineRule="atLeast"/>
              <w:ind w:firstLine="592"/>
              <w:jc w:val="center"/>
              <w:rPr>
                <w:rFonts w:ascii="Arial" w:hAnsi="Arial" w:cs="Arial"/>
                <w:color w:val="auto"/>
                <w:highlight w:val="none"/>
              </w:rPr>
            </w:pPr>
          </w:p>
        </w:tc>
        <w:tc>
          <w:tcPr>
            <w:tcW w:w="1307" w:type="dxa"/>
            <w:vAlign w:val="center"/>
          </w:tcPr>
          <w:p w14:paraId="7516BB7F">
            <w:pPr>
              <w:spacing w:line="400" w:lineRule="atLeast"/>
              <w:ind w:firstLine="592"/>
              <w:jc w:val="center"/>
              <w:rPr>
                <w:rFonts w:ascii="Arial" w:hAnsi="Arial" w:cs="Arial"/>
                <w:color w:val="auto"/>
                <w:highlight w:val="none"/>
              </w:rPr>
            </w:pPr>
          </w:p>
        </w:tc>
        <w:tc>
          <w:tcPr>
            <w:tcW w:w="1262" w:type="dxa"/>
            <w:vAlign w:val="center"/>
          </w:tcPr>
          <w:p w14:paraId="0B8B0019">
            <w:pPr>
              <w:spacing w:line="400" w:lineRule="atLeast"/>
              <w:ind w:firstLine="592"/>
              <w:jc w:val="center"/>
              <w:rPr>
                <w:rFonts w:ascii="Arial" w:hAnsi="Arial" w:cs="Arial"/>
                <w:color w:val="auto"/>
                <w:highlight w:val="none"/>
              </w:rPr>
            </w:pPr>
          </w:p>
        </w:tc>
      </w:tr>
      <w:tr w14:paraId="2B749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0" w:hRule="atLeast"/>
          <w:jc w:val="center"/>
        </w:trPr>
        <w:tc>
          <w:tcPr>
            <w:tcW w:w="726" w:type="dxa"/>
            <w:vAlign w:val="center"/>
          </w:tcPr>
          <w:p w14:paraId="43B40DE0">
            <w:pPr>
              <w:spacing w:line="400" w:lineRule="atLeast"/>
              <w:ind w:firstLine="592"/>
              <w:jc w:val="center"/>
              <w:rPr>
                <w:rFonts w:ascii="Arial" w:hAnsi="Arial" w:cs="Arial"/>
                <w:color w:val="auto"/>
                <w:highlight w:val="none"/>
              </w:rPr>
            </w:pPr>
          </w:p>
        </w:tc>
        <w:tc>
          <w:tcPr>
            <w:tcW w:w="1726" w:type="dxa"/>
            <w:vAlign w:val="center"/>
          </w:tcPr>
          <w:p w14:paraId="059D40DD">
            <w:pPr>
              <w:spacing w:line="400" w:lineRule="atLeast"/>
              <w:ind w:firstLine="592"/>
              <w:jc w:val="center"/>
              <w:rPr>
                <w:rFonts w:ascii="Arial" w:hAnsi="Arial" w:cs="Arial"/>
                <w:color w:val="auto"/>
                <w:highlight w:val="none"/>
              </w:rPr>
            </w:pPr>
          </w:p>
        </w:tc>
        <w:tc>
          <w:tcPr>
            <w:tcW w:w="1575" w:type="dxa"/>
            <w:vAlign w:val="center"/>
          </w:tcPr>
          <w:p w14:paraId="1CC3C6CB">
            <w:pPr>
              <w:spacing w:line="400" w:lineRule="atLeast"/>
              <w:ind w:firstLine="592"/>
              <w:jc w:val="center"/>
              <w:rPr>
                <w:rFonts w:ascii="Arial" w:hAnsi="Arial" w:cs="Arial"/>
                <w:color w:val="auto"/>
                <w:highlight w:val="none"/>
              </w:rPr>
            </w:pPr>
          </w:p>
        </w:tc>
        <w:tc>
          <w:tcPr>
            <w:tcW w:w="1452" w:type="dxa"/>
            <w:vAlign w:val="center"/>
          </w:tcPr>
          <w:p w14:paraId="633E5885">
            <w:pPr>
              <w:spacing w:line="400" w:lineRule="atLeast"/>
              <w:ind w:firstLine="592"/>
              <w:jc w:val="center"/>
              <w:rPr>
                <w:rFonts w:ascii="Arial" w:hAnsi="Arial" w:cs="Arial"/>
                <w:color w:val="auto"/>
                <w:highlight w:val="none"/>
              </w:rPr>
            </w:pPr>
          </w:p>
        </w:tc>
        <w:tc>
          <w:tcPr>
            <w:tcW w:w="1006" w:type="dxa"/>
            <w:vAlign w:val="center"/>
          </w:tcPr>
          <w:p w14:paraId="5D695559">
            <w:pPr>
              <w:spacing w:line="400" w:lineRule="atLeast"/>
              <w:ind w:firstLine="592"/>
              <w:jc w:val="center"/>
              <w:rPr>
                <w:rFonts w:ascii="Arial" w:hAnsi="Arial" w:cs="Arial"/>
                <w:color w:val="auto"/>
                <w:highlight w:val="none"/>
              </w:rPr>
            </w:pPr>
          </w:p>
        </w:tc>
        <w:tc>
          <w:tcPr>
            <w:tcW w:w="1307" w:type="dxa"/>
            <w:vAlign w:val="center"/>
          </w:tcPr>
          <w:p w14:paraId="75062CE3">
            <w:pPr>
              <w:spacing w:line="400" w:lineRule="atLeast"/>
              <w:ind w:firstLine="592"/>
              <w:jc w:val="center"/>
              <w:rPr>
                <w:rFonts w:ascii="Arial" w:hAnsi="Arial" w:cs="Arial"/>
                <w:color w:val="auto"/>
                <w:highlight w:val="none"/>
              </w:rPr>
            </w:pPr>
          </w:p>
        </w:tc>
        <w:tc>
          <w:tcPr>
            <w:tcW w:w="1262" w:type="dxa"/>
            <w:vAlign w:val="center"/>
          </w:tcPr>
          <w:p w14:paraId="33161D4C">
            <w:pPr>
              <w:spacing w:line="400" w:lineRule="atLeast"/>
              <w:ind w:firstLine="592"/>
              <w:jc w:val="center"/>
              <w:rPr>
                <w:rFonts w:ascii="Arial" w:hAnsi="Arial" w:cs="Arial"/>
                <w:color w:val="auto"/>
                <w:highlight w:val="none"/>
              </w:rPr>
            </w:pPr>
          </w:p>
        </w:tc>
      </w:tr>
      <w:tr w14:paraId="3117A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32B2A2D0">
            <w:pPr>
              <w:spacing w:line="400" w:lineRule="atLeast"/>
              <w:ind w:firstLine="592"/>
              <w:jc w:val="center"/>
              <w:rPr>
                <w:rFonts w:ascii="Arial" w:hAnsi="Arial" w:cs="Arial"/>
                <w:color w:val="auto"/>
                <w:highlight w:val="none"/>
              </w:rPr>
            </w:pPr>
          </w:p>
        </w:tc>
        <w:tc>
          <w:tcPr>
            <w:tcW w:w="1726" w:type="dxa"/>
            <w:vAlign w:val="center"/>
          </w:tcPr>
          <w:p w14:paraId="110C52DB">
            <w:pPr>
              <w:spacing w:line="400" w:lineRule="atLeast"/>
              <w:ind w:firstLine="592"/>
              <w:jc w:val="center"/>
              <w:rPr>
                <w:rFonts w:ascii="Arial" w:hAnsi="Arial" w:cs="Arial"/>
                <w:color w:val="auto"/>
                <w:highlight w:val="none"/>
              </w:rPr>
            </w:pPr>
          </w:p>
        </w:tc>
        <w:tc>
          <w:tcPr>
            <w:tcW w:w="1575" w:type="dxa"/>
            <w:vAlign w:val="center"/>
          </w:tcPr>
          <w:p w14:paraId="390EDAB6">
            <w:pPr>
              <w:spacing w:line="400" w:lineRule="atLeast"/>
              <w:ind w:firstLine="592"/>
              <w:jc w:val="center"/>
              <w:rPr>
                <w:rFonts w:ascii="Arial" w:hAnsi="Arial" w:cs="Arial"/>
                <w:color w:val="auto"/>
                <w:highlight w:val="none"/>
              </w:rPr>
            </w:pPr>
          </w:p>
        </w:tc>
        <w:tc>
          <w:tcPr>
            <w:tcW w:w="1452" w:type="dxa"/>
            <w:vAlign w:val="center"/>
          </w:tcPr>
          <w:p w14:paraId="7EFA0043">
            <w:pPr>
              <w:spacing w:line="400" w:lineRule="atLeast"/>
              <w:ind w:firstLine="592"/>
              <w:jc w:val="center"/>
              <w:rPr>
                <w:rFonts w:ascii="Arial" w:hAnsi="Arial" w:cs="Arial"/>
                <w:color w:val="auto"/>
                <w:highlight w:val="none"/>
              </w:rPr>
            </w:pPr>
          </w:p>
        </w:tc>
        <w:tc>
          <w:tcPr>
            <w:tcW w:w="1006" w:type="dxa"/>
            <w:vAlign w:val="center"/>
          </w:tcPr>
          <w:p w14:paraId="1565EB75">
            <w:pPr>
              <w:spacing w:line="400" w:lineRule="atLeast"/>
              <w:ind w:firstLine="592"/>
              <w:jc w:val="center"/>
              <w:rPr>
                <w:rFonts w:ascii="Arial" w:hAnsi="Arial" w:cs="Arial"/>
                <w:color w:val="auto"/>
                <w:highlight w:val="none"/>
              </w:rPr>
            </w:pPr>
          </w:p>
        </w:tc>
        <w:tc>
          <w:tcPr>
            <w:tcW w:w="1307" w:type="dxa"/>
            <w:vAlign w:val="center"/>
          </w:tcPr>
          <w:p w14:paraId="099DF41F">
            <w:pPr>
              <w:spacing w:line="400" w:lineRule="atLeast"/>
              <w:ind w:firstLine="592"/>
              <w:jc w:val="center"/>
              <w:rPr>
                <w:rFonts w:ascii="Arial" w:hAnsi="Arial" w:cs="Arial"/>
                <w:color w:val="auto"/>
                <w:highlight w:val="none"/>
              </w:rPr>
            </w:pPr>
          </w:p>
        </w:tc>
        <w:tc>
          <w:tcPr>
            <w:tcW w:w="1262" w:type="dxa"/>
            <w:vAlign w:val="center"/>
          </w:tcPr>
          <w:p w14:paraId="6F2C29A1">
            <w:pPr>
              <w:spacing w:line="400" w:lineRule="atLeast"/>
              <w:ind w:firstLine="592"/>
              <w:jc w:val="center"/>
              <w:rPr>
                <w:rFonts w:ascii="Arial" w:hAnsi="Arial" w:cs="Arial"/>
                <w:color w:val="auto"/>
                <w:highlight w:val="none"/>
              </w:rPr>
            </w:pPr>
          </w:p>
        </w:tc>
      </w:tr>
      <w:tr w14:paraId="4DFCF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63FD4A41">
            <w:pPr>
              <w:spacing w:line="400" w:lineRule="atLeast"/>
              <w:ind w:firstLine="592"/>
              <w:jc w:val="center"/>
              <w:rPr>
                <w:rFonts w:ascii="Arial" w:hAnsi="Arial" w:cs="Arial"/>
                <w:color w:val="auto"/>
                <w:highlight w:val="none"/>
              </w:rPr>
            </w:pPr>
          </w:p>
        </w:tc>
        <w:tc>
          <w:tcPr>
            <w:tcW w:w="1726" w:type="dxa"/>
            <w:vAlign w:val="center"/>
          </w:tcPr>
          <w:p w14:paraId="1C1F9D64">
            <w:pPr>
              <w:spacing w:line="400" w:lineRule="atLeast"/>
              <w:ind w:firstLine="592"/>
              <w:jc w:val="center"/>
              <w:rPr>
                <w:rFonts w:ascii="Arial" w:hAnsi="Arial" w:cs="Arial"/>
                <w:color w:val="auto"/>
                <w:highlight w:val="none"/>
              </w:rPr>
            </w:pPr>
          </w:p>
        </w:tc>
        <w:tc>
          <w:tcPr>
            <w:tcW w:w="1575" w:type="dxa"/>
            <w:vAlign w:val="center"/>
          </w:tcPr>
          <w:p w14:paraId="61C4D904">
            <w:pPr>
              <w:spacing w:line="400" w:lineRule="atLeast"/>
              <w:ind w:firstLine="592"/>
              <w:jc w:val="center"/>
              <w:rPr>
                <w:rFonts w:ascii="Arial" w:hAnsi="Arial" w:cs="Arial"/>
                <w:color w:val="auto"/>
                <w:highlight w:val="none"/>
              </w:rPr>
            </w:pPr>
          </w:p>
        </w:tc>
        <w:tc>
          <w:tcPr>
            <w:tcW w:w="1452" w:type="dxa"/>
            <w:vAlign w:val="center"/>
          </w:tcPr>
          <w:p w14:paraId="4A0E0005">
            <w:pPr>
              <w:spacing w:line="400" w:lineRule="atLeast"/>
              <w:ind w:firstLine="592"/>
              <w:jc w:val="center"/>
              <w:rPr>
                <w:rFonts w:ascii="Arial" w:hAnsi="Arial" w:cs="Arial"/>
                <w:color w:val="auto"/>
                <w:highlight w:val="none"/>
              </w:rPr>
            </w:pPr>
          </w:p>
        </w:tc>
        <w:tc>
          <w:tcPr>
            <w:tcW w:w="1006" w:type="dxa"/>
            <w:vAlign w:val="center"/>
          </w:tcPr>
          <w:p w14:paraId="7C4193FB">
            <w:pPr>
              <w:spacing w:line="400" w:lineRule="atLeast"/>
              <w:ind w:firstLine="592"/>
              <w:jc w:val="center"/>
              <w:rPr>
                <w:rFonts w:ascii="Arial" w:hAnsi="Arial" w:cs="Arial"/>
                <w:color w:val="auto"/>
                <w:highlight w:val="none"/>
              </w:rPr>
            </w:pPr>
          </w:p>
        </w:tc>
        <w:tc>
          <w:tcPr>
            <w:tcW w:w="1307" w:type="dxa"/>
            <w:vAlign w:val="center"/>
          </w:tcPr>
          <w:p w14:paraId="78C47383">
            <w:pPr>
              <w:spacing w:line="400" w:lineRule="atLeast"/>
              <w:ind w:firstLine="592"/>
              <w:jc w:val="center"/>
              <w:rPr>
                <w:rFonts w:ascii="Arial" w:hAnsi="Arial" w:cs="Arial"/>
                <w:color w:val="auto"/>
                <w:highlight w:val="none"/>
              </w:rPr>
            </w:pPr>
          </w:p>
        </w:tc>
        <w:tc>
          <w:tcPr>
            <w:tcW w:w="1262" w:type="dxa"/>
            <w:vAlign w:val="center"/>
          </w:tcPr>
          <w:p w14:paraId="280F96E0">
            <w:pPr>
              <w:spacing w:line="400" w:lineRule="atLeast"/>
              <w:ind w:firstLine="592"/>
              <w:jc w:val="center"/>
              <w:rPr>
                <w:rFonts w:ascii="Arial" w:hAnsi="Arial" w:cs="Arial"/>
                <w:color w:val="auto"/>
                <w:highlight w:val="none"/>
              </w:rPr>
            </w:pPr>
          </w:p>
        </w:tc>
      </w:tr>
      <w:tr w14:paraId="0DD2B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6" w:type="dxa"/>
            <w:vAlign w:val="center"/>
          </w:tcPr>
          <w:p w14:paraId="0E5353BB">
            <w:pPr>
              <w:spacing w:line="400" w:lineRule="atLeast"/>
              <w:ind w:firstLine="592"/>
              <w:jc w:val="center"/>
              <w:rPr>
                <w:rFonts w:ascii="Arial" w:hAnsi="Arial" w:cs="Arial"/>
                <w:color w:val="auto"/>
                <w:highlight w:val="none"/>
              </w:rPr>
            </w:pPr>
          </w:p>
        </w:tc>
        <w:tc>
          <w:tcPr>
            <w:tcW w:w="1726" w:type="dxa"/>
            <w:vAlign w:val="center"/>
          </w:tcPr>
          <w:p w14:paraId="02B3CA71">
            <w:pPr>
              <w:spacing w:line="400" w:lineRule="atLeast"/>
              <w:ind w:firstLine="592"/>
              <w:jc w:val="center"/>
              <w:rPr>
                <w:rFonts w:ascii="Arial" w:hAnsi="Arial" w:cs="Arial"/>
                <w:color w:val="auto"/>
                <w:highlight w:val="none"/>
              </w:rPr>
            </w:pPr>
          </w:p>
        </w:tc>
        <w:tc>
          <w:tcPr>
            <w:tcW w:w="1575" w:type="dxa"/>
            <w:vAlign w:val="center"/>
          </w:tcPr>
          <w:p w14:paraId="280E1837">
            <w:pPr>
              <w:spacing w:line="400" w:lineRule="atLeast"/>
              <w:ind w:firstLine="592"/>
              <w:jc w:val="center"/>
              <w:rPr>
                <w:rFonts w:ascii="Arial" w:hAnsi="Arial" w:cs="Arial"/>
                <w:color w:val="auto"/>
                <w:highlight w:val="none"/>
              </w:rPr>
            </w:pPr>
          </w:p>
        </w:tc>
        <w:tc>
          <w:tcPr>
            <w:tcW w:w="1452" w:type="dxa"/>
            <w:vAlign w:val="center"/>
          </w:tcPr>
          <w:p w14:paraId="5DCC9D39">
            <w:pPr>
              <w:spacing w:line="400" w:lineRule="atLeast"/>
              <w:ind w:firstLine="592"/>
              <w:jc w:val="center"/>
              <w:rPr>
                <w:rFonts w:ascii="Arial" w:hAnsi="Arial" w:cs="Arial"/>
                <w:color w:val="auto"/>
                <w:highlight w:val="none"/>
              </w:rPr>
            </w:pPr>
          </w:p>
        </w:tc>
        <w:tc>
          <w:tcPr>
            <w:tcW w:w="1006" w:type="dxa"/>
            <w:vAlign w:val="center"/>
          </w:tcPr>
          <w:p w14:paraId="6D1B6916">
            <w:pPr>
              <w:spacing w:line="400" w:lineRule="atLeast"/>
              <w:ind w:firstLine="592"/>
              <w:jc w:val="center"/>
              <w:rPr>
                <w:rFonts w:ascii="Arial" w:hAnsi="Arial" w:cs="Arial"/>
                <w:color w:val="auto"/>
                <w:highlight w:val="none"/>
              </w:rPr>
            </w:pPr>
          </w:p>
        </w:tc>
        <w:tc>
          <w:tcPr>
            <w:tcW w:w="1307" w:type="dxa"/>
            <w:vAlign w:val="center"/>
          </w:tcPr>
          <w:p w14:paraId="393CDE6C">
            <w:pPr>
              <w:spacing w:line="400" w:lineRule="atLeast"/>
              <w:ind w:firstLine="592"/>
              <w:jc w:val="center"/>
              <w:rPr>
                <w:rFonts w:ascii="Arial" w:hAnsi="Arial" w:cs="Arial"/>
                <w:color w:val="auto"/>
                <w:highlight w:val="none"/>
              </w:rPr>
            </w:pPr>
          </w:p>
        </w:tc>
        <w:tc>
          <w:tcPr>
            <w:tcW w:w="1262" w:type="dxa"/>
            <w:vAlign w:val="center"/>
          </w:tcPr>
          <w:p w14:paraId="2E0EB7B6">
            <w:pPr>
              <w:spacing w:line="400" w:lineRule="atLeast"/>
              <w:ind w:firstLine="592"/>
              <w:jc w:val="center"/>
              <w:rPr>
                <w:rFonts w:ascii="Arial" w:hAnsi="Arial" w:cs="Arial"/>
                <w:color w:val="auto"/>
                <w:highlight w:val="none"/>
              </w:rPr>
            </w:pPr>
          </w:p>
        </w:tc>
      </w:tr>
    </w:tbl>
    <w:p w14:paraId="2071ACB5">
      <w:pPr>
        <w:pStyle w:val="7"/>
        <w:spacing w:line="360" w:lineRule="auto"/>
        <w:ind w:firstLine="0"/>
        <w:rPr>
          <w:rFonts w:hint="eastAsia" w:ascii="宋体" w:hAnsi="宋体" w:cs="Arial"/>
          <w:b/>
          <w:color w:val="000000"/>
          <w:sz w:val="21"/>
          <w:szCs w:val="21"/>
          <w:highlight w:val="none"/>
        </w:rPr>
      </w:pPr>
      <w:r>
        <w:rPr>
          <w:rFonts w:hint="eastAsia" w:ascii="宋体" w:hAnsi="宋体"/>
          <w:b/>
          <w:color w:val="000000"/>
          <w:sz w:val="21"/>
          <w:szCs w:val="21"/>
          <w:highlight w:val="none"/>
        </w:rPr>
        <w:t>注:</w:t>
      </w:r>
      <w:r>
        <w:rPr>
          <w:rFonts w:hint="eastAsia" w:ascii="宋体" w:hAnsi="宋体"/>
          <w:b/>
          <w:color w:val="000000"/>
          <w:highlight w:val="none"/>
        </w:rPr>
        <w:tab/>
      </w:r>
      <w:r>
        <w:rPr>
          <w:rFonts w:ascii="宋体" w:hAnsi="宋体" w:cs="Arial"/>
          <w:b/>
          <w:color w:val="000000"/>
          <w:sz w:val="21"/>
          <w:szCs w:val="21"/>
          <w:highlight w:val="none"/>
        </w:rPr>
        <w:t>1. 本表所列为</w:t>
      </w:r>
      <w:r>
        <w:rPr>
          <w:rFonts w:hint="eastAsia" w:ascii="宋体" w:hAnsi="宋体" w:cs="Arial"/>
          <w:b/>
          <w:color w:val="000000"/>
          <w:sz w:val="21"/>
          <w:szCs w:val="21"/>
          <w:highlight w:val="none"/>
          <w:lang w:eastAsia="zh-CN"/>
        </w:rPr>
        <w:t>磋商</w:t>
      </w:r>
      <w:r>
        <w:rPr>
          <w:rFonts w:hint="eastAsia" w:ascii="宋体" w:hAnsi="宋体" w:cs="Arial"/>
          <w:b/>
          <w:color w:val="000000"/>
          <w:sz w:val="21"/>
          <w:szCs w:val="21"/>
          <w:highlight w:val="none"/>
        </w:rPr>
        <w:t>供应商拟投入的车辆、设备、人员装备清单。</w:t>
      </w:r>
    </w:p>
    <w:p w14:paraId="23CB84FE">
      <w:pPr>
        <w:pStyle w:val="7"/>
        <w:spacing w:line="360" w:lineRule="auto"/>
        <w:ind w:firstLineChars="199"/>
        <w:rPr>
          <w:rFonts w:ascii="宋体" w:hAnsi="宋体" w:cs="Arial"/>
          <w:b/>
          <w:color w:val="000000"/>
          <w:sz w:val="21"/>
          <w:szCs w:val="21"/>
          <w:highlight w:val="none"/>
        </w:rPr>
      </w:pPr>
      <w:r>
        <w:rPr>
          <w:rFonts w:hint="eastAsia" w:ascii="宋体" w:hAnsi="宋体" w:cs="Arial"/>
          <w:b/>
          <w:color w:val="000000"/>
          <w:sz w:val="21"/>
          <w:szCs w:val="21"/>
          <w:highlight w:val="none"/>
          <w:lang w:val="en-US" w:eastAsia="zh-CN"/>
        </w:rPr>
        <w:t>2</w:t>
      </w:r>
      <w:r>
        <w:rPr>
          <w:rFonts w:ascii="宋体" w:hAnsi="宋体" w:cs="Arial"/>
          <w:b/>
          <w:color w:val="000000"/>
          <w:sz w:val="21"/>
          <w:szCs w:val="21"/>
          <w:highlight w:val="none"/>
        </w:rPr>
        <w:t>. 此表仅提供了表格形式，</w:t>
      </w:r>
      <w:r>
        <w:rPr>
          <w:rFonts w:hint="eastAsia" w:ascii="宋体" w:hAnsi="宋体" w:cs="Arial"/>
          <w:b/>
          <w:color w:val="000000"/>
          <w:sz w:val="21"/>
          <w:szCs w:val="21"/>
          <w:highlight w:val="none"/>
          <w:lang w:eastAsia="zh-CN"/>
        </w:rPr>
        <w:t>磋商</w:t>
      </w:r>
      <w:r>
        <w:rPr>
          <w:rFonts w:hint="eastAsia" w:ascii="宋体" w:hAnsi="宋体" w:cs="Arial"/>
          <w:b/>
          <w:color w:val="000000"/>
          <w:sz w:val="21"/>
          <w:szCs w:val="21"/>
          <w:highlight w:val="none"/>
        </w:rPr>
        <w:t>供应商</w:t>
      </w:r>
      <w:r>
        <w:rPr>
          <w:rFonts w:ascii="宋体" w:hAnsi="宋体" w:cs="Arial"/>
          <w:b/>
          <w:color w:val="000000"/>
          <w:sz w:val="21"/>
          <w:szCs w:val="21"/>
          <w:highlight w:val="none"/>
        </w:rPr>
        <w:t>应根据需要准备足够数量的表格来填写。</w:t>
      </w:r>
    </w:p>
    <w:p w14:paraId="1702BA09">
      <w:pPr>
        <w:spacing w:line="360" w:lineRule="auto"/>
        <w:ind w:firstLine="421"/>
        <w:jc w:val="center"/>
        <w:rPr>
          <w:rFonts w:hint="eastAsia" w:ascii="Arial" w:hAnsi="Arial" w:cs="Arial"/>
          <w:color w:val="auto"/>
          <w:szCs w:val="21"/>
          <w:highlight w:val="none"/>
          <w:lang w:val="en-US" w:eastAsia="zh-CN"/>
        </w:rPr>
      </w:pPr>
      <w:r>
        <w:rPr>
          <w:rFonts w:hint="eastAsia" w:ascii="Arial" w:hAnsi="Arial" w:cs="Arial"/>
          <w:color w:val="auto"/>
          <w:szCs w:val="21"/>
          <w:highlight w:val="none"/>
          <w:lang w:eastAsia="zh-CN"/>
        </w:rPr>
        <w:t>　　　　　　　　　　　</w:t>
      </w:r>
      <w:r>
        <w:rPr>
          <w:rFonts w:hint="eastAsia" w:ascii="Arial" w:hAnsi="Arial" w:cs="Arial"/>
          <w:color w:val="auto"/>
          <w:szCs w:val="21"/>
          <w:highlight w:val="none"/>
          <w:lang w:val="en-US" w:eastAsia="zh-CN"/>
        </w:rPr>
        <w:t xml:space="preserve">      </w:t>
      </w:r>
    </w:p>
    <w:p w14:paraId="11135777">
      <w:pPr>
        <w:spacing w:line="360" w:lineRule="auto"/>
        <w:ind w:firstLine="421"/>
        <w:jc w:val="center"/>
        <w:rPr>
          <w:rFonts w:ascii="Arial" w:hAnsi="Arial" w:cs="Arial"/>
          <w:color w:val="auto"/>
          <w:szCs w:val="21"/>
          <w:highlight w:val="none"/>
        </w:rPr>
      </w:pPr>
      <w:r>
        <w:rPr>
          <w:rFonts w:hint="eastAsia" w:ascii="Arial" w:hAnsi="Arial" w:cs="Arial"/>
          <w:color w:val="auto"/>
          <w:szCs w:val="21"/>
          <w:highlight w:val="none"/>
          <w:lang w:val="en-US" w:eastAsia="zh-CN"/>
        </w:rPr>
        <w:t xml:space="preserve">                           </w:t>
      </w:r>
      <w:r>
        <w:rPr>
          <w:rFonts w:hint="eastAsia" w:ascii="Arial" w:hAnsi="Arial" w:cs="Arial"/>
          <w:color w:val="auto"/>
          <w:szCs w:val="21"/>
          <w:highlight w:val="none"/>
        </w:rPr>
        <w:t>磋商供应商</w:t>
      </w:r>
      <w:r>
        <w:rPr>
          <w:rFonts w:ascii="Arial" w:hAnsi="Arial" w:cs="Arial"/>
          <w:color w:val="auto"/>
          <w:szCs w:val="21"/>
          <w:highlight w:val="none"/>
        </w:rPr>
        <w:t>全称（公章）：</w:t>
      </w:r>
    </w:p>
    <w:p w14:paraId="42536528">
      <w:pPr>
        <w:bidi w:val="0"/>
        <w:spacing w:line="360" w:lineRule="auto"/>
        <w:jc w:val="center"/>
        <w:rPr>
          <w:highlight w:val="none"/>
        </w:rPr>
      </w:pPr>
      <w:r>
        <w:rPr>
          <w:rFonts w:hint="eastAsia"/>
          <w:highlight w:val="none"/>
          <w:lang w:val="en-US" w:eastAsia="zh-CN"/>
        </w:rPr>
        <w:t xml:space="preserve">                                           </w:t>
      </w:r>
      <w:r>
        <w:rPr>
          <w:highlight w:val="none"/>
        </w:rPr>
        <w:t>法定代表人或授权代表（签字或盖章）：</w:t>
      </w:r>
    </w:p>
    <w:p w14:paraId="0968A3CE">
      <w:pPr>
        <w:bidi w:val="0"/>
        <w:spacing w:line="360" w:lineRule="auto"/>
        <w:jc w:val="center"/>
        <w:rPr>
          <w:highlight w:val="none"/>
        </w:rPr>
      </w:pPr>
      <w:r>
        <w:rPr>
          <w:rFonts w:hint="eastAsia"/>
          <w:highlight w:val="none"/>
          <w:lang w:val="en-US" w:eastAsia="zh-CN"/>
        </w:rPr>
        <w:t xml:space="preserve">                                </w:t>
      </w:r>
      <w:r>
        <w:rPr>
          <w:highlight w:val="none"/>
        </w:rPr>
        <w:t xml:space="preserve">日 </w:t>
      </w:r>
      <w:r>
        <w:rPr>
          <w:rFonts w:hint="eastAsia"/>
          <w:highlight w:val="none"/>
        </w:rPr>
        <w:t xml:space="preserve">  </w:t>
      </w:r>
      <w:r>
        <w:rPr>
          <w:highlight w:val="none"/>
        </w:rPr>
        <w:t>期：    年   月   日</w:t>
      </w:r>
    </w:p>
    <w:p w14:paraId="0E43E45A">
      <w:pPr>
        <w:pStyle w:val="9"/>
        <w:spacing w:line="360" w:lineRule="auto"/>
        <w:rPr>
          <w:rFonts w:hint="eastAsia"/>
          <w:highlight w:val="none"/>
        </w:rPr>
      </w:pPr>
    </w:p>
    <w:p w14:paraId="6B2B7CCC">
      <w:pPr>
        <w:spacing w:beforeLines="100" w:afterLines="100" w:line="400" w:lineRule="atLeast"/>
        <w:jc w:val="center"/>
        <w:outlineLvl w:val="1"/>
        <w:rPr>
          <w:rFonts w:hint="eastAsia" w:ascii="宋体" w:hAnsi="宋体" w:cs="宋体"/>
          <w:b/>
          <w:bCs/>
          <w:sz w:val="28"/>
          <w:szCs w:val="28"/>
          <w:highlight w:val="none"/>
        </w:rPr>
      </w:pPr>
    </w:p>
    <w:p w14:paraId="0F3041BD">
      <w:pPr>
        <w:spacing w:beforeLines="100" w:afterLines="100" w:line="400" w:lineRule="atLeast"/>
        <w:jc w:val="center"/>
        <w:outlineLvl w:val="1"/>
        <w:rPr>
          <w:rFonts w:hint="eastAsia" w:ascii="宋体" w:hAnsi="宋体" w:cs="宋体"/>
          <w:b/>
          <w:bCs/>
          <w:sz w:val="28"/>
          <w:szCs w:val="28"/>
          <w:highlight w:val="none"/>
        </w:rPr>
      </w:pPr>
    </w:p>
    <w:p w14:paraId="551B75BB">
      <w:pPr>
        <w:spacing w:beforeLines="100" w:afterLines="100" w:line="400" w:lineRule="atLeast"/>
        <w:jc w:val="center"/>
        <w:outlineLvl w:val="1"/>
        <w:rPr>
          <w:rFonts w:hint="eastAsia"/>
          <w:sz w:val="28"/>
          <w:szCs w:val="28"/>
          <w:highlight w:val="none"/>
        </w:rPr>
      </w:pPr>
      <w:r>
        <w:rPr>
          <w:rFonts w:hint="eastAsia" w:ascii="宋体" w:hAnsi="宋体" w:cs="宋体"/>
          <w:b/>
          <w:bCs/>
          <w:sz w:val="28"/>
          <w:szCs w:val="28"/>
          <w:highlight w:val="none"/>
        </w:rPr>
        <w:t>附件</w:t>
      </w:r>
      <w:r>
        <w:rPr>
          <w:rFonts w:hint="eastAsia" w:ascii="宋体" w:hAnsi="宋体" w:cs="宋体"/>
          <w:b/>
          <w:bCs/>
          <w:sz w:val="28"/>
          <w:szCs w:val="28"/>
          <w:highlight w:val="none"/>
          <w:lang w:eastAsia="zh-CN"/>
        </w:rPr>
        <w:t>十</w:t>
      </w:r>
      <w:r>
        <w:rPr>
          <w:rFonts w:hint="eastAsia" w:ascii="宋体" w:hAnsi="宋体" w:cs="宋体"/>
          <w:b/>
          <w:bCs/>
          <w:sz w:val="28"/>
          <w:szCs w:val="28"/>
          <w:highlight w:val="none"/>
          <w:lang w:val="en-US" w:eastAsia="zh-CN"/>
        </w:rPr>
        <w:t>四</w:t>
      </w:r>
      <w:r>
        <w:rPr>
          <w:rFonts w:hint="eastAsia" w:ascii="宋体" w:hAnsi="宋体" w:cs="宋体"/>
          <w:b/>
          <w:bCs/>
          <w:sz w:val="28"/>
          <w:szCs w:val="28"/>
          <w:highlight w:val="none"/>
        </w:rPr>
        <w:t xml:space="preserve">  </w:t>
      </w:r>
      <w:r>
        <w:rPr>
          <w:rFonts w:hint="eastAsia" w:ascii="宋体" w:hAnsi="宋体" w:cs="宋体"/>
          <w:b/>
          <w:bCs/>
          <w:sz w:val="28"/>
          <w:szCs w:val="28"/>
          <w:highlight w:val="none"/>
          <w:lang w:eastAsia="zh-CN"/>
        </w:rPr>
        <w:t>报价</w:t>
      </w:r>
      <w:r>
        <w:rPr>
          <w:rFonts w:hint="eastAsia" w:ascii="宋体" w:hAnsi="宋体" w:cs="宋体"/>
          <w:b/>
          <w:bCs/>
          <w:sz w:val="28"/>
          <w:szCs w:val="28"/>
          <w:highlight w:val="none"/>
        </w:rPr>
        <w:t>一览表</w:t>
      </w:r>
    </w:p>
    <w:p w14:paraId="369C4C5B">
      <w:pPr>
        <w:pStyle w:val="7"/>
        <w:spacing w:line="400" w:lineRule="exact"/>
        <w:ind w:firstLine="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项目名称：                                                 项目编号：</w:t>
      </w:r>
    </w:p>
    <w:tbl>
      <w:tblPr>
        <w:tblStyle w:val="21"/>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77"/>
        <w:gridCol w:w="789"/>
        <w:gridCol w:w="1415"/>
        <w:gridCol w:w="1505"/>
        <w:gridCol w:w="2937"/>
      </w:tblGrid>
      <w:tr w14:paraId="786B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066991F3">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序号</w:t>
            </w:r>
          </w:p>
        </w:tc>
        <w:tc>
          <w:tcPr>
            <w:tcW w:w="2877" w:type="dxa"/>
            <w:shd w:val="clear" w:color="auto" w:fill="auto"/>
            <w:vAlign w:val="center"/>
          </w:tcPr>
          <w:p w14:paraId="26C07F0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项目内容</w:t>
            </w:r>
          </w:p>
        </w:tc>
        <w:tc>
          <w:tcPr>
            <w:tcW w:w="789" w:type="dxa"/>
            <w:shd w:val="clear" w:color="auto" w:fill="auto"/>
            <w:vAlign w:val="center"/>
          </w:tcPr>
          <w:p w14:paraId="2459C55A">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单位</w:t>
            </w:r>
          </w:p>
        </w:tc>
        <w:tc>
          <w:tcPr>
            <w:tcW w:w="1415" w:type="dxa"/>
            <w:shd w:val="clear" w:color="auto" w:fill="auto"/>
            <w:vAlign w:val="center"/>
          </w:tcPr>
          <w:p w14:paraId="080B1BE3">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投标折扣率（%）</w:t>
            </w:r>
          </w:p>
        </w:tc>
        <w:tc>
          <w:tcPr>
            <w:tcW w:w="1505" w:type="dxa"/>
            <w:shd w:val="clear" w:color="auto" w:fill="auto"/>
            <w:vAlign w:val="center"/>
          </w:tcPr>
          <w:p w14:paraId="51D7E94D">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投标综合单价（元）</w:t>
            </w:r>
          </w:p>
        </w:tc>
        <w:tc>
          <w:tcPr>
            <w:tcW w:w="2937" w:type="dxa"/>
            <w:shd w:val="clear" w:color="auto" w:fill="auto"/>
            <w:vAlign w:val="center"/>
          </w:tcPr>
          <w:p w14:paraId="5A638CAD">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说明</w:t>
            </w:r>
          </w:p>
        </w:tc>
      </w:tr>
      <w:tr w14:paraId="6C06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87" w:type="dxa"/>
            <w:shd w:val="clear" w:color="auto" w:fill="auto"/>
            <w:vAlign w:val="center"/>
          </w:tcPr>
          <w:p w14:paraId="10E9EBBB">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w:t>
            </w:r>
          </w:p>
        </w:tc>
        <w:tc>
          <w:tcPr>
            <w:tcW w:w="2877" w:type="dxa"/>
            <w:shd w:val="clear" w:color="auto" w:fill="auto"/>
            <w:vAlign w:val="center"/>
          </w:tcPr>
          <w:p w14:paraId="1242E082">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现场勘查和防治（土坝）</w:t>
            </w:r>
          </w:p>
        </w:tc>
        <w:tc>
          <w:tcPr>
            <w:tcW w:w="789" w:type="dxa"/>
            <w:shd w:val="clear" w:color="auto" w:fill="auto"/>
            <w:vAlign w:val="center"/>
          </w:tcPr>
          <w:p w14:paraId="66189C48">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座</w:t>
            </w:r>
          </w:p>
        </w:tc>
        <w:tc>
          <w:tcPr>
            <w:tcW w:w="1415" w:type="dxa"/>
            <w:vMerge w:val="restart"/>
            <w:shd w:val="clear" w:color="auto" w:fill="auto"/>
            <w:vAlign w:val="center"/>
          </w:tcPr>
          <w:p w14:paraId="540B5D34">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7DD8F81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2500</w:t>
            </w:r>
          </w:p>
        </w:tc>
        <w:tc>
          <w:tcPr>
            <w:tcW w:w="2937" w:type="dxa"/>
            <w:shd w:val="clear" w:color="auto" w:fill="auto"/>
            <w:vAlign w:val="center"/>
          </w:tcPr>
          <w:p w14:paraId="500373F3">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普查次数一年至少3次，含覆盖式喷药</w:t>
            </w:r>
          </w:p>
        </w:tc>
      </w:tr>
      <w:tr w14:paraId="6A9B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87" w:type="dxa"/>
            <w:shd w:val="clear" w:color="auto" w:fill="auto"/>
            <w:vAlign w:val="center"/>
          </w:tcPr>
          <w:p w14:paraId="52722217">
            <w:pPr>
              <w:bidi w:val="0"/>
              <w:spacing w:line="360" w:lineRule="auto"/>
              <w:jc w:val="center"/>
              <w:rPr>
                <w:highlight w:val="none"/>
              </w:rPr>
            </w:pPr>
            <w:r>
              <w:rPr>
                <w:rFonts w:hint="eastAsia"/>
                <w:highlight w:val="none"/>
                <w:vertAlign w:val="baseline"/>
                <w:lang w:val="en-US" w:eastAsia="zh-CN"/>
              </w:rPr>
              <w:t>2</w:t>
            </w:r>
          </w:p>
        </w:tc>
        <w:tc>
          <w:tcPr>
            <w:tcW w:w="2877" w:type="dxa"/>
            <w:shd w:val="clear" w:color="auto" w:fill="auto"/>
            <w:vAlign w:val="center"/>
          </w:tcPr>
          <w:p w14:paraId="12377226">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现场勘查和防治（拱坝）</w:t>
            </w:r>
          </w:p>
        </w:tc>
        <w:tc>
          <w:tcPr>
            <w:tcW w:w="789" w:type="dxa"/>
            <w:shd w:val="clear" w:color="auto" w:fill="auto"/>
            <w:vAlign w:val="center"/>
          </w:tcPr>
          <w:p w14:paraId="4BE6307A">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座</w:t>
            </w:r>
          </w:p>
        </w:tc>
        <w:tc>
          <w:tcPr>
            <w:tcW w:w="1415" w:type="dxa"/>
            <w:vMerge w:val="continue"/>
            <w:shd w:val="clear" w:color="auto" w:fill="auto"/>
            <w:vAlign w:val="center"/>
          </w:tcPr>
          <w:p w14:paraId="0C0B5023">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06A1DCD7">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1000</w:t>
            </w:r>
          </w:p>
        </w:tc>
        <w:tc>
          <w:tcPr>
            <w:tcW w:w="2937" w:type="dxa"/>
            <w:shd w:val="clear" w:color="auto" w:fill="auto"/>
            <w:vAlign w:val="center"/>
          </w:tcPr>
          <w:p w14:paraId="79506666">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含覆盖式喷药</w:t>
            </w:r>
          </w:p>
        </w:tc>
      </w:tr>
      <w:tr w14:paraId="15DC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75C8F67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3</w:t>
            </w:r>
          </w:p>
        </w:tc>
        <w:tc>
          <w:tcPr>
            <w:tcW w:w="2877" w:type="dxa"/>
            <w:shd w:val="clear" w:color="auto" w:fill="auto"/>
            <w:vAlign w:val="center"/>
          </w:tcPr>
          <w:p w14:paraId="5EF08F67">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现场勘查（堤防）</w:t>
            </w:r>
          </w:p>
        </w:tc>
        <w:tc>
          <w:tcPr>
            <w:tcW w:w="789" w:type="dxa"/>
            <w:shd w:val="clear" w:color="auto" w:fill="auto"/>
            <w:vAlign w:val="center"/>
          </w:tcPr>
          <w:p w14:paraId="38EEBBD5">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KM</w:t>
            </w:r>
          </w:p>
        </w:tc>
        <w:tc>
          <w:tcPr>
            <w:tcW w:w="1415" w:type="dxa"/>
            <w:vMerge w:val="continue"/>
            <w:shd w:val="clear" w:color="auto" w:fill="auto"/>
            <w:vAlign w:val="center"/>
          </w:tcPr>
          <w:p w14:paraId="4D427A86">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0D788851">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360</w:t>
            </w:r>
          </w:p>
        </w:tc>
        <w:tc>
          <w:tcPr>
            <w:tcW w:w="2937" w:type="dxa"/>
            <w:shd w:val="clear" w:color="auto" w:fill="auto"/>
            <w:vAlign w:val="center"/>
          </w:tcPr>
          <w:p w14:paraId="1F44DAD2">
            <w:pPr>
              <w:bidi w:val="0"/>
              <w:spacing w:line="360" w:lineRule="auto"/>
              <w:jc w:val="center"/>
              <w:rPr>
                <w:rFonts w:hint="default"/>
                <w:highlight w:val="none"/>
                <w:vertAlign w:val="baseline"/>
                <w:lang w:val="en-US" w:eastAsia="zh-CN"/>
              </w:rPr>
            </w:pPr>
          </w:p>
        </w:tc>
      </w:tr>
      <w:tr w14:paraId="578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shd w:val="clear" w:color="auto" w:fill="auto"/>
            <w:vAlign w:val="center"/>
          </w:tcPr>
          <w:p w14:paraId="147E9BC6">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4</w:t>
            </w:r>
          </w:p>
        </w:tc>
        <w:tc>
          <w:tcPr>
            <w:tcW w:w="2877" w:type="dxa"/>
            <w:shd w:val="clear" w:color="auto" w:fill="auto"/>
            <w:vAlign w:val="center"/>
          </w:tcPr>
          <w:p w14:paraId="27CD5F64">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现场防治（堤防）</w:t>
            </w:r>
          </w:p>
        </w:tc>
        <w:tc>
          <w:tcPr>
            <w:tcW w:w="789" w:type="dxa"/>
            <w:shd w:val="clear" w:color="auto" w:fill="auto"/>
            <w:vAlign w:val="center"/>
          </w:tcPr>
          <w:p w14:paraId="058147CB">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M</w:t>
            </w:r>
            <w:r>
              <w:rPr>
                <w:rFonts w:hint="eastAsia"/>
                <w:highlight w:val="none"/>
                <w:vertAlign w:val="superscript"/>
                <w:lang w:val="en-US" w:eastAsia="zh-CN"/>
              </w:rPr>
              <w:t>2</w:t>
            </w:r>
          </w:p>
        </w:tc>
        <w:tc>
          <w:tcPr>
            <w:tcW w:w="1415" w:type="dxa"/>
            <w:vMerge w:val="continue"/>
            <w:shd w:val="clear" w:color="auto" w:fill="auto"/>
            <w:vAlign w:val="center"/>
          </w:tcPr>
          <w:p w14:paraId="28DE0078">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5052DBFA">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2.29</w:t>
            </w:r>
          </w:p>
        </w:tc>
        <w:tc>
          <w:tcPr>
            <w:tcW w:w="2937" w:type="dxa"/>
            <w:shd w:val="clear" w:color="auto" w:fill="auto"/>
            <w:vAlign w:val="center"/>
          </w:tcPr>
          <w:p w14:paraId="37466425">
            <w:pPr>
              <w:bidi w:val="0"/>
              <w:spacing w:line="360" w:lineRule="auto"/>
              <w:jc w:val="center"/>
              <w:rPr>
                <w:rFonts w:hint="default"/>
                <w:highlight w:val="none"/>
                <w:vertAlign w:val="baseline"/>
                <w:lang w:val="en-US" w:eastAsia="zh-CN"/>
              </w:rPr>
            </w:pPr>
            <w:r>
              <w:rPr>
                <w:rFonts w:hint="eastAsia" w:cstheme="minorBidi"/>
                <w:kern w:val="2"/>
                <w:sz w:val="21"/>
                <w:szCs w:val="24"/>
                <w:highlight w:val="none"/>
                <w:vertAlign w:val="baseline"/>
                <w:lang w:val="en-US" w:eastAsia="zh-CN" w:bidi="ar-SA"/>
              </w:rPr>
              <w:t>含覆盖式喷药</w:t>
            </w:r>
          </w:p>
        </w:tc>
      </w:tr>
      <w:tr w14:paraId="084D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6D51ADB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5</w:t>
            </w:r>
          </w:p>
        </w:tc>
        <w:tc>
          <w:tcPr>
            <w:tcW w:w="2877" w:type="dxa"/>
            <w:shd w:val="clear" w:color="auto" w:fill="auto"/>
            <w:vAlign w:val="center"/>
          </w:tcPr>
          <w:p w14:paraId="54BBB45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打孔灌药</w:t>
            </w:r>
          </w:p>
        </w:tc>
        <w:tc>
          <w:tcPr>
            <w:tcW w:w="789" w:type="dxa"/>
            <w:shd w:val="clear" w:color="auto" w:fill="auto"/>
            <w:vAlign w:val="center"/>
          </w:tcPr>
          <w:p w14:paraId="2B03DEB8">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孔</w:t>
            </w:r>
          </w:p>
        </w:tc>
        <w:tc>
          <w:tcPr>
            <w:tcW w:w="1415" w:type="dxa"/>
            <w:vMerge w:val="continue"/>
            <w:shd w:val="clear" w:color="auto" w:fill="auto"/>
            <w:vAlign w:val="center"/>
          </w:tcPr>
          <w:p w14:paraId="13E8B048">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55DD3298">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15</w:t>
            </w:r>
          </w:p>
        </w:tc>
        <w:tc>
          <w:tcPr>
            <w:tcW w:w="2937" w:type="dxa"/>
            <w:shd w:val="clear" w:color="auto" w:fill="auto"/>
            <w:vAlign w:val="center"/>
          </w:tcPr>
          <w:p w14:paraId="4AA1EBD2">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梅花孔分布</w:t>
            </w:r>
          </w:p>
        </w:tc>
      </w:tr>
      <w:tr w14:paraId="5982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3A2E4DCE">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6</w:t>
            </w:r>
          </w:p>
        </w:tc>
        <w:tc>
          <w:tcPr>
            <w:tcW w:w="2877" w:type="dxa"/>
            <w:shd w:val="clear" w:color="auto" w:fill="auto"/>
            <w:vAlign w:val="center"/>
          </w:tcPr>
          <w:p w14:paraId="38DA1980">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打孔灌浆</w:t>
            </w:r>
          </w:p>
        </w:tc>
        <w:tc>
          <w:tcPr>
            <w:tcW w:w="789" w:type="dxa"/>
            <w:shd w:val="clear" w:color="auto" w:fill="auto"/>
            <w:vAlign w:val="center"/>
          </w:tcPr>
          <w:p w14:paraId="35203B71">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M</w:t>
            </w:r>
          </w:p>
        </w:tc>
        <w:tc>
          <w:tcPr>
            <w:tcW w:w="1415" w:type="dxa"/>
            <w:vMerge w:val="continue"/>
            <w:shd w:val="clear" w:color="auto" w:fill="auto"/>
            <w:vAlign w:val="center"/>
          </w:tcPr>
          <w:p w14:paraId="0DB321F6">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1DE5599A">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30</w:t>
            </w:r>
          </w:p>
        </w:tc>
        <w:tc>
          <w:tcPr>
            <w:tcW w:w="2937" w:type="dxa"/>
            <w:shd w:val="clear" w:color="auto" w:fill="auto"/>
            <w:vAlign w:val="center"/>
          </w:tcPr>
          <w:p w14:paraId="165B637F">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按灌浆孔深以“m”计算，孔深为地表以下垂直距离。</w:t>
            </w:r>
          </w:p>
        </w:tc>
      </w:tr>
      <w:tr w14:paraId="573D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2FAAAF27">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7</w:t>
            </w:r>
          </w:p>
        </w:tc>
        <w:tc>
          <w:tcPr>
            <w:tcW w:w="2877" w:type="dxa"/>
            <w:shd w:val="clear" w:color="auto" w:fill="auto"/>
            <w:vAlign w:val="center"/>
          </w:tcPr>
          <w:p w14:paraId="42EA0323">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设置诱杀点(坑)及回填夯实</w:t>
            </w:r>
          </w:p>
        </w:tc>
        <w:tc>
          <w:tcPr>
            <w:tcW w:w="789" w:type="dxa"/>
            <w:shd w:val="clear" w:color="auto" w:fill="auto"/>
            <w:vAlign w:val="center"/>
          </w:tcPr>
          <w:p w14:paraId="5529B65F">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个</w:t>
            </w:r>
          </w:p>
        </w:tc>
        <w:tc>
          <w:tcPr>
            <w:tcW w:w="1415" w:type="dxa"/>
            <w:vMerge w:val="continue"/>
            <w:shd w:val="clear" w:color="auto" w:fill="auto"/>
            <w:vAlign w:val="center"/>
          </w:tcPr>
          <w:p w14:paraId="5104CD84">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34D099B7">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80</w:t>
            </w:r>
          </w:p>
        </w:tc>
        <w:tc>
          <w:tcPr>
            <w:tcW w:w="2937" w:type="dxa"/>
            <w:shd w:val="clear" w:color="auto" w:fill="auto"/>
            <w:vAlign w:val="center"/>
          </w:tcPr>
          <w:p w14:paraId="3C54C28B">
            <w:pPr>
              <w:bidi w:val="0"/>
              <w:spacing w:line="360" w:lineRule="auto"/>
              <w:jc w:val="center"/>
              <w:rPr>
                <w:rFonts w:hint="default"/>
                <w:highlight w:val="none"/>
                <w:vertAlign w:val="baseline"/>
                <w:lang w:val="en-US" w:eastAsia="zh-CN"/>
              </w:rPr>
            </w:pPr>
            <w:r>
              <w:rPr>
                <w:rFonts w:hint="eastAsia"/>
                <w:b w:val="0"/>
                <w:bCs w:val="0"/>
                <w:highlight w:val="none"/>
                <w:vertAlign w:val="baseline"/>
                <w:lang w:val="en-US" w:eastAsia="zh-CN"/>
              </w:rPr>
              <w:t>人工挖设诱</w:t>
            </w:r>
            <w:r>
              <w:rPr>
                <w:rFonts w:hint="eastAsia"/>
                <w:b w:val="0"/>
                <w:bCs w:val="0"/>
                <w:highlight w:val="none"/>
                <w:lang w:val="en-US" w:eastAsia="zh-CN"/>
              </w:rPr>
              <w:t>杀点（坑）及回填</w:t>
            </w:r>
          </w:p>
        </w:tc>
      </w:tr>
      <w:tr w14:paraId="39E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87" w:type="dxa"/>
            <w:shd w:val="clear" w:color="auto" w:fill="auto"/>
            <w:vAlign w:val="center"/>
          </w:tcPr>
          <w:p w14:paraId="675F7F3A">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8</w:t>
            </w:r>
          </w:p>
        </w:tc>
        <w:tc>
          <w:tcPr>
            <w:tcW w:w="2877" w:type="dxa"/>
            <w:shd w:val="clear" w:color="auto" w:fill="auto"/>
            <w:vAlign w:val="center"/>
          </w:tcPr>
          <w:p w14:paraId="16A3058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人工挖巢主巢</w:t>
            </w:r>
          </w:p>
        </w:tc>
        <w:tc>
          <w:tcPr>
            <w:tcW w:w="789" w:type="dxa"/>
            <w:shd w:val="clear" w:color="auto" w:fill="auto"/>
            <w:vAlign w:val="center"/>
          </w:tcPr>
          <w:p w14:paraId="2F075D89">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巢</w:t>
            </w:r>
          </w:p>
        </w:tc>
        <w:tc>
          <w:tcPr>
            <w:tcW w:w="1415" w:type="dxa"/>
            <w:vMerge w:val="continue"/>
            <w:shd w:val="clear" w:color="auto" w:fill="auto"/>
            <w:vAlign w:val="center"/>
          </w:tcPr>
          <w:p w14:paraId="352D6ADF">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35E6F28B">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600</w:t>
            </w:r>
          </w:p>
        </w:tc>
        <w:tc>
          <w:tcPr>
            <w:tcW w:w="2937" w:type="dxa"/>
            <w:shd w:val="clear" w:color="auto" w:fill="auto"/>
            <w:vAlign w:val="center"/>
          </w:tcPr>
          <w:p w14:paraId="18B85F8D">
            <w:pPr>
              <w:bidi w:val="0"/>
              <w:spacing w:line="360" w:lineRule="auto"/>
              <w:jc w:val="center"/>
              <w:rPr>
                <w:rFonts w:hint="default"/>
                <w:b w:val="0"/>
                <w:bCs w:val="0"/>
                <w:highlight w:val="none"/>
                <w:vertAlign w:val="baseline"/>
                <w:lang w:val="en-US" w:eastAsia="zh-CN"/>
              </w:rPr>
            </w:pPr>
            <w:r>
              <w:rPr>
                <w:rFonts w:hint="eastAsia"/>
                <w:b w:val="0"/>
                <w:bCs w:val="0"/>
                <w:highlight w:val="none"/>
                <w:vertAlign w:val="baseline"/>
                <w:lang w:val="en-US" w:eastAsia="zh-CN"/>
              </w:rPr>
              <w:t>需要有蚁王蚁后</w:t>
            </w:r>
          </w:p>
        </w:tc>
      </w:tr>
      <w:tr w14:paraId="1BFF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1E09CAC3">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9</w:t>
            </w:r>
          </w:p>
        </w:tc>
        <w:tc>
          <w:tcPr>
            <w:tcW w:w="2877" w:type="dxa"/>
            <w:shd w:val="clear" w:color="auto" w:fill="auto"/>
            <w:vAlign w:val="center"/>
          </w:tcPr>
          <w:p w14:paraId="0D18025F">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人工挖巢副巢</w:t>
            </w:r>
          </w:p>
        </w:tc>
        <w:tc>
          <w:tcPr>
            <w:tcW w:w="789" w:type="dxa"/>
            <w:shd w:val="clear" w:color="auto" w:fill="auto"/>
            <w:vAlign w:val="center"/>
          </w:tcPr>
          <w:p w14:paraId="0720E44B">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巢</w:t>
            </w:r>
          </w:p>
        </w:tc>
        <w:tc>
          <w:tcPr>
            <w:tcW w:w="1415" w:type="dxa"/>
            <w:vMerge w:val="continue"/>
            <w:shd w:val="clear" w:color="auto" w:fill="auto"/>
            <w:vAlign w:val="center"/>
          </w:tcPr>
          <w:p w14:paraId="44449181">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477B29EC">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80</w:t>
            </w:r>
          </w:p>
        </w:tc>
        <w:tc>
          <w:tcPr>
            <w:tcW w:w="2937" w:type="dxa"/>
            <w:shd w:val="clear" w:color="auto" w:fill="auto"/>
            <w:vAlign w:val="center"/>
          </w:tcPr>
          <w:p w14:paraId="30F51037">
            <w:pPr>
              <w:bidi w:val="0"/>
              <w:spacing w:line="360" w:lineRule="auto"/>
              <w:jc w:val="center"/>
              <w:rPr>
                <w:rFonts w:hint="eastAsia"/>
                <w:b w:val="0"/>
                <w:bCs w:val="0"/>
                <w:highlight w:val="none"/>
                <w:vertAlign w:val="baseline"/>
                <w:lang w:val="en-US" w:eastAsia="zh-CN"/>
              </w:rPr>
            </w:pPr>
          </w:p>
        </w:tc>
      </w:tr>
      <w:tr w14:paraId="4C2A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7" w:type="dxa"/>
            <w:shd w:val="clear" w:color="auto" w:fill="auto"/>
            <w:vAlign w:val="center"/>
          </w:tcPr>
          <w:p w14:paraId="08E636EB">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10</w:t>
            </w:r>
          </w:p>
        </w:tc>
        <w:tc>
          <w:tcPr>
            <w:tcW w:w="2877" w:type="dxa"/>
            <w:shd w:val="clear" w:color="auto" w:fill="auto"/>
            <w:vAlign w:val="center"/>
          </w:tcPr>
          <w:p w14:paraId="03867BE1">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监测点维护</w:t>
            </w:r>
          </w:p>
        </w:tc>
        <w:tc>
          <w:tcPr>
            <w:tcW w:w="789" w:type="dxa"/>
            <w:shd w:val="clear" w:color="auto" w:fill="auto"/>
            <w:vAlign w:val="center"/>
          </w:tcPr>
          <w:p w14:paraId="4BBDD48E">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个</w:t>
            </w:r>
          </w:p>
        </w:tc>
        <w:tc>
          <w:tcPr>
            <w:tcW w:w="1415" w:type="dxa"/>
            <w:vMerge w:val="continue"/>
            <w:shd w:val="clear" w:color="auto" w:fill="auto"/>
            <w:vAlign w:val="center"/>
          </w:tcPr>
          <w:p w14:paraId="0557DA5D">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72096E16">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20</w:t>
            </w:r>
          </w:p>
        </w:tc>
        <w:tc>
          <w:tcPr>
            <w:tcW w:w="2937" w:type="dxa"/>
            <w:shd w:val="clear" w:color="auto" w:fill="auto"/>
            <w:vAlign w:val="center"/>
          </w:tcPr>
          <w:p w14:paraId="73AC6D83">
            <w:pPr>
              <w:bidi w:val="0"/>
              <w:spacing w:line="360" w:lineRule="auto"/>
              <w:jc w:val="center"/>
              <w:rPr>
                <w:rFonts w:hint="eastAsia"/>
                <w:highlight w:val="none"/>
                <w:vertAlign w:val="baseline"/>
                <w:lang w:val="en-US" w:eastAsia="zh-CN"/>
              </w:rPr>
            </w:pPr>
            <w:r>
              <w:rPr>
                <w:rFonts w:hint="eastAsia"/>
                <w:b w:val="0"/>
                <w:bCs w:val="0"/>
                <w:highlight w:val="none"/>
                <w:vertAlign w:val="baseline"/>
                <w:lang w:val="en-US" w:eastAsia="zh-CN"/>
              </w:rPr>
              <w:t>3座水库</w:t>
            </w:r>
          </w:p>
        </w:tc>
      </w:tr>
      <w:tr w14:paraId="2560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2D8EF8A7">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11</w:t>
            </w:r>
          </w:p>
        </w:tc>
        <w:tc>
          <w:tcPr>
            <w:tcW w:w="2877" w:type="dxa"/>
            <w:shd w:val="clear" w:color="auto" w:fill="auto"/>
            <w:vAlign w:val="center"/>
          </w:tcPr>
          <w:p w14:paraId="64DAC542">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施工验收台账及宣传费用</w:t>
            </w:r>
          </w:p>
        </w:tc>
        <w:tc>
          <w:tcPr>
            <w:tcW w:w="789" w:type="dxa"/>
            <w:shd w:val="clear" w:color="auto" w:fill="auto"/>
            <w:vAlign w:val="center"/>
          </w:tcPr>
          <w:p w14:paraId="12AF7D5D">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项</w:t>
            </w:r>
          </w:p>
        </w:tc>
        <w:tc>
          <w:tcPr>
            <w:tcW w:w="1415" w:type="dxa"/>
            <w:vMerge w:val="continue"/>
            <w:shd w:val="clear" w:color="auto" w:fill="auto"/>
            <w:vAlign w:val="center"/>
          </w:tcPr>
          <w:p w14:paraId="5D22884A">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7A86A3CD">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30000</w:t>
            </w:r>
          </w:p>
        </w:tc>
        <w:tc>
          <w:tcPr>
            <w:tcW w:w="2937" w:type="dxa"/>
            <w:shd w:val="clear" w:color="auto" w:fill="auto"/>
            <w:vAlign w:val="center"/>
          </w:tcPr>
          <w:p w14:paraId="4E7B48AE">
            <w:pPr>
              <w:bidi w:val="0"/>
              <w:spacing w:line="360" w:lineRule="auto"/>
              <w:jc w:val="center"/>
              <w:rPr>
                <w:rFonts w:hint="eastAsia"/>
                <w:highlight w:val="none"/>
                <w:vertAlign w:val="baseline"/>
                <w:lang w:val="en-US" w:eastAsia="zh-CN"/>
              </w:rPr>
            </w:pPr>
            <w:r>
              <w:rPr>
                <w:rFonts w:hint="eastAsia"/>
                <w:b w:val="0"/>
                <w:bCs w:val="0"/>
                <w:highlight w:val="none"/>
                <w:vertAlign w:val="baseline"/>
                <w:lang w:val="en-US" w:eastAsia="zh-CN"/>
              </w:rPr>
              <w:t>维修电子宣传屏、整理台账上报平台及制作白蚁宣传</w:t>
            </w:r>
          </w:p>
        </w:tc>
      </w:tr>
      <w:tr w14:paraId="0020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3C227860">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12</w:t>
            </w:r>
          </w:p>
        </w:tc>
        <w:tc>
          <w:tcPr>
            <w:tcW w:w="2877" w:type="dxa"/>
            <w:shd w:val="clear" w:color="auto" w:fill="auto"/>
            <w:vAlign w:val="center"/>
          </w:tcPr>
          <w:p w14:paraId="4D3F83BA">
            <w:pPr>
              <w:bidi w:val="0"/>
              <w:spacing w:line="360" w:lineRule="auto"/>
              <w:jc w:val="center"/>
              <w:rPr>
                <w:rFonts w:hint="eastAsia"/>
                <w:highlight w:val="none"/>
                <w:vertAlign w:val="baseline"/>
                <w:lang w:val="en-US" w:eastAsia="zh-CN"/>
              </w:rPr>
            </w:pPr>
            <w:r>
              <w:rPr>
                <w:rFonts w:hint="eastAsia"/>
                <w:highlight w:val="none"/>
                <w:vertAlign w:val="baseline"/>
                <w:lang w:val="en-US" w:eastAsia="zh-CN"/>
              </w:rPr>
              <w:t>培训费用</w:t>
            </w:r>
          </w:p>
        </w:tc>
        <w:tc>
          <w:tcPr>
            <w:tcW w:w="789" w:type="dxa"/>
            <w:shd w:val="clear" w:color="auto" w:fill="auto"/>
            <w:vAlign w:val="center"/>
          </w:tcPr>
          <w:p w14:paraId="703309DD">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次</w:t>
            </w:r>
          </w:p>
        </w:tc>
        <w:tc>
          <w:tcPr>
            <w:tcW w:w="1415" w:type="dxa"/>
            <w:vMerge w:val="continue"/>
            <w:shd w:val="clear" w:color="auto" w:fill="auto"/>
            <w:vAlign w:val="center"/>
          </w:tcPr>
          <w:p w14:paraId="2C9BAEF3">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01F30595">
            <w:pPr>
              <w:bidi w:val="0"/>
              <w:spacing w:line="360" w:lineRule="auto"/>
              <w:jc w:val="center"/>
              <w:rPr>
                <w:rFonts w:hint="default"/>
                <w:highlight w:val="none"/>
                <w:vertAlign w:val="baseline"/>
                <w:lang w:val="en-US" w:eastAsia="zh-CN"/>
              </w:rPr>
            </w:pPr>
            <w:r>
              <w:rPr>
                <w:rFonts w:hint="eastAsia"/>
                <w:highlight w:val="none"/>
                <w:vertAlign w:val="baseline"/>
                <w:lang w:val="en-US" w:eastAsia="zh-CN"/>
              </w:rPr>
              <w:t>1600</w:t>
            </w:r>
          </w:p>
        </w:tc>
        <w:tc>
          <w:tcPr>
            <w:tcW w:w="2937" w:type="dxa"/>
            <w:shd w:val="clear" w:color="auto" w:fill="auto"/>
            <w:vAlign w:val="center"/>
          </w:tcPr>
          <w:p w14:paraId="4F24FF66">
            <w:pPr>
              <w:bidi w:val="0"/>
              <w:spacing w:line="360" w:lineRule="auto"/>
              <w:jc w:val="center"/>
              <w:rPr>
                <w:rFonts w:hint="default"/>
                <w:highlight w:val="none"/>
                <w:lang w:val="en-US" w:eastAsia="zh-CN"/>
              </w:rPr>
            </w:pPr>
            <w:r>
              <w:rPr>
                <w:rFonts w:hint="eastAsia"/>
                <w:b w:val="0"/>
                <w:bCs w:val="0"/>
                <w:highlight w:val="none"/>
                <w:vertAlign w:val="baseline"/>
                <w:lang w:val="en-US" w:eastAsia="zh-CN"/>
              </w:rPr>
              <w:t>至少开展2次培训</w:t>
            </w:r>
          </w:p>
        </w:tc>
      </w:tr>
      <w:tr w14:paraId="3D72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14:paraId="0D4D7AA7">
            <w:pPr>
              <w:bidi w:val="0"/>
              <w:spacing w:line="360" w:lineRule="auto"/>
              <w:jc w:val="center"/>
              <w:rPr>
                <w:rFonts w:hint="default"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13</w:t>
            </w:r>
          </w:p>
        </w:tc>
        <w:tc>
          <w:tcPr>
            <w:tcW w:w="2877" w:type="dxa"/>
            <w:shd w:val="clear" w:color="auto" w:fill="auto"/>
            <w:vAlign w:val="center"/>
          </w:tcPr>
          <w:p w14:paraId="1A1FA09F">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设备维护费用（2年）</w:t>
            </w:r>
          </w:p>
        </w:tc>
        <w:tc>
          <w:tcPr>
            <w:tcW w:w="789" w:type="dxa"/>
            <w:shd w:val="clear" w:color="auto" w:fill="auto"/>
            <w:vAlign w:val="center"/>
          </w:tcPr>
          <w:p w14:paraId="7A949566">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项</w:t>
            </w:r>
          </w:p>
        </w:tc>
        <w:tc>
          <w:tcPr>
            <w:tcW w:w="1415" w:type="dxa"/>
            <w:vMerge w:val="continue"/>
            <w:shd w:val="clear" w:color="auto" w:fill="auto"/>
            <w:vAlign w:val="center"/>
          </w:tcPr>
          <w:p w14:paraId="3E3612B3">
            <w:pPr>
              <w:bidi w:val="0"/>
              <w:spacing w:line="360" w:lineRule="auto"/>
              <w:jc w:val="center"/>
              <w:rPr>
                <w:rFonts w:hint="eastAsia"/>
                <w:highlight w:val="none"/>
                <w:vertAlign w:val="baseline"/>
                <w:lang w:val="en-US" w:eastAsia="zh-CN"/>
              </w:rPr>
            </w:pPr>
          </w:p>
        </w:tc>
        <w:tc>
          <w:tcPr>
            <w:tcW w:w="1505" w:type="dxa"/>
            <w:shd w:val="clear" w:color="auto" w:fill="auto"/>
            <w:vAlign w:val="center"/>
          </w:tcPr>
          <w:p w14:paraId="7E286FF4">
            <w:pPr>
              <w:bidi w:val="0"/>
              <w:spacing w:line="360" w:lineRule="auto"/>
              <w:jc w:val="cente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20000</w:t>
            </w:r>
          </w:p>
        </w:tc>
        <w:tc>
          <w:tcPr>
            <w:tcW w:w="2937" w:type="dxa"/>
            <w:shd w:val="clear" w:color="auto" w:fill="auto"/>
            <w:vAlign w:val="center"/>
          </w:tcPr>
          <w:p w14:paraId="50F6420B">
            <w:pPr>
              <w:bidi w:val="0"/>
              <w:spacing w:line="360" w:lineRule="auto"/>
              <w:jc w:val="center"/>
              <w:rPr>
                <w:rFonts w:hint="eastAsia" w:asciiTheme="minorHAnsi" w:hAnsiTheme="minorHAnsi" w:eastAsiaTheme="minorEastAsia" w:cstheme="minorBidi"/>
                <w:b w:val="0"/>
                <w:bCs w:val="0"/>
                <w:kern w:val="2"/>
                <w:sz w:val="21"/>
                <w:szCs w:val="24"/>
                <w:highlight w:val="none"/>
                <w:vertAlign w:val="baseline"/>
                <w:lang w:val="en-US" w:eastAsia="zh-CN" w:bidi="ar-SA"/>
              </w:rPr>
            </w:pPr>
          </w:p>
        </w:tc>
      </w:tr>
      <w:tr w14:paraId="30A7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0" w:type="dxa"/>
            <w:gridSpan w:val="6"/>
            <w:shd w:val="clear" w:color="auto" w:fill="auto"/>
            <w:vAlign w:val="center"/>
          </w:tcPr>
          <w:p w14:paraId="20B8361B">
            <w:pPr>
              <w:bidi w:val="0"/>
              <w:spacing w:line="360" w:lineRule="auto"/>
              <w:jc w:val="left"/>
              <w:rPr>
                <w:rFonts w:hint="eastAsia"/>
                <w:b w:val="0"/>
                <w:bCs w:val="0"/>
                <w:highlight w:val="none"/>
                <w:vertAlign w:val="baseline"/>
                <w:lang w:val="en-US" w:eastAsia="zh-CN"/>
              </w:rPr>
            </w:pPr>
            <w:r>
              <w:rPr>
                <w:rFonts w:hint="eastAsia"/>
                <w:b w:val="0"/>
                <w:bCs w:val="0"/>
                <w:highlight w:val="none"/>
                <w:vertAlign w:val="baseline"/>
                <w:lang w:val="en-US" w:eastAsia="zh-CN"/>
              </w:rPr>
              <w:t>注：所有项目均需有技术人员进行跟踪，服务期2年，以上施工内容均包含材料费用。</w:t>
            </w:r>
          </w:p>
        </w:tc>
      </w:tr>
    </w:tbl>
    <w:p w14:paraId="09E95E56">
      <w:pPr>
        <w:spacing w:line="360" w:lineRule="auto"/>
        <w:ind w:firstLine="221" w:firstLineChars="100"/>
        <w:rPr>
          <w:rFonts w:hint="eastAsia" w:ascii="宋体" w:hAnsi="宋体" w:eastAsia="宋体" w:cs="宋体"/>
          <w:sz w:val="22"/>
          <w:szCs w:val="22"/>
          <w:highlight w:val="none"/>
        </w:rPr>
      </w:pPr>
      <w:r>
        <w:rPr>
          <w:rFonts w:hint="eastAsia" w:ascii="宋体" w:hAnsi="宋体" w:eastAsia="宋体" w:cs="宋体"/>
          <w:b/>
          <w:bCs/>
          <w:sz w:val="22"/>
          <w:szCs w:val="22"/>
          <w:highlight w:val="none"/>
        </w:rPr>
        <w:t>注：</w:t>
      </w:r>
    </w:p>
    <w:p w14:paraId="3ACEFAF9">
      <w:pPr>
        <w:spacing w:line="360" w:lineRule="auto"/>
        <w:ind w:left="420" w:hanging="422" w:hangingChars="200"/>
        <w:rPr>
          <w:rFonts w:hint="eastAsia"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包括本次项目实施所需的工人工资、餐费、饮水（矿泉水）、到达采购人指定地点的交通费、奖金、劳保福利社保、意外保险、工伤费、</w:t>
      </w:r>
      <w:r>
        <w:rPr>
          <w:rFonts w:hint="eastAsia" w:ascii="宋体" w:hAnsi="宋体" w:eastAsia="宋体" w:cs="宋体"/>
          <w:b/>
          <w:bCs/>
          <w:szCs w:val="21"/>
          <w:highlight w:val="none"/>
          <w:lang w:val="en-US" w:eastAsia="zh-CN"/>
        </w:rPr>
        <w:t>油费、电费、法定节假日加班费、</w:t>
      </w:r>
      <w:r>
        <w:rPr>
          <w:rFonts w:hint="eastAsia" w:ascii="宋体" w:hAnsi="宋体" w:eastAsia="宋体" w:cs="宋体"/>
          <w:b/>
          <w:bCs/>
          <w:szCs w:val="21"/>
          <w:highlight w:val="none"/>
        </w:rPr>
        <w:t>教育培训费及处理一切伤亡事故、管理费用、企业应缴税金和应得利润、应急、物价因素、政策性文件规定费用及合同包含的所有风险、责任等所有费用等一切费用。</w:t>
      </w:r>
    </w:p>
    <w:p w14:paraId="13B8CFA5">
      <w:pPr>
        <w:spacing w:line="360" w:lineRule="auto"/>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2、投标综合单价=最高综合单价限价*投标折扣率。</w:t>
      </w:r>
    </w:p>
    <w:p w14:paraId="59507DC4">
      <w:pPr>
        <w:spacing w:line="360" w:lineRule="auto"/>
        <w:ind w:firstLine="211" w:firstLineChars="100"/>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投标</w:t>
      </w:r>
      <w:r>
        <w:rPr>
          <w:rFonts w:hint="eastAsia" w:ascii="宋体" w:hAnsi="宋体" w:eastAsia="宋体" w:cs="宋体"/>
          <w:b/>
          <w:bCs/>
          <w:szCs w:val="21"/>
          <w:highlight w:val="none"/>
          <w:lang w:val="en-US" w:eastAsia="zh-CN"/>
        </w:rPr>
        <w:t>折扣率大于100%</w:t>
      </w:r>
      <w:r>
        <w:rPr>
          <w:rFonts w:hint="eastAsia" w:ascii="宋体" w:hAnsi="宋体" w:eastAsia="宋体" w:cs="宋体"/>
          <w:b/>
          <w:bCs/>
          <w:szCs w:val="21"/>
          <w:highlight w:val="none"/>
          <w:lang w:eastAsia="zh-CN"/>
        </w:rPr>
        <w:t>的</w:t>
      </w:r>
      <w:r>
        <w:rPr>
          <w:rFonts w:hint="eastAsia" w:ascii="宋体" w:hAnsi="宋体" w:eastAsia="宋体" w:cs="宋体"/>
          <w:b/>
          <w:bCs/>
          <w:szCs w:val="21"/>
          <w:highlight w:val="none"/>
          <w:lang w:val="en-US" w:eastAsia="zh-CN"/>
        </w:rPr>
        <w:t>或小于等于0</w:t>
      </w:r>
      <w:r>
        <w:rPr>
          <w:rFonts w:hint="eastAsia" w:ascii="宋体" w:hAnsi="宋体" w:eastAsia="宋体" w:cs="宋体"/>
          <w:b/>
          <w:bCs/>
          <w:szCs w:val="21"/>
          <w:highlight w:val="none"/>
          <w:lang w:eastAsia="zh-CN"/>
        </w:rPr>
        <w:t>或未填写的</w:t>
      </w:r>
      <w:r>
        <w:rPr>
          <w:rFonts w:hint="eastAsia" w:ascii="宋体" w:hAnsi="宋体" w:eastAsia="宋体" w:cs="宋体"/>
          <w:b/>
          <w:bCs/>
          <w:szCs w:val="21"/>
          <w:highlight w:val="none"/>
        </w:rPr>
        <w:t>，作无效标处理。</w:t>
      </w:r>
    </w:p>
    <w:p w14:paraId="01599A65">
      <w:pPr>
        <w:spacing w:line="360" w:lineRule="exact"/>
        <w:rPr>
          <w:rFonts w:hint="eastAsia"/>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▲此表不得自行增减内容。</w:t>
      </w:r>
    </w:p>
    <w:p w14:paraId="0C83EAAB">
      <w:pPr>
        <w:spacing w:beforeLines="100" w:afterLines="100" w:line="400" w:lineRule="atLeast"/>
        <w:ind w:left="4620" w:leftChars="2200"/>
        <w:rPr>
          <w:rFonts w:ascii="宋体" w:hAnsi="宋体"/>
          <w:szCs w:val="21"/>
          <w:highlight w:val="none"/>
        </w:rPr>
      </w:pPr>
      <w:r>
        <w:rPr>
          <w:rFonts w:hint="eastAsia" w:ascii="宋体" w:hAnsi="宋体"/>
          <w:szCs w:val="21"/>
          <w:highlight w:val="none"/>
        </w:rPr>
        <w:t>磋商供应商全称（盖章）：</w:t>
      </w:r>
    </w:p>
    <w:p w14:paraId="7178FF4C">
      <w:pPr>
        <w:spacing w:beforeLines="100" w:afterLines="100" w:line="400" w:lineRule="atLeast"/>
        <w:ind w:firstLine="4620" w:firstLineChars="2200"/>
        <w:rPr>
          <w:rFonts w:ascii="宋体" w:hAnsi="宋体"/>
          <w:szCs w:val="21"/>
          <w:highlight w:val="none"/>
        </w:rPr>
      </w:pPr>
      <w:r>
        <w:rPr>
          <w:rFonts w:hint="eastAsia" w:ascii="宋体" w:hAnsi="宋体"/>
          <w:szCs w:val="21"/>
          <w:highlight w:val="none"/>
        </w:rPr>
        <w:t>法定代表人或授权代表（签字或盖章）：</w:t>
      </w:r>
    </w:p>
    <w:p w14:paraId="1DCAE2B1">
      <w:pPr>
        <w:spacing w:beforeLines="100" w:afterLines="100" w:line="400" w:lineRule="atLeast"/>
        <w:ind w:left="4620" w:leftChars="2200"/>
        <w:rPr>
          <w:rFonts w:hint="eastAsia" w:ascii="宋体" w:hAnsi="宋体"/>
          <w:szCs w:val="21"/>
          <w:highlight w:val="none"/>
        </w:rPr>
      </w:pPr>
      <w:r>
        <w:rPr>
          <w:rFonts w:hint="eastAsia" w:ascii="宋体" w:hAnsi="宋体"/>
          <w:szCs w:val="21"/>
          <w:highlight w:val="none"/>
        </w:rPr>
        <w:t>日期：    年   月    日</w:t>
      </w:r>
    </w:p>
    <w:p w14:paraId="551F134C">
      <w:pPr>
        <w:pStyle w:val="2"/>
        <w:keepNext w:val="0"/>
        <w:keepLines w:val="0"/>
        <w:spacing w:after="156" w:afterLines="50" w:line="400" w:lineRule="exact"/>
        <w:jc w:val="center"/>
        <w:rPr>
          <w:rFonts w:hint="eastAsia" w:hAnsi="宋体" w:eastAsia="宋体" w:cs="宋体"/>
          <w:sz w:val="28"/>
          <w:szCs w:val="36"/>
          <w:highlight w:val="none"/>
        </w:rPr>
        <w:sectPr>
          <w:pgSz w:w="11906" w:h="16838"/>
          <w:pgMar w:top="1134" w:right="1134" w:bottom="1134" w:left="1134" w:header="851" w:footer="992" w:gutter="0"/>
          <w:pgNumType w:fmt="decimal"/>
          <w:cols w:space="0" w:num="1"/>
          <w:rtlGutter w:val="0"/>
          <w:docGrid w:type="lines" w:linePitch="312" w:charSpace="0"/>
        </w:sectPr>
      </w:pPr>
      <w:bookmarkStart w:id="437" w:name="_Toc9567"/>
      <w:bookmarkStart w:id="438" w:name="_Toc24828"/>
      <w:bookmarkStart w:id="439" w:name="_Toc5084"/>
      <w:bookmarkStart w:id="440" w:name="_Toc29645"/>
      <w:bookmarkStart w:id="441" w:name="_Toc28862"/>
      <w:bookmarkStart w:id="442" w:name="_Toc17650"/>
    </w:p>
    <w:p w14:paraId="38548285">
      <w:pPr>
        <w:pStyle w:val="2"/>
        <w:keepNext w:val="0"/>
        <w:keepLines w:val="0"/>
        <w:spacing w:after="156" w:afterLines="50" w:line="400" w:lineRule="exact"/>
        <w:jc w:val="center"/>
        <w:rPr>
          <w:rFonts w:hAnsi="宋体" w:eastAsia="宋体" w:cs="宋体"/>
          <w:sz w:val="28"/>
          <w:szCs w:val="36"/>
          <w:highlight w:val="none"/>
        </w:rPr>
      </w:pPr>
      <w:r>
        <w:rPr>
          <w:rFonts w:hint="eastAsia" w:hAnsi="宋体" w:eastAsia="宋体" w:cs="宋体"/>
          <w:sz w:val="28"/>
          <w:szCs w:val="36"/>
          <w:highlight w:val="none"/>
        </w:rPr>
        <w:t>第六部</w:t>
      </w:r>
      <w:r>
        <w:rPr>
          <w:rFonts w:hint="eastAsia" w:hAnsi="宋体" w:eastAsia="宋体" w:cs="宋体"/>
          <w:sz w:val="28"/>
          <w:szCs w:val="36"/>
          <w:highlight w:val="none"/>
          <w:lang w:val="en-US" w:eastAsia="zh-CN"/>
        </w:rPr>
        <w:t xml:space="preserve">分  </w:t>
      </w:r>
      <w:r>
        <w:rPr>
          <w:rFonts w:hint="eastAsia" w:hAnsi="宋体" w:eastAsia="宋体" w:cs="宋体"/>
          <w:sz w:val="28"/>
          <w:szCs w:val="36"/>
          <w:highlight w:val="none"/>
        </w:rPr>
        <w:t>评定办法</w:t>
      </w:r>
      <w:bookmarkEnd w:id="437"/>
      <w:bookmarkEnd w:id="438"/>
      <w:bookmarkEnd w:id="439"/>
      <w:bookmarkEnd w:id="440"/>
      <w:bookmarkEnd w:id="441"/>
      <w:bookmarkEnd w:id="442"/>
    </w:p>
    <w:p w14:paraId="3F5E8C1D">
      <w:pPr>
        <w:spacing w:line="400" w:lineRule="exact"/>
        <w:ind w:firstLine="420" w:firstLineChars="200"/>
        <w:rPr>
          <w:rFonts w:ascii="宋体" w:hAnsi="宋体" w:eastAsia="宋体" w:cs="宋体"/>
          <w:bCs/>
          <w:kern w:val="28"/>
          <w:highlight w:val="none"/>
        </w:rPr>
      </w:pPr>
      <w:r>
        <w:rPr>
          <w:rFonts w:hint="eastAsia" w:ascii="宋体" w:hAnsi="宋体" w:eastAsia="宋体" w:cs="宋体"/>
          <w:bCs/>
          <w:kern w:val="28"/>
          <w:highlight w:val="none"/>
        </w:rPr>
        <w:t>根据《中华人民共和国政府采购法》、《政府采购竞争性磋商采购方式管理暂行办法》和本项目磋商文件，按照公平、公正、科学、择优的原则选择成交人，特制定本办法。</w:t>
      </w:r>
    </w:p>
    <w:p w14:paraId="62CDAB79">
      <w:pPr>
        <w:spacing w:line="400" w:lineRule="exact"/>
        <w:ind w:firstLine="422" w:firstLineChars="200"/>
        <w:outlineLvl w:val="1"/>
        <w:rPr>
          <w:rFonts w:ascii="宋体" w:hAnsi="宋体" w:eastAsia="宋体" w:cs="宋体"/>
          <w:b/>
          <w:bCs/>
          <w:kern w:val="28"/>
          <w:highlight w:val="none"/>
        </w:rPr>
      </w:pPr>
      <w:bookmarkStart w:id="443" w:name="_Toc19760"/>
      <w:r>
        <w:rPr>
          <w:rFonts w:hint="eastAsia" w:ascii="宋体" w:hAnsi="宋体" w:eastAsia="宋体" w:cs="宋体"/>
          <w:b/>
          <w:bCs/>
          <w:kern w:val="28"/>
          <w:highlight w:val="none"/>
        </w:rPr>
        <w:t>一、评定原则</w:t>
      </w:r>
      <w:bookmarkEnd w:id="443"/>
    </w:p>
    <w:p w14:paraId="6545FC27">
      <w:pPr>
        <w:spacing w:line="400" w:lineRule="exact"/>
        <w:ind w:firstLine="420" w:firstLineChars="200"/>
        <w:rPr>
          <w:rFonts w:ascii="宋体" w:hAnsi="宋体" w:eastAsia="宋体" w:cs="宋体"/>
          <w:bCs/>
          <w:kern w:val="28"/>
          <w:highlight w:val="none"/>
        </w:rPr>
      </w:pPr>
      <w:r>
        <w:rPr>
          <w:rFonts w:hint="eastAsia" w:ascii="宋体" w:hAnsi="宋体" w:eastAsia="宋体" w:cs="宋体"/>
          <w:bCs/>
          <w:kern w:val="28"/>
          <w:highlight w:val="none"/>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14:paraId="1F4603D0">
      <w:pPr>
        <w:spacing w:line="400" w:lineRule="exact"/>
        <w:ind w:firstLine="422" w:firstLineChars="200"/>
        <w:outlineLvl w:val="1"/>
        <w:rPr>
          <w:rFonts w:ascii="宋体" w:hAnsi="宋体" w:eastAsia="宋体" w:cs="宋体"/>
          <w:b/>
          <w:bCs/>
          <w:kern w:val="28"/>
          <w:highlight w:val="none"/>
        </w:rPr>
      </w:pPr>
      <w:bookmarkStart w:id="444" w:name="_Toc13479"/>
      <w:r>
        <w:rPr>
          <w:rFonts w:hint="eastAsia" w:ascii="宋体" w:hAnsi="宋体" w:eastAsia="宋体" w:cs="宋体"/>
          <w:b/>
          <w:bCs/>
          <w:kern w:val="28"/>
          <w:highlight w:val="none"/>
        </w:rPr>
        <w:t>二、评标组织</w:t>
      </w:r>
      <w:bookmarkEnd w:id="444"/>
    </w:p>
    <w:p w14:paraId="2410FE2E">
      <w:pPr>
        <w:spacing w:line="400" w:lineRule="exact"/>
        <w:ind w:firstLine="420" w:firstLineChars="200"/>
        <w:rPr>
          <w:rFonts w:ascii="宋体" w:hAnsi="宋体" w:eastAsia="宋体" w:cs="宋体"/>
          <w:bCs/>
          <w:kern w:val="28"/>
          <w:highlight w:val="none"/>
        </w:rPr>
      </w:pPr>
      <w:r>
        <w:rPr>
          <w:rFonts w:hint="eastAsia" w:ascii="宋体" w:hAnsi="宋体" w:eastAsia="宋体" w:cs="宋体"/>
          <w:bCs/>
          <w:kern w:val="28"/>
          <w:highlight w:val="none"/>
        </w:rPr>
        <w:t>开标后，首先采购人或采购代理机构对磋商响应文件进行资格性检查；接着磋商小组对符合资格的供应商进行符合性审查，以确定是否对磋商文件的要求作出响应凡磋商供应商资格不符合磋商文件要求；磋商响应文件内容和格式严重不符合有关规定或不响应磋商文件要求者，经磋商小组认定作为无效投标，不再进入后续磋商。对磋商文件完善后，由磋商小组对磋商供应商进行询标，磋商供应商做出书面答复作为磋商响应文件的补充文件。</w:t>
      </w:r>
    </w:p>
    <w:p w14:paraId="56C1E2E1">
      <w:pPr>
        <w:spacing w:line="400" w:lineRule="exact"/>
        <w:ind w:firstLine="420" w:firstLineChars="200"/>
        <w:rPr>
          <w:rFonts w:ascii="宋体" w:hAnsi="宋体" w:eastAsia="宋体" w:cs="宋体"/>
          <w:bCs/>
          <w:kern w:val="28"/>
          <w:highlight w:val="none"/>
        </w:rPr>
      </w:pPr>
      <w:r>
        <w:rPr>
          <w:rFonts w:hint="eastAsia" w:ascii="宋体" w:hAnsi="宋体" w:eastAsia="宋体" w:cs="宋体"/>
          <w:highlight w:val="none"/>
        </w:rPr>
        <w:t>经资格性检查和符合性检查后，开、评标期间出现符合资格条件的供应商或者对磋商文件作出实质响应的供应商（有效供应商）不足三家的，按政府</w:t>
      </w:r>
      <w:r>
        <w:rPr>
          <w:rFonts w:hint="eastAsia" w:ascii="宋体" w:hAnsi="宋体" w:eastAsia="宋体" w:cs="宋体"/>
          <w:szCs w:val="21"/>
          <w:highlight w:val="none"/>
        </w:rPr>
        <w:t>采购法律法规有关规定，依法继续进行或转为其它政府采购人式进行采购，或宣布本次招标失败，重新组织招标。</w:t>
      </w:r>
    </w:p>
    <w:p w14:paraId="38FE010C">
      <w:pPr>
        <w:spacing w:line="400" w:lineRule="exact"/>
        <w:ind w:firstLine="422" w:firstLineChars="200"/>
        <w:outlineLvl w:val="1"/>
        <w:rPr>
          <w:rFonts w:ascii="宋体" w:hAnsi="宋体" w:eastAsia="宋体" w:cs="宋体"/>
          <w:b/>
          <w:bCs/>
          <w:kern w:val="28"/>
          <w:highlight w:val="none"/>
        </w:rPr>
      </w:pPr>
      <w:bookmarkStart w:id="445" w:name="_Toc29136"/>
      <w:r>
        <w:rPr>
          <w:rFonts w:hint="eastAsia" w:ascii="宋体" w:hAnsi="宋体" w:eastAsia="宋体" w:cs="宋体"/>
          <w:b/>
          <w:bCs/>
          <w:kern w:val="28"/>
          <w:highlight w:val="none"/>
        </w:rPr>
        <w:t>三、评定办法</w:t>
      </w:r>
      <w:bookmarkEnd w:id="445"/>
    </w:p>
    <w:p w14:paraId="3EA7C3BA">
      <w:pPr>
        <w:spacing w:line="400" w:lineRule="exact"/>
        <w:ind w:firstLine="420" w:firstLineChars="200"/>
        <w:rPr>
          <w:rFonts w:ascii="宋体" w:hAnsi="宋体" w:eastAsia="宋体" w:cs="宋体"/>
          <w:bCs/>
          <w:kern w:val="28"/>
          <w:highlight w:val="none"/>
        </w:rPr>
      </w:pPr>
      <w:r>
        <w:rPr>
          <w:rFonts w:hint="eastAsia" w:ascii="宋体" w:hAnsi="宋体" w:eastAsia="宋体" w:cs="宋体"/>
          <w:bCs/>
          <w:kern w:val="28"/>
          <w:highlight w:val="none"/>
        </w:rPr>
        <w:t>本次评标采用综合评分法，总分为100分，其中报价分</w:t>
      </w:r>
      <w:r>
        <w:rPr>
          <w:rFonts w:hint="eastAsia" w:ascii="宋体" w:hAnsi="宋体" w:eastAsia="宋体" w:cs="宋体"/>
          <w:bCs/>
          <w:kern w:val="28"/>
          <w:highlight w:val="none"/>
          <w:lang w:val="en-US" w:eastAsia="zh-CN"/>
        </w:rPr>
        <w:t>10</w:t>
      </w:r>
      <w:r>
        <w:rPr>
          <w:rFonts w:hint="eastAsia" w:ascii="宋体" w:hAnsi="宋体" w:eastAsia="宋体" w:cs="宋体"/>
          <w:bCs/>
          <w:kern w:val="28"/>
          <w:highlight w:val="none"/>
        </w:rPr>
        <w:t>分、商务技术分</w:t>
      </w:r>
      <w:r>
        <w:rPr>
          <w:rFonts w:hint="eastAsia" w:ascii="宋体" w:hAnsi="宋体" w:eastAsia="宋体" w:cs="宋体"/>
          <w:bCs/>
          <w:kern w:val="28"/>
          <w:highlight w:val="none"/>
          <w:lang w:val="en-US" w:eastAsia="zh-CN"/>
        </w:rPr>
        <w:t>9</w:t>
      </w:r>
      <w:r>
        <w:rPr>
          <w:rFonts w:hint="eastAsia" w:ascii="宋体" w:hAnsi="宋体" w:eastAsia="宋体" w:cs="宋体"/>
          <w:bCs/>
          <w:kern w:val="28"/>
          <w:highlight w:val="none"/>
        </w:rPr>
        <w:t>0分。合格供应商的评标得分为各项目汇总得分。评分过程中数值计算采用四舍五入法，并保留小数2位。</w:t>
      </w:r>
    </w:p>
    <w:tbl>
      <w:tblPr>
        <w:tblStyle w:val="20"/>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
        <w:gridCol w:w="1589"/>
        <w:gridCol w:w="2"/>
        <w:gridCol w:w="1149"/>
        <w:gridCol w:w="3"/>
        <w:gridCol w:w="1793"/>
        <w:gridCol w:w="4944"/>
      </w:tblGrid>
      <w:tr w14:paraId="1C66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867" w:type="dxa"/>
            <w:gridSpan w:val="2"/>
            <w:vAlign w:val="center"/>
          </w:tcPr>
          <w:p w14:paraId="77AFCF97">
            <w:pPr>
              <w:ind w:right="3"/>
              <w:jc w:val="center"/>
              <w:rPr>
                <w:rFonts w:ascii="宋体" w:hAnsi="宋体" w:eastAsia="宋体" w:cs="宋体"/>
                <w:b/>
                <w:bCs/>
                <w:sz w:val="21"/>
                <w:szCs w:val="21"/>
                <w:highlight w:val="none"/>
              </w:rPr>
            </w:pPr>
            <w:bookmarkStart w:id="462" w:name="_GoBack"/>
            <w:r>
              <w:rPr>
                <w:rFonts w:hint="eastAsia" w:ascii="宋体" w:hAnsi="宋体" w:eastAsia="宋体" w:cs="宋体"/>
                <w:b/>
                <w:bCs/>
                <w:sz w:val="21"/>
                <w:szCs w:val="21"/>
                <w:highlight w:val="none"/>
              </w:rPr>
              <w:t>序号</w:t>
            </w:r>
          </w:p>
        </w:tc>
        <w:tc>
          <w:tcPr>
            <w:tcW w:w="1591" w:type="dxa"/>
            <w:gridSpan w:val="2"/>
            <w:vAlign w:val="center"/>
          </w:tcPr>
          <w:p w14:paraId="76B0BA87">
            <w:pPr>
              <w:ind w:right="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评审类型</w:t>
            </w:r>
          </w:p>
        </w:tc>
        <w:tc>
          <w:tcPr>
            <w:tcW w:w="2945" w:type="dxa"/>
            <w:gridSpan w:val="3"/>
            <w:vAlign w:val="center"/>
          </w:tcPr>
          <w:p w14:paraId="18012421">
            <w:pPr>
              <w:pStyle w:val="7"/>
              <w:ind w:firstLine="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评审内容</w:t>
            </w:r>
          </w:p>
        </w:tc>
        <w:tc>
          <w:tcPr>
            <w:tcW w:w="4944" w:type="dxa"/>
            <w:vAlign w:val="center"/>
          </w:tcPr>
          <w:p w14:paraId="5E384780">
            <w:pPr>
              <w:pStyle w:val="7"/>
              <w:ind w:firstLine="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3047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67" w:type="dxa"/>
            <w:gridSpan w:val="2"/>
            <w:vMerge w:val="restart"/>
            <w:vAlign w:val="center"/>
          </w:tcPr>
          <w:p w14:paraId="06B77498">
            <w:pPr>
              <w:ind w:right="3"/>
              <w:jc w:val="center"/>
              <w:rPr>
                <w:rFonts w:ascii="宋体" w:hAnsi="宋体" w:eastAsia="宋体" w:cs="宋体"/>
                <w:spacing w:val="4"/>
                <w:sz w:val="21"/>
                <w:szCs w:val="21"/>
                <w:highlight w:val="none"/>
              </w:rPr>
            </w:pPr>
            <w:r>
              <w:rPr>
                <w:rFonts w:hint="eastAsia" w:ascii="宋体" w:hAnsi="宋体" w:eastAsia="宋体" w:cs="宋体"/>
                <w:spacing w:val="4"/>
                <w:sz w:val="21"/>
                <w:szCs w:val="21"/>
                <w:highlight w:val="none"/>
              </w:rPr>
              <w:t>1</w:t>
            </w:r>
          </w:p>
        </w:tc>
        <w:tc>
          <w:tcPr>
            <w:tcW w:w="1591" w:type="dxa"/>
            <w:gridSpan w:val="2"/>
            <w:vMerge w:val="restart"/>
            <w:vAlign w:val="center"/>
          </w:tcPr>
          <w:p w14:paraId="1927CE76">
            <w:pPr>
              <w:ind w:right="3"/>
              <w:jc w:val="center"/>
              <w:rPr>
                <w:rFonts w:hint="eastAsia" w:ascii="宋体" w:hAnsi="宋体" w:eastAsia="宋体" w:cs="宋体"/>
                <w:b/>
                <w:bCs/>
                <w:kern w:val="28"/>
                <w:sz w:val="21"/>
                <w:szCs w:val="21"/>
                <w:highlight w:val="none"/>
              </w:rPr>
            </w:pPr>
            <w:r>
              <w:rPr>
                <w:rFonts w:hint="eastAsia" w:ascii="宋体" w:hAnsi="宋体" w:eastAsia="宋体" w:cs="宋体"/>
                <w:b/>
                <w:sz w:val="21"/>
                <w:szCs w:val="21"/>
                <w:highlight w:val="none"/>
              </w:rPr>
              <w:t>资格</w:t>
            </w:r>
            <w:r>
              <w:rPr>
                <w:rFonts w:hint="eastAsia" w:ascii="宋体" w:hAnsi="宋体" w:eastAsia="宋体" w:cs="宋体"/>
                <w:b/>
                <w:bCs/>
                <w:kern w:val="28"/>
                <w:sz w:val="21"/>
                <w:szCs w:val="21"/>
                <w:highlight w:val="none"/>
              </w:rPr>
              <w:t>性</w:t>
            </w:r>
          </w:p>
          <w:p w14:paraId="77E75BB7">
            <w:pPr>
              <w:ind w:right="3"/>
              <w:jc w:val="center"/>
              <w:rPr>
                <w:rFonts w:ascii="宋体" w:hAnsi="宋体" w:eastAsia="宋体" w:cs="宋体"/>
                <w:b/>
                <w:spacing w:val="4"/>
                <w:sz w:val="21"/>
                <w:szCs w:val="21"/>
                <w:highlight w:val="none"/>
              </w:rPr>
            </w:pPr>
            <w:r>
              <w:rPr>
                <w:rFonts w:hint="eastAsia" w:ascii="宋体" w:hAnsi="宋体" w:eastAsia="宋体" w:cs="宋体"/>
                <w:b/>
                <w:bCs/>
                <w:kern w:val="28"/>
                <w:sz w:val="21"/>
                <w:szCs w:val="21"/>
                <w:highlight w:val="none"/>
              </w:rPr>
              <w:t>检查</w:t>
            </w:r>
          </w:p>
        </w:tc>
        <w:tc>
          <w:tcPr>
            <w:tcW w:w="2945" w:type="dxa"/>
            <w:gridSpan w:val="3"/>
            <w:vAlign w:val="center"/>
          </w:tcPr>
          <w:p w14:paraId="732238E7">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4944" w:type="dxa"/>
            <w:vAlign w:val="center"/>
          </w:tcPr>
          <w:p w14:paraId="2C104241">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具备有效的营业执照</w:t>
            </w:r>
          </w:p>
        </w:tc>
      </w:tr>
      <w:tr w14:paraId="78FD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67" w:type="dxa"/>
            <w:gridSpan w:val="2"/>
            <w:vMerge w:val="continue"/>
            <w:vAlign w:val="center"/>
          </w:tcPr>
          <w:p w14:paraId="37986DFD">
            <w:pPr>
              <w:ind w:right="3"/>
              <w:jc w:val="center"/>
              <w:rPr>
                <w:rFonts w:ascii="宋体" w:hAnsi="宋体" w:eastAsia="宋体" w:cs="宋体"/>
                <w:spacing w:val="4"/>
                <w:sz w:val="21"/>
                <w:szCs w:val="21"/>
                <w:highlight w:val="none"/>
              </w:rPr>
            </w:pPr>
          </w:p>
        </w:tc>
        <w:tc>
          <w:tcPr>
            <w:tcW w:w="1591" w:type="dxa"/>
            <w:gridSpan w:val="2"/>
            <w:vMerge w:val="continue"/>
            <w:vAlign w:val="center"/>
          </w:tcPr>
          <w:p w14:paraId="3031C483">
            <w:pPr>
              <w:ind w:right="3"/>
              <w:jc w:val="center"/>
              <w:rPr>
                <w:rFonts w:ascii="宋体" w:hAnsi="宋体" w:eastAsia="宋体" w:cs="宋体"/>
                <w:b/>
                <w:sz w:val="21"/>
                <w:szCs w:val="21"/>
                <w:highlight w:val="none"/>
              </w:rPr>
            </w:pPr>
          </w:p>
        </w:tc>
        <w:tc>
          <w:tcPr>
            <w:tcW w:w="2945" w:type="dxa"/>
            <w:gridSpan w:val="3"/>
            <w:vAlign w:val="center"/>
          </w:tcPr>
          <w:p w14:paraId="2FE03BBE">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供应商资格</w:t>
            </w:r>
          </w:p>
        </w:tc>
        <w:tc>
          <w:tcPr>
            <w:tcW w:w="4944" w:type="dxa"/>
            <w:vAlign w:val="center"/>
          </w:tcPr>
          <w:p w14:paraId="43794ACC">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5EB2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67" w:type="dxa"/>
            <w:gridSpan w:val="2"/>
            <w:vMerge w:val="continue"/>
            <w:vAlign w:val="center"/>
          </w:tcPr>
          <w:p w14:paraId="71BCBC54">
            <w:pPr>
              <w:ind w:right="3"/>
              <w:jc w:val="center"/>
              <w:rPr>
                <w:rFonts w:ascii="宋体" w:hAnsi="宋体" w:eastAsia="宋体" w:cs="宋体"/>
                <w:spacing w:val="4"/>
                <w:sz w:val="21"/>
                <w:szCs w:val="21"/>
                <w:highlight w:val="none"/>
              </w:rPr>
            </w:pPr>
          </w:p>
        </w:tc>
        <w:tc>
          <w:tcPr>
            <w:tcW w:w="1591" w:type="dxa"/>
            <w:gridSpan w:val="2"/>
            <w:vMerge w:val="continue"/>
            <w:vAlign w:val="center"/>
          </w:tcPr>
          <w:p w14:paraId="6C676472">
            <w:pPr>
              <w:ind w:right="3"/>
              <w:jc w:val="center"/>
              <w:rPr>
                <w:rFonts w:ascii="宋体" w:hAnsi="宋体" w:eastAsia="宋体" w:cs="宋体"/>
                <w:b/>
                <w:sz w:val="21"/>
                <w:szCs w:val="21"/>
                <w:highlight w:val="none"/>
              </w:rPr>
            </w:pPr>
          </w:p>
        </w:tc>
        <w:tc>
          <w:tcPr>
            <w:tcW w:w="2945" w:type="dxa"/>
            <w:gridSpan w:val="3"/>
            <w:vAlign w:val="center"/>
          </w:tcPr>
          <w:p w14:paraId="50292C91">
            <w:pPr>
              <w:pStyle w:val="7"/>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法定代表人授权委托书或法定代表人身份证明</w:t>
            </w:r>
          </w:p>
        </w:tc>
        <w:tc>
          <w:tcPr>
            <w:tcW w:w="4944" w:type="dxa"/>
            <w:vAlign w:val="center"/>
          </w:tcPr>
          <w:p w14:paraId="1D44FF4F">
            <w:pPr>
              <w:pStyle w:val="7"/>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007C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67" w:type="dxa"/>
            <w:gridSpan w:val="2"/>
            <w:vMerge w:val="continue"/>
            <w:vAlign w:val="center"/>
          </w:tcPr>
          <w:p w14:paraId="16CFDB0C">
            <w:pPr>
              <w:ind w:right="3"/>
              <w:jc w:val="center"/>
              <w:rPr>
                <w:rFonts w:ascii="宋体" w:hAnsi="宋体" w:eastAsia="宋体" w:cs="宋体"/>
                <w:spacing w:val="4"/>
                <w:sz w:val="21"/>
                <w:szCs w:val="21"/>
                <w:highlight w:val="none"/>
              </w:rPr>
            </w:pPr>
          </w:p>
        </w:tc>
        <w:tc>
          <w:tcPr>
            <w:tcW w:w="1591" w:type="dxa"/>
            <w:gridSpan w:val="2"/>
            <w:vMerge w:val="continue"/>
            <w:vAlign w:val="center"/>
          </w:tcPr>
          <w:p w14:paraId="21B18F06">
            <w:pPr>
              <w:ind w:right="3"/>
              <w:jc w:val="center"/>
              <w:rPr>
                <w:rFonts w:ascii="宋体" w:hAnsi="宋体" w:eastAsia="宋体" w:cs="宋体"/>
                <w:b/>
                <w:sz w:val="21"/>
                <w:szCs w:val="21"/>
                <w:highlight w:val="none"/>
              </w:rPr>
            </w:pPr>
          </w:p>
        </w:tc>
        <w:tc>
          <w:tcPr>
            <w:tcW w:w="2945" w:type="dxa"/>
            <w:gridSpan w:val="3"/>
            <w:vAlign w:val="center"/>
          </w:tcPr>
          <w:p w14:paraId="20E080D4">
            <w:pPr>
              <w:pStyle w:val="7"/>
              <w:spacing w:line="320" w:lineRule="exact"/>
              <w:ind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特定资格</w:t>
            </w:r>
          </w:p>
        </w:tc>
        <w:tc>
          <w:tcPr>
            <w:tcW w:w="4944" w:type="dxa"/>
            <w:vAlign w:val="center"/>
          </w:tcPr>
          <w:p w14:paraId="2B5916C7">
            <w:pPr>
              <w:pStyle w:val="7"/>
              <w:spacing w:line="320" w:lineRule="exact"/>
              <w:ind w:firstLine="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符合磋商文件要求</w:t>
            </w:r>
          </w:p>
        </w:tc>
      </w:tr>
      <w:tr w14:paraId="20C1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867" w:type="dxa"/>
            <w:gridSpan w:val="2"/>
            <w:vMerge w:val="continue"/>
            <w:vAlign w:val="center"/>
          </w:tcPr>
          <w:p w14:paraId="1042F442">
            <w:pPr>
              <w:ind w:right="3"/>
              <w:jc w:val="center"/>
              <w:rPr>
                <w:rFonts w:ascii="宋体" w:hAnsi="宋体" w:eastAsia="宋体" w:cs="宋体"/>
                <w:sz w:val="21"/>
                <w:szCs w:val="21"/>
                <w:highlight w:val="none"/>
              </w:rPr>
            </w:pPr>
          </w:p>
        </w:tc>
        <w:tc>
          <w:tcPr>
            <w:tcW w:w="1591" w:type="dxa"/>
            <w:gridSpan w:val="2"/>
            <w:vMerge w:val="continue"/>
            <w:vAlign w:val="center"/>
          </w:tcPr>
          <w:p w14:paraId="55EDBE9C">
            <w:pPr>
              <w:ind w:right="3"/>
              <w:jc w:val="center"/>
              <w:rPr>
                <w:rFonts w:ascii="宋体" w:hAnsi="宋体" w:eastAsia="宋体" w:cs="宋体"/>
                <w:sz w:val="21"/>
                <w:szCs w:val="21"/>
                <w:highlight w:val="none"/>
              </w:rPr>
            </w:pPr>
          </w:p>
        </w:tc>
        <w:tc>
          <w:tcPr>
            <w:tcW w:w="2945" w:type="dxa"/>
            <w:gridSpan w:val="3"/>
            <w:vAlign w:val="center"/>
          </w:tcPr>
          <w:p w14:paraId="483E60F6">
            <w:pPr>
              <w:pStyle w:val="7"/>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4944" w:type="dxa"/>
            <w:vAlign w:val="center"/>
          </w:tcPr>
          <w:p w14:paraId="452347B7">
            <w:pPr>
              <w:pStyle w:val="7"/>
              <w:spacing w:line="320" w:lineRule="exact"/>
              <w:ind w:firstLine="0"/>
              <w:jc w:val="center"/>
              <w:rPr>
                <w:rFonts w:ascii="宋体" w:hAnsi="宋体" w:eastAsia="宋体" w:cs="宋体"/>
                <w:bCs/>
                <w:sz w:val="21"/>
                <w:szCs w:val="21"/>
                <w:highlight w:val="none"/>
              </w:rPr>
            </w:pPr>
            <w:r>
              <w:rPr>
                <w:rFonts w:hint="eastAsia" w:ascii="宋体" w:hAnsi="宋体" w:eastAsia="宋体" w:cs="宋体"/>
                <w:sz w:val="21"/>
                <w:szCs w:val="21"/>
                <w:highlight w:val="none"/>
              </w:rPr>
              <w:t>符合磋商文件要求</w:t>
            </w:r>
          </w:p>
        </w:tc>
      </w:tr>
      <w:tr w14:paraId="6F01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67" w:type="dxa"/>
            <w:gridSpan w:val="2"/>
            <w:vMerge w:val="continue"/>
            <w:vAlign w:val="center"/>
          </w:tcPr>
          <w:p w14:paraId="65E173CC">
            <w:pPr>
              <w:ind w:right="3"/>
              <w:jc w:val="center"/>
              <w:rPr>
                <w:rFonts w:ascii="宋体" w:hAnsi="宋体" w:eastAsia="宋体" w:cs="宋体"/>
                <w:sz w:val="21"/>
                <w:szCs w:val="21"/>
                <w:highlight w:val="none"/>
              </w:rPr>
            </w:pPr>
          </w:p>
        </w:tc>
        <w:tc>
          <w:tcPr>
            <w:tcW w:w="1591" w:type="dxa"/>
            <w:gridSpan w:val="2"/>
            <w:vMerge w:val="continue"/>
            <w:vAlign w:val="center"/>
          </w:tcPr>
          <w:p w14:paraId="25139383">
            <w:pPr>
              <w:ind w:right="3"/>
              <w:jc w:val="center"/>
              <w:rPr>
                <w:rFonts w:ascii="宋体" w:hAnsi="宋体" w:eastAsia="宋体" w:cs="宋体"/>
                <w:sz w:val="21"/>
                <w:szCs w:val="21"/>
                <w:highlight w:val="none"/>
              </w:rPr>
            </w:pPr>
          </w:p>
        </w:tc>
        <w:tc>
          <w:tcPr>
            <w:tcW w:w="2945" w:type="dxa"/>
            <w:gridSpan w:val="3"/>
            <w:vAlign w:val="center"/>
          </w:tcPr>
          <w:p w14:paraId="0E3BE24B">
            <w:pPr>
              <w:pStyle w:val="7"/>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提供关于《中华人民共和国政府采购法》第二十二条规定的承诺函</w:t>
            </w:r>
          </w:p>
        </w:tc>
        <w:tc>
          <w:tcPr>
            <w:tcW w:w="4944" w:type="dxa"/>
            <w:vAlign w:val="center"/>
          </w:tcPr>
          <w:p w14:paraId="48115704">
            <w:pPr>
              <w:pStyle w:val="7"/>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26FA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7" w:type="dxa"/>
            <w:gridSpan w:val="2"/>
            <w:vMerge w:val="continue"/>
            <w:vAlign w:val="center"/>
          </w:tcPr>
          <w:p w14:paraId="2E628C08">
            <w:pPr>
              <w:ind w:right="3"/>
              <w:jc w:val="center"/>
              <w:rPr>
                <w:rFonts w:ascii="宋体" w:hAnsi="宋体" w:eastAsia="宋体" w:cs="宋体"/>
                <w:sz w:val="21"/>
                <w:szCs w:val="21"/>
                <w:highlight w:val="none"/>
              </w:rPr>
            </w:pPr>
          </w:p>
        </w:tc>
        <w:tc>
          <w:tcPr>
            <w:tcW w:w="1591" w:type="dxa"/>
            <w:gridSpan w:val="2"/>
            <w:vMerge w:val="continue"/>
            <w:vAlign w:val="center"/>
          </w:tcPr>
          <w:p w14:paraId="24347EFF">
            <w:pPr>
              <w:ind w:right="3"/>
              <w:jc w:val="center"/>
              <w:rPr>
                <w:rFonts w:ascii="宋体" w:hAnsi="宋体" w:eastAsia="宋体" w:cs="宋体"/>
                <w:sz w:val="21"/>
                <w:szCs w:val="21"/>
                <w:highlight w:val="none"/>
              </w:rPr>
            </w:pPr>
          </w:p>
        </w:tc>
        <w:tc>
          <w:tcPr>
            <w:tcW w:w="2945" w:type="dxa"/>
            <w:gridSpan w:val="3"/>
            <w:vAlign w:val="center"/>
          </w:tcPr>
          <w:p w14:paraId="77C72716">
            <w:pPr>
              <w:pStyle w:val="7"/>
              <w:widowControl/>
              <w:spacing w:line="40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未被“信用中国”、“中国政府采购网”、列入失信被执行人、重大违法案件当事人名单、政府采购严重违法失信行为记录名单。（以采购组织机构在开标当日在“信用中国”（www.creditchina.go</w:t>
            </w:r>
            <w:r>
              <w:rPr>
                <w:rFonts w:hint="eastAsia" w:ascii="宋体" w:hAnsi="宋体" w:eastAsia="宋体" w:cs="宋体"/>
                <w:sz w:val="21"/>
                <w:szCs w:val="21"/>
                <w:highlight w:val="none"/>
                <w:lang w:val="en-US" w:eastAsia="zh-CN"/>
              </w:rPr>
              <w:t>v</w:t>
            </w:r>
            <w:r>
              <w:rPr>
                <w:rFonts w:hint="eastAsia" w:ascii="宋体" w:hAnsi="宋体" w:eastAsia="宋体" w:cs="宋体"/>
                <w:sz w:val="21"/>
                <w:szCs w:val="21"/>
                <w:highlight w:val="none"/>
              </w:rPr>
              <w:t>.cn）、中国政府采购网（www.ccgp.go</w:t>
            </w:r>
            <w:r>
              <w:rPr>
                <w:rFonts w:hint="eastAsia" w:ascii="宋体" w:hAnsi="宋体" w:eastAsia="宋体" w:cs="宋体"/>
                <w:sz w:val="21"/>
                <w:szCs w:val="21"/>
                <w:highlight w:val="none"/>
                <w:lang w:val="en-US" w:eastAsia="zh-CN"/>
              </w:rPr>
              <w:t>v</w:t>
            </w:r>
            <w:r>
              <w:rPr>
                <w:rFonts w:hint="eastAsia" w:ascii="宋体" w:hAnsi="宋体" w:eastAsia="宋体" w:cs="宋体"/>
                <w:sz w:val="21"/>
                <w:szCs w:val="21"/>
                <w:highlight w:val="none"/>
              </w:rPr>
              <w:t>.cn）网页查询记录为准。）</w:t>
            </w:r>
          </w:p>
        </w:tc>
        <w:tc>
          <w:tcPr>
            <w:tcW w:w="4944" w:type="dxa"/>
            <w:vAlign w:val="center"/>
          </w:tcPr>
          <w:p w14:paraId="5E18C8D4">
            <w:pPr>
              <w:pStyle w:val="7"/>
              <w:widowControl/>
              <w:spacing w:line="40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符合磋商文件要求</w:t>
            </w:r>
          </w:p>
        </w:tc>
      </w:tr>
      <w:tr w14:paraId="2BC8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67" w:type="dxa"/>
            <w:gridSpan w:val="2"/>
            <w:vMerge w:val="restart"/>
            <w:tcBorders>
              <w:top w:val="single" w:color="auto" w:sz="4" w:space="0"/>
              <w:left w:val="single" w:color="auto" w:sz="4" w:space="0"/>
              <w:bottom w:val="single" w:color="auto" w:sz="4" w:space="0"/>
              <w:right w:val="single" w:color="auto" w:sz="4" w:space="0"/>
            </w:tcBorders>
            <w:vAlign w:val="center"/>
          </w:tcPr>
          <w:p w14:paraId="5CEB8743">
            <w:pPr>
              <w:ind w:right="3"/>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1591" w:type="dxa"/>
            <w:gridSpan w:val="2"/>
            <w:vMerge w:val="restart"/>
            <w:tcBorders>
              <w:top w:val="single" w:color="auto" w:sz="4" w:space="0"/>
              <w:left w:val="single" w:color="auto" w:sz="4" w:space="0"/>
              <w:bottom w:val="single" w:color="auto" w:sz="4" w:space="0"/>
              <w:right w:val="single" w:color="auto" w:sz="4" w:space="0"/>
            </w:tcBorders>
            <w:vAlign w:val="center"/>
          </w:tcPr>
          <w:p w14:paraId="499B75D1">
            <w:pPr>
              <w:ind w:right="3"/>
              <w:jc w:val="center"/>
              <w:rPr>
                <w:rFonts w:hint="eastAsia" w:ascii="宋体" w:hAnsi="宋体" w:eastAsia="宋体" w:cs="宋体"/>
                <w:b/>
                <w:bCs/>
                <w:kern w:val="28"/>
                <w:sz w:val="21"/>
                <w:szCs w:val="21"/>
                <w:highlight w:val="none"/>
              </w:rPr>
            </w:pPr>
            <w:r>
              <w:rPr>
                <w:rFonts w:hint="eastAsia" w:ascii="宋体" w:hAnsi="宋体" w:eastAsia="宋体" w:cs="宋体"/>
                <w:b/>
                <w:bCs/>
                <w:kern w:val="28"/>
                <w:sz w:val="21"/>
                <w:szCs w:val="21"/>
                <w:highlight w:val="none"/>
              </w:rPr>
              <w:t>符合性</w:t>
            </w:r>
          </w:p>
          <w:p w14:paraId="02DBF6D3">
            <w:pPr>
              <w:ind w:right="3"/>
              <w:jc w:val="center"/>
              <w:rPr>
                <w:rFonts w:ascii="宋体" w:hAnsi="宋体" w:eastAsia="宋体" w:cs="宋体"/>
                <w:b/>
                <w:sz w:val="21"/>
                <w:szCs w:val="21"/>
                <w:highlight w:val="none"/>
              </w:rPr>
            </w:pPr>
            <w:r>
              <w:rPr>
                <w:rFonts w:hint="eastAsia" w:ascii="宋体" w:hAnsi="宋体" w:eastAsia="宋体" w:cs="宋体"/>
                <w:b/>
                <w:bCs/>
                <w:kern w:val="28"/>
                <w:sz w:val="21"/>
                <w:szCs w:val="21"/>
                <w:highlight w:val="none"/>
              </w:rPr>
              <w:t>检查</w:t>
            </w:r>
          </w:p>
        </w:tc>
        <w:tc>
          <w:tcPr>
            <w:tcW w:w="2945" w:type="dxa"/>
            <w:gridSpan w:val="3"/>
            <w:tcBorders>
              <w:top w:val="single" w:color="auto" w:sz="4" w:space="0"/>
              <w:left w:val="single" w:color="auto" w:sz="4" w:space="0"/>
              <w:bottom w:val="single" w:color="auto" w:sz="4" w:space="0"/>
              <w:right w:val="single" w:color="auto" w:sz="4" w:space="0"/>
            </w:tcBorders>
            <w:vAlign w:val="center"/>
          </w:tcPr>
          <w:p w14:paraId="076EC278">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4944" w:type="dxa"/>
            <w:tcBorders>
              <w:top w:val="single" w:color="auto" w:sz="4" w:space="0"/>
              <w:left w:val="single" w:color="auto" w:sz="4" w:space="0"/>
              <w:bottom w:val="single" w:color="auto" w:sz="4" w:space="0"/>
              <w:right w:val="single" w:color="auto" w:sz="4" w:space="0"/>
            </w:tcBorders>
            <w:vAlign w:val="center"/>
          </w:tcPr>
          <w:p w14:paraId="10DA9806">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与营业执照一致</w:t>
            </w:r>
          </w:p>
        </w:tc>
      </w:tr>
      <w:tr w14:paraId="1CA3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7" w:type="dxa"/>
            <w:gridSpan w:val="2"/>
            <w:vMerge w:val="continue"/>
            <w:tcBorders>
              <w:top w:val="single" w:color="auto" w:sz="4" w:space="0"/>
              <w:left w:val="single" w:color="auto" w:sz="4" w:space="0"/>
              <w:bottom w:val="single" w:color="auto" w:sz="4" w:space="0"/>
              <w:right w:val="single" w:color="auto" w:sz="4" w:space="0"/>
            </w:tcBorders>
            <w:vAlign w:val="center"/>
          </w:tcPr>
          <w:p w14:paraId="5BB03395">
            <w:pPr>
              <w:ind w:right="3"/>
              <w:jc w:val="center"/>
              <w:rPr>
                <w:rFonts w:ascii="宋体" w:hAnsi="宋体" w:eastAsia="宋体" w:cs="宋体"/>
                <w:sz w:val="21"/>
                <w:szCs w:val="21"/>
                <w:highlight w:val="none"/>
              </w:rPr>
            </w:pPr>
          </w:p>
        </w:tc>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44E7C8B3">
            <w:pPr>
              <w:ind w:right="3"/>
              <w:jc w:val="center"/>
              <w:rPr>
                <w:rFonts w:ascii="宋体" w:hAnsi="宋体" w:eastAsia="宋体" w:cs="宋体"/>
                <w:sz w:val="21"/>
                <w:szCs w:val="21"/>
                <w:highlight w:val="none"/>
              </w:rPr>
            </w:pPr>
          </w:p>
        </w:tc>
        <w:tc>
          <w:tcPr>
            <w:tcW w:w="2945" w:type="dxa"/>
            <w:gridSpan w:val="3"/>
            <w:tcBorders>
              <w:top w:val="single" w:color="auto" w:sz="4" w:space="0"/>
              <w:left w:val="single" w:color="auto" w:sz="4" w:space="0"/>
              <w:bottom w:val="single" w:color="auto" w:sz="4" w:space="0"/>
              <w:right w:val="single" w:color="auto" w:sz="4" w:space="0"/>
            </w:tcBorders>
            <w:vAlign w:val="center"/>
          </w:tcPr>
          <w:p w14:paraId="5C62871C">
            <w:pPr>
              <w:jc w:val="center"/>
              <w:rPr>
                <w:rFonts w:ascii="宋体" w:hAnsi="宋体" w:eastAsia="宋体" w:cs="宋体"/>
                <w:sz w:val="21"/>
                <w:szCs w:val="21"/>
                <w:highlight w:val="none"/>
              </w:rPr>
            </w:pPr>
            <w:r>
              <w:rPr>
                <w:rFonts w:hint="eastAsia" w:ascii="宋体" w:hAnsi="宋体" w:eastAsia="宋体" w:cs="宋体"/>
                <w:sz w:val="21"/>
                <w:szCs w:val="21"/>
                <w:highlight w:val="none"/>
              </w:rPr>
              <w:t>磋商响应函签字盖章</w:t>
            </w:r>
          </w:p>
        </w:tc>
        <w:tc>
          <w:tcPr>
            <w:tcW w:w="4944" w:type="dxa"/>
            <w:tcBorders>
              <w:top w:val="single" w:color="auto" w:sz="4" w:space="0"/>
              <w:left w:val="single" w:color="auto" w:sz="4" w:space="0"/>
              <w:bottom w:val="single" w:color="auto" w:sz="4" w:space="0"/>
              <w:right w:val="single" w:color="auto" w:sz="4" w:space="0"/>
            </w:tcBorders>
            <w:vAlign w:val="center"/>
          </w:tcPr>
          <w:p w14:paraId="1B4405BA">
            <w:pPr>
              <w:bidi w:val="0"/>
              <w:jc w:val="center"/>
              <w:rPr>
                <w:rFonts w:hint="eastAsia"/>
                <w:sz w:val="21"/>
                <w:szCs w:val="21"/>
                <w:highlight w:val="none"/>
              </w:rPr>
            </w:pPr>
            <w:r>
              <w:rPr>
                <w:rFonts w:hint="eastAsia"/>
                <w:sz w:val="21"/>
                <w:szCs w:val="21"/>
                <w:highlight w:val="none"/>
              </w:rPr>
              <w:t>有法定代表人或其授权代表签字</w:t>
            </w:r>
          </w:p>
          <w:p w14:paraId="2C75F563">
            <w:pPr>
              <w:bidi w:val="0"/>
              <w:jc w:val="center"/>
              <w:rPr>
                <w:sz w:val="21"/>
                <w:szCs w:val="21"/>
                <w:highlight w:val="none"/>
              </w:rPr>
            </w:pPr>
            <w:r>
              <w:rPr>
                <w:rFonts w:hint="eastAsia"/>
                <w:sz w:val="21"/>
                <w:szCs w:val="21"/>
                <w:highlight w:val="none"/>
              </w:rPr>
              <w:t>并加盖电子签章</w:t>
            </w:r>
          </w:p>
        </w:tc>
      </w:tr>
      <w:tr w14:paraId="1633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67" w:type="dxa"/>
            <w:gridSpan w:val="2"/>
            <w:vMerge w:val="continue"/>
            <w:tcBorders>
              <w:top w:val="single" w:color="auto" w:sz="4" w:space="0"/>
              <w:left w:val="single" w:color="auto" w:sz="4" w:space="0"/>
              <w:bottom w:val="single" w:color="auto" w:sz="4" w:space="0"/>
              <w:right w:val="single" w:color="auto" w:sz="4" w:space="0"/>
            </w:tcBorders>
            <w:vAlign w:val="center"/>
          </w:tcPr>
          <w:p w14:paraId="794A42A8">
            <w:pPr>
              <w:ind w:right="3"/>
              <w:jc w:val="center"/>
              <w:rPr>
                <w:rFonts w:ascii="宋体" w:hAnsi="宋体" w:eastAsia="宋体" w:cs="宋体"/>
                <w:sz w:val="21"/>
                <w:szCs w:val="21"/>
                <w:highlight w:val="none"/>
              </w:rPr>
            </w:pPr>
          </w:p>
        </w:tc>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18DDCF1A">
            <w:pPr>
              <w:ind w:right="3"/>
              <w:jc w:val="center"/>
              <w:rPr>
                <w:rFonts w:ascii="宋体" w:hAnsi="宋体" w:eastAsia="宋体" w:cs="宋体"/>
                <w:sz w:val="21"/>
                <w:szCs w:val="21"/>
                <w:highlight w:val="none"/>
              </w:rPr>
            </w:pPr>
          </w:p>
        </w:tc>
        <w:tc>
          <w:tcPr>
            <w:tcW w:w="2945" w:type="dxa"/>
            <w:gridSpan w:val="3"/>
            <w:tcBorders>
              <w:top w:val="single" w:color="auto" w:sz="4" w:space="0"/>
              <w:left w:val="single" w:color="auto" w:sz="4" w:space="0"/>
              <w:bottom w:val="single" w:color="auto" w:sz="4" w:space="0"/>
              <w:right w:val="single" w:color="auto" w:sz="4" w:space="0"/>
            </w:tcBorders>
            <w:vAlign w:val="center"/>
          </w:tcPr>
          <w:p w14:paraId="2CA50541">
            <w:pPr>
              <w:jc w:val="center"/>
              <w:rPr>
                <w:rFonts w:ascii="宋体" w:hAnsi="宋体" w:eastAsia="宋体" w:cs="宋体"/>
                <w:sz w:val="21"/>
                <w:szCs w:val="21"/>
                <w:highlight w:val="none"/>
              </w:rPr>
            </w:pPr>
            <w:r>
              <w:rPr>
                <w:rFonts w:hint="eastAsia" w:ascii="宋体" w:hAnsi="宋体" w:eastAsia="宋体" w:cs="宋体"/>
                <w:sz w:val="21"/>
                <w:szCs w:val="21"/>
                <w:highlight w:val="none"/>
              </w:rPr>
              <w:t>磋商响应文件格式</w:t>
            </w:r>
          </w:p>
        </w:tc>
        <w:tc>
          <w:tcPr>
            <w:tcW w:w="4944" w:type="dxa"/>
            <w:tcBorders>
              <w:top w:val="single" w:color="auto" w:sz="4" w:space="0"/>
              <w:left w:val="single" w:color="auto" w:sz="4" w:space="0"/>
              <w:bottom w:val="single" w:color="auto" w:sz="4" w:space="0"/>
              <w:right w:val="single" w:color="auto" w:sz="4" w:space="0"/>
            </w:tcBorders>
            <w:vAlign w:val="center"/>
          </w:tcPr>
          <w:p w14:paraId="1904B0C5">
            <w:pPr>
              <w:bidi w:val="0"/>
              <w:jc w:val="center"/>
              <w:rPr>
                <w:sz w:val="21"/>
                <w:szCs w:val="21"/>
                <w:highlight w:val="none"/>
              </w:rPr>
            </w:pPr>
            <w:r>
              <w:rPr>
                <w:rFonts w:hint="eastAsia"/>
                <w:sz w:val="21"/>
                <w:szCs w:val="21"/>
                <w:highlight w:val="none"/>
              </w:rPr>
              <w:t>符合第五部分“磋商响应文件格式”的要求</w:t>
            </w:r>
          </w:p>
        </w:tc>
      </w:tr>
      <w:tr w14:paraId="6D18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67" w:type="dxa"/>
            <w:gridSpan w:val="2"/>
            <w:vMerge w:val="continue"/>
            <w:tcBorders>
              <w:top w:val="single" w:color="auto" w:sz="4" w:space="0"/>
              <w:left w:val="single" w:color="auto" w:sz="4" w:space="0"/>
              <w:bottom w:val="single" w:color="auto" w:sz="4" w:space="0"/>
              <w:right w:val="single" w:color="auto" w:sz="4" w:space="0"/>
            </w:tcBorders>
            <w:vAlign w:val="center"/>
          </w:tcPr>
          <w:p w14:paraId="1F37E7AD">
            <w:pPr>
              <w:ind w:right="3"/>
              <w:jc w:val="center"/>
              <w:rPr>
                <w:rFonts w:ascii="宋体" w:hAnsi="宋体" w:eastAsia="宋体" w:cs="宋体"/>
                <w:sz w:val="21"/>
                <w:szCs w:val="21"/>
                <w:highlight w:val="none"/>
              </w:rPr>
            </w:pPr>
          </w:p>
        </w:tc>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7788D58E">
            <w:pPr>
              <w:ind w:right="3"/>
              <w:jc w:val="center"/>
              <w:rPr>
                <w:rFonts w:ascii="宋体" w:hAnsi="宋体" w:eastAsia="宋体" w:cs="宋体"/>
                <w:sz w:val="21"/>
                <w:szCs w:val="21"/>
                <w:highlight w:val="none"/>
              </w:rPr>
            </w:pPr>
          </w:p>
        </w:tc>
        <w:tc>
          <w:tcPr>
            <w:tcW w:w="2945" w:type="dxa"/>
            <w:gridSpan w:val="3"/>
            <w:tcBorders>
              <w:top w:val="single" w:color="auto" w:sz="4" w:space="0"/>
              <w:left w:val="single" w:color="auto" w:sz="4" w:space="0"/>
              <w:bottom w:val="single" w:color="auto" w:sz="4" w:space="0"/>
              <w:right w:val="single" w:color="auto" w:sz="4" w:space="0"/>
            </w:tcBorders>
            <w:vAlign w:val="center"/>
          </w:tcPr>
          <w:p w14:paraId="3D584904">
            <w:pPr>
              <w:pStyle w:val="7"/>
              <w:spacing w:line="320" w:lineRule="exact"/>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磋商响应文件编制</w:t>
            </w:r>
          </w:p>
        </w:tc>
        <w:tc>
          <w:tcPr>
            <w:tcW w:w="4944" w:type="dxa"/>
            <w:tcBorders>
              <w:top w:val="single" w:color="auto" w:sz="4" w:space="0"/>
              <w:left w:val="single" w:color="auto" w:sz="4" w:space="0"/>
              <w:bottom w:val="single" w:color="auto" w:sz="4" w:space="0"/>
              <w:right w:val="single" w:color="auto" w:sz="4" w:space="0"/>
            </w:tcBorders>
            <w:vAlign w:val="center"/>
          </w:tcPr>
          <w:p w14:paraId="45952FA2">
            <w:pPr>
              <w:bidi w:val="0"/>
              <w:jc w:val="center"/>
              <w:rPr>
                <w:rFonts w:hint="eastAsia"/>
                <w:sz w:val="21"/>
                <w:szCs w:val="21"/>
                <w:highlight w:val="none"/>
              </w:rPr>
            </w:pPr>
            <w:r>
              <w:rPr>
                <w:rFonts w:hint="eastAsia"/>
                <w:sz w:val="21"/>
                <w:szCs w:val="21"/>
                <w:highlight w:val="none"/>
              </w:rPr>
              <w:t>资格审查部分、商务技术部分和报价部分</w:t>
            </w:r>
          </w:p>
          <w:p w14:paraId="4B24CB61">
            <w:pPr>
              <w:bidi w:val="0"/>
              <w:jc w:val="center"/>
              <w:rPr>
                <w:sz w:val="21"/>
                <w:szCs w:val="21"/>
                <w:highlight w:val="none"/>
              </w:rPr>
            </w:pPr>
            <w:r>
              <w:rPr>
                <w:rFonts w:hint="eastAsia"/>
                <w:sz w:val="21"/>
                <w:szCs w:val="21"/>
                <w:highlight w:val="none"/>
              </w:rPr>
              <w:t>三部分内容分开制作</w:t>
            </w:r>
          </w:p>
        </w:tc>
      </w:tr>
      <w:tr w14:paraId="32CF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867" w:type="dxa"/>
            <w:gridSpan w:val="2"/>
            <w:vMerge w:val="continue"/>
            <w:tcBorders>
              <w:top w:val="single" w:color="auto" w:sz="4" w:space="0"/>
              <w:left w:val="single" w:color="auto" w:sz="4" w:space="0"/>
              <w:bottom w:val="single" w:color="auto" w:sz="4" w:space="0"/>
              <w:right w:val="single" w:color="auto" w:sz="4" w:space="0"/>
            </w:tcBorders>
            <w:vAlign w:val="center"/>
          </w:tcPr>
          <w:p w14:paraId="54DFBB33">
            <w:pPr>
              <w:ind w:right="3"/>
              <w:jc w:val="center"/>
              <w:rPr>
                <w:rFonts w:ascii="宋体" w:hAnsi="宋体" w:eastAsia="宋体" w:cs="宋体"/>
                <w:sz w:val="21"/>
                <w:szCs w:val="21"/>
                <w:highlight w:val="none"/>
              </w:rPr>
            </w:pPr>
          </w:p>
        </w:tc>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3DD2B1AB">
            <w:pPr>
              <w:ind w:right="3"/>
              <w:jc w:val="center"/>
              <w:rPr>
                <w:rFonts w:ascii="宋体" w:hAnsi="宋体" w:eastAsia="宋体" w:cs="宋体"/>
                <w:sz w:val="21"/>
                <w:szCs w:val="21"/>
                <w:highlight w:val="none"/>
              </w:rPr>
            </w:pPr>
          </w:p>
        </w:tc>
        <w:tc>
          <w:tcPr>
            <w:tcW w:w="2945" w:type="dxa"/>
            <w:gridSpan w:val="3"/>
            <w:tcBorders>
              <w:top w:val="single" w:color="auto" w:sz="4" w:space="0"/>
              <w:left w:val="single" w:color="auto" w:sz="4" w:space="0"/>
              <w:bottom w:val="single" w:color="auto" w:sz="4" w:space="0"/>
              <w:right w:val="single" w:color="auto" w:sz="4" w:space="0"/>
            </w:tcBorders>
            <w:vAlign w:val="center"/>
          </w:tcPr>
          <w:p w14:paraId="65E75ED9">
            <w:pPr>
              <w:jc w:val="center"/>
              <w:rPr>
                <w:rFonts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4944" w:type="dxa"/>
            <w:tcBorders>
              <w:top w:val="single" w:color="auto" w:sz="4" w:space="0"/>
              <w:left w:val="single" w:color="auto" w:sz="4" w:space="0"/>
              <w:bottom w:val="single" w:color="auto" w:sz="4" w:space="0"/>
              <w:right w:val="single" w:color="auto" w:sz="4" w:space="0"/>
            </w:tcBorders>
            <w:vAlign w:val="center"/>
          </w:tcPr>
          <w:p w14:paraId="7612F2A8">
            <w:pPr>
              <w:bidi w:val="0"/>
              <w:jc w:val="center"/>
              <w:rPr>
                <w:sz w:val="21"/>
                <w:szCs w:val="21"/>
                <w:highlight w:val="none"/>
              </w:rPr>
            </w:pPr>
            <w:r>
              <w:rPr>
                <w:rFonts w:hint="eastAsia"/>
                <w:sz w:val="21"/>
                <w:szCs w:val="21"/>
                <w:highlight w:val="none"/>
              </w:rPr>
              <w:t>不少于</w:t>
            </w:r>
            <w:r>
              <w:rPr>
                <w:rFonts w:hint="eastAsia"/>
                <w:sz w:val="21"/>
                <w:szCs w:val="21"/>
                <w:highlight w:val="none"/>
                <w:lang w:val="en-US" w:eastAsia="zh-CN"/>
              </w:rPr>
              <w:t>9</w:t>
            </w:r>
            <w:r>
              <w:rPr>
                <w:rFonts w:hint="eastAsia"/>
                <w:sz w:val="21"/>
                <w:szCs w:val="21"/>
                <w:highlight w:val="none"/>
              </w:rPr>
              <w:t>0天</w:t>
            </w:r>
          </w:p>
        </w:tc>
      </w:tr>
      <w:tr w14:paraId="6788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67" w:type="dxa"/>
            <w:gridSpan w:val="2"/>
            <w:vMerge w:val="continue"/>
            <w:tcBorders>
              <w:top w:val="single" w:color="auto" w:sz="4" w:space="0"/>
              <w:left w:val="single" w:color="auto" w:sz="4" w:space="0"/>
              <w:bottom w:val="single" w:color="auto" w:sz="4" w:space="0"/>
              <w:right w:val="single" w:color="auto" w:sz="4" w:space="0"/>
            </w:tcBorders>
            <w:vAlign w:val="center"/>
          </w:tcPr>
          <w:p w14:paraId="1F1A882B">
            <w:pPr>
              <w:ind w:right="3"/>
              <w:jc w:val="center"/>
              <w:rPr>
                <w:rFonts w:ascii="宋体" w:hAnsi="宋体" w:eastAsia="宋体" w:cs="宋体"/>
                <w:sz w:val="21"/>
                <w:szCs w:val="21"/>
                <w:highlight w:val="none"/>
              </w:rPr>
            </w:pPr>
          </w:p>
        </w:tc>
        <w:tc>
          <w:tcPr>
            <w:tcW w:w="1591" w:type="dxa"/>
            <w:gridSpan w:val="2"/>
            <w:vMerge w:val="continue"/>
            <w:tcBorders>
              <w:top w:val="single" w:color="auto" w:sz="4" w:space="0"/>
              <w:left w:val="single" w:color="auto" w:sz="4" w:space="0"/>
              <w:bottom w:val="single" w:color="auto" w:sz="4" w:space="0"/>
              <w:right w:val="single" w:color="auto" w:sz="4" w:space="0"/>
            </w:tcBorders>
            <w:vAlign w:val="center"/>
          </w:tcPr>
          <w:p w14:paraId="46E5F9D1">
            <w:pPr>
              <w:ind w:right="3"/>
              <w:jc w:val="center"/>
              <w:rPr>
                <w:rFonts w:ascii="宋体" w:hAnsi="宋体" w:eastAsia="宋体" w:cs="宋体"/>
                <w:sz w:val="21"/>
                <w:szCs w:val="21"/>
                <w:highlight w:val="none"/>
              </w:rPr>
            </w:pPr>
          </w:p>
        </w:tc>
        <w:tc>
          <w:tcPr>
            <w:tcW w:w="2945" w:type="dxa"/>
            <w:gridSpan w:val="3"/>
            <w:tcBorders>
              <w:top w:val="single" w:color="auto" w:sz="4" w:space="0"/>
              <w:left w:val="single" w:color="auto" w:sz="4" w:space="0"/>
              <w:bottom w:val="single" w:color="auto" w:sz="4" w:space="0"/>
              <w:right w:val="single" w:color="auto" w:sz="4" w:space="0"/>
            </w:tcBorders>
            <w:vAlign w:val="center"/>
          </w:tcPr>
          <w:p w14:paraId="33DD5475">
            <w:pPr>
              <w:pStyle w:val="7"/>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磋商响应文件</w:t>
            </w:r>
          </w:p>
          <w:p w14:paraId="3F892836">
            <w:pPr>
              <w:pStyle w:val="7"/>
              <w:ind w:firstLine="0"/>
              <w:jc w:val="center"/>
              <w:rPr>
                <w:rFonts w:ascii="宋体" w:hAnsi="宋体" w:eastAsia="宋体" w:cs="宋体"/>
                <w:sz w:val="21"/>
                <w:szCs w:val="21"/>
                <w:highlight w:val="none"/>
              </w:rPr>
            </w:pPr>
            <w:r>
              <w:rPr>
                <w:rFonts w:hint="eastAsia" w:ascii="宋体" w:hAnsi="宋体" w:eastAsia="宋体" w:cs="宋体"/>
                <w:sz w:val="21"/>
                <w:szCs w:val="21"/>
                <w:highlight w:val="none"/>
              </w:rPr>
              <w:t>实质性内容</w:t>
            </w:r>
          </w:p>
        </w:tc>
        <w:tc>
          <w:tcPr>
            <w:tcW w:w="4944" w:type="dxa"/>
            <w:tcBorders>
              <w:top w:val="single" w:color="auto" w:sz="4" w:space="0"/>
              <w:left w:val="single" w:color="auto" w:sz="4" w:space="0"/>
              <w:bottom w:val="single" w:color="auto" w:sz="4" w:space="0"/>
              <w:right w:val="single" w:color="auto" w:sz="4" w:space="0"/>
            </w:tcBorders>
            <w:vAlign w:val="center"/>
          </w:tcPr>
          <w:p w14:paraId="47746A1A">
            <w:pPr>
              <w:jc w:val="center"/>
              <w:rPr>
                <w:rFonts w:ascii="宋体" w:hAnsi="宋体" w:eastAsia="宋体" w:cs="宋体"/>
                <w:sz w:val="21"/>
                <w:szCs w:val="21"/>
                <w:highlight w:val="none"/>
              </w:rPr>
            </w:pPr>
            <w:r>
              <w:rPr>
                <w:rFonts w:hint="eastAsia" w:ascii="宋体" w:hAnsi="宋体" w:eastAsia="宋体" w:cs="宋体"/>
                <w:sz w:val="21"/>
                <w:szCs w:val="21"/>
                <w:highlight w:val="none"/>
              </w:rPr>
              <w:t>实质性响应磋商文件要求</w:t>
            </w:r>
          </w:p>
        </w:tc>
      </w:tr>
      <w:tr w14:paraId="4821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7" w:hRule="atLeast"/>
          <w:jc w:val="center"/>
        </w:trPr>
        <w:tc>
          <w:tcPr>
            <w:tcW w:w="867" w:type="dxa"/>
            <w:gridSpan w:val="2"/>
            <w:tcBorders>
              <w:top w:val="single" w:color="auto" w:sz="4" w:space="0"/>
              <w:left w:val="single" w:color="auto" w:sz="4" w:space="0"/>
              <w:bottom w:val="single" w:color="auto" w:sz="4" w:space="0"/>
              <w:right w:val="single" w:color="auto" w:sz="4" w:space="0"/>
            </w:tcBorders>
            <w:vAlign w:val="center"/>
          </w:tcPr>
          <w:p w14:paraId="634FB413">
            <w:pPr>
              <w:spacing w:line="360" w:lineRule="exact"/>
              <w:ind w:right="3"/>
              <w:jc w:val="center"/>
              <w:rPr>
                <w:rFonts w:ascii="宋体" w:hAnsi="宋体" w:eastAsia="宋体" w:cs="宋体"/>
                <w:szCs w:val="21"/>
                <w:highlight w:val="none"/>
              </w:rPr>
            </w:pPr>
            <w:r>
              <w:rPr>
                <w:rFonts w:hint="eastAsia" w:ascii="宋体" w:hAnsi="宋体" w:eastAsia="宋体" w:cs="宋体"/>
                <w:szCs w:val="21"/>
                <w:highlight w:val="none"/>
              </w:rPr>
              <w:t>3</w:t>
            </w: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7FDB11B7">
            <w:pPr>
              <w:spacing w:line="360" w:lineRule="exact"/>
              <w:ind w:right="3"/>
              <w:jc w:val="center"/>
              <w:rPr>
                <w:rFonts w:hint="eastAsia" w:ascii="宋体" w:hAnsi="宋体" w:eastAsia="宋体" w:cs="宋体"/>
                <w:b/>
                <w:szCs w:val="21"/>
                <w:highlight w:val="none"/>
              </w:rPr>
            </w:pPr>
            <w:r>
              <w:rPr>
                <w:rFonts w:hint="eastAsia" w:ascii="宋体" w:hAnsi="宋体" w:eastAsia="宋体" w:cs="宋体"/>
                <w:b/>
                <w:szCs w:val="21"/>
                <w:highlight w:val="none"/>
              </w:rPr>
              <w:t>无效标</w:t>
            </w:r>
          </w:p>
          <w:p w14:paraId="560F6529">
            <w:pPr>
              <w:spacing w:line="360" w:lineRule="exact"/>
              <w:ind w:right="3"/>
              <w:jc w:val="center"/>
              <w:rPr>
                <w:rFonts w:ascii="宋体" w:hAnsi="宋体" w:eastAsia="宋体" w:cs="宋体"/>
                <w:b/>
                <w:szCs w:val="21"/>
                <w:highlight w:val="none"/>
              </w:rPr>
            </w:pPr>
            <w:r>
              <w:rPr>
                <w:rFonts w:hint="eastAsia" w:ascii="宋体" w:hAnsi="宋体" w:eastAsia="宋体" w:cs="宋体"/>
                <w:b/>
                <w:szCs w:val="21"/>
                <w:highlight w:val="none"/>
              </w:rPr>
              <w:t>条款</w:t>
            </w:r>
          </w:p>
        </w:tc>
        <w:tc>
          <w:tcPr>
            <w:tcW w:w="7889" w:type="dxa"/>
            <w:gridSpan w:val="4"/>
            <w:vMerge w:val="restart"/>
            <w:tcBorders>
              <w:top w:val="single" w:color="auto" w:sz="4" w:space="0"/>
              <w:left w:val="single" w:color="auto" w:sz="4" w:space="0"/>
              <w:right w:val="single" w:color="auto" w:sz="4" w:space="0"/>
            </w:tcBorders>
            <w:vAlign w:val="center"/>
          </w:tcPr>
          <w:p w14:paraId="6D315484">
            <w:pPr>
              <w:spacing w:line="360" w:lineRule="auto"/>
              <w:rPr>
                <w:rFonts w:hint="eastAsia"/>
                <w:highlight w:val="none"/>
              </w:rPr>
            </w:pPr>
            <w:r>
              <w:rPr>
                <w:rFonts w:hint="eastAsia"/>
                <w:highlight w:val="none"/>
                <w:lang w:eastAsia="zh-CN"/>
              </w:rPr>
              <w:t>（</w:t>
            </w:r>
            <w:r>
              <w:rPr>
                <w:rFonts w:hint="eastAsia"/>
                <w:highlight w:val="none"/>
              </w:rPr>
              <w:t>1</w:t>
            </w:r>
            <w:r>
              <w:rPr>
                <w:rFonts w:hint="eastAsia"/>
                <w:highlight w:val="none"/>
                <w:lang w:eastAsia="zh-CN"/>
              </w:rPr>
              <w:t>）投标折扣率大于100%的或小于等于0或未填写的</w:t>
            </w:r>
            <w:r>
              <w:rPr>
                <w:rFonts w:hint="eastAsia"/>
                <w:highlight w:val="none"/>
              </w:rPr>
              <w:t>；</w:t>
            </w:r>
          </w:p>
          <w:p w14:paraId="683D8662">
            <w:pPr>
              <w:spacing w:line="360" w:lineRule="auto"/>
              <w:rPr>
                <w:rFonts w:hint="eastAsia"/>
                <w:highlight w:val="none"/>
              </w:rPr>
            </w:pPr>
            <w:r>
              <w:rPr>
                <w:rFonts w:hint="eastAsia"/>
                <w:highlight w:val="none"/>
                <w:lang w:eastAsia="zh-CN"/>
              </w:rPr>
              <w:t>（</w:t>
            </w:r>
            <w:r>
              <w:rPr>
                <w:rFonts w:hint="eastAsia"/>
                <w:highlight w:val="none"/>
              </w:rPr>
              <w:t>2</w:t>
            </w:r>
            <w:r>
              <w:rPr>
                <w:rFonts w:hint="eastAsia"/>
                <w:highlight w:val="none"/>
                <w:lang w:eastAsia="zh-CN"/>
              </w:rPr>
              <w:t>）</w:t>
            </w:r>
            <w:r>
              <w:rPr>
                <w:rFonts w:hint="eastAsia"/>
                <w:highlight w:val="none"/>
              </w:rPr>
              <w:t>未在报价时限内提交最后报价的；</w:t>
            </w:r>
          </w:p>
          <w:p w14:paraId="78C68243">
            <w:pPr>
              <w:spacing w:line="360" w:lineRule="auto"/>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磋商小组认为响应文件未实质性响应磋商文件的要求的；</w:t>
            </w:r>
          </w:p>
          <w:p w14:paraId="6CFA3E8A">
            <w:pPr>
              <w:spacing w:line="360" w:lineRule="auto"/>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响应文件中载明的工期超过磋商文件中规定的工期；</w:t>
            </w:r>
          </w:p>
          <w:p w14:paraId="602AB945">
            <w:pPr>
              <w:spacing w:line="360" w:lineRule="auto"/>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在报价评审中，发现价格计算有误，又不接受磋商小组修正的报价；</w:t>
            </w:r>
          </w:p>
          <w:p w14:paraId="583EAF5A">
            <w:pPr>
              <w:spacing w:line="360" w:lineRule="auto"/>
              <w:rPr>
                <w:rFonts w:hint="eastAsia"/>
                <w:highlight w:val="none"/>
              </w:rPr>
            </w:pPr>
            <w:r>
              <w:rPr>
                <w:rFonts w:hint="eastAsia"/>
                <w:highlight w:val="none"/>
                <w:lang w:eastAsia="zh-CN"/>
              </w:rPr>
              <w:t>（</w:t>
            </w:r>
            <w:r>
              <w:rPr>
                <w:rFonts w:hint="eastAsia"/>
                <w:highlight w:val="none"/>
              </w:rPr>
              <w:t>6</w:t>
            </w:r>
            <w:r>
              <w:rPr>
                <w:rFonts w:hint="eastAsia"/>
                <w:highlight w:val="none"/>
                <w:lang w:eastAsia="zh-CN"/>
              </w:rPr>
              <w:t>）</w:t>
            </w:r>
            <w:r>
              <w:rPr>
                <w:rFonts w:hint="eastAsia"/>
                <w:highlight w:val="none"/>
              </w:rPr>
              <w:t>不具备磋商文件中规定资格要求的；</w:t>
            </w:r>
          </w:p>
          <w:p w14:paraId="3DDC0F88">
            <w:pPr>
              <w:spacing w:line="360" w:lineRule="auto"/>
              <w:ind w:left="210" w:hanging="210" w:hangingChars="100"/>
              <w:rPr>
                <w:rFonts w:hint="eastAsia"/>
                <w:highlight w:val="none"/>
              </w:rPr>
            </w:pPr>
            <w:r>
              <w:rPr>
                <w:rFonts w:hint="eastAsia"/>
                <w:highlight w:val="none"/>
                <w:lang w:eastAsia="zh-CN"/>
              </w:rPr>
              <w:t>（</w:t>
            </w:r>
            <w:r>
              <w:rPr>
                <w:rFonts w:hint="eastAsia"/>
                <w:highlight w:val="none"/>
              </w:rPr>
              <w:t>7</w:t>
            </w:r>
            <w:r>
              <w:rPr>
                <w:rFonts w:hint="eastAsia"/>
                <w:highlight w:val="none"/>
                <w:lang w:eastAsia="zh-CN"/>
              </w:rPr>
              <w:t>）</w:t>
            </w:r>
            <w:r>
              <w:rPr>
                <w:rFonts w:hint="eastAsia"/>
                <w:highlight w:val="none"/>
              </w:rPr>
              <w:t>未按规定提供关于满足《中华人民共和国政府采购法》第二十二条规定的承诺函的；</w:t>
            </w:r>
          </w:p>
          <w:p w14:paraId="157F91B7">
            <w:pPr>
              <w:spacing w:line="360" w:lineRule="auto"/>
              <w:ind w:left="210" w:hanging="210" w:hangingChars="100"/>
              <w:rPr>
                <w:rFonts w:hint="eastAsia"/>
                <w:highlight w:val="none"/>
              </w:rPr>
            </w:pPr>
            <w:r>
              <w:rPr>
                <w:rFonts w:hint="eastAsia"/>
                <w:highlight w:val="none"/>
                <w:lang w:eastAsia="zh-CN"/>
              </w:rPr>
              <w:t>（</w:t>
            </w:r>
            <w:r>
              <w:rPr>
                <w:rFonts w:hint="eastAsia"/>
                <w:highlight w:val="none"/>
              </w:rPr>
              <w:t>8</w:t>
            </w:r>
            <w:r>
              <w:rPr>
                <w:rFonts w:hint="eastAsia"/>
                <w:highlight w:val="none"/>
                <w:lang w:eastAsia="zh-CN"/>
              </w:rPr>
              <w:t>）</w:t>
            </w:r>
            <w:r>
              <w:rPr>
                <w:rFonts w:hint="eastAsia"/>
                <w:highlight w:val="none"/>
              </w:rPr>
              <w:t>投标截止时间止，供应商仅递交了“备份响应文件”而未将电子加密投标文件上传至“政府采购云平台”的；</w:t>
            </w:r>
          </w:p>
          <w:p w14:paraId="6CC3AB57">
            <w:pPr>
              <w:spacing w:line="360" w:lineRule="auto"/>
              <w:rPr>
                <w:rFonts w:hint="eastAsia"/>
                <w:highlight w:val="none"/>
              </w:rPr>
            </w:pPr>
            <w:r>
              <w:rPr>
                <w:rFonts w:hint="eastAsia"/>
                <w:highlight w:val="none"/>
                <w:lang w:eastAsia="zh-CN"/>
              </w:rPr>
              <w:t>（</w:t>
            </w:r>
            <w:r>
              <w:rPr>
                <w:rFonts w:hint="eastAsia"/>
                <w:highlight w:val="none"/>
              </w:rPr>
              <w:t>9</w:t>
            </w:r>
            <w:r>
              <w:rPr>
                <w:rFonts w:hint="eastAsia"/>
                <w:highlight w:val="none"/>
                <w:lang w:eastAsia="zh-CN"/>
              </w:rPr>
              <w:t>）</w:t>
            </w:r>
            <w:r>
              <w:rPr>
                <w:rFonts w:hint="eastAsia"/>
                <w:highlight w:val="none"/>
              </w:rPr>
              <w:t>电子响应文件解密失败的，且未在规定时间内提交备份响应文件的；</w:t>
            </w:r>
          </w:p>
          <w:p w14:paraId="158AC27F">
            <w:pPr>
              <w:spacing w:line="360" w:lineRule="auto"/>
              <w:rPr>
                <w:rFonts w:hint="eastAsia"/>
                <w:highlight w:val="none"/>
              </w:rPr>
            </w:pPr>
            <w:r>
              <w:rPr>
                <w:rFonts w:hint="eastAsia"/>
                <w:highlight w:val="none"/>
                <w:lang w:eastAsia="zh-CN"/>
              </w:rPr>
              <w:t>（</w:t>
            </w:r>
            <w:r>
              <w:rPr>
                <w:rFonts w:hint="eastAsia"/>
                <w:highlight w:val="none"/>
              </w:rPr>
              <w:t>10</w:t>
            </w:r>
            <w:r>
              <w:rPr>
                <w:rFonts w:hint="eastAsia"/>
                <w:highlight w:val="none"/>
                <w:lang w:eastAsia="zh-CN"/>
              </w:rPr>
              <w:t>）</w:t>
            </w:r>
            <w:r>
              <w:rPr>
                <w:rFonts w:hint="eastAsia"/>
                <w:highlight w:val="none"/>
              </w:rPr>
              <w:t>未提供中小型企业声明函或磋商供应商不属于中小型企业的；</w:t>
            </w:r>
          </w:p>
          <w:p w14:paraId="6BF91C02">
            <w:pPr>
              <w:spacing w:line="360" w:lineRule="auto"/>
              <w:rPr>
                <w:rFonts w:hint="eastAsia"/>
                <w:highlight w:val="none"/>
              </w:rPr>
            </w:pPr>
            <w:r>
              <w:rPr>
                <w:rFonts w:hint="eastAsia"/>
                <w:highlight w:val="none"/>
                <w:lang w:eastAsia="zh-CN"/>
              </w:rPr>
              <w:t>（</w:t>
            </w:r>
            <w:r>
              <w:rPr>
                <w:rFonts w:hint="eastAsia"/>
                <w:highlight w:val="none"/>
              </w:rPr>
              <w:t>11</w:t>
            </w:r>
            <w:r>
              <w:rPr>
                <w:rFonts w:hint="eastAsia"/>
                <w:highlight w:val="none"/>
                <w:lang w:eastAsia="zh-CN"/>
              </w:rPr>
              <w:t>）</w:t>
            </w:r>
            <w:r>
              <w:rPr>
                <w:rFonts w:hint="eastAsia"/>
                <w:highlight w:val="none"/>
              </w:rPr>
              <w:t>资格性审查、符合性审查不符合要求的；</w:t>
            </w:r>
          </w:p>
          <w:p w14:paraId="673F093C">
            <w:pPr>
              <w:spacing w:line="360" w:lineRule="auto"/>
              <w:rPr>
                <w:rFonts w:hint="eastAsia"/>
                <w:highlight w:val="none"/>
              </w:rPr>
            </w:pPr>
            <w:r>
              <w:rPr>
                <w:rFonts w:hint="eastAsia"/>
                <w:highlight w:val="none"/>
                <w:lang w:eastAsia="zh-CN"/>
              </w:rPr>
              <w:t>（</w:t>
            </w:r>
            <w:r>
              <w:rPr>
                <w:rFonts w:hint="eastAsia"/>
                <w:highlight w:val="none"/>
              </w:rPr>
              <w:t>12</w:t>
            </w:r>
            <w:r>
              <w:rPr>
                <w:rFonts w:hint="eastAsia"/>
                <w:highlight w:val="none"/>
                <w:lang w:eastAsia="zh-CN"/>
              </w:rPr>
              <w:t>）</w:t>
            </w:r>
            <w:r>
              <w:rPr>
                <w:rFonts w:hint="eastAsia"/>
                <w:highlight w:val="none"/>
              </w:rPr>
              <w:t>存在串标、抬标或弄虚作假情况的；</w:t>
            </w:r>
          </w:p>
          <w:p w14:paraId="42628FFB">
            <w:pPr>
              <w:spacing w:line="360" w:lineRule="auto"/>
              <w:ind w:left="210" w:hanging="210" w:hangingChars="100"/>
              <w:rPr>
                <w:rFonts w:hint="eastAsia"/>
                <w:highlight w:val="none"/>
              </w:rPr>
            </w:pPr>
            <w:r>
              <w:rPr>
                <w:rFonts w:hint="eastAsia"/>
                <w:highlight w:val="none"/>
                <w:lang w:eastAsia="zh-CN"/>
              </w:rPr>
              <w:t>（</w:t>
            </w:r>
            <w:r>
              <w:rPr>
                <w:rFonts w:hint="eastAsia"/>
                <w:highlight w:val="none"/>
              </w:rPr>
              <w:t>13</w:t>
            </w:r>
            <w:r>
              <w:rPr>
                <w:rFonts w:hint="eastAsia"/>
                <w:highlight w:val="none"/>
                <w:lang w:eastAsia="zh-CN"/>
              </w:rPr>
              <w:t>）</w:t>
            </w:r>
            <w:r>
              <w:rPr>
                <w:rFonts w:hint="eastAsia"/>
                <w:highlight w:val="none"/>
              </w:rPr>
              <w:t xml:space="preserve">磋商响应文件中需签字或盖章的地方未加盖磋商供应商单位全称的电子签章，或使用投标专用章、合同章等类似图章代替，或未经法定代表人或其委托代理人签字或盖章； </w:t>
            </w:r>
          </w:p>
          <w:p w14:paraId="612F1AF4">
            <w:pPr>
              <w:spacing w:line="360" w:lineRule="auto"/>
              <w:rPr>
                <w:rFonts w:hint="eastAsia"/>
                <w:highlight w:val="none"/>
              </w:rPr>
            </w:pPr>
            <w:r>
              <w:rPr>
                <w:rFonts w:hint="eastAsia"/>
                <w:highlight w:val="none"/>
                <w:lang w:eastAsia="zh-CN"/>
              </w:rPr>
              <w:t>（</w:t>
            </w:r>
            <w:r>
              <w:rPr>
                <w:rFonts w:hint="eastAsia"/>
                <w:highlight w:val="none"/>
              </w:rPr>
              <w:t>14</w:t>
            </w:r>
            <w:r>
              <w:rPr>
                <w:rFonts w:hint="eastAsia"/>
                <w:highlight w:val="none"/>
                <w:lang w:eastAsia="zh-CN"/>
              </w:rPr>
              <w:t>）</w:t>
            </w:r>
            <w:r>
              <w:rPr>
                <w:rFonts w:hint="eastAsia"/>
                <w:highlight w:val="none"/>
              </w:rPr>
              <w:t>磋商响应文件存在一个或一个以上备选（替代）投标方案的；</w:t>
            </w:r>
          </w:p>
          <w:p w14:paraId="5FB0DAFE">
            <w:pPr>
              <w:spacing w:line="360" w:lineRule="auto"/>
              <w:ind w:left="210" w:hanging="210" w:hangingChars="100"/>
              <w:rPr>
                <w:rFonts w:hint="eastAsia"/>
                <w:highlight w:val="none"/>
              </w:rPr>
            </w:pPr>
            <w:r>
              <w:rPr>
                <w:rFonts w:hint="eastAsia"/>
                <w:highlight w:val="none"/>
                <w:lang w:eastAsia="zh-CN"/>
              </w:rPr>
              <w:t>（</w:t>
            </w:r>
            <w:r>
              <w:rPr>
                <w:rFonts w:hint="eastAsia"/>
                <w:highlight w:val="none"/>
              </w:rPr>
              <w:t>15</w:t>
            </w:r>
            <w:r>
              <w:rPr>
                <w:rFonts w:hint="eastAsia"/>
                <w:highlight w:val="none"/>
                <w:lang w:eastAsia="zh-CN"/>
              </w:rPr>
              <w:t>）</w:t>
            </w:r>
            <w:r>
              <w:rPr>
                <w:rFonts w:hint="eastAsia"/>
                <w:highlight w:val="none"/>
              </w:rPr>
              <w:t>在磋商结束前，磋商供应商发生重大变化或变更，未及时告知采购人或不再具备磋商文件规定的资格条件或者其投标影响招标公正性的；</w:t>
            </w:r>
          </w:p>
          <w:p w14:paraId="64749A91">
            <w:pPr>
              <w:spacing w:line="360" w:lineRule="auto"/>
              <w:ind w:left="210" w:hanging="210" w:hangingChars="100"/>
              <w:rPr>
                <w:rFonts w:hint="eastAsia"/>
                <w:highlight w:val="none"/>
              </w:rPr>
            </w:pPr>
            <w:r>
              <w:rPr>
                <w:rFonts w:hint="eastAsia"/>
                <w:highlight w:val="none"/>
                <w:lang w:eastAsia="zh-CN"/>
              </w:rPr>
              <w:t>（</w:t>
            </w:r>
            <w:r>
              <w:rPr>
                <w:rFonts w:hint="eastAsia"/>
                <w:highlight w:val="none"/>
              </w:rPr>
              <w:t>16</w:t>
            </w:r>
            <w:r>
              <w:rPr>
                <w:rFonts w:hint="eastAsia"/>
                <w:highlight w:val="none"/>
                <w:lang w:eastAsia="zh-CN"/>
              </w:rPr>
              <w:t>）</w:t>
            </w:r>
            <w:r>
              <w:rPr>
                <w:rFonts w:hint="eastAsia"/>
                <w:highlight w:val="none"/>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0B887593">
            <w:pPr>
              <w:spacing w:line="360" w:lineRule="auto"/>
              <w:ind w:left="210" w:hanging="210" w:hangingChars="100"/>
              <w:rPr>
                <w:rFonts w:hint="eastAsia"/>
                <w:highlight w:val="none"/>
              </w:rPr>
            </w:pPr>
            <w:r>
              <w:rPr>
                <w:rFonts w:hint="eastAsia"/>
                <w:highlight w:val="none"/>
                <w:lang w:eastAsia="zh-CN"/>
              </w:rPr>
              <w:t>（</w:t>
            </w:r>
            <w:r>
              <w:rPr>
                <w:rFonts w:hint="eastAsia"/>
                <w:highlight w:val="none"/>
              </w:rPr>
              <w:t>17</w:t>
            </w:r>
            <w:r>
              <w:rPr>
                <w:rFonts w:hint="eastAsia"/>
                <w:highlight w:val="none"/>
                <w:lang w:eastAsia="zh-CN"/>
              </w:rPr>
              <w:t>）</w:t>
            </w:r>
            <w:r>
              <w:rPr>
                <w:rFonts w:hint="eastAsia"/>
                <w:highlight w:val="none"/>
              </w:rPr>
              <w:t>不是法定代表人未在磋商响应文件中提供有效法定代表人授权委托书的；</w:t>
            </w:r>
          </w:p>
          <w:p w14:paraId="27B2DA44">
            <w:pPr>
              <w:spacing w:line="360" w:lineRule="auto"/>
              <w:ind w:left="210" w:hanging="210" w:hangingChars="100"/>
              <w:rPr>
                <w:rFonts w:hint="eastAsia"/>
                <w:highlight w:val="none"/>
              </w:rPr>
            </w:pPr>
            <w:r>
              <w:rPr>
                <w:rFonts w:hint="eastAsia"/>
                <w:highlight w:val="none"/>
                <w:lang w:eastAsia="zh-CN"/>
              </w:rPr>
              <w:t>（</w:t>
            </w:r>
            <w:r>
              <w:rPr>
                <w:rFonts w:hint="eastAsia"/>
                <w:highlight w:val="none"/>
              </w:rPr>
              <w:t>18</w:t>
            </w:r>
            <w:r>
              <w:rPr>
                <w:rFonts w:hint="eastAsia"/>
                <w:highlight w:val="none"/>
                <w:lang w:eastAsia="zh-CN"/>
              </w:rPr>
              <w:t>）</w:t>
            </w:r>
            <w:r>
              <w:rPr>
                <w:rFonts w:hint="eastAsia"/>
                <w:highlight w:val="none"/>
              </w:rPr>
              <w:t>被列入失信被执行人、重大税收违法案件当事人名单、政府采购严重违法失信行为记录名单的；</w:t>
            </w:r>
          </w:p>
          <w:p w14:paraId="6D496796">
            <w:pPr>
              <w:spacing w:line="360" w:lineRule="auto"/>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9</w:t>
            </w:r>
            <w:r>
              <w:rPr>
                <w:rFonts w:hint="eastAsia"/>
                <w:highlight w:val="none"/>
                <w:lang w:eastAsia="zh-CN"/>
              </w:rPr>
              <w:t>）</w:t>
            </w:r>
            <w:r>
              <w:rPr>
                <w:rFonts w:hint="eastAsia"/>
                <w:highlight w:val="none"/>
              </w:rPr>
              <w:t>不符合法律、法规和磋商文件中规定的其他实质性要求的。</w:t>
            </w:r>
          </w:p>
          <w:p w14:paraId="3EEBF881">
            <w:pPr>
              <w:spacing w:line="360" w:lineRule="auto"/>
              <w:rPr>
                <w:rFonts w:hint="eastAsia"/>
                <w:highlight w:val="none"/>
              </w:rPr>
            </w:pPr>
            <w:r>
              <w:rPr>
                <w:rFonts w:hint="eastAsia"/>
                <w:highlight w:val="none"/>
                <w:lang w:eastAsia="zh-CN"/>
              </w:rPr>
              <w:t>（</w:t>
            </w:r>
            <w:r>
              <w:rPr>
                <w:rFonts w:hint="eastAsia"/>
                <w:highlight w:val="none"/>
              </w:rPr>
              <w:t>20</w:t>
            </w:r>
            <w:r>
              <w:rPr>
                <w:rFonts w:hint="eastAsia"/>
                <w:highlight w:val="none"/>
                <w:lang w:eastAsia="zh-CN"/>
              </w:rPr>
              <w:t>）</w:t>
            </w:r>
            <w:r>
              <w:rPr>
                <w:rFonts w:hint="eastAsia"/>
                <w:highlight w:val="none"/>
              </w:rPr>
              <w:t>不同供应商的电子投标（响应）文件上传计算机的网卡MAC地址或硬盘序列号等硬件信息相同的。</w:t>
            </w:r>
          </w:p>
          <w:p w14:paraId="5C2414C7">
            <w:pPr>
              <w:spacing w:line="360" w:lineRule="auto"/>
              <w:rPr>
                <w:rFonts w:hint="eastAsia"/>
                <w:highlight w:val="none"/>
              </w:rPr>
            </w:pPr>
            <w:r>
              <w:rPr>
                <w:rFonts w:hint="eastAsia"/>
                <w:highlight w:val="none"/>
                <w:lang w:eastAsia="zh-CN"/>
              </w:rPr>
              <w:t>（</w:t>
            </w:r>
            <w:r>
              <w:rPr>
                <w:rFonts w:hint="eastAsia"/>
                <w:highlight w:val="none"/>
              </w:rPr>
              <w:t>21</w:t>
            </w:r>
            <w:r>
              <w:rPr>
                <w:rFonts w:hint="eastAsia"/>
                <w:highlight w:val="none"/>
                <w:lang w:eastAsia="zh-CN"/>
              </w:rPr>
              <w:t>）</w:t>
            </w:r>
            <w:r>
              <w:rPr>
                <w:rFonts w:hint="eastAsia"/>
                <w:highlight w:val="none"/>
              </w:rPr>
              <w:t>上传的电子投标（响应）文件若出现使用本项目其他投标（响应）供应商的数字证书加密的，或者加盖本项目其他投标（响应）供应商的电子印章的。</w:t>
            </w:r>
          </w:p>
          <w:p w14:paraId="4608081E">
            <w:pPr>
              <w:spacing w:line="360" w:lineRule="auto"/>
              <w:rPr>
                <w:rFonts w:hint="eastAsia"/>
                <w:highlight w:val="none"/>
              </w:rPr>
            </w:pPr>
            <w:r>
              <w:rPr>
                <w:rFonts w:hint="eastAsia"/>
                <w:highlight w:val="none"/>
                <w:lang w:eastAsia="zh-CN"/>
              </w:rPr>
              <w:t>（</w:t>
            </w:r>
            <w:r>
              <w:rPr>
                <w:rFonts w:hint="eastAsia"/>
                <w:highlight w:val="none"/>
              </w:rPr>
              <w:t>22</w:t>
            </w:r>
            <w:r>
              <w:rPr>
                <w:rFonts w:hint="eastAsia"/>
                <w:highlight w:val="none"/>
                <w:lang w:eastAsia="zh-CN"/>
              </w:rPr>
              <w:t>）</w:t>
            </w:r>
            <w:r>
              <w:rPr>
                <w:rFonts w:hint="eastAsia"/>
                <w:highlight w:val="none"/>
              </w:rPr>
              <w:t>不同供应商的投标（响应）文件的内容存在三处（含）以上错误一致的。</w:t>
            </w:r>
          </w:p>
          <w:p w14:paraId="779A7186">
            <w:pPr>
              <w:spacing w:line="360" w:lineRule="auto"/>
              <w:rPr>
                <w:highlight w:val="none"/>
              </w:rPr>
            </w:pPr>
            <w:r>
              <w:rPr>
                <w:rFonts w:hint="eastAsia"/>
                <w:highlight w:val="none"/>
                <w:lang w:eastAsia="zh-CN"/>
              </w:rPr>
              <w:t>（</w:t>
            </w:r>
            <w:r>
              <w:rPr>
                <w:rFonts w:hint="eastAsia"/>
                <w:highlight w:val="none"/>
              </w:rPr>
              <w:t>2</w:t>
            </w:r>
            <w:r>
              <w:rPr>
                <w:rFonts w:hint="eastAsia"/>
                <w:highlight w:val="none"/>
                <w:lang w:val="en-US" w:eastAsia="zh-CN"/>
              </w:rPr>
              <w:t>3</w:t>
            </w:r>
            <w:r>
              <w:rPr>
                <w:rFonts w:hint="eastAsia"/>
                <w:highlight w:val="none"/>
                <w:lang w:eastAsia="zh-CN"/>
              </w:rPr>
              <w:t>）</w:t>
            </w:r>
            <w:r>
              <w:rPr>
                <w:rFonts w:hint="eastAsia"/>
                <w:highlight w:val="none"/>
              </w:rPr>
              <w:t>不同供应商联系人为同一人或不同联系人的联系电话一致的。</w:t>
            </w:r>
          </w:p>
        </w:tc>
      </w:tr>
      <w:tr w14:paraId="2269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67" w:type="dxa"/>
            <w:gridSpan w:val="2"/>
            <w:tcBorders>
              <w:top w:val="single" w:color="auto" w:sz="4" w:space="0"/>
              <w:left w:val="single" w:color="auto" w:sz="4" w:space="0"/>
              <w:bottom w:val="single" w:color="auto" w:sz="4" w:space="0"/>
              <w:right w:val="single" w:color="auto" w:sz="4" w:space="0"/>
            </w:tcBorders>
            <w:vAlign w:val="center"/>
          </w:tcPr>
          <w:p w14:paraId="1D8B2FD3">
            <w:pPr>
              <w:spacing w:line="360" w:lineRule="exact"/>
              <w:ind w:right="3"/>
              <w:jc w:val="center"/>
              <w:rPr>
                <w:rFonts w:hint="eastAsia" w:ascii="宋体" w:hAnsi="宋体" w:eastAsia="宋体" w:cs="宋体"/>
                <w:szCs w:val="21"/>
                <w:highlight w:val="none"/>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14:paraId="4A354599">
            <w:pPr>
              <w:spacing w:line="360" w:lineRule="exact"/>
              <w:ind w:right="3"/>
              <w:jc w:val="center"/>
              <w:rPr>
                <w:rFonts w:hint="eastAsia" w:ascii="宋体" w:hAnsi="宋体" w:eastAsia="宋体" w:cs="宋体"/>
                <w:b/>
                <w:szCs w:val="21"/>
                <w:highlight w:val="none"/>
              </w:rPr>
            </w:pPr>
          </w:p>
        </w:tc>
        <w:tc>
          <w:tcPr>
            <w:tcW w:w="7889" w:type="dxa"/>
            <w:gridSpan w:val="4"/>
            <w:vMerge w:val="continue"/>
            <w:tcBorders>
              <w:left w:val="single" w:color="auto" w:sz="4" w:space="0"/>
              <w:bottom w:val="single" w:color="auto" w:sz="4" w:space="0"/>
              <w:right w:val="single" w:color="auto" w:sz="4" w:space="0"/>
            </w:tcBorders>
            <w:vAlign w:val="center"/>
          </w:tcPr>
          <w:p w14:paraId="361F92EC">
            <w:pPr>
              <w:spacing w:line="360" w:lineRule="auto"/>
              <w:rPr>
                <w:rFonts w:hint="eastAsia"/>
                <w:highlight w:val="none"/>
              </w:rPr>
            </w:pPr>
          </w:p>
        </w:tc>
      </w:tr>
      <w:tr w14:paraId="1938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gridSpan w:val="2"/>
            <w:tcBorders>
              <w:top w:val="single" w:color="auto" w:sz="4" w:space="0"/>
            </w:tcBorders>
            <w:vAlign w:val="center"/>
          </w:tcPr>
          <w:p w14:paraId="4065BE65">
            <w:pPr>
              <w:spacing w:line="360" w:lineRule="exact"/>
              <w:jc w:val="center"/>
              <w:rPr>
                <w:rFonts w:ascii="宋体" w:hAnsi="宋体" w:eastAsia="宋体" w:cs="宋体"/>
                <w:b/>
                <w:kern w:val="28"/>
                <w:sz w:val="21"/>
                <w:szCs w:val="21"/>
                <w:highlight w:val="none"/>
              </w:rPr>
            </w:pPr>
            <w:r>
              <w:rPr>
                <w:rFonts w:hint="eastAsia" w:ascii="宋体" w:hAnsi="宋体" w:eastAsia="宋体" w:cs="宋体"/>
                <w:b/>
                <w:kern w:val="28"/>
                <w:sz w:val="21"/>
                <w:szCs w:val="21"/>
                <w:highlight w:val="none"/>
              </w:rPr>
              <w:t>序号</w:t>
            </w:r>
          </w:p>
        </w:tc>
        <w:tc>
          <w:tcPr>
            <w:tcW w:w="1591" w:type="dxa"/>
            <w:gridSpan w:val="2"/>
            <w:tcBorders>
              <w:top w:val="single" w:color="auto" w:sz="4" w:space="0"/>
            </w:tcBorders>
            <w:vAlign w:val="center"/>
          </w:tcPr>
          <w:p w14:paraId="3A0D0539">
            <w:pPr>
              <w:spacing w:line="360" w:lineRule="exact"/>
              <w:jc w:val="center"/>
              <w:rPr>
                <w:rFonts w:ascii="宋体" w:hAnsi="宋体" w:eastAsia="宋体" w:cs="宋体"/>
                <w:b/>
                <w:kern w:val="28"/>
                <w:sz w:val="21"/>
                <w:szCs w:val="21"/>
                <w:highlight w:val="none"/>
              </w:rPr>
            </w:pPr>
            <w:r>
              <w:rPr>
                <w:rFonts w:hint="eastAsia" w:ascii="宋体" w:hAnsi="宋体" w:eastAsia="宋体" w:cs="宋体"/>
                <w:b/>
                <w:kern w:val="28"/>
                <w:sz w:val="21"/>
                <w:szCs w:val="21"/>
                <w:highlight w:val="none"/>
              </w:rPr>
              <w:t>评审内容及分值</w:t>
            </w:r>
          </w:p>
        </w:tc>
        <w:tc>
          <w:tcPr>
            <w:tcW w:w="7889" w:type="dxa"/>
            <w:gridSpan w:val="4"/>
            <w:tcBorders>
              <w:top w:val="single" w:color="auto" w:sz="4" w:space="0"/>
            </w:tcBorders>
            <w:vAlign w:val="center"/>
          </w:tcPr>
          <w:p w14:paraId="6F5C5418">
            <w:pPr>
              <w:spacing w:line="360" w:lineRule="exact"/>
              <w:jc w:val="center"/>
              <w:rPr>
                <w:rFonts w:hint="default" w:ascii="宋体" w:hAnsi="宋体" w:eastAsia="宋体" w:cs="宋体"/>
                <w:b/>
                <w:kern w:val="28"/>
                <w:sz w:val="21"/>
                <w:szCs w:val="21"/>
                <w:highlight w:val="none"/>
                <w:lang w:val="en-US" w:eastAsia="zh-CN"/>
              </w:rPr>
            </w:pPr>
            <w:r>
              <w:rPr>
                <w:rFonts w:hint="eastAsia" w:ascii="宋体" w:hAnsi="宋体" w:eastAsia="宋体" w:cs="宋体"/>
                <w:b/>
                <w:kern w:val="28"/>
                <w:sz w:val="21"/>
                <w:szCs w:val="21"/>
                <w:highlight w:val="none"/>
                <w:lang w:val="en-US" w:eastAsia="zh-CN"/>
              </w:rPr>
              <w:t>合计10分</w:t>
            </w:r>
          </w:p>
        </w:tc>
      </w:tr>
      <w:tr w14:paraId="5CCB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867" w:type="dxa"/>
            <w:gridSpan w:val="2"/>
            <w:vAlign w:val="center"/>
          </w:tcPr>
          <w:p w14:paraId="0743643A">
            <w:pPr>
              <w:spacing w:line="400" w:lineRule="exact"/>
              <w:jc w:val="center"/>
              <w:rPr>
                <w:rFonts w:ascii="宋体" w:hAnsi="宋体" w:eastAsia="宋体" w:cs="宋体"/>
                <w:bCs/>
                <w:kern w:val="28"/>
                <w:sz w:val="21"/>
                <w:szCs w:val="21"/>
                <w:highlight w:val="none"/>
              </w:rPr>
            </w:pPr>
            <w:r>
              <w:rPr>
                <w:rFonts w:hint="eastAsia" w:ascii="宋体" w:hAnsi="宋体" w:eastAsia="宋体" w:cs="宋体"/>
                <w:bCs/>
                <w:kern w:val="28"/>
                <w:sz w:val="21"/>
                <w:szCs w:val="21"/>
                <w:highlight w:val="none"/>
              </w:rPr>
              <w:t>4</w:t>
            </w:r>
          </w:p>
        </w:tc>
        <w:tc>
          <w:tcPr>
            <w:tcW w:w="1591" w:type="dxa"/>
            <w:gridSpan w:val="2"/>
            <w:vAlign w:val="center"/>
          </w:tcPr>
          <w:p w14:paraId="0A3D2311">
            <w:pPr>
              <w:spacing w:line="370" w:lineRule="exact"/>
              <w:jc w:val="center"/>
              <w:rPr>
                <w:rFonts w:ascii="宋体" w:hAnsi="宋体" w:eastAsia="宋体" w:cs="宋体"/>
                <w:bCs/>
                <w:kern w:val="28"/>
                <w:sz w:val="21"/>
                <w:szCs w:val="21"/>
                <w:highlight w:val="none"/>
              </w:rPr>
            </w:pPr>
            <w:r>
              <w:rPr>
                <w:rFonts w:hint="eastAsia" w:ascii="宋体" w:hAnsi="宋体" w:eastAsia="宋体" w:cs="宋体"/>
                <w:b/>
                <w:kern w:val="28"/>
                <w:sz w:val="21"/>
                <w:szCs w:val="21"/>
                <w:highlight w:val="none"/>
              </w:rPr>
              <w:t>报价分</w:t>
            </w:r>
          </w:p>
        </w:tc>
        <w:tc>
          <w:tcPr>
            <w:tcW w:w="7889" w:type="dxa"/>
            <w:gridSpan w:val="4"/>
            <w:vAlign w:val="center"/>
          </w:tcPr>
          <w:p w14:paraId="06436C99">
            <w:p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资格及符合性审查通过并且技术商务标合格的投标单位参加报价评分。</w:t>
            </w:r>
          </w:p>
          <w:p w14:paraId="0F6E97FF">
            <w:p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投标供应商</w:t>
            </w:r>
            <w:r>
              <w:rPr>
                <w:rFonts w:hint="eastAsia" w:ascii="宋体" w:hAnsi="宋体" w:cs="Arial"/>
                <w:sz w:val="21"/>
                <w:szCs w:val="21"/>
                <w:highlight w:val="none"/>
                <w:lang w:val="en-US" w:eastAsia="zh-CN"/>
              </w:rPr>
              <w:t>投标折扣率折算成评标价</w:t>
            </w:r>
            <w:r>
              <w:rPr>
                <w:rFonts w:hint="eastAsia" w:ascii="宋体" w:hAnsi="宋体" w:cs="Arial"/>
                <w:sz w:val="21"/>
                <w:szCs w:val="21"/>
                <w:highlight w:val="none"/>
              </w:rPr>
              <w:t>与评标基准价对比，计算出报价评分值：</w:t>
            </w:r>
          </w:p>
          <w:p w14:paraId="362C109A">
            <w:pPr>
              <w:numPr>
                <w:ilvl w:val="0"/>
                <w:numId w:val="24"/>
              </w:num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评标价=</w:t>
            </w:r>
            <w:r>
              <w:rPr>
                <w:rFonts w:hint="eastAsia" w:ascii="宋体" w:hAnsi="宋体" w:cs="Arial"/>
                <w:sz w:val="21"/>
                <w:szCs w:val="21"/>
                <w:highlight w:val="none"/>
                <w:lang w:val="en-US" w:eastAsia="zh-CN"/>
              </w:rPr>
              <w:t>投标折扣率</w:t>
            </w:r>
          </w:p>
          <w:p w14:paraId="7BC27D20">
            <w:pPr>
              <w:numPr>
                <w:ilvl w:val="0"/>
                <w:numId w:val="24"/>
              </w:numPr>
              <w:spacing w:line="360" w:lineRule="auto"/>
              <w:jc w:val="both"/>
              <w:rPr>
                <w:rFonts w:hint="eastAsia" w:ascii="宋体" w:hAnsi="宋体" w:cs="Arial"/>
                <w:sz w:val="21"/>
                <w:szCs w:val="21"/>
                <w:highlight w:val="none"/>
              </w:rPr>
            </w:pPr>
            <w:r>
              <w:rPr>
                <w:rFonts w:hint="eastAsia" w:ascii="宋体" w:hAnsi="宋体" w:cs="Arial"/>
                <w:sz w:val="21"/>
                <w:szCs w:val="21"/>
                <w:highlight w:val="none"/>
              </w:rPr>
              <w:t>全部有效投标供应商中的最低</w:t>
            </w:r>
            <w:r>
              <w:rPr>
                <w:rFonts w:hint="eastAsia" w:ascii="宋体" w:hAnsi="宋体" w:cs="Arial"/>
                <w:sz w:val="21"/>
                <w:szCs w:val="21"/>
                <w:highlight w:val="none"/>
                <w:lang w:val="en-US" w:eastAsia="zh-CN"/>
              </w:rPr>
              <w:t>折扣率</w:t>
            </w:r>
            <w:r>
              <w:rPr>
                <w:rFonts w:hint="eastAsia" w:ascii="宋体" w:hAnsi="宋体" w:cs="Arial"/>
                <w:sz w:val="21"/>
                <w:szCs w:val="21"/>
                <w:highlight w:val="none"/>
              </w:rPr>
              <w:t>作为评标基准价。</w:t>
            </w:r>
          </w:p>
          <w:p w14:paraId="538E76E3">
            <w:pPr>
              <w:numPr>
                <w:ilvl w:val="0"/>
                <w:numId w:val="24"/>
              </w:numPr>
              <w:spacing w:line="360" w:lineRule="auto"/>
              <w:ind w:left="0" w:leftChars="0" w:firstLine="0" w:firstLineChars="0"/>
              <w:jc w:val="both"/>
              <w:rPr>
                <w:rFonts w:hint="eastAsia" w:ascii="宋体" w:hAnsi="宋体" w:cs="Arial"/>
                <w:sz w:val="21"/>
                <w:szCs w:val="21"/>
                <w:highlight w:val="none"/>
              </w:rPr>
            </w:pPr>
            <w:r>
              <w:rPr>
                <w:rFonts w:hint="eastAsia" w:ascii="宋体" w:hAnsi="宋体" w:cs="Arial"/>
                <w:sz w:val="21"/>
                <w:szCs w:val="21"/>
                <w:highlight w:val="none"/>
              </w:rPr>
              <w:t>各投标供应商评标价与评标基准价对比，计算各投标供应商的报价得分：投标供应商的报价得分=（评标基准价/评标价）×</w:t>
            </w:r>
            <w:r>
              <w:rPr>
                <w:rFonts w:hint="eastAsia" w:ascii="宋体" w:hAnsi="宋体" w:cs="Arial"/>
                <w:sz w:val="21"/>
                <w:szCs w:val="21"/>
                <w:highlight w:val="none"/>
                <w:lang w:val="en-US" w:eastAsia="zh-CN"/>
              </w:rPr>
              <w:t>10</w:t>
            </w:r>
            <w:r>
              <w:rPr>
                <w:rFonts w:hint="eastAsia" w:ascii="宋体" w:hAnsi="宋体" w:cs="Arial"/>
                <w:sz w:val="21"/>
                <w:szCs w:val="21"/>
                <w:highlight w:val="none"/>
              </w:rPr>
              <w:t>分；</w:t>
            </w:r>
          </w:p>
          <w:p w14:paraId="5566EC7B">
            <w:pPr>
              <w:spacing w:line="360" w:lineRule="auto"/>
              <w:jc w:val="both"/>
              <w:rPr>
                <w:rFonts w:ascii="宋体" w:hAnsi="宋体" w:eastAsia="宋体" w:cs="宋体"/>
                <w:bCs/>
                <w:kern w:val="28"/>
                <w:sz w:val="21"/>
                <w:szCs w:val="21"/>
                <w:highlight w:val="none"/>
              </w:rPr>
            </w:pPr>
            <w:r>
              <w:rPr>
                <w:rFonts w:hint="eastAsia" w:ascii="宋体" w:hAnsi="宋体" w:cs="Arial"/>
                <w:sz w:val="21"/>
                <w:szCs w:val="21"/>
                <w:highlight w:val="none"/>
                <w:lang w:val="en-US" w:eastAsia="zh-CN"/>
              </w:rPr>
              <w:t>4）</w:t>
            </w:r>
            <w:r>
              <w:rPr>
                <w:rFonts w:hint="eastAsia" w:ascii="宋体" w:hAnsi="宋体" w:cs="Arial"/>
                <w:sz w:val="21"/>
                <w:szCs w:val="21"/>
                <w:highlight w:val="none"/>
              </w:rPr>
              <w:t>商务报价得分计算保留小数2位，第三位四舍五入。</w:t>
            </w:r>
          </w:p>
        </w:tc>
      </w:tr>
      <w:tr w14:paraId="6E07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7" w:type="dxa"/>
            <w:gridSpan w:val="8"/>
            <w:vAlign w:val="center"/>
          </w:tcPr>
          <w:p w14:paraId="24B23098">
            <w:pPr>
              <w:spacing w:line="360" w:lineRule="auto"/>
              <w:rPr>
                <w:rFonts w:ascii="宋体" w:hAnsi="宋体" w:eastAsia="宋体" w:cs="宋体"/>
                <w:bCs/>
                <w:kern w:val="28"/>
                <w:sz w:val="21"/>
                <w:szCs w:val="21"/>
                <w:highlight w:val="none"/>
              </w:rPr>
            </w:pPr>
            <w:r>
              <w:rPr>
                <w:rFonts w:hint="eastAsia" w:ascii="宋体" w:hAnsi="宋体" w:eastAsia="宋体" w:cs="宋体"/>
                <w:bCs/>
                <w:kern w:val="28"/>
                <w:sz w:val="21"/>
                <w:szCs w:val="21"/>
                <w:highlight w:val="none"/>
              </w:rPr>
              <w:t>初审时发现价格计算有误，将按下述原则修正：</w:t>
            </w:r>
          </w:p>
          <w:p w14:paraId="02DD4A34">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（1）报价文件上传的价格和报价一览表里填写的金额不一致时，以磋商供应商上传的报价文件为准，对磋商供应商的报价进行修正。</w:t>
            </w:r>
          </w:p>
          <w:p w14:paraId="38EFE2DA">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（2）大写金额和小写金额不一致的，以大写金额为准；</w:t>
            </w:r>
          </w:p>
          <w:p w14:paraId="12658A76">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（3）单价金额小数点或者百分比有明显错位的，以最终报价一览表的总价为准，并修正单价；</w:t>
            </w:r>
          </w:p>
          <w:p w14:paraId="4B7C3E2E">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（4）总价金额与按单价汇总金额不一致的，以单价金额计算结果为准。</w:t>
            </w:r>
          </w:p>
          <w:p w14:paraId="7585290F">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（5）如以文字表示的数据与数字表示的有差别，以文字为准修正数字。</w:t>
            </w:r>
          </w:p>
          <w:p w14:paraId="5C35BED4">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（6）开评标供应商在报价文件上传的价格和报价一览表里填写的金额不一致时，以供应商上传的报价文件为准，对磋商供应商的报价进行修正。</w:t>
            </w:r>
          </w:p>
          <w:p w14:paraId="4E42E855">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u w:val="wave"/>
              </w:rPr>
              <w:t>（7）▲如磋商供应商缺漏项价格比例达到投标报价的5%（含）以上时，属于重大偏离，磋商小组将对其投标按无效标处理。</w:t>
            </w:r>
          </w:p>
          <w:p w14:paraId="364DA1AD">
            <w:pPr>
              <w:widowControl/>
              <w:snapToGrid w:val="0"/>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 xml:space="preserve">（8）如磋商供应商的磋商响应文件前后矛盾，磋商小组会将作出不利于磋商供应商的修正。 </w:t>
            </w:r>
          </w:p>
          <w:p w14:paraId="58E3E014">
            <w:pPr>
              <w:spacing w:line="360" w:lineRule="auto"/>
              <w:rPr>
                <w:rFonts w:ascii="宋体" w:hAnsi="宋体" w:eastAsia="宋体" w:cs="宋体"/>
                <w:bCs/>
                <w:kern w:val="28"/>
                <w:sz w:val="21"/>
                <w:szCs w:val="21"/>
                <w:highlight w:val="none"/>
              </w:rPr>
            </w:pPr>
            <w:r>
              <w:rPr>
                <w:rFonts w:hint="eastAsia" w:ascii="宋体" w:hAnsi="宋体" w:eastAsia="宋体" w:cs="宋体"/>
                <w:bCs/>
                <w:kern w:val="28"/>
                <w:sz w:val="21"/>
                <w:szCs w:val="21"/>
                <w:highlight w:val="none"/>
              </w:rPr>
              <w:t>注：（1）~（6）同时出现两种以上不一致的，按照前款规定的顺序修正。修正后的报价按照相关法律规定经磋商供应商确认后产生约束力，磋商供应商在规定时间内不确认的，其磋商响应文件作无效处理。</w:t>
            </w:r>
          </w:p>
        </w:tc>
      </w:tr>
      <w:tr w14:paraId="6FB4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7" w:type="dxa"/>
            <w:gridSpan w:val="2"/>
            <w:vMerge w:val="restart"/>
            <w:tcBorders>
              <w:top w:val="single" w:color="auto" w:sz="4" w:space="0"/>
              <w:left w:val="single" w:color="auto" w:sz="4" w:space="0"/>
              <w:right w:val="single" w:color="auto" w:sz="4" w:space="0"/>
            </w:tcBorders>
            <w:shd w:val="clear" w:color="auto" w:fill="auto"/>
            <w:vAlign w:val="center"/>
          </w:tcPr>
          <w:p w14:paraId="110E6F35">
            <w:pPr>
              <w:spacing w:line="360" w:lineRule="exact"/>
              <w:ind w:right="3"/>
              <w:jc w:val="center"/>
              <w:rPr>
                <w:rFonts w:ascii="宋体" w:hAnsi="宋体" w:eastAsia="宋体" w:cs="宋体"/>
                <w:b/>
                <w:sz w:val="21"/>
                <w:szCs w:val="21"/>
                <w:highlight w:val="none"/>
              </w:rPr>
            </w:pPr>
            <w:r>
              <w:rPr>
                <w:rFonts w:hint="eastAsia" w:ascii="宋体" w:hAnsi="宋体" w:eastAsia="宋体" w:cs="宋体"/>
                <w:b/>
                <w:sz w:val="21"/>
                <w:szCs w:val="21"/>
                <w:highlight w:val="none"/>
              </w:rPr>
              <w:t>5</w:t>
            </w:r>
          </w:p>
        </w:tc>
        <w:tc>
          <w:tcPr>
            <w:tcW w:w="15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0E9E6">
            <w:pPr>
              <w:spacing w:line="360" w:lineRule="exact"/>
              <w:ind w:right="3"/>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商务技术</w:t>
            </w:r>
          </w:p>
          <w:p w14:paraId="1B4F1996">
            <w:pPr>
              <w:spacing w:line="360" w:lineRule="exact"/>
              <w:ind w:right="3"/>
              <w:jc w:val="center"/>
              <w:rPr>
                <w:rFonts w:ascii="宋体" w:hAnsi="宋体" w:eastAsia="宋体" w:cs="宋体"/>
                <w:b/>
                <w:sz w:val="21"/>
                <w:szCs w:val="21"/>
                <w:highlight w:val="none"/>
              </w:rPr>
            </w:pPr>
            <w:r>
              <w:rPr>
                <w:rFonts w:hint="eastAsia" w:ascii="宋体" w:hAnsi="宋体" w:eastAsia="宋体" w:cs="宋体"/>
                <w:b/>
                <w:sz w:val="21"/>
                <w:szCs w:val="21"/>
                <w:highlight w:val="none"/>
              </w:rPr>
              <w:t>评分</w:t>
            </w:r>
          </w:p>
        </w:tc>
        <w:tc>
          <w:tcPr>
            <w:tcW w:w="78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91095B">
            <w:pPr>
              <w:tabs>
                <w:tab w:val="left" w:pos="993"/>
                <w:tab w:val="left" w:pos="1276"/>
              </w:tabs>
              <w:spacing w:line="360" w:lineRule="exact"/>
              <w:jc w:val="center"/>
              <w:rPr>
                <w:rFonts w:ascii="宋体" w:hAnsi="宋体" w:eastAsia="宋体" w:cs="宋体"/>
                <w:b/>
                <w:sz w:val="21"/>
                <w:szCs w:val="21"/>
                <w:highlight w:val="none"/>
              </w:rPr>
            </w:pPr>
            <w:r>
              <w:rPr>
                <w:rFonts w:hint="eastAsia" w:ascii="宋体" w:hAnsi="宋体" w:eastAsia="宋体" w:cs="宋体"/>
                <w:b/>
                <w:sz w:val="21"/>
                <w:szCs w:val="21"/>
                <w:highlight w:val="none"/>
              </w:rPr>
              <w:t>合计</w:t>
            </w:r>
            <w:r>
              <w:rPr>
                <w:rFonts w:hint="eastAsia" w:ascii="宋体" w:hAnsi="宋体" w:eastAsia="宋体" w:cs="宋体"/>
                <w:b/>
                <w:sz w:val="21"/>
                <w:szCs w:val="21"/>
                <w:highlight w:val="none"/>
                <w:lang w:val="en-US" w:eastAsia="zh-CN"/>
              </w:rPr>
              <w:t>9</w:t>
            </w:r>
            <w:r>
              <w:rPr>
                <w:rFonts w:hint="eastAsia" w:ascii="宋体" w:hAnsi="宋体" w:eastAsia="宋体" w:cs="宋体"/>
                <w:b/>
                <w:sz w:val="21"/>
                <w:szCs w:val="21"/>
                <w:highlight w:val="none"/>
              </w:rPr>
              <w:t>0分</w:t>
            </w:r>
          </w:p>
        </w:tc>
      </w:tr>
      <w:tr w14:paraId="600E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7" w:type="dxa"/>
            <w:gridSpan w:val="2"/>
            <w:vMerge w:val="continue"/>
            <w:tcBorders>
              <w:left w:val="single" w:color="auto" w:sz="4" w:space="0"/>
              <w:right w:val="single" w:color="auto" w:sz="4" w:space="0"/>
            </w:tcBorders>
            <w:shd w:val="clear" w:color="auto" w:fill="auto"/>
            <w:vAlign w:val="center"/>
          </w:tcPr>
          <w:p w14:paraId="08CFF86E">
            <w:pPr>
              <w:spacing w:line="360" w:lineRule="exact"/>
              <w:ind w:left="-50"/>
              <w:jc w:val="center"/>
              <w:rPr>
                <w:rFonts w:ascii="宋体" w:hAnsi="宋体" w:eastAsia="宋体" w:cs="宋体"/>
                <w:sz w:val="21"/>
                <w:szCs w:val="21"/>
                <w:highlight w:val="none"/>
              </w:rPr>
            </w:pPr>
          </w:p>
        </w:tc>
        <w:tc>
          <w:tcPr>
            <w:tcW w:w="1591" w:type="dxa"/>
            <w:gridSpan w:val="2"/>
            <w:shd w:val="clear" w:color="auto" w:fill="auto"/>
            <w:vAlign w:val="center"/>
          </w:tcPr>
          <w:p w14:paraId="76E7D446">
            <w:pPr>
              <w:spacing w:line="360" w:lineRule="exact"/>
              <w:ind w:left="-5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评分内容</w:t>
            </w:r>
          </w:p>
        </w:tc>
        <w:tc>
          <w:tcPr>
            <w:tcW w:w="1152" w:type="dxa"/>
            <w:gridSpan w:val="2"/>
            <w:shd w:val="clear" w:color="auto" w:fill="auto"/>
            <w:vAlign w:val="center"/>
          </w:tcPr>
          <w:p w14:paraId="64C97E8C">
            <w:pPr>
              <w:spacing w:line="360" w:lineRule="exact"/>
              <w:ind w:left="-5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分数值</w:t>
            </w:r>
          </w:p>
        </w:tc>
        <w:tc>
          <w:tcPr>
            <w:tcW w:w="6737" w:type="dxa"/>
            <w:gridSpan w:val="2"/>
            <w:shd w:val="clear" w:color="auto" w:fill="auto"/>
            <w:vAlign w:val="center"/>
          </w:tcPr>
          <w:p w14:paraId="577A7F01">
            <w:pPr>
              <w:spacing w:line="360" w:lineRule="exact"/>
              <w:ind w:left="-5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评定原则</w:t>
            </w:r>
          </w:p>
        </w:tc>
      </w:tr>
      <w:tr w14:paraId="28E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67" w:type="dxa"/>
            <w:gridSpan w:val="2"/>
            <w:shd w:val="clear" w:color="auto" w:fill="auto"/>
            <w:vAlign w:val="center"/>
          </w:tcPr>
          <w:p w14:paraId="5518F9FD">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1591" w:type="dxa"/>
            <w:gridSpan w:val="2"/>
            <w:shd w:val="clear" w:color="auto" w:fill="auto"/>
            <w:vAlign w:val="center"/>
          </w:tcPr>
          <w:p w14:paraId="70BAAFDB">
            <w:pPr>
              <w:spacing w:line="360" w:lineRule="auto"/>
              <w:jc w:val="center"/>
              <w:rPr>
                <w:rFonts w:hint="eastAsia" w:ascii="宋体" w:hAnsi="宋体" w:eastAsia="宋体" w:cs="宋体"/>
                <w:b w:val="0"/>
                <w:bCs w:val="0"/>
                <w:sz w:val="21"/>
                <w:szCs w:val="21"/>
                <w:highlight w:val="none"/>
              </w:rPr>
            </w:pPr>
            <w:r>
              <w:rPr>
                <w:rFonts w:hint="eastAsia" w:ascii="新宋体" w:hAnsi="新宋体" w:eastAsia="新宋体" w:cs="Arial Black"/>
                <w:b w:val="0"/>
                <w:bCs w:val="0"/>
                <w:szCs w:val="21"/>
                <w:highlight w:val="none"/>
              </w:rPr>
              <w:t>磋商供应商业绩</w:t>
            </w:r>
          </w:p>
        </w:tc>
        <w:tc>
          <w:tcPr>
            <w:tcW w:w="1152" w:type="dxa"/>
            <w:gridSpan w:val="2"/>
            <w:shd w:val="clear" w:color="auto" w:fill="auto"/>
            <w:vAlign w:val="center"/>
          </w:tcPr>
          <w:p w14:paraId="411CEBD0">
            <w:pPr>
              <w:spacing w:line="36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0-1分</w:t>
            </w:r>
          </w:p>
        </w:tc>
        <w:tc>
          <w:tcPr>
            <w:tcW w:w="6737" w:type="dxa"/>
            <w:gridSpan w:val="2"/>
            <w:shd w:val="clear" w:color="auto" w:fill="auto"/>
            <w:vAlign w:val="center"/>
          </w:tcPr>
          <w:p w14:paraId="7F04D9ED">
            <w:pPr>
              <w:spacing w:line="360" w:lineRule="auto"/>
              <w:jc w:val="left"/>
              <w:rPr>
                <w:rFonts w:hint="eastAsia" w:ascii="新宋体" w:hAnsi="新宋体" w:eastAsia="新宋体" w:cs="Arial Black"/>
                <w:kern w:val="2"/>
                <w:szCs w:val="21"/>
                <w:highlight w:val="none"/>
              </w:rPr>
            </w:pPr>
            <w:r>
              <w:rPr>
                <w:rFonts w:hint="eastAsia" w:ascii="新宋体" w:hAnsi="新宋体" w:eastAsia="新宋体" w:cs="Arial Black"/>
                <w:szCs w:val="21"/>
                <w:highlight w:val="none"/>
              </w:rPr>
              <w:t>磋商供应商自</w:t>
            </w:r>
            <w:r>
              <w:rPr>
                <w:rFonts w:hint="eastAsia" w:ascii="新宋体" w:hAnsi="新宋体" w:eastAsia="新宋体" w:cs="Arial Black"/>
                <w:kern w:val="2"/>
                <w:szCs w:val="21"/>
                <w:highlight w:val="none"/>
              </w:rPr>
              <w:t>20</w:t>
            </w:r>
            <w:r>
              <w:rPr>
                <w:rFonts w:hint="eastAsia" w:ascii="新宋体" w:hAnsi="新宋体" w:eastAsia="新宋体" w:cs="Arial Black"/>
                <w:kern w:val="2"/>
                <w:szCs w:val="21"/>
                <w:highlight w:val="none"/>
                <w:lang w:val="en-US" w:eastAsia="zh-CN"/>
              </w:rPr>
              <w:t>22</w:t>
            </w:r>
            <w:r>
              <w:rPr>
                <w:rFonts w:hint="eastAsia" w:ascii="新宋体" w:hAnsi="新宋体" w:eastAsia="新宋体" w:cs="Arial Black"/>
                <w:szCs w:val="21"/>
                <w:highlight w:val="none"/>
              </w:rPr>
              <w:t>年</w:t>
            </w:r>
            <w:r>
              <w:rPr>
                <w:rFonts w:hint="eastAsia" w:ascii="新宋体" w:hAnsi="新宋体" w:eastAsia="新宋体" w:cs="Arial Black"/>
                <w:kern w:val="2"/>
                <w:szCs w:val="21"/>
                <w:highlight w:val="none"/>
              </w:rPr>
              <w:t>1</w:t>
            </w:r>
            <w:r>
              <w:rPr>
                <w:rFonts w:hint="eastAsia" w:ascii="新宋体" w:hAnsi="新宋体" w:eastAsia="新宋体" w:cs="Arial Black"/>
                <w:szCs w:val="21"/>
                <w:highlight w:val="none"/>
              </w:rPr>
              <w:t>月1日以来类似项目业绩</w:t>
            </w:r>
            <w:r>
              <w:rPr>
                <w:rFonts w:hint="eastAsia" w:ascii="新宋体" w:hAnsi="新宋体" w:eastAsia="新宋体" w:cs="Arial Black"/>
                <w:szCs w:val="21"/>
                <w:highlight w:val="none"/>
                <w:lang w:eastAsia="zh-CN"/>
              </w:rPr>
              <w:t>（</w:t>
            </w:r>
            <w:r>
              <w:rPr>
                <w:rFonts w:hint="eastAsia" w:ascii="新宋体" w:hAnsi="新宋体" w:eastAsia="新宋体" w:cs="Arial Black"/>
                <w:szCs w:val="21"/>
                <w:highlight w:val="none"/>
                <w:lang w:val="en-US" w:eastAsia="zh-CN"/>
              </w:rPr>
              <w:t>白蚁防治</w:t>
            </w:r>
            <w:r>
              <w:rPr>
                <w:rFonts w:hint="eastAsia" w:ascii="新宋体" w:hAnsi="新宋体" w:eastAsia="新宋体" w:cs="Arial Black"/>
                <w:szCs w:val="21"/>
                <w:highlight w:val="none"/>
                <w:lang w:eastAsia="zh-CN"/>
              </w:rPr>
              <w:t>）</w:t>
            </w:r>
            <w:r>
              <w:rPr>
                <w:rFonts w:hint="eastAsia" w:ascii="新宋体" w:hAnsi="新宋体" w:eastAsia="新宋体" w:cs="Arial Black"/>
                <w:szCs w:val="21"/>
                <w:highlight w:val="none"/>
                <w:lang w:val="en-US" w:eastAsia="zh-CN"/>
              </w:rPr>
              <w:t>的</w:t>
            </w:r>
            <w:r>
              <w:rPr>
                <w:rFonts w:hint="eastAsia" w:ascii="新宋体" w:hAnsi="新宋体" w:eastAsia="新宋体" w:cs="Arial Black"/>
                <w:szCs w:val="21"/>
                <w:highlight w:val="none"/>
              </w:rPr>
              <w:t>证明材料，</w:t>
            </w:r>
            <w:r>
              <w:rPr>
                <w:rFonts w:hint="eastAsia" w:ascii="新宋体" w:hAnsi="新宋体" w:eastAsia="新宋体" w:cs="Arial Black"/>
                <w:kern w:val="2"/>
                <w:szCs w:val="21"/>
                <w:highlight w:val="none"/>
              </w:rPr>
              <w:t>提供一个得</w:t>
            </w:r>
            <w:r>
              <w:rPr>
                <w:rFonts w:hint="eastAsia" w:ascii="新宋体" w:hAnsi="新宋体" w:eastAsia="新宋体" w:cs="Arial Black"/>
                <w:kern w:val="2"/>
                <w:szCs w:val="21"/>
                <w:highlight w:val="none"/>
                <w:lang w:val="en-US" w:eastAsia="zh-CN"/>
              </w:rPr>
              <w:t>0.5</w:t>
            </w:r>
            <w:r>
              <w:rPr>
                <w:rFonts w:hint="eastAsia" w:ascii="新宋体" w:hAnsi="新宋体" w:eastAsia="新宋体" w:cs="Arial Black"/>
                <w:kern w:val="2"/>
                <w:szCs w:val="21"/>
                <w:highlight w:val="none"/>
              </w:rPr>
              <w:t>分，最高得分</w:t>
            </w:r>
            <w:r>
              <w:rPr>
                <w:rFonts w:hint="eastAsia" w:ascii="新宋体" w:hAnsi="新宋体" w:eastAsia="新宋体" w:cs="Arial Black"/>
                <w:kern w:val="2"/>
                <w:szCs w:val="21"/>
                <w:highlight w:val="none"/>
                <w:lang w:val="en-US" w:eastAsia="zh-CN"/>
              </w:rPr>
              <w:t>1</w:t>
            </w:r>
            <w:r>
              <w:rPr>
                <w:rFonts w:hint="eastAsia" w:ascii="新宋体" w:hAnsi="新宋体" w:eastAsia="新宋体" w:cs="Arial Black"/>
                <w:kern w:val="2"/>
                <w:szCs w:val="21"/>
                <w:highlight w:val="none"/>
              </w:rPr>
              <w:t>分。</w:t>
            </w:r>
          </w:p>
          <w:p w14:paraId="6322CDE1">
            <w:pPr>
              <w:spacing w:line="360" w:lineRule="auto"/>
              <w:ind w:left="-50"/>
              <w:jc w:val="left"/>
              <w:rPr>
                <w:rFonts w:hint="eastAsia" w:ascii="宋体" w:hAnsi="宋体" w:eastAsia="宋体" w:cs="宋体"/>
                <w:b/>
                <w:bCs/>
                <w:sz w:val="21"/>
                <w:szCs w:val="21"/>
                <w:highlight w:val="none"/>
              </w:rPr>
            </w:pPr>
            <w:r>
              <w:rPr>
                <w:rFonts w:hint="eastAsia" w:ascii="新宋体" w:hAnsi="新宋体" w:eastAsia="新宋体" w:cs="Arial Black"/>
                <w:b/>
                <w:bCs/>
                <w:kern w:val="2"/>
                <w:szCs w:val="21"/>
                <w:highlight w:val="none"/>
              </w:rPr>
              <w:t>（</w:t>
            </w:r>
            <w:r>
              <w:rPr>
                <w:rFonts w:hint="eastAsia" w:ascii="新宋体" w:hAnsi="新宋体" w:eastAsia="新宋体" w:cs="Arial Black"/>
                <w:b/>
                <w:bCs/>
                <w:szCs w:val="21"/>
                <w:highlight w:val="none"/>
              </w:rPr>
              <w:t>业绩有效性认定：提供中标通知书和合同扫描件加盖公章，或者提供合同和任一期发票扫描件加盖公章，业绩认定时间以合同签订时间为准。</w:t>
            </w:r>
            <w:r>
              <w:rPr>
                <w:rFonts w:hint="eastAsia" w:ascii="新宋体" w:hAnsi="新宋体" w:eastAsia="新宋体" w:cs="Arial Black"/>
                <w:b/>
                <w:bCs/>
                <w:kern w:val="2"/>
                <w:szCs w:val="21"/>
                <w:highlight w:val="none"/>
              </w:rPr>
              <w:t>）</w:t>
            </w:r>
          </w:p>
        </w:tc>
      </w:tr>
      <w:tr w14:paraId="32C8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66" w:type="dxa"/>
            <w:shd w:val="clear" w:color="auto" w:fill="auto"/>
            <w:vAlign w:val="center"/>
          </w:tcPr>
          <w:p w14:paraId="4C6E5919">
            <w:pPr>
              <w:spacing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w:t>
            </w:r>
          </w:p>
        </w:tc>
        <w:tc>
          <w:tcPr>
            <w:tcW w:w="1590" w:type="dxa"/>
            <w:gridSpan w:val="2"/>
            <w:shd w:val="clear" w:color="auto" w:fill="auto"/>
            <w:vAlign w:val="center"/>
          </w:tcPr>
          <w:p w14:paraId="3477847C">
            <w:pPr>
              <w:spacing w:line="360" w:lineRule="exact"/>
              <w:jc w:val="center"/>
              <w:rPr>
                <w:rFonts w:hint="eastAsia" w:ascii="新宋体" w:hAnsi="新宋体" w:eastAsia="新宋体" w:cs="Arial Black"/>
                <w:b w:val="0"/>
                <w:bCs w:val="0"/>
                <w:szCs w:val="21"/>
                <w:highlight w:val="none"/>
              </w:rPr>
            </w:pPr>
            <w:r>
              <w:rPr>
                <w:rFonts w:hint="eastAsia" w:ascii="新宋体" w:hAnsi="新宋体" w:eastAsia="新宋体" w:cs="Arial Black"/>
                <w:b w:val="0"/>
                <w:bCs w:val="0"/>
                <w:szCs w:val="21"/>
                <w:highlight w:val="none"/>
              </w:rPr>
              <w:t>投标供应商综合实力</w:t>
            </w:r>
          </w:p>
        </w:tc>
        <w:tc>
          <w:tcPr>
            <w:tcW w:w="1151" w:type="dxa"/>
            <w:gridSpan w:val="2"/>
            <w:shd w:val="clear" w:color="auto" w:fill="auto"/>
            <w:vAlign w:val="center"/>
          </w:tcPr>
          <w:p w14:paraId="206FEB60">
            <w:pPr>
              <w:spacing w:line="360" w:lineRule="exact"/>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0-3分</w:t>
            </w:r>
          </w:p>
        </w:tc>
        <w:tc>
          <w:tcPr>
            <w:tcW w:w="6740" w:type="dxa"/>
            <w:gridSpan w:val="3"/>
            <w:shd w:val="clear" w:color="auto" w:fill="auto"/>
            <w:vAlign w:val="center"/>
          </w:tcPr>
          <w:p w14:paraId="6AE18AB9">
            <w:pPr>
              <w:spacing w:line="360" w:lineRule="auto"/>
              <w:ind w:left="-50"/>
              <w:jc w:val="left"/>
              <w:rPr>
                <w:rFonts w:hint="eastAsia" w:ascii="新宋体" w:hAnsi="新宋体" w:eastAsia="新宋体" w:cs="Arial Black"/>
                <w:b w:val="0"/>
                <w:bCs w:val="0"/>
                <w:kern w:val="2"/>
                <w:szCs w:val="21"/>
                <w:highlight w:val="none"/>
              </w:rPr>
            </w:pPr>
            <w:r>
              <w:rPr>
                <w:rFonts w:hint="eastAsia" w:ascii="新宋体" w:hAnsi="新宋体" w:eastAsia="新宋体" w:cs="Arial Black"/>
                <w:b w:val="0"/>
                <w:bCs w:val="0"/>
                <w:kern w:val="2"/>
                <w:szCs w:val="21"/>
                <w:highlight w:val="none"/>
                <w:lang w:val="en-US" w:eastAsia="zh-CN"/>
              </w:rPr>
              <w:t xml:space="preserve">① </w:t>
            </w:r>
            <w:r>
              <w:rPr>
                <w:rFonts w:hint="eastAsia" w:ascii="新宋体" w:hAnsi="新宋体" w:eastAsia="新宋体" w:cs="Arial Black"/>
                <w:b w:val="0"/>
                <w:bCs w:val="0"/>
                <w:kern w:val="2"/>
                <w:szCs w:val="21"/>
                <w:highlight w:val="none"/>
              </w:rPr>
              <w:t>投标人具有有效期内的质量管理体系认证证书，且证书的认证范围包含“白蚁防治相关内容的”，得1分。</w:t>
            </w:r>
          </w:p>
          <w:p w14:paraId="3A40A714">
            <w:pPr>
              <w:spacing w:line="360" w:lineRule="auto"/>
              <w:ind w:left="-50"/>
              <w:jc w:val="left"/>
              <w:rPr>
                <w:rFonts w:hint="eastAsia" w:ascii="新宋体" w:hAnsi="新宋体" w:eastAsia="新宋体" w:cs="Arial Black"/>
                <w:b w:val="0"/>
                <w:bCs w:val="0"/>
                <w:kern w:val="2"/>
                <w:szCs w:val="21"/>
                <w:highlight w:val="none"/>
              </w:rPr>
            </w:pPr>
            <w:r>
              <w:rPr>
                <w:rFonts w:hint="eastAsia" w:ascii="新宋体" w:hAnsi="新宋体" w:eastAsia="新宋体" w:cs="Arial Black"/>
                <w:b w:val="0"/>
                <w:bCs w:val="0"/>
                <w:kern w:val="2"/>
                <w:szCs w:val="21"/>
                <w:highlight w:val="none"/>
                <w:lang w:val="en-US" w:eastAsia="zh-CN"/>
              </w:rPr>
              <w:t xml:space="preserve">② </w:t>
            </w:r>
            <w:r>
              <w:rPr>
                <w:rFonts w:hint="eastAsia" w:ascii="新宋体" w:hAnsi="新宋体" w:eastAsia="新宋体" w:cs="Arial Black"/>
                <w:b w:val="0"/>
                <w:bCs w:val="0"/>
                <w:kern w:val="2"/>
                <w:szCs w:val="21"/>
                <w:highlight w:val="none"/>
              </w:rPr>
              <w:t>投标人具有有效期内的环境管理体系认证证书，且证书的认证范围包含“白蚁防治相关内容的”，得1分。</w:t>
            </w:r>
          </w:p>
          <w:p w14:paraId="503652D7">
            <w:pPr>
              <w:spacing w:line="360" w:lineRule="auto"/>
              <w:ind w:left="-50"/>
              <w:jc w:val="left"/>
              <w:rPr>
                <w:rFonts w:hint="eastAsia" w:ascii="新宋体" w:hAnsi="新宋体" w:eastAsia="新宋体" w:cs="Arial Black"/>
                <w:b w:val="0"/>
                <w:bCs w:val="0"/>
                <w:kern w:val="2"/>
                <w:szCs w:val="21"/>
                <w:highlight w:val="none"/>
              </w:rPr>
            </w:pPr>
            <w:r>
              <w:rPr>
                <w:rFonts w:hint="eastAsia" w:ascii="新宋体" w:hAnsi="新宋体" w:eastAsia="新宋体" w:cs="Arial Black"/>
                <w:b w:val="0"/>
                <w:bCs w:val="0"/>
                <w:kern w:val="2"/>
                <w:szCs w:val="21"/>
                <w:highlight w:val="none"/>
                <w:lang w:val="en-US" w:eastAsia="zh-CN"/>
              </w:rPr>
              <w:t xml:space="preserve">③ </w:t>
            </w:r>
            <w:r>
              <w:rPr>
                <w:rFonts w:hint="eastAsia" w:ascii="新宋体" w:hAnsi="新宋体" w:eastAsia="新宋体" w:cs="Arial Black"/>
                <w:b w:val="0"/>
                <w:bCs w:val="0"/>
                <w:kern w:val="2"/>
                <w:szCs w:val="21"/>
                <w:highlight w:val="none"/>
              </w:rPr>
              <w:t>投标人具有有效期内的职业健康安全管理体系认证证书，且证书的认证范围包含“白蚁防治相关内容的”，得1分。</w:t>
            </w:r>
          </w:p>
          <w:p w14:paraId="60CED859">
            <w:pPr>
              <w:spacing w:line="360" w:lineRule="auto"/>
              <w:ind w:left="-50"/>
              <w:jc w:val="left"/>
              <w:rPr>
                <w:rFonts w:hint="eastAsia" w:ascii="新宋体" w:hAnsi="新宋体" w:eastAsia="新宋体" w:cs="Arial Black"/>
                <w:b/>
                <w:bCs/>
                <w:kern w:val="2"/>
                <w:szCs w:val="21"/>
                <w:highlight w:val="none"/>
              </w:rPr>
            </w:pPr>
            <w:r>
              <w:rPr>
                <w:rFonts w:hint="eastAsia" w:ascii="新宋体" w:hAnsi="新宋体" w:eastAsia="新宋体" w:cs="Arial Black"/>
                <w:b w:val="0"/>
                <w:bCs w:val="0"/>
                <w:kern w:val="2"/>
                <w:szCs w:val="21"/>
                <w:highlight w:val="none"/>
              </w:rPr>
              <w:t>注：须提供以上证书扫描件加盖单位公章。证书需能在全国认证认可信息公共服务平台（cx.cnca.cn）查询到相关证书信息，且证书状态显示“有效”，否则不得分；以开标当天官网查询结果为准。如因系统故障无法查询，则以供应商提供的证明材料为准。</w:t>
            </w:r>
          </w:p>
        </w:tc>
      </w:tr>
      <w:tr w14:paraId="4255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7" w:type="dxa"/>
            <w:gridSpan w:val="2"/>
            <w:vMerge w:val="restart"/>
            <w:shd w:val="clear" w:color="auto" w:fill="auto"/>
            <w:vAlign w:val="center"/>
          </w:tcPr>
          <w:p w14:paraId="435E6903">
            <w:pPr>
              <w:spacing w:line="360" w:lineRule="auto"/>
              <w:ind w:left="-5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5.3</w:t>
            </w:r>
          </w:p>
        </w:tc>
        <w:tc>
          <w:tcPr>
            <w:tcW w:w="1591" w:type="dxa"/>
            <w:gridSpan w:val="2"/>
            <w:vMerge w:val="restart"/>
            <w:shd w:val="clear" w:color="auto" w:fill="auto"/>
            <w:vAlign w:val="center"/>
          </w:tcPr>
          <w:p w14:paraId="09A79140">
            <w:pPr>
              <w:spacing w:line="360" w:lineRule="auto"/>
              <w:ind w:left="-5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拟投入人员</w:t>
            </w:r>
          </w:p>
        </w:tc>
        <w:tc>
          <w:tcPr>
            <w:tcW w:w="1152" w:type="dxa"/>
            <w:gridSpan w:val="2"/>
            <w:shd w:val="clear" w:color="auto" w:fill="auto"/>
            <w:vAlign w:val="center"/>
          </w:tcPr>
          <w:p w14:paraId="41934345">
            <w:pPr>
              <w:spacing w:line="360" w:lineRule="auto"/>
              <w:ind w:left="-50"/>
              <w:jc w:val="center"/>
              <w:rPr>
                <w:highlight w:val="none"/>
              </w:rPr>
            </w:pPr>
            <w:r>
              <w:rPr>
                <w:rFonts w:hint="eastAsia" w:ascii="宋体" w:hAnsi="宋体" w:eastAsia="宋体" w:cs="宋体"/>
                <w:b w:val="0"/>
                <w:bCs w:val="0"/>
                <w:sz w:val="21"/>
                <w:szCs w:val="21"/>
                <w:highlight w:val="none"/>
                <w:lang w:val="en-US" w:eastAsia="zh-CN"/>
              </w:rPr>
              <w:t>0-4分</w:t>
            </w:r>
          </w:p>
        </w:tc>
        <w:tc>
          <w:tcPr>
            <w:tcW w:w="6737" w:type="dxa"/>
            <w:gridSpan w:val="2"/>
            <w:shd w:val="clear" w:color="auto" w:fill="auto"/>
            <w:vAlign w:val="center"/>
          </w:tcPr>
          <w:p w14:paraId="76E6A324">
            <w:pPr>
              <w:spacing w:line="360" w:lineRule="auto"/>
              <w:ind w:left="-50"/>
              <w:jc w:val="left"/>
              <w:rPr>
                <w:rFonts w:hint="eastAsia" w:ascii="宋体" w:hAnsi="宋体" w:eastAsia="宋体" w:cs="宋体"/>
                <w:b w:val="0"/>
                <w:bCs w:val="0"/>
                <w:kern w:val="2"/>
                <w:szCs w:val="21"/>
                <w:highlight w:val="none"/>
                <w:lang w:val="en-US" w:eastAsia="zh-CN"/>
              </w:rPr>
            </w:pPr>
            <w:r>
              <w:rPr>
                <w:rFonts w:hint="eastAsia" w:ascii="宋体" w:hAnsi="宋体" w:eastAsia="宋体" w:cs="宋体"/>
                <w:b w:val="0"/>
                <w:bCs w:val="0"/>
                <w:kern w:val="2"/>
                <w:szCs w:val="21"/>
                <w:highlight w:val="none"/>
                <w:lang w:val="en-US" w:eastAsia="zh-CN"/>
              </w:rPr>
              <w:t>项目负责人（1人）：</w:t>
            </w:r>
          </w:p>
          <w:p w14:paraId="41DE5495">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 具备劳动和社会保障部门（人社部门）或正规行业协会官方颁发的白蚁防治（有害生物防治）职业资格等级四级及以上证书的，得2分；</w:t>
            </w:r>
          </w:p>
          <w:p w14:paraId="348FE03C">
            <w:pPr>
              <w:bidi w:val="0"/>
              <w:spacing w:line="360" w:lineRule="auto"/>
              <w:rPr>
                <w:rFonts w:hint="eastAsia"/>
                <w:highlight w:val="none"/>
                <w:lang w:val="en-US" w:eastAsia="zh-CN"/>
              </w:rPr>
            </w:pPr>
            <w:r>
              <w:rPr>
                <w:rFonts w:hint="eastAsia" w:ascii="宋体" w:hAnsi="宋体" w:eastAsia="宋体" w:cs="宋体"/>
                <w:highlight w:val="none"/>
                <w:lang w:val="en-US" w:eastAsia="zh-CN"/>
              </w:rPr>
              <w:t>② 具有白蚁防治或植保或生物或园林或药物检测或建筑工程或有害生物防治等相关专业中级及以上技术职称的，得2分。</w:t>
            </w:r>
          </w:p>
        </w:tc>
      </w:tr>
      <w:tr w14:paraId="5C61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7" w:type="dxa"/>
            <w:gridSpan w:val="2"/>
            <w:vMerge w:val="continue"/>
            <w:shd w:val="clear" w:color="auto" w:fill="auto"/>
            <w:vAlign w:val="center"/>
          </w:tcPr>
          <w:p w14:paraId="0C421793">
            <w:pPr>
              <w:spacing w:line="360" w:lineRule="auto"/>
              <w:ind w:left="-50"/>
              <w:jc w:val="left"/>
              <w:rPr>
                <w:highlight w:val="none"/>
              </w:rPr>
            </w:pPr>
          </w:p>
        </w:tc>
        <w:tc>
          <w:tcPr>
            <w:tcW w:w="1591" w:type="dxa"/>
            <w:gridSpan w:val="2"/>
            <w:vMerge w:val="continue"/>
            <w:shd w:val="clear" w:color="auto" w:fill="auto"/>
            <w:vAlign w:val="center"/>
          </w:tcPr>
          <w:p w14:paraId="19D2C8DC">
            <w:pPr>
              <w:spacing w:line="360" w:lineRule="auto"/>
              <w:ind w:left="-50"/>
              <w:jc w:val="left"/>
              <w:rPr>
                <w:highlight w:val="none"/>
              </w:rPr>
            </w:pPr>
          </w:p>
        </w:tc>
        <w:tc>
          <w:tcPr>
            <w:tcW w:w="1152" w:type="dxa"/>
            <w:gridSpan w:val="2"/>
            <w:shd w:val="clear" w:color="auto" w:fill="auto"/>
            <w:vAlign w:val="center"/>
          </w:tcPr>
          <w:p w14:paraId="0689E960">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0-4分</w:t>
            </w:r>
          </w:p>
        </w:tc>
        <w:tc>
          <w:tcPr>
            <w:tcW w:w="6737" w:type="dxa"/>
            <w:gridSpan w:val="2"/>
            <w:shd w:val="clear" w:color="auto" w:fill="auto"/>
            <w:vAlign w:val="center"/>
          </w:tcPr>
          <w:p w14:paraId="7865E335">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技术负责人（1人）：</w:t>
            </w:r>
          </w:p>
          <w:p w14:paraId="7CEDD851">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 具备劳动和社会保障部门（人社部门）或正规行业协会官方颁发的白蚁防治（有害生物防治）职业资格等级四级及以上证书的，得2分；</w:t>
            </w:r>
          </w:p>
          <w:p w14:paraId="7EEC14A9">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 具有全国白蚁防治中心有效期内的白蚁防治（或有害生物防治）职业培训合格证书的，得2分。</w:t>
            </w:r>
          </w:p>
        </w:tc>
      </w:tr>
      <w:tr w14:paraId="56E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67" w:type="dxa"/>
            <w:gridSpan w:val="2"/>
            <w:vMerge w:val="continue"/>
            <w:shd w:val="clear" w:color="auto" w:fill="auto"/>
            <w:vAlign w:val="center"/>
          </w:tcPr>
          <w:p w14:paraId="0A726F2B">
            <w:pPr>
              <w:spacing w:line="360" w:lineRule="auto"/>
              <w:ind w:left="-50"/>
              <w:jc w:val="left"/>
              <w:rPr>
                <w:highlight w:val="none"/>
              </w:rPr>
            </w:pPr>
          </w:p>
        </w:tc>
        <w:tc>
          <w:tcPr>
            <w:tcW w:w="1591" w:type="dxa"/>
            <w:gridSpan w:val="2"/>
            <w:vMerge w:val="continue"/>
            <w:shd w:val="clear" w:color="auto" w:fill="auto"/>
            <w:vAlign w:val="center"/>
          </w:tcPr>
          <w:p w14:paraId="31AA7BA0">
            <w:pPr>
              <w:spacing w:line="360" w:lineRule="auto"/>
              <w:ind w:left="-50"/>
              <w:jc w:val="left"/>
              <w:rPr>
                <w:highlight w:val="none"/>
              </w:rPr>
            </w:pPr>
          </w:p>
        </w:tc>
        <w:tc>
          <w:tcPr>
            <w:tcW w:w="1152" w:type="dxa"/>
            <w:gridSpan w:val="2"/>
            <w:shd w:val="clear" w:color="auto" w:fill="auto"/>
            <w:vAlign w:val="center"/>
          </w:tcPr>
          <w:p w14:paraId="0C06946D">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0-6分</w:t>
            </w:r>
          </w:p>
        </w:tc>
        <w:tc>
          <w:tcPr>
            <w:tcW w:w="6737" w:type="dxa"/>
            <w:gridSpan w:val="2"/>
            <w:shd w:val="clear" w:color="auto" w:fill="auto"/>
            <w:vAlign w:val="center"/>
          </w:tcPr>
          <w:p w14:paraId="24658A39">
            <w:pPr>
              <w:spacing w:line="360" w:lineRule="auto"/>
              <w:ind w:left="-50"/>
              <w:jc w:val="left"/>
              <w:rPr>
                <w:rFonts w:hint="eastAsia"/>
                <w:highlight w:val="none"/>
                <w:lang w:val="en-US" w:eastAsia="zh-CN"/>
              </w:rPr>
            </w:pPr>
            <w:r>
              <w:rPr>
                <w:rFonts w:hint="eastAsia"/>
                <w:highlight w:val="none"/>
                <w:lang w:val="en-US" w:eastAsia="zh-CN"/>
              </w:rPr>
              <w:t>拟投入服务人员：</w:t>
            </w:r>
          </w:p>
          <w:p w14:paraId="2E6674D6">
            <w:pPr>
              <w:spacing w:line="360" w:lineRule="auto"/>
              <w:ind w:left="-50"/>
              <w:jc w:val="left"/>
              <w:rPr>
                <w:rFonts w:hint="default"/>
                <w:highlight w:val="none"/>
                <w:lang w:val="en-US"/>
              </w:rPr>
            </w:pPr>
            <w:r>
              <w:rPr>
                <w:rFonts w:hint="eastAsia" w:ascii="宋体" w:hAnsi="宋体" w:eastAsia="宋体" w:cs="宋体"/>
                <w:highlight w:val="none"/>
                <w:lang w:val="en-US" w:eastAsia="zh-CN"/>
              </w:rPr>
              <w:t>具有全国白蚁防治中心或正规行业协会官方颁发的白蚁防治（或有害生物防治）职业培训合格证书，每提供1人得2分，最多得6分。</w:t>
            </w:r>
          </w:p>
        </w:tc>
      </w:tr>
      <w:tr w14:paraId="7C38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6" w:type="dxa"/>
            <w:vMerge w:val="restart"/>
            <w:shd w:val="clear" w:color="auto" w:fill="auto"/>
            <w:vAlign w:val="center"/>
          </w:tcPr>
          <w:p w14:paraId="11A02A2D">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w:t>
            </w:r>
          </w:p>
        </w:tc>
        <w:tc>
          <w:tcPr>
            <w:tcW w:w="1590" w:type="dxa"/>
            <w:gridSpan w:val="2"/>
            <w:vMerge w:val="restart"/>
            <w:shd w:val="clear" w:color="auto" w:fill="auto"/>
            <w:vAlign w:val="center"/>
          </w:tcPr>
          <w:p w14:paraId="16849A80">
            <w:pPr>
              <w:spacing w:line="360" w:lineRule="exact"/>
              <w:ind w:left="-50"/>
              <w:jc w:val="center"/>
              <w:rPr>
                <w:rFonts w:hint="eastAsia" w:ascii="宋体" w:hAnsi="宋体" w:eastAsia="新宋体" w:cs="宋体"/>
                <w:b/>
                <w:bCs/>
                <w:sz w:val="21"/>
                <w:szCs w:val="21"/>
                <w:highlight w:val="none"/>
                <w:lang w:eastAsia="zh-CN"/>
              </w:rPr>
            </w:pPr>
            <w:r>
              <w:rPr>
                <w:rFonts w:hint="eastAsia" w:ascii="新宋体" w:hAnsi="新宋体" w:eastAsia="新宋体" w:cs="Arial Black"/>
                <w:szCs w:val="21"/>
                <w:highlight w:val="none"/>
              </w:rPr>
              <w:t>供应商所采用白蚁防治治药械的有效性、环保性及防治安全</w:t>
            </w:r>
          </w:p>
        </w:tc>
        <w:tc>
          <w:tcPr>
            <w:tcW w:w="1151" w:type="dxa"/>
            <w:gridSpan w:val="2"/>
            <w:shd w:val="clear" w:color="auto" w:fill="auto"/>
            <w:vAlign w:val="center"/>
          </w:tcPr>
          <w:p w14:paraId="798E0F0F">
            <w:pPr>
              <w:spacing w:line="360" w:lineRule="exact"/>
              <w:ind w:left="-50" w:leftChars="0"/>
              <w:jc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0-2分</w:t>
            </w:r>
          </w:p>
        </w:tc>
        <w:tc>
          <w:tcPr>
            <w:tcW w:w="6740" w:type="dxa"/>
            <w:gridSpan w:val="3"/>
            <w:shd w:val="clear" w:color="auto" w:fill="auto"/>
            <w:vAlign w:val="center"/>
          </w:tcPr>
          <w:p w14:paraId="688EABDB">
            <w:pPr>
              <w:bidi w:val="0"/>
              <w:spacing w:line="360" w:lineRule="auto"/>
              <w:rPr>
                <w:rFonts w:hint="default"/>
                <w:highlight w:val="none"/>
                <w:lang w:val="en-US" w:eastAsia="zh-CN"/>
              </w:rPr>
            </w:pPr>
            <w:r>
              <w:rPr>
                <w:rFonts w:hint="eastAsia"/>
                <w:highlight w:val="none"/>
                <w:lang w:val="en-US" w:eastAsia="zh-CN"/>
              </w:rPr>
              <w:t>根据供应商拟投入白蚁监测装置，要求检测合格，其邵氏硬度值≧90HSD的得1分；密度≧1.3g/cm</w:t>
            </w:r>
            <w:r>
              <w:rPr>
                <w:rFonts w:hint="eastAsia"/>
                <w:highlight w:val="none"/>
                <w:vertAlign w:val="superscript"/>
                <w:lang w:val="en-US" w:eastAsia="zh-CN"/>
              </w:rPr>
              <w:t>3</w:t>
            </w:r>
            <w:r>
              <w:rPr>
                <w:rFonts w:hint="eastAsia"/>
                <w:highlight w:val="none"/>
                <w:lang w:val="en-US" w:eastAsia="zh-CN"/>
              </w:rPr>
              <w:t>的得1分；（须同时提供①监测装置产品照片；②注册商标；③智能装置及系统企业标准证；④邵氏硬度值；密度值检测报告，否则不得分）</w:t>
            </w:r>
          </w:p>
        </w:tc>
      </w:tr>
      <w:tr w14:paraId="1741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66" w:type="dxa"/>
            <w:vMerge w:val="continue"/>
            <w:shd w:val="clear" w:color="auto" w:fill="auto"/>
            <w:vAlign w:val="center"/>
          </w:tcPr>
          <w:p w14:paraId="4BFE59B2">
            <w:pPr>
              <w:spacing w:line="360" w:lineRule="exact"/>
              <w:ind w:left="-50"/>
              <w:jc w:val="center"/>
              <w:rPr>
                <w:rFonts w:hint="eastAsia" w:ascii="宋体" w:hAnsi="宋体" w:eastAsia="宋体" w:cs="宋体"/>
                <w:sz w:val="21"/>
                <w:szCs w:val="21"/>
                <w:highlight w:val="none"/>
                <w:lang w:val="en-US" w:eastAsia="zh-CN"/>
              </w:rPr>
            </w:pPr>
          </w:p>
        </w:tc>
        <w:tc>
          <w:tcPr>
            <w:tcW w:w="1590" w:type="dxa"/>
            <w:gridSpan w:val="2"/>
            <w:vMerge w:val="continue"/>
            <w:shd w:val="clear" w:color="auto" w:fill="auto"/>
            <w:vAlign w:val="center"/>
          </w:tcPr>
          <w:p w14:paraId="5DE69016">
            <w:pPr>
              <w:spacing w:line="360" w:lineRule="exact"/>
              <w:ind w:left="-50"/>
              <w:jc w:val="center"/>
              <w:rPr>
                <w:rFonts w:hint="eastAsia" w:ascii="新宋体" w:hAnsi="新宋体" w:eastAsia="新宋体" w:cs="Arial Black"/>
                <w:szCs w:val="21"/>
                <w:highlight w:val="none"/>
              </w:rPr>
            </w:pPr>
          </w:p>
        </w:tc>
        <w:tc>
          <w:tcPr>
            <w:tcW w:w="1151" w:type="dxa"/>
            <w:gridSpan w:val="2"/>
            <w:shd w:val="clear" w:color="auto" w:fill="auto"/>
            <w:vAlign w:val="center"/>
          </w:tcPr>
          <w:p w14:paraId="185C42DE">
            <w:pPr>
              <w:spacing w:line="360" w:lineRule="exact"/>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0-1分</w:t>
            </w:r>
          </w:p>
        </w:tc>
        <w:tc>
          <w:tcPr>
            <w:tcW w:w="6740" w:type="dxa"/>
            <w:gridSpan w:val="3"/>
            <w:shd w:val="clear" w:color="auto" w:fill="auto"/>
            <w:vAlign w:val="center"/>
          </w:tcPr>
          <w:p w14:paraId="21729A05">
            <w:pPr>
              <w:bidi w:val="0"/>
              <w:spacing w:line="360" w:lineRule="auto"/>
              <w:rPr>
                <w:rFonts w:hint="eastAsia"/>
                <w:highlight w:val="none"/>
                <w:lang w:val="en-US" w:eastAsia="zh-CN"/>
              </w:rPr>
            </w:pPr>
            <w:r>
              <w:rPr>
                <w:rFonts w:hint="eastAsia"/>
                <w:highlight w:val="none"/>
                <w:lang w:val="en-US" w:eastAsia="zh-CN"/>
              </w:rPr>
              <w:t>白蚁监控装置其智能操作系统和数据记录存储控制平台具有自主版权的，提供计算机软件著作权度登记证书的得1分；不提供不得分；</w:t>
            </w:r>
          </w:p>
        </w:tc>
      </w:tr>
      <w:tr w14:paraId="0141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6" w:type="dxa"/>
            <w:vMerge w:val="continue"/>
            <w:shd w:val="clear" w:color="auto" w:fill="auto"/>
            <w:vAlign w:val="center"/>
          </w:tcPr>
          <w:p w14:paraId="5FAED0CF">
            <w:pPr>
              <w:spacing w:line="360" w:lineRule="exact"/>
              <w:ind w:left="-50"/>
              <w:jc w:val="center"/>
              <w:rPr>
                <w:rFonts w:hint="eastAsia" w:ascii="宋体" w:hAnsi="宋体" w:eastAsia="宋体" w:cs="宋体"/>
                <w:sz w:val="21"/>
                <w:szCs w:val="21"/>
                <w:highlight w:val="none"/>
                <w:lang w:val="en-US" w:eastAsia="zh-CN"/>
              </w:rPr>
            </w:pPr>
          </w:p>
        </w:tc>
        <w:tc>
          <w:tcPr>
            <w:tcW w:w="1590" w:type="dxa"/>
            <w:gridSpan w:val="2"/>
            <w:vMerge w:val="continue"/>
            <w:shd w:val="clear" w:color="auto" w:fill="auto"/>
            <w:vAlign w:val="center"/>
          </w:tcPr>
          <w:p w14:paraId="468D573C">
            <w:pPr>
              <w:spacing w:line="360" w:lineRule="exact"/>
              <w:ind w:left="-50"/>
              <w:jc w:val="center"/>
              <w:rPr>
                <w:rFonts w:hint="eastAsia" w:ascii="新宋体" w:hAnsi="新宋体" w:eastAsia="新宋体" w:cs="Arial Black"/>
                <w:szCs w:val="21"/>
                <w:highlight w:val="none"/>
              </w:rPr>
            </w:pPr>
          </w:p>
        </w:tc>
        <w:tc>
          <w:tcPr>
            <w:tcW w:w="1151" w:type="dxa"/>
            <w:gridSpan w:val="2"/>
            <w:shd w:val="clear" w:color="auto" w:fill="auto"/>
            <w:vAlign w:val="center"/>
          </w:tcPr>
          <w:p w14:paraId="23032C5C">
            <w:pPr>
              <w:spacing w:line="360" w:lineRule="exact"/>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0-1分</w:t>
            </w:r>
          </w:p>
        </w:tc>
        <w:tc>
          <w:tcPr>
            <w:tcW w:w="6740" w:type="dxa"/>
            <w:gridSpan w:val="3"/>
            <w:shd w:val="clear" w:color="auto" w:fill="auto"/>
            <w:vAlign w:val="center"/>
          </w:tcPr>
          <w:p w14:paraId="49C0E45A">
            <w:pPr>
              <w:bidi w:val="0"/>
              <w:spacing w:line="360" w:lineRule="auto"/>
              <w:rPr>
                <w:rFonts w:hint="eastAsia"/>
                <w:highlight w:val="none"/>
                <w:lang w:val="en-US" w:eastAsia="zh-CN"/>
              </w:rPr>
            </w:pPr>
            <w:r>
              <w:rPr>
                <w:rFonts w:hint="eastAsia"/>
                <w:highlight w:val="none"/>
                <w:lang w:val="en-US" w:eastAsia="zh-CN"/>
              </w:rPr>
              <w:t>提供的白蚁监测装置松木饵料具有喜食性和防腐防霉测试评价报告的，得1分，不提供不得分；</w:t>
            </w:r>
          </w:p>
        </w:tc>
      </w:tr>
      <w:tr w14:paraId="68E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866" w:type="dxa"/>
            <w:vMerge w:val="restart"/>
            <w:shd w:val="clear" w:color="auto" w:fill="auto"/>
            <w:vAlign w:val="center"/>
          </w:tcPr>
          <w:p w14:paraId="5E719A8B">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c>
          <w:tcPr>
            <w:tcW w:w="1590" w:type="dxa"/>
            <w:gridSpan w:val="2"/>
            <w:vMerge w:val="restart"/>
            <w:shd w:val="clear" w:color="auto" w:fill="auto"/>
            <w:vAlign w:val="center"/>
          </w:tcPr>
          <w:p w14:paraId="4CCFD65C">
            <w:pPr>
              <w:spacing w:line="360" w:lineRule="exact"/>
              <w:ind w:left="-50"/>
              <w:jc w:val="center"/>
              <w:rPr>
                <w:rFonts w:hint="default" w:ascii="新宋体" w:hAnsi="新宋体" w:eastAsia="新宋体" w:cs="Arial Black"/>
                <w:szCs w:val="21"/>
                <w:highlight w:val="none"/>
                <w:lang w:val="en-US" w:eastAsia="zh-CN"/>
              </w:rPr>
            </w:pPr>
            <w:r>
              <w:rPr>
                <w:rFonts w:hint="eastAsia" w:ascii="新宋体" w:hAnsi="新宋体" w:eastAsia="新宋体" w:cs="Arial Black"/>
                <w:szCs w:val="21"/>
                <w:highlight w:val="none"/>
                <w:lang w:val="en-US" w:eastAsia="zh-CN"/>
              </w:rPr>
              <w:t>自有车辆和设备投入</w:t>
            </w:r>
          </w:p>
        </w:tc>
        <w:tc>
          <w:tcPr>
            <w:tcW w:w="1151" w:type="dxa"/>
            <w:gridSpan w:val="2"/>
            <w:shd w:val="clear" w:color="auto" w:fill="auto"/>
            <w:vAlign w:val="center"/>
          </w:tcPr>
          <w:p w14:paraId="58D80938">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0-10分</w:t>
            </w:r>
          </w:p>
        </w:tc>
        <w:tc>
          <w:tcPr>
            <w:tcW w:w="6740" w:type="dxa"/>
            <w:gridSpan w:val="3"/>
            <w:shd w:val="clear" w:color="auto" w:fill="auto"/>
            <w:vAlign w:val="center"/>
          </w:tcPr>
          <w:p w14:paraId="20691D21">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供应商针对本项目拟投入车辆，本项最多得10分：</w:t>
            </w:r>
          </w:p>
          <w:p w14:paraId="7353F3AE">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 提供白蚁防治专用汽车的每具1辆得3分，最多得3分(行驶证上车辆照片有“白蚁防治”字样，证件照片无此字样无得分)；</w:t>
            </w:r>
          </w:p>
          <w:p w14:paraId="6C1AE094">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 提供专项作业车的每具一辆得2分，最多得4分；(车辆行驶证上标明“专项作业车”字样)；</w:t>
            </w:r>
          </w:p>
          <w:p w14:paraId="2BC063E3">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 提供普通车辆的，每具一辆得1分，最多的3分。</w:t>
            </w:r>
          </w:p>
          <w:p w14:paraId="0ADD647F">
            <w:pPr>
              <w:keepNext w:val="0"/>
              <w:keepLines w:val="0"/>
              <w:pageBreakBefore w:val="0"/>
              <w:kinsoku/>
              <w:wordWrap/>
              <w:overflowPunct/>
              <w:topLinePunct w:val="0"/>
              <w:autoSpaceDE/>
              <w:autoSpaceDN/>
              <w:bidi w:val="0"/>
              <w:adjustRightInd/>
              <w:spacing w:line="360" w:lineRule="auto"/>
              <w:ind w:right="3" w:rightChars="0"/>
              <w:rPr>
                <w:rFonts w:hint="eastAsia" w:ascii="新宋体" w:hAnsi="新宋体" w:eastAsia="新宋体" w:cs="Arial Black"/>
                <w:b/>
                <w:bCs/>
                <w:sz w:val="21"/>
                <w:szCs w:val="21"/>
                <w:highlight w:val="none"/>
                <w:lang w:val="en-US" w:eastAsia="zh-CN"/>
              </w:rPr>
            </w:pPr>
            <w:r>
              <w:rPr>
                <w:rFonts w:hint="eastAsia" w:ascii="宋体" w:hAnsi="宋体" w:eastAsia="宋体" w:cs="宋体"/>
                <w:sz w:val="21"/>
                <w:szCs w:val="21"/>
                <w:highlight w:val="none"/>
                <w:lang w:val="en-US" w:eastAsia="zh-CN"/>
              </w:rPr>
              <w:t>注：上述车辆证明材料应加盖供应商单位公章(提供车辆行驶证、登记证、购置票据及车辆含前后车牌图片)，且行驶证所有人必须是投标供应商自有，否则不得分。</w:t>
            </w:r>
          </w:p>
        </w:tc>
      </w:tr>
      <w:tr w14:paraId="64BE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66" w:type="dxa"/>
            <w:vMerge w:val="continue"/>
            <w:shd w:val="clear" w:color="auto" w:fill="auto"/>
            <w:vAlign w:val="center"/>
          </w:tcPr>
          <w:p w14:paraId="6C3DA780">
            <w:pPr>
              <w:keepNext w:val="0"/>
              <w:keepLines w:val="0"/>
              <w:pageBreakBefore w:val="0"/>
              <w:kinsoku/>
              <w:wordWrap/>
              <w:overflowPunct/>
              <w:topLinePunct w:val="0"/>
              <w:autoSpaceDE/>
              <w:autoSpaceDN/>
              <w:bidi w:val="0"/>
              <w:adjustRightInd/>
              <w:spacing w:line="360" w:lineRule="auto"/>
              <w:ind w:right="3" w:rightChars="0"/>
              <w:rPr>
                <w:highlight w:val="none"/>
              </w:rPr>
            </w:pPr>
          </w:p>
        </w:tc>
        <w:tc>
          <w:tcPr>
            <w:tcW w:w="1590" w:type="dxa"/>
            <w:gridSpan w:val="2"/>
            <w:vMerge w:val="continue"/>
            <w:shd w:val="clear" w:color="auto" w:fill="auto"/>
            <w:vAlign w:val="center"/>
          </w:tcPr>
          <w:p w14:paraId="7B642C18">
            <w:pPr>
              <w:keepNext w:val="0"/>
              <w:keepLines w:val="0"/>
              <w:pageBreakBefore w:val="0"/>
              <w:kinsoku/>
              <w:wordWrap/>
              <w:overflowPunct/>
              <w:topLinePunct w:val="0"/>
              <w:autoSpaceDE/>
              <w:autoSpaceDN/>
              <w:bidi w:val="0"/>
              <w:adjustRightInd/>
              <w:spacing w:line="360" w:lineRule="auto"/>
              <w:ind w:right="3" w:rightChars="0"/>
              <w:rPr>
                <w:highlight w:val="none"/>
              </w:rPr>
            </w:pPr>
          </w:p>
        </w:tc>
        <w:tc>
          <w:tcPr>
            <w:tcW w:w="1151" w:type="dxa"/>
            <w:gridSpan w:val="2"/>
            <w:shd w:val="clear" w:color="auto" w:fill="auto"/>
            <w:vAlign w:val="center"/>
          </w:tcPr>
          <w:p w14:paraId="6B13C0BE">
            <w:pPr>
              <w:keepNext w:val="0"/>
              <w:keepLines w:val="0"/>
              <w:pageBreakBefore w:val="0"/>
              <w:kinsoku/>
              <w:wordWrap/>
              <w:overflowPunct/>
              <w:topLinePunct w:val="0"/>
              <w:autoSpaceDE/>
              <w:autoSpaceDN/>
              <w:bidi w:val="0"/>
              <w:adjustRightInd/>
              <w:spacing w:line="360" w:lineRule="auto"/>
              <w:ind w:right="3" w:rightChars="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0-9分</w:t>
            </w:r>
          </w:p>
        </w:tc>
        <w:tc>
          <w:tcPr>
            <w:tcW w:w="6740" w:type="dxa"/>
            <w:gridSpan w:val="3"/>
            <w:shd w:val="clear" w:color="auto" w:fill="auto"/>
            <w:vAlign w:val="center"/>
          </w:tcPr>
          <w:p w14:paraId="4DF8E334">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供应商针对本项目拟投入设备，本项</w:t>
            </w:r>
            <w:r>
              <w:rPr>
                <w:rFonts w:hint="eastAsia" w:ascii="宋体" w:hAnsi="宋体" w:eastAsia="宋体" w:cs="宋体"/>
                <w:b w:val="0"/>
                <w:bCs w:val="0"/>
                <w:sz w:val="21"/>
                <w:szCs w:val="21"/>
                <w:highlight w:val="none"/>
                <w:lang w:val="en-US" w:eastAsia="zh-CN"/>
              </w:rPr>
              <w:t>最多得9分</w:t>
            </w:r>
            <w:r>
              <w:rPr>
                <w:rFonts w:hint="eastAsia" w:ascii="宋体" w:hAnsi="宋体" w:eastAsia="宋体" w:cs="宋体"/>
                <w:sz w:val="21"/>
                <w:szCs w:val="21"/>
                <w:highlight w:val="none"/>
                <w:lang w:val="en-US" w:eastAsia="zh-CN"/>
              </w:rPr>
              <w:t>：</w:t>
            </w:r>
          </w:p>
          <w:p w14:paraId="4E8C8FC9">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① 供应商针对本项目拟投入白蚁监测装置安装打孔工具（电动挖坑（钻孔）机的，得3分；</w:t>
            </w:r>
          </w:p>
          <w:p w14:paraId="311FB45C">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② 投入白蚁视像（生命）探测仪的，得2分；</w:t>
            </w:r>
          </w:p>
          <w:p w14:paraId="2F6AA42F">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③ 投入白蚁微波探测仪的得2分；</w:t>
            </w:r>
          </w:p>
          <w:p w14:paraId="56693438">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④ 投入多旋翼勘查/打（药）无人机（农用/植保）的得2分。</w:t>
            </w:r>
          </w:p>
          <w:p w14:paraId="0D2B1C08">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注：须同时提供①产品照片；②购置发票或记录凭证等，否则不得分。</w:t>
            </w:r>
          </w:p>
        </w:tc>
      </w:tr>
      <w:tr w14:paraId="69F5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shd w:val="clear" w:color="auto" w:fill="auto"/>
            <w:vAlign w:val="center"/>
          </w:tcPr>
          <w:p w14:paraId="5323FB3F">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5.6</w:t>
            </w:r>
          </w:p>
        </w:tc>
        <w:tc>
          <w:tcPr>
            <w:tcW w:w="1590" w:type="dxa"/>
            <w:gridSpan w:val="2"/>
            <w:shd w:val="clear" w:color="auto" w:fill="auto"/>
            <w:vAlign w:val="center"/>
          </w:tcPr>
          <w:p w14:paraId="3EFBB53C">
            <w:pPr>
              <w:spacing w:line="360" w:lineRule="exact"/>
              <w:ind w:left="-50"/>
              <w:jc w:val="center"/>
              <w:rPr>
                <w:rFonts w:hint="eastAsia" w:ascii="新宋体" w:hAnsi="新宋体" w:eastAsia="新宋体" w:cs="Arial Black"/>
                <w:szCs w:val="21"/>
                <w:highlight w:val="none"/>
                <w:lang w:val="en-US" w:eastAsia="zh-CN"/>
              </w:rPr>
            </w:pPr>
            <w:r>
              <w:rPr>
                <w:rFonts w:hint="eastAsia" w:ascii="宋体" w:hAnsi="宋体" w:eastAsia="宋体" w:cs="宋体"/>
                <w:sz w:val="21"/>
                <w:szCs w:val="21"/>
                <w:highlight w:val="none"/>
                <w:lang w:val="en-US" w:eastAsia="zh-CN"/>
              </w:rPr>
              <w:t>整体工作方案思路</w:t>
            </w:r>
          </w:p>
        </w:tc>
        <w:tc>
          <w:tcPr>
            <w:tcW w:w="1151" w:type="dxa"/>
            <w:gridSpan w:val="2"/>
            <w:shd w:val="clear" w:color="auto" w:fill="auto"/>
            <w:vAlign w:val="center"/>
          </w:tcPr>
          <w:p w14:paraId="775AC2B3">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0-9分</w:t>
            </w:r>
          </w:p>
        </w:tc>
        <w:tc>
          <w:tcPr>
            <w:tcW w:w="6740" w:type="dxa"/>
            <w:gridSpan w:val="3"/>
            <w:shd w:val="clear" w:color="auto" w:fill="auto"/>
            <w:vAlign w:val="center"/>
          </w:tcPr>
          <w:p w14:paraId="62E630CA">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整体工作方案：</w:t>
            </w:r>
          </w:p>
          <w:p w14:paraId="728B8BCE">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 内容全面、思路明确，可操作性强，契合项目实际情况的得9分；</w:t>
            </w:r>
          </w:p>
          <w:p w14:paraId="64EB29E9">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 方案基本完整可行,内容稍有欠缺的得6分；</w:t>
            </w:r>
          </w:p>
          <w:p w14:paraId="66257B26">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 方案简单，可行性较差，内容明显欠缺不足的得3分；</w:t>
            </w:r>
          </w:p>
          <w:p w14:paraId="6F2BBCE8">
            <w:pPr>
              <w:keepNext w:val="0"/>
              <w:keepLines w:val="0"/>
              <w:pageBreakBefore w:val="0"/>
              <w:kinsoku/>
              <w:wordWrap/>
              <w:overflowPunct/>
              <w:topLinePunct w:val="0"/>
              <w:autoSpaceDE/>
              <w:autoSpaceDN/>
              <w:bidi w:val="0"/>
              <w:adjustRightInd/>
              <w:spacing w:line="360" w:lineRule="auto"/>
              <w:ind w:right="3"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 未提供方案或方案不符合项目需求不得分。</w:t>
            </w:r>
          </w:p>
        </w:tc>
      </w:tr>
      <w:tr w14:paraId="4CA3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shd w:val="clear" w:color="auto" w:fill="auto"/>
            <w:vAlign w:val="center"/>
          </w:tcPr>
          <w:p w14:paraId="444AF6A5">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5.7</w:t>
            </w:r>
          </w:p>
        </w:tc>
        <w:tc>
          <w:tcPr>
            <w:tcW w:w="1590" w:type="dxa"/>
            <w:gridSpan w:val="2"/>
            <w:shd w:val="clear" w:color="auto" w:fill="auto"/>
            <w:vAlign w:val="center"/>
          </w:tcPr>
          <w:p w14:paraId="6CF3DCBF">
            <w:pPr>
              <w:spacing w:line="360" w:lineRule="exact"/>
              <w:ind w:lef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项目进度安排</w:t>
            </w:r>
          </w:p>
        </w:tc>
        <w:tc>
          <w:tcPr>
            <w:tcW w:w="1151" w:type="dxa"/>
            <w:gridSpan w:val="2"/>
            <w:shd w:val="clear" w:color="auto" w:fill="auto"/>
            <w:vAlign w:val="center"/>
          </w:tcPr>
          <w:p w14:paraId="108AFFB1">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0-9分</w:t>
            </w:r>
          </w:p>
        </w:tc>
        <w:tc>
          <w:tcPr>
            <w:tcW w:w="6740" w:type="dxa"/>
            <w:gridSpan w:val="3"/>
            <w:shd w:val="clear" w:color="auto" w:fill="auto"/>
            <w:vAlign w:val="center"/>
          </w:tcPr>
          <w:p w14:paraId="5211AB54">
            <w:pPr>
              <w:bidi w:val="0"/>
              <w:spacing w:line="360" w:lineRule="auto"/>
              <w:rPr>
                <w:rFonts w:hint="eastAsia"/>
                <w:highlight w:val="none"/>
                <w:lang w:val="en-US" w:eastAsia="zh-CN"/>
              </w:rPr>
            </w:pPr>
            <w:r>
              <w:rPr>
                <w:rFonts w:hint="eastAsia"/>
                <w:highlight w:val="none"/>
                <w:lang w:val="en-US" w:eastAsia="zh-CN"/>
              </w:rPr>
              <w:t>项目服务进度安排及培训宣传等详细工作计划：</w:t>
            </w:r>
          </w:p>
          <w:p w14:paraId="46285930">
            <w:pPr>
              <w:bidi w:val="0"/>
              <w:spacing w:line="360" w:lineRule="auto"/>
              <w:rPr>
                <w:rFonts w:hint="eastAsia"/>
                <w:highlight w:val="none"/>
                <w:lang w:val="en-US" w:eastAsia="zh-CN"/>
              </w:rPr>
            </w:pPr>
            <w:r>
              <w:rPr>
                <w:rFonts w:hint="eastAsia"/>
                <w:highlight w:val="none"/>
                <w:lang w:val="en-US" w:eastAsia="zh-CN"/>
              </w:rPr>
              <w:t>① 进度安排科学、合理、得当，关键时间节点把握准确，满足项目要求的得9分；</w:t>
            </w:r>
          </w:p>
          <w:p w14:paraId="5D5577B5">
            <w:pPr>
              <w:bidi w:val="0"/>
              <w:spacing w:line="360" w:lineRule="auto"/>
              <w:rPr>
                <w:rFonts w:hint="eastAsia"/>
                <w:highlight w:val="none"/>
                <w:lang w:val="en-US" w:eastAsia="zh-CN"/>
              </w:rPr>
            </w:pPr>
            <w:r>
              <w:rPr>
                <w:rFonts w:hint="eastAsia"/>
                <w:highlight w:val="none"/>
                <w:lang w:val="en-US" w:eastAsia="zh-CN"/>
              </w:rPr>
              <w:t>② 进度安排基本合理可行，关键时间节点把握较准的得6分；</w:t>
            </w:r>
          </w:p>
          <w:p w14:paraId="08633F0A">
            <w:pPr>
              <w:bidi w:val="0"/>
              <w:spacing w:line="360" w:lineRule="auto"/>
              <w:rPr>
                <w:rFonts w:hint="eastAsia"/>
                <w:highlight w:val="none"/>
                <w:lang w:val="en-US" w:eastAsia="zh-CN"/>
              </w:rPr>
            </w:pPr>
            <w:r>
              <w:rPr>
                <w:rFonts w:hint="eastAsia"/>
                <w:highlight w:val="none"/>
                <w:lang w:val="en-US" w:eastAsia="zh-CN"/>
              </w:rPr>
              <w:t>③ 进度安排较为简单，合理性可行性较差的得3分；</w:t>
            </w:r>
          </w:p>
          <w:p w14:paraId="5268F95E">
            <w:pPr>
              <w:bidi w:val="0"/>
              <w:spacing w:line="360" w:lineRule="auto"/>
              <w:rPr>
                <w:rFonts w:hint="eastAsia"/>
                <w:highlight w:val="none"/>
                <w:lang w:val="en-US" w:eastAsia="zh-CN"/>
              </w:rPr>
            </w:pPr>
            <w:r>
              <w:rPr>
                <w:rFonts w:hint="eastAsia"/>
                <w:highlight w:val="none"/>
                <w:lang w:val="en-US" w:eastAsia="zh-CN"/>
              </w:rPr>
              <w:t>④ 未提供进度安排或进度安排不符合项目需求不得分。</w:t>
            </w:r>
          </w:p>
        </w:tc>
      </w:tr>
      <w:tr w14:paraId="5813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shd w:val="clear" w:color="auto" w:fill="auto"/>
            <w:vAlign w:val="center"/>
          </w:tcPr>
          <w:p w14:paraId="0A73970F">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w:t>
            </w:r>
          </w:p>
        </w:tc>
        <w:tc>
          <w:tcPr>
            <w:tcW w:w="1590" w:type="dxa"/>
            <w:gridSpan w:val="2"/>
            <w:shd w:val="clear" w:color="auto" w:fill="auto"/>
            <w:vAlign w:val="center"/>
          </w:tcPr>
          <w:p w14:paraId="125ED8BE">
            <w:pPr>
              <w:spacing w:line="360" w:lineRule="exact"/>
              <w:ind w:left="-50"/>
              <w:jc w:val="center"/>
              <w:rPr>
                <w:rFonts w:hint="eastAsia" w:ascii="宋体" w:hAnsi="宋体" w:eastAsia="宋体" w:cs="宋体"/>
                <w:sz w:val="21"/>
                <w:szCs w:val="21"/>
                <w:highlight w:val="none"/>
                <w:lang w:val="en-US" w:eastAsia="zh-CN"/>
              </w:rPr>
            </w:pPr>
            <w:r>
              <w:rPr>
                <w:rFonts w:hint="eastAsia" w:ascii="宋体" w:hAnsi="宋体" w:eastAsia="宋体" w:cs="宋体"/>
                <w:b w:val="0"/>
                <w:bCs/>
                <w:sz w:val="21"/>
                <w:szCs w:val="21"/>
                <w:highlight w:val="none"/>
                <w:lang w:val="en-US" w:eastAsia="zh-CN"/>
              </w:rPr>
              <w:t>质量保证措施</w:t>
            </w:r>
          </w:p>
        </w:tc>
        <w:tc>
          <w:tcPr>
            <w:tcW w:w="1151" w:type="dxa"/>
            <w:gridSpan w:val="2"/>
            <w:shd w:val="clear" w:color="auto" w:fill="auto"/>
            <w:vAlign w:val="center"/>
          </w:tcPr>
          <w:p w14:paraId="40B3B105">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0-6分</w:t>
            </w:r>
          </w:p>
        </w:tc>
        <w:tc>
          <w:tcPr>
            <w:tcW w:w="6740" w:type="dxa"/>
            <w:gridSpan w:val="3"/>
            <w:shd w:val="clear" w:color="auto" w:fill="auto"/>
            <w:vAlign w:val="center"/>
          </w:tcPr>
          <w:p w14:paraId="49434D78">
            <w:pPr>
              <w:bidi w:val="0"/>
              <w:spacing w:line="360" w:lineRule="auto"/>
              <w:rPr>
                <w:rFonts w:hint="eastAsia"/>
                <w:highlight w:val="none"/>
                <w:lang w:val="en-US" w:eastAsia="zh-CN"/>
              </w:rPr>
            </w:pPr>
            <w:r>
              <w:rPr>
                <w:rFonts w:hint="eastAsia"/>
                <w:highlight w:val="none"/>
                <w:lang w:val="en-US" w:eastAsia="zh-CN"/>
              </w:rPr>
              <w:t>质量保证措施：</w:t>
            </w:r>
          </w:p>
          <w:p w14:paraId="3FA4DF3E">
            <w:pPr>
              <w:bidi w:val="0"/>
              <w:spacing w:line="360" w:lineRule="auto"/>
              <w:rPr>
                <w:rFonts w:hint="eastAsia"/>
                <w:highlight w:val="none"/>
                <w:lang w:val="en-US" w:eastAsia="zh-CN"/>
              </w:rPr>
            </w:pPr>
            <w:r>
              <w:rPr>
                <w:rFonts w:hint="eastAsia"/>
                <w:highlight w:val="none"/>
                <w:lang w:val="en-US" w:eastAsia="zh-CN"/>
              </w:rPr>
              <w:t>① 各阶段工作质量管理措施科学、可行，质量保证体系完备周全，并具有针对性应对措施，有利于项目实施的6分；</w:t>
            </w:r>
          </w:p>
          <w:p w14:paraId="6DD519AF">
            <w:pPr>
              <w:bidi w:val="0"/>
              <w:spacing w:line="360" w:lineRule="auto"/>
              <w:rPr>
                <w:rFonts w:hint="eastAsia"/>
                <w:highlight w:val="none"/>
                <w:lang w:val="en-US" w:eastAsia="zh-CN"/>
              </w:rPr>
            </w:pPr>
            <w:r>
              <w:rPr>
                <w:rFonts w:hint="eastAsia"/>
                <w:highlight w:val="none"/>
                <w:lang w:val="en-US" w:eastAsia="zh-CN"/>
              </w:rPr>
              <w:t>② 质量管理措施及质量保证体系基本完整,应对措施合理可行的得4分；</w:t>
            </w:r>
          </w:p>
          <w:p w14:paraId="13BBCF62">
            <w:pPr>
              <w:bidi w:val="0"/>
              <w:spacing w:line="360" w:lineRule="auto"/>
              <w:rPr>
                <w:rFonts w:hint="eastAsia"/>
                <w:highlight w:val="none"/>
                <w:lang w:val="en-US" w:eastAsia="zh-CN"/>
              </w:rPr>
            </w:pPr>
            <w:r>
              <w:rPr>
                <w:rFonts w:hint="eastAsia"/>
                <w:highlight w:val="none"/>
                <w:lang w:val="en-US" w:eastAsia="zh-CN"/>
              </w:rPr>
              <w:t>③ 质量管理措施及质量保证体系较为简单，应对措施可行性较差的得2分；</w:t>
            </w:r>
          </w:p>
          <w:p w14:paraId="41F2833D">
            <w:pPr>
              <w:bidi w:val="0"/>
              <w:spacing w:line="360" w:lineRule="auto"/>
              <w:rPr>
                <w:rFonts w:hint="eastAsia"/>
                <w:highlight w:val="none"/>
                <w:lang w:val="en-US" w:eastAsia="zh-CN"/>
              </w:rPr>
            </w:pPr>
            <w:r>
              <w:rPr>
                <w:rFonts w:hint="eastAsia"/>
                <w:highlight w:val="none"/>
                <w:lang w:val="en-US" w:eastAsia="zh-CN"/>
              </w:rPr>
              <w:t>④ 未提供措施或措施不符合项目需求不得分。</w:t>
            </w:r>
          </w:p>
        </w:tc>
      </w:tr>
      <w:tr w14:paraId="24E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vMerge w:val="restart"/>
            <w:shd w:val="clear" w:color="auto" w:fill="auto"/>
            <w:vAlign w:val="center"/>
          </w:tcPr>
          <w:p w14:paraId="39A5B568">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5.9</w:t>
            </w:r>
          </w:p>
        </w:tc>
        <w:tc>
          <w:tcPr>
            <w:tcW w:w="1590" w:type="dxa"/>
            <w:gridSpan w:val="2"/>
            <w:vMerge w:val="restart"/>
            <w:shd w:val="clear" w:color="auto" w:fill="auto"/>
            <w:vAlign w:val="center"/>
          </w:tcPr>
          <w:p w14:paraId="02648CC6">
            <w:pPr>
              <w:spacing w:line="360" w:lineRule="exact"/>
              <w:ind w:left="-50"/>
              <w:jc w:val="center"/>
              <w:rPr>
                <w:rFonts w:hint="eastAsia" w:ascii="宋体" w:hAnsi="宋体" w:eastAsia="宋体" w:cs="宋体"/>
                <w:sz w:val="21"/>
                <w:szCs w:val="21"/>
                <w:highlight w:val="none"/>
                <w:lang w:val="en-US" w:eastAsia="zh-CN"/>
              </w:rPr>
            </w:pPr>
            <w:r>
              <w:rPr>
                <w:rFonts w:hint="eastAsia" w:ascii="宋体" w:hAnsi="宋体" w:eastAsia="宋体" w:cs="宋体"/>
                <w:b w:val="0"/>
                <w:bCs/>
                <w:sz w:val="21"/>
                <w:szCs w:val="21"/>
                <w:highlight w:val="none"/>
                <w:lang w:val="en-US" w:eastAsia="zh-CN"/>
              </w:rPr>
              <w:t>应急响应</w:t>
            </w:r>
          </w:p>
        </w:tc>
        <w:tc>
          <w:tcPr>
            <w:tcW w:w="1151" w:type="dxa"/>
            <w:gridSpan w:val="2"/>
            <w:shd w:val="clear" w:color="auto" w:fill="auto"/>
            <w:vAlign w:val="center"/>
          </w:tcPr>
          <w:p w14:paraId="24F6F5B6">
            <w:pPr>
              <w:spacing w:line="360" w:lineRule="auto"/>
              <w:ind w:left="-50"/>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0-9分</w:t>
            </w:r>
          </w:p>
        </w:tc>
        <w:tc>
          <w:tcPr>
            <w:tcW w:w="6740" w:type="dxa"/>
            <w:gridSpan w:val="3"/>
            <w:shd w:val="clear" w:color="auto" w:fill="auto"/>
            <w:vAlign w:val="center"/>
          </w:tcPr>
          <w:p w14:paraId="5409D7FA">
            <w:pPr>
              <w:pStyle w:val="2"/>
              <w:rPr>
                <w:rFonts w:hint="eastAsia"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根据供应商对于本地突发事件的应急响应时间、应急响应到达能力等应急响应水平进行综合评分</w:t>
            </w:r>
            <w:r>
              <w:rPr>
                <w:rFonts w:hint="eastAsia" w:hAnsi="宋体" w:eastAsia="宋体" w:cs="宋体"/>
                <w:b w:val="0"/>
                <w:bCs/>
                <w:sz w:val="21"/>
                <w:szCs w:val="21"/>
                <w:highlight w:val="none"/>
                <w:lang w:val="en-US" w:eastAsia="zh-CN"/>
              </w:rPr>
              <w:t>：</w:t>
            </w:r>
          </w:p>
          <w:p w14:paraId="405616E5">
            <w:pPr>
              <w:pStyle w:val="2"/>
              <w:rPr>
                <w:rFonts w:hint="eastAsia"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 xml:space="preserve">① </w:t>
            </w:r>
            <w:r>
              <w:rPr>
                <w:rFonts w:hint="eastAsia" w:ascii="宋体" w:hAnsi="宋体" w:eastAsia="宋体" w:cs="宋体"/>
                <w:b w:val="0"/>
                <w:bCs/>
                <w:sz w:val="21"/>
                <w:szCs w:val="21"/>
                <w:highlight w:val="none"/>
                <w:lang w:val="en-US" w:eastAsia="zh-CN"/>
              </w:rPr>
              <w:t>供应商能提供快速便捷、及时安全的应急响应保障能力的得</w:t>
            </w:r>
            <w:r>
              <w:rPr>
                <w:rFonts w:hint="eastAsia" w:hAnsi="宋体" w:eastAsia="宋体" w:cs="宋体"/>
                <w:b w:val="0"/>
                <w:bCs/>
                <w:sz w:val="21"/>
                <w:szCs w:val="21"/>
                <w:highlight w:val="none"/>
                <w:lang w:val="en-US" w:eastAsia="zh-CN"/>
              </w:rPr>
              <w:t>9</w:t>
            </w:r>
            <w:r>
              <w:rPr>
                <w:rFonts w:hint="eastAsia" w:ascii="宋体" w:hAnsi="宋体" w:eastAsia="宋体" w:cs="宋体"/>
                <w:b w:val="0"/>
                <w:bCs/>
                <w:sz w:val="21"/>
                <w:szCs w:val="21"/>
                <w:highlight w:val="none"/>
                <w:lang w:val="en-US" w:eastAsia="zh-CN"/>
              </w:rPr>
              <w:t>分</w:t>
            </w:r>
            <w:r>
              <w:rPr>
                <w:rFonts w:hint="eastAsia" w:hAnsi="宋体" w:eastAsia="宋体" w:cs="宋体"/>
                <w:b w:val="0"/>
                <w:bCs/>
                <w:sz w:val="21"/>
                <w:szCs w:val="21"/>
                <w:highlight w:val="none"/>
                <w:lang w:val="en-US" w:eastAsia="zh-CN"/>
              </w:rPr>
              <w:t>；</w:t>
            </w:r>
          </w:p>
          <w:p w14:paraId="0240B1D5">
            <w:pPr>
              <w:pStyle w:val="2"/>
              <w:rPr>
                <w:rFonts w:hint="eastAsia"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 xml:space="preserve">② </w:t>
            </w:r>
            <w:r>
              <w:rPr>
                <w:rFonts w:hint="eastAsia" w:ascii="宋体" w:hAnsi="宋体" w:eastAsia="宋体" w:cs="宋体"/>
                <w:b w:val="0"/>
                <w:bCs/>
                <w:sz w:val="21"/>
                <w:szCs w:val="21"/>
                <w:highlight w:val="none"/>
                <w:lang w:val="en-US" w:eastAsia="zh-CN"/>
              </w:rPr>
              <w:t>应急响应速度及保障能力较一般</w:t>
            </w:r>
            <w:r>
              <w:rPr>
                <w:rFonts w:hint="eastAsia" w:hAnsi="宋体" w:eastAsia="宋体" w:cs="宋体"/>
                <w:b w:val="0"/>
                <w:bCs/>
                <w:sz w:val="21"/>
                <w:szCs w:val="21"/>
                <w:highlight w:val="none"/>
                <w:lang w:val="en-US" w:eastAsia="zh-CN"/>
              </w:rPr>
              <w:t>，不够及时</w:t>
            </w:r>
            <w:r>
              <w:rPr>
                <w:rFonts w:hint="eastAsia" w:ascii="宋体" w:hAnsi="宋体" w:eastAsia="宋体" w:cs="宋体"/>
                <w:b w:val="0"/>
                <w:bCs/>
                <w:sz w:val="21"/>
                <w:szCs w:val="21"/>
                <w:highlight w:val="none"/>
                <w:lang w:val="en-US" w:eastAsia="zh-CN"/>
              </w:rPr>
              <w:t>的</w:t>
            </w:r>
            <w:r>
              <w:rPr>
                <w:rFonts w:hint="eastAsia"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lang w:val="en-US" w:eastAsia="zh-CN"/>
              </w:rPr>
              <w:t>分</w:t>
            </w:r>
            <w:r>
              <w:rPr>
                <w:rFonts w:hint="eastAsia" w:hAnsi="宋体" w:eastAsia="宋体" w:cs="宋体"/>
                <w:b w:val="0"/>
                <w:bCs/>
                <w:sz w:val="21"/>
                <w:szCs w:val="21"/>
                <w:highlight w:val="none"/>
                <w:lang w:val="en-US" w:eastAsia="zh-CN"/>
              </w:rPr>
              <w:t>；</w:t>
            </w:r>
          </w:p>
          <w:p w14:paraId="1E261B18">
            <w:pPr>
              <w:pStyle w:val="2"/>
              <w:rPr>
                <w:rFonts w:hint="eastAsia" w:ascii="宋体"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 xml:space="preserve">③ </w:t>
            </w:r>
            <w:r>
              <w:rPr>
                <w:rFonts w:hint="eastAsia" w:ascii="宋体" w:hAnsi="宋体" w:eastAsia="宋体" w:cs="宋体"/>
                <w:b w:val="0"/>
                <w:bCs/>
                <w:sz w:val="21"/>
                <w:szCs w:val="21"/>
                <w:highlight w:val="none"/>
                <w:lang w:val="en-US" w:eastAsia="zh-CN"/>
              </w:rPr>
              <w:t>应急响应速度及保障能力较差</w:t>
            </w:r>
            <w:r>
              <w:rPr>
                <w:rFonts w:hint="eastAsia" w:hAnsi="宋体" w:eastAsia="宋体" w:cs="宋体"/>
                <w:b w:val="0"/>
                <w:bCs/>
                <w:sz w:val="21"/>
                <w:szCs w:val="21"/>
                <w:highlight w:val="none"/>
                <w:lang w:val="en-US" w:eastAsia="zh-CN"/>
              </w:rPr>
              <w:t>，不及时</w:t>
            </w:r>
            <w:r>
              <w:rPr>
                <w:rFonts w:hint="eastAsia" w:ascii="宋体" w:hAnsi="宋体" w:eastAsia="宋体" w:cs="宋体"/>
                <w:b w:val="0"/>
                <w:bCs/>
                <w:sz w:val="21"/>
                <w:szCs w:val="21"/>
                <w:highlight w:val="none"/>
                <w:lang w:val="en-US" w:eastAsia="zh-CN"/>
              </w:rPr>
              <w:t>的得</w:t>
            </w:r>
            <w:r>
              <w:rPr>
                <w:rFonts w:hint="eastAsia"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p>
          <w:p w14:paraId="4ABB16DA">
            <w:pPr>
              <w:pStyle w:val="2"/>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 未提供方案或方案不符合项目需求不得分。</w:t>
            </w:r>
          </w:p>
          <w:p w14:paraId="16974E39">
            <w:pPr>
              <w:pStyle w:val="2"/>
              <w:rPr>
                <w:rFonts w:hint="eastAsia" w:ascii="宋体"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注：</w:t>
            </w:r>
            <w:r>
              <w:rPr>
                <w:rFonts w:hint="eastAsia" w:ascii="宋体" w:hAnsi="宋体" w:eastAsia="宋体" w:cs="宋体"/>
                <w:b w:val="0"/>
                <w:bCs/>
                <w:sz w:val="21"/>
                <w:szCs w:val="21"/>
                <w:highlight w:val="none"/>
                <w:lang w:val="en-US" w:eastAsia="zh-CN"/>
              </w:rPr>
              <w:t>须提应急响应方案</w:t>
            </w:r>
            <w:r>
              <w:rPr>
                <w:rFonts w:hint="eastAsia" w:hAnsi="宋体" w:eastAsia="宋体" w:cs="宋体"/>
                <w:b w:val="0"/>
                <w:bCs/>
                <w:sz w:val="21"/>
                <w:szCs w:val="21"/>
                <w:highlight w:val="none"/>
                <w:lang w:val="en-US" w:eastAsia="zh-CN"/>
              </w:rPr>
              <w:t>。</w:t>
            </w:r>
          </w:p>
        </w:tc>
      </w:tr>
      <w:tr w14:paraId="289B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vMerge w:val="continue"/>
            <w:shd w:val="clear" w:color="auto" w:fill="auto"/>
            <w:vAlign w:val="center"/>
          </w:tcPr>
          <w:p w14:paraId="76D25DF6">
            <w:pPr>
              <w:spacing w:line="360" w:lineRule="exact"/>
              <w:ind w:left="-50"/>
              <w:jc w:val="center"/>
              <w:rPr>
                <w:rFonts w:hint="default" w:ascii="宋体" w:hAnsi="宋体" w:eastAsia="宋体" w:cs="宋体"/>
                <w:sz w:val="21"/>
                <w:szCs w:val="21"/>
                <w:highlight w:val="none"/>
                <w:lang w:val="en-US" w:eastAsia="zh-CN"/>
              </w:rPr>
            </w:pPr>
          </w:p>
        </w:tc>
        <w:tc>
          <w:tcPr>
            <w:tcW w:w="1590" w:type="dxa"/>
            <w:gridSpan w:val="2"/>
            <w:vMerge w:val="continue"/>
            <w:shd w:val="clear" w:color="auto" w:fill="auto"/>
            <w:vAlign w:val="center"/>
          </w:tcPr>
          <w:p w14:paraId="2AAF25E6">
            <w:pPr>
              <w:spacing w:line="360" w:lineRule="exact"/>
              <w:ind w:left="-50"/>
              <w:jc w:val="center"/>
              <w:rPr>
                <w:rFonts w:hint="eastAsia" w:ascii="宋体" w:hAnsi="宋体" w:eastAsia="宋体" w:cs="宋体"/>
                <w:sz w:val="21"/>
                <w:szCs w:val="21"/>
                <w:highlight w:val="none"/>
                <w:lang w:val="en-US" w:eastAsia="zh-CN"/>
              </w:rPr>
            </w:pPr>
          </w:p>
        </w:tc>
        <w:tc>
          <w:tcPr>
            <w:tcW w:w="1151" w:type="dxa"/>
            <w:gridSpan w:val="2"/>
            <w:shd w:val="clear" w:color="auto" w:fill="auto"/>
            <w:vAlign w:val="center"/>
          </w:tcPr>
          <w:p w14:paraId="34EEE5AF">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0-9分</w:t>
            </w:r>
          </w:p>
        </w:tc>
        <w:tc>
          <w:tcPr>
            <w:tcW w:w="6740" w:type="dxa"/>
            <w:gridSpan w:val="3"/>
            <w:shd w:val="clear" w:color="auto" w:fill="auto"/>
            <w:vAlign w:val="center"/>
          </w:tcPr>
          <w:p w14:paraId="00267DCD">
            <w:pPr>
              <w:pStyle w:val="2"/>
              <w:rPr>
                <w:rFonts w:hint="eastAsia"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根据供应商对于本地突发事件的应急响应力量投入能力、实际响应实施能力等应急响应水平进行综合评分</w:t>
            </w:r>
            <w:r>
              <w:rPr>
                <w:rFonts w:hint="eastAsia" w:hAnsi="宋体" w:eastAsia="宋体" w:cs="宋体"/>
                <w:b w:val="0"/>
                <w:bCs/>
                <w:sz w:val="21"/>
                <w:szCs w:val="21"/>
                <w:highlight w:val="none"/>
                <w:lang w:val="en-US" w:eastAsia="zh-CN"/>
              </w:rPr>
              <w:t>：</w:t>
            </w:r>
          </w:p>
          <w:p w14:paraId="697A7070">
            <w:pPr>
              <w:pStyle w:val="2"/>
              <w:rPr>
                <w:rFonts w:hint="eastAsia"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 xml:space="preserve">① </w:t>
            </w:r>
            <w:r>
              <w:rPr>
                <w:rFonts w:hint="eastAsia" w:ascii="宋体" w:hAnsi="宋体" w:eastAsia="宋体" w:cs="宋体"/>
                <w:b w:val="0"/>
                <w:bCs/>
                <w:sz w:val="21"/>
                <w:szCs w:val="21"/>
                <w:highlight w:val="none"/>
                <w:lang w:val="en-US" w:eastAsia="zh-CN"/>
              </w:rPr>
              <w:t>供应商能</w:t>
            </w:r>
            <w:r>
              <w:rPr>
                <w:rFonts w:hint="eastAsia" w:hAnsi="宋体" w:eastAsia="宋体" w:cs="宋体"/>
                <w:b w:val="0"/>
                <w:bCs/>
                <w:sz w:val="21"/>
                <w:szCs w:val="21"/>
                <w:highlight w:val="none"/>
                <w:lang w:val="en-US" w:eastAsia="zh-CN"/>
              </w:rPr>
              <w:t>完全保障</w:t>
            </w:r>
            <w:r>
              <w:rPr>
                <w:rFonts w:hint="eastAsia" w:ascii="宋体" w:hAnsi="宋体" w:eastAsia="宋体" w:cs="宋体"/>
                <w:b w:val="0"/>
                <w:bCs/>
                <w:sz w:val="21"/>
                <w:szCs w:val="21"/>
                <w:highlight w:val="none"/>
                <w:lang w:val="en-US" w:eastAsia="zh-CN"/>
              </w:rPr>
              <w:t>应急响应力量投入能力、实际响应实施能力的</w:t>
            </w:r>
            <w:r>
              <w:rPr>
                <w:rFonts w:hint="eastAsia"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得</w:t>
            </w:r>
            <w:r>
              <w:rPr>
                <w:rFonts w:hint="eastAsia" w:hAnsi="宋体" w:eastAsia="宋体" w:cs="宋体"/>
                <w:b w:val="0"/>
                <w:bCs/>
                <w:sz w:val="21"/>
                <w:szCs w:val="21"/>
                <w:highlight w:val="none"/>
                <w:lang w:val="en-US" w:eastAsia="zh-CN"/>
              </w:rPr>
              <w:t>9</w:t>
            </w:r>
            <w:r>
              <w:rPr>
                <w:rFonts w:hint="eastAsia" w:ascii="宋体" w:hAnsi="宋体" w:eastAsia="宋体" w:cs="宋体"/>
                <w:b w:val="0"/>
                <w:bCs/>
                <w:sz w:val="21"/>
                <w:szCs w:val="21"/>
                <w:highlight w:val="none"/>
                <w:lang w:val="en-US" w:eastAsia="zh-CN"/>
              </w:rPr>
              <w:t>分</w:t>
            </w:r>
            <w:r>
              <w:rPr>
                <w:rFonts w:hint="eastAsia" w:hAnsi="宋体" w:eastAsia="宋体" w:cs="宋体"/>
                <w:b w:val="0"/>
                <w:bCs/>
                <w:sz w:val="21"/>
                <w:szCs w:val="21"/>
                <w:highlight w:val="none"/>
                <w:lang w:val="en-US" w:eastAsia="zh-CN"/>
              </w:rPr>
              <w:t>；</w:t>
            </w:r>
          </w:p>
          <w:p w14:paraId="717004E6">
            <w:pPr>
              <w:pStyle w:val="2"/>
              <w:rPr>
                <w:rFonts w:hint="eastAsia"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 xml:space="preserve">② </w:t>
            </w:r>
            <w:r>
              <w:rPr>
                <w:rFonts w:hint="eastAsia" w:ascii="宋体" w:hAnsi="宋体" w:eastAsia="宋体" w:cs="宋体"/>
                <w:b w:val="0"/>
                <w:bCs/>
                <w:sz w:val="21"/>
                <w:szCs w:val="21"/>
                <w:highlight w:val="none"/>
                <w:lang w:val="en-US" w:eastAsia="zh-CN"/>
              </w:rPr>
              <w:t>供应商</w:t>
            </w:r>
            <w:r>
              <w:rPr>
                <w:rFonts w:hint="eastAsia" w:hAnsi="宋体" w:eastAsia="宋体" w:cs="宋体"/>
                <w:b w:val="0"/>
                <w:bCs/>
                <w:sz w:val="21"/>
                <w:szCs w:val="21"/>
                <w:highlight w:val="none"/>
                <w:lang w:val="en-US" w:eastAsia="zh-CN"/>
              </w:rPr>
              <w:t>较</w:t>
            </w:r>
            <w:r>
              <w:rPr>
                <w:rFonts w:hint="eastAsia" w:ascii="宋体" w:hAnsi="宋体" w:eastAsia="宋体" w:cs="宋体"/>
                <w:b w:val="0"/>
                <w:bCs/>
                <w:sz w:val="21"/>
                <w:szCs w:val="21"/>
                <w:highlight w:val="none"/>
                <w:lang w:val="en-US" w:eastAsia="zh-CN"/>
              </w:rPr>
              <w:t>能</w:t>
            </w:r>
            <w:r>
              <w:rPr>
                <w:rFonts w:hint="eastAsia" w:hAnsi="宋体" w:eastAsia="宋体" w:cs="宋体"/>
                <w:b w:val="0"/>
                <w:bCs/>
                <w:sz w:val="21"/>
                <w:szCs w:val="21"/>
                <w:highlight w:val="none"/>
                <w:lang w:val="en-US" w:eastAsia="zh-CN"/>
              </w:rPr>
              <w:t>保障</w:t>
            </w:r>
            <w:r>
              <w:rPr>
                <w:rFonts w:hint="eastAsia" w:ascii="宋体" w:hAnsi="宋体" w:eastAsia="宋体" w:cs="宋体"/>
                <w:b w:val="0"/>
                <w:bCs/>
                <w:sz w:val="21"/>
                <w:szCs w:val="21"/>
                <w:highlight w:val="none"/>
                <w:lang w:val="en-US" w:eastAsia="zh-CN"/>
              </w:rPr>
              <w:t>应急响应力量投入能力、实际响应实施能力的</w:t>
            </w:r>
            <w:r>
              <w:rPr>
                <w:rFonts w:hint="eastAsia"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得</w:t>
            </w:r>
            <w:r>
              <w:rPr>
                <w:rFonts w:hint="eastAsia"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lang w:val="en-US" w:eastAsia="zh-CN"/>
              </w:rPr>
              <w:t>分</w:t>
            </w:r>
            <w:r>
              <w:rPr>
                <w:rFonts w:hint="eastAsia" w:hAnsi="宋体" w:eastAsia="宋体" w:cs="宋体"/>
                <w:b w:val="0"/>
                <w:bCs/>
                <w:sz w:val="21"/>
                <w:szCs w:val="21"/>
                <w:highlight w:val="none"/>
                <w:lang w:val="en-US" w:eastAsia="zh-CN"/>
              </w:rPr>
              <w:t>；</w:t>
            </w:r>
          </w:p>
          <w:p w14:paraId="5DCA9745">
            <w:pPr>
              <w:pStyle w:val="2"/>
              <w:rPr>
                <w:rFonts w:hint="eastAsia" w:ascii="宋体"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 xml:space="preserve">③ </w:t>
            </w:r>
            <w:r>
              <w:rPr>
                <w:rFonts w:hint="eastAsia" w:ascii="宋体" w:hAnsi="宋体" w:eastAsia="宋体" w:cs="宋体"/>
                <w:b w:val="0"/>
                <w:bCs/>
                <w:sz w:val="21"/>
                <w:szCs w:val="21"/>
                <w:highlight w:val="none"/>
                <w:lang w:val="en-US" w:eastAsia="zh-CN"/>
              </w:rPr>
              <w:t>供应商</w:t>
            </w:r>
            <w:r>
              <w:rPr>
                <w:rFonts w:hint="eastAsia" w:hAnsi="宋体" w:eastAsia="宋体" w:cs="宋体"/>
                <w:b w:val="0"/>
                <w:bCs/>
                <w:sz w:val="21"/>
                <w:szCs w:val="21"/>
                <w:highlight w:val="none"/>
                <w:lang w:val="en-US" w:eastAsia="zh-CN"/>
              </w:rPr>
              <w:t>不够能保障</w:t>
            </w:r>
            <w:r>
              <w:rPr>
                <w:rFonts w:hint="eastAsia" w:ascii="宋体" w:hAnsi="宋体" w:eastAsia="宋体" w:cs="宋体"/>
                <w:b w:val="0"/>
                <w:bCs/>
                <w:sz w:val="21"/>
                <w:szCs w:val="21"/>
                <w:highlight w:val="none"/>
                <w:lang w:val="en-US" w:eastAsia="zh-CN"/>
              </w:rPr>
              <w:t>应急响应力量投入能力、实际响应实施能力的</w:t>
            </w:r>
            <w:r>
              <w:rPr>
                <w:rFonts w:hint="eastAsia"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得</w:t>
            </w:r>
            <w:r>
              <w:rPr>
                <w:rFonts w:hint="eastAsia"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w:t>
            </w:r>
            <w:r>
              <w:rPr>
                <w:rFonts w:hint="eastAsia" w:hAnsi="宋体" w:eastAsia="宋体" w:cs="宋体"/>
                <w:b w:val="0"/>
                <w:bCs/>
                <w:sz w:val="21"/>
                <w:szCs w:val="21"/>
                <w:highlight w:val="none"/>
                <w:lang w:val="en-US" w:eastAsia="zh-CN"/>
              </w:rPr>
              <w:t>；</w:t>
            </w:r>
          </w:p>
          <w:p w14:paraId="441DC91C">
            <w:pPr>
              <w:pStyle w:val="2"/>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 未提供方案或方案不符合项目需求不得分。</w:t>
            </w:r>
          </w:p>
          <w:p w14:paraId="58E577E8">
            <w:pPr>
              <w:pStyle w:val="2"/>
              <w:rPr>
                <w:rFonts w:hint="eastAsia" w:ascii="宋体"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注：</w:t>
            </w:r>
            <w:r>
              <w:rPr>
                <w:rFonts w:hint="eastAsia" w:ascii="宋体" w:hAnsi="宋体" w:eastAsia="宋体" w:cs="宋体"/>
                <w:b w:val="0"/>
                <w:bCs/>
                <w:sz w:val="21"/>
                <w:szCs w:val="21"/>
                <w:highlight w:val="none"/>
                <w:lang w:val="en-US" w:eastAsia="zh-CN"/>
              </w:rPr>
              <w:t>须提应急响应方案</w:t>
            </w:r>
            <w:r>
              <w:rPr>
                <w:rFonts w:hint="eastAsia" w:hAnsi="宋体" w:eastAsia="宋体" w:cs="宋体"/>
                <w:b w:val="0"/>
                <w:bCs/>
                <w:sz w:val="21"/>
                <w:szCs w:val="21"/>
                <w:highlight w:val="none"/>
                <w:lang w:val="en-US" w:eastAsia="zh-CN"/>
              </w:rPr>
              <w:t>。</w:t>
            </w:r>
          </w:p>
        </w:tc>
      </w:tr>
      <w:tr w14:paraId="32EB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6" w:type="dxa"/>
            <w:vMerge w:val="continue"/>
            <w:shd w:val="clear" w:color="auto" w:fill="auto"/>
            <w:vAlign w:val="center"/>
          </w:tcPr>
          <w:p w14:paraId="2B9AE792">
            <w:pPr>
              <w:spacing w:line="360" w:lineRule="exact"/>
              <w:ind w:left="-50"/>
              <w:jc w:val="center"/>
              <w:rPr>
                <w:rFonts w:hint="eastAsia" w:ascii="宋体" w:hAnsi="宋体" w:eastAsia="宋体" w:cs="宋体"/>
                <w:sz w:val="21"/>
                <w:szCs w:val="21"/>
                <w:highlight w:val="none"/>
                <w:lang w:val="en-US" w:eastAsia="zh-CN"/>
              </w:rPr>
            </w:pPr>
          </w:p>
        </w:tc>
        <w:tc>
          <w:tcPr>
            <w:tcW w:w="1590" w:type="dxa"/>
            <w:gridSpan w:val="2"/>
            <w:vMerge w:val="continue"/>
            <w:shd w:val="clear" w:color="auto" w:fill="auto"/>
            <w:vAlign w:val="center"/>
          </w:tcPr>
          <w:p w14:paraId="5712A9F7">
            <w:pPr>
              <w:spacing w:line="360" w:lineRule="exact"/>
              <w:ind w:left="-50"/>
              <w:jc w:val="center"/>
              <w:rPr>
                <w:rFonts w:hint="eastAsia" w:ascii="宋体" w:hAnsi="宋体" w:eastAsia="宋体" w:cs="宋体"/>
                <w:b w:val="0"/>
                <w:bCs/>
                <w:sz w:val="21"/>
                <w:szCs w:val="21"/>
                <w:highlight w:val="none"/>
                <w:lang w:val="en-US" w:eastAsia="zh-CN"/>
              </w:rPr>
            </w:pPr>
          </w:p>
        </w:tc>
        <w:tc>
          <w:tcPr>
            <w:tcW w:w="1151" w:type="dxa"/>
            <w:gridSpan w:val="2"/>
            <w:shd w:val="clear" w:color="auto" w:fill="auto"/>
            <w:vAlign w:val="center"/>
          </w:tcPr>
          <w:p w14:paraId="507A3520">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0-2分</w:t>
            </w:r>
          </w:p>
        </w:tc>
        <w:tc>
          <w:tcPr>
            <w:tcW w:w="6740" w:type="dxa"/>
            <w:gridSpan w:val="3"/>
            <w:shd w:val="clear" w:color="auto" w:fill="auto"/>
            <w:vAlign w:val="center"/>
          </w:tcPr>
          <w:p w14:paraId="21C289FD">
            <w:pPr>
              <w:pStyle w:val="2"/>
              <w:rPr>
                <w:rFonts w:hint="default" w:hAnsi="宋体" w:eastAsia="宋体" w:cs="宋体"/>
                <w:b w:val="0"/>
                <w:bCs/>
                <w:sz w:val="21"/>
                <w:szCs w:val="21"/>
                <w:highlight w:val="none"/>
                <w:lang w:val="en-US" w:eastAsia="zh-CN"/>
              </w:rPr>
            </w:pPr>
            <w:r>
              <w:rPr>
                <w:rFonts w:hint="eastAsia" w:hAnsi="宋体" w:eastAsia="宋体" w:cs="宋体"/>
                <w:b w:val="0"/>
                <w:bCs/>
                <w:sz w:val="21"/>
                <w:szCs w:val="21"/>
                <w:highlight w:val="none"/>
                <w:lang w:val="en-US" w:eastAsia="zh-CN"/>
              </w:rPr>
              <w:t>投标供应商承诺1小时内对采购人做出应答，24小时内到场进行进行处理，提供承诺函，格式自拟，此项最高得2分。</w:t>
            </w:r>
          </w:p>
        </w:tc>
      </w:tr>
      <w:tr w14:paraId="76B4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7" w:type="dxa"/>
            <w:gridSpan w:val="2"/>
            <w:shd w:val="clear" w:color="auto" w:fill="auto"/>
            <w:vAlign w:val="center"/>
          </w:tcPr>
          <w:p w14:paraId="524794FF">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5.10</w:t>
            </w:r>
          </w:p>
        </w:tc>
        <w:tc>
          <w:tcPr>
            <w:tcW w:w="1591" w:type="dxa"/>
            <w:gridSpan w:val="2"/>
            <w:shd w:val="clear" w:color="auto" w:fill="auto"/>
            <w:vAlign w:val="center"/>
          </w:tcPr>
          <w:p w14:paraId="6E042392">
            <w:pPr>
              <w:spacing w:line="360" w:lineRule="exact"/>
              <w:ind w:left="-5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保险</w:t>
            </w:r>
          </w:p>
        </w:tc>
        <w:tc>
          <w:tcPr>
            <w:tcW w:w="1152" w:type="dxa"/>
            <w:gridSpan w:val="2"/>
            <w:shd w:val="clear" w:color="auto" w:fill="auto"/>
            <w:vAlign w:val="center"/>
          </w:tcPr>
          <w:p w14:paraId="6D385C6D">
            <w:pPr>
              <w:spacing w:line="360" w:lineRule="auto"/>
              <w:ind w:left="-5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0-5分</w:t>
            </w:r>
          </w:p>
        </w:tc>
        <w:tc>
          <w:tcPr>
            <w:tcW w:w="6737" w:type="dxa"/>
            <w:gridSpan w:val="2"/>
            <w:shd w:val="clear" w:color="auto" w:fill="auto"/>
            <w:vAlign w:val="center"/>
          </w:tcPr>
          <w:p w14:paraId="0F31BABB">
            <w:pPr>
              <w:pStyle w:val="2"/>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投标人有公众责任险累积赔偿金额</w:t>
            </w:r>
            <w:r>
              <w:rPr>
                <w:rFonts w:hint="eastAsia"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1000万(白蚁防治相关安全事故的保险)的得</w:t>
            </w:r>
            <w:r>
              <w:rPr>
                <w:rFonts w:hint="eastAsia"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分，累积赔偿金额500万</w:t>
            </w:r>
            <w:r>
              <w:rPr>
                <w:rFonts w:hint="eastAsia"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999万(白蚁防治相关安全事故的保险)的得</w:t>
            </w:r>
            <w:r>
              <w:rPr>
                <w:rFonts w:hint="eastAsia"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分，累积赔偿金额</w:t>
            </w:r>
            <w:r>
              <w:rPr>
                <w:rFonts w:hint="eastAsia"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499万(白蚁防治相关安全事故的保险)的得1分，需提供投标人单位的参保保单材料，未提供或不符合要求的不得分</w:t>
            </w:r>
            <w:r>
              <w:rPr>
                <w:rFonts w:hint="eastAsia" w:hAnsi="宋体" w:eastAsia="宋体" w:cs="宋体"/>
                <w:b w:val="0"/>
                <w:bCs/>
                <w:sz w:val="21"/>
                <w:szCs w:val="21"/>
                <w:highlight w:val="none"/>
                <w:lang w:val="en-US" w:eastAsia="zh-CN"/>
              </w:rPr>
              <w:t>。</w:t>
            </w:r>
          </w:p>
        </w:tc>
      </w:tr>
      <w:tr w14:paraId="577D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47" w:type="dxa"/>
            <w:gridSpan w:val="8"/>
            <w:vAlign w:val="center"/>
          </w:tcPr>
          <w:p w14:paraId="22E5A2B9">
            <w:pPr>
              <w:bidi w:val="0"/>
              <w:spacing w:line="360" w:lineRule="auto"/>
              <w:rPr>
                <w:rFonts w:hint="eastAsia"/>
                <w:highlight w:val="none"/>
                <w:lang w:val="en-US" w:eastAsia="zh-CN"/>
              </w:rPr>
            </w:pPr>
            <w:r>
              <w:rPr>
                <w:rFonts w:hint="eastAsia" w:ascii="宋体" w:hAnsi="宋体" w:eastAsia="宋体" w:cs="宋体"/>
                <w:b/>
                <w:spacing w:val="-6"/>
                <w:kern w:val="28"/>
                <w:sz w:val="21"/>
                <w:szCs w:val="21"/>
                <w:highlight w:val="none"/>
              </w:rPr>
              <w:t>注：所有证明资料</w:t>
            </w:r>
            <w:r>
              <w:rPr>
                <w:rFonts w:hint="eastAsia" w:ascii="宋体" w:hAnsi="宋体" w:eastAsia="宋体" w:cs="宋体"/>
                <w:b/>
                <w:spacing w:val="-6"/>
                <w:kern w:val="28"/>
                <w:sz w:val="21"/>
                <w:szCs w:val="21"/>
                <w:highlight w:val="none"/>
                <w:lang w:eastAsia="zh-CN"/>
              </w:rPr>
              <w:t>、</w:t>
            </w:r>
            <w:r>
              <w:rPr>
                <w:rFonts w:hint="eastAsia" w:ascii="宋体" w:hAnsi="宋体" w:eastAsia="宋体" w:cs="宋体"/>
                <w:b/>
                <w:spacing w:val="-6"/>
                <w:kern w:val="28"/>
                <w:sz w:val="21"/>
                <w:szCs w:val="21"/>
                <w:highlight w:val="none"/>
                <w:lang w:val="en-US" w:eastAsia="zh-CN"/>
              </w:rPr>
              <w:t>承诺、方案等均需</w:t>
            </w:r>
            <w:r>
              <w:rPr>
                <w:rFonts w:hint="eastAsia" w:ascii="宋体" w:hAnsi="宋体" w:eastAsia="宋体" w:cs="宋体"/>
                <w:b/>
                <w:spacing w:val="-6"/>
                <w:kern w:val="28"/>
                <w:sz w:val="21"/>
                <w:szCs w:val="21"/>
                <w:highlight w:val="none"/>
              </w:rPr>
              <w:t>提供扫描件加盖公章</w:t>
            </w:r>
            <w:r>
              <w:rPr>
                <w:rFonts w:hint="eastAsia" w:ascii="宋体" w:hAnsi="宋体" w:eastAsia="宋体" w:cs="宋体"/>
                <w:b/>
                <w:spacing w:val="-6"/>
                <w:kern w:val="28"/>
                <w:sz w:val="21"/>
                <w:szCs w:val="21"/>
                <w:highlight w:val="none"/>
                <w:lang w:eastAsia="zh-CN"/>
              </w:rPr>
              <w:t>，</w:t>
            </w:r>
            <w:r>
              <w:rPr>
                <w:rFonts w:hint="eastAsia" w:ascii="宋体" w:hAnsi="宋体" w:eastAsia="宋体" w:cs="宋体"/>
                <w:b/>
                <w:spacing w:val="-6"/>
                <w:kern w:val="28"/>
                <w:sz w:val="21"/>
                <w:szCs w:val="21"/>
                <w:highlight w:val="none"/>
                <w:lang w:val="en-US" w:eastAsia="zh-CN"/>
              </w:rPr>
              <w:t>否则不得分</w:t>
            </w:r>
            <w:r>
              <w:rPr>
                <w:rFonts w:hint="eastAsia" w:ascii="宋体" w:hAnsi="宋体" w:eastAsia="宋体" w:cs="宋体"/>
                <w:b/>
                <w:spacing w:val="-6"/>
                <w:kern w:val="28"/>
                <w:sz w:val="21"/>
                <w:szCs w:val="21"/>
                <w:highlight w:val="none"/>
              </w:rPr>
              <w:t>。</w:t>
            </w:r>
          </w:p>
        </w:tc>
      </w:tr>
      <w:bookmarkEnd w:id="462"/>
    </w:tbl>
    <w:p w14:paraId="2F2DC699">
      <w:pPr>
        <w:spacing w:line="360" w:lineRule="auto"/>
        <w:rPr>
          <w:rFonts w:ascii="宋体" w:hAnsi="宋体" w:eastAsia="宋体" w:cs="宋体"/>
          <w:bCs/>
          <w:kern w:val="28"/>
          <w:highlight w:val="none"/>
        </w:rPr>
      </w:pPr>
      <w:r>
        <w:rPr>
          <w:rFonts w:hint="eastAsia" w:ascii="宋体" w:hAnsi="宋体" w:eastAsia="宋体" w:cs="宋体"/>
          <w:bCs/>
          <w:kern w:val="28"/>
          <w:highlight w:val="none"/>
        </w:rPr>
        <w:t>磋商程序详见第二部分磋商供应商须知“（六）磋商与评审”</w:t>
      </w:r>
    </w:p>
    <w:p w14:paraId="5A03EE88">
      <w:pPr>
        <w:spacing w:line="360" w:lineRule="auto"/>
        <w:rPr>
          <w:rFonts w:ascii="宋体" w:hAnsi="宋体" w:eastAsia="宋体" w:cs="宋体"/>
          <w:bCs/>
          <w:kern w:val="28"/>
          <w:highlight w:val="none"/>
        </w:rPr>
      </w:pPr>
      <w:r>
        <w:rPr>
          <w:rFonts w:hint="eastAsia" w:ascii="宋体" w:hAnsi="宋体" w:eastAsia="宋体" w:cs="宋体"/>
          <w:bCs/>
          <w:kern w:val="28"/>
          <w:highlight w:val="none"/>
        </w:rPr>
        <w:t>注：以上单位、人员各类证明文件扫描件均需加盖电子签章，附在响应文件中；提供材料不真实、不完整或伪造证明材料的，后果自负。</w:t>
      </w:r>
    </w:p>
    <w:p w14:paraId="706E325C">
      <w:pPr>
        <w:spacing w:line="360" w:lineRule="auto"/>
        <w:rPr>
          <w:rFonts w:ascii="宋体" w:hAnsi="宋体" w:eastAsia="宋体" w:cs="宋体"/>
          <w:b/>
          <w:kern w:val="28"/>
          <w:highlight w:val="none"/>
        </w:rPr>
      </w:pPr>
      <w:r>
        <w:rPr>
          <w:rFonts w:hint="eastAsia" w:ascii="宋体" w:hAnsi="宋体" w:eastAsia="宋体" w:cs="宋体"/>
          <w:b/>
          <w:kern w:val="28"/>
          <w:highlight w:val="none"/>
        </w:rPr>
        <w:t>综合得分的计算：</w:t>
      </w:r>
    </w:p>
    <w:p w14:paraId="004C56B4">
      <w:pPr>
        <w:spacing w:line="360" w:lineRule="auto"/>
        <w:rPr>
          <w:rFonts w:ascii="宋体" w:hAnsi="宋体" w:eastAsia="宋体" w:cs="宋体"/>
          <w:bCs/>
          <w:kern w:val="28"/>
          <w:highlight w:val="none"/>
        </w:rPr>
      </w:pPr>
      <w:r>
        <w:rPr>
          <w:rFonts w:hint="eastAsia" w:ascii="宋体" w:hAnsi="宋体" w:eastAsia="宋体" w:cs="宋体"/>
          <w:bCs/>
          <w:kern w:val="28"/>
          <w:highlight w:val="none"/>
        </w:rPr>
        <w:t>商务分得分根据磋商文件约定的因素和方法进行计算，商务分得分=A</w:t>
      </w:r>
    </w:p>
    <w:p w14:paraId="03D586F9">
      <w:pPr>
        <w:spacing w:line="360" w:lineRule="auto"/>
        <w:rPr>
          <w:rFonts w:ascii="宋体" w:hAnsi="宋体" w:eastAsia="宋体" w:cs="宋体"/>
          <w:bCs/>
          <w:kern w:val="28"/>
          <w:highlight w:val="none"/>
        </w:rPr>
      </w:pPr>
      <w:r>
        <w:rPr>
          <w:rFonts w:hint="eastAsia" w:ascii="宋体" w:hAnsi="宋体" w:eastAsia="宋体" w:cs="宋体"/>
          <w:bCs/>
          <w:kern w:val="28"/>
          <w:highlight w:val="none"/>
        </w:rPr>
        <w:t>技术资信分得分按照磋商小组成员的独立评分结果汇总数算术平均分=B</w:t>
      </w:r>
    </w:p>
    <w:p w14:paraId="0D6F845B">
      <w:pPr>
        <w:spacing w:line="360" w:lineRule="auto"/>
        <w:rPr>
          <w:rFonts w:ascii="宋体" w:hAnsi="宋体" w:eastAsia="宋体" w:cs="宋体"/>
          <w:bCs/>
          <w:kern w:val="28"/>
          <w:highlight w:val="none"/>
        </w:rPr>
      </w:pPr>
      <w:r>
        <w:rPr>
          <w:rFonts w:hint="eastAsia" w:ascii="宋体" w:hAnsi="宋体" w:eastAsia="宋体" w:cs="宋体"/>
          <w:bCs/>
          <w:kern w:val="28"/>
          <w:highlight w:val="none"/>
        </w:rPr>
        <w:t>综合得分=A+B</w:t>
      </w:r>
    </w:p>
    <w:p w14:paraId="6839B4F5">
      <w:pPr>
        <w:spacing w:line="360" w:lineRule="auto"/>
        <w:outlineLvl w:val="1"/>
        <w:rPr>
          <w:rFonts w:ascii="宋体" w:hAnsi="宋体" w:eastAsia="宋体" w:cs="宋体"/>
          <w:b/>
          <w:bCs/>
          <w:kern w:val="28"/>
          <w:highlight w:val="none"/>
        </w:rPr>
      </w:pPr>
      <w:bookmarkStart w:id="446" w:name="_Toc16527"/>
      <w:r>
        <w:rPr>
          <w:rFonts w:hint="eastAsia" w:ascii="宋体" w:hAnsi="宋体" w:eastAsia="宋体" w:cs="宋体"/>
          <w:b/>
          <w:bCs/>
          <w:kern w:val="28"/>
          <w:highlight w:val="none"/>
        </w:rPr>
        <w:t>四、评定结果</w:t>
      </w:r>
      <w:bookmarkEnd w:id="446"/>
    </w:p>
    <w:p w14:paraId="577A9B24">
      <w:pPr>
        <w:tabs>
          <w:tab w:val="left" w:pos="851"/>
        </w:tabs>
        <w:spacing w:line="360" w:lineRule="auto"/>
        <w:ind w:firstLine="420" w:firstLineChars="200"/>
        <w:rPr>
          <w:rFonts w:ascii="宋体" w:hAnsi="宋体" w:eastAsia="宋体" w:cs="宋体"/>
          <w:highlight w:val="none"/>
        </w:rPr>
      </w:pPr>
      <w:r>
        <w:rPr>
          <w:rFonts w:hint="eastAsia" w:ascii="宋体" w:hAnsi="宋体" w:eastAsia="宋体" w:cs="宋体"/>
          <w:highlight w:val="none"/>
        </w:rPr>
        <w:t>本次采购根据有效磋商供应商的综合评分从高到低原则，确定一个成交预选供应商，其他有效供应商依次确定为成交备选供应商。综合得分相同的，按投标报价由低到高顺序排列；合计得分且投标报价相同的，则由采购人代表在所有得分均相同者中随机抽取其中一名为名次优先者，依法予以确认为成交供应商。</w:t>
      </w:r>
    </w:p>
    <w:p w14:paraId="41828F7D">
      <w:pPr>
        <w:spacing w:line="360" w:lineRule="auto"/>
        <w:outlineLvl w:val="1"/>
        <w:rPr>
          <w:rFonts w:ascii="宋体" w:hAnsi="宋体" w:eastAsia="宋体" w:cs="宋体"/>
          <w:b/>
          <w:bCs/>
          <w:kern w:val="28"/>
          <w:highlight w:val="none"/>
        </w:rPr>
      </w:pPr>
      <w:bookmarkStart w:id="447" w:name="_Toc6812"/>
      <w:r>
        <w:rPr>
          <w:rFonts w:hint="eastAsia" w:ascii="宋体" w:hAnsi="宋体" w:eastAsia="宋体" w:cs="宋体"/>
          <w:b/>
          <w:bCs/>
          <w:kern w:val="28"/>
          <w:highlight w:val="none"/>
        </w:rPr>
        <w:t>五、磋商供应商的义务</w:t>
      </w:r>
      <w:bookmarkEnd w:id="447"/>
    </w:p>
    <w:p w14:paraId="3C994A4B">
      <w:pPr>
        <w:spacing w:line="360" w:lineRule="auto"/>
        <w:ind w:firstLine="420" w:firstLineChars="200"/>
        <w:rPr>
          <w:rFonts w:ascii="宋体" w:hAnsi="宋体" w:eastAsia="宋体" w:cs="宋体"/>
          <w:bCs/>
          <w:kern w:val="28"/>
          <w:highlight w:val="none"/>
        </w:rPr>
      </w:pPr>
      <w:r>
        <w:rPr>
          <w:rFonts w:hint="eastAsia" w:ascii="宋体" w:hAnsi="宋体" w:eastAsia="宋体" w:cs="宋体"/>
          <w:bCs/>
          <w:kern w:val="28"/>
          <w:highlight w:val="none"/>
        </w:rPr>
        <w:t>磋商供应商应随时随地答复磋商小组的询标，解答包括有关的商务、技术问题等。磋商结束，所有评定资料存采购机构备案。</w:t>
      </w:r>
    </w:p>
    <w:p w14:paraId="45763C43">
      <w:pPr>
        <w:bidi w:val="0"/>
        <w:spacing w:line="360" w:lineRule="auto"/>
        <w:rPr>
          <w:rFonts w:hint="eastAsia"/>
          <w:highlight w:val="none"/>
        </w:rPr>
      </w:pPr>
    </w:p>
    <w:p w14:paraId="2AEC3E3B">
      <w:pPr>
        <w:pStyle w:val="2"/>
        <w:keepNext w:val="0"/>
        <w:keepLines w:val="0"/>
        <w:pageBreakBefore/>
        <w:widowControl w:val="0"/>
        <w:shd w:val="clear" w:color="auto" w:fill="FFFFFF"/>
        <w:kinsoku/>
        <w:wordWrap/>
        <w:overflowPunct/>
        <w:topLinePunct w:val="0"/>
        <w:autoSpaceDE/>
        <w:autoSpaceDN/>
        <w:bidi w:val="0"/>
        <w:adjustRightInd w:val="0"/>
        <w:snapToGrid w:val="0"/>
        <w:spacing w:before="157" w:beforeLines="50" w:after="157" w:afterLines="50" w:line="400" w:lineRule="atLeast"/>
        <w:jc w:val="center"/>
        <w:rPr>
          <w:bCs/>
          <w:color w:val="auto"/>
          <w:sz w:val="32"/>
          <w:szCs w:val="28"/>
          <w:highlight w:val="none"/>
        </w:rPr>
      </w:pPr>
      <w:bookmarkStart w:id="448" w:name="_Toc13745"/>
      <w:bookmarkStart w:id="449" w:name="_Toc25076"/>
      <w:bookmarkStart w:id="450" w:name="_Toc79686188"/>
      <w:bookmarkStart w:id="451" w:name="_Toc26049"/>
      <w:bookmarkStart w:id="452" w:name="_Toc76399195"/>
      <w:bookmarkStart w:id="453" w:name="_Toc9663"/>
      <w:bookmarkStart w:id="454" w:name="_Toc23969"/>
      <w:bookmarkStart w:id="455" w:name="_Toc75352678"/>
      <w:r>
        <w:rPr>
          <w:rFonts w:hint="eastAsia" w:hAnsi="宋体"/>
          <w:bCs/>
          <w:color w:val="auto"/>
          <w:sz w:val="28"/>
          <w:szCs w:val="36"/>
          <w:highlight w:val="none"/>
        </w:rPr>
        <w:t>第七部分  信贷政策</w:t>
      </w:r>
      <w:bookmarkEnd w:id="448"/>
      <w:bookmarkEnd w:id="449"/>
      <w:bookmarkEnd w:id="450"/>
      <w:bookmarkEnd w:id="451"/>
      <w:bookmarkEnd w:id="452"/>
      <w:bookmarkEnd w:id="453"/>
      <w:bookmarkEnd w:id="454"/>
      <w:bookmarkEnd w:id="455"/>
    </w:p>
    <w:p w14:paraId="369EC809">
      <w:pPr>
        <w:keepNext w:val="0"/>
        <w:keepLines w:val="0"/>
        <w:pageBreakBefore w:val="0"/>
        <w:widowControl/>
        <w:kinsoku/>
        <w:wordWrap/>
        <w:overflowPunct/>
        <w:topLinePunct w:val="0"/>
        <w:autoSpaceDE/>
        <w:autoSpaceDN/>
        <w:bidi w:val="0"/>
        <w:adjustRightInd/>
        <w:snapToGrid/>
        <w:spacing w:line="400" w:lineRule="exact"/>
        <w:ind w:left="-199" w:leftChars="-95" w:firstLine="420" w:firstLineChars="200"/>
        <w:rPr>
          <w:rFonts w:hint="eastAsia" w:ascii="宋体" w:hAnsi="宋体" w:cs="宋体"/>
          <w:color w:val="auto"/>
          <w:szCs w:val="21"/>
          <w:highlight w:val="none"/>
        </w:rPr>
      </w:pPr>
      <w:r>
        <w:rPr>
          <w:rFonts w:hint="eastAsia" w:ascii="宋体" w:hAnsi="宋体" w:cs="宋体"/>
          <w:color w:val="auto"/>
          <w:szCs w:val="21"/>
          <w:highlight w:val="none"/>
        </w:rPr>
        <w:t>温州市财政局关于温州市政府采购支持中小企业信用融资的通知（温财采〔</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号），中标单位如需要融资，可联系以下银行：</w:t>
      </w:r>
    </w:p>
    <w:p w14:paraId="6A856887">
      <w:pPr>
        <w:keepNext w:val="0"/>
        <w:keepLines w:val="0"/>
        <w:pageBreakBefore w:val="0"/>
        <w:widowControl/>
        <w:kinsoku/>
        <w:wordWrap/>
        <w:overflowPunct/>
        <w:topLinePunct w:val="0"/>
        <w:autoSpaceDE/>
        <w:autoSpaceDN/>
        <w:bidi w:val="0"/>
        <w:adjustRightInd/>
        <w:snapToGrid/>
        <w:spacing w:before="157" w:beforeLines="50" w:after="157" w:afterLines="50"/>
        <w:jc w:val="center"/>
        <w:outlineLvl w:val="1"/>
        <w:rPr>
          <w:rFonts w:hint="eastAsia" w:ascii="黑体" w:hAnsi="黑体" w:eastAsia="黑体" w:cs="黑体"/>
          <w:color w:val="auto"/>
          <w:sz w:val="28"/>
          <w:szCs w:val="28"/>
          <w:highlight w:val="none"/>
        </w:rPr>
      </w:pPr>
      <w:bookmarkStart w:id="456" w:name="_Toc28302"/>
      <w:bookmarkStart w:id="457" w:name="_Toc22054"/>
      <w:bookmarkStart w:id="458" w:name="_Toc22303"/>
      <w:r>
        <w:rPr>
          <w:rFonts w:hint="eastAsia" w:ascii="黑体" w:hAnsi="黑体" w:eastAsia="黑体" w:cs="黑体"/>
          <w:color w:val="auto"/>
          <w:sz w:val="28"/>
          <w:szCs w:val="28"/>
          <w:highlight w:val="none"/>
        </w:rPr>
        <w:t>温州市政府采购支持中小企业信用融资合作银行</w:t>
      </w:r>
      <w:bookmarkEnd w:id="456"/>
      <w:bookmarkEnd w:id="457"/>
      <w:bookmarkEnd w:id="458"/>
    </w:p>
    <w:tbl>
      <w:tblPr>
        <w:tblStyle w:val="2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611"/>
        <w:gridCol w:w="1020"/>
        <w:gridCol w:w="1680"/>
      </w:tblGrid>
      <w:tr w14:paraId="39ED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112" w:type="dxa"/>
            <w:vAlign w:val="center"/>
          </w:tcPr>
          <w:p w14:paraId="306362CB">
            <w:pPr>
              <w:pStyle w:val="33"/>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银行名称</w:t>
            </w:r>
          </w:p>
        </w:tc>
        <w:tc>
          <w:tcPr>
            <w:tcW w:w="5611" w:type="dxa"/>
            <w:vAlign w:val="center"/>
          </w:tcPr>
          <w:p w14:paraId="34C83A34">
            <w:pPr>
              <w:pStyle w:val="33"/>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产品特点（不超过120字）</w:t>
            </w:r>
          </w:p>
        </w:tc>
        <w:tc>
          <w:tcPr>
            <w:tcW w:w="1020" w:type="dxa"/>
            <w:vAlign w:val="center"/>
          </w:tcPr>
          <w:p w14:paraId="39B04ABB">
            <w:pPr>
              <w:pStyle w:val="33"/>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经办人</w:t>
            </w:r>
          </w:p>
        </w:tc>
        <w:tc>
          <w:tcPr>
            <w:tcW w:w="1680" w:type="dxa"/>
            <w:vAlign w:val="center"/>
          </w:tcPr>
          <w:p w14:paraId="4593968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联系方式</w:t>
            </w:r>
          </w:p>
        </w:tc>
      </w:tr>
      <w:tr w14:paraId="07AE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vAlign w:val="center"/>
          </w:tcPr>
          <w:p w14:paraId="50525D4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中国建设银行股份有限公司温州分行</w:t>
            </w:r>
          </w:p>
        </w:tc>
        <w:tc>
          <w:tcPr>
            <w:tcW w:w="5611" w:type="dxa"/>
            <w:vAlign w:val="center"/>
          </w:tcPr>
          <w:p w14:paraId="160D957B">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20" w:type="dxa"/>
            <w:vAlign w:val="center"/>
          </w:tcPr>
          <w:p w14:paraId="0394AEF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张经理</w:t>
            </w:r>
          </w:p>
        </w:tc>
        <w:tc>
          <w:tcPr>
            <w:tcW w:w="1680" w:type="dxa"/>
            <w:vAlign w:val="center"/>
          </w:tcPr>
          <w:p w14:paraId="4D4248D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0577-65819553（瑞安）</w:t>
            </w:r>
          </w:p>
          <w:p w14:paraId="43DDE2D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0577-88093286（温州）</w:t>
            </w:r>
          </w:p>
        </w:tc>
      </w:tr>
      <w:tr w14:paraId="5EE7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68074AD0">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中国工商银行股份有限公司温州分行</w:t>
            </w:r>
          </w:p>
        </w:tc>
        <w:tc>
          <w:tcPr>
            <w:tcW w:w="5611" w:type="dxa"/>
            <w:vAlign w:val="center"/>
          </w:tcPr>
          <w:p w14:paraId="676617C5">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20" w:type="dxa"/>
            <w:vAlign w:val="center"/>
          </w:tcPr>
          <w:p w14:paraId="0770B0D7">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王经理</w:t>
            </w:r>
          </w:p>
        </w:tc>
        <w:tc>
          <w:tcPr>
            <w:tcW w:w="1680" w:type="dxa"/>
            <w:vAlign w:val="center"/>
          </w:tcPr>
          <w:p w14:paraId="567CD02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0577-88186626</w:t>
            </w:r>
          </w:p>
        </w:tc>
      </w:tr>
      <w:tr w14:paraId="2375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vAlign w:val="center"/>
          </w:tcPr>
          <w:p w14:paraId="5A4A878C">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中国邮政储蓄银行股份有限公司温州市分行</w:t>
            </w:r>
          </w:p>
        </w:tc>
        <w:tc>
          <w:tcPr>
            <w:tcW w:w="5611" w:type="dxa"/>
            <w:vAlign w:val="center"/>
          </w:tcPr>
          <w:p w14:paraId="0531CA91">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20" w:type="dxa"/>
            <w:vAlign w:val="center"/>
          </w:tcPr>
          <w:p w14:paraId="03D8585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郑经理</w:t>
            </w:r>
          </w:p>
        </w:tc>
        <w:tc>
          <w:tcPr>
            <w:tcW w:w="1680" w:type="dxa"/>
            <w:vAlign w:val="center"/>
          </w:tcPr>
          <w:p w14:paraId="0ACB3F5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0577-88193910</w:t>
            </w:r>
          </w:p>
        </w:tc>
      </w:tr>
      <w:tr w14:paraId="6C26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598ADEFF">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中国民生银行股份有限公司温州分行</w:t>
            </w:r>
          </w:p>
        </w:tc>
        <w:tc>
          <w:tcPr>
            <w:tcW w:w="5611" w:type="dxa"/>
            <w:vAlign w:val="center"/>
          </w:tcPr>
          <w:p w14:paraId="659E2CD7">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20" w:type="dxa"/>
            <w:vAlign w:val="center"/>
          </w:tcPr>
          <w:p w14:paraId="21670AB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项经理</w:t>
            </w:r>
          </w:p>
        </w:tc>
        <w:tc>
          <w:tcPr>
            <w:tcW w:w="1680" w:type="dxa"/>
            <w:vAlign w:val="center"/>
          </w:tcPr>
          <w:p w14:paraId="2BF57AA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18057779630</w:t>
            </w:r>
          </w:p>
        </w:tc>
      </w:tr>
      <w:tr w14:paraId="7986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112" w:type="dxa"/>
            <w:vAlign w:val="center"/>
          </w:tcPr>
          <w:p w14:paraId="591FC4D6">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宁波银行股份有限公司温州分行</w:t>
            </w:r>
          </w:p>
        </w:tc>
        <w:tc>
          <w:tcPr>
            <w:tcW w:w="5611" w:type="dxa"/>
            <w:vAlign w:val="center"/>
          </w:tcPr>
          <w:p w14:paraId="35FEDBC5">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20" w:type="dxa"/>
            <w:vAlign w:val="center"/>
          </w:tcPr>
          <w:p w14:paraId="0D3C0C6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41155A7C">
            <w:pPr>
              <w:bidi w:val="0"/>
              <w:jc w:val="center"/>
              <w:rPr>
                <w:rFonts w:hint="eastAsia" w:ascii="宋体" w:hAnsi="宋体" w:cs="宋体"/>
                <w:color w:val="auto"/>
                <w:szCs w:val="21"/>
                <w:highlight w:val="none"/>
              </w:rPr>
            </w:pPr>
            <w:r>
              <w:rPr>
                <w:rFonts w:hint="eastAsia"/>
                <w:highlight w:val="none"/>
              </w:rPr>
              <w:t>057</w:t>
            </w:r>
            <w:r>
              <w:rPr>
                <w:rFonts w:hint="eastAsia"/>
                <w:highlight w:val="none"/>
                <w:lang w:val="en-US" w:eastAsia="zh-CN"/>
              </w:rPr>
              <w:t>7-</w:t>
            </w:r>
            <w:r>
              <w:rPr>
                <w:rFonts w:hint="eastAsia"/>
                <w:highlight w:val="none"/>
              </w:rPr>
              <w:t>88007377</w:t>
            </w:r>
          </w:p>
        </w:tc>
      </w:tr>
      <w:tr w14:paraId="3425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12" w:type="dxa"/>
            <w:vAlign w:val="center"/>
          </w:tcPr>
          <w:p w14:paraId="3B9BEEE1">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杭州银行股份有限公司温州分行</w:t>
            </w:r>
          </w:p>
        </w:tc>
        <w:tc>
          <w:tcPr>
            <w:tcW w:w="5611" w:type="dxa"/>
            <w:vAlign w:val="center"/>
          </w:tcPr>
          <w:p w14:paraId="2ED4CB98">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bCs/>
                <w:color w:val="auto"/>
                <w:szCs w:val="21"/>
                <w:highlight w:val="none"/>
              </w:rPr>
            </w:pPr>
            <w:r>
              <w:rPr>
                <w:rFonts w:hint="eastAsia" w:ascii="宋体" w:hAnsi="宋体" w:cs="宋体"/>
                <w:bCs/>
                <w:color w:val="auto"/>
                <w:szCs w:val="21"/>
                <w:highlight w:val="none"/>
              </w:rPr>
              <w:t>门槛低：纯信用，平台注册入库并取得采购合同即可申请</w:t>
            </w:r>
          </w:p>
          <w:p w14:paraId="7394EBF6">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bCs/>
                <w:color w:val="auto"/>
                <w:szCs w:val="21"/>
                <w:highlight w:val="none"/>
              </w:rPr>
            </w:pPr>
            <w:r>
              <w:rPr>
                <w:rFonts w:hint="eastAsia" w:ascii="宋体" w:hAnsi="宋体" w:cs="宋体"/>
                <w:bCs/>
                <w:color w:val="auto"/>
                <w:szCs w:val="21"/>
                <w:highlight w:val="none"/>
              </w:rPr>
              <w:t>手续简：线上申请+线上签约，足不出户</w:t>
            </w:r>
          </w:p>
          <w:p w14:paraId="055A5427">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bCs/>
                <w:color w:val="auto"/>
                <w:szCs w:val="21"/>
                <w:highlight w:val="none"/>
              </w:rPr>
            </w:pPr>
            <w:r>
              <w:rPr>
                <w:rFonts w:hint="eastAsia" w:ascii="宋体" w:hAnsi="宋体" w:cs="宋体"/>
                <w:bCs/>
                <w:color w:val="auto"/>
                <w:szCs w:val="21"/>
                <w:highlight w:val="none"/>
              </w:rPr>
              <w:t>利率优：按优于一般中小企业贷款利率执行</w:t>
            </w:r>
          </w:p>
          <w:p w14:paraId="18BA72A6">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bCs/>
                <w:color w:val="auto"/>
                <w:szCs w:val="21"/>
                <w:highlight w:val="none"/>
              </w:rPr>
              <w:t>额度高：最高为合同金额的80%</w:t>
            </w:r>
          </w:p>
        </w:tc>
        <w:tc>
          <w:tcPr>
            <w:tcW w:w="1020" w:type="dxa"/>
            <w:vAlign w:val="center"/>
          </w:tcPr>
          <w:p w14:paraId="1D633CE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叶经理</w:t>
            </w:r>
          </w:p>
        </w:tc>
        <w:tc>
          <w:tcPr>
            <w:tcW w:w="1680" w:type="dxa"/>
            <w:vAlign w:val="center"/>
          </w:tcPr>
          <w:p w14:paraId="14530CB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0577-88008933</w:t>
            </w:r>
          </w:p>
        </w:tc>
      </w:tr>
      <w:tr w14:paraId="6343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0B10C3B0">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招商银行股份有限公司温州分行</w:t>
            </w:r>
          </w:p>
        </w:tc>
        <w:tc>
          <w:tcPr>
            <w:tcW w:w="5611" w:type="dxa"/>
            <w:vAlign w:val="center"/>
          </w:tcPr>
          <w:p w14:paraId="147E669E">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20" w:type="dxa"/>
            <w:vAlign w:val="center"/>
          </w:tcPr>
          <w:p w14:paraId="2924D4C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29209D7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0577-88056876</w:t>
            </w:r>
          </w:p>
        </w:tc>
      </w:tr>
      <w:tr w14:paraId="00DC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12" w:type="dxa"/>
            <w:vAlign w:val="center"/>
          </w:tcPr>
          <w:p w14:paraId="030A6848">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兴业银行股份有限公司温州分行</w:t>
            </w:r>
          </w:p>
        </w:tc>
        <w:tc>
          <w:tcPr>
            <w:tcW w:w="5611" w:type="dxa"/>
            <w:vAlign w:val="center"/>
          </w:tcPr>
          <w:p w14:paraId="66EB54C1">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20" w:type="dxa"/>
            <w:vAlign w:val="center"/>
          </w:tcPr>
          <w:p w14:paraId="3273E45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张经理</w:t>
            </w:r>
          </w:p>
          <w:p w14:paraId="136115B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6B0B9AA2">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0577-88369368/13857713118</w:t>
            </w:r>
          </w:p>
          <w:p w14:paraId="1D4475A8">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0577-56969696-526506</w:t>
            </w:r>
          </w:p>
        </w:tc>
      </w:tr>
      <w:tr w14:paraId="45AB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12" w:type="dxa"/>
            <w:vAlign w:val="center"/>
          </w:tcPr>
          <w:p w14:paraId="1E119353">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温州银行股份有限公司温州分行</w:t>
            </w:r>
          </w:p>
        </w:tc>
        <w:tc>
          <w:tcPr>
            <w:tcW w:w="5611" w:type="dxa"/>
            <w:vAlign w:val="center"/>
          </w:tcPr>
          <w:p w14:paraId="0631DE17">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bCs/>
                <w:color w:val="auto"/>
                <w:szCs w:val="21"/>
                <w:highlight w:val="none"/>
              </w:rPr>
            </w:pPr>
            <w:r>
              <w:rPr>
                <w:rFonts w:hint="eastAsia" w:ascii="宋体" w:hAnsi="宋体" w:cs="宋体"/>
                <w:bCs/>
                <w:color w:val="auto"/>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20" w:type="dxa"/>
            <w:vAlign w:val="center"/>
          </w:tcPr>
          <w:p w14:paraId="0C5AAA3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陈经理</w:t>
            </w:r>
          </w:p>
        </w:tc>
        <w:tc>
          <w:tcPr>
            <w:tcW w:w="1680" w:type="dxa"/>
            <w:vAlign w:val="center"/>
          </w:tcPr>
          <w:p w14:paraId="0DD2D50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13736355866</w:t>
            </w:r>
          </w:p>
        </w:tc>
      </w:tr>
      <w:tr w14:paraId="7299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12" w:type="dxa"/>
            <w:vAlign w:val="center"/>
          </w:tcPr>
          <w:p w14:paraId="527ED56E">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温州银行股份有限公司鹿城分行</w:t>
            </w:r>
          </w:p>
        </w:tc>
        <w:tc>
          <w:tcPr>
            <w:tcW w:w="5611" w:type="dxa"/>
            <w:vAlign w:val="center"/>
          </w:tcPr>
          <w:p w14:paraId="6B434252">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政采订单贷：1、面向政府采购项目供应商，满足供应商资金周转需求，凭中标通知书即可申请，2、秒知额高，最高可贷500万元，单笔业务金额可贷中标金额的80%，</w:t>
            </w:r>
          </w:p>
          <w:p w14:paraId="629907FF">
            <w:pPr>
              <w:pStyle w:val="27"/>
              <w:keepNext w:val="0"/>
              <w:keepLines w:val="0"/>
              <w:pageBreakBefore w:val="0"/>
              <w:kinsoku/>
              <w:wordWrap/>
              <w:overflowPunct/>
              <w:topLinePunct w:val="0"/>
              <w:autoSpaceDE/>
              <w:autoSpaceDN/>
              <w:bidi w:val="0"/>
              <w:adjustRightInd/>
              <w:snapToGrid/>
              <w:spacing w:line="360" w:lineRule="exact"/>
              <w:ind w:left="5"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最长期限可贷1年。信保贷：1、额度最高可达500万元</w:t>
            </w:r>
          </w:p>
          <w:p w14:paraId="2381CCDE">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2、担保灵活，信用贷款3、贷款年利率至少可享受本单位一般性中小企业信用贷款利率基础上下浮10 %</w:t>
            </w:r>
          </w:p>
        </w:tc>
        <w:tc>
          <w:tcPr>
            <w:tcW w:w="1020" w:type="dxa"/>
            <w:vAlign w:val="center"/>
          </w:tcPr>
          <w:p w14:paraId="3A9D732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戴经理</w:t>
            </w:r>
          </w:p>
        </w:tc>
        <w:tc>
          <w:tcPr>
            <w:tcW w:w="1680" w:type="dxa"/>
            <w:vAlign w:val="center"/>
          </w:tcPr>
          <w:p w14:paraId="5AA9860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13605772302</w:t>
            </w:r>
          </w:p>
        </w:tc>
      </w:tr>
      <w:tr w14:paraId="2909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257CFF76">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交通银行股份有限公司温州分行</w:t>
            </w:r>
          </w:p>
        </w:tc>
        <w:tc>
          <w:tcPr>
            <w:tcW w:w="5611" w:type="dxa"/>
            <w:vAlign w:val="center"/>
          </w:tcPr>
          <w:p w14:paraId="04E98BC3">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color w:val="auto"/>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20" w:type="dxa"/>
            <w:vAlign w:val="center"/>
          </w:tcPr>
          <w:p w14:paraId="433681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缪经理</w:t>
            </w:r>
          </w:p>
        </w:tc>
        <w:tc>
          <w:tcPr>
            <w:tcW w:w="1680" w:type="dxa"/>
            <w:vAlign w:val="center"/>
          </w:tcPr>
          <w:p w14:paraId="56D0097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0577-88248454</w:t>
            </w:r>
          </w:p>
        </w:tc>
      </w:tr>
      <w:tr w14:paraId="3CF2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2" w:type="dxa"/>
            <w:vAlign w:val="center"/>
          </w:tcPr>
          <w:p w14:paraId="5176FB2F">
            <w:pPr>
              <w:pStyle w:val="33"/>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上海浦东发展银行股份有限公司温州分行</w:t>
            </w:r>
          </w:p>
        </w:tc>
        <w:tc>
          <w:tcPr>
            <w:tcW w:w="5611" w:type="dxa"/>
            <w:vAlign w:val="center"/>
          </w:tcPr>
          <w:p w14:paraId="4F64BC82">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cs="宋体"/>
                <w:bCs/>
                <w:color w:val="auto"/>
                <w:szCs w:val="21"/>
                <w:highlight w:val="none"/>
              </w:rPr>
            </w:pPr>
            <w:r>
              <w:rPr>
                <w:rFonts w:hint="eastAsia" w:ascii="宋体" w:hAnsi="宋体" w:cs="宋体"/>
                <w:bCs/>
                <w:color w:val="auto"/>
                <w:szCs w:val="21"/>
                <w:highlight w:val="none"/>
              </w:rPr>
              <w:t>政采e贷：是浦发银行面向温州地区经营状况良好的小微企业政府采购项目供应商所提供的专属政府采购订单融资产品。产品特点：纯信用、免担保、门槛低、授信快、在线贷、秒放款</w:t>
            </w:r>
          </w:p>
          <w:p w14:paraId="66ACC11B">
            <w:pPr>
              <w:keepNext w:val="0"/>
              <w:keepLines w:val="0"/>
              <w:pageBreakBefore w:val="0"/>
              <w:shd w:val="clear" w:color="auto" w:fill="FFFFFF"/>
              <w:kinsoku/>
              <w:wordWrap/>
              <w:overflowPunct/>
              <w:topLinePunct w:val="0"/>
              <w:autoSpaceDE/>
              <w:autoSpaceDN/>
              <w:bidi w:val="0"/>
              <w:adjustRightInd/>
              <w:snapToGrid/>
              <w:spacing w:line="360" w:lineRule="exact"/>
              <w:jc w:val="both"/>
              <w:rPr>
                <w:rFonts w:hint="eastAsia" w:ascii="宋体" w:hAnsi="宋体" w:cs="宋体"/>
                <w:color w:val="auto"/>
                <w:szCs w:val="21"/>
                <w:highlight w:val="none"/>
              </w:rPr>
            </w:pPr>
            <w:r>
              <w:rPr>
                <w:rFonts w:hint="eastAsia" w:ascii="宋体" w:hAnsi="宋体" w:cs="宋体"/>
                <w:bCs/>
                <w:color w:val="auto"/>
                <w:szCs w:val="21"/>
                <w:highlight w:val="none"/>
              </w:rPr>
              <w:t>所需材料：企业基础证件、相关中标文件（中标通知书 、采购合同等）、其他必要文件</w:t>
            </w:r>
          </w:p>
        </w:tc>
        <w:tc>
          <w:tcPr>
            <w:tcW w:w="1020" w:type="dxa"/>
            <w:vAlign w:val="center"/>
          </w:tcPr>
          <w:p w14:paraId="06E807B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叶经理</w:t>
            </w:r>
          </w:p>
        </w:tc>
        <w:tc>
          <w:tcPr>
            <w:tcW w:w="1680" w:type="dxa"/>
            <w:vAlign w:val="center"/>
          </w:tcPr>
          <w:p w14:paraId="1CAAE7B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0577-55570829</w:t>
            </w:r>
          </w:p>
        </w:tc>
      </w:tr>
    </w:tbl>
    <w:p w14:paraId="68717608">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1B8F3C74">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2A3DA292">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4C7E885E">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3E8C3D75">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312E5EA7">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1C307442">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7DA4C918">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6CE0E8CE">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4B13825C">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72C58561">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2616BC37">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129985CF">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7886CF79">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12C81213">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p>
    <w:p w14:paraId="7D8A7C31">
      <w:pPr>
        <w:keepNext w:val="0"/>
        <w:keepLines w:val="0"/>
        <w:pageBreakBefore w:val="0"/>
        <w:widowControl/>
        <w:kinsoku/>
        <w:wordWrap/>
        <w:overflowPunct/>
        <w:topLinePunct w:val="0"/>
        <w:autoSpaceDE/>
        <w:autoSpaceDN/>
        <w:bidi w:val="0"/>
        <w:adjustRightInd/>
        <w:snapToGrid/>
        <w:spacing w:before="79" w:beforeLines="25"/>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温州市政府采购信用融资意向银行选择表</w:t>
      </w:r>
    </w:p>
    <w:p w14:paraId="78F123B5">
      <w:pPr>
        <w:keepNext w:val="0"/>
        <w:keepLines w:val="0"/>
        <w:pageBreakBefore w:val="0"/>
        <w:widowControl/>
        <w:kinsoku/>
        <w:wordWrap/>
        <w:overflowPunct/>
        <w:topLinePunct w:val="0"/>
        <w:autoSpaceDE/>
        <w:autoSpaceDN/>
        <w:bidi w:val="0"/>
        <w:adjustRightInd/>
        <w:snapToGrid/>
        <w:spacing w:before="157" w:beforeLines="50" w:after="157" w:afterLines="50"/>
        <w:jc w:val="center"/>
        <w:rPr>
          <w:rFonts w:hint="eastAsia" w:ascii="黑体" w:hAnsi="黑体" w:eastAsia="黑体" w:cs="黑体"/>
          <w:color w:val="auto"/>
          <w:sz w:val="24"/>
          <w:szCs w:val="24"/>
          <w:highlight w:val="none"/>
        </w:rPr>
      </w:pPr>
      <w:bookmarkStart w:id="459" w:name="_Toc13252"/>
      <w:bookmarkStart w:id="460" w:name="_Toc10603"/>
      <w:r>
        <w:rPr>
          <w:rFonts w:hint="eastAsia" w:ascii="黑体" w:hAnsi="黑体" w:eastAsia="黑体" w:cs="黑体"/>
          <w:color w:val="auto"/>
          <w:sz w:val="22"/>
          <w:szCs w:val="22"/>
          <w:highlight w:val="none"/>
        </w:rPr>
        <w:t>（温州市供应商填写）</w:t>
      </w:r>
      <w:bookmarkEnd w:id="459"/>
      <w:bookmarkEnd w:id="460"/>
    </w:p>
    <w:tbl>
      <w:tblPr>
        <w:tblStyle w:val="20"/>
        <w:tblW w:w="8631"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411"/>
        <w:gridCol w:w="1131"/>
        <w:gridCol w:w="1919"/>
        <w:gridCol w:w="1496"/>
      </w:tblGrid>
      <w:tr w14:paraId="5204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7F6DFCF1">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企业名称</w:t>
            </w:r>
          </w:p>
        </w:tc>
        <w:tc>
          <w:tcPr>
            <w:tcW w:w="6957" w:type="dxa"/>
            <w:gridSpan w:val="4"/>
            <w:vAlign w:val="center"/>
          </w:tcPr>
          <w:p w14:paraId="41884E1B">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232C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539994C1">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企业注册地</w:t>
            </w:r>
          </w:p>
        </w:tc>
        <w:tc>
          <w:tcPr>
            <w:tcW w:w="3542" w:type="dxa"/>
            <w:gridSpan w:val="2"/>
            <w:vAlign w:val="center"/>
          </w:tcPr>
          <w:p w14:paraId="7D74B391">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c>
          <w:tcPr>
            <w:tcW w:w="1919" w:type="dxa"/>
            <w:vAlign w:val="center"/>
          </w:tcPr>
          <w:p w14:paraId="3AEC71D1">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是否有融资意向</w:t>
            </w:r>
          </w:p>
        </w:tc>
        <w:tc>
          <w:tcPr>
            <w:tcW w:w="1496" w:type="dxa"/>
            <w:vAlign w:val="center"/>
          </w:tcPr>
          <w:p w14:paraId="16202A0B">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1DFD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4F18451B">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融资联系人</w:t>
            </w:r>
          </w:p>
        </w:tc>
        <w:tc>
          <w:tcPr>
            <w:tcW w:w="2411" w:type="dxa"/>
            <w:vAlign w:val="center"/>
          </w:tcPr>
          <w:p w14:paraId="746CC2A9">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c>
          <w:tcPr>
            <w:tcW w:w="1131" w:type="dxa"/>
            <w:vAlign w:val="center"/>
          </w:tcPr>
          <w:p w14:paraId="4495348D">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联系方式</w:t>
            </w:r>
          </w:p>
        </w:tc>
        <w:tc>
          <w:tcPr>
            <w:tcW w:w="3415" w:type="dxa"/>
            <w:gridSpan w:val="2"/>
            <w:vAlign w:val="center"/>
          </w:tcPr>
          <w:p w14:paraId="6509B424">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484E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1ED98152">
            <w:pPr>
              <w:pStyle w:val="33"/>
              <w:snapToGrid w:val="0"/>
              <w:spacing w:line="240" w:lineRule="auto"/>
              <w:ind w:firstLine="0" w:firstLineChars="0"/>
              <w:jc w:val="center"/>
              <w:rPr>
                <w:rFonts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温州市政府采购信用融资合作银行</w:t>
            </w:r>
          </w:p>
        </w:tc>
        <w:tc>
          <w:tcPr>
            <w:tcW w:w="3415" w:type="dxa"/>
            <w:gridSpan w:val="2"/>
            <w:vAlign w:val="center"/>
          </w:tcPr>
          <w:p w14:paraId="5FB3CAD5">
            <w:pPr>
              <w:pStyle w:val="33"/>
              <w:snapToGrid w:val="0"/>
              <w:spacing w:line="240" w:lineRule="auto"/>
              <w:ind w:firstLine="0" w:firstLineChars="0"/>
              <w:jc w:val="center"/>
              <w:rPr>
                <w:rFonts w:ascii="宋体" w:hAnsi="宋体" w:eastAsia="宋体" w:cs="宋体"/>
                <w:b/>
                <w:color w:val="auto"/>
                <w:kern w:val="0"/>
                <w:sz w:val="21"/>
                <w:szCs w:val="20"/>
                <w:highlight w:val="none"/>
              </w:rPr>
            </w:pPr>
            <w:r>
              <w:rPr>
                <w:rFonts w:hint="eastAsia" w:ascii="宋体" w:hAnsi="宋体" w:eastAsia="宋体" w:cs="宋体"/>
                <w:b/>
                <w:color w:val="auto"/>
                <w:kern w:val="0"/>
                <w:sz w:val="21"/>
                <w:szCs w:val="20"/>
                <w:highlight w:val="none"/>
              </w:rPr>
              <w:t>选择作为意向融资银行（可多选）</w:t>
            </w:r>
          </w:p>
        </w:tc>
      </w:tr>
      <w:tr w14:paraId="2469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8214466">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温州银行股份有限公司温州分行</w:t>
            </w:r>
          </w:p>
        </w:tc>
        <w:tc>
          <w:tcPr>
            <w:tcW w:w="3415" w:type="dxa"/>
            <w:gridSpan w:val="2"/>
            <w:vAlign w:val="center"/>
          </w:tcPr>
          <w:p w14:paraId="43AF402B">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5C7D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0E571FA0">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温州银行股份有限公司鹿城分行</w:t>
            </w:r>
          </w:p>
        </w:tc>
        <w:tc>
          <w:tcPr>
            <w:tcW w:w="3415" w:type="dxa"/>
            <w:gridSpan w:val="2"/>
            <w:vAlign w:val="center"/>
          </w:tcPr>
          <w:p w14:paraId="4BAF0C8D">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644D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46174637">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中国工商银行股份有限公司温州分行</w:t>
            </w:r>
          </w:p>
        </w:tc>
        <w:tc>
          <w:tcPr>
            <w:tcW w:w="3415" w:type="dxa"/>
            <w:gridSpan w:val="2"/>
            <w:vAlign w:val="center"/>
          </w:tcPr>
          <w:p w14:paraId="4386D7CA">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727A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216" w:type="dxa"/>
            <w:gridSpan w:val="3"/>
            <w:vAlign w:val="center"/>
          </w:tcPr>
          <w:p w14:paraId="11EAA858">
            <w:pPr>
              <w:snapToGrid w:val="0"/>
              <w:jc w:val="center"/>
              <w:rPr>
                <w:rFonts w:ascii="宋体" w:hAnsi="宋体" w:cs="宋体"/>
                <w:bCs/>
                <w:color w:val="auto"/>
                <w:highlight w:val="none"/>
              </w:rPr>
            </w:pPr>
            <w:r>
              <w:rPr>
                <w:rFonts w:hint="eastAsia" w:ascii="宋体" w:hAnsi="宋体" w:cs="宋体"/>
                <w:bCs/>
                <w:color w:val="auto"/>
                <w:highlight w:val="none"/>
              </w:rPr>
              <w:t>中国建设银行股份有限公司温州分行</w:t>
            </w:r>
          </w:p>
        </w:tc>
        <w:tc>
          <w:tcPr>
            <w:tcW w:w="3415" w:type="dxa"/>
            <w:gridSpan w:val="2"/>
            <w:vAlign w:val="center"/>
          </w:tcPr>
          <w:p w14:paraId="49383056">
            <w:pPr>
              <w:snapToGrid w:val="0"/>
              <w:jc w:val="center"/>
              <w:rPr>
                <w:rFonts w:ascii="宋体" w:hAnsi="宋体" w:cs="宋体"/>
                <w:bCs/>
                <w:color w:val="auto"/>
                <w:highlight w:val="none"/>
              </w:rPr>
            </w:pPr>
          </w:p>
        </w:tc>
      </w:tr>
      <w:tr w14:paraId="2462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141F6E0D">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中国邮政储蓄银行股份有限公司温州市分行</w:t>
            </w:r>
          </w:p>
        </w:tc>
        <w:tc>
          <w:tcPr>
            <w:tcW w:w="3415" w:type="dxa"/>
            <w:gridSpan w:val="2"/>
            <w:vAlign w:val="center"/>
          </w:tcPr>
          <w:p w14:paraId="7CBE0ADD">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09E4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7595D11A">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中国民生银行股份有限公司温州分行</w:t>
            </w:r>
          </w:p>
        </w:tc>
        <w:tc>
          <w:tcPr>
            <w:tcW w:w="3415" w:type="dxa"/>
            <w:gridSpan w:val="2"/>
            <w:vAlign w:val="center"/>
          </w:tcPr>
          <w:p w14:paraId="17EBE06B">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65FA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8ACBE36">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宁波银行股份有限公司温州分行</w:t>
            </w:r>
          </w:p>
        </w:tc>
        <w:tc>
          <w:tcPr>
            <w:tcW w:w="3415" w:type="dxa"/>
            <w:gridSpan w:val="2"/>
            <w:vAlign w:val="center"/>
          </w:tcPr>
          <w:p w14:paraId="0B6E271A">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1E91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781F7154">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杭州银行股份有限公司温州分行</w:t>
            </w:r>
          </w:p>
        </w:tc>
        <w:tc>
          <w:tcPr>
            <w:tcW w:w="3415" w:type="dxa"/>
            <w:gridSpan w:val="2"/>
            <w:vAlign w:val="center"/>
          </w:tcPr>
          <w:p w14:paraId="61666CB9">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54D3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3B354239">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招商银行股份有限公司温州分行</w:t>
            </w:r>
          </w:p>
        </w:tc>
        <w:tc>
          <w:tcPr>
            <w:tcW w:w="3415" w:type="dxa"/>
            <w:gridSpan w:val="2"/>
            <w:vAlign w:val="center"/>
          </w:tcPr>
          <w:p w14:paraId="60DFC0D2">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568A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13F85B82">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兴业银行股份有限公司温州分行</w:t>
            </w:r>
          </w:p>
        </w:tc>
        <w:tc>
          <w:tcPr>
            <w:tcW w:w="3415" w:type="dxa"/>
            <w:gridSpan w:val="2"/>
            <w:vAlign w:val="center"/>
          </w:tcPr>
          <w:p w14:paraId="0CC947D4">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6C0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10561EB9">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交通银行股份有限公司温州分行</w:t>
            </w:r>
          </w:p>
        </w:tc>
        <w:tc>
          <w:tcPr>
            <w:tcW w:w="3415" w:type="dxa"/>
            <w:gridSpan w:val="2"/>
            <w:vAlign w:val="center"/>
          </w:tcPr>
          <w:p w14:paraId="7D233F88">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r w14:paraId="1452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16" w:type="dxa"/>
            <w:gridSpan w:val="3"/>
            <w:vAlign w:val="center"/>
          </w:tcPr>
          <w:p w14:paraId="3F5A3B0F">
            <w:pPr>
              <w:pStyle w:val="33"/>
              <w:snapToGrid w:val="0"/>
              <w:spacing w:line="240" w:lineRule="auto"/>
              <w:ind w:firstLine="0" w:firstLineChars="0"/>
              <w:jc w:val="center"/>
              <w:rPr>
                <w:rFonts w:ascii="宋体" w:hAnsi="宋体" w:eastAsia="宋体" w:cs="宋体"/>
                <w:bCs/>
                <w:color w:val="auto"/>
                <w:kern w:val="0"/>
                <w:sz w:val="21"/>
                <w:szCs w:val="20"/>
                <w:highlight w:val="none"/>
              </w:rPr>
            </w:pPr>
            <w:r>
              <w:rPr>
                <w:rFonts w:hint="eastAsia" w:ascii="宋体" w:hAnsi="宋体" w:eastAsia="宋体" w:cs="宋体"/>
                <w:bCs/>
                <w:color w:val="auto"/>
                <w:kern w:val="0"/>
                <w:sz w:val="21"/>
                <w:szCs w:val="20"/>
                <w:highlight w:val="none"/>
              </w:rPr>
              <w:t>上海浦东发展银行股份有限公司温州分行</w:t>
            </w:r>
          </w:p>
        </w:tc>
        <w:tc>
          <w:tcPr>
            <w:tcW w:w="3415" w:type="dxa"/>
            <w:gridSpan w:val="2"/>
            <w:vAlign w:val="center"/>
          </w:tcPr>
          <w:p w14:paraId="56AB8CCD">
            <w:pPr>
              <w:pStyle w:val="33"/>
              <w:snapToGrid w:val="0"/>
              <w:spacing w:line="240" w:lineRule="auto"/>
              <w:ind w:firstLine="0" w:firstLineChars="0"/>
              <w:jc w:val="center"/>
              <w:rPr>
                <w:rFonts w:ascii="宋体" w:hAnsi="宋体" w:eastAsia="宋体" w:cs="宋体"/>
                <w:bCs/>
                <w:color w:val="auto"/>
                <w:kern w:val="0"/>
                <w:sz w:val="21"/>
                <w:szCs w:val="20"/>
                <w:highlight w:val="none"/>
              </w:rPr>
            </w:pPr>
          </w:p>
        </w:tc>
      </w:tr>
    </w:tbl>
    <w:p w14:paraId="02C0D0B3">
      <w:pPr>
        <w:spacing w:line="240" w:lineRule="auto"/>
        <w:rPr>
          <w:rFonts w:ascii="宋体" w:hAnsi="宋体" w:cs="宋体"/>
          <w:bCs/>
          <w:color w:val="auto"/>
          <w:highlight w:val="none"/>
        </w:rPr>
      </w:pPr>
      <w:r>
        <w:rPr>
          <w:rFonts w:hint="eastAsia" w:ascii="宋体" w:hAnsi="宋体" w:cs="宋体"/>
          <w:bCs/>
          <w:color w:val="auto"/>
          <w:highlight w:val="none"/>
        </w:rPr>
        <w:t>注：1、本表填写对象为注册地在温州市域内的供应商。</w:t>
      </w:r>
    </w:p>
    <w:p w14:paraId="6902F63B">
      <w:pPr>
        <w:spacing w:line="240" w:lineRule="auto"/>
        <w:ind w:left="420" w:leftChars="200"/>
        <w:rPr>
          <w:rFonts w:hint="eastAsia" w:ascii="宋体" w:hAnsi="宋体" w:cs="宋体"/>
          <w:bCs/>
          <w:color w:val="auto"/>
          <w:highlight w:val="none"/>
        </w:rPr>
      </w:pPr>
      <w:r>
        <w:rPr>
          <w:rFonts w:hint="eastAsia" w:ascii="宋体" w:hAnsi="宋体" w:cs="宋体"/>
          <w:bCs/>
          <w:color w:val="auto"/>
          <w:highlight w:val="none"/>
        </w:rPr>
        <w:t>2、财政部门根据企业自行选择，将本表及企业相关信息推送至相对应的融资意向银行经办人。</w:t>
      </w:r>
    </w:p>
    <w:p w14:paraId="3DCC7D37">
      <w:pPr>
        <w:pStyle w:val="26"/>
        <w:adjustRightInd/>
        <w:spacing w:line="240" w:lineRule="auto"/>
        <w:ind w:left="420" w:leftChars="200"/>
        <w:outlineLvl w:val="1"/>
        <w:rPr>
          <w:rFonts w:hint="eastAsia"/>
          <w:color w:val="auto"/>
          <w:highlight w:val="none"/>
        </w:rPr>
      </w:pPr>
      <w:bookmarkStart w:id="461" w:name="_Toc29431"/>
      <w:r>
        <w:rPr>
          <w:rFonts w:hint="eastAsia"/>
          <w:color w:val="auto"/>
          <w:highlight w:val="none"/>
        </w:rPr>
        <w:t>3、</w:t>
      </w:r>
      <w:r>
        <w:rPr>
          <w:rFonts w:hint="eastAsia" w:hAnsi="宋体"/>
          <w:color w:val="auto"/>
          <w:sz w:val="22"/>
          <w:highlight w:val="none"/>
        </w:rPr>
        <w:t>供应商填表后发送至racgb@126.com</w:t>
      </w:r>
      <w:bookmarkEnd w:id="461"/>
    </w:p>
    <w:p w14:paraId="6BC6BFC7">
      <w:pPr>
        <w:rPr>
          <w:rFonts w:hint="eastAsia"/>
          <w:highlight w:val="none"/>
        </w:rPr>
      </w:pPr>
    </w:p>
    <w:sectPr>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8C3D">
    <w:pPr>
      <w:pStyle w:val="13"/>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90381">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RK1MsAgAAV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peR3la62eIerCIC91b06FphnOPw8i6q5yKX/Ah8EPc40Vc0QXC46XpZDrN4eLwDRvgZ4/X&#10;rfPhnTCKRKOgDtVLorLDxoc+dAiJ2bRZN1KmCkpN2oJeX73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j1ErUywCAABVBAAADgAAAAAAAAABACAAAAAfAQAAZHJzL2Uyb0RvYy54bWxQSwUGAAAAAAYA&#10;BgBZAQAAvQUAAAAA&#10;">
              <v:fill on="f" focussize="0,0"/>
              <v:stroke on="f" weight="0.5pt"/>
              <v:imagedata o:title=""/>
              <o:lock v:ext="edit" aspectratio="f"/>
              <v:textbox inset="0mm,0mm,0mm,0mm" style="mso-fit-shape-to-text:t;">
                <w:txbxContent>
                  <w:p w14:paraId="67D90381">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0D7D">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CA26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GJksAgAAV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hRDOFgp++fzv9&#10;+HX6+ZVcRXla62eIerCIC91b06FphnOPw8i6q5yKX/Ah8EPc40Vc0QXC46XpZDrN4eLwDRvgZ4/X&#10;rfPhnTCKRKOgDtVLorLDxoc+dAiJ2bRZN1KmCkpN2oJev77K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X4YmSwCAABVBAAADgAAAAAAAAABACAAAAAfAQAAZHJzL2Uyb0RvYy54bWxQSwUGAAAAAAYA&#10;BgBZAQAAvQUAAAAA&#10;">
              <v:fill on="f" focussize="0,0"/>
              <v:stroke on="f" weight="0.5pt"/>
              <v:imagedata o:title=""/>
              <o:lock v:ext="edit" aspectratio="f"/>
              <v:textbox inset="0mm,0mm,0mm,0mm" style="mso-fit-shape-to-text:t;">
                <w:txbxContent>
                  <w:p w14:paraId="152CA26E">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3A07">
    <w:pPr>
      <w:jc w:val="both"/>
      <w:outlineLvl w:val="0"/>
      <w:rPr>
        <w:rFonts w:hint="eastAsia"/>
        <w:b w:val="0"/>
        <w:bCs w:val="0"/>
        <w:sz w:val="20"/>
        <w:szCs w:val="20"/>
        <w:lang w:val="en-US" w:eastAsia="zh-CN"/>
      </w:rPr>
    </w:pPr>
    <w:r>
      <w:rPr>
        <w:rFonts w:hint="eastAsia"/>
        <w:b w:val="0"/>
        <w:bCs w:val="0"/>
        <w:sz w:val="20"/>
        <w:szCs w:val="20"/>
        <w:lang w:eastAsia="zh-CN"/>
      </w:rPr>
      <w:t>瑞安市水库堤防白蚁等害堤动物普查与防治项目</w:t>
    </w:r>
    <w:r>
      <w:rPr>
        <w:rFonts w:hint="eastAsia"/>
        <w:b w:val="0"/>
        <w:bCs w:val="0"/>
        <w:sz w:val="20"/>
        <w:szCs w:val="20"/>
        <w:lang w:val="en-US" w:eastAsia="zh-CN"/>
      </w:rPr>
      <w:t xml:space="preserve">           </w:t>
    </w:r>
  </w:p>
  <w:p w14:paraId="2A4F2A0E">
    <w:pPr>
      <w:jc w:val="right"/>
      <w:outlineLvl w:val="0"/>
      <w:rPr>
        <w:rFonts w:hint="eastAsia" w:eastAsiaTheme="minorEastAsia"/>
        <w:b w:val="0"/>
        <w:bCs w:val="0"/>
        <w:sz w:val="10"/>
        <w:szCs w:val="16"/>
        <w:lang w:val="en-US" w:eastAsia="zh-CN"/>
      </w:rPr>
    </w:pPr>
    <w:r>
      <w:rPr>
        <w:rFonts w:hint="eastAsia"/>
        <w:sz w:val="20"/>
        <w:szCs w:val="22"/>
      </w:rPr>
      <w:t>浙江综盛项目管理有限公司</w:t>
    </w:r>
    <w:r>
      <w:rPr>
        <w:rFonts w:hint="eastAsia"/>
        <w:sz w:val="20"/>
        <w:szCs w:val="22"/>
        <w:lang w:val="en-US" w:eastAsia="zh-CN"/>
      </w:rPr>
      <w:t>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B3B2">
    <w:pPr>
      <w:jc w:val="both"/>
      <w:outlineLvl w:val="0"/>
      <w:rPr>
        <w:rFonts w:hint="eastAsia"/>
        <w:b w:val="0"/>
        <w:bCs w:val="0"/>
        <w:sz w:val="20"/>
        <w:szCs w:val="20"/>
        <w:lang w:val="en-US" w:eastAsia="zh-CN"/>
      </w:rPr>
    </w:pPr>
    <w:r>
      <w:rPr>
        <w:rFonts w:hint="eastAsia"/>
        <w:b w:val="0"/>
        <w:bCs w:val="0"/>
        <w:sz w:val="20"/>
        <w:szCs w:val="20"/>
        <w:lang w:eastAsia="zh-CN"/>
      </w:rPr>
      <w:t>瑞安市水库堤防白蚁等害堤动物普查与防治项目</w:t>
    </w:r>
    <w:r>
      <w:rPr>
        <w:rFonts w:hint="eastAsia"/>
        <w:b w:val="0"/>
        <w:bCs w:val="0"/>
        <w:sz w:val="20"/>
        <w:szCs w:val="20"/>
        <w:lang w:val="en-US" w:eastAsia="zh-CN"/>
      </w:rPr>
      <w:t xml:space="preserve">           </w:t>
    </w:r>
  </w:p>
  <w:p w14:paraId="5A90E053">
    <w:pPr>
      <w:jc w:val="right"/>
      <w:outlineLvl w:val="0"/>
      <w:rPr>
        <w:rFonts w:hint="eastAsia" w:eastAsiaTheme="minorEastAsia"/>
        <w:b w:val="0"/>
        <w:bCs w:val="0"/>
        <w:sz w:val="10"/>
        <w:szCs w:val="16"/>
        <w:lang w:val="en-US" w:eastAsia="zh-CN"/>
      </w:rPr>
    </w:pPr>
    <w:r>
      <w:rPr>
        <w:rFonts w:hint="eastAsia"/>
        <w:b w:val="0"/>
        <w:bCs w:val="0"/>
        <w:sz w:val="20"/>
        <w:szCs w:val="20"/>
        <w:lang w:val="en-US" w:eastAsia="zh-CN"/>
      </w:rPr>
      <w:t xml:space="preserve"> </w:t>
    </w:r>
    <w:r>
      <w:rPr>
        <w:rFonts w:hint="eastAsia"/>
        <w:sz w:val="20"/>
        <w:szCs w:val="22"/>
      </w:rPr>
      <w:t>浙江综盛项目管理有限公司</w:t>
    </w:r>
    <w:r>
      <w:rPr>
        <w:rFonts w:hint="eastAsia"/>
        <w:sz w:val="20"/>
        <w:szCs w:val="22"/>
        <w:lang w:val="en-US" w:eastAsia="zh-CN"/>
      </w:rPr>
      <w:t>制</w:t>
    </w:r>
  </w:p>
  <w:p w14:paraId="37741541">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CED6"/>
    <w:multiLevelType w:val="singleLevel"/>
    <w:tmpl w:val="81F7CED6"/>
    <w:lvl w:ilvl="0" w:tentative="0">
      <w:start w:val="1"/>
      <w:numFmt w:val="decimal"/>
      <w:lvlText w:val="(%1)"/>
      <w:lvlJc w:val="left"/>
      <w:pPr>
        <w:ind w:left="425" w:hanging="425"/>
      </w:pPr>
      <w:rPr>
        <w:rFonts w:hint="default"/>
      </w:rPr>
    </w:lvl>
  </w:abstractNum>
  <w:abstractNum w:abstractNumId="1">
    <w:nsid w:val="84A24ADA"/>
    <w:multiLevelType w:val="multilevel"/>
    <w:tmpl w:val="84A24AD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2">
    <w:nsid w:val="93D77E27"/>
    <w:multiLevelType w:val="singleLevel"/>
    <w:tmpl w:val="93D77E27"/>
    <w:lvl w:ilvl="0" w:tentative="0">
      <w:start w:val="1"/>
      <w:numFmt w:val="decimal"/>
      <w:suff w:val="space"/>
      <w:lvlText w:val="%1."/>
      <w:lvlJc w:val="left"/>
    </w:lvl>
  </w:abstractNum>
  <w:abstractNum w:abstractNumId="3">
    <w:nsid w:val="9FF36C32"/>
    <w:multiLevelType w:val="singleLevel"/>
    <w:tmpl w:val="9FF36C32"/>
    <w:lvl w:ilvl="0" w:tentative="0">
      <w:start w:val="2"/>
      <w:numFmt w:val="chineseCounting"/>
      <w:suff w:val="nothing"/>
      <w:lvlText w:val="%1、"/>
      <w:lvlJc w:val="left"/>
      <w:rPr>
        <w:rFonts w:hint="eastAsia"/>
      </w:rPr>
    </w:lvl>
  </w:abstractNum>
  <w:abstractNum w:abstractNumId="4">
    <w:nsid w:val="BDD12A83"/>
    <w:multiLevelType w:val="multilevel"/>
    <w:tmpl w:val="BDD12A83"/>
    <w:lvl w:ilvl="0" w:tentative="0">
      <w:start w:val="1"/>
      <w:numFmt w:val="decimal"/>
      <w:suff w:val="space"/>
      <w:lvlText w:val="（%1）"/>
      <w:lvlJc w:val="left"/>
      <w:pPr>
        <w:tabs>
          <w:tab w:val="left" w:pos="420"/>
        </w:tabs>
        <w:ind w:left="0" w:firstLine="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D97A2646"/>
    <w:multiLevelType w:val="singleLevel"/>
    <w:tmpl w:val="D97A2646"/>
    <w:lvl w:ilvl="0" w:tentative="0">
      <w:start w:val="1"/>
      <w:numFmt w:val="decimal"/>
      <w:lvlText w:val="%1)"/>
      <w:lvlJc w:val="left"/>
      <w:pPr>
        <w:tabs>
          <w:tab w:val="left" w:pos="312"/>
        </w:tabs>
      </w:pPr>
    </w:lvl>
  </w:abstractNum>
  <w:abstractNum w:abstractNumId="6">
    <w:nsid w:val="DB6A8EA1"/>
    <w:multiLevelType w:val="singleLevel"/>
    <w:tmpl w:val="DB6A8EA1"/>
    <w:lvl w:ilvl="0" w:tentative="0">
      <w:start w:val="1"/>
      <w:numFmt w:val="decimal"/>
      <w:suff w:val="space"/>
      <w:lvlText w:val="%1."/>
      <w:lvlJc w:val="left"/>
    </w:lvl>
  </w:abstractNum>
  <w:abstractNum w:abstractNumId="7">
    <w:nsid w:val="E4BBD852"/>
    <w:multiLevelType w:val="singleLevel"/>
    <w:tmpl w:val="E4BBD852"/>
    <w:lvl w:ilvl="0" w:tentative="0">
      <w:start w:val="1"/>
      <w:numFmt w:val="decimal"/>
      <w:lvlText w:val="%1."/>
      <w:lvlJc w:val="left"/>
      <w:pPr>
        <w:tabs>
          <w:tab w:val="left" w:pos="312"/>
        </w:tabs>
      </w:pPr>
    </w:lvl>
  </w:abstractNum>
  <w:abstractNum w:abstractNumId="8">
    <w:nsid w:val="FC8332B9"/>
    <w:multiLevelType w:val="singleLevel"/>
    <w:tmpl w:val="FC8332B9"/>
    <w:lvl w:ilvl="0" w:tentative="0">
      <w:start w:val="1"/>
      <w:numFmt w:val="decimal"/>
      <w:suff w:val="nothing"/>
      <w:lvlText w:val="（%1）"/>
      <w:lvlJc w:val="left"/>
    </w:lvl>
  </w:abstractNum>
  <w:abstractNum w:abstractNumId="9">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0">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1">
    <w:nsid w:val="0000001A"/>
    <w:multiLevelType w:val="multilevel"/>
    <w:tmpl w:val="0000001A"/>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s="Times New Roman"/>
        <w:color w:val="auto"/>
      </w:rPr>
    </w:lvl>
    <w:lvl w:ilvl="2" w:tentative="0">
      <w:start w:val="1"/>
      <w:numFmt w:val="decimalEnclosedCircle"/>
      <w:lvlText w:val="%3"/>
      <w:lvlJc w:val="left"/>
      <w:pPr>
        <w:ind w:left="2085" w:hanging="405"/>
      </w:pPr>
      <w:rPr>
        <w:rFonts w:hint="default" w:hAnsi="宋体"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3">
    <w:nsid w:val="0F1A6F35"/>
    <w:multiLevelType w:val="singleLevel"/>
    <w:tmpl w:val="0F1A6F35"/>
    <w:lvl w:ilvl="0" w:tentative="0">
      <w:start w:val="1"/>
      <w:numFmt w:val="decimal"/>
      <w:suff w:val="nothing"/>
      <w:lvlText w:val="（%1）"/>
      <w:lvlJc w:val="left"/>
    </w:lvl>
  </w:abstractNum>
  <w:abstractNum w:abstractNumId="14">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5">
    <w:nsid w:val="35223091"/>
    <w:multiLevelType w:val="singleLevel"/>
    <w:tmpl w:val="35223091"/>
    <w:lvl w:ilvl="0" w:tentative="0">
      <w:start w:val="1"/>
      <w:numFmt w:val="decimal"/>
      <w:lvlText w:val="(%1)"/>
      <w:lvlJc w:val="left"/>
      <w:pPr>
        <w:ind w:left="425" w:hanging="425"/>
      </w:pPr>
      <w:rPr>
        <w:rFonts w:hint="default"/>
      </w:rPr>
    </w:lvl>
  </w:abstractNum>
  <w:abstractNum w:abstractNumId="16">
    <w:nsid w:val="3E0A99FA"/>
    <w:multiLevelType w:val="multilevel"/>
    <w:tmpl w:val="3E0A99FA"/>
    <w:lvl w:ilvl="0" w:tentative="0">
      <w:start w:val="1"/>
      <w:numFmt w:val="decimal"/>
      <w:suff w:val="nothing"/>
      <w:lvlText w:val="（%1）"/>
      <w:lvlJc w:val="left"/>
      <w:pPr>
        <w:tabs>
          <w:tab w:val="left" w:pos="420"/>
        </w:tabs>
        <w:ind w:left="1138"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8" w:hanging="420"/>
      </w:pPr>
      <w:rPr>
        <w:rFonts w:cs="Times New Roman"/>
      </w:rPr>
    </w:lvl>
    <w:lvl w:ilvl="2" w:tentative="0">
      <w:start w:val="1"/>
      <w:numFmt w:val="lowerRoman"/>
      <w:lvlText w:val="%3."/>
      <w:lvlJc w:val="right"/>
      <w:pPr>
        <w:ind w:left="1978" w:hanging="420"/>
      </w:pPr>
      <w:rPr>
        <w:rFonts w:cs="Times New Roman"/>
      </w:rPr>
    </w:lvl>
    <w:lvl w:ilvl="3" w:tentative="0">
      <w:start w:val="1"/>
      <w:numFmt w:val="decimal"/>
      <w:lvlText w:val="%4."/>
      <w:lvlJc w:val="left"/>
      <w:pPr>
        <w:ind w:left="2398" w:hanging="420"/>
      </w:pPr>
      <w:rPr>
        <w:rFonts w:cs="Times New Roman"/>
      </w:rPr>
    </w:lvl>
    <w:lvl w:ilvl="4" w:tentative="0">
      <w:start w:val="1"/>
      <w:numFmt w:val="lowerLetter"/>
      <w:lvlText w:val="%5)"/>
      <w:lvlJc w:val="left"/>
      <w:pPr>
        <w:ind w:left="2818" w:hanging="420"/>
      </w:pPr>
      <w:rPr>
        <w:rFonts w:cs="Times New Roman"/>
      </w:rPr>
    </w:lvl>
    <w:lvl w:ilvl="5" w:tentative="0">
      <w:start w:val="1"/>
      <w:numFmt w:val="lowerRoman"/>
      <w:lvlText w:val="%6."/>
      <w:lvlJc w:val="right"/>
      <w:pPr>
        <w:ind w:left="3238" w:hanging="420"/>
      </w:pPr>
      <w:rPr>
        <w:rFonts w:cs="Times New Roman"/>
      </w:rPr>
    </w:lvl>
    <w:lvl w:ilvl="6" w:tentative="0">
      <w:start w:val="1"/>
      <w:numFmt w:val="decimal"/>
      <w:lvlText w:val="%7."/>
      <w:lvlJc w:val="left"/>
      <w:pPr>
        <w:ind w:left="3658" w:hanging="420"/>
      </w:pPr>
      <w:rPr>
        <w:rFonts w:cs="Times New Roman"/>
      </w:rPr>
    </w:lvl>
    <w:lvl w:ilvl="7" w:tentative="0">
      <w:start w:val="1"/>
      <w:numFmt w:val="lowerLetter"/>
      <w:lvlText w:val="%8)"/>
      <w:lvlJc w:val="left"/>
      <w:pPr>
        <w:ind w:left="4078" w:hanging="420"/>
      </w:pPr>
      <w:rPr>
        <w:rFonts w:cs="Times New Roman"/>
      </w:rPr>
    </w:lvl>
    <w:lvl w:ilvl="8" w:tentative="0">
      <w:start w:val="1"/>
      <w:numFmt w:val="lowerRoman"/>
      <w:lvlText w:val="%9."/>
      <w:lvlJc w:val="right"/>
      <w:pPr>
        <w:ind w:left="4498" w:hanging="420"/>
      </w:pPr>
      <w:rPr>
        <w:rFonts w:cs="Times New Roman"/>
      </w:rPr>
    </w:lvl>
  </w:abstractNum>
  <w:abstractNum w:abstractNumId="17">
    <w:nsid w:val="4F50C2A5"/>
    <w:multiLevelType w:val="singleLevel"/>
    <w:tmpl w:val="4F50C2A5"/>
    <w:lvl w:ilvl="0" w:tentative="0">
      <w:start w:val="1"/>
      <w:numFmt w:val="decimal"/>
      <w:suff w:val="space"/>
      <w:lvlText w:val="%1."/>
      <w:lvlJc w:val="left"/>
    </w:lvl>
  </w:abstractNum>
  <w:abstractNum w:abstractNumId="18">
    <w:nsid w:val="557FD3DA"/>
    <w:multiLevelType w:val="singleLevel"/>
    <w:tmpl w:val="557FD3DA"/>
    <w:lvl w:ilvl="0" w:tentative="0">
      <w:start w:val="3"/>
      <w:numFmt w:val="chineseCounting"/>
      <w:suff w:val="nothing"/>
      <w:lvlText w:val="%1、"/>
      <w:lvlJc w:val="left"/>
    </w:lvl>
  </w:abstractNum>
  <w:abstractNum w:abstractNumId="19">
    <w:nsid w:val="593C976F"/>
    <w:multiLevelType w:val="singleLevel"/>
    <w:tmpl w:val="593C976F"/>
    <w:lvl w:ilvl="0" w:tentative="0">
      <w:start w:val="1"/>
      <w:numFmt w:val="chineseCounting"/>
      <w:suff w:val="nothing"/>
      <w:lvlText w:val="（%1）"/>
      <w:lvlJc w:val="left"/>
    </w:lvl>
  </w:abstractNum>
  <w:abstractNum w:abstractNumId="2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1">
    <w:nsid w:val="6BE89767"/>
    <w:multiLevelType w:val="singleLevel"/>
    <w:tmpl w:val="6BE89767"/>
    <w:lvl w:ilvl="0" w:tentative="0">
      <w:start w:val="1"/>
      <w:numFmt w:val="decimal"/>
      <w:suff w:val="space"/>
      <w:lvlText w:val="%1）"/>
      <w:lvlJc w:val="left"/>
    </w:lvl>
  </w:abstractNum>
  <w:abstractNum w:abstractNumId="22">
    <w:nsid w:val="792E58DD"/>
    <w:multiLevelType w:val="multilevel"/>
    <w:tmpl w:val="792E58D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3">
    <w:nsid w:val="7D0529F4"/>
    <w:multiLevelType w:val="singleLevel"/>
    <w:tmpl w:val="7D0529F4"/>
    <w:lvl w:ilvl="0" w:tentative="0">
      <w:start w:val="1"/>
      <w:numFmt w:val="decimal"/>
      <w:lvlText w:val="%1."/>
      <w:lvlJc w:val="left"/>
      <w:pPr>
        <w:tabs>
          <w:tab w:val="left" w:pos="454"/>
        </w:tabs>
        <w:ind w:left="454" w:hanging="454"/>
      </w:pPr>
      <w:rPr>
        <w:rFonts w:hint="default"/>
      </w:rPr>
    </w:lvl>
  </w:abstractNum>
  <w:num w:numId="1">
    <w:abstractNumId w:val="22"/>
  </w:num>
  <w:num w:numId="2">
    <w:abstractNumId w:val="23"/>
  </w:num>
  <w:num w:numId="3">
    <w:abstractNumId w:val="13"/>
  </w:num>
  <w:num w:numId="4">
    <w:abstractNumId w:val="2"/>
  </w:num>
  <w:num w:numId="5">
    <w:abstractNumId w:val="7"/>
  </w:num>
  <w:num w:numId="6">
    <w:abstractNumId w:val="8"/>
  </w:num>
  <w:num w:numId="7">
    <w:abstractNumId w:val="14"/>
  </w:num>
  <w:num w:numId="8">
    <w:abstractNumId w:val="17"/>
  </w:num>
  <w:num w:numId="9">
    <w:abstractNumId w:val="6"/>
  </w:num>
  <w:num w:numId="10">
    <w:abstractNumId w:val="18"/>
  </w:num>
  <w:num w:numId="11">
    <w:abstractNumId w:val="10"/>
  </w:num>
  <w:num w:numId="12">
    <w:abstractNumId w:val="21"/>
  </w:num>
  <w:num w:numId="13">
    <w:abstractNumId w:val="3"/>
  </w:num>
  <w:num w:numId="14">
    <w:abstractNumId w:val="16"/>
  </w:num>
  <w:num w:numId="15">
    <w:abstractNumId w:val="1"/>
  </w:num>
  <w:num w:numId="16">
    <w:abstractNumId w:val="11"/>
  </w:num>
  <w:num w:numId="17">
    <w:abstractNumId w:val="4"/>
  </w:num>
  <w:num w:numId="18">
    <w:abstractNumId w:val="15"/>
  </w:num>
  <w:num w:numId="19">
    <w:abstractNumId w:val="9"/>
  </w:num>
  <w:num w:numId="20">
    <w:abstractNumId w:val="0"/>
  </w:num>
  <w:num w:numId="21">
    <w:abstractNumId w:val="19"/>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D7592"/>
    <w:rsid w:val="0C383F49"/>
    <w:rsid w:val="10A45DD5"/>
    <w:rsid w:val="11DF4949"/>
    <w:rsid w:val="2E30169A"/>
    <w:rsid w:val="32AF6513"/>
    <w:rsid w:val="33D10411"/>
    <w:rsid w:val="3BC6110F"/>
    <w:rsid w:val="3CF07932"/>
    <w:rsid w:val="47804836"/>
    <w:rsid w:val="498727DE"/>
    <w:rsid w:val="5F4E1D4F"/>
    <w:rsid w:val="62F11A84"/>
    <w:rsid w:val="63272EFC"/>
    <w:rsid w:val="6D984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uiPriority="99" w:name="heading 5"/>
    <w:lsdException w:qFormat="1" w:unhideWhenUsed="0" w:uiPriority="0" w:semiHidden="0"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qFormat="1" w:unhideWhenUsed="0" w:uiPriority="0"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qFormat="1" w:unhideWhenUsed="0" w:uiPriority="0"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tabs>
        <w:tab w:val="left" w:pos="840"/>
      </w:tabs>
      <w:adjustRightInd w:val="0"/>
      <w:snapToGrid w:val="0"/>
      <w:spacing w:line="360" w:lineRule="auto"/>
      <w:outlineLvl w:val="0"/>
    </w:pPr>
    <w:rPr>
      <w:rFonts w:ascii="宋体"/>
      <w:b/>
      <w:kern w:val="44"/>
      <w:sz w:val="24"/>
    </w:rPr>
  </w:style>
  <w:style w:type="paragraph" w:styleId="3">
    <w:name w:val="heading 2"/>
    <w:basedOn w:val="1"/>
    <w:qFormat/>
    <w:uiPriority w:val="9"/>
    <w:pPr>
      <w:keepNext/>
      <w:keepLines/>
      <w:tabs>
        <w:tab w:val="left" w:pos="840"/>
      </w:tabs>
      <w:spacing w:before="260" w:after="260" w:line="416" w:lineRule="auto"/>
      <w:outlineLvl w:val="1"/>
    </w:pPr>
    <w:rPr>
      <w:rFonts w:ascii="Cambria" w:hAnsi="Cambria"/>
      <w:bCs/>
      <w:sz w:val="32"/>
      <w:szCs w:val="32"/>
    </w:rPr>
  </w:style>
  <w:style w:type="paragraph" w:styleId="4">
    <w:name w:val="heading 3"/>
    <w:basedOn w:val="1"/>
    <w:qFormat/>
    <w:uiPriority w:val="0"/>
    <w:pPr>
      <w:keepNext/>
      <w:keepLines/>
      <w:spacing w:before="260" w:after="260" w:line="416" w:lineRule="auto"/>
      <w:outlineLvl w:val="2"/>
    </w:pPr>
    <w:rPr>
      <w:b/>
      <w:bCs/>
      <w:sz w:val="32"/>
      <w:szCs w:val="32"/>
    </w:rPr>
  </w:style>
  <w:style w:type="paragraph" w:styleId="5">
    <w:name w:val="heading 4"/>
    <w:basedOn w:val="1"/>
    <w:qFormat/>
    <w:uiPriority w:val="0"/>
    <w:pPr>
      <w:widowControl w:val="0"/>
      <w:numPr>
        <w:ilvl w:val="3"/>
        <w:numId w:val="1"/>
      </w:numPr>
      <w:autoSpaceDE w:val="0"/>
      <w:autoSpaceDN w:val="0"/>
      <w:adjustRightInd w:val="0"/>
      <w:snapToGrid w:val="0"/>
      <w:spacing w:line="360" w:lineRule="auto"/>
      <w:jc w:val="both"/>
      <w:outlineLvl w:val="3"/>
    </w:pPr>
    <w:rPr>
      <w:rFonts w:ascii="宋体" w:hAnsi="Arial"/>
      <w:color w:val="000000"/>
      <w:sz w:val="20"/>
    </w:rPr>
  </w:style>
  <w:style w:type="paragraph" w:styleId="6">
    <w:name w:val="heading 6"/>
    <w:basedOn w:val="1"/>
    <w:qFormat/>
    <w:uiPriority w:val="0"/>
    <w:pPr>
      <w:keepNext/>
      <w:keepLines/>
      <w:widowControl w:val="0"/>
      <w:tabs>
        <w:tab w:val="left" w:pos="1152"/>
      </w:tabs>
      <w:spacing w:before="240" w:after="64" w:line="320" w:lineRule="auto"/>
      <w:ind w:left="425" w:hanging="425"/>
      <w:outlineLvl w:val="5"/>
    </w:pPr>
    <w:rPr>
      <w:rFonts w:ascii="Arial" w:hAnsi="Arial" w:eastAsia="黑体"/>
      <w:b/>
      <w:bCs/>
      <w:spacing w:val="6"/>
      <w:kern w:val="2"/>
      <w:sz w:val="24"/>
      <w:szCs w:val="24"/>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 w:val="20"/>
    </w:rPr>
  </w:style>
  <w:style w:type="paragraph" w:styleId="8">
    <w:name w:val="Body Text"/>
    <w:basedOn w:val="1"/>
    <w:qFormat/>
    <w:uiPriority w:val="0"/>
    <w:pPr>
      <w:spacing w:line="360" w:lineRule="auto"/>
    </w:pPr>
    <w:rPr>
      <w:rFonts w:ascii="楷体_GB2312" w:eastAsia="楷体_GB2312"/>
      <w:sz w:val="32"/>
    </w:rPr>
  </w:style>
  <w:style w:type="paragraph" w:styleId="9">
    <w:name w:val="Body Text Indent"/>
    <w:basedOn w:val="1"/>
    <w:qFormat/>
    <w:uiPriority w:val="0"/>
    <w:pPr>
      <w:spacing w:after="120"/>
      <w:ind w:left="420" w:leftChars="200"/>
    </w:pPr>
  </w:style>
  <w:style w:type="paragraph" w:styleId="10">
    <w:name w:val="List 2"/>
    <w:basedOn w:val="1"/>
    <w:qFormat/>
    <w:uiPriority w:val="0"/>
    <w:pPr>
      <w:widowControl w:val="0"/>
      <w:ind w:left="100" w:leftChars="200" w:hanging="200" w:hangingChars="200"/>
      <w:jc w:val="both"/>
    </w:pPr>
    <w:rPr>
      <w:rFonts w:ascii="Calibri" w:hAnsi="Calibri"/>
      <w:kern w:val="2"/>
      <w:szCs w:val="22"/>
    </w:rPr>
  </w:style>
  <w:style w:type="paragraph" w:styleId="11">
    <w:name w:val="toc 3"/>
    <w:basedOn w:val="1"/>
    <w:qFormat/>
    <w:uiPriority w:val="0"/>
    <w:pPr>
      <w:ind w:left="840" w:leftChars="400"/>
    </w:pPr>
  </w:style>
  <w:style w:type="paragraph" w:styleId="12">
    <w:name w:val="Plain Text"/>
    <w:basedOn w:val="1"/>
    <w:qFormat/>
    <w:uiPriority w:val="99"/>
    <w:rPr>
      <w:rFonts w:ascii="宋体" w:hAnsi="Courier New"/>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qFormat/>
    <w:uiPriority w:val="39"/>
    <w:pPr>
      <w:tabs>
        <w:tab w:val="right" w:leader="middleDot" w:pos="8948"/>
      </w:tabs>
    </w:pPr>
    <w:rPr>
      <w:rFonts w:ascii="宋体" w:hAnsi="宋体"/>
      <w:b/>
      <w:bCs/>
      <w:caps/>
      <w:szCs w:val="21"/>
    </w:rPr>
  </w:style>
  <w:style w:type="paragraph" w:styleId="16">
    <w:name w:val="toc 6"/>
    <w:basedOn w:val="1"/>
    <w:qFormat/>
    <w:uiPriority w:val="0"/>
    <w:pPr>
      <w:spacing w:line="360" w:lineRule="auto"/>
      <w:ind w:left="1200" w:firstLine="200" w:firstLineChars="200"/>
      <w:jc w:val="left"/>
    </w:pPr>
    <w:rPr>
      <w:rFonts w:ascii="Calibri" w:hAnsi="Calibri" w:cs="Calibri"/>
      <w:sz w:val="18"/>
      <w:szCs w:val="18"/>
    </w:rPr>
  </w:style>
  <w:style w:type="paragraph" w:styleId="17">
    <w:name w:val="toc 2"/>
    <w:basedOn w:val="1"/>
    <w:qFormat/>
    <w:uiPriority w:val="0"/>
    <w:pPr>
      <w:ind w:left="420" w:leftChars="200"/>
    </w:pPr>
  </w:style>
  <w:style w:type="paragraph" w:styleId="18">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19">
    <w:name w:val="Body Text First Indent"/>
    <w:basedOn w:val="8"/>
    <w:qFormat/>
    <w:uiPriority w:val="99"/>
    <w:pPr>
      <w:widowControl w:val="0"/>
      <w:tabs>
        <w:tab w:val="left" w:pos="482"/>
        <w:tab w:val="left" w:pos="2183"/>
        <w:tab w:val="left" w:pos="3884"/>
        <w:tab w:val="left" w:pos="5585"/>
      </w:tabs>
      <w:adjustRightInd w:val="0"/>
      <w:spacing w:after="0"/>
      <w:ind w:firstLine="482"/>
      <w:jc w:val="both"/>
    </w:pPr>
    <w:rPr>
      <w:rFonts w:eastAsia="楷体_GB2312"/>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qFormat/>
    <w:uiPriority w:val="99"/>
    <w:rPr>
      <w:rFonts w:hint="eastAsia" w:ascii="宋体" w:hAnsi="宋体" w:eastAsia="宋体" w:cs="宋体"/>
      <w:color w:val="000000"/>
      <w:sz w:val="18"/>
      <w:szCs w:val="18"/>
      <w:u w:val="none"/>
    </w:rPr>
  </w:style>
  <w:style w:type="paragraph" w:customStyle="1" w:styleId="25">
    <w:name w:val="正文首行缩进2字符"/>
    <w:basedOn w:val="1"/>
    <w:qFormat/>
    <w:uiPriority w:val="0"/>
    <w:pPr>
      <w:widowControl/>
      <w:adjustRightInd w:val="0"/>
    </w:pPr>
  </w:style>
  <w:style w:type="paragraph" w:customStyle="1" w:styleId="26">
    <w:name w:val="表格文字"/>
    <w:basedOn w:val="12"/>
    <w:qFormat/>
    <w:uiPriority w:val="0"/>
    <w:pPr>
      <w:adjustRightInd w:val="0"/>
      <w:spacing w:line="420" w:lineRule="atLeast"/>
    </w:pPr>
  </w:style>
  <w:style w:type="paragraph" w:customStyle="1" w:styleId="27">
    <w:name w:val="List Paragraph"/>
    <w:basedOn w:val="1"/>
    <w:qFormat/>
    <w:uiPriority w:val="0"/>
    <w:pPr>
      <w:ind w:firstLine="420" w:firstLineChars="200"/>
    </w:pPr>
  </w:style>
  <w:style w:type="character" w:customStyle="1" w:styleId="28">
    <w:name w:val="op-map-singlepoint-info-right1"/>
    <w:basedOn w:val="22"/>
    <w:qFormat/>
    <w:uiPriority w:val="0"/>
  </w:style>
  <w:style w:type="character" w:customStyle="1" w:styleId="29">
    <w:name w:val="NormalCharacter"/>
    <w:qFormat/>
    <w:uiPriority w:val="0"/>
  </w:style>
  <w:style w:type="paragraph" w:customStyle="1" w:styleId="30">
    <w:name w:val="Plain Text"/>
    <w:basedOn w:val="31"/>
    <w:qFormat/>
    <w:uiPriority w:val="0"/>
    <w:pPr>
      <w:widowControl/>
      <w:jc w:val="left"/>
    </w:pPr>
    <w:rPr>
      <w:rFonts w:ascii="宋体" w:hAnsi="Courier New"/>
    </w:rPr>
  </w:style>
  <w:style w:type="paragraph" w:customStyle="1" w:styleId="31">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2">
    <w:name w:val="中等深浅网格 1 - 强调文字颜色 21"/>
    <w:basedOn w:val="1"/>
    <w:qFormat/>
    <w:uiPriority w:val="34"/>
    <w:pPr>
      <w:ind w:firstLine="420" w:firstLineChars="200"/>
    </w:pPr>
  </w:style>
  <w:style w:type="paragraph" w:customStyle="1" w:styleId="33">
    <w:name w:val="l正文"/>
    <w:basedOn w:val="1"/>
    <w:qFormat/>
    <w:uiPriority w:val="0"/>
    <w:pPr>
      <w:widowControl w:val="0"/>
      <w:spacing w:line="300" w:lineRule="auto"/>
      <w:ind w:firstLine="200" w:firstLineChars="200"/>
    </w:pPr>
    <w:rPr>
      <w:rFonts w:ascii="楷体_GB2312" w:hAnsi="Times" w:eastAsia="楷体_GB2312" w:cs="等线"/>
      <w:kern w:val="2"/>
      <w:sz w:val="24"/>
      <w:szCs w:val="24"/>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19821</Words>
  <Characters>20838</Characters>
  <Lines>0</Lines>
  <Paragraphs>0</Paragraphs>
  <TotalTime>2</TotalTime>
  <ScaleCrop>false</ScaleCrop>
  <LinksUpToDate>false</LinksUpToDate>
  <CharactersWithSpaces>24948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2023-02-21T21:16:00Z</dcterms:created>
  <dc:creator>天下为攻</dc:creator>
  <cp:lastModifiedBy>天下为攻</cp:lastModifiedBy>
  <dcterms:modified xsi:type="dcterms:W3CDTF">2025-08-29T06:56:12Z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1EAD3A65334D4B329E37C0955E2B6430_13</vt:lpwstr>
  </property>
  <property fmtid="{D5CDD505-2E9C-101B-9397-08002B2CF9AE}" pid="4" name="KSOTemplateDocerSaveRecord">
    <vt:lpwstr>eyJoZGlkIjoiNWJmZTJkYjgwNzdhNjQwNjJhNzllNDYwYThkNDJlODIiLCJ1c2VySWQiOiIyMTA5OTcxNTAifQ==</vt:lpwstr>
  </property>
</Properties>
</file>