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441225-2025-01384</w:t>
      </w:r>
    </w:p>
    <w:p>
      <w:pPr>
        <w:pStyle w:val="null3"/>
        <w:jc w:val="center"/>
        <w:outlineLvl w:val="3"/>
      </w:pPr>
      <w:r>
        <w:rPr>
          <w:sz w:val="24"/>
          <w:b/>
        </w:rPr>
        <w:t>采购项目编号：</w:t>
      </w:r>
      <w:r>
        <w:rPr>
          <w:sz w:val="24"/>
          <w:b/>
        </w:rPr>
        <w:t>GDML-2025-011（CGZB）</w:t>
      </w:r>
    </w:p>
    <w:p>
      <w:pPr>
        <w:pStyle w:val="null3"/>
        <w:jc w:val="center"/>
        <w:outlineLvl w:val="3"/>
      </w:pPr>
      <w:r>
        <w:rPr>
          <w:sz w:val="24"/>
          <w:b/>
        </w:rPr>
        <w:t>项目名称：</w:t>
      </w:r>
      <w:r>
        <w:rPr>
          <w:sz w:val="24"/>
          <w:b/>
        </w:rPr>
        <w:t>2025年封开县城区公共外环境病媒生物防制项目</w:t>
      </w:r>
    </w:p>
    <w:p>
      <w:pPr>
        <w:pStyle w:val="null3"/>
        <w:jc w:val="center"/>
        <w:outlineLvl w:val="3"/>
      </w:pPr>
      <w:r>
        <w:rPr>
          <w:sz w:val="24"/>
          <w:b/>
        </w:rPr>
        <w:t>采购人：</w:t>
      </w:r>
      <w:r>
        <w:rPr>
          <w:sz w:val="24"/>
          <w:b/>
        </w:rPr>
        <w:t>封开县城市管理和综合执法局</w:t>
      </w:r>
    </w:p>
    <w:p>
      <w:pPr>
        <w:pStyle w:val="null3"/>
        <w:jc w:val="center"/>
        <w:outlineLvl w:val="3"/>
      </w:pPr>
      <w:r>
        <w:rPr>
          <w:sz w:val="24"/>
          <w:b/>
        </w:rPr>
        <w:t>采购代理机构：</w:t>
      </w:r>
      <w:r>
        <w:rPr>
          <w:sz w:val="24"/>
          <w:b/>
        </w:rPr>
        <w:t>广东名立工程管理有限公司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广东名立工程管理有限公司</w:t>
      </w:r>
      <w:r>
        <w:rPr/>
        <w:t>受</w:t>
      </w:r>
      <w:r>
        <w:rPr/>
        <w:t>封开县城市管理和综合执法局</w:t>
      </w:r>
      <w:r>
        <w:rPr/>
        <w:t>的委托，采用</w:t>
      </w:r>
      <w:r>
        <w:rPr/>
        <w:t>竞争性磋商</w:t>
      </w:r>
      <w:r>
        <w:rPr/>
        <w:t>方式组织采购</w:t>
      </w:r>
      <w:r>
        <w:rPr/>
        <w:t>2025年封开县城区公共外环境病媒生物防制项目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2025年封开县城区公共外环境病媒生物防制项目</w:t>
      </w:r>
    </w:p>
    <w:p>
      <w:pPr>
        <w:pStyle w:val="null3"/>
        <w:ind w:firstLine="480"/>
      </w:pPr>
      <w:r>
        <w:rPr/>
        <w:t>采购计划编号：</w:t>
      </w:r>
      <w:r>
        <w:rPr/>
        <w:t>441225-2025-01384</w:t>
      </w:r>
    </w:p>
    <w:p>
      <w:pPr>
        <w:pStyle w:val="null3"/>
        <w:ind w:firstLine="480"/>
      </w:pPr>
      <w:r>
        <w:rPr/>
        <w:t>采购项目编号：</w:t>
      </w:r>
      <w:r>
        <w:rPr/>
        <w:t>GDML-2025-011（CGZB）</w:t>
      </w:r>
    </w:p>
    <w:p>
      <w:pPr>
        <w:pStyle w:val="null3"/>
        <w:ind w:firstLine="480"/>
      </w:pPr>
      <w:r>
        <w:rPr/>
        <w:t>采购方式：</w:t>
      </w:r>
      <w:r>
        <w:rPr/>
        <w:t>竞争性磋商</w:t>
      </w:r>
    </w:p>
    <w:p>
      <w:pPr>
        <w:pStyle w:val="null3"/>
        <w:ind w:firstLine="480"/>
      </w:pPr>
      <w:r>
        <w:rPr/>
        <w:t>预算金额：</w:t>
      </w:r>
      <w:r>
        <w:rPr/>
        <w:t>1,186,000.00</w:t>
      </w:r>
      <w:r>
        <w:rPr/>
        <w:t>元</w:t>
      </w:r>
    </w:p>
    <w:p>
      <w:pPr>
        <w:pStyle w:val="null3"/>
        <w:outlineLvl w:val="3"/>
      </w:pPr>
      <w:r>
        <w:rPr>
          <w:sz w:val="24"/>
          <w:b/>
        </w:rPr>
        <w:t>2.项目内容及需求情况（采购项目技术规格、参数及要求）</w:t>
      </w:r>
    </w:p>
    <w:p>
      <w:pPr>
        <w:pStyle w:val="null3"/>
      </w:pPr>
      <w:r>
        <w:rPr/>
        <w:t>采购包1(2025年封开县城区公共外环境病媒生物防制项目):</w:t>
      </w:r>
    </w:p>
    <w:p>
      <w:pPr>
        <w:pStyle w:val="null3"/>
      </w:pPr>
      <w:r>
        <w:rPr/>
        <w:t>采购包预算金额：1,186,000.00元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其他城镇公共卫生服务</w:t>
            </w:r>
          </w:p>
        </w:tc>
        <w:tc>
          <w:tcPr>
            <w:tcW w:type="dxa" w:w="2136"/>
          </w:tcPr>
          <w:p>
            <w:pPr>
              <w:pStyle w:val="null3"/>
            </w:pPr>
            <w:r>
              <w:rPr/>
              <w:t>2025年封开县城区公共外环境病媒生物防制项目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合同履行期限：自合同签订之日起1年。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资格条件承诺函）。</w:t>
      </w:r>
    </w:p>
    <w:p>
      <w:pPr>
        <w:pStyle w:val="null3"/>
      </w:pPr>
      <w:r>
        <w:rPr/>
        <w:t>3）具有良好的商业信誉和健全的财务会计制度：供应商必须具有良好的商业信誉和健全的财务会计制度(提供2024年度财务状况报告或基本开户行出具的资信证明)（或提供资格条件承诺函）。</w:t>
      </w:r>
    </w:p>
    <w:p>
      <w:pPr>
        <w:pStyle w:val="null3"/>
      </w:pPr>
      <w:r>
        <w:rPr/>
        <w:t>4）履行合同所必需的设备和专业技术能力：按投标(响应)文件格式填报设备及专业技术能力情况（或提供资格条件承诺函）。</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资格条件承诺函）。</w:t>
      </w:r>
    </w:p>
    <w:p>
      <w:pPr>
        <w:pStyle w:val="null3"/>
        <w:outlineLvl w:val="3"/>
      </w:pPr>
      <w:r>
        <w:rPr>
          <w:sz w:val="24"/>
          <w:b/>
        </w:rPr>
        <w:t>2.落实政府采购政策需满足的资格要求：</w:t>
      </w:r>
    </w:p>
    <w:p>
      <w:pPr>
        <w:pStyle w:val="null3"/>
        <w:jc w:val="left"/>
      </w:pPr>
      <w:r>
        <w:rPr/>
        <w:t>采购包1（2025年封开县城区公共外环境病媒生物防制项目）：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采购包1（2025年封开县城区公共外环境病媒生物防制项目）：</w:t>
      </w:r>
    </w:p>
    <w:p>
      <w:pPr>
        <w:pStyle w:val="null3"/>
      </w:pPr>
      <w:r>
        <w:rPr/>
        <w:t>1)供应商未被列入“信用中国”网站(www.creditchina.gov.cn)“重大税收违法失信主体或政府采购严重违法失信行为记录名单”；不处于“中国执行信息公开网”网站（http://zxgk.court.gov.cn/）“失信被执行人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封开县城市管理和综合执法局</w:t>
      </w:r>
    </w:p>
    <w:p>
      <w:pPr>
        <w:pStyle w:val="null3"/>
        <w:ind w:firstLine="480"/>
      </w:pPr>
      <w:r>
        <w:rPr/>
        <w:t>地址：</w:t>
      </w:r>
      <w:r>
        <w:rPr/>
        <w:t>广东省肇庆市封开县行政中心广场西侧</w:t>
      </w:r>
    </w:p>
    <w:p>
      <w:pPr>
        <w:pStyle w:val="null3"/>
        <w:ind w:firstLine="480"/>
      </w:pPr>
      <w:r>
        <w:rPr/>
        <w:t>联系方式：</w:t>
      </w:r>
      <w:r>
        <w:rPr/>
        <w:t>0758-6661804</w:t>
      </w:r>
    </w:p>
    <w:p>
      <w:pPr>
        <w:pStyle w:val="null3"/>
        <w:outlineLvl w:val="3"/>
      </w:pPr>
      <w:r>
        <w:rPr>
          <w:sz w:val="24"/>
          <w:b/>
        </w:rPr>
        <w:t>2.采购代理机构信息</w:t>
      </w:r>
    </w:p>
    <w:p>
      <w:pPr>
        <w:pStyle w:val="null3"/>
        <w:ind w:firstLine="480"/>
      </w:pPr>
      <w:r>
        <w:rPr/>
        <w:t>名称：</w:t>
      </w:r>
      <w:r>
        <w:rPr/>
        <w:t>广东名立工程管理有限公司</w:t>
      </w:r>
    </w:p>
    <w:p>
      <w:pPr>
        <w:pStyle w:val="null3"/>
        <w:ind w:firstLine="480"/>
      </w:pPr>
      <w:r>
        <w:rPr/>
        <w:t xml:space="preserve"> 地址：</w:t>
      </w:r>
      <w:r>
        <w:rPr/>
        <w:t>肇庆市端州区信安3路敏捷广场五期E栋商业办公楼1830室</w:t>
      </w:r>
    </w:p>
    <w:p>
      <w:pPr>
        <w:pStyle w:val="null3"/>
        <w:ind w:firstLine="480"/>
      </w:pPr>
      <w:r>
        <w:rPr/>
        <w:t xml:space="preserve"> 联系方式：</w:t>
      </w:r>
      <w:r>
        <w:rPr/>
        <w:t>0758-2288809</w:t>
      </w:r>
    </w:p>
    <w:p>
      <w:pPr>
        <w:pStyle w:val="null3"/>
        <w:outlineLvl w:val="3"/>
      </w:pPr>
      <w:r>
        <w:rPr>
          <w:sz w:val="24"/>
          <w:b/>
        </w:rPr>
        <w:t xml:space="preserve"> 3.项目联系方式</w:t>
      </w:r>
    </w:p>
    <w:p>
      <w:pPr>
        <w:pStyle w:val="null3"/>
        <w:ind w:firstLine="480"/>
      </w:pPr>
      <w:r>
        <w:rPr/>
        <w:t xml:space="preserve"> 项目联系人：</w:t>
      </w:r>
      <w:r>
        <w:rPr/>
        <w:t>林小姐</w:t>
      </w:r>
    </w:p>
    <w:p>
      <w:pPr>
        <w:pStyle w:val="null3"/>
        <w:ind w:firstLine="480"/>
      </w:pPr>
      <w:r>
        <w:rPr/>
        <w:t xml:space="preserve"> 电话：</w:t>
      </w:r>
      <w:r>
        <w:rPr/>
        <w:t>0758-2288809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广东名立工程管理有限公司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color w:val="000000"/>
        </w:rPr>
        <w:t>1.响应供应商须对本项目的采购标的进行整体响应，任何只对本项目采购标的其中一部分内容、数量进行的响应都被视为无效响应。</w:t>
      </w:r>
    </w:p>
    <w:p>
      <w:pPr>
        <w:pStyle w:val="null3"/>
        <w:spacing w:before="90"/>
        <w:ind w:left="405"/>
        <w:jc w:val="left"/>
      </w:pPr>
      <w:r>
        <w:rPr>
          <w:color w:val="000000"/>
        </w:rPr>
        <w:t>2.项目名称：2025年封开县城区公共外环境病媒生物防制项目</w:t>
      </w:r>
    </w:p>
    <w:p>
      <w:pPr>
        <w:pStyle w:val="null3"/>
        <w:spacing w:before="90"/>
        <w:ind w:left="405"/>
        <w:jc w:val="left"/>
      </w:pPr>
      <w:r>
        <w:rPr>
          <w:color w:val="000000"/>
        </w:rPr>
        <w:t>3.项目地址：肇庆市封开县</w:t>
      </w:r>
    </w:p>
    <w:p>
      <w:pPr>
        <w:pStyle w:val="null3"/>
        <w:spacing w:before="90"/>
        <w:ind w:left="405"/>
        <w:jc w:val="left"/>
      </w:pPr>
      <w:r>
        <w:rPr>
          <w:color w:val="000000"/>
        </w:rPr>
        <w:t>4.采购单位：封开县城市管理和综合执法局</w:t>
      </w:r>
    </w:p>
    <w:p>
      <w:pPr>
        <w:pStyle w:val="null3"/>
        <w:jc w:val="left"/>
      </w:pPr>
      <w:r>
        <w:rPr>
          <w:color w:val="000000"/>
        </w:rPr>
        <w:t xml:space="preserve">      5.项目内容：2025年封开县城区公共外环境病媒生物防制项目工作，实际作业面积，具体由采购人和成交供应商核定，所产生费用由成交供应商承担。</w:t>
      </w:r>
    </w:p>
    <w:p>
      <w:pPr>
        <w:pStyle w:val="null3"/>
      </w:pPr>
      <w:r>
        <w:rPr/>
        <w:t>采购包1（2025年封开县城区公共外环境病媒生物防制项目）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采购人指定地点，详见服务范围</w:t>
            </w:r>
          </w:p>
        </w:tc>
      </w:tr>
      <w:tr>
        <w:tc>
          <w:tcPr>
            <w:tcW w:type="dxa" w:w="4153"/>
          </w:tcPr>
          <w:p>
            <w:pPr>
              <w:pStyle w:val="null3"/>
            </w:pPr>
            <w:r>
              <w:rPr/>
              <w:t>付款方式</w:t>
            </w:r>
          </w:p>
        </w:tc>
        <w:tc>
          <w:tcPr>
            <w:tcW w:type="dxa" w:w="4153"/>
          </w:tcPr>
          <w:p>
            <w:pPr>
              <w:pStyle w:val="null3"/>
            </w:pPr>
            <w:r>
              <w:rPr/>
              <w:t>1期：支付比例100%,1、双方按中标（成交）金额签定服务承包合同，本项目每月的承包款按合同承包总金额除以12（个月）计算支付，付款时间为采购人收到中标（成交）供应商开具的增值税普通发票后5个工作日内支付中标（成交）供应商上月的承包款（含税金）。即：每月的承包款=（合同承包总金额÷12）。 2、支付方式：按月以银行转账方式支付。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1期：由采购人将对服务供应商的服务及相关质量进行定期考评和日常管理进行考评，详见质量考评办法。</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1，报价要求：（1）供应商的报价须以人民币元为单位（小数点后可保留两位小数），各采购包所报的价格不得高于各采购包预算。 （2）供应商的报价为含税全包价，报价必须包括前期准备费、人工费、材料费（设备、药物等）、运输费、各项设施建设费、各项税费等完成合同规定责任和义务、达到合同目的的一切费用。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2025年封开县城区公共外环境病媒生物防制项目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1,186,000.00</w:t>
            </w:r>
          </w:p>
        </w:tc>
        <w:tc>
          <w:tcPr>
            <w:tcW w:type="dxa" w:w="933"/>
          </w:tcPr>
          <w:p>
            <w:pPr>
              <w:pStyle w:val="null3"/>
              <w:jc w:val="right"/>
            </w:pPr>
            <w:r>
              <w:rPr/>
              <w:t>1,186,000.00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2025年封开县城区公共外环境病媒生物防制项目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70"/>
              <w:ind w:left="105"/>
              <w:jc w:val="left"/>
            </w:pPr>
            <w:r>
              <w:rPr>
                <w:color w:val="000000"/>
              </w:rPr>
              <w:t>一、项目服务内容：</w:t>
            </w:r>
          </w:p>
          <w:p>
            <w:pPr>
              <w:pStyle w:val="null3"/>
              <w:spacing w:before="270"/>
              <w:ind w:left="105"/>
              <w:jc w:val="left"/>
            </w:pPr>
            <w:r>
              <w:rPr>
                <w:color w:val="000000"/>
              </w:rPr>
              <w:t>1、服务频次：12次，（每次服务工作开展具体时间由采购人通知为准）</w:t>
            </w:r>
          </w:p>
          <w:p>
            <w:pPr>
              <w:pStyle w:val="null3"/>
              <w:jc w:val="left"/>
            </w:pPr>
            <w:r>
              <w:rPr>
                <w:color w:val="000000"/>
              </w:rPr>
              <w:t>2、服务范围：东至县进修校、碧桂园豪园、原开源化工厂、原水泥二厂；南至高中新校区、污水处理厂；西至江滨大堤、河提二路321国道出入口；北至贺电悦封苑、高速西出口、丰沙321国道涵洞；封开城区范围封川二村1、2、3队，封川三村1队、2队；封川四村1、2、3、4队；封川五村1~14队；曙光1、5、6、8队；丰沙村委下沙村、封开县政府大院、东苑。</w:t>
            </w:r>
          </w:p>
        </w:tc>
      </w:tr>
      <w:tr>
        <w:tc>
          <w:tcPr>
            <w:tcW w:type="dxa" w:w="2076"/>
          </w:tcPr>
          <w:p/>
        </w:tc>
        <w:tc>
          <w:tcPr>
            <w:tcW w:type="dxa" w:w="415"/>
          </w:tcPr>
          <w:p>
            <w:pPr>
              <w:pStyle w:val="null3"/>
            </w:pPr>
            <w:r>
              <w:rPr/>
              <w:t>2</w:t>
            </w:r>
          </w:p>
        </w:tc>
        <w:tc>
          <w:tcPr>
            <w:tcW w:type="dxa" w:w="5814"/>
          </w:tcPr>
          <w:p>
            <w:pPr>
              <w:pStyle w:val="null3"/>
              <w:spacing w:before="270"/>
              <w:ind w:left="105"/>
              <w:jc w:val="left"/>
            </w:pPr>
            <w:r>
              <w:rPr>
                <w:color w:val="000000"/>
              </w:rPr>
              <w:t>二、基本要求：</w:t>
            </w:r>
          </w:p>
          <w:p>
            <w:pPr>
              <w:pStyle w:val="null3"/>
              <w:spacing w:before="270"/>
              <w:ind w:left="105"/>
              <w:jc w:val="left"/>
            </w:pPr>
            <w:r>
              <w:rPr>
                <w:color w:val="000000"/>
              </w:rPr>
              <w:t>按照以下操作规范和要求开展服务工作。</w:t>
            </w:r>
          </w:p>
          <w:tbl>
            <w:tblPr>
              <w:tblInd w:type="dxa" w:w="120"/>
              <w:tblBorders>
                <w:top w:val="none" w:color="000000" w:sz="4"/>
                <w:left w:val="none" w:color="000000" w:sz="4"/>
                <w:bottom w:val="none" w:color="000000" w:sz="4"/>
                <w:right w:val="none" w:color="000000" w:sz="4"/>
                <w:insideH w:val="none"/>
                <w:insideV w:val="none"/>
              </w:tblBorders>
            </w:tblPr>
            <w:tblGrid>
              <w:gridCol w:w="291"/>
              <w:gridCol w:w="938"/>
              <w:gridCol w:w="3332"/>
              <w:gridCol w:w="1013"/>
            </w:tblGrid>
            <w:tr>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项目</w:t>
                  </w:r>
                </w:p>
              </w:tc>
              <w:tc>
                <w:tcPr>
                  <w:tcW w:type="dxa" w:w="9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工作内容</w:t>
                  </w:r>
                </w:p>
              </w:tc>
              <w:tc>
                <w:tcPr>
                  <w:tcW w:type="dxa" w:w="3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操作规范和要求</w:t>
                  </w:r>
                </w:p>
              </w:tc>
              <w:tc>
                <w:tcPr>
                  <w:tcW w:type="dxa" w:w="10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频次</w:t>
                  </w:r>
                </w:p>
              </w:tc>
            </w:tr>
            <w:tr>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灭鼠</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1.公共外环境统一全面投药灭鼠</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每月灭鼠不小于2次（包括投药、补药、清鼠迹、检查等工作），物药必须使用合法灭鼠药物，新鲜、适口性强，投放点多、量饱和，勤跟踪，及时补药。</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每月1轮</w:t>
                  </w:r>
                  <w:r>
                    <w:br/>
                  </w:r>
                  <w:r>
                    <w:rPr>
                      <w:sz w:val="19"/>
                      <w:color w:val="000000"/>
                    </w:rPr>
                    <w:t>(每轮2次）</w:t>
                  </w:r>
                </w:p>
              </w:tc>
            </w:tr>
            <w:tr>
              <w:tc>
                <w:tcPr>
                  <w:tcW w:type="dxa" w:w="291"/>
                  <w:vMerge/>
                  <w:tcBorders>
                    <w:top w:val="none" w:color="000000" w:sz="4"/>
                    <w:left w:val="single" w:color="000000" w:sz="4"/>
                    <w:bottom w:val="single" w:color="000000" w:sz="4"/>
                    <w:right w:val="single" w:color="000000" w:sz="4"/>
                  </w:tcBorders>
                </w:tc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2.日常跟踪公共外环境灭鼠效果</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每周检查鼠迹，发现鼠迹立即清理并及时投放和补充足量灭鼠毒饵。</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每月1轮</w:t>
                  </w:r>
                </w:p>
              </w:tc>
            </w:tr>
            <w:tr>
              <w:tc>
                <w:tcPr>
                  <w:tcW w:type="dxa" w:w="291"/>
                  <w:vMerge/>
                  <w:tcBorders>
                    <w:top w:val="none" w:color="000000" w:sz="4"/>
                    <w:left w:val="single" w:color="000000" w:sz="4"/>
                    <w:bottom w:val="single" w:color="000000" w:sz="4"/>
                    <w:right w:val="single" w:color="000000" w:sz="4"/>
                  </w:tcBorders>
                </w:tc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3.开展鼠情监测</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每季度对重点单位如食品加工场、市场、餐饮旅业、学校饭堂、居民住宅区等配合市疾控中心每季度进行粉迹法密度检测。做好监测记录和统计。</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每季度1次</w:t>
                  </w:r>
                </w:p>
              </w:tc>
            </w:tr>
            <w:tr>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灭蚊</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1.热烟雾灭成蚊</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用热烟雾机、烟雾剂对下水道、化粪池、小区绿化丛林、公共车库、阴沟角落等进行地毯式烟薰杀灭成蚊（同时灭蝇、蟑螂）。</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每月</w:t>
                  </w:r>
                  <w:r>
                    <w:br/>
                  </w:r>
                  <w:r>
                    <w:rPr>
                      <w:sz w:val="19"/>
                      <w:color w:val="000000"/>
                    </w:rPr>
                    <w:t>开展1次</w:t>
                  </w:r>
                </w:p>
              </w:tc>
            </w:tr>
            <w:tr>
              <w:tc>
                <w:tcPr>
                  <w:tcW w:type="dxa" w:w="291"/>
                  <w:vMerge/>
                  <w:tcBorders>
                    <w:top w:val="none" w:color="000000" w:sz="4"/>
                    <w:left w:val="single" w:color="000000" w:sz="4"/>
                    <w:bottom w:val="single" w:color="000000" w:sz="4"/>
                    <w:right w:val="single" w:color="000000" w:sz="4"/>
                  </w:tcBorders>
                </w:tc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2.药物滞留喷洒灭成蚊</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用背负式机动、电动喷雾机或大中型园林喷雾机对公园、广场、无物业住宅小区、废品收购站、绿化带进行药物滞留喷洒灭成蚊。要求：每次至少出动3台喷雾机同时进行，另安排1—2人负责后勤保障工作。</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每月</w:t>
                  </w:r>
                  <w:r>
                    <w:br/>
                  </w:r>
                  <w:r>
                    <w:rPr>
                      <w:sz w:val="19"/>
                      <w:color w:val="000000"/>
                    </w:rPr>
                    <w:t>开展1次</w:t>
                  </w:r>
                </w:p>
              </w:tc>
            </w:tr>
            <w:tr>
              <w:tc>
                <w:tcPr>
                  <w:tcW w:type="dxa" w:w="291"/>
                  <w:vMerge/>
                  <w:tcBorders>
                    <w:top w:val="none" w:color="000000" w:sz="4"/>
                    <w:left w:val="single" w:color="000000" w:sz="4"/>
                    <w:bottom w:val="single" w:color="000000" w:sz="4"/>
                    <w:right w:val="single" w:color="000000" w:sz="4"/>
                  </w:tcBorders>
                </w:tc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3.药泡木塞控制蚊幼虫</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用卫生杀虫剂充分浸泡过的软木塞或灭蚊幼颗粒剂，投放于下水道进水口等蚊虫孳生地，防止蚊幼虫孳生。要求：木塞完全吊放入积水中，每2个月统一更换1次，每次均用不同颜色的系绳区分，对失效的旧木塞进行回收。</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每2个月进行1次（逢单月更换）</w:t>
                  </w:r>
                </w:p>
              </w:tc>
            </w:tr>
            <w:tr>
              <w:tc>
                <w:tcPr>
                  <w:tcW w:type="dxa" w:w="291"/>
                  <w:vMerge/>
                  <w:tcBorders>
                    <w:top w:val="none" w:color="000000" w:sz="4"/>
                    <w:left w:val="single" w:color="000000" w:sz="4"/>
                    <w:bottom w:val="single" w:color="000000" w:sz="4"/>
                    <w:right w:val="single" w:color="000000" w:sz="4"/>
                  </w:tcBorders>
                </w:tc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4.大中型水体防控</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对承包范围内的大中型水体（如死水塘、污水涌等）进行定期跟踪检查，如发现蚊幼虫孳生，立即投药处理。</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每月开展</w:t>
                  </w:r>
                </w:p>
              </w:tc>
            </w:tr>
            <w:tr>
              <w:tc>
                <w:tcPr>
                  <w:tcW w:type="dxa" w:w="291"/>
                  <w:vMerge/>
                  <w:tcBorders>
                    <w:top w:val="none" w:color="000000" w:sz="4"/>
                    <w:left w:val="single" w:color="000000" w:sz="4"/>
                    <w:bottom w:val="single" w:color="000000" w:sz="4"/>
                    <w:right w:val="single" w:color="000000" w:sz="4"/>
                  </w:tcBorders>
                </w:tc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5.各类小积水处理</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对承包范围的公共外环境各类积水进行检查处理，对不能清理的蚊虫孳生地，要采取投药或放养鱼类等方法进行科学防制。</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每月开展</w:t>
                  </w:r>
                </w:p>
              </w:tc>
            </w:tr>
            <w:tr>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灭蝇</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1.公厕、垃圾站灭蝇</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用喷雾机每月定期对市政公厕、中转站、垃圾屋、垃圾池、垃圾桶、垃圾车以及卫生死角、垃圾堆进行空间、滞留喷药灭蝇，在城市管理考核等迎检期间要加强防制。</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每月1-2次</w:t>
                  </w:r>
                </w:p>
              </w:tc>
            </w:tr>
            <w:tr>
              <w:tc>
                <w:tcPr>
                  <w:tcW w:type="dxa" w:w="291"/>
                  <w:vMerge/>
                  <w:tcBorders>
                    <w:top w:val="none" w:color="000000" w:sz="4"/>
                    <w:left w:val="single" w:color="000000" w:sz="4"/>
                    <w:bottom w:val="single" w:color="000000" w:sz="4"/>
                    <w:right w:val="single" w:color="000000" w:sz="4"/>
                  </w:tcBorders>
                </w:tc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2.蝇类孳生地检查处理</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检查处理处理蝇类孳生地，对不能清理的蝇类孳生地，进行投药防制。</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每月1-2次</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灭蟑</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下水道、化粪池灭蟑螂</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对下水道、化粪池、阴沟角落等进行烟雾灭蟑。</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每月1次</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工作登记</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对消杀工作情况进行登记</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 xml:space="preserve">  设置专用的消杀情况登记薄，对每次开展消杀工作情况（含日期、地点、消杀内容、消杀人员姓名、使用药物等）进行详细记录。对每月的烟雾灭蚊，还要有接受服务的单位、小区、居委会见证人签名确认。</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每次开展工作</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密度监测</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定期开展本辖区四害密度监测</w:t>
                  </w:r>
                </w:p>
              </w:tc>
              <w:tc>
                <w:tcPr>
                  <w:tcW w:type="dxa" w:w="3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 xml:space="preserve">  按要求开展本承包区域的鼠、蚊、蝇、蟑螂密度监测。其中鼠密度采用粉迹法监测，其余项目用目测法监测，要求每季度下旬定期监测一次，准确、如实记录、统计监测情况，每季度的10号前将上一季度的监测统计表及用药情况统计表书面报发包人。监测资料档案专柜保管。</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每季度1次</w:t>
                  </w:r>
                </w:p>
              </w:tc>
            </w:tr>
          </w:tbl>
          <w:p/>
        </w:tc>
      </w:tr>
      <w:tr>
        <w:tc>
          <w:tcPr>
            <w:tcW w:type="dxa" w:w="2076"/>
          </w:tcPr>
          <w:p/>
        </w:tc>
        <w:tc>
          <w:tcPr>
            <w:tcW w:type="dxa" w:w="415"/>
          </w:tcPr>
          <w:p>
            <w:pPr>
              <w:pStyle w:val="null3"/>
            </w:pPr>
            <w:r>
              <w:rPr/>
              <w:t>3</w:t>
            </w:r>
          </w:p>
        </w:tc>
        <w:tc>
          <w:tcPr>
            <w:tcW w:type="dxa" w:w="5814"/>
          </w:tcPr>
          <w:p>
            <w:pPr>
              <w:pStyle w:val="null3"/>
              <w:spacing w:before="270"/>
              <w:ind w:left="105"/>
              <w:jc w:val="left"/>
            </w:pPr>
            <w:r>
              <w:rPr>
                <w:color w:val="000000"/>
              </w:rPr>
              <w:t>三、人员、设备及药物要求</w:t>
            </w:r>
          </w:p>
          <w:p>
            <w:pPr>
              <w:pStyle w:val="null3"/>
              <w:spacing w:before="270"/>
              <w:ind w:left="105"/>
              <w:jc w:val="left"/>
            </w:pPr>
            <w:r>
              <w:rPr>
                <w:color w:val="000000"/>
              </w:rPr>
              <w:t>（1）人员配置要求</w:t>
            </w:r>
          </w:p>
          <w:p>
            <w:pPr>
              <w:pStyle w:val="null3"/>
              <w:spacing w:before="270"/>
              <w:ind w:left="105"/>
              <w:jc w:val="left"/>
            </w:pPr>
            <w:r>
              <w:rPr>
                <w:color w:val="000000"/>
              </w:rPr>
              <w:t>对本项目的人员要求：具备病媒生物防制的技术力量，持有经省、市爱卫、人社、协会三类部门出具的病媒生物防制职业资格证书技术人员不少于3人，且每次开展服务期间出动作业人员不少于20人。</w:t>
            </w:r>
          </w:p>
          <w:p>
            <w:pPr>
              <w:pStyle w:val="null3"/>
              <w:spacing w:before="270"/>
              <w:ind w:left="105"/>
              <w:jc w:val="left"/>
            </w:pPr>
            <w:r>
              <w:rPr>
                <w:color w:val="000000"/>
              </w:rPr>
              <w:t>（2）设备工具配置要求</w:t>
            </w:r>
          </w:p>
          <w:p>
            <w:pPr>
              <w:pStyle w:val="null3"/>
              <w:spacing w:before="270"/>
              <w:ind w:left="105"/>
              <w:jc w:val="left"/>
            </w:pPr>
            <w:r>
              <w:rPr>
                <w:color w:val="000000"/>
              </w:rPr>
              <w:t>针对本项目投入的设备和车辆基本要求：</w:t>
            </w:r>
          </w:p>
          <w:p>
            <w:pPr>
              <w:pStyle w:val="null3"/>
              <w:spacing w:before="270"/>
              <w:ind w:left="105"/>
              <w:jc w:val="left"/>
            </w:pPr>
            <w:r>
              <w:rPr>
                <w:color w:val="000000"/>
              </w:rPr>
              <w:t>设备设施清单</w:t>
            </w:r>
          </w:p>
          <w:tbl>
            <w:tblPr>
              <w:tblInd w:type="dxa" w:w="120"/>
              <w:tblBorders>
                <w:top w:val="none" w:color="000000" w:sz="4"/>
                <w:left w:val="none" w:color="000000" w:sz="4"/>
                <w:bottom w:val="none" w:color="000000" w:sz="4"/>
                <w:right w:val="none" w:color="000000" w:sz="4"/>
                <w:insideH w:val="none"/>
                <w:insideV w:val="none"/>
              </w:tblBorders>
            </w:tblPr>
            <w:tblGrid>
              <w:gridCol w:w="298"/>
              <w:gridCol w:w="637"/>
              <w:gridCol w:w="3536"/>
              <w:gridCol w:w="338"/>
              <w:gridCol w:w="388"/>
              <w:gridCol w:w="388"/>
            </w:tblGrid>
            <w:tr>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序号</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设施工具</w:t>
                  </w:r>
                </w:p>
              </w:tc>
              <w:tc>
                <w:tcPr>
                  <w:tcW w:type="dxa" w:w="3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参数、规格及要求</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单位</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数量</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备注</w:t>
                  </w: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1</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车载超低容量喷雾机</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适合大面积灭蚊及其它病媒昆虫，机动、超低容量、耐用性强，输出容量50～100公升/小时，达距100米（受制于风速），雾滴80%＜40微米，声量80分贝以下。</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台</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2</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作业车</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载重量为0.5吨或以上的机动车辆</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台</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3</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热烟雾机</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雾滴直径：5微米。药液输出量：0～42L/小时。功率：11.6-22KW。药箱容量：5L或以上。</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台</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4</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背负式电动超低容量喷雾机</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电机：直流无碳刷电机，大于或等于600W。雾滴直径：10～30微米。药液输出量：0～440ml/min连续可调。药箱容量：5L或以上。</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台</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5</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手推式大功率常量喷雾机</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适合大面积灭蚊及其它病媒昆虫，耐用性强，射程10米或以上（受制于风速），雾滴直径30～200微米，药箱容量20L或以上。</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台</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6</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背负式电动常量喷雾机</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雾滴直径：2～20微米。水平射程＞6米。药箱容量：5L或以上。</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台</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7</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背负式机动常量喷雾机</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雾滴直径：50～100微米。水平射程＞8米。药箱容量：10L或以上。</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台</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r>
                    <w:rPr>
                      <w:sz w:val="19"/>
                      <w:color w:val="000000"/>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70"/>
                    <w:ind w:left="105"/>
                    <w:jc w:val="left"/>
                  </w:pPr>
                </w:p>
              </w:tc>
            </w:tr>
          </w:tbl>
          <w:p>
            <w:pPr>
              <w:pStyle w:val="null3"/>
              <w:jc w:val="left"/>
            </w:pPr>
            <w:r>
              <w:rPr>
                <w:color w:val="000000"/>
              </w:rPr>
              <w:t>（3）药物要求</w:t>
            </w:r>
          </w:p>
          <w:p>
            <w:pPr>
              <w:pStyle w:val="null3"/>
              <w:spacing w:before="270"/>
              <w:ind w:left="105"/>
              <w:jc w:val="left"/>
            </w:pPr>
            <w:r>
              <w:rPr>
                <w:color w:val="000000"/>
              </w:rPr>
              <w:t>1、所服务项目使用的灭鼠杀虫药物按国家规定有“三证”和使用全国或城市爱卫会专家委员会推荐和认定的药物，严禁使用急性灭鼠药物或其他明文禁用药物。如药物使用不当引起人畜中毒或其他责任事故的，由服务供应商承担责任。</w:t>
            </w:r>
          </w:p>
          <w:p>
            <w:pPr>
              <w:pStyle w:val="null3"/>
              <w:jc w:val="left"/>
            </w:pPr>
            <w:r>
              <w:rPr>
                <w:color w:val="000000"/>
              </w:rPr>
              <w:t>2、使用的药物是省、市爱卫会认可、推荐的药物，保证安全、环保和消杀质量。</w:t>
            </w:r>
          </w:p>
        </w:tc>
      </w:tr>
      <w:tr>
        <w:tc>
          <w:tcPr>
            <w:tcW w:type="dxa" w:w="2076"/>
          </w:tcPr>
          <w:p/>
        </w:tc>
        <w:tc>
          <w:tcPr>
            <w:tcW w:type="dxa" w:w="415"/>
          </w:tcPr>
          <w:p>
            <w:pPr>
              <w:pStyle w:val="null3"/>
            </w:pPr>
            <w:r>
              <w:rPr/>
              <w:t>4</w:t>
            </w:r>
          </w:p>
        </w:tc>
        <w:tc>
          <w:tcPr>
            <w:tcW w:type="dxa" w:w="5814"/>
          </w:tcPr>
          <w:p>
            <w:pPr>
              <w:pStyle w:val="null3"/>
              <w:spacing w:before="270"/>
              <w:ind w:left="105"/>
              <w:jc w:val="left"/>
            </w:pPr>
            <w:r>
              <w:rPr>
                <w:color w:val="000000"/>
              </w:rPr>
              <w:t>四、质量要求</w:t>
            </w:r>
          </w:p>
          <w:p>
            <w:pPr>
              <w:pStyle w:val="null3"/>
              <w:spacing w:before="270"/>
              <w:ind w:left="105"/>
              <w:jc w:val="left"/>
            </w:pPr>
            <w:r>
              <w:rPr>
                <w:color w:val="000000"/>
              </w:rPr>
              <w:t xml:space="preserve">  1、质量要求：服务范围内的公共外环境病媒生物的质量控制执行如下标准：密度水平控制标准：中华人民共和国卫生部、中国国家标准化管理委员会《病媒生物密度控制水平—鼠类、蚊虫、蝇类、蜚蠊》的4个国家标准（GB／T27770、27771、27772、27773—2011）。鼠类、蚊虫、蝇类、蜚蠊达到C级或以上。</w:t>
            </w:r>
          </w:p>
          <w:p>
            <w:pPr>
              <w:pStyle w:val="null3"/>
              <w:jc w:val="left"/>
            </w:pPr>
            <w:r>
              <w:rPr>
                <w:color w:val="000000"/>
              </w:rPr>
              <w:t xml:space="preserve">    2、质量考评办法：1）、本合同项目的质量管理采用综合分100分制，由采购人委托第三方机构进行服务质量考评，并于服务后10天内对其服务质量进行考评，考评内容包括资料（本底调查资料、服务方案、施工记录）、现场服务质量（含服务后病媒生物密度监测数据）、药物和人员等四项，占80分，同时，由县爱卫办、县城管局在每次服务后的10天内，对成交供应商的服务开展情况进行综合评定，占20分。以上两项合计评定分值以90分为合格分，每少1%扣减当次服务款的1%。连续两次不合格且经整改后仍不合格的（不满90分），采购人有权无条件终止和解除服务合同； 2）、为确保每次服务后的质量效果监测工作顺利开展，采购人需委托第三方机构进行效果监测。</w:t>
            </w:r>
          </w:p>
        </w:tc>
      </w:tr>
      <w:tr>
        <w:tc>
          <w:tcPr>
            <w:tcW w:type="dxa" w:w="2076"/>
          </w:tcPr>
          <w:p/>
        </w:tc>
        <w:tc>
          <w:tcPr>
            <w:tcW w:type="dxa" w:w="415"/>
          </w:tcPr>
          <w:p>
            <w:pPr>
              <w:pStyle w:val="null3"/>
            </w:pPr>
            <w:r>
              <w:rPr/>
              <w:t>5</w:t>
            </w:r>
          </w:p>
        </w:tc>
        <w:tc>
          <w:tcPr>
            <w:tcW w:type="dxa" w:w="5814"/>
          </w:tcPr>
          <w:p>
            <w:pPr>
              <w:pStyle w:val="null3"/>
              <w:ind w:firstLine="480"/>
              <w:jc w:val="both"/>
            </w:pPr>
            <w:r>
              <w:rPr/>
              <w:t>五、</w:t>
            </w:r>
            <w:r>
              <w:rPr/>
              <w:t>密度监测标准</w:t>
            </w:r>
          </w:p>
          <w:p>
            <w:pPr>
              <w:pStyle w:val="null3"/>
              <w:jc w:val="left"/>
            </w:pPr>
            <w:r>
              <w:rPr>
                <w:color w:val="000000"/>
              </w:rPr>
              <w:t>中华人民共和国国家质量监督检验检疫总局、中国国家标准化管理委员会《病媒生物密度监测方法—蜚蠊、蝇类、蚊虫、鼠类》的4个国家标准（GB／T23795、23796、23797、23798—2009）。</w:t>
            </w:r>
          </w:p>
        </w:tc>
      </w:tr>
      <w:tr>
        <w:tc>
          <w:tcPr>
            <w:tcW w:type="dxa" w:w="2076"/>
          </w:tcPr>
          <w:p/>
        </w:tc>
        <w:tc>
          <w:tcPr>
            <w:tcW w:type="dxa" w:w="415"/>
          </w:tcPr>
          <w:p>
            <w:pPr>
              <w:pStyle w:val="null3"/>
            </w:pPr>
            <w:r>
              <w:rPr/>
              <w:t>6</w:t>
            </w:r>
          </w:p>
        </w:tc>
        <w:tc>
          <w:tcPr>
            <w:tcW w:type="dxa" w:w="5814"/>
          </w:tcPr>
          <w:p>
            <w:pPr>
              <w:pStyle w:val="null3"/>
              <w:ind w:firstLine="480"/>
              <w:jc w:val="left"/>
            </w:pPr>
            <w:r>
              <w:rPr/>
              <w:t>六、</w:t>
            </w:r>
            <w:r>
              <w:rPr/>
              <w:t>其他服务要求</w:t>
            </w:r>
          </w:p>
          <w:p>
            <w:pPr>
              <w:pStyle w:val="null3"/>
              <w:ind w:firstLine="480"/>
              <w:jc w:val="left"/>
            </w:pPr>
            <w:r>
              <w:rPr/>
              <w:t>1、文明施工，每次进行消杀前三天，书面通知采购人具体消杀时间、地点、注意事项等内容，指导采购人采取有效的防护措施，每次检查及灭害工作有详细记录并提供给采购人备案。</w:t>
            </w:r>
          </w:p>
          <w:p>
            <w:pPr>
              <w:pStyle w:val="null3"/>
              <w:ind w:firstLine="480"/>
              <w:jc w:val="left"/>
            </w:pPr>
            <w:r>
              <w:rPr/>
              <w:t>2、上岗服务人员严格遵守灭鼠杀虫技术操作规程，文明作业。并填写灭鼠杀虫服务记录卡作为当次服务的凭据，着统一工作服和佩戴工作证。</w:t>
            </w:r>
          </w:p>
          <w:p>
            <w:pPr>
              <w:pStyle w:val="null3"/>
              <w:ind w:firstLine="480"/>
              <w:jc w:val="left"/>
            </w:pPr>
            <w:r>
              <w:rPr/>
              <w:t>3、按照采购人要求保质保量按期完成除四害（鼠、蚊、蝇、蟑螂）消毒工作。</w:t>
            </w:r>
          </w:p>
          <w:p>
            <w:pPr>
              <w:pStyle w:val="null3"/>
              <w:ind w:firstLine="480"/>
              <w:jc w:val="left"/>
            </w:pPr>
            <w:r>
              <w:rPr/>
              <w:t>4、如遇特殊情况，如遇台风、雨水天气、风力过大等其他影响消杀效果因素则顺延服务时间。</w:t>
            </w:r>
          </w:p>
          <w:p>
            <w:pPr>
              <w:pStyle w:val="null3"/>
              <w:ind w:firstLine="480"/>
              <w:jc w:val="left"/>
            </w:pPr>
            <w:r>
              <w:rPr/>
              <w:t>5、作业期间不得损坏公私财产，对厨房等重点场所等进行相应的保护，如因服务造成对人畜的伤害，由服务供应商承担相应的法律责任，赔偿所有的损失。</w:t>
            </w:r>
          </w:p>
          <w:p>
            <w:pPr>
              <w:pStyle w:val="null3"/>
              <w:ind w:firstLine="480"/>
              <w:jc w:val="left"/>
            </w:pPr>
            <w:r>
              <w:rPr/>
              <w:t>6、做好消杀记录（如照片、台账等）并报采购人备案。</w:t>
            </w:r>
          </w:p>
          <w:p>
            <w:pPr>
              <w:pStyle w:val="null3"/>
              <w:ind w:firstLine="480"/>
              <w:jc w:val="left"/>
            </w:pPr>
            <w:r>
              <w:rPr/>
              <w:t>7、合同期间，如采购人有上级检查或出现疫情等情况，服务供应商须服从安排，在接到通知后及时按要求带全装备到现场开展相关工作。</w:t>
            </w:r>
          </w:p>
          <w:p>
            <w:pPr>
              <w:pStyle w:val="null3"/>
              <w:jc w:val="left"/>
            </w:pPr>
            <w:r>
              <w:rPr>
                <w:color w:val="000000"/>
              </w:rPr>
              <w:t xml:space="preserve">        8、如遇突发情况，服务供应商应在30分钟内作出响应，对于电话方式无法解决的问题，接到采购人电话后24小时内到达现场处理,并把服务的情况记录在专用的消杀情况登记薄。</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1.采购代理机构：本项目是指广东名立工程管理有限公司，负责整个采购活动的组织，依法负责编制和发布磋商文件，对磋商文件拥有最终的解释权，不以任何身份出任磋商小组成员。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封开县城市管理和综合执法局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中华人民共和国国家计划发展委员会颁布的《招标代理服务收费管理暂行办法》（计价格[2002]1980号）、发改价格[2011]534号文及发改价格[2015]299号规定计算并由成交供应商向采购代理机构支付。成交服务费按差额定率累进法计算。并结合国家规定的计价方法和招标代理报价下浮率5.00%计取。最终代理费以成交金额为基数按差额定率累进法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1，(1)本项目采用远程电子开标及磋商，供应商应携带具有电子签章的CA证书（且为编制本项目（采购包）电子响应文件时加密所用）参加磋商。 (2)只有在提交响应文件截止时间前成功递交了电子响应文件的供应商才能成为正式的供应商，否则采购人或采购代理机构将拒绝接收。 (3)如果磋商小组发现磋商响应供应商的报价明显低于其他磋商报价，使得其磋商报价可能低于其个别成本的，可要求该响应供应商提供书面说明及相应的证明材料。响应供应商不能合理说明或者不能提供相应证明材料的，可认定该响应供应商以低于成本报价竞争作无效响应处理。</w:t>
            </w:r>
          </w:p>
          <w:p>
            <w:pPr>
              <w:pStyle w:val="null3"/>
              <w:jc w:val="left"/>
            </w:pPr>
            <w:r>
              <w:rPr/>
              <w:t>2，注意事项：中标/成交供应商的纸质文件需加盖投标人公章后装订成册（一正二副)于中标/成交供应商在接采购代理机构通知后邮寄或送达采购代理机构。纸质投标文件须与上传的电子版投标文件一致。非中标/成交供应商无需递交。</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广东名立工程管理有限公司</w:t>
      </w:r>
      <w:r>
        <w:rPr/>
        <w:t>代收。具体操作要求详见</w:t>
      </w:r>
      <w:r>
        <w:rPr/>
        <w:t>广东名立工程管理有限公司</w:t>
      </w:r>
      <w:r>
        <w:rPr/>
        <w:t>有关指引，递交事宜请自行咨询</w:t>
      </w:r>
      <w:r>
        <w:rPr/>
        <w:t>广东名立工程管理有限公司</w:t>
      </w:r>
      <w:r>
        <w:rPr/>
        <w:t>；请各供应商在响应文件递交截止时间前按须知前附表规定的金额递交至</w:t>
      </w:r>
      <w:r>
        <w:rPr/>
        <w:t>广东名立工程管理有限公司</w:t>
      </w:r>
      <w:r>
        <w:rPr/>
        <w:t>，到账情况以开启时</w:t>
      </w:r>
      <w:r>
        <w:rPr/>
        <w:t>广东名立工程管理有限公司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林小姐</w:t>
      </w:r>
    </w:p>
    <w:p>
      <w:pPr>
        <w:pStyle w:val="null3"/>
        <w:ind w:firstLine="480"/>
      </w:pPr>
      <w:r>
        <w:rPr/>
        <w:t>电话：</w:t>
      </w:r>
      <w:r>
        <w:rPr/>
        <w:t>0758-2288809</w:t>
      </w:r>
    </w:p>
    <w:p>
      <w:pPr>
        <w:pStyle w:val="null3"/>
        <w:ind w:firstLine="480"/>
      </w:pPr>
      <w:r>
        <w:rPr/>
        <w:t>传真：</w:t>
      </w:r>
      <w:r>
        <w:rPr/>
        <w:t>0758-2288809</w:t>
      </w:r>
    </w:p>
    <w:p>
      <w:pPr>
        <w:pStyle w:val="null3"/>
        <w:ind w:firstLine="480"/>
      </w:pPr>
      <w:r>
        <w:rPr/>
        <w:t>邮箱：</w:t>
      </w:r>
      <w:r>
        <w:rPr/>
        <w:t>gdmlgcglyxgs@163.com</w:t>
      </w:r>
    </w:p>
    <w:p>
      <w:pPr>
        <w:pStyle w:val="null3"/>
        <w:ind w:firstLine="480"/>
      </w:pPr>
      <w:r>
        <w:rPr/>
        <w:t>地址：</w:t>
      </w:r>
      <w:r>
        <w:rPr/>
        <w:t>肇庆市端州区信安3路敏捷广场五期E栋商业办公楼1830室</w:t>
      </w:r>
    </w:p>
    <w:p>
      <w:pPr>
        <w:pStyle w:val="null3"/>
        <w:ind w:firstLine="480"/>
      </w:pPr>
      <w:r>
        <w:rPr/>
        <w:t>邮编：</w:t>
      </w:r>
      <w:r>
        <w:rPr/>
        <w:t>526060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政府采购监督管理机构名称：封开县政府采购管理办公室</w:t>
      </w:r>
    </w:p>
    <w:p>
      <w:pPr>
        <w:pStyle w:val="null3"/>
      </w:pPr>
      <w:r>
        <w:rPr/>
        <w:t>地 址：封开县江口镇东堤路21号(封开县财政局)</w:t>
      </w:r>
    </w:p>
    <w:p>
      <w:pPr>
        <w:pStyle w:val="null3"/>
      </w:pPr>
      <w:r>
        <w:rPr/>
        <w:t>电 话：0758-6687070</w:t>
      </w:r>
    </w:p>
    <w:p>
      <w:pPr>
        <w:pStyle w:val="null3"/>
      </w:pPr>
      <w:r>
        <w:rPr/>
        <w:t>邮 编：526500</w:t>
      </w:r>
    </w:p>
    <w:p>
      <w:pPr>
        <w:pStyle w:val="null3"/>
      </w:pPr>
      <w:r>
        <w:rPr/>
        <w:t>传 真：0758-6687070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(2025年封开县城区公共外环境病媒生物防制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广东名立工程管理有限公司</w:t>
      </w:r>
      <w:r>
        <w:rPr/>
        <w:t>统一对外发布。</w:t>
      </w:r>
    </w:p>
    <w:p>
      <w:pPr>
        <w:pStyle w:val="null3"/>
        <w:ind w:firstLine="480"/>
      </w:pPr>
      <w:r>
        <w:rPr/>
        <w:t>（2）对</w:t>
      </w:r>
      <w:r>
        <w:rPr/>
        <w:t>广东名立工程管理有限公司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采购包1（2025年封开县城区公共外环境病媒生物防制项目）：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采购包1（2025年封开县城区公共外环境病媒生物防制项目）：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供应商必须具有良好的商业信誉和健全的财务会计制度(提供2024年度财务状况报告或基本开户行出具的资信证明)（或提供资格条件承诺函）。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资格条件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重大税收违法失信主体或政府采购严重违法失信行为记录名单”；不处于“中国执行信息公开网”网站（http://zxgk.court.gov.cn/）“失信被执行人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采购包1（2025年封开县城区公共外环境病媒生物防制项目）：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响应文件签署和盖章要求</w:t>
            </w:r>
          </w:p>
        </w:tc>
        <w:tc>
          <w:tcPr>
            <w:tcW w:type="dxa" w:w="4238"/>
          </w:tcPr>
          <w:p>
            <w:pPr>
              <w:pStyle w:val="null3"/>
            </w:pPr>
            <w:r>
              <w:rPr/>
              <w:t>符合磋商文件的签署、盖章要求</w:t>
            </w:r>
          </w:p>
        </w:tc>
      </w:tr>
      <w:tr>
        <w:tc>
          <w:tcPr>
            <w:tcW w:type="dxa" w:w="890"/>
          </w:tcPr>
          <w:p>
            <w:pPr>
              <w:pStyle w:val="null3"/>
            </w:pPr>
            <w:r>
              <w:rPr/>
              <w:t>2</w:t>
            </w:r>
          </w:p>
        </w:tc>
        <w:tc>
          <w:tcPr>
            <w:tcW w:type="dxa" w:w="3178"/>
          </w:tcPr>
          <w:p>
            <w:pPr>
              <w:pStyle w:val="null3"/>
            </w:pPr>
            <w:r>
              <w:rPr/>
              <w:t>法定代表人证明书、法定代表人授权委托书</w:t>
            </w:r>
          </w:p>
        </w:tc>
        <w:tc>
          <w:tcPr>
            <w:tcW w:type="dxa" w:w="4238"/>
          </w:tcPr>
          <w:p>
            <w:pPr>
              <w:pStyle w:val="null3"/>
            </w:pPr>
            <w:r>
              <w:rPr/>
              <w:t>按磋商文件要求提供法定代表人证明书及法定代表人身份证复印件、法定代表人授权委托书及授权委托人身份证复印件（如是法定代表人作为供应商代表，则无须提供法定代表人授权委托书及授权委托人身份证复印件）</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投标有效期符合磋商文件要求</w:t>
            </w:r>
          </w:p>
        </w:tc>
      </w:tr>
      <w:tr>
        <w:tc>
          <w:tcPr>
            <w:tcW w:type="dxa" w:w="890"/>
          </w:tcPr>
          <w:p>
            <w:pPr>
              <w:pStyle w:val="null3"/>
            </w:pPr>
            <w:r>
              <w:rPr/>
              <w:t>4</w:t>
            </w:r>
          </w:p>
        </w:tc>
        <w:tc>
          <w:tcPr>
            <w:tcW w:type="dxa" w:w="3178"/>
          </w:tcPr>
          <w:p>
            <w:pPr>
              <w:pStyle w:val="null3"/>
            </w:pPr>
            <w:r>
              <w:rPr/>
              <w:t>合同履行期限</w:t>
            </w:r>
          </w:p>
        </w:tc>
        <w:tc>
          <w:tcPr>
            <w:tcW w:type="dxa" w:w="4238"/>
          </w:tcPr>
          <w:p>
            <w:pPr>
              <w:pStyle w:val="null3"/>
            </w:pPr>
            <w:r>
              <w:rPr/>
              <w:t>合同履行期限符合磋商文件要求</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符合磋商文件要求</w:t>
            </w:r>
          </w:p>
        </w:tc>
      </w:tr>
      <w:tr>
        <w:tc>
          <w:tcPr>
            <w:tcW w:type="dxa" w:w="890"/>
          </w:tcPr>
          <w:p>
            <w:pPr>
              <w:pStyle w:val="null3"/>
            </w:pPr>
            <w:r>
              <w:rPr/>
              <w:t>6</w:t>
            </w:r>
          </w:p>
        </w:tc>
        <w:tc>
          <w:tcPr>
            <w:tcW w:type="dxa" w:w="3178"/>
          </w:tcPr>
          <w:p>
            <w:pPr>
              <w:pStyle w:val="null3"/>
            </w:pPr>
            <w:r>
              <w:rPr/>
              <w:t>其他无效情况</w:t>
            </w:r>
          </w:p>
        </w:tc>
        <w:tc>
          <w:tcPr>
            <w:tcW w:type="dxa" w:w="4238"/>
          </w:tcPr>
          <w:p>
            <w:pPr>
              <w:pStyle w:val="null3"/>
            </w:pPr>
            <w:r>
              <w:rPr/>
              <w:t>没有其他未实质性响应采购文件要求的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采购包1(2025年封开县城区公共外环境病媒生物防制项目):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对项目的了解情况 (10.0分)</w:t>
            </w:r>
          </w:p>
        </w:tc>
        <w:tc>
          <w:tcPr>
            <w:tcW w:type="dxa" w:w="5076"/>
          </w:tcPr>
          <w:p>
            <w:pPr>
              <w:pStyle w:val="null3"/>
              <w:jc w:val="left"/>
            </w:pPr>
            <w:r>
              <w:rPr/>
              <w:t>根据投标人制定的项目的了解情况（包含但不限于项目理解、重点、难点分析及解决方案、总体思路、服务承诺、岗位职责安排等）进行综合评审： （1）对项目理解深入，重点、难点分析及解决方案详细、实效，服务方案完整合理、可行性强，能提出更高的服务要求的，得10分； （2）对项目理解较深入，重点、难点分析及解决方案较详细、实效，服务方案基本完整，可行性较强，能提出较高的服务要求的，得7分 ； （3）对项目理解较差，重点、难点分析及解决方案一般，服务方案存在缺漏，可行性一般的，得4分； （4）服务方案完整性差，未能达到项目服务标准要求的，得1分； （5）未提供对应方案不得分。</w:t>
            </w:r>
          </w:p>
        </w:tc>
      </w:tr>
      <w:tr>
        <w:tc>
          <w:tcPr>
            <w:tcW w:type="dxa" w:w="922"/>
            <w:gridSpan w:val="2"/>
            <w:vMerge/>
          </w:tcPr>
          <w:p/>
        </w:tc>
        <w:tc>
          <w:tcPr>
            <w:tcW w:type="dxa" w:w="2307"/>
          </w:tcPr>
          <w:p>
            <w:pPr>
              <w:pStyle w:val="null3"/>
              <w:jc w:val="left"/>
            </w:pPr>
            <w:r>
              <w:rPr/>
              <w:t>服务方案 (10.0分)</w:t>
            </w:r>
          </w:p>
        </w:tc>
        <w:tc>
          <w:tcPr>
            <w:tcW w:type="dxa" w:w="5076"/>
          </w:tcPr>
          <w:p>
            <w:pPr>
              <w:pStyle w:val="null3"/>
              <w:jc w:val="left"/>
            </w:pPr>
            <w:r>
              <w:rPr/>
              <w:t>根据响应供应商的服务方案（包括但不限于组织管理、作业模式与配套措施、项目实施计划等）进行评审： （1）涵盖上述内容，组织管理架构完整，作业模式科学合理，配套措施具有针对性及可行性，项目实施计划详细具体，得10分； （2）涵盖上述内容，组织管理架构较完整，作业模式较科学合理，配套措施较具有针对性及可行性，项目实施计划较详细具体，得7分； （3）涵盖上述内容，但组织管理架构不够完整，作业模式不够科学合理，配套措施针对性及可行性一般，项目实施计划不够详细具体，得4分； （4）涵盖上述内容，但组织管理架构不完整，作业模式不合理，配套措施针对性及可行性差，项目实施计划不详细具体，得1分； （5）不提供不得分。</w:t>
            </w:r>
          </w:p>
        </w:tc>
      </w:tr>
      <w:tr>
        <w:tc>
          <w:tcPr>
            <w:tcW w:type="dxa" w:w="922"/>
            <w:gridSpan w:val="2"/>
            <w:vMerge/>
          </w:tcPr>
          <w:p/>
        </w:tc>
        <w:tc>
          <w:tcPr>
            <w:tcW w:type="dxa" w:w="2307"/>
          </w:tcPr>
          <w:p>
            <w:pPr>
              <w:pStyle w:val="null3"/>
              <w:jc w:val="left"/>
            </w:pPr>
            <w:r>
              <w:rPr/>
              <w:t>应急保障方案 (10.0分)</w:t>
            </w:r>
          </w:p>
        </w:tc>
        <w:tc>
          <w:tcPr>
            <w:tcW w:type="dxa" w:w="5076"/>
          </w:tcPr>
          <w:p>
            <w:pPr>
              <w:pStyle w:val="null3"/>
              <w:jc w:val="left"/>
            </w:pPr>
            <w:r>
              <w:rPr/>
              <w:t>根据响应供应商的应急保障方案（包括但不限于突发事件及突发情况分析以及对应的应对措施等）进行评审： （1）涵盖上述内容，且对项目实施过程中可能发生的突发事件或突发情况分析全面，并能提出切实可行的应对措施，得10分； （2）涵盖上述内容，对项目实施过程中可能发生的突发事件或突发情况分析较全面，能提出比较可行的应对措施，得7分； （3）涵盖上述内容，对项目实施过程中可能发生的突发事件或突发情况分析不够全面，应对措施针对性和可行性一般，得4分； （4）涵盖上述内容，对项目实施过程中可能发生的突发事件或突发情况分析不全面，应对措施针对性和可行性差，得1分； （5）不提供不得分。</w:t>
            </w:r>
          </w:p>
        </w:tc>
      </w:tr>
      <w:tr>
        <w:tc>
          <w:tcPr>
            <w:tcW w:type="dxa" w:w="922"/>
            <w:gridSpan w:val="2"/>
            <w:vMerge/>
          </w:tcPr>
          <w:p/>
        </w:tc>
        <w:tc>
          <w:tcPr>
            <w:tcW w:type="dxa" w:w="2307"/>
          </w:tcPr>
          <w:p>
            <w:pPr>
              <w:pStyle w:val="null3"/>
              <w:jc w:val="left"/>
            </w:pPr>
            <w:r>
              <w:rPr/>
              <w:t>服务质量保障方案 (10.0分)</w:t>
            </w:r>
          </w:p>
        </w:tc>
        <w:tc>
          <w:tcPr>
            <w:tcW w:type="dxa" w:w="5076"/>
          </w:tcPr>
          <w:p>
            <w:pPr>
              <w:pStyle w:val="null3"/>
              <w:jc w:val="left"/>
            </w:pPr>
            <w:r>
              <w:rPr/>
              <w:t>根据响应供应商提供的服务质量保障方案（包括但不限于服务承诺、消杀灭效评估方案、服务质量保证措施等）进行评审：（1）涵盖上述内容，服务承诺能满足本项目服务要求，消杀灭效评估方案详细、具有可行性，服务质量保证措施科学合理，得10分；（2）涵盖上述内容，服务承诺较能满足本项目服务要求，消杀灭效评估方案较详细、较具有可行性，服务质量保证措施较科学合理，得7分；（3）涵盖上述内容，但服务承诺不太能满足本项目服务要求，消杀灭效评估方案不够详细、可行性一般，服务质量保证措施不够科学合理，得4分；（4）涵盖上述内容，但服务承诺不能满足本项目服务要求，消杀灭效评估方案不详细、可行性差，服务质量保证措施不科学合理，得1分；（5）不提供不得分。</w:t>
            </w:r>
          </w:p>
        </w:tc>
      </w:tr>
      <w:tr>
        <w:tc>
          <w:tcPr>
            <w:tcW w:type="dxa" w:w="922"/>
            <w:gridSpan w:val="2"/>
            <w:vMerge/>
          </w:tcPr>
          <w:p/>
        </w:tc>
        <w:tc>
          <w:tcPr>
            <w:tcW w:type="dxa" w:w="2307"/>
          </w:tcPr>
          <w:p>
            <w:pPr>
              <w:pStyle w:val="null3"/>
              <w:jc w:val="left"/>
            </w:pPr>
            <w:r>
              <w:rPr/>
              <w:t>安全保障措施 (10.0分)</w:t>
            </w:r>
          </w:p>
        </w:tc>
        <w:tc>
          <w:tcPr>
            <w:tcW w:type="dxa" w:w="5076"/>
          </w:tcPr>
          <w:p>
            <w:pPr>
              <w:pStyle w:val="null3"/>
              <w:jc w:val="left"/>
            </w:pPr>
            <w:r>
              <w:rPr/>
              <w:t>根据响应供应商的安全保障措施（包括但不限于安全生产管理制度、安全管理措施、安全事故预防机制等）进行评审：（1）涵盖上述内容，且安全生产管理制度科学合理，安全管理措施具有针对性和可行性，安全事故预防机制成熟，得10分； （2）涵盖上述内容，安全生产管理制度较科学合理，安全管理措施较具有针对性和可行性，安全事故预防机制较成熟，得7分； （3）涵盖上述内容，但安全生产管理制度不够科学合理，安全管理措施针对性和可行性一般，安全事故预防机制不够成熟，得4分； （4）涵盖上述内容，但安全生产管理制度不科学合理，安全管理措施针对性和可行性差，安全事故预防机制不成熟，得1分；（5）不提供不得分</w:t>
            </w:r>
          </w:p>
        </w:tc>
      </w:tr>
      <w:tr>
        <w:tc>
          <w:tcPr>
            <w:tcW w:type="dxa" w:w="922"/>
            <w:gridSpan w:val="2"/>
            <w:vMerge/>
          </w:tcPr>
          <w:p/>
        </w:tc>
        <w:tc>
          <w:tcPr>
            <w:tcW w:type="dxa" w:w="2307"/>
          </w:tcPr>
          <w:p>
            <w:pPr>
              <w:pStyle w:val="null3"/>
              <w:jc w:val="left"/>
            </w:pPr>
            <w:r>
              <w:rPr/>
              <w:t>人员管理方案 (10.0分)</w:t>
            </w:r>
          </w:p>
        </w:tc>
        <w:tc>
          <w:tcPr>
            <w:tcW w:type="dxa" w:w="5076"/>
          </w:tcPr>
          <w:p>
            <w:pPr>
              <w:pStyle w:val="null3"/>
              <w:jc w:val="left"/>
            </w:pPr>
            <w:r>
              <w:rPr/>
              <w:t>根据响应供应商的人员管理方案（包括但不限于人员培训、奖惩机制、考核制度、薪酬管理方案等）进行评审： （1）涵盖上述内容，且人员管理方案内容完整：能根据不同岗位设置，建立工作奖惩机制，能详细列举奖惩情况和奖惩措施，能结合项目特点制定详细的考核制度、明确考核目标；能针对服务的重难点制定详细的岗前培训和日常培训方案，培训方式多样，完全满足或优于采购需求，得10分； （2）涵盖上述内容，人员管理方案内容基本完整：能根据不同岗位建立工作奖惩机制，能简单列举奖惩情况和奖惩措施，能结合项目特点制定简单的考核制度；对重难点制定简单的岗前培训和日常培训方案，培训方式较多样，基本满足采购需求，得7分； （3）涵盖上述内容，但人员管理方案内容不够完整：能根据不同岗位建立工作奖惩机制，能简单列举奖惩情况和奖惩措施，对重难点制定简单的岗前培训和日常培训方案的重难点把握不准确，培训方式较单一，部分满足采购需求，得4分； （4）涵盖上述内容，人员管理方案内容有缺漏：能根据不同岗位建立工作奖惩机制，能简单列举奖惩情况和奖惩措施但针对性和可行性一般，有简单的考核制度但未体现重难点、未考虑项目实际，培训方式可行性较差，得1分；（5）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根据响应供应商2021年1月至今（以合同签订时间为准）完成过与服务内容相关的业绩情况进行评分，每提供一项得2.5分，满分为5分。 注：提供合同关键页复印件作为证明材料，否则本项不得分。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1、响应供应商具备有效的质量管理体系认证得1分； 2、响应供应商具备有效的环境管理体系认证得1分； 3、响应供应商具备有效的职业健康安全管理体系认证得1分； 注：响应文件中应提供证书复印件以及“全国认证认可信息公共服务平台网站”（http://www.cnca.gov.cn/）显示有效的认证信息查询截图作为评审依据，证书认证范围须与服务内容相关。</w:t>
            </w:r>
          </w:p>
        </w:tc>
      </w:tr>
      <w:tr>
        <w:tc>
          <w:tcPr>
            <w:tcW w:type="dxa" w:w="922"/>
            <w:gridSpan w:val="2"/>
            <w:vMerge/>
          </w:tcPr>
          <w:p/>
        </w:tc>
        <w:tc>
          <w:tcPr>
            <w:tcW w:type="dxa" w:w="2307"/>
          </w:tcPr>
          <w:p>
            <w:pPr>
              <w:pStyle w:val="null3"/>
              <w:jc w:val="left"/>
            </w:pPr>
            <w:r>
              <w:rPr/>
              <w:t>投入设备配备 (11.0分)</w:t>
            </w:r>
          </w:p>
        </w:tc>
        <w:tc>
          <w:tcPr>
            <w:tcW w:type="dxa" w:w="5076"/>
          </w:tcPr>
          <w:p>
            <w:pPr>
              <w:pStyle w:val="null3"/>
              <w:jc w:val="left"/>
            </w:pPr>
            <w:r>
              <w:rPr/>
              <w:t>根据响应供应商拟投入本项目设备配置基本情况进行评分：1、配备车载式喷雾器，每提供一台的得2分，本小项最高得2分；2、配备作业车辆，每配备1辆的得1分，本小项最高得3分； 3、配备①热烟雾机8台、②电动或机动超低容量喷雾机6台、③电动或机动常量喷雾机8台；每提供一项的得2分，本小项最高得6分。 注：1.响应供应商的作业车辆须是货车或消杀作业车或工程车 2.响应文件须提供购买设备及车辆发票的复印件作为评审依据；3.设备及作业车辆所有人与响应供应商应一致；如为租赁的设备及车辆须提供租赁合同。如租赁期未覆盖本项目服务期的，需承诺续租至本项目合同结束（提交承诺函），未按要求提供的不得分。</w:t>
            </w:r>
          </w:p>
        </w:tc>
      </w:tr>
      <w:tr>
        <w:tc>
          <w:tcPr>
            <w:tcW w:type="dxa" w:w="922"/>
            <w:gridSpan w:val="2"/>
            <w:vMerge/>
          </w:tcPr>
          <w:p/>
        </w:tc>
        <w:tc>
          <w:tcPr>
            <w:tcW w:type="dxa" w:w="2307"/>
          </w:tcPr>
          <w:p>
            <w:pPr>
              <w:pStyle w:val="null3"/>
              <w:jc w:val="left"/>
            </w:pPr>
            <w:r>
              <w:rPr/>
              <w:t>投入人员 (6.0分)</w:t>
            </w:r>
          </w:p>
        </w:tc>
        <w:tc>
          <w:tcPr>
            <w:tcW w:type="dxa" w:w="5076"/>
          </w:tcPr>
          <w:p>
            <w:pPr>
              <w:pStyle w:val="null3"/>
              <w:jc w:val="left"/>
            </w:pPr>
            <w:r>
              <w:rPr/>
              <w:t>根据响应供应商拟投入本项目的人员配备情况进行评分：有初级或以上病媒生物（有害生物）防制人员，每提供一名的得2分。 注：须提供对应人员身份证、相关证书及近三个月任意一个月的社保证明材料复印件，不提供不得分。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sz w:val="27"/>
          <w:color w:val="222222"/>
        </w:rPr>
        <w:t xml:space="preserve"> </w:t>
      </w:r>
      <w:r>
        <w:rPr>
          <w:sz w:val="27"/>
          <w:color w:val="222222"/>
        </w:rPr>
        <w:t>内付款：</w:t>
      </w:r>
    </w:p>
    <w:p>
      <w:pPr>
        <w:pStyle w:val="null3"/>
        <w:spacing w:before="0" w:after="0"/>
        <w:ind w:left="0" w:right="0"/>
        <w:jc w:val="both"/>
      </w:pPr>
      <w:r>
        <w:rPr>
          <w:sz w:val="27"/>
          <w:color w:val="222222"/>
        </w:rPr>
        <w:t>　　1.在合同实施及服务人员到达服务地后__天内，甲方应将第一次付　　款总服务费的__(-%)付给乙方。</w:t>
      </w:r>
    </w:p>
    <w:p>
      <w:pPr>
        <w:pStyle w:val="null3"/>
        <w:spacing w:before="0" w:after="0"/>
        <w:ind w:left="0" w:right="0"/>
        <w:jc w:val="both"/>
      </w:pPr>
      <w:r>
        <w:rPr>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pacing w:before="0" w:after="0"/>
        <w:ind w:left="0" w:right="0"/>
        <w:jc w:val="both"/>
      </w:pPr>
      <w:r>
        <w:rPr>
          <w:sz w:val="27"/>
          <w:color w:val="222222"/>
        </w:rPr>
        <w:t>　　3.最后一次付款额应为总服务费的__(-%)，甲方应在乙方递交了服务总结报告和说明并完全履行合同完毕_________日内付给乙方。</w:t>
      </w:r>
    </w:p>
    <w:p>
      <w:pPr>
        <w:pStyle w:val="null3"/>
        <w:spacing w:before="0" w:after="0"/>
        <w:ind w:left="0" w:right="0"/>
        <w:jc w:val="both"/>
      </w:pPr>
      <w:r>
        <w:rPr>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441225-2025-01384</w:t>
      </w:r>
    </w:p>
    <w:p>
      <w:pPr>
        <w:pStyle w:val="null3"/>
        <w:jc w:val="center"/>
        <w:outlineLvl w:val="3"/>
      </w:pPr>
      <w:r>
        <w:rPr>
          <w:sz w:val="24"/>
          <w:b/>
        </w:rPr>
        <w:t>采购项目编号：</w:t>
      </w:r>
      <w:r>
        <w:rPr>
          <w:sz w:val="24"/>
          <w:b/>
        </w:rPr>
        <w:t>GDML-2025-011（CGZB）</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广东名立工程管理有限公司</w:t>
      </w:r>
    </w:p>
    <w:p>
      <w:pPr>
        <w:pStyle w:val="null3"/>
        <w:ind w:firstLine="480"/>
      </w:pPr>
      <w:r>
        <w:rPr/>
        <w:t xml:space="preserve"> 你方组织的</w:t>
      </w:r>
      <w:r>
        <w:rPr>
          <w:u w:val="single"/>
        </w:rPr>
        <w:t>“</w:t>
      </w:r>
      <w:r>
        <w:rPr>
          <w:u w:val="single"/>
        </w:rPr>
        <w:t>2025年封开县城区公共外环境病媒生物防制项目</w:t>
      </w:r>
      <w:r>
        <w:rPr>
          <w:u w:val="single"/>
        </w:rPr>
        <w:t>”</w:t>
      </w:r>
      <w:r>
        <w:rPr/>
        <w:t>项目的竞争性磋商[采购项目编号为：</w:t>
      </w:r>
      <w:r>
        <w:rPr>
          <w:u w:val="single"/>
        </w:rPr>
        <w:t>GDML-2025-011（CGZB）</w:t>
      </w:r>
      <w:r>
        <w:rPr/>
        <w:t>]，我方愿参与响应。</w:t>
      </w:r>
    </w:p>
    <w:p>
      <w:pPr>
        <w:pStyle w:val="null3"/>
        <w:ind w:firstLine="480"/>
      </w:pPr>
      <w:r>
        <w:rPr/>
        <w:t>我方确认收到贵方提供的</w:t>
      </w:r>
      <w:r>
        <w:rPr>
          <w:u w:val="single"/>
        </w:rPr>
        <w:t>“</w:t>
      </w:r>
      <w:r>
        <w:rPr>
          <w:u w:val="single"/>
        </w:rPr>
        <w:t>2025年封开县城区公共外环境病媒生物防制项目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广东名立工程管理有限公司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2025年封开县城区公共外环境病媒生物防制项目</w:t>
      </w:r>
      <w:r>
        <w:rPr/>
        <w:t>”项目采购[采购项目编号为</w:t>
      </w:r>
      <w:r>
        <w:rPr/>
        <w:t>GDML-2025-011（CGZB）</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封开县城市管理和综合执法局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广东名立工程管理有限公司</w:t>
      </w:r>
    </w:p>
    <w:p>
      <w:pPr>
        <w:pStyle w:val="null3"/>
        <w:ind w:firstLine="480"/>
      </w:pPr>
      <w:r>
        <w:rPr/>
        <w:t>我单位参加贵公司组织的</w:t>
      </w:r>
      <w:r>
        <w:rPr/>
        <w:t>2025年封开县城区公共外环境病媒生物防制项目</w:t>
      </w:r>
      <w:r>
        <w:rPr/>
        <w:t>（采购项目编号：</w:t>
      </w:r>
      <w:r>
        <w:rPr/>
        <w:t>GDML-2025-011（CGZB）</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广东名立工程管理有限公司</w:t>
      </w:r>
    </w:p>
    <w:p>
      <w:pPr>
        <w:pStyle w:val="null3"/>
        <w:ind w:firstLine="480"/>
      </w:pPr>
      <w:r>
        <w:rPr/>
        <w:t>我单位已登记并准备参与“</w:t>
      </w:r>
      <w:r>
        <w:rPr/>
        <w:t>2025年封开县城区公共外环境病媒生物防制项目</w:t>
      </w:r>
      <w:r>
        <w:rPr/>
        <w:t>”项目（采购项目编号：</w:t>
      </w:r>
      <w:r>
        <w:rPr/>
        <w:t>GDML-2025-011（CGZB）</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