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C3101">
      <w:pPr>
        <w:tabs>
          <w:tab w:val="left" w:pos="6720"/>
        </w:tabs>
        <w:spacing w:line="276" w:lineRule="auto"/>
        <w:rPr>
          <w:rFonts w:hint="default"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 xml:space="preserve">                         </w:t>
      </w:r>
    </w:p>
    <w:p w14:paraId="490EF7C2">
      <w:pPr>
        <w:spacing w:line="560" w:lineRule="exact"/>
        <w:jc w:val="center"/>
        <w:rPr>
          <w:rFonts w:ascii="宋体" w:hAnsi="宋体" w:cs="宋体"/>
          <w:color w:val="auto"/>
          <w:sz w:val="44"/>
          <w:szCs w:val="44"/>
          <w:highlight w:val="none"/>
        </w:rPr>
      </w:pPr>
      <w:r>
        <w:rPr>
          <w:rFonts w:hint="eastAsia" w:ascii="宋体" w:hAnsi="宋体" w:cs="宋体"/>
          <w:b/>
          <w:bCs/>
          <w:color w:val="auto"/>
          <w:sz w:val="44"/>
          <w:szCs w:val="44"/>
          <w:highlight w:val="none"/>
          <w:lang w:eastAsia="zh-CN"/>
        </w:rPr>
        <w:t>杭州建设工程造价咨询有限公司</w:t>
      </w:r>
      <w:r>
        <w:rPr>
          <w:rFonts w:hint="eastAsia" w:ascii="宋体" w:hAnsi="宋体" w:cs="宋体"/>
          <w:b/>
          <w:bCs/>
          <w:color w:val="auto"/>
          <w:sz w:val="44"/>
          <w:szCs w:val="44"/>
          <w:highlight w:val="none"/>
        </w:rPr>
        <w:t>关于</w:t>
      </w:r>
      <w:r>
        <w:rPr>
          <w:rFonts w:hint="eastAsia" w:ascii="宋体" w:hAnsi="宋体" w:cs="宋体"/>
          <w:b/>
          <w:bCs/>
          <w:color w:val="auto"/>
          <w:sz w:val="44"/>
          <w:szCs w:val="44"/>
          <w:highlight w:val="none"/>
          <w:lang w:val="en-US" w:eastAsia="zh-CN"/>
        </w:rPr>
        <w:t>东阳市</w:t>
      </w:r>
      <w:r>
        <w:rPr>
          <w:rFonts w:hint="eastAsia" w:ascii="宋体" w:hAnsi="宋体"/>
          <w:b/>
          <w:color w:val="auto"/>
          <w:sz w:val="44"/>
          <w:szCs w:val="44"/>
          <w:highlight w:val="none"/>
          <w:lang w:eastAsia="zh-CN"/>
        </w:rPr>
        <w:t>2025年度新建房屋白蚁防治服务</w:t>
      </w:r>
      <w:r>
        <w:rPr>
          <w:rFonts w:hint="eastAsia" w:ascii="宋体" w:hAnsi="宋体"/>
          <w:b/>
          <w:color w:val="auto"/>
          <w:sz w:val="44"/>
          <w:szCs w:val="44"/>
          <w:highlight w:val="none"/>
          <w:lang w:val="en-US" w:eastAsia="zh-CN"/>
        </w:rPr>
        <w:t>1-3标段</w:t>
      </w:r>
      <w:r>
        <w:rPr>
          <w:rFonts w:hint="eastAsia" w:ascii="宋体" w:hAnsi="宋体"/>
          <w:b/>
          <w:color w:val="auto"/>
          <w:sz w:val="44"/>
          <w:szCs w:val="44"/>
          <w:highlight w:val="none"/>
          <w:lang w:eastAsia="zh-CN"/>
        </w:rPr>
        <w:t>采购项目</w:t>
      </w:r>
    </w:p>
    <w:p w14:paraId="5177E9D4">
      <w:pPr>
        <w:pStyle w:val="24"/>
        <w:ind w:firstLine="0" w:firstLineChars="0"/>
        <w:rPr>
          <w:rFonts w:hAnsi="宋体" w:cs="宋体"/>
          <w:color w:val="auto"/>
          <w:highlight w:val="none"/>
        </w:rPr>
      </w:pPr>
    </w:p>
    <w:p w14:paraId="4CA05E37">
      <w:pPr>
        <w:pStyle w:val="24"/>
        <w:ind w:firstLine="867"/>
        <w:rPr>
          <w:rFonts w:hAnsi="宋体" w:cs="宋体"/>
          <w:b/>
          <w:bCs/>
          <w:color w:val="auto"/>
          <w:sz w:val="44"/>
          <w:szCs w:val="44"/>
          <w:highlight w:val="none"/>
        </w:rPr>
      </w:pPr>
    </w:p>
    <w:p w14:paraId="25856B20">
      <w:pPr>
        <w:pStyle w:val="24"/>
        <w:ind w:firstLine="867"/>
        <w:rPr>
          <w:rFonts w:hAnsi="宋体" w:cs="宋体"/>
          <w:b/>
          <w:bCs/>
          <w:color w:val="auto"/>
          <w:sz w:val="44"/>
          <w:szCs w:val="44"/>
          <w:highlight w:val="none"/>
        </w:rPr>
      </w:pPr>
    </w:p>
    <w:p w14:paraId="795DF225">
      <w:pPr>
        <w:pStyle w:val="24"/>
        <w:ind w:firstLine="344"/>
        <w:rPr>
          <w:rFonts w:hAnsi="宋体" w:cs="宋体"/>
          <w:color w:val="auto"/>
          <w:highlight w:val="none"/>
        </w:rPr>
      </w:pPr>
    </w:p>
    <w:p w14:paraId="7E4304FF">
      <w:pPr>
        <w:spacing w:before="120" w:beforeLines="50"/>
        <w:jc w:val="center"/>
        <w:rPr>
          <w:rFonts w:ascii="宋体" w:hAnsi="宋体" w:cs="宋体"/>
          <w:color w:val="auto"/>
          <w:sz w:val="72"/>
          <w:szCs w:val="72"/>
          <w:highlight w:val="none"/>
        </w:rPr>
      </w:pPr>
      <w:r>
        <w:rPr>
          <w:rFonts w:hint="eastAsia" w:ascii="宋体" w:hAnsi="宋体" w:cs="宋体"/>
          <w:color w:val="auto"/>
          <w:sz w:val="52"/>
          <w:szCs w:val="52"/>
          <w:highlight w:val="none"/>
        </w:rPr>
        <w:t>公开招标采购文件</w:t>
      </w:r>
    </w:p>
    <w:p w14:paraId="1311560D">
      <w:pPr>
        <w:pStyle w:val="2"/>
        <w:tabs>
          <w:tab w:val="left" w:pos="5415"/>
        </w:tabs>
        <w:snapToGrid w:val="0"/>
        <w:spacing w:before="120" w:after="120" w:line="360" w:lineRule="auto"/>
        <w:rPr>
          <w:rFonts w:hAnsi="宋体" w:cs="宋体"/>
          <w:b/>
          <w:bCs/>
          <w:color w:val="auto"/>
          <w:sz w:val="30"/>
          <w:szCs w:val="30"/>
          <w:highlight w:val="none"/>
        </w:rPr>
      </w:pPr>
    </w:p>
    <w:p w14:paraId="7AA1A93E">
      <w:pPr>
        <w:pStyle w:val="2"/>
        <w:tabs>
          <w:tab w:val="left" w:pos="5415"/>
        </w:tabs>
        <w:snapToGrid w:val="0"/>
        <w:spacing w:before="120" w:after="120" w:line="360" w:lineRule="auto"/>
        <w:rPr>
          <w:rFonts w:hAnsi="宋体" w:cs="宋体"/>
          <w:b/>
          <w:bCs/>
          <w:color w:val="auto"/>
          <w:sz w:val="30"/>
          <w:szCs w:val="30"/>
          <w:highlight w:val="none"/>
        </w:rPr>
      </w:pPr>
      <w:r>
        <w:rPr>
          <w:rFonts w:hint="eastAsia" w:hAnsi="宋体" w:cs="宋体"/>
          <w:b/>
          <w:bCs/>
          <w:color w:val="auto"/>
          <w:sz w:val="30"/>
          <w:szCs w:val="30"/>
          <w:highlight w:val="none"/>
        </w:rPr>
        <w:tab/>
      </w:r>
    </w:p>
    <w:p w14:paraId="70030F5A">
      <w:pPr>
        <w:pStyle w:val="2"/>
        <w:spacing w:before="120" w:after="120" w:line="600" w:lineRule="exact"/>
        <w:contextualSpacing/>
        <w:rPr>
          <w:rFonts w:hint="eastAsia" w:hAnsi="宋体" w:cs="宋体"/>
          <w:b/>
          <w:bCs/>
          <w:color w:val="auto"/>
          <w:sz w:val="30"/>
          <w:szCs w:val="30"/>
          <w:highlight w:val="none"/>
        </w:rPr>
      </w:pPr>
    </w:p>
    <w:p w14:paraId="63321E70">
      <w:pPr>
        <w:pStyle w:val="2"/>
        <w:spacing w:before="120" w:after="120" w:line="600" w:lineRule="exact"/>
        <w:contextualSpacing/>
        <w:rPr>
          <w:rFonts w:hint="eastAsia" w:hAnsi="宋体" w:cs="宋体"/>
          <w:b/>
          <w:bCs/>
          <w:color w:val="auto"/>
          <w:sz w:val="30"/>
          <w:szCs w:val="30"/>
          <w:highlight w:val="none"/>
        </w:rPr>
      </w:pPr>
    </w:p>
    <w:p w14:paraId="72526234">
      <w:pPr>
        <w:pStyle w:val="2"/>
        <w:spacing w:before="120" w:after="120" w:line="600" w:lineRule="exact"/>
        <w:contextualSpacing/>
        <w:rPr>
          <w:rFonts w:hint="eastAsia" w:hAnsi="宋体" w:cs="宋体"/>
          <w:b/>
          <w:bCs/>
          <w:color w:val="auto"/>
          <w:sz w:val="30"/>
          <w:szCs w:val="30"/>
          <w:highlight w:val="none"/>
        </w:rPr>
      </w:pPr>
    </w:p>
    <w:p w14:paraId="73EA6695">
      <w:pPr>
        <w:pStyle w:val="2"/>
        <w:spacing w:before="120" w:after="120" w:line="600" w:lineRule="exact"/>
        <w:contextualSpacing/>
        <w:rPr>
          <w:rFonts w:hint="eastAsia" w:hAnsi="宋体" w:cs="宋体"/>
          <w:b/>
          <w:bCs/>
          <w:color w:val="auto"/>
          <w:sz w:val="30"/>
          <w:szCs w:val="30"/>
          <w:highlight w:val="none"/>
        </w:rPr>
      </w:pPr>
    </w:p>
    <w:p w14:paraId="6DB63900">
      <w:pPr>
        <w:pStyle w:val="2"/>
        <w:spacing w:before="120" w:after="120" w:line="600" w:lineRule="exact"/>
        <w:contextualSpacing/>
        <w:rPr>
          <w:rFonts w:hint="eastAsia" w:hAnsi="宋体" w:eastAsia="宋体" w:cs="宋体"/>
          <w:b/>
          <w:bCs/>
          <w:color w:val="auto"/>
          <w:sz w:val="30"/>
          <w:szCs w:val="30"/>
          <w:highlight w:val="none"/>
          <w:lang w:val="en-US"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val="en-US" w:eastAsia="zh-CN"/>
        </w:rPr>
        <w:t>HZJSGCZJZXYXGS2025-009</w:t>
      </w:r>
    </w:p>
    <w:p w14:paraId="0D9C659D">
      <w:pPr>
        <w:pStyle w:val="2"/>
        <w:spacing w:before="120" w:after="120" w:line="600" w:lineRule="exact"/>
        <w:contextualSpacing/>
        <w:rPr>
          <w:rFonts w:hAnsi="宋体" w:cs="宋体"/>
          <w:b/>
          <w:bCs/>
          <w:color w:val="auto"/>
          <w:sz w:val="30"/>
          <w:szCs w:val="30"/>
          <w:highlight w:val="none"/>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val="en-US" w:eastAsia="zh-CN"/>
        </w:rPr>
        <w:t>东阳市</w:t>
      </w:r>
      <w:r>
        <w:rPr>
          <w:rFonts w:hint="eastAsia" w:hAnsi="宋体" w:cs="宋体"/>
          <w:b/>
          <w:bCs/>
          <w:color w:val="auto"/>
          <w:sz w:val="30"/>
          <w:szCs w:val="30"/>
          <w:highlight w:val="none"/>
          <w:lang w:eastAsia="zh-CN"/>
        </w:rPr>
        <w:t>2025年度新建房屋白蚁防治服务</w:t>
      </w:r>
      <w:r>
        <w:rPr>
          <w:rFonts w:hint="eastAsia" w:hAnsi="宋体" w:cs="宋体"/>
          <w:b/>
          <w:bCs/>
          <w:color w:val="auto"/>
          <w:sz w:val="30"/>
          <w:szCs w:val="30"/>
          <w:highlight w:val="none"/>
          <w:lang w:val="en-US" w:eastAsia="zh-CN"/>
        </w:rPr>
        <w:t>1-3标段</w:t>
      </w:r>
      <w:r>
        <w:rPr>
          <w:rFonts w:hint="eastAsia" w:hAnsi="宋体" w:cs="宋体"/>
          <w:b/>
          <w:bCs/>
          <w:color w:val="auto"/>
          <w:sz w:val="30"/>
          <w:szCs w:val="30"/>
          <w:highlight w:val="none"/>
          <w:lang w:eastAsia="zh-CN"/>
        </w:rPr>
        <w:t>采购项目</w:t>
      </w:r>
    </w:p>
    <w:p w14:paraId="41FBB1AB">
      <w:pPr>
        <w:pStyle w:val="2"/>
        <w:spacing w:before="120" w:after="120" w:line="600" w:lineRule="exact"/>
        <w:contextualSpacing/>
        <w:rPr>
          <w:rFonts w:hint="eastAsia" w:hAnsi="宋体" w:eastAsia="宋体" w:cs="宋体"/>
          <w:b/>
          <w:color w:val="auto"/>
          <w:sz w:val="28"/>
          <w:highlight w:val="none"/>
          <w:lang w:val="en-US" w:eastAsia="zh-CN"/>
        </w:rPr>
      </w:pPr>
      <w:r>
        <w:rPr>
          <w:rFonts w:hint="eastAsia" w:hAnsi="宋体" w:cs="宋体"/>
          <w:b/>
          <w:bCs/>
          <w:color w:val="auto"/>
          <w:w w:val="95"/>
          <w:sz w:val="30"/>
          <w:szCs w:val="30"/>
          <w:highlight w:val="none"/>
        </w:rPr>
        <w:t>采</w:t>
      </w:r>
      <w:r>
        <w:rPr>
          <w:rFonts w:hint="eastAsia" w:hAnsi="宋体" w:cs="宋体"/>
          <w:b/>
          <w:color w:val="auto"/>
          <w:sz w:val="28"/>
          <w:highlight w:val="none"/>
        </w:rPr>
        <w:t>购单位：</w:t>
      </w:r>
      <w:r>
        <w:rPr>
          <w:rFonts w:hint="eastAsia" w:hAnsi="宋体" w:cs="宋体"/>
          <w:b/>
          <w:color w:val="auto"/>
          <w:sz w:val="28"/>
          <w:highlight w:val="none"/>
          <w:lang w:eastAsia="zh-CN"/>
        </w:rPr>
        <w:t>东阳市房屋征收服务中心</w:t>
      </w:r>
      <w:r>
        <w:rPr>
          <w:rFonts w:hint="eastAsia" w:hAnsi="宋体" w:cs="宋体"/>
          <w:b/>
          <w:color w:val="auto"/>
          <w:sz w:val="28"/>
          <w:highlight w:val="none"/>
          <w:lang w:val="en-US" w:eastAsia="zh-CN"/>
        </w:rPr>
        <w:t>（东阳市房地产处）</w:t>
      </w:r>
    </w:p>
    <w:p w14:paraId="3179D3D7">
      <w:pPr>
        <w:pStyle w:val="2"/>
        <w:spacing w:before="120" w:after="120" w:line="600" w:lineRule="exact"/>
        <w:contextualSpacing/>
        <w:rPr>
          <w:rFonts w:hint="eastAsia" w:hAnsi="宋体" w:eastAsia="宋体" w:cs="宋体"/>
          <w:b/>
          <w:color w:val="auto"/>
          <w:sz w:val="30"/>
          <w:szCs w:val="48"/>
          <w:highlight w:val="none"/>
          <w:lang w:eastAsia="zh-CN"/>
        </w:rPr>
      </w:pPr>
      <w:r>
        <w:rPr>
          <w:rFonts w:hint="eastAsia" w:hAnsi="宋体" w:cs="宋体"/>
          <w:b/>
          <w:bCs/>
          <w:color w:val="auto"/>
          <w:w w:val="95"/>
          <w:sz w:val="30"/>
          <w:szCs w:val="30"/>
          <w:highlight w:val="none"/>
        </w:rPr>
        <w:t>招标机构：</w:t>
      </w:r>
      <w:r>
        <w:rPr>
          <w:rFonts w:hint="eastAsia" w:hAnsi="宋体" w:cs="宋体"/>
          <w:b/>
          <w:color w:val="auto"/>
          <w:sz w:val="30"/>
          <w:szCs w:val="48"/>
          <w:highlight w:val="none"/>
          <w:lang w:eastAsia="zh-CN"/>
        </w:rPr>
        <w:t>杭州建设工程造价咨询有限公司</w:t>
      </w:r>
    </w:p>
    <w:p w14:paraId="252E4A4C">
      <w:pPr>
        <w:spacing w:line="600" w:lineRule="exact"/>
        <w:contextualSpacing/>
        <w:rPr>
          <w:rFonts w:hAnsi="宋体" w:cs="宋体"/>
          <w:color w:val="auto"/>
          <w:highlight w:val="none"/>
        </w:rPr>
        <w:sectPr>
          <w:footerReference r:id="rId4" w:type="default"/>
          <w:headerReference r:id="rId3" w:type="even"/>
          <w:footerReference r:id="rId5" w:type="even"/>
          <w:pgSz w:w="11906" w:h="16838"/>
          <w:pgMar w:top="1474" w:right="1247" w:bottom="1247" w:left="1588" w:header="851" w:footer="851" w:gutter="0"/>
          <w:pgNumType w:start="1"/>
          <w:cols w:space="720" w:num="1"/>
          <w:titlePg/>
          <w:docGrid w:linePitch="312" w:charSpace="0"/>
        </w:sectPr>
      </w:pPr>
      <w:r>
        <w:rPr>
          <w:rFonts w:hint="eastAsia" w:ascii="宋体" w:hAnsi="宋体" w:cs="宋体"/>
          <w:b/>
          <w:bCs/>
          <w:color w:val="auto"/>
          <w:w w:val="95"/>
          <w:sz w:val="30"/>
          <w:szCs w:val="30"/>
          <w:highlight w:val="none"/>
        </w:rPr>
        <w:t>编制时间：</w:t>
      </w:r>
      <w:r>
        <w:rPr>
          <w:rFonts w:hint="eastAsia" w:ascii="宋体" w:hAnsi="宋体" w:cs="宋体"/>
          <w:b/>
          <w:bCs/>
          <w:color w:val="auto"/>
          <w:w w:val="95"/>
          <w:sz w:val="30"/>
          <w:szCs w:val="30"/>
          <w:highlight w:val="none"/>
          <w:lang w:eastAsia="zh-CN"/>
        </w:rPr>
        <w:t>2025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p>
    <w:p w14:paraId="66FEF9ED">
      <w:pPr>
        <w:spacing w:before="120" w:after="120" w:line="360" w:lineRule="auto"/>
        <w:ind w:firstLine="3520" w:firstLineChars="800"/>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5F688389">
      <w:pPr>
        <w:tabs>
          <w:tab w:val="right" w:leader="middleDot" w:pos="5880"/>
          <w:tab w:val="right" w:leader="middleDot" w:pos="7980"/>
        </w:tabs>
        <w:spacing w:before="120" w:beforeLines="50" w:line="480" w:lineRule="exact"/>
        <w:ind w:left="901"/>
        <w:rPr>
          <w:rFonts w:ascii="宋体" w:hAnsi="宋体" w:cs="宋体"/>
          <w:color w:val="auto"/>
          <w:sz w:val="30"/>
          <w:szCs w:val="20"/>
          <w:highlight w:val="none"/>
        </w:rPr>
      </w:pPr>
      <w:r>
        <w:rPr>
          <w:rFonts w:hint="eastAsia" w:ascii="宋体" w:hAnsi="宋体" w:cs="宋体"/>
          <w:color w:val="auto"/>
          <w:sz w:val="30"/>
          <w:highlight w:val="none"/>
        </w:rPr>
        <w:t>第一章  公开招标采购公告</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rPr>
        <w:t>2</w:t>
      </w:r>
    </w:p>
    <w:p w14:paraId="68FB0E15">
      <w:pPr>
        <w:tabs>
          <w:tab w:val="right" w:leader="middleDot" w:pos="5880"/>
          <w:tab w:val="right" w:leader="middleDot" w:pos="7980"/>
        </w:tabs>
        <w:spacing w:before="120" w:beforeLines="50" w:line="480" w:lineRule="exact"/>
        <w:ind w:left="901"/>
        <w:rPr>
          <w:rFonts w:hint="eastAsia" w:ascii="宋体" w:hAnsi="宋体" w:eastAsia="宋体" w:cs="宋体"/>
          <w:color w:val="auto"/>
          <w:sz w:val="30"/>
          <w:szCs w:val="20"/>
          <w:highlight w:val="none"/>
          <w:lang w:eastAsia="zh-CN"/>
        </w:rPr>
      </w:pPr>
      <w:r>
        <w:rPr>
          <w:rFonts w:hint="eastAsia" w:ascii="宋体" w:hAnsi="宋体" w:cs="宋体"/>
          <w:color w:val="auto"/>
          <w:sz w:val="30"/>
          <w:highlight w:val="none"/>
        </w:rPr>
        <w:t>第二章  招标需求</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8</w:t>
      </w:r>
    </w:p>
    <w:p w14:paraId="30347ECF">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第三章  投标人须知</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17</w:t>
      </w:r>
    </w:p>
    <w:p w14:paraId="283ED481">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第四章  评标办法及评分标准</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33</w:t>
      </w:r>
    </w:p>
    <w:p w14:paraId="2DECB294">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第五章  政府采购合同主要条款</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36</w:t>
      </w:r>
    </w:p>
    <w:p w14:paraId="6967B776">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第六章  投标文件格式</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40</w:t>
      </w:r>
    </w:p>
    <w:p w14:paraId="3605E4FF">
      <w:pPr>
        <w:snapToGrid w:val="0"/>
        <w:spacing w:before="120" w:after="120"/>
        <w:outlineLvl w:val="0"/>
        <w:rPr>
          <w:rFonts w:ascii="宋体" w:hAnsi="宋体" w:cs="宋体"/>
          <w:color w:val="auto"/>
          <w:sz w:val="30"/>
          <w:szCs w:val="30"/>
          <w:highlight w:val="none"/>
        </w:rPr>
      </w:pPr>
    </w:p>
    <w:p w14:paraId="66E35CC7">
      <w:pPr>
        <w:pStyle w:val="2"/>
        <w:snapToGrid w:val="0"/>
        <w:spacing w:before="120" w:after="120" w:line="360" w:lineRule="auto"/>
        <w:jc w:val="center"/>
        <w:outlineLvl w:val="0"/>
        <w:rPr>
          <w:rFonts w:hAnsi="宋体" w:cs="宋体"/>
          <w:b/>
          <w:bCs/>
          <w:color w:val="auto"/>
          <w:sz w:val="32"/>
          <w:szCs w:val="32"/>
          <w:highlight w:val="none"/>
        </w:rPr>
      </w:pPr>
    </w:p>
    <w:p w14:paraId="64992466">
      <w:pPr>
        <w:pStyle w:val="2"/>
        <w:snapToGrid w:val="0"/>
        <w:spacing w:before="120" w:after="120" w:line="360" w:lineRule="auto"/>
        <w:jc w:val="center"/>
        <w:outlineLvl w:val="0"/>
        <w:rPr>
          <w:rFonts w:hAnsi="宋体" w:cs="宋体"/>
          <w:b/>
          <w:bCs/>
          <w:color w:val="auto"/>
          <w:sz w:val="32"/>
          <w:szCs w:val="32"/>
          <w:highlight w:val="none"/>
        </w:rPr>
      </w:pPr>
    </w:p>
    <w:p w14:paraId="31B7572B">
      <w:pPr>
        <w:pStyle w:val="2"/>
        <w:snapToGrid w:val="0"/>
        <w:spacing w:before="120" w:after="120" w:line="360" w:lineRule="auto"/>
        <w:jc w:val="center"/>
        <w:outlineLvl w:val="0"/>
        <w:rPr>
          <w:rFonts w:hAnsi="宋体" w:cs="宋体"/>
          <w:b/>
          <w:bCs/>
          <w:color w:val="auto"/>
          <w:sz w:val="32"/>
          <w:szCs w:val="32"/>
          <w:highlight w:val="none"/>
        </w:rPr>
      </w:pPr>
    </w:p>
    <w:p w14:paraId="73BA348D">
      <w:pPr>
        <w:pStyle w:val="2"/>
        <w:snapToGrid w:val="0"/>
        <w:spacing w:before="120" w:after="120" w:line="360" w:lineRule="auto"/>
        <w:jc w:val="center"/>
        <w:outlineLvl w:val="0"/>
        <w:rPr>
          <w:rFonts w:hAnsi="宋体" w:cs="宋体"/>
          <w:b/>
          <w:bCs/>
          <w:color w:val="auto"/>
          <w:sz w:val="32"/>
          <w:szCs w:val="32"/>
          <w:highlight w:val="none"/>
        </w:rPr>
      </w:pPr>
    </w:p>
    <w:p w14:paraId="711BC80C">
      <w:pPr>
        <w:pStyle w:val="2"/>
        <w:snapToGrid w:val="0"/>
        <w:spacing w:before="120" w:after="120" w:line="360" w:lineRule="auto"/>
        <w:jc w:val="center"/>
        <w:outlineLvl w:val="0"/>
        <w:rPr>
          <w:rFonts w:hAnsi="宋体" w:cs="宋体"/>
          <w:b/>
          <w:bCs/>
          <w:color w:val="auto"/>
          <w:sz w:val="32"/>
          <w:szCs w:val="32"/>
          <w:highlight w:val="none"/>
        </w:rPr>
      </w:pPr>
    </w:p>
    <w:p w14:paraId="2A19887C">
      <w:pPr>
        <w:pStyle w:val="2"/>
        <w:snapToGrid w:val="0"/>
        <w:spacing w:before="120" w:after="120" w:line="360" w:lineRule="auto"/>
        <w:jc w:val="center"/>
        <w:outlineLvl w:val="0"/>
        <w:rPr>
          <w:rFonts w:hAnsi="宋体" w:cs="宋体"/>
          <w:b/>
          <w:bCs/>
          <w:color w:val="auto"/>
          <w:sz w:val="32"/>
          <w:szCs w:val="32"/>
          <w:highlight w:val="none"/>
        </w:rPr>
      </w:pPr>
    </w:p>
    <w:p w14:paraId="43C3883B">
      <w:pPr>
        <w:pStyle w:val="2"/>
        <w:snapToGrid w:val="0"/>
        <w:spacing w:beforeLines="0" w:afterLines="0" w:line="240" w:lineRule="auto"/>
        <w:jc w:val="center"/>
        <w:outlineLvl w:val="0"/>
        <w:rPr>
          <w:rFonts w:hAnsi="宋体" w:cs="宋体"/>
          <w:b/>
          <w:bCs/>
          <w:color w:val="auto"/>
          <w:sz w:val="32"/>
          <w:szCs w:val="32"/>
          <w:highlight w:val="none"/>
        </w:rPr>
      </w:pPr>
    </w:p>
    <w:p w14:paraId="30780F98">
      <w:pPr>
        <w:pStyle w:val="2"/>
        <w:snapToGrid w:val="0"/>
        <w:spacing w:before="120" w:after="120" w:line="360" w:lineRule="auto"/>
        <w:jc w:val="center"/>
        <w:outlineLvl w:val="0"/>
        <w:rPr>
          <w:rFonts w:hAnsi="宋体" w:cs="宋体"/>
          <w:b/>
          <w:bCs/>
          <w:color w:val="auto"/>
          <w:sz w:val="32"/>
          <w:szCs w:val="32"/>
          <w:highlight w:val="none"/>
        </w:rPr>
      </w:pPr>
    </w:p>
    <w:p w14:paraId="683DA74C">
      <w:pPr>
        <w:pStyle w:val="2"/>
        <w:snapToGrid w:val="0"/>
        <w:spacing w:before="120" w:after="120" w:line="360" w:lineRule="auto"/>
        <w:jc w:val="center"/>
        <w:outlineLvl w:val="0"/>
        <w:rPr>
          <w:rFonts w:hAnsi="宋体" w:cs="宋体"/>
          <w:b/>
          <w:bCs/>
          <w:color w:val="auto"/>
          <w:sz w:val="32"/>
          <w:szCs w:val="32"/>
          <w:highlight w:val="none"/>
        </w:rPr>
      </w:pPr>
    </w:p>
    <w:p w14:paraId="30D68E6A">
      <w:pPr>
        <w:pStyle w:val="2"/>
        <w:snapToGrid w:val="0"/>
        <w:spacing w:before="120" w:after="120" w:line="360" w:lineRule="auto"/>
        <w:jc w:val="center"/>
        <w:outlineLvl w:val="0"/>
        <w:rPr>
          <w:rFonts w:hAnsi="宋体" w:cs="宋体"/>
          <w:b/>
          <w:bCs/>
          <w:color w:val="auto"/>
          <w:sz w:val="32"/>
          <w:szCs w:val="32"/>
          <w:highlight w:val="none"/>
        </w:rPr>
      </w:pPr>
    </w:p>
    <w:p w14:paraId="32717CD8">
      <w:pPr>
        <w:pStyle w:val="2"/>
        <w:snapToGrid w:val="0"/>
        <w:spacing w:before="120" w:after="120" w:line="360" w:lineRule="auto"/>
        <w:jc w:val="center"/>
        <w:outlineLvl w:val="0"/>
        <w:rPr>
          <w:rFonts w:hAnsi="宋体" w:cs="宋体"/>
          <w:b/>
          <w:bCs/>
          <w:color w:val="auto"/>
          <w:sz w:val="32"/>
          <w:szCs w:val="32"/>
          <w:highlight w:val="none"/>
        </w:rPr>
      </w:pPr>
    </w:p>
    <w:p w14:paraId="13D37674">
      <w:pPr>
        <w:pStyle w:val="2"/>
        <w:snapToGrid w:val="0"/>
        <w:spacing w:before="120" w:after="120" w:line="360" w:lineRule="auto"/>
        <w:jc w:val="center"/>
        <w:outlineLvl w:val="0"/>
        <w:rPr>
          <w:rFonts w:hAnsi="宋体" w:cs="宋体"/>
          <w:b/>
          <w:bCs/>
          <w:color w:val="auto"/>
          <w:sz w:val="32"/>
          <w:szCs w:val="32"/>
          <w:highlight w:val="none"/>
        </w:rPr>
      </w:pPr>
    </w:p>
    <w:p w14:paraId="05DAB932">
      <w:pPr>
        <w:pStyle w:val="2"/>
        <w:snapToGrid w:val="0"/>
        <w:spacing w:before="120" w:after="120" w:line="360" w:lineRule="auto"/>
        <w:jc w:val="center"/>
        <w:outlineLvl w:val="0"/>
        <w:rPr>
          <w:rFonts w:hAnsi="宋体" w:cs="宋体"/>
          <w:color w:val="auto"/>
          <w:sz w:val="28"/>
          <w:szCs w:val="28"/>
          <w:highlight w:val="none"/>
        </w:rPr>
      </w:pPr>
      <w:r>
        <w:rPr>
          <w:rFonts w:hint="eastAsia" w:hAnsi="宋体" w:cs="宋体"/>
          <w:b/>
          <w:bCs/>
          <w:color w:val="auto"/>
          <w:sz w:val="32"/>
          <w:szCs w:val="32"/>
          <w:highlight w:val="none"/>
        </w:rPr>
        <w:t>第一章  公开招标采购公告</w:t>
      </w:r>
    </w:p>
    <w:p w14:paraId="421DD33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both"/>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6422E7C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东阳市</w:t>
      </w:r>
      <w:r>
        <w:rPr>
          <w:rFonts w:hint="eastAsia" w:ascii="宋体" w:hAnsi="宋体" w:cs="宋体"/>
          <w:color w:val="auto"/>
          <w:sz w:val="24"/>
          <w:highlight w:val="none"/>
          <w:u w:val="single"/>
          <w:lang w:eastAsia="zh-CN"/>
        </w:rPr>
        <w:t>2025年度新建房屋白蚁防治服务</w:t>
      </w:r>
      <w:r>
        <w:rPr>
          <w:rFonts w:hint="eastAsia" w:ascii="宋体" w:hAnsi="宋体" w:cs="宋体"/>
          <w:color w:val="auto"/>
          <w:sz w:val="24"/>
          <w:highlight w:val="none"/>
          <w:u w:val="single"/>
          <w:lang w:val="en-US" w:eastAsia="zh-CN"/>
        </w:rPr>
        <w:t>1-3标段</w:t>
      </w:r>
      <w:r>
        <w:rPr>
          <w:rFonts w:hint="eastAsia" w:ascii="宋体" w:hAnsi="宋体" w:cs="宋体"/>
          <w:color w:val="auto"/>
          <w:sz w:val="24"/>
          <w:highlight w:val="none"/>
          <w:u w:val="single"/>
          <w:lang w:eastAsia="zh-CN"/>
        </w:rPr>
        <w:t>采购项目</w:t>
      </w:r>
      <w:r>
        <w:rPr>
          <w:rFonts w:hint="eastAsia" w:ascii="宋体" w:hAnsi="宋体" w:cs="宋体"/>
          <w:color w:val="auto"/>
          <w:sz w:val="24"/>
          <w:highlight w:val="none"/>
        </w:rPr>
        <w:t>的潜在投标人应在（网址：浙江政府采购网:http://zfcg.czt.zj.gov.cn/获取招标文件，并于</w:t>
      </w:r>
      <w:r>
        <w:rPr>
          <w:rFonts w:hint="eastAsia" w:ascii="宋体" w:hAnsi="宋体" w:cs="宋体"/>
          <w:color w:val="auto"/>
          <w:sz w:val="24"/>
          <w:highlight w:val="none"/>
          <w:u w:val="single"/>
          <w:lang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18</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42861A8E">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060032D9">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val="en-US" w:eastAsia="zh-CN"/>
        </w:rPr>
        <w:t>HZJSGCZJZXYXGS2025-009</w:t>
      </w:r>
    </w:p>
    <w:p w14:paraId="51DE5ACF">
      <w:pPr>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val="0"/>
          <w:bCs w:val="0"/>
          <w:color w:val="auto"/>
          <w:sz w:val="24"/>
          <w:highlight w:val="none"/>
          <w:lang w:val="en-US" w:eastAsia="zh-CN"/>
        </w:rPr>
        <w:t>东阳市</w:t>
      </w:r>
      <w:r>
        <w:rPr>
          <w:rFonts w:hint="eastAsia" w:ascii="宋体" w:hAnsi="宋体" w:cs="宋体"/>
          <w:color w:val="auto"/>
          <w:sz w:val="24"/>
          <w:highlight w:val="none"/>
          <w:lang w:eastAsia="zh-CN"/>
        </w:rPr>
        <w:t>2025年度新建房屋白蚁防治服务</w:t>
      </w:r>
      <w:r>
        <w:rPr>
          <w:rFonts w:hint="eastAsia" w:ascii="宋体" w:hAnsi="宋体" w:cs="宋体"/>
          <w:color w:val="auto"/>
          <w:sz w:val="24"/>
          <w:highlight w:val="none"/>
          <w:lang w:val="en-US" w:eastAsia="zh-CN"/>
        </w:rPr>
        <w:t>1-3标段</w:t>
      </w:r>
      <w:r>
        <w:rPr>
          <w:rFonts w:hint="eastAsia" w:ascii="宋体" w:hAnsi="宋体" w:cs="宋体"/>
          <w:color w:val="auto"/>
          <w:sz w:val="24"/>
          <w:highlight w:val="none"/>
          <w:lang w:eastAsia="zh-CN"/>
        </w:rPr>
        <w:t>采购项目</w:t>
      </w:r>
    </w:p>
    <w:p w14:paraId="29980F2F">
      <w:pPr>
        <w:pStyle w:val="9"/>
        <w:spacing w:after="0" w:afterAutospacing="0" w:line="360" w:lineRule="auto"/>
        <w:rPr>
          <w:rFonts w:hint="default"/>
          <w:lang w:val="en-US" w:eastAsia="zh-CN"/>
        </w:rPr>
      </w:pPr>
      <w:r>
        <w:rPr>
          <w:rFonts w:hint="eastAsia" w:ascii="宋体" w:hAnsi="宋体" w:cs="宋体"/>
          <w:b/>
          <w:bCs/>
          <w:color w:val="auto"/>
          <w:sz w:val="24"/>
          <w:highlight w:val="none"/>
          <w:lang w:val="en-US" w:eastAsia="zh-CN"/>
        </w:rPr>
        <w:t>采购方式：</w:t>
      </w:r>
      <w:r>
        <w:rPr>
          <w:rFonts w:hint="eastAsia" w:ascii="宋体" w:hAnsi="宋体" w:cs="宋体"/>
          <w:color w:val="auto"/>
          <w:sz w:val="24"/>
          <w:highlight w:val="none"/>
          <w:lang w:val="en-US" w:eastAsia="zh-CN"/>
        </w:rPr>
        <w:t>公开招标</w:t>
      </w:r>
    </w:p>
    <w:p w14:paraId="6EA92EA0">
      <w:pPr>
        <w:spacing w:beforeAutospacing="0"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预算金额（元）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295000</w:t>
      </w:r>
      <w:r>
        <w:rPr>
          <w:rFonts w:hint="eastAsia" w:ascii="宋体" w:hAnsi="宋体" w:cs="宋体"/>
          <w:color w:val="auto"/>
          <w:sz w:val="24"/>
          <w:highlight w:val="none"/>
        </w:rPr>
        <w:t>元</w:t>
      </w:r>
    </w:p>
    <w:p w14:paraId="14BA4CDC">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最高限价（元）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295000</w:t>
      </w:r>
      <w:r>
        <w:rPr>
          <w:rFonts w:hint="eastAsia" w:ascii="宋体" w:hAnsi="宋体" w:cs="宋体"/>
          <w:color w:val="auto"/>
          <w:sz w:val="24"/>
          <w:highlight w:val="none"/>
        </w:rPr>
        <w:t>元</w:t>
      </w:r>
    </w:p>
    <w:p w14:paraId="261529F8">
      <w:pPr>
        <w:pStyle w:val="8"/>
        <w:spacing w:after="0" w:afterAutospacing="0" w:line="440" w:lineRule="exact"/>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采购需求：</w:t>
      </w:r>
    </w:p>
    <w:p w14:paraId="76638BC9">
      <w:pPr>
        <w:pStyle w:val="8"/>
        <w:spacing w:beforeAutospacing="0" w:after="0" w:afterAutospacing="0" w:line="440" w:lineRule="exact"/>
        <w:ind w:firstLine="540" w:firstLineChars="200"/>
        <w:rPr>
          <w:rFonts w:ascii="宋体" w:hAnsi="宋体" w:cs="宋体"/>
          <w:b/>
          <w:bCs/>
          <w:color w:val="auto"/>
          <w:sz w:val="24"/>
          <w:highlight w:val="none"/>
        </w:rPr>
      </w:pPr>
      <w:r>
        <w:rPr>
          <w:rFonts w:hint="eastAsia" w:ascii="宋体" w:hAnsi="宋体" w:cs="宋体"/>
          <w:color w:val="auto"/>
          <w:sz w:val="27"/>
          <w:szCs w:val="27"/>
          <w:highlight w:val="none"/>
        </w:rPr>
        <w:t> </w:t>
      </w:r>
      <w:r>
        <w:rPr>
          <w:rFonts w:hint="eastAsia" w:ascii="宋体" w:hAnsi="宋体" w:cs="宋体"/>
          <w:color w:val="auto"/>
          <w:sz w:val="27"/>
          <w:szCs w:val="27"/>
          <w:highlight w:val="none"/>
          <w:lang w:val="en-US" w:eastAsia="zh-CN"/>
        </w:rPr>
        <w:t xml:space="preserve"> </w:t>
      </w:r>
      <w:r>
        <w:rPr>
          <w:rFonts w:hint="eastAsia" w:ascii="宋体" w:hAnsi="宋体" w:cs="宋体"/>
          <w:b/>
          <w:bCs/>
          <w:color w:val="auto"/>
          <w:sz w:val="24"/>
          <w:highlight w:val="none"/>
        </w:rPr>
        <w:t>标项一:</w:t>
      </w:r>
    </w:p>
    <w:p w14:paraId="5E7D4F62">
      <w:pPr>
        <w:pStyle w:val="8"/>
        <w:spacing w:beforeAutospacing="0" w:after="0" w:afterAutospacing="0"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标项名称：</w:t>
      </w:r>
      <w:r>
        <w:rPr>
          <w:rFonts w:hint="eastAsia" w:ascii="宋体" w:hAnsi="宋体" w:cs="宋体"/>
          <w:color w:val="auto"/>
          <w:sz w:val="24"/>
          <w:highlight w:val="none"/>
          <w:lang w:val="en-US" w:eastAsia="zh-CN"/>
        </w:rPr>
        <w:t>东阳市</w:t>
      </w:r>
      <w:r>
        <w:rPr>
          <w:rFonts w:hint="eastAsia" w:ascii="宋体" w:hAnsi="宋体" w:cs="宋体"/>
          <w:color w:val="auto"/>
          <w:sz w:val="24"/>
          <w:highlight w:val="none"/>
          <w:lang w:eastAsia="zh-CN"/>
        </w:rPr>
        <w:t>2025年度新建房屋白蚁防治服务</w:t>
      </w:r>
      <w:r>
        <w:rPr>
          <w:rFonts w:hint="eastAsia" w:ascii="宋体" w:hAnsi="宋体" w:cs="宋体"/>
          <w:color w:val="auto"/>
          <w:sz w:val="24"/>
          <w:highlight w:val="none"/>
          <w:lang w:val="en-US" w:eastAsia="zh-CN"/>
        </w:rPr>
        <w:t>1-3标段</w:t>
      </w:r>
      <w:r>
        <w:rPr>
          <w:rFonts w:hint="eastAsia" w:ascii="宋体" w:hAnsi="宋体" w:cs="宋体"/>
          <w:color w:val="auto"/>
          <w:sz w:val="24"/>
          <w:highlight w:val="none"/>
          <w:lang w:eastAsia="zh-CN"/>
        </w:rPr>
        <w:t>采购项目（</w:t>
      </w:r>
      <w:r>
        <w:rPr>
          <w:rFonts w:hint="eastAsia" w:ascii="宋体" w:hAnsi="宋体" w:cs="宋体"/>
          <w:color w:val="auto"/>
          <w:sz w:val="24"/>
          <w:highlight w:val="none"/>
          <w:lang w:val="en-US" w:eastAsia="zh-CN"/>
        </w:rPr>
        <w:t>吴宁、白云、江北街道区域内</w:t>
      </w:r>
      <w:r>
        <w:rPr>
          <w:rFonts w:hint="eastAsia" w:ascii="宋体" w:hAnsi="宋体" w:cs="宋体"/>
          <w:color w:val="auto"/>
          <w:sz w:val="24"/>
          <w:highlight w:val="none"/>
          <w:lang w:eastAsia="zh-CN"/>
        </w:rPr>
        <w:t>）</w:t>
      </w:r>
    </w:p>
    <w:p w14:paraId="6BE9471E">
      <w:pPr>
        <w:pStyle w:val="8"/>
        <w:spacing w:beforeAutospacing="0" w:after="0" w:afterAutospacing="0"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数量：</w:t>
      </w:r>
      <w:r>
        <w:rPr>
          <w:rFonts w:hint="eastAsia" w:ascii="宋体" w:hAnsi="宋体" w:cs="宋体"/>
          <w:color w:val="auto"/>
          <w:sz w:val="24"/>
          <w:highlight w:val="none"/>
          <w:lang w:val="en-US" w:eastAsia="zh-CN"/>
        </w:rPr>
        <w:t>1项</w:t>
      </w:r>
    </w:p>
    <w:p w14:paraId="248C0889">
      <w:pPr>
        <w:pStyle w:val="8"/>
        <w:shd w:val="clear"/>
        <w:spacing w:beforeAutospacing="0" w:after="0" w:afterAutospacing="0" w:line="440" w:lineRule="exact"/>
        <w:ind w:left="718" w:leftChars="342"/>
        <w:rPr>
          <w:rFonts w:hint="eastAsia"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130000</w:t>
      </w:r>
      <w:r>
        <w:rPr>
          <w:rFonts w:hint="eastAsia" w:ascii="宋体" w:hAnsi="宋体" w:cs="宋体"/>
          <w:color w:val="auto"/>
          <w:sz w:val="24"/>
          <w:highlight w:val="none"/>
        </w:rPr>
        <w:t>元</w:t>
      </w:r>
    </w:p>
    <w:p w14:paraId="763A7103">
      <w:pPr>
        <w:pStyle w:val="8"/>
        <w:spacing w:beforeAutospacing="0" w:after="0" w:afterAutospacing="0"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w:t>
      </w:r>
    </w:p>
    <w:p w14:paraId="634F11D8">
      <w:pPr>
        <w:pStyle w:val="8"/>
        <w:spacing w:beforeAutospacing="0" w:after="0" w:afterAutospacing="0"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标项名称：</w:t>
      </w:r>
      <w:r>
        <w:rPr>
          <w:rFonts w:hint="eastAsia" w:ascii="宋体" w:hAnsi="宋体" w:cs="宋体"/>
          <w:color w:val="auto"/>
          <w:sz w:val="24"/>
          <w:highlight w:val="none"/>
          <w:lang w:val="en-US" w:eastAsia="zh-CN"/>
        </w:rPr>
        <w:t>东阳市</w:t>
      </w:r>
      <w:r>
        <w:rPr>
          <w:rFonts w:hint="eastAsia" w:ascii="宋体" w:hAnsi="宋体" w:cs="宋体"/>
          <w:color w:val="auto"/>
          <w:sz w:val="24"/>
          <w:highlight w:val="none"/>
          <w:lang w:eastAsia="zh-CN"/>
        </w:rPr>
        <w:t>2025年度新建房屋白蚁防治服务</w:t>
      </w:r>
      <w:r>
        <w:rPr>
          <w:rFonts w:hint="eastAsia" w:ascii="宋体" w:hAnsi="宋体" w:cs="宋体"/>
          <w:color w:val="auto"/>
          <w:sz w:val="24"/>
          <w:highlight w:val="none"/>
          <w:lang w:val="en-US" w:eastAsia="zh-CN"/>
        </w:rPr>
        <w:t>1-3标段</w:t>
      </w:r>
      <w:r>
        <w:rPr>
          <w:rFonts w:hint="eastAsia" w:ascii="宋体" w:hAnsi="宋体" w:cs="宋体"/>
          <w:color w:val="auto"/>
          <w:sz w:val="24"/>
          <w:highlight w:val="none"/>
          <w:lang w:eastAsia="zh-CN"/>
        </w:rPr>
        <w:t>采购项目（</w:t>
      </w:r>
      <w:r>
        <w:rPr>
          <w:rFonts w:hint="eastAsia" w:ascii="宋体" w:hAnsi="宋体" w:cs="宋体"/>
          <w:color w:val="auto"/>
          <w:sz w:val="24"/>
          <w:highlight w:val="none"/>
          <w:lang w:val="en-US" w:eastAsia="zh-CN"/>
        </w:rPr>
        <w:t>南市街道、横店镇、南马镇、画水镇、马宅镇、湖溪镇、千祥镇区域内</w:t>
      </w:r>
      <w:r>
        <w:rPr>
          <w:rFonts w:hint="eastAsia" w:ascii="宋体" w:hAnsi="宋体" w:cs="宋体"/>
          <w:color w:val="auto"/>
          <w:sz w:val="24"/>
          <w:highlight w:val="none"/>
          <w:lang w:eastAsia="zh-CN"/>
        </w:rPr>
        <w:t>）</w:t>
      </w:r>
    </w:p>
    <w:p w14:paraId="56AFC209">
      <w:pPr>
        <w:pStyle w:val="8"/>
        <w:spacing w:beforeAutospacing="0" w:after="0" w:afterAutospacing="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数量：</w:t>
      </w:r>
      <w:r>
        <w:rPr>
          <w:rFonts w:hint="eastAsia" w:ascii="宋体" w:hAnsi="宋体" w:cs="宋体"/>
          <w:color w:val="auto"/>
          <w:sz w:val="24"/>
          <w:highlight w:val="none"/>
          <w:lang w:val="en-US" w:eastAsia="zh-CN"/>
        </w:rPr>
        <w:t>1项</w:t>
      </w:r>
    </w:p>
    <w:p w14:paraId="1E8B108C">
      <w:pPr>
        <w:pStyle w:val="9"/>
        <w:spacing w:beforeAutospacing="0" w:after="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100000</w:t>
      </w:r>
      <w:r>
        <w:rPr>
          <w:rFonts w:hint="eastAsia" w:ascii="宋体" w:hAnsi="宋体" w:cs="宋体"/>
          <w:color w:val="auto"/>
          <w:sz w:val="24"/>
          <w:highlight w:val="none"/>
        </w:rPr>
        <w:t>元</w:t>
      </w:r>
    </w:p>
    <w:p w14:paraId="4E10BFDE">
      <w:pPr>
        <w:pStyle w:val="8"/>
        <w:spacing w:beforeAutospacing="0" w:after="0" w:afterAutospacing="0"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p>
    <w:p w14:paraId="5D0D13EE">
      <w:pPr>
        <w:pStyle w:val="8"/>
        <w:spacing w:beforeAutospacing="0" w:after="0" w:afterAutospacing="0"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标项名称：</w:t>
      </w:r>
      <w:r>
        <w:rPr>
          <w:rFonts w:hint="eastAsia" w:ascii="宋体" w:hAnsi="宋体" w:cs="宋体"/>
          <w:color w:val="auto"/>
          <w:sz w:val="24"/>
          <w:highlight w:val="none"/>
          <w:lang w:val="en-US" w:eastAsia="zh-CN"/>
        </w:rPr>
        <w:t>东阳市</w:t>
      </w:r>
      <w:r>
        <w:rPr>
          <w:rFonts w:hint="eastAsia" w:ascii="宋体" w:hAnsi="宋体" w:cs="宋体"/>
          <w:color w:val="auto"/>
          <w:sz w:val="24"/>
          <w:highlight w:val="none"/>
          <w:lang w:eastAsia="zh-CN"/>
        </w:rPr>
        <w:t>2025年度新建房屋白蚁防治服务</w:t>
      </w:r>
      <w:r>
        <w:rPr>
          <w:rFonts w:hint="eastAsia" w:ascii="宋体" w:hAnsi="宋体" w:cs="宋体"/>
          <w:color w:val="auto"/>
          <w:sz w:val="24"/>
          <w:highlight w:val="none"/>
          <w:lang w:val="en-US" w:eastAsia="zh-CN"/>
        </w:rPr>
        <w:t>1-3标段</w:t>
      </w:r>
      <w:r>
        <w:rPr>
          <w:rFonts w:hint="eastAsia" w:ascii="宋体" w:hAnsi="宋体" w:cs="宋体"/>
          <w:color w:val="auto"/>
          <w:sz w:val="24"/>
          <w:highlight w:val="none"/>
          <w:lang w:eastAsia="zh-CN"/>
        </w:rPr>
        <w:t>采购项目（</w:t>
      </w:r>
      <w:r>
        <w:rPr>
          <w:rFonts w:hint="eastAsia" w:ascii="宋体" w:hAnsi="宋体" w:cs="宋体"/>
          <w:color w:val="auto"/>
          <w:sz w:val="24"/>
          <w:highlight w:val="none"/>
          <w:lang w:val="en-US" w:eastAsia="zh-CN"/>
        </w:rPr>
        <w:t>六石街道、城东街道、巍山镇、虎鹿镇、歌山镇、佐村镇、三单乡、东阳江镇区域</w:t>
      </w:r>
      <w:r>
        <w:rPr>
          <w:rFonts w:hint="eastAsia" w:ascii="宋体" w:hAnsi="宋体" w:cs="宋体"/>
          <w:color w:val="auto"/>
          <w:sz w:val="24"/>
          <w:highlight w:val="none"/>
          <w:lang w:eastAsia="zh-CN"/>
        </w:rPr>
        <w:t>）</w:t>
      </w:r>
    </w:p>
    <w:p w14:paraId="1CFD1F38">
      <w:pPr>
        <w:pStyle w:val="8"/>
        <w:spacing w:beforeAutospacing="0" w:after="0" w:afterAutospacing="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数量：</w:t>
      </w:r>
      <w:r>
        <w:rPr>
          <w:rFonts w:hint="eastAsia" w:ascii="宋体" w:hAnsi="宋体" w:cs="宋体"/>
          <w:color w:val="auto"/>
          <w:sz w:val="24"/>
          <w:highlight w:val="none"/>
          <w:lang w:val="en-US" w:eastAsia="zh-CN"/>
        </w:rPr>
        <w:t>1项</w:t>
      </w:r>
    </w:p>
    <w:p w14:paraId="62F88931">
      <w:pPr>
        <w:pStyle w:val="9"/>
        <w:spacing w:beforeAutospacing="0" w:after="0" w:afterAutospacing="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65000</w:t>
      </w:r>
      <w:r>
        <w:rPr>
          <w:rFonts w:hint="eastAsia" w:ascii="宋体" w:hAnsi="宋体" w:cs="宋体"/>
          <w:color w:val="auto"/>
          <w:sz w:val="24"/>
          <w:highlight w:val="none"/>
        </w:rPr>
        <w:t>元</w:t>
      </w:r>
    </w:p>
    <w:p w14:paraId="3D1FE0E3">
      <w:pPr>
        <w:pStyle w:val="9"/>
        <w:spacing w:beforeAutospacing="0" w:after="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1959F162">
      <w:pPr>
        <w:pStyle w:val="10"/>
        <w:spacing w:beforeAutospacing="0" w:line="360" w:lineRule="auto"/>
        <w:ind w:left="0" w:leftChars="0" w:firstLine="0" w:firstLineChars="0"/>
        <w:rPr>
          <w:rFonts w:hint="eastAsia" w:eastAsia="宋体"/>
          <w:lang w:val="en-US" w:eastAsia="zh-CN"/>
        </w:rPr>
      </w:pPr>
      <w:r>
        <w:rPr>
          <w:rFonts w:hint="eastAsia" w:ascii="宋体" w:hAnsi="宋体" w:cs="宋体"/>
          <w:color w:val="auto"/>
          <w:sz w:val="24"/>
          <w:highlight w:val="none"/>
          <w:lang w:val="en-US" w:eastAsia="zh-CN"/>
        </w:rPr>
        <w:t>备注：</w:t>
      </w:r>
    </w:p>
    <w:p w14:paraId="4DE9D84F">
      <w:pPr>
        <w:pStyle w:val="2"/>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合同履约期限：</w:t>
      </w:r>
      <w:r>
        <w:rPr>
          <w:rFonts w:hint="eastAsia" w:ascii="宋体" w:hAnsi="宋体" w:eastAsia="宋体" w:cs="宋体"/>
          <w:b w:val="0"/>
          <w:bCs w:val="0"/>
          <w:color w:val="000000"/>
          <w:sz w:val="24"/>
          <w:szCs w:val="24"/>
          <w:lang w:val="en-US" w:eastAsia="zh-CN"/>
        </w:rPr>
        <w:t>详见招标文件</w:t>
      </w:r>
      <w:r>
        <w:rPr>
          <w:rFonts w:hint="eastAsia" w:ascii="宋体" w:hAnsi="宋体" w:eastAsia="宋体" w:cs="宋体"/>
          <w:b w:val="0"/>
          <w:bCs w:val="0"/>
          <w:color w:val="000000"/>
          <w:sz w:val="24"/>
          <w:szCs w:val="24"/>
          <w:lang w:eastAsia="zh-CN"/>
        </w:rPr>
        <w:t>。</w:t>
      </w:r>
    </w:p>
    <w:p w14:paraId="23D3DFA8">
      <w:pPr>
        <w:pStyle w:val="2"/>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项目金额总计不超过</w:t>
      </w:r>
      <w:r>
        <w:rPr>
          <w:rFonts w:hint="eastAsia" w:hAnsi="宋体" w:cs="宋体"/>
          <w:color w:val="auto"/>
          <w:sz w:val="24"/>
          <w:highlight w:val="none"/>
          <w:lang w:val="en-US" w:eastAsia="zh-CN"/>
        </w:rPr>
        <w:t>29.5</w:t>
      </w:r>
      <w:r>
        <w:rPr>
          <w:rFonts w:hint="eastAsia" w:ascii="宋体" w:hAnsi="宋体" w:cs="宋体"/>
          <w:color w:val="auto"/>
          <w:sz w:val="24"/>
          <w:highlight w:val="none"/>
          <w:lang w:val="en-US" w:eastAsia="zh-CN"/>
        </w:rPr>
        <w:t>万元。</w:t>
      </w:r>
    </w:p>
    <w:p w14:paraId="2EA264E6">
      <w:pPr>
        <w:pStyle w:val="2"/>
        <w:keepNext w:val="0"/>
        <w:keepLines w:val="0"/>
        <w:pageBreakBefore w:val="0"/>
        <w:kinsoku/>
        <w:overflowPunct/>
        <w:topLinePunct w:val="0"/>
        <w:autoSpaceDE/>
        <w:autoSpaceDN/>
        <w:bidi w:val="0"/>
        <w:adjustRightInd/>
        <w:snapToGrid/>
        <w:spacing w:beforeLines="0" w:afterLines="0" w:line="360" w:lineRule="auto"/>
        <w:ind w:left="0" w:leftChars="0" w:firstLine="480" w:firstLineChars="200"/>
        <w:textAlignment w:val="auto"/>
        <w:rPr>
          <w:rFonts w:hint="default" w:eastAsia="宋体"/>
          <w:color w:val="auto"/>
          <w:lang w:val="en-US" w:eastAsia="zh-CN"/>
        </w:rPr>
      </w:pPr>
      <w:r>
        <w:rPr>
          <w:rFonts w:hint="eastAsia" w:ascii="宋体" w:hAnsi="宋体" w:cs="宋体"/>
          <w:color w:val="auto"/>
          <w:sz w:val="24"/>
          <w:highlight w:val="none"/>
        </w:rPr>
        <w:t>本项目接受联合体投标</w:t>
      </w:r>
    </w:p>
    <w:p w14:paraId="3D30585A">
      <w:pPr>
        <w:snapToGrid w:val="0"/>
        <w:spacing w:line="360" w:lineRule="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1F5409A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eastAsia="宋体" w:cs="宋体"/>
          <w:sz w:val="24"/>
        </w:rPr>
        <w:t>本项目投标截止之日前三年内，投标人未被“信用中国”（www.creditchina.gov.cn)、中国政府采购网（www.ccgp.gov.cn）列入失信被执行人、重大税收违法案件当事人名单、政府采购严重违法失信行为记录名单。</w:t>
      </w:r>
    </w:p>
    <w:p w14:paraId="62E7DB08">
      <w:pPr>
        <w:pStyle w:val="24"/>
        <w:kinsoku/>
        <w:wordWrap/>
        <w:topLinePunct w:val="0"/>
        <w:bidi w:val="0"/>
        <w:spacing w:line="360" w:lineRule="auto"/>
        <w:ind w:left="0" w:leftChars="0" w:firstLine="466"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需满足的资格要求：</w:t>
      </w:r>
    </w:p>
    <w:p w14:paraId="2BD178F7">
      <w:pPr>
        <w:pStyle w:val="24"/>
        <w:kinsoku/>
        <w:wordWrap/>
        <w:topLinePunct w:val="0"/>
        <w:bidi w:val="0"/>
        <w:spacing w:line="360" w:lineRule="auto"/>
        <w:rPr>
          <w:rFonts w:hint="eastAsia" w:ascii="宋体" w:cs="Arial"/>
          <w:b/>
          <w:bCs/>
          <w:color w:val="auto"/>
          <w:sz w:val="24"/>
          <w:highlight w:val="none"/>
        </w:rPr>
      </w:pPr>
      <w:r>
        <w:rPr>
          <w:rFonts w:hint="eastAsia" w:ascii="宋体" w:hAnsi="宋体" w:cs="宋体"/>
          <w:b/>
          <w:color w:val="auto"/>
          <w:sz w:val="24"/>
          <w:highlight w:val="none"/>
          <w:lang w:val="en-US" w:eastAsia="zh-CN"/>
        </w:rPr>
        <w:t>A、</w:t>
      </w:r>
      <w:r>
        <w:rPr>
          <w:rFonts w:hint="eastAsia" w:ascii="宋体" w:hAnsi="宋体" w:cs="宋体"/>
          <w:b/>
          <w:color w:val="auto"/>
          <w:sz w:val="24"/>
          <w:highlight w:val="none"/>
        </w:rPr>
        <w:t>本项目</w:t>
      </w:r>
      <w:r>
        <w:rPr>
          <w:rFonts w:hint="eastAsia" w:ascii="宋体" w:hAnsi="宋体" w:cs="宋体"/>
          <w:b/>
          <w:color w:val="auto"/>
          <w:kern w:val="0"/>
          <w:sz w:val="24"/>
          <w:highlight w:val="none"/>
        </w:rPr>
        <w:t>专门面向中小微企业，服务全部由符合政策要求的中小企业承接，供应商参加投标时，</w:t>
      </w:r>
      <w:r>
        <w:rPr>
          <w:rFonts w:hint="eastAsia" w:ascii="宋体" w:cs="Arial"/>
          <w:b/>
          <w:bCs/>
          <w:color w:val="auto"/>
          <w:sz w:val="24"/>
          <w:highlight w:val="none"/>
        </w:rPr>
        <w:t>投标文件中须提供中小企业声明函。</w:t>
      </w:r>
    </w:p>
    <w:p w14:paraId="45A0684F">
      <w:pPr>
        <w:pStyle w:val="24"/>
        <w:keepNext w:val="0"/>
        <w:keepLines w:val="0"/>
        <w:pageBreakBefore w:val="0"/>
        <w:widowControl w:val="0"/>
        <w:kinsoku/>
        <w:wordWrap/>
        <w:overflowPunct/>
        <w:topLinePunct w:val="0"/>
        <w:autoSpaceDE/>
        <w:autoSpaceDN/>
        <w:bidi w:val="0"/>
        <w:adjustRightInd/>
        <w:spacing w:line="360" w:lineRule="auto"/>
        <w:ind w:firstLine="464" w:firstLineChars="200"/>
        <w:textAlignment w:val="auto"/>
        <w:rPr>
          <w:rFonts w:hint="eastAsia" w:hAnsi="宋体" w:cs="宋体"/>
          <w:b/>
          <w:bCs/>
          <w:color w:val="auto"/>
          <w:sz w:val="24"/>
          <w:highlight w:val="none"/>
          <w:lang w:val="en-US" w:eastAsia="zh-CN"/>
        </w:rPr>
      </w:pPr>
      <w:r>
        <w:rPr>
          <w:rFonts w:hint="eastAsia" w:ascii="宋体" w:hAnsi="宋体" w:eastAsia="宋体" w:cs="Arial"/>
          <w:kern w:val="2"/>
          <w:sz w:val="24"/>
          <w:szCs w:val="24"/>
          <w:highlight w:val="none"/>
          <w:lang w:val="en-US" w:eastAsia="zh-CN" w:bidi="ar-SA"/>
        </w:rPr>
        <w:t>B、单位负责人为同一人或者存在直接控股、管理关系的不同供应商，不得参加同一合同项下的政府采购活动；</w:t>
      </w:r>
    </w:p>
    <w:p w14:paraId="1DD22612">
      <w:pPr>
        <w:pStyle w:val="24"/>
        <w:keepNext w:val="0"/>
        <w:keepLines w:val="0"/>
        <w:pageBreakBefore w:val="0"/>
        <w:widowControl w:val="0"/>
        <w:kinsoku/>
        <w:wordWrap/>
        <w:overflowPunct/>
        <w:topLinePunct w:val="0"/>
        <w:autoSpaceDE/>
        <w:autoSpaceDN/>
        <w:bidi w:val="0"/>
        <w:adjustRightInd/>
        <w:spacing w:line="360" w:lineRule="auto"/>
        <w:ind w:firstLine="466"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3316604A">
      <w:pPr>
        <w:pStyle w:val="8"/>
        <w:spacing w:after="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w:t>
      </w:r>
      <w:r>
        <w:rPr>
          <w:rFonts w:hint="eastAsia" w:ascii="宋体" w:hAnsi="宋体" w:eastAsia="宋体" w:cs="宋体"/>
          <w:sz w:val="24"/>
          <w:szCs w:val="24"/>
        </w:rPr>
        <w:t>必须具有独立法人资格，并具有本次招标内容的经营范围，在经营白蚁防治服务</w:t>
      </w:r>
      <w:r>
        <w:rPr>
          <w:rFonts w:hint="eastAsia" w:ascii="宋体" w:hAnsi="宋体" w:eastAsia="宋体" w:cs="宋体"/>
          <w:sz w:val="24"/>
          <w:szCs w:val="24"/>
          <w:highlight w:val="none"/>
        </w:rPr>
        <w:t>方面有</w:t>
      </w:r>
      <w:r>
        <w:rPr>
          <w:rFonts w:hint="eastAsia" w:ascii="宋体" w:hAnsi="宋体" w:eastAsia="宋体" w:cs="宋体"/>
          <w:color w:val="000000"/>
          <w:sz w:val="24"/>
          <w:szCs w:val="24"/>
          <w:highlight w:val="none"/>
        </w:rPr>
        <w:t>相当的技术力量、经济实力和良好信誉，并在项目所在地具有较强的售后服务能力</w:t>
      </w:r>
      <w:r>
        <w:rPr>
          <w:rFonts w:hint="eastAsia" w:ascii="宋体" w:hAnsi="宋体" w:eastAsia="宋体" w:cs="宋体"/>
          <w:color w:val="000000"/>
          <w:sz w:val="24"/>
          <w:szCs w:val="24"/>
          <w:highlight w:val="none"/>
          <w:lang w:eastAsia="zh-CN"/>
        </w:rPr>
        <w:t>。</w:t>
      </w:r>
    </w:p>
    <w:p w14:paraId="08DDC9AB">
      <w:pPr>
        <w:snapToGrid w:val="0"/>
        <w:spacing w:beforeAutospacing="0"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sz w:val="24"/>
          <w:szCs w:val="22"/>
          <w:highlight w:val="none"/>
        </w:rPr>
        <w:t>招标文件的发售及报名方式</w:t>
      </w:r>
      <w:r>
        <w:rPr>
          <w:rFonts w:hint="eastAsia" w:ascii="宋体" w:hAnsi="宋体" w:cs="宋体"/>
          <w:b/>
          <w:bCs/>
          <w:color w:val="auto"/>
          <w:sz w:val="24"/>
          <w:highlight w:val="none"/>
        </w:rPr>
        <w:t xml:space="preserve">： </w:t>
      </w:r>
    </w:p>
    <w:p w14:paraId="735DE02F">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jc w:val="left"/>
        <w:textAlignment w:val="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1、招标文件发售、报名截止日期：</w:t>
      </w:r>
      <w:r>
        <w:rPr>
          <w:rFonts w:hint="eastAsia" w:ascii="宋体" w:hAnsi="宋体" w:eastAsia="宋体" w:cs="宋体"/>
          <w:b/>
          <w:bCs/>
          <w:sz w:val="24"/>
          <w:szCs w:val="22"/>
          <w:highlight w:val="none"/>
          <w:u w:val="single"/>
          <w:lang w:eastAsia="zh-CN"/>
        </w:rPr>
        <w:t>202</w:t>
      </w:r>
      <w:r>
        <w:rPr>
          <w:rFonts w:hint="eastAsia" w:ascii="宋体" w:hAnsi="宋体" w:eastAsia="宋体" w:cs="宋体"/>
          <w:b/>
          <w:bCs/>
          <w:sz w:val="24"/>
          <w:szCs w:val="22"/>
          <w:highlight w:val="none"/>
          <w:u w:val="single"/>
          <w:lang w:val="en-US" w:eastAsia="zh-CN"/>
        </w:rPr>
        <w:t>5</w:t>
      </w:r>
      <w:r>
        <w:rPr>
          <w:rFonts w:hint="eastAsia" w:ascii="宋体" w:hAnsi="宋体" w:eastAsia="宋体" w:cs="宋体"/>
          <w:b/>
          <w:bCs/>
          <w:sz w:val="24"/>
          <w:szCs w:val="22"/>
          <w:highlight w:val="none"/>
          <w:u w:val="single"/>
          <w:lang w:eastAsia="zh-CN"/>
        </w:rPr>
        <w:t>年</w:t>
      </w:r>
      <w:r>
        <w:rPr>
          <w:rFonts w:hint="eastAsia" w:ascii="宋体" w:hAnsi="宋体" w:cs="宋体"/>
          <w:b/>
          <w:bCs/>
          <w:sz w:val="24"/>
          <w:szCs w:val="22"/>
          <w:highlight w:val="none"/>
          <w:u w:val="single"/>
          <w:lang w:val="en-US" w:eastAsia="zh-CN"/>
        </w:rPr>
        <w:t>9</w:t>
      </w:r>
      <w:r>
        <w:rPr>
          <w:rFonts w:hint="eastAsia" w:ascii="宋体" w:hAnsi="宋体" w:eastAsia="宋体" w:cs="宋体"/>
          <w:b/>
          <w:bCs/>
          <w:sz w:val="24"/>
          <w:szCs w:val="22"/>
          <w:highlight w:val="none"/>
          <w:u w:val="single"/>
        </w:rPr>
        <w:t>月</w:t>
      </w:r>
      <w:r>
        <w:rPr>
          <w:rFonts w:hint="eastAsia" w:ascii="宋体" w:hAnsi="宋体" w:cs="宋体"/>
          <w:b/>
          <w:bCs/>
          <w:sz w:val="24"/>
          <w:szCs w:val="22"/>
          <w:highlight w:val="none"/>
          <w:u w:val="single"/>
          <w:lang w:val="en-US" w:eastAsia="zh-CN"/>
        </w:rPr>
        <w:t>17</w:t>
      </w:r>
      <w:r>
        <w:rPr>
          <w:rFonts w:hint="eastAsia" w:ascii="宋体" w:hAnsi="宋体" w:eastAsia="宋体" w:cs="宋体"/>
          <w:b/>
          <w:bCs/>
          <w:sz w:val="24"/>
          <w:szCs w:val="22"/>
          <w:highlight w:val="none"/>
          <w:u w:val="single"/>
        </w:rPr>
        <w:t>日1</w:t>
      </w:r>
      <w:r>
        <w:rPr>
          <w:rFonts w:hint="eastAsia" w:ascii="宋体" w:hAnsi="宋体" w:eastAsia="宋体" w:cs="宋体"/>
          <w:b/>
          <w:bCs/>
          <w:sz w:val="24"/>
          <w:szCs w:val="22"/>
          <w:highlight w:val="none"/>
          <w:u w:val="single"/>
          <w:lang w:val="en-US" w:eastAsia="zh-CN"/>
        </w:rPr>
        <w:t>6</w:t>
      </w:r>
      <w:r>
        <w:rPr>
          <w:rFonts w:hint="eastAsia" w:ascii="宋体" w:hAnsi="宋体" w:eastAsia="宋体" w:cs="宋体"/>
          <w:b/>
          <w:bCs/>
          <w:sz w:val="24"/>
          <w:szCs w:val="22"/>
          <w:highlight w:val="none"/>
          <w:u w:val="single"/>
        </w:rPr>
        <w:t>:00时前</w:t>
      </w:r>
      <w:r>
        <w:rPr>
          <w:rFonts w:hint="eastAsia" w:ascii="宋体" w:hAnsi="宋体" w:eastAsia="宋体" w:cs="宋体"/>
          <w:b/>
          <w:bCs/>
          <w:sz w:val="24"/>
          <w:szCs w:val="22"/>
          <w:highlight w:val="none"/>
        </w:rPr>
        <w:t>；</w:t>
      </w:r>
    </w:p>
    <w:p w14:paraId="681538C9">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left"/>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2、售价：招标文件工本费</w:t>
      </w:r>
      <w:r>
        <w:rPr>
          <w:rFonts w:hint="eastAsia" w:ascii="宋体" w:hAnsi="宋体" w:eastAsia="宋体" w:cs="宋体"/>
          <w:sz w:val="24"/>
          <w:szCs w:val="22"/>
          <w:highlight w:val="none"/>
          <w:u w:val="single"/>
        </w:rPr>
        <w:t>每套0元</w:t>
      </w:r>
      <w:r>
        <w:rPr>
          <w:rFonts w:hint="eastAsia" w:ascii="宋体" w:hAnsi="宋体" w:eastAsia="宋体" w:cs="宋体"/>
          <w:sz w:val="24"/>
          <w:szCs w:val="22"/>
          <w:highlight w:val="none"/>
          <w:lang w:eastAsia="zh-CN"/>
        </w:rPr>
        <w:t>，投标人自行网上下载。</w:t>
      </w:r>
    </w:p>
    <w:p w14:paraId="01C7FE3E">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3、报名方式：</w:t>
      </w:r>
    </w:p>
    <w:p w14:paraId="51F500C3">
      <w:pPr>
        <w:snapToGrid w:val="0"/>
        <w:spacing w:line="400" w:lineRule="exact"/>
        <w:ind w:firstLine="241" w:firstLineChars="100"/>
        <w:rPr>
          <w:rFonts w:ascii="宋体" w:hAnsi="宋体" w:cs="宋体"/>
          <w:b/>
          <w:bCs/>
          <w:sz w:val="24"/>
          <w:highlight w:val="none"/>
        </w:rPr>
      </w:pPr>
      <w:r>
        <w:rPr>
          <w:rFonts w:ascii="宋体" w:hAnsi="宋体" w:cs="宋体"/>
          <w:b/>
          <w:bCs/>
          <w:sz w:val="24"/>
          <w:highlight w:val="none"/>
        </w:rPr>
        <w:t>（1）现场报名</w:t>
      </w:r>
    </w:p>
    <w:p w14:paraId="39033237">
      <w:pPr>
        <w:snapToGrid w:val="0"/>
        <w:spacing w:line="400" w:lineRule="exact"/>
        <w:ind w:firstLine="480" w:firstLineChars="200"/>
        <w:rPr>
          <w:rFonts w:ascii="宋体" w:hAnsi="宋体" w:cs="宋体"/>
          <w:b/>
          <w:bCs/>
          <w:sz w:val="24"/>
          <w:highlight w:val="none"/>
        </w:rPr>
      </w:pPr>
      <w:r>
        <w:rPr>
          <w:rFonts w:ascii="宋体" w:hAnsi="宋体" w:cs="宋体"/>
          <w:sz w:val="24"/>
          <w:highlight w:val="none"/>
        </w:rPr>
        <w:t>报名时间</w:t>
      </w:r>
      <w:r>
        <w:rPr>
          <w:rFonts w:hint="eastAsia" w:ascii="宋体" w:hAnsi="宋体" w:cs="宋体"/>
          <w:sz w:val="24"/>
          <w:highlight w:val="none"/>
        </w:rPr>
        <w:t>：</w:t>
      </w:r>
      <w:r>
        <w:rPr>
          <w:rFonts w:hint="eastAsia" w:ascii="宋体" w:hAnsi="宋体" w:cs="宋体"/>
          <w:sz w:val="24"/>
          <w:highlight w:val="none"/>
          <w:lang w:val="en-US" w:eastAsia="zh-CN"/>
        </w:rPr>
        <w:t>2025</w:t>
      </w:r>
      <w:r>
        <w:rPr>
          <w:rFonts w:hint="eastAsia" w:ascii="宋体" w:hAnsi="宋体" w:cs="宋体"/>
          <w:sz w:val="24"/>
          <w:highlight w:val="none"/>
          <w:lang w:eastAsia="zh-CN"/>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27</w:t>
      </w:r>
      <w:r>
        <w:rPr>
          <w:rFonts w:hint="eastAsia" w:ascii="宋体" w:hAnsi="宋体" w:cs="宋体"/>
          <w:sz w:val="24"/>
          <w:highlight w:val="none"/>
        </w:rPr>
        <w:t>日至</w:t>
      </w:r>
      <w:r>
        <w:rPr>
          <w:rFonts w:hint="eastAsia" w:ascii="宋体" w:hAnsi="宋体" w:cs="宋体"/>
          <w:sz w:val="24"/>
          <w:highlight w:val="none"/>
          <w:lang w:eastAsia="zh-CN"/>
        </w:rPr>
        <w:t>2</w:t>
      </w:r>
      <w:r>
        <w:rPr>
          <w:rFonts w:hint="eastAsia" w:ascii="宋体" w:hAnsi="宋体" w:cs="宋体"/>
          <w:sz w:val="24"/>
          <w:highlight w:val="none"/>
          <w:lang w:val="en-US" w:eastAsia="zh-CN"/>
        </w:rPr>
        <w:t>025</w:t>
      </w:r>
      <w:r>
        <w:rPr>
          <w:rFonts w:hint="eastAsia" w:ascii="宋体" w:hAnsi="宋体" w:cs="宋体"/>
          <w:sz w:val="24"/>
          <w:highlight w:val="none"/>
          <w:lang w:eastAsia="zh-CN"/>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日，上午8:30-11:30；下午</w:t>
      </w:r>
      <w:r>
        <w:rPr>
          <w:rFonts w:hint="eastAsia" w:ascii="宋体" w:hAnsi="宋体" w:cs="宋体"/>
          <w:sz w:val="24"/>
          <w:highlight w:val="none"/>
          <w:lang w:val="en-US" w:eastAsia="zh-CN"/>
        </w:rPr>
        <w:t>13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0-17:</w:t>
      </w:r>
      <w:r>
        <w:rPr>
          <w:rFonts w:hint="eastAsia" w:ascii="宋体" w:hAnsi="宋体" w:cs="宋体"/>
          <w:sz w:val="24"/>
          <w:highlight w:val="none"/>
          <w:lang w:val="en-US" w:eastAsia="zh-CN"/>
        </w:rPr>
        <w:t>0</w:t>
      </w:r>
      <w:r>
        <w:rPr>
          <w:rFonts w:hint="eastAsia" w:ascii="宋体" w:hAnsi="宋体" w:cs="宋体"/>
          <w:sz w:val="24"/>
          <w:highlight w:val="none"/>
        </w:rPr>
        <w:t>0（节假日除外）。</w:t>
      </w:r>
    </w:p>
    <w:p w14:paraId="78B61775">
      <w:pPr>
        <w:snapToGrid w:val="0"/>
        <w:spacing w:line="400" w:lineRule="exact"/>
        <w:ind w:firstLine="240" w:firstLineChars="100"/>
        <w:rPr>
          <w:rFonts w:hint="eastAsia"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报名地点：</w:t>
      </w:r>
      <w:r>
        <w:rPr>
          <w:rFonts w:hint="eastAsia" w:ascii="宋体" w:hAnsi="宋体" w:cs="宋体"/>
          <w:sz w:val="24"/>
          <w:highlight w:val="none"/>
          <w:lang w:val="en-US" w:eastAsia="zh-CN"/>
        </w:rPr>
        <w:t>东阳市中山路323号10楼</w:t>
      </w:r>
      <w:r>
        <w:rPr>
          <w:rFonts w:hint="eastAsia" w:ascii="宋体" w:hAnsi="宋体" w:cs="宋体"/>
          <w:sz w:val="24"/>
          <w:highlight w:val="none"/>
        </w:rPr>
        <w:t>（</w:t>
      </w:r>
      <w:r>
        <w:rPr>
          <w:rFonts w:hint="eastAsia" w:ascii="宋体" w:hAnsi="宋体" w:cs="宋体"/>
          <w:sz w:val="24"/>
          <w:highlight w:val="none"/>
          <w:lang w:val="en-US" w:eastAsia="zh-CN"/>
        </w:rPr>
        <w:t>杭州建设工程造价咨询有限公司</w:t>
      </w:r>
      <w:r>
        <w:rPr>
          <w:rFonts w:hint="eastAsia" w:ascii="宋体" w:hAnsi="宋体" w:cs="宋体"/>
          <w:sz w:val="24"/>
          <w:highlight w:val="none"/>
        </w:rPr>
        <w:t>）。</w:t>
      </w:r>
    </w:p>
    <w:p w14:paraId="73B34BC1">
      <w:pPr>
        <w:snapToGrid w:val="0"/>
        <w:spacing w:line="400" w:lineRule="exact"/>
        <w:ind w:firstLine="236" w:firstLineChars="98"/>
        <w:rPr>
          <w:rFonts w:hint="eastAsia" w:ascii="宋体" w:hAnsi="宋体" w:cs="宋体"/>
          <w:b/>
          <w:bCs/>
          <w:sz w:val="24"/>
          <w:highlight w:val="none"/>
        </w:rPr>
      </w:pPr>
      <w:r>
        <w:rPr>
          <w:rFonts w:hint="eastAsia" w:ascii="宋体" w:hAnsi="宋体" w:cs="宋体"/>
          <w:b/>
          <w:bCs/>
          <w:sz w:val="24"/>
          <w:highlight w:val="none"/>
        </w:rPr>
        <w:t>（2）通过发送电子邮件进行报名</w:t>
      </w:r>
    </w:p>
    <w:p w14:paraId="4DDD76CF">
      <w:pPr>
        <w:snapToGrid w:val="0"/>
        <w:spacing w:line="400" w:lineRule="exact"/>
        <w:ind w:firstLine="235" w:firstLineChars="98"/>
        <w:rPr>
          <w:rFonts w:hint="eastAsia" w:ascii="宋体" w:hAnsi="宋体" w:eastAsia="宋体" w:cs="宋体"/>
          <w:b w:val="0"/>
          <w:bCs w:val="0"/>
          <w:i w:val="0"/>
          <w:caps w:val="0"/>
          <w:color w:val="auto"/>
          <w:spacing w:val="0"/>
          <w:sz w:val="24"/>
          <w:szCs w:val="20"/>
          <w:highlight w:val="none"/>
        </w:rPr>
      </w:pPr>
      <w:r>
        <w:rPr>
          <w:rFonts w:hint="eastAsia" w:ascii="宋体" w:hAnsi="宋体" w:eastAsia="宋体" w:cs="宋体"/>
          <w:i w:val="0"/>
          <w:caps w:val="0"/>
          <w:color w:val="000000"/>
          <w:spacing w:val="0"/>
          <w:sz w:val="24"/>
          <w:szCs w:val="24"/>
          <w:highlight w:val="none"/>
        </w:rPr>
        <w:t>潜在的投标人可以通过发送电子邮件进行报名（</w:t>
      </w:r>
      <w:r>
        <w:rPr>
          <w:rFonts w:hint="eastAsia" w:ascii="宋体" w:hAnsi="宋体" w:cs="宋体"/>
          <w:sz w:val="24"/>
          <w:highlight w:val="none"/>
          <w:lang w:val="en-US" w:eastAsia="zh-CN"/>
        </w:rPr>
        <w:t>杭州建设工程造价咨询有限公司</w:t>
      </w:r>
      <w:r>
        <w:rPr>
          <w:rFonts w:hint="eastAsia" w:ascii="宋体" w:hAnsi="宋体" w:eastAsia="宋体" w:cs="宋体"/>
          <w:i w:val="0"/>
          <w:caps w:val="0"/>
          <w:color w:val="000000"/>
          <w:spacing w:val="0"/>
          <w:sz w:val="24"/>
          <w:szCs w:val="24"/>
          <w:highlight w:val="none"/>
          <w:lang w:eastAsia="zh-CN"/>
        </w:rPr>
        <w:t>，</w:t>
      </w:r>
      <w:r>
        <w:rPr>
          <w:rFonts w:hint="eastAsia" w:ascii="宋体" w:hAnsi="宋体" w:eastAsia="宋体" w:cs="宋体"/>
          <w:i w:val="0"/>
          <w:caps w:val="0"/>
          <w:color w:val="000000"/>
          <w:spacing w:val="0"/>
          <w:sz w:val="24"/>
          <w:szCs w:val="24"/>
          <w:highlight w:val="none"/>
        </w:rPr>
        <w:t>电子邮箱：</w:t>
      </w:r>
      <w:r>
        <w:rPr>
          <w:rFonts w:hint="eastAsia" w:ascii="宋体" w:hAnsi="宋体" w:eastAsia="宋体" w:cs="宋体"/>
          <w:i w:val="0"/>
          <w:caps w:val="0"/>
          <w:color w:val="0000FF"/>
          <w:spacing w:val="0"/>
          <w:sz w:val="24"/>
          <w:szCs w:val="24"/>
          <w:highlight w:val="none"/>
          <w:lang w:val="en-US" w:eastAsia="zh-CN"/>
        </w:rPr>
        <w:t>137391528</w:t>
      </w:r>
      <w:r>
        <w:rPr>
          <w:rFonts w:hint="eastAsia" w:ascii="宋体" w:hAnsi="宋体" w:eastAsia="宋体" w:cs="宋体"/>
          <w:i w:val="0"/>
          <w:caps w:val="0"/>
          <w:color w:val="0000FF"/>
          <w:spacing w:val="0"/>
          <w:sz w:val="24"/>
          <w:szCs w:val="24"/>
          <w:highlight w:val="none"/>
        </w:rPr>
        <w:t>@qq.com</w:t>
      </w:r>
      <w:r>
        <w:rPr>
          <w:rFonts w:hint="eastAsia" w:ascii="宋体" w:hAnsi="宋体" w:eastAsia="宋体" w:cs="宋体"/>
          <w:i w:val="0"/>
          <w:caps w:val="0"/>
          <w:color w:val="000000"/>
          <w:spacing w:val="0"/>
          <w:sz w:val="24"/>
          <w:szCs w:val="24"/>
          <w:highlight w:val="none"/>
        </w:rPr>
        <w:t>）（注：电子邮件收到时间和报名时间均应在招标文件发售、报名截止</w:t>
      </w:r>
      <w:r>
        <w:rPr>
          <w:rFonts w:hint="eastAsia" w:ascii="宋体" w:hAnsi="宋体" w:eastAsia="宋体" w:cs="宋体"/>
          <w:b w:val="0"/>
          <w:bCs w:val="0"/>
          <w:i w:val="0"/>
          <w:caps w:val="0"/>
          <w:color w:val="auto"/>
          <w:spacing w:val="0"/>
          <w:sz w:val="24"/>
          <w:szCs w:val="20"/>
          <w:highlight w:val="none"/>
        </w:rPr>
        <w:t>时间前）。</w:t>
      </w:r>
    </w:p>
    <w:p w14:paraId="0FE79E72">
      <w:pPr>
        <w:numPr>
          <w:ilvl w:val="0"/>
          <w:numId w:val="0"/>
        </w:numPr>
        <w:snapToGrid w:val="0"/>
        <w:spacing w:beforeAutospacing="0" w:line="44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、公告期限</w:t>
      </w:r>
    </w:p>
    <w:p w14:paraId="5FB77F7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16DCF2F">
      <w:pPr>
        <w:pStyle w:val="2"/>
        <w:numPr>
          <w:ilvl w:val="0"/>
          <w:numId w:val="0"/>
        </w:numPr>
        <w:rPr>
          <w:rFonts w:hint="eastAsia"/>
          <w:b/>
          <w:bCs/>
          <w:highlight w:val="none"/>
          <w:lang w:val="en-US" w:eastAsia="zh-CN"/>
        </w:rPr>
      </w:pPr>
      <w:r>
        <w:rPr>
          <w:rFonts w:hint="eastAsia"/>
          <w:b/>
          <w:bCs/>
          <w:highlight w:val="none"/>
          <w:lang w:val="en-US" w:eastAsia="zh-CN"/>
        </w:rPr>
        <w:t>五、投标确认</w:t>
      </w:r>
    </w:p>
    <w:p w14:paraId="29CFA34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cs="宋体"/>
          <w:sz w:val="24"/>
          <w:szCs w:val="22"/>
          <w:highlight w:val="none"/>
          <w:lang w:val="en-US" w:eastAsia="zh-CN"/>
        </w:rPr>
        <w:t>（1）</w:t>
      </w:r>
      <w:r>
        <w:rPr>
          <w:rFonts w:hint="eastAsia" w:ascii="宋体" w:hAnsi="宋体" w:eastAsia="宋体" w:cs="宋体"/>
          <w:sz w:val="24"/>
          <w:szCs w:val="22"/>
          <w:highlight w:val="none"/>
          <w:lang w:val="en-US" w:eastAsia="zh-CN"/>
        </w:rPr>
        <w:t>投标人网上依法获取招标文件后还须按投标确认函的要求进行投标确认后方可参加投标。投标确认时间：</w:t>
      </w:r>
    </w:p>
    <w:p w14:paraId="230D25F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投标确认时间：2</w:t>
      </w:r>
      <w:r>
        <w:rPr>
          <w:rFonts w:hint="eastAsia" w:ascii="宋体" w:hAnsi="宋体" w:eastAsia="宋体" w:cs="宋体"/>
          <w:b/>
          <w:bCs/>
          <w:color w:val="auto"/>
          <w:sz w:val="24"/>
          <w:szCs w:val="22"/>
          <w:highlight w:val="none"/>
          <w:u w:val="single"/>
          <w:lang w:val="en-US" w:eastAsia="zh-CN"/>
        </w:rPr>
        <w:t>025年</w:t>
      </w:r>
      <w:r>
        <w:rPr>
          <w:rFonts w:hint="eastAsia" w:ascii="宋体" w:hAnsi="宋体" w:cs="宋体"/>
          <w:b/>
          <w:bCs/>
          <w:color w:val="auto"/>
          <w:sz w:val="24"/>
          <w:szCs w:val="22"/>
          <w:highlight w:val="none"/>
          <w:u w:val="single"/>
          <w:lang w:val="en-US" w:eastAsia="zh-CN"/>
        </w:rPr>
        <w:t>9</w:t>
      </w:r>
      <w:r>
        <w:rPr>
          <w:rFonts w:hint="eastAsia" w:ascii="宋体" w:hAnsi="宋体" w:eastAsia="宋体" w:cs="宋体"/>
          <w:b/>
          <w:bCs/>
          <w:color w:val="auto"/>
          <w:sz w:val="24"/>
          <w:szCs w:val="22"/>
          <w:highlight w:val="none"/>
          <w:u w:val="single"/>
          <w:lang w:val="en-US" w:eastAsia="zh-CN"/>
        </w:rPr>
        <w:t>月</w:t>
      </w:r>
      <w:r>
        <w:rPr>
          <w:rFonts w:hint="eastAsia" w:ascii="宋体" w:hAnsi="宋体" w:cs="宋体"/>
          <w:b/>
          <w:bCs/>
          <w:color w:val="auto"/>
          <w:sz w:val="24"/>
          <w:szCs w:val="22"/>
          <w:highlight w:val="none"/>
          <w:u w:val="single"/>
          <w:lang w:val="en-US" w:eastAsia="zh-CN"/>
        </w:rPr>
        <w:t>17</w:t>
      </w:r>
      <w:r>
        <w:rPr>
          <w:rFonts w:hint="eastAsia" w:ascii="宋体" w:hAnsi="宋体" w:eastAsia="宋体" w:cs="宋体"/>
          <w:b/>
          <w:bCs/>
          <w:color w:val="auto"/>
          <w:sz w:val="24"/>
          <w:szCs w:val="22"/>
          <w:highlight w:val="none"/>
          <w:u w:val="single"/>
          <w:lang w:val="en-US" w:eastAsia="zh-CN"/>
        </w:rPr>
        <w:t>日16:00时</w:t>
      </w:r>
      <w:r>
        <w:rPr>
          <w:rFonts w:hint="eastAsia" w:ascii="宋体" w:hAnsi="宋体" w:eastAsia="宋体" w:cs="宋体"/>
          <w:b/>
          <w:bCs/>
          <w:color w:val="auto"/>
          <w:sz w:val="24"/>
          <w:szCs w:val="22"/>
          <w:highlight w:val="none"/>
          <w:lang w:val="en-US" w:eastAsia="zh-CN"/>
        </w:rPr>
        <w:t>前。</w:t>
      </w:r>
    </w:p>
    <w:p w14:paraId="7DE9253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highlight w:val="none"/>
        </w:rPr>
        <w:t>投标人未在采购代理机构办理报名手续的投标文件将予以拒收。</w:t>
      </w:r>
    </w:p>
    <w:p w14:paraId="12BBC02E">
      <w:pPr>
        <w:kinsoku/>
        <w:wordWrap/>
        <w:topLinePunct w:val="0"/>
        <w:bidi w:val="0"/>
        <w:adjustRightInd w:val="0"/>
        <w:snapToGrid w:val="0"/>
        <w:spacing w:line="360" w:lineRule="auto"/>
        <w:ind w:firstLine="480" w:firstLineChars="200"/>
        <w:rPr>
          <w:rFonts w:hint="default"/>
          <w:highlight w:val="none"/>
          <w:lang w:val="en-US" w:eastAsia="zh-CN"/>
        </w:rPr>
      </w:pPr>
      <w:r>
        <w:rPr>
          <w:rFonts w:hint="eastAsia" w:ascii="宋体" w:hAnsi="宋体" w:eastAsia="宋体" w:cs="宋体"/>
          <w:sz w:val="24"/>
          <w:szCs w:val="22"/>
          <w:highlight w:val="none"/>
          <w:lang w:val="en-US" w:eastAsia="zh-CN"/>
        </w:rPr>
        <w:t>投标确认函样张附后。</w:t>
      </w:r>
    </w:p>
    <w:p w14:paraId="4D228D27">
      <w:pPr>
        <w:snapToGrid w:val="0"/>
        <w:spacing w:line="360" w:lineRule="auto"/>
        <w:rPr>
          <w:rFonts w:ascii="宋体" w:hAnsi="宋体" w:cs="宋体"/>
          <w:b/>
          <w:bCs/>
          <w:color w:val="auto"/>
          <w:sz w:val="24"/>
          <w:highlight w:val="none"/>
        </w:rPr>
      </w:pPr>
      <w:r>
        <w:rPr>
          <w:rFonts w:hint="eastAsia" w:ascii="宋体" w:hAnsi="宋体" w:eastAsia="宋体" w:cs="宋体"/>
          <w:sz w:val="24"/>
          <w:szCs w:val="22"/>
          <w:highlight w:val="none"/>
          <w:lang w:val="en-US" w:eastAsia="zh-CN"/>
        </w:rPr>
        <w:t>▲</w:t>
      </w:r>
      <w:r>
        <w:rPr>
          <w:rFonts w:hint="eastAsia" w:ascii="宋体" w:hAnsi="宋体" w:cs="宋体"/>
          <w:b/>
          <w:bCs/>
          <w:color w:val="auto"/>
          <w:sz w:val="24"/>
          <w:highlight w:val="none"/>
          <w:lang w:val="en-US" w:eastAsia="zh-CN"/>
        </w:rPr>
        <w:t>六、</w:t>
      </w:r>
      <w:r>
        <w:rPr>
          <w:rFonts w:hint="eastAsia" w:ascii="宋体" w:hAnsi="宋体" w:eastAsia="宋体" w:cs="宋体"/>
          <w:b/>
          <w:bCs/>
          <w:sz w:val="24"/>
          <w:szCs w:val="22"/>
          <w:highlight w:val="none"/>
          <w:lang w:val="en-US" w:eastAsia="zh-CN"/>
        </w:rPr>
        <w:t>投标截止时间和投标文件递交方式</w:t>
      </w:r>
    </w:p>
    <w:p w14:paraId="2C9B703D">
      <w:pPr>
        <w:kinsoku/>
        <w:wordWrap/>
        <w:topLinePunct w:val="0"/>
        <w:bidi w:val="0"/>
        <w:adjustRightInd w:val="0"/>
        <w:snapToGrid w:val="0"/>
        <w:spacing w:line="360" w:lineRule="auto"/>
        <w:ind w:firstLine="482" w:firstLineChars="200"/>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2"/>
          <w:highlight w:val="none"/>
          <w:lang w:val="en-US" w:eastAsia="zh-CN"/>
        </w:rPr>
        <w:t>本项目投标截止时间为：2025年</w:t>
      </w:r>
      <w:r>
        <w:rPr>
          <w:rFonts w:hint="eastAsia" w:ascii="宋体" w:hAnsi="宋体" w:cs="宋体"/>
          <w:b/>
          <w:bCs/>
          <w:sz w:val="24"/>
          <w:szCs w:val="22"/>
          <w:highlight w:val="none"/>
          <w:lang w:val="en-US" w:eastAsia="zh-CN"/>
        </w:rPr>
        <w:t>9</w:t>
      </w:r>
      <w:r>
        <w:rPr>
          <w:rFonts w:hint="eastAsia" w:ascii="宋体" w:hAnsi="宋体" w:eastAsia="宋体" w:cs="宋体"/>
          <w:b/>
          <w:bCs/>
          <w:sz w:val="24"/>
          <w:szCs w:val="22"/>
          <w:highlight w:val="none"/>
          <w:lang w:val="en-US" w:eastAsia="zh-CN"/>
        </w:rPr>
        <w:t>月</w:t>
      </w:r>
      <w:r>
        <w:rPr>
          <w:rFonts w:hint="eastAsia" w:ascii="宋体" w:hAnsi="宋体" w:cs="宋体"/>
          <w:b/>
          <w:bCs/>
          <w:sz w:val="24"/>
          <w:szCs w:val="22"/>
          <w:highlight w:val="none"/>
          <w:lang w:val="en-US" w:eastAsia="zh-CN"/>
        </w:rPr>
        <w:t>18</w:t>
      </w:r>
      <w:r>
        <w:rPr>
          <w:rFonts w:hint="eastAsia" w:ascii="宋体" w:hAnsi="宋体" w:eastAsia="宋体" w:cs="宋体"/>
          <w:b/>
          <w:bCs/>
          <w:sz w:val="24"/>
          <w:szCs w:val="22"/>
          <w:highlight w:val="none"/>
          <w:lang w:val="en-US" w:eastAsia="zh-CN"/>
        </w:rPr>
        <w:t>日</w:t>
      </w:r>
      <w:r>
        <w:rPr>
          <w:rFonts w:hint="eastAsia" w:ascii="宋体" w:hAnsi="宋体" w:cs="宋体"/>
          <w:b/>
          <w:bCs/>
          <w:sz w:val="24"/>
          <w:szCs w:val="22"/>
          <w:highlight w:val="none"/>
          <w:lang w:val="en-US" w:eastAsia="zh-CN"/>
        </w:rPr>
        <w:t>9</w:t>
      </w:r>
      <w:r>
        <w:rPr>
          <w:rFonts w:hint="eastAsia" w:ascii="宋体" w:hAnsi="宋体" w:eastAsia="宋体" w:cs="宋体"/>
          <w:b/>
          <w:bCs/>
          <w:sz w:val="24"/>
          <w:szCs w:val="22"/>
          <w:highlight w:val="none"/>
          <w:lang w:val="en-US" w:eastAsia="zh-CN"/>
        </w:rPr>
        <w:t>时</w:t>
      </w:r>
      <w:r>
        <w:rPr>
          <w:rFonts w:hint="eastAsia" w:ascii="宋体" w:hAnsi="宋体" w:cs="宋体"/>
          <w:b/>
          <w:bCs/>
          <w:sz w:val="24"/>
          <w:szCs w:val="22"/>
          <w:highlight w:val="none"/>
          <w:lang w:val="en-US" w:eastAsia="zh-CN"/>
        </w:rPr>
        <w:t>30</w:t>
      </w:r>
      <w:r>
        <w:rPr>
          <w:rFonts w:hint="eastAsia" w:ascii="宋体" w:hAnsi="宋体" w:eastAsia="宋体" w:cs="宋体"/>
          <w:b/>
          <w:bCs/>
          <w:sz w:val="24"/>
          <w:szCs w:val="22"/>
          <w:highlight w:val="none"/>
          <w:lang w:val="en-US" w:eastAsia="zh-CN"/>
        </w:rPr>
        <w:t>分；</w:t>
      </w:r>
    </w:p>
    <w:p w14:paraId="38759163">
      <w:pPr>
        <w:keepNext w:val="0"/>
        <w:keepLines w:val="0"/>
        <w:pageBreakBefore w:val="0"/>
        <w:widowControl w:val="0"/>
        <w:numPr>
          <w:ilvl w:val="0"/>
          <w:numId w:val="1"/>
        </w:numPr>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宋体"/>
          <w:sz w:val="24"/>
          <w:szCs w:val="22"/>
          <w:highlight w:val="none"/>
        </w:rPr>
      </w:pPr>
      <w:r>
        <w:rPr>
          <w:rFonts w:hint="eastAsia" w:ascii="宋体" w:hAnsi="宋体" w:eastAsia="宋体" w:cs="宋体"/>
          <w:sz w:val="24"/>
          <w:szCs w:val="22"/>
          <w:highlight w:val="none"/>
          <w:lang w:val="en-US" w:eastAsia="zh-CN"/>
        </w:rPr>
        <w:t xml:space="preserve">投标人应在2025年 </w:t>
      </w:r>
      <w:r>
        <w:rPr>
          <w:rFonts w:hint="eastAsia" w:ascii="宋体" w:hAnsi="宋体" w:cs="宋体"/>
          <w:sz w:val="24"/>
          <w:szCs w:val="22"/>
          <w:highlight w:val="none"/>
          <w:lang w:val="en-US" w:eastAsia="zh-CN"/>
        </w:rPr>
        <w:t>9</w:t>
      </w:r>
      <w:r>
        <w:rPr>
          <w:rFonts w:hint="eastAsia" w:ascii="宋体" w:hAnsi="宋体" w:eastAsia="宋体" w:cs="宋体"/>
          <w:sz w:val="24"/>
          <w:szCs w:val="22"/>
          <w:highlight w:val="none"/>
          <w:lang w:val="en-US" w:eastAsia="zh-CN"/>
        </w:rPr>
        <w:t>月</w:t>
      </w:r>
      <w:r>
        <w:rPr>
          <w:rFonts w:hint="eastAsia" w:ascii="宋体" w:hAnsi="宋体" w:cs="宋体"/>
          <w:sz w:val="24"/>
          <w:szCs w:val="22"/>
          <w:highlight w:val="none"/>
          <w:lang w:val="en-US" w:eastAsia="zh-CN"/>
        </w:rPr>
        <w:t>18</w:t>
      </w:r>
      <w:r>
        <w:rPr>
          <w:rFonts w:hint="eastAsia" w:ascii="宋体" w:hAnsi="宋体" w:eastAsia="宋体" w:cs="宋体"/>
          <w:sz w:val="24"/>
          <w:szCs w:val="22"/>
          <w:highlight w:val="none"/>
          <w:lang w:val="en-US" w:eastAsia="zh-CN"/>
        </w:rPr>
        <w:t>日</w:t>
      </w:r>
      <w:r>
        <w:rPr>
          <w:rFonts w:hint="eastAsia" w:ascii="宋体" w:hAnsi="宋体" w:cs="宋体"/>
          <w:sz w:val="24"/>
          <w:szCs w:val="22"/>
          <w:highlight w:val="none"/>
          <w:lang w:val="en-US" w:eastAsia="zh-CN"/>
        </w:rPr>
        <w:t>9</w:t>
      </w:r>
      <w:r>
        <w:rPr>
          <w:rFonts w:hint="eastAsia" w:ascii="宋体" w:hAnsi="宋体" w:eastAsia="宋体" w:cs="宋体"/>
          <w:sz w:val="24"/>
          <w:szCs w:val="22"/>
          <w:highlight w:val="none"/>
          <w:lang w:val="en-US" w:eastAsia="zh-CN"/>
        </w:rPr>
        <w:t>点</w:t>
      </w:r>
      <w:r>
        <w:rPr>
          <w:rFonts w:hint="eastAsia" w:ascii="宋体" w:hAnsi="宋体" w:cs="宋体"/>
          <w:sz w:val="24"/>
          <w:szCs w:val="22"/>
          <w:highlight w:val="none"/>
          <w:lang w:val="en-US" w:eastAsia="zh-CN"/>
        </w:rPr>
        <w:t>30</w:t>
      </w:r>
      <w:r>
        <w:rPr>
          <w:rFonts w:hint="eastAsia" w:ascii="宋体" w:hAnsi="宋体" w:eastAsia="宋体" w:cs="宋体"/>
          <w:sz w:val="24"/>
          <w:szCs w:val="22"/>
          <w:highlight w:val="none"/>
          <w:lang w:val="en-US" w:eastAsia="zh-CN"/>
        </w:rPr>
        <w:t>分（北京时间）前，将投标文件密封提交至</w:t>
      </w:r>
      <w:r>
        <w:rPr>
          <w:rFonts w:hint="eastAsia" w:ascii="宋体" w:hAnsi="宋体" w:cs="宋体"/>
          <w:sz w:val="24"/>
          <w:szCs w:val="22"/>
          <w:highlight w:val="none"/>
          <w:lang w:eastAsia="zh-CN"/>
        </w:rPr>
        <w:t>杭州建设工程造价咨询有限公司</w:t>
      </w:r>
      <w:r>
        <w:rPr>
          <w:rFonts w:hint="eastAsia" w:ascii="宋体" w:hAnsi="宋体" w:eastAsia="宋体" w:cs="宋体"/>
          <w:sz w:val="24"/>
          <w:szCs w:val="22"/>
          <w:highlight w:val="none"/>
          <w:lang w:val="en-US" w:eastAsia="zh-CN"/>
        </w:rPr>
        <w:t>开标室。</w:t>
      </w:r>
      <w:r>
        <w:rPr>
          <w:rFonts w:hint="eastAsia" w:ascii="宋体" w:hAnsi="宋体" w:eastAsia="宋体" w:cs="宋体"/>
          <w:sz w:val="24"/>
          <w:szCs w:val="22"/>
          <w:highlight w:val="none"/>
          <w:lang w:val="en-US" w:eastAsia="zh-CN"/>
        </w:rPr>
        <w:br w:type="textWrapping"/>
      </w:r>
      <w:r>
        <w:rPr>
          <w:rFonts w:hint="eastAsia" w:ascii="宋体" w:hAnsi="宋体" w:eastAsia="宋体" w:cs="宋体"/>
          <w:sz w:val="24"/>
          <w:szCs w:val="22"/>
          <w:highlight w:val="none"/>
          <w:lang w:val="en-US" w:eastAsia="zh-CN"/>
        </w:rPr>
        <w:t xml:space="preserve">    </w:t>
      </w:r>
      <w:r>
        <w:rPr>
          <w:rFonts w:hint="eastAsia" w:ascii="宋体" w:hAnsi="宋体" w:eastAsia="宋体" w:cs="宋体"/>
          <w:kern w:val="2"/>
          <w:sz w:val="24"/>
          <w:szCs w:val="22"/>
          <w:highlight w:val="none"/>
          <w:lang w:val="en-US" w:eastAsia="zh-CN" w:bidi="ar-SA"/>
        </w:rPr>
        <w:t>2、</w:t>
      </w:r>
      <w:r>
        <w:rPr>
          <w:rFonts w:hint="eastAsia" w:ascii="宋体" w:hAnsi="宋体" w:eastAsia="宋体" w:cs="宋体"/>
          <w:b/>
          <w:bCs/>
          <w:sz w:val="24"/>
          <w:szCs w:val="22"/>
          <w:highlight w:val="none"/>
          <w:lang w:val="en-US" w:eastAsia="zh-CN"/>
        </w:rPr>
        <w:t>投标文件可以采用快递方式递交</w:t>
      </w:r>
      <w:r>
        <w:rPr>
          <w:rFonts w:hint="eastAsia" w:ascii="宋体" w:hAnsi="宋体" w:eastAsia="宋体" w:cs="宋体"/>
          <w:sz w:val="24"/>
          <w:szCs w:val="22"/>
          <w:highlight w:val="none"/>
          <w:lang w:val="en-US" w:eastAsia="zh-CN"/>
        </w:rPr>
        <w:t>，快递邮件应于2025年</w:t>
      </w:r>
      <w:r>
        <w:rPr>
          <w:rFonts w:hint="eastAsia" w:ascii="宋体" w:hAnsi="宋体" w:cs="宋体"/>
          <w:sz w:val="24"/>
          <w:szCs w:val="22"/>
          <w:highlight w:val="none"/>
          <w:lang w:val="en-US" w:eastAsia="zh-CN"/>
        </w:rPr>
        <w:t>9</w:t>
      </w:r>
      <w:r>
        <w:rPr>
          <w:rFonts w:hint="eastAsia" w:ascii="宋体" w:hAnsi="宋体" w:eastAsia="宋体" w:cs="宋体"/>
          <w:sz w:val="24"/>
          <w:szCs w:val="22"/>
          <w:highlight w:val="none"/>
          <w:lang w:val="en-US" w:eastAsia="zh-CN"/>
        </w:rPr>
        <w:t>月</w:t>
      </w:r>
      <w:r>
        <w:rPr>
          <w:rFonts w:hint="eastAsia" w:ascii="宋体" w:hAnsi="宋体" w:cs="宋体"/>
          <w:sz w:val="24"/>
          <w:szCs w:val="22"/>
          <w:highlight w:val="none"/>
          <w:lang w:val="en-US" w:eastAsia="zh-CN"/>
        </w:rPr>
        <w:t>18</w:t>
      </w:r>
      <w:r>
        <w:rPr>
          <w:rFonts w:hint="eastAsia" w:ascii="宋体" w:hAnsi="宋体" w:eastAsia="宋体" w:cs="宋体"/>
          <w:sz w:val="24"/>
          <w:szCs w:val="22"/>
          <w:highlight w:val="none"/>
          <w:lang w:val="en-US" w:eastAsia="zh-CN"/>
        </w:rPr>
        <w:t>日</w:t>
      </w:r>
      <w:r>
        <w:rPr>
          <w:rFonts w:hint="eastAsia" w:ascii="宋体" w:hAnsi="宋体" w:cs="宋体"/>
          <w:sz w:val="24"/>
          <w:szCs w:val="22"/>
          <w:highlight w:val="none"/>
          <w:lang w:val="en-US" w:eastAsia="zh-CN"/>
        </w:rPr>
        <w:t>9</w:t>
      </w:r>
      <w:r>
        <w:rPr>
          <w:rFonts w:hint="eastAsia" w:ascii="宋体" w:hAnsi="宋体" w:eastAsia="宋体" w:cs="宋体"/>
          <w:sz w:val="24"/>
          <w:szCs w:val="22"/>
          <w:highlight w:val="none"/>
          <w:lang w:val="en-US" w:eastAsia="zh-CN"/>
        </w:rPr>
        <w:t>时</w:t>
      </w:r>
      <w:r>
        <w:rPr>
          <w:rFonts w:hint="eastAsia" w:ascii="宋体" w:hAnsi="宋体" w:cs="宋体"/>
          <w:sz w:val="24"/>
          <w:szCs w:val="22"/>
          <w:highlight w:val="none"/>
          <w:lang w:val="en-US" w:eastAsia="zh-CN"/>
        </w:rPr>
        <w:t>30</w:t>
      </w:r>
      <w:r>
        <w:rPr>
          <w:rFonts w:hint="eastAsia" w:ascii="宋体" w:hAnsi="宋体" w:eastAsia="宋体" w:cs="宋体"/>
          <w:sz w:val="24"/>
          <w:szCs w:val="22"/>
          <w:highlight w:val="none"/>
          <w:lang w:val="en-US" w:eastAsia="zh-CN"/>
        </w:rPr>
        <w:t>分前送达</w:t>
      </w:r>
      <w:r>
        <w:rPr>
          <w:rFonts w:hint="eastAsia" w:ascii="宋体" w:hAnsi="宋体" w:cs="宋体"/>
          <w:sz w:val="24"/>
          <w:szCs w:val="22"/>
          <w:highlight w:val="none"/>
          <w:lang w:eastAsia="zh-CN"/>
        </w:rPr>
        <w:t>杭州建设工程造价咨询有限公司</w:t>
      </w:r>
      <w:r>
        <w:rPr>
          <w:rFonts w:hint="eastAsia" w:ascii="宋体" w:hAnsi="宋体" w:cs="宋体"/>
          <w:sz w:val="24"/>
          <w:szCs w:val="22"/>
          <w:highlight w:val="none"/>
          <w:lang w:val="en-US" w:eastAsia="zh-CN"/>
        </w:rPr>
        <w:t>东阳分公司</w:t>
      </w:r>
      <w:r>
        <w:rPr>
          <w:rFonts w:hint="eastAsia" w:ascii="宋体" w:hAnsi="宋体" w:eastAsia="宋体" w:cs="宋体"/>
          <w:sz w:val="24"/>
          <w:szCs w:val="22"/>
          <w:highlight w:val="none"/>
          <w:lang w:val="en-US" w:eastAsia="zh-CN"/>
        </w:rPr>
        <w:t>。规定时间内收到的投标文件视为在投标截止时间前送达，</w:t>
      </w:r>
      <w:r>
        <w:rPr>
          <w:rFonts w:hint="eastAsia" w:ascii="宋体" w:hAnsi="宋体" w:cs="宋体"/>
          <w:sz w:val="24"/>
          <w:szCs w:val="22"/>
          <w:highlight w:val="none"/>
          <w:lang w:eastAsia="zh-CN"/>
        </w:rPr>
        <w:t>杭州建设工程造价咨询有限公司</w:t>
      </w:r>
      <w:r>
        <w:rPr>
          <w:rFonts w:hint="eastAsia" w:ascii="宋体" w:hAnsi="宋体" w:cs="宋体"/>
          <w:sz w:val="24"/>
          <w:szCs w:val="22"/>
          <w:highlight w:val="none"/>
        </w:rPr>
        <w:t>将快递收到的投标文件原封（包括快递包装）不动的送往评标室；我公司将采用钉钉现场直播方式在采购人代表监督下当众拆封，并做好拆封现场视频监控，发现问题时及时与投标人联系。相关的备查原件不必邮寄，如有需要，将采用钉钉现场直播的方式随机抽查，为确保原件的真实性，采购人可以随时要求重新审查原件，如有造假，取消入围资格，并有被列入黑名单的风险。</w:t>
      </w:r>
      <w:r>
        <w:rPr>
          <w:rFonts w:hint="eastAsia" w:ascii="宋体" w:hAnsi="宋体" w:cs="宋体"/>
          <w:sz w:val="24"/>
          <w:szCs w:val="22"/>
          <w:highlight w:val="none"/>
          <w:lang w:val="en-US" w:eastAsia="zh-CN"/>
        </w:rPr>
        <w:t xml:space="preserve">    </w:t>
      </w:r>
      <w:r>
        <w:rPr>
          <w:rFonts w:hint="eastAsia" w:ascii="宋体" w:hAnsi="宋体" w:cs="宋体"/>
          <w:b/>
          <w:bCs/>
          <w:sz w:val="24"/>
          <w:szCs w:val="22"/>
          <w:highlight w:val="none"/>
        </w:rPr>
        <w:t>快递邮寄地址</w:t>
      </w:r>
      <w:r>
        <w:rPr>
          <w:rFonts w:hint="eastAsia" w:ascii="宋体" w:hAnsi="宋体" w:cs="宋体"/>
          <w:sz w:val="24"/>
          <w:szCs w:val="22"/>
          <w:highlight w:val="none"/>
        </w:rPr>
        <w:t>：</w:t>
      </w:r>
      <w:r>
        <w:rPr>
          <w:rFonts w:hint="eastAsia" w:ascii="宋体" w:hAnsi="宋体" w:cs="宋体"/>
          <w:sz w:val="24"/>
          <w:szCs w:val="22"/>
          <w:highlight w:val="none"/>
          <w:lang w:eastAsia="zh-CN"/>
        </w:rPr>
        <w:t>浙江省东阳市中山路323号10楼1007</w:t>
      </w:r>
      <w:r>
        <w:rPr>
          <w:rFonts w:hint="eastAsia" w:ascii="宋体" w:hAnsi="宋体" w:cs="宋体"/>
          <w:sz w:val="24"/>
          <w:szCs w:val="22"/>
          <w:highlight w:val="none"/>
        </w:rPr>
        <w:t>，联系人：</w:t>
      </w:r>
      <w:r>
        <w:rPr>
          <w:rFonts w:hint="eastAsia" w:ascii="宋体" w:hAnsi="宋体" w:cs="宋体"/>
          <w:color w:val="auto"/>
          <w:sz w:val="24"/>
          <w:highlight w:val="none"/>
          <w:lang w:val="en-US" w:eastAsia="zh-CN"/>
        </w:rPr>
        <w:t>洪碧函</w:t>
      </w:r>
      <w:r>
        <w:rPr>
          <w:rFonts w:hint="eastAsia" w:ascii="宋体" w:hAnsi="宋体" w:cs="宋体"/>
          <w:sz w:val="24"/>
          <w:szCs w:val="22"/>
          <w:highlight w:val="none"/>
        </w:rPr>
        <w:t>，联系电话：</w:t>
      </w:r>
      <w:r>
        <w:rPr>
          <w:rFonts w:hint="eastAsia" w:ascii="宋体" w:hAnsi="宋体" w:cs="宋体"/>
          <w:color w:val="auto"/>
          <w:sz w:val="24"/>
          <w:highlight w:val="none"/>
          <w:lang w:val="en-US" w:eastAsia="zh-CN"/>
        </w:rPr>
        <w:t>18069959168</w:t>
      </w:r>
      <w:r>
        <w:rPr>
          <w:rFonts w:hint="eastAsia" w:ascii="宋体" w:hAnsi="宋体" w:cs="宋体"/>
          <w:sz w:val="24"/>
          <w:szCs w:val="22"/>
          <w:highlight w:val="none"/>
        </w:rPr>
        <w:t>。请确保我公司投标文件接收人在投标文件递交截止时间前收到投标文件，非工作日不接收。</w:t>
      </w:r>
    </w:p>
    <w:p w14:paraId="2395E798">
      <w:pPr>
        <w:pStyle w:val="2"/>
        <w:numPr>
          <w:ilvl w:val="0"/>
          <w:numId w:val="0"/>
        </w:numPr>
        <w:spacing w:beforeLines="0" w:beforeAutospacing="0" w:afterLines="0" w:afterAutospacing="0" w:line="360" w:lineRule="auto"/>
        <w:rPr>
          <w:rFonts w:hint="eastAsia"/>
          <w:b/>
          <w:bCs/>
          <w:highlight w:val="none"/>
          <w:lang w:val="en-US" w:eastAsia="zh-CN"/>
        </w:rPr>
      </w:pPr>
      <w:r>
        <w:rPr>
          <w:rFonts w:hint="eastAsia"/>
          <w:b/>
          <w:bCs/>
          <w:highlight w:val="none"/>
          <w:lang w:val="en-US" w:eastAsia="zh-CN"/>
        </w:rPr>
        <w:t>七、开标时间及地点</w:t>
      </w:r>
    </w:p>
    <w:p w14:paraId="4FBDF3E6">
      <w:pPr>
        <w:pStyle w:val="2"/>
        <w:numPr>
          <w:ilvl w:val="0"/>
          <w:numId w:val="0"/>
        </w:numPr>
        <w:spacing w:beforeLines="0" w:beforeAutospacing="0" w:afterLines="0" w:afterAutospacing="0" w:line="360" w:lineRule="auto"/>
        <w:ind w:firstLine="480" w:firstLineChars="200"/>
        <w:rPr>
          <w:rFonts w:hint="default"/>
          <w:highlight w:val="none"/>
          <w:lang w:val="en-US" w:eastAsia="zh-CN"/>
        </w:rPr>
      </w:pPr>
      <w:r>
        <w:rPr>
          <w:rFonts w:hint="eastAsia" w:ascii="宋体" w:hAnsi="宋体" w:cs="宋体"/>
          <w:sz w:val="24"/>
          <w:szCs w:val="22"/>
          <w:highlight w:val="none"/>
          <w:lang w:val="en-US" w:eastAsia="zh-CN"/>
        </w:rPr>
        <w:t>1、</w:t>
      </w:r>
      <w:r>
        <w:rPr>
          <w:rFonts w:hint="eastAsia" w:ascii="宋体" w:hAnsi="宋体" w:cs="宋体"/>
          <w:sz w:val="24"/>
          <w:szCs w:val="22"/>
          <w:highlight w:val="none"/>
        </w:rPr>
        <w:t>本项目投标</w:t>
      </w:r>
      <w:r>
        <w:rPr>
          <w:rFonts w:hint="eastAsia" w:ascii="宋体" w:hAnsi="宋体" w:cs="宋体"/>
          <w:sz w:val="24"/>
          <w:szCs w:val="22"/>
          <w:highlight w:val="none"/>
          <w:lang w:val="en-US" w:eastAsia="zh-CN"/>
        </w:rPr>
        <w:t>文件</w:t>
      </w:r>
      <w:r>
        <w:rPr>
          <w:rFonts w:hint="eastAsia" w:ascii="宋体" w:hAnsi="宋体" w:cs="宋体"/>
          <w:sz w:val="24"/>
          <w:szCs w:val="22"/>
          <w:highlight w:val="none"/>
        </w:rPr>
        <w:t>截止时间和开启时间：</w:t>
      </w:r>
      <w:r>
        <w:rPr>
          <w:rFonts w:hint="eastAsia" w:ascii="宋体" w:hAnsi="宋体" w:cs="宋体"/>
          <w:sz w:val="24"/>
          <w:szCs w:val="22"/>
          <w:highlight w:val="none"/>
          <w:lang w:eastAsia="zh-CN"/>
        </w:rPr>
        <w:t>2025年</w:t>
      </w:r>
      <w:r>
        <w:rPr>
          <w:rFonts w:hint="eastAsia" w:hAnsi="宋体" w:cs="宋体"/>
          <w:sz w:val="24"/>
          <w:szCs w:val="22"/>
          <w:highlight w:val="none"/>
          <w:lang w:val="en-US" w:eastAsia="zh-CN"/>
        </w:rPr>
        <w:t>9</w:t>
      </w:r>
      <w:r>
        <w:rPr>
          <w:rFonts w:hint="eastAsia" w:ascii="宋体" w:hAnsi="宋体" w:cs="宋体"/>
          <w:sz w:val="24"/>
          <w:szCs w:val="22"/>
          <w:highlight w:val="none"/>
          <w:lang w:eastAsia="zh-CN"/>
        </w:rPr>
        <w:t>月</w:t>
      </w:r>
      <w:r>
        <w:rPr>
          <w:rFonts w:hint="eastAsia" w:hAnsi="宋体" w:cs="宋体"/>
          <w:sz w:val="24"/>
          <w:szCs w:val="22"/>
          <w:highlight w:val="none"/>
          <w:lang w:val="en-US" w:eastAsia="zh-CN"/>
        </w:rPr>
        <w:t>18</w:t>
      </w:r>
      <w:r>
        <w:rPr>
          <w:rFonts w:hint="eastAsia" w:ascii="宋体" w:hAnsi="宋体" w:cs="宋体"/>
          <w:sz w:val="24"/>
          <w:szCs w:val="22"/>
          <w:highlight w:val="none"/>
          <w:lang w:eastAsia="zh-CN"/>
        </w:rPr>
        <w:t>日</w:t>
      </w:r>
      <w:r>
        <w:rPr>
          <w:rFonts w:hint="eastAsia" w:ascii="宋体" w:hAnsi="宋体" w:cs="宋体"/>
          <w:sz w:val="24"/>
          <w:szCs w:val="22"/>
          <w:highlight w:val="none"/>
          <w:lang w:val="en-US" w:eastAsia="zh-CN"/>
        </w:rPr>
        <w:t xml:space="preserve"> </w:t>
      </w:r>
      <w:r>
        <w:rPr>
          <w:rFonts w:hint="eastAsia" w:hAnsi="宋体" w:cs="宋体"/>
          <w:sz w:val="24"/>
          <w:szCs w:val="22"/>
          <w:highlight w:val="none"/>
          <w:lang w:val="en-US" w:eastAsia="zh-CN"/>
        </w:rPr>
        <w:t>9</w:t>
      </w:r>
      <w:r>
        <w:rPr>
          <w:rFonts w:hint="eastAsia" w:ascii="宋体" w:hAnsi="宋体" w:cs="宋体"/>
          <w:sz w:val="24"/>
          <w:szCs w:val="22"/>
          <w:highlight w:val="none"/>
        </w:rPr>
        <w:t>时</w:t>
      </w:r>
      <w:r>
        <w:rPr>
          <w:rFonts w:hint="eastAsia" w:hAnsi="宋体" w:cs="宋体"/>
          <w:sz w:val="24"/>
          <w:szCs w:val="22"/>
          <w:highlight w:val="none"/>
          <w:lang w:val="en-US" w:eastAsia="zh-CN"/>
        </w:rPr>
        <w:t>30</w:t>
      </w:r>
      <w:r>
        <w:rPr>
          <w:rFonts w:hint="eastAsia" w:ascii="宋体" w:hAnsi="宋体" w:cs="宋体"/>
          <w:sz w:val="24"/>
          <w:szCs w:val="22"/>
          <w:highlight w:val="none"/>
        </w:rPr>
        <w:t>分；请各投标供应商在</w:t>
      </w:r>
      <w:r>
        <w:rPr>
          <w:rFonts w:hint="eastAsia" w:ascii="宋体" w:hAnsi="宋体" w:cs="宋体"/>
          <w:sz w:val="24"/>
          <w:szCs w:val="22"/>
          <w:highlight w:val="none"/>
          <w:lang w:eastAsia="zh-CN"/>
        </w:rPr>
        <w:t>2025年</w:t>
      </w:r>
      <w:r>
        <w:rPr>
          <w:rFonts w:hint="eastAsia" w:hAnsi="宋体" w:cs="宋体"/>
          <w:sz w:val="24"/>
          <w:szCs w:val="22"/>
          <w:highlight w:val="none"/>
          <w:lang w:val="en-US" w:eastAsia="zh-CN"/>
        </w:rPr>
        <w:t>9</w:t>
      </w:r>
      <w:r>
        <w:rPr>
          <w:rFonts w:hint="eastAsia" w:ascii="宋体" w:hAnsi="宋体" w:cs="宋体"/>
          <w:sz w:val="24"/>
          <w:szCs w:val="22"/>
          <w:highlight w:val="none"/>
          <w:lang w:eastAsia="zh-CN"/>
        </w:rPr>
        <w:t>月</w:t>
      </w:r>
      <w:r>
        <w:rPr>
          <w:rFonts w:hint="eastAsia" w:hAnsi="宋体" w:cs="宋体"/>
          <w:sz w:val="24"/>
          <w:szCs w:val="22"/>
          <w:highlight w:val="none"/>
          <w:lang w:val="en-US" w:eastAsia="zh-CN"/>
        </w:rPr>
        <w:t>18</w:t>
      </w:r>
      <w:r>
        <w:rPr>
          <w:rFonts w:hint="eastAsia" w:ascii="宋体" w:hAnsi="宋体" w:cs="宋体"/>
          <w:sz w:val="24"/>
          <w:szCs w:val="22"/>
          <w:highlight w:val="none"/>
          <w:lang w:eastAsia="zh-CN"/>
        </w:rPr>
        <w:t>日</w:t>
      </w:r>
      <w:r>
        <w:rPr>
          <w:rFonts w:hint="eastAsia" w:hAnsi="宋体" w:cs="宋体"/>
          <w:sz w:val="24"/>
          <w:szCs w:val="22"/>
          <w:highlight w:val="none"/>
          <w:lang w:val="en-US" w:eastAsia="zh-CN"/>
        </w:rPr>
        <w:t>9</w:t>
      </w:r>
      <w:r>
        <w:rPr>
          <w:rFonts w:hint="eastAsia" w:ascii="宋体" w:hAnsi="宋体" w:cs="宋体"/>
          <w:sz w:val="24"/>
          <w:szCs w:val="22"/>
          <w:highlight w:val="none"/>
        </w:rPr>
        <w:t>时</w:t>
      </w:r>
      <w:r>
        <w:rPr>
          <w:rFonts w:hint="eastAsia" w:hAnsi="宋体" w:cs="宋体"/>
          <w:sz w:val="24"/>
          <w:szCs w:val="22"/>
          <w:highlight w:val="none"/>
          <w:lang w:val="en-US" w:eastAsia="zh-CN"/>
        </w:rPr>
        <w:t>30</w:t>
      </w:r>
      <w:r>
        <w:rPr>
          <w:rFonts w:hint="eastAsia" w:ascii="宋体" w:hAnsi="宋体" w:cs="宋体"/>
          <w:sz w:val="24"/>
          <w:szCs w:val="22"/>
          <w:highlight w:val="none"/>
        </w:rPr>
        <w:t>分前加入规定的钉钉群并签到参与不见面开标会，供应商在投标文件开启后至开标会结束前需在钉钉群等候在线询标，同时，请供应商保持电话畅通，因通讯不畅造成的一切后果由供应商自行承担。</w:t>
      </w:r>
    </w:p>
    <w:p w14:paraId="556D4BD6">
      <w:pPr>
        <w:numPr>
          <w:ilvl w:val="0"/>
          <w:numId w:val="0"/>
        </w:num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其他补充事宜</w:t>
      </w:r>
    </w:p>
    <w:p w14:paraId="576341A7">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供</w:t>
      </w:r>
      <w:r>
        <w:rPr>
          <w:rFonts w:hint="eastAsia" w:ascii="宋体" w:hAnsi="宋体" w:cs="宋体"/>
          <w:color w:val="auto"/>
          <w:sz w:val="24"/>
          <w:highlight w:val="none"/>
        </w:rPr>
        <w:t>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14:paraId="37E1AC5C">
      <w:pPr>
        <w:spacing w:line="440" w:lineRule="exact"/>
        <w:rPr>
          <w:rFonts w:ascii="宋体" w:hAnsi="宋体" w:cs="宋体"/>
          <w:b/>
          <w:color w:val="auto"/>
          <w:sz w:val="28"/>
          <w:szCs w:val="28"/>
          <w:highlight w:val="none"/>
        </w:rPr>
      </w:pPr>
      <w:bookmarkStart w:id="0" w:name="_Toc28359085"/>
      <w:bookmarkStart w:id="1" w:name="_Toc35393796"/>
      <w:bookmarkStart w:id="2" w:name="_Toc28359008"/>
      <w:bookmarkStart w:id="3" w:name="_Toc35393627"/>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w:t>
      </w:r>
      <w:bookmarkEnd w:id="0"/>
      <w:bookmarkEnd w:id="1"/>
      <w:bookmarkEnd w:id="2"/>
      <w:bookmarkEnd w:id="3"/>
      <w:r>
        <w:rPr>
          <w:rFonts w:hint="eastAsia" w:ascii="宋体" w:hAnsi="宋体" w:cs="宋体"/>
          <w:b/>
          <w:color w:val="auto"/>
          <w:sz w:val="24"/>
          <w:highlight w:val="none"/>
        </w:rPr>
        <w:t>对本次采购提出询问、质疑、投诉，请按以下方式联系。</w:t>
      </w:r>
    </w:p>
    <w:p w14:paraId="4C27A15F">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代理机构：</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 xml:space="preserve"> </w:t>
      </w:r>
    </w:p>
    <w:p w14:paraId="1FD49ED4">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洪碧函</w:t>
      </w:r>
    </w:p>
    <w:p w14:paraId="405D7F98">
      <w:pPr>
        <w:tabs>
          <w:tab w:val="left" w:pos="345"/>
        </w:tabs>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18069959168</w:t>
      </w:r>
    </w:p>
    <w:p w14:paraId="6D33C61F">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HYPERLINK "mailto:1722002832@qq.com"</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137391528@qq.com</w:t>
      </w:r>
      <w:r>
        <w:rPr>
          <w:rFonts w:hint="eastAsia" w:ascii="宋体" w:hAnsi="宋体" w:eastAsia="宋体" w:cs="宋体"/>
          <w:color w:val="auto"/>
          <w:sz w:val="24"/>
          <w:highlight w:val="none"/>
          <w:lang w:val="en-US" w:eastAsia="zh-CN"/>
        </w:rPr>
        <w:fldChar w:fldCharType="end"/>
      </w:r>
    </w:p>
    <w:p w14:paraId="0155C02C">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谌丹</w:t>
      </w:r>
      <w:r>
        <w:rPr>
          <w:rFonts w:hint="eastAsia" w:ascii="宋体" w:hAnsi="宋体" w:cs="宋体"/>
          <w:color w:val="auto"/>
          <w:sz w:val="24"/>
          <w:highlight w:val="none"/>
        </w:rPr>
        <w:t xml:space="preserve">                </w:t>
      </w:r>
    </w:p>
    <w:p w14:paraId="0EA9C437">
      <w:pPr>
        <w:tabs>
          <w:tab w:val="left" w:pos="345"/>
        </w:tabs>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0579-86670665</w:t>
      </w:r>
    </w:p>
    <w:p w14:paraId="698C4821">
      <w:pPr>
        <w:tabs>
          <w:tab w:val="left" w:pos="345"/>
        </w:tabs>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采购单位：</w:t>
      </w:r>
      <w:r>
        <w:rPr>
          <w:rFonts w:hint="eastAsia" w:ascii="宋体" w:hAnsi="宋体" w:cs="宋体"/>
          <w:color w:val="auto"/>
          <w:sz w:val="24"/>
          <w:highlight w:val="none"/>
          <w:lang w:eastAsia="zh-CN"/>
        </w:rPr>
        <w:t>东阳市房屋征收服务中心</w:t>
      </w:r>
      <w:r>
        <w:rPr>
          <w:rFonts w:hint="eastAsia" w:ascii="宋体" w:hAnsi="宋体" w:cs="宋体"/>
          <w:color w:val="auto"/>
          <w:sz w:val="24"/>
          <w:highlight w:val="none"/>
          <w:lang w:val="en-US" w:eastAsia="zh-CN"/>
        </w:rPr>
        <w:t>（东阳市房地产处）</w:t>
      </w:r>
    </w:p>
    <w:p w14:paraId="4FC6593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w:t>
      </w:r>
      <w:r>
        <w:rPr>
          <w:rFonts w:hint="eastAsia" w:ascii="宋体" w:hAnsi="宋体" w:cs="宋体"/>
          <w:color w:val="auto"/>
          <w:sz w:val="24"/>
        </w:rPr>
        <w:t>陆俏蓉</w:t>
      </w:r>
      <w:r>
        <w:rPr>
          <w:rFonts w:hint="eastAsia" w:ascii="宋体" w:hAnsi="宋体" w:cs="宋体"/>
          <w:color w:val="auto"/>
          <w:sz w:val="24"/>
          <w:highlight w:val="none"/>
        </w:rPr>
        <w:t xml:space="preserve">           </w:t>
      </w:r>
    </w:p>
    <w:p w14:paraId="0257F0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联系电话：13566988658    </w:t>
      </w:r>
    </w:p>
    <w:p w14:paraId="45ECD87A">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蔡钦权</w:t>
      </w:r>
    </w:p>
    <w:p w14:paraId="7DACBD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0579-</w:t>
      </w:r>
      <w:r>
        <w:rPr>
          <w:rFonts w:hint="eastAsia" w:ascii="宋体" w:hAnsi="宋体" w:cs="宋体"/>
          <w:color w:val="auto"/>
          <w:sz w:val="24"/>
          <w:highlight w:val="none"/>
          <w:lang w:val="en-US" w:eastAsia="zh-CN"/>
        </w:rPr>
        <w:t>86647071</w:t>
      </w:r>
    </w:p>
    <w:p w14:paraId="722E66FF">
      <w:pPr>
        <w:spacing w:line="440" w:lineRule="exact"/>
        <w:ind w:firstLine="3840" w:firstLineChars="1600"/>
        <w:rPr>
          <w:rFonts w:hint="eastAsia" w:ascii="宋体" w:hAnsi="宋体" w:cs="宋体"/>
          <w:color w:val="auto"/>
          <w:sz w:val="24"/>
          <w:highlight w:val="none"/>
          <w:lang w:eastAsia="zh-CN"/>
        </w:rPr>
      </w:pPr>
      <w:r>
        <w:rPr>
          <w:rFonts w:hint="eastAsia" w:ascii="宋体" w:hAnsi="宋体" w:cs="宋体"/>
          <w:color w:val="auto"/>
          <w:sz w:val="24"/>
          <w:highlight w:val="none"/>
        </w:rPr>
        <w:t>东阳市房屋征收服务中心（东阳市房地产处）</w:t>
      </w:r>
    </w:p>
    <w:p w14:paraId="17C6E822">
      <w:pPr>
        <w:spacing w:line="440" w:lineRule="exact"/>
        <w:ind w:firstLine="360" w:firstLineChars="15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杭州建设工程造价咨询有限公司</w:t>
      </w:r>
    </w:p>
    <w:p w14:paraId="6600088E">
      <w:pPr>
        <w:spacing w:line="440" w:lineRule="exact"/>
        <w:ind w:firstLine="360" w:firstLineChars="150"/>
        <w:contextualSpacing/>
        <w:rPr>
          <w:rFonts w:ascii="宋体" w:hAnsi="宋体" w:cs="宋体"/>
          <w:color w:val="auto"/>
          <w:sz w:val="30"/>
          <w:szCs w:val="30"/>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 xml:space="preserve">日                                            </w:t>
      </w:r>
    </w:p>
    <w:p w14:paraId="5BA9F46D">
      <w:pPr>
        <w:snapToGrid w:val="0"/>
        <w:spacing w:line="440" w:lineRule="exact"/>
        <w:rPr>
          <w:rFonts w:ascii="宋体" w:hAnsi="宋体" w:cs="宋体"/>
          <w:color w:val="auto"/>
          <w:sz w:val="30"/>
          <w:szCs w:val="30"/>
          <w:highlight w:val="none"/>
        </w:rPr>
      </w:pPr>
    </w:p>
    <w:p w14:paraId="0AF55073">
      <w:pPr>
        <w:tabs>
          <w:tab w:val="left" w:pos="2920"/>
        </w:tabs>
        <w:snapToGrid w:val="0"/>
        <w:spacing w:line="480" w:lineRule="auto"/>
        <w:ind w:left="3360"/>
        <w:rPr>
          <w:rFonts w:ascii="宋体" w:hAnsi="宋体" w:cs="宋体"/>
          <w:b/>
          <w:bCs/>
          <w:color w:val="auto"/>
          <w:sz w:val="32"/>
          <w:szCs w:val="32"/>
          <w:highlight w:val="none"/>
        </w:rPr>
      </w:pPr>
    </w:p>
    <w:p w14:paraId="16622B5C">
      <w:pPr>
        <w:pStyle w:val="2"/>
        <w:rPr>
          <w:rFonts w:ascii="宋体" w:hAnsi="宋体" w:cs="宋体"/>
          <w:b/>
          <w:bCs/>
          <w:color w:val="auto"/>
          <w:sz w:val="32"/>
          <w:szCs w:val="32"/>
          <w:highlight w:val="none"/>
        </w:rPr>
      </w:pPr>
    </w:p>
    <w:p w14:paraId="0085CB4E">
      <w:pPr>
        <w:rPr>
          <w:rFonts w:ascii="宋体" w:hAnsi="宋体" w:cs="宋体"/>
          <w:b/>
          <w:bCs/>
          <w:color w:val="auto"/>
          <w:sz w:val="32"/>
          <w:szCs w:val="32"/>
          <w:highlight w:val="none"/>
        </w:rPr>
      </w:pPr>
    </w:p>
    <w:p w14:paraId="3F627E71">
      <w:pPr>
        <w:pStyle w:val="2"/>
        <w:rPr>
          <w:rFonts w:ascii="宋体" w:hAnsi="宋体" w:cs="宋体"/>
          <w:b/>
          <w:bCs/>
          <w:color w:val="auto"/>
          <w:sz w:val="32"/>
          <w:szCs w:val="32"/>
          <w:highlight w:val="none"/>
        </w:rPr>
      </w:pPr>
    </w:p>
    <w:p w14:paraId="7045C064">
      <w:pPr>
        <w:rPr>
          <w:rFonts w:ascii="宋体" w:hAnsi="宋体" w:cs="宋体"/>
          <w:b/>
          <w:bCs/>
          <w:color w:val="auto"/>
          <w:sz w:val="32"/>
          <w:szCs w:val="32"/>
          <w:highlight w:val="none"/>
        </w:rPr>
      </w:pPr>
    </w:p>
    <w:p w14:paraId="0B764BBA">
      <w:pPr>
        <w:pStyle w:val="2"/>
        <w:rPr>
          <w:rFonts w:ascii="宋体" w:hAnsi="宋体" w:cs="宋体"/>
          <w:b/>
          <w:bCs/>
          <w:color w:val="auto"/>
          <w:sz w:val="32"/>
          <w:szCs w:val="32"/>
          <w:highlight w:val="none"/>
        </w:rPr>
      </w:pPr>
    </w:p>
    <w:p w14:paraId="33062F8A">
      <w:pPr>
        <w:rPr>
          <w:rFonts w:ascii="宋体" w:hAnsi="宋体" w:cs="宋体"/>
          <w:b/>
          <w:bCs/>
          <w:color w:val="auto"/>
          <w:sz w:val="32"/>
          <w:szCs w:val="32"/>
          <w:highlight w:val="none"/>
        </w:rPr>
      </w:pPr>
    </w:p>
    <w:p w14:paraId="45C89380">
      <w:pPr>
        <w:pStyle w:val="2"/>
        <w:rPr>
          <w:rFonts w:ascii="宋体" w:hAnsi="宋体" w:cs="宋体"/>
          <w:b/>
          <w:bCs/>
          <w:color w:val="auto"/>
          <w:sz w:val="32"/>
          <w:szCs w:val="32"/>
          <w:highlight w:val="none"/>
        </w:rPr>
      </w:pPr>
    </w:p>
    <w:p w14:paraId="4CB60EE6">
      <w:pPr>
        <w:rPr>
          <w:rFonts w:ascii="宋体" w:hAnsi="宋体" w:cs="宋体"/>
          <w:b/>
          <w:bCs/>
          <w:color w:val="auto"/>
          <w:sz w:val="32"/>
          <w:szCs w:val="32"/>
          <w:highlight w:val="none"/>
        </w:rPr>
      </w:pPr>
    </w:p>
    <w:p w14:paraId="63B1672E">
      <w:pPr>
        <w:pStyle w:val="2"/>
        <w:rPr>
          <w:rFonts w:ascii="宋体" w:hAnsi="宋体" w:cs="宋体"/>
          <w:b/>
          <w:bCs/>
          <w:color w:val="auto"/>
          <w:sz w:val="32"/>
          <w:szCs w:val="32"/>
          <w:highlight w:val="none"/>
        </w:rPr>
      </w:pPr>
    </w:p>
    <w:p w14:paraId="7252B267">
      <w:pPr>
        <w:rPr>
          <w:rFonts w:ascii="宋体" w:hAnsi="宋体" w:cs="宋体"/>
          <w:b/>
          <w:bCs/>
          <w:color w:val="auto"/>
          <w:sz w:val="32"/>
          <w:szCs w:val="32"/>
          <w:highlight w:val="none"/>
        </w:rPr>
      </w:pPr>
    </w:p>
    <w:p w14:paraId="54920EE5">
      <w:pPr>
        <w:pStyle w:val="2"/>
        <w:rPr>
          <w:rFonts w:ascii="宋体" w:hAnsi="宋体" w:cs="宋体"/>
          <w:b/>
          <w:bCs/>
          <w:color w:val="auto"/>
          <w:sz w:val="32"/>
          <w:szCs w:val="32"/>
          <w:highlight w:val="none"/>
        </w:rPr>
      </w:pPr>
    </w:p>
    <w:p w14:paraId="0A9C9928"/>
    <w:p w14:paraId="7DC00E6C">
      <w:pPr>
        <w:pStyle w:val="2"/>
        <w:rPr>
          <w:rFonts w:ascii="宋体" w:hAnsi="宋体" w:cs="宋体"/>
          <w:b/>
          <w:bCs/>
          <w:color w:val="auto"/>
          <w:sz w:val="32"/>
          <w:szCs w:val="32"/>
          <w:highlight w:val="none"/>
        </w:rPr>
      </w:pPr>
    </w:p>
    <w:p w14:paraId="07E5DAE9"/>
    <w:p w14:paraId="7432E1C3">
      <w:pPr>
        <w:keepNext w:val="0"/>
        <w:keepLines w:val="0"/>
        <w:pageBreakBefore w:val="0"/>
        <w:kinsoku/>
        <w:wordWrap/>
        <w:topLinePunct w:val="0"/>
        <w:bidi w:val="0"/>
        <w:snapToGrid w:val="0"/>
        <w:spacing w:line="360" w:lineRule="auto"/>
        <w:jc w:val="left"/>
        <w:rPr>
          <w:rFonts w:hint="eastAsia" w:ascii="黑体" w:eastAsia="黑体"/>
          <w:sz w:val="28"/>
          <w:szCs w:val="28"/>
          <w:highlight w:val="none"/>
        </w:rPr>
      </w:pPr>
      <w:r>
        <w:rPr>
          <w:rFonts w:hint="eastAsia" w:ascii="黑体" w:eastAsia="黑体"/>
          <w:sz w:val="28"/>
          <w:szCs w:val="28"/>
          <w:highlight w:val="none"/>
        </w:rPr>
        <w:t xml:space="preserve">附：                   </w:t>
      </w:r>
    </w:p>
    <w:p w14:paraId="69054162">
      <w:pPr>
        <w:kinsoku/>
        <w:wordWrap/>
        <w:topLinePunct w:val="0"/>
        <w:bidi w:val="0"/>
        <w:spacing w:line="360" w:lineRule="auto"/>
        <w:jc w:val="center"/>
        <w:rPr>
          <w:rFonts w:hint="eastAsia" w:ascii="宋体" w:hAnsi="宋体"/>
          <w:b/>
          <w:sz w:val="48"/>
          <w:szCs w:val="48"/>
          <w:highlight w:val="none"/>
        </w:rPr>
      </w:pPr>
      <w:r>
        <w:rPr>
          <w:rFonts w:hint="eastAsia" w:ascii="宋体" w:hAnsi="宋体"/>
          <w:b/>
          <w:sz w:val="36"/>
          <w:szCs w:val="36"/>
          <w:highlight w:val="none"/>
        </w:rPr>
        <w:t>投 标 确 认 函</w:t>
      </w:r>
    </w:p>
    <w:p w14:paraId="5F78698A">
      <w:pPr>
        <w:kinsoku/>
        <w:wordWrap/>
        <w:topLinePunct w:val="0"/>
        <w:bidi w:val="0"/>
        <w:spacing w:line="360" w:lineRule="auto"/>
        <w:rPr>
          <w:rFonts w:hint="eastAsia" w:ascii="宋体" w:hAnsi="宋体"/>
          <w:b/>
          <w:bCs/>
          <w:sz w:val="28"/>
          <w:szCs w:val="28"/>
          <w:highlight w:val="none"/>
        </w:rPr>
      </w:pPr>
      <w:r>
        <w:rPr>
          <w:rFonts w:hint="eastAsia" w:ascii="宋体" w:hAnsi="宋体"/>
          <w:bCs/>
          <w:sz w:val="28"/>
          <w:szCs w:val="28"/>
          <w:highlight w:val="none"/>
          <w:u w:val="single"/>
          <w:lang w:eastAsia="zh-CN"/>
        </w:rPr>
        <w:t>杭州建设工程造价咨询有限公司</w:t>
      </w:r>
      <w:r>
        <w:rPr>
          <w:rFonts w:hint="eastAsia" w:ascii="宋体" w:hAnsi="宋体"/>
          <w:bCs/>
          <w:sz w:val="28"/>
          <w:szCs w:val="28"/>
          <w:highlight w:val="none"/>
          <w:u w:val="single"/>
        </w:rPr>
        <w:t xml:space="preserve"> ：</w:t>
      </w:r>
    </w:p>
    <w:p w14:paraId="44208432">
      <w:pPr>
        <w:kinsoku/>
        <w:wordWrap/>
        <w:topLinePunct w:val="0"/>
        <w:bidi w:val="0"/>
        <w:spacing w:line="360" w:lineRule="auto"/>
        <w:ind w:firstLine="573"/>
        <w:rPr>
          <w:rFonts w:hint="eastAsia" w:ascii="宋体" w:hAnsi="宋体"/>
          <w:sz w:val="28"/>
          <w:szCs w:val="28"/>
          <w:highlight w:val="none"/>
        </w:rPr>
      </w:pPr>
      <w:r>
        <w:rPr>
          <w:rFonts w:hint="eastAsia" w:ascii="宋体" w:hAnsi="宋体"/>
          <w:sz w:val="28"/>
          <w:szCs w:val="28"/>
          <w:highlight w:val="none"/>
        </w:rPr>
        <w:t>关于贵方</w:t>
      </w:r>
      <w:r>
        <w:rPr>
          <w:rFonts w:hint="eastAsia" w:ascii="宋体" w:hAnsi="宋体"/>
          <w:color w:val="auto"/>
          <w:sz w:val="28"/>
          <w:szCs w:val="28"/>
          <w:highlight w:val="none"/>
          <w:u w:val="single"/>
          <w:lang w:val="en-US" w:eastAsia="zh-CN"/>
        </w:rPr>
        <w:t>2025</w:t>
      </w:r>
      <w:r>
        <w:rPr>
          <w:rFonts w:hint="eastAsia" w:ascii="宋体" w:hAnsi="宋体"/>
          <w:color w:val="auto"/>
          <w:sz w:val="28"/>
          <w:szCs w:val="28"/>
          <w:highlight w:val="none"/>
          <w:u w:val="single"/>
        </w:rPr>
        <w:t>年</w:t>
      </w:r>
      <w:r>
        <w:rPr>
          <w:rFonts w:hint="eastAsia" w:ascii="宋体" w:hAnsi="宋体"/>
          <w:color w:val="auto"/>
          <w:sz w:val="28"/>
          <w:szCs w:val="28"/>
          <w:highlight w:val="none"/>
          <w:u w:val="single"/>
          <w:lang w:val="en-US" w:eastAsia="zh-CN"/>
        </w:rPr>
        <w:t>8</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27</w:t>
      </w:r>
      <w:r>
        <w:rPr>
          <w:rFonts w:hint="eastAsia" w:ascii="宋体" w:hAnsi="宋体"/>
          <w:color w:val="auto"/>
          <w:sz w:val="28"/>
          <w:szCs w:val="28"/>
          <w:highlight w:val="none"/>
          <w:u w:val="single"/>
        </w:rPr>
        <w:t>日</w:t>
      </w:r>
      <w:r>
        <w:rPr>
          <w:rFonts w:hint="eastAsia" w:ascii="宋体" w:hAnsi="宋体"/>
          <w:color w:val="auto"/>
          <w:sz w:val="28"/>
          <w:szCs w:val="28"/>
          <w:highlight w:val="none"/>
        </w:rPr>
        <w:t>发</w:t>
      </w:r>
      <w:r>
        <w:rPr>
          <w:rFonts w:hint="eastAsia" w:ascii="宋体" w:hAnsi="宋体"/>
          <w:sz w:val="28"/>
          <w:szCs w:val="28"/>
          <w:highlight w:val="none"/>
        </w:rPr>
        <w:t>布的</w:t>
      </w:r>
      <w:r>
        <w:rPr>
          <w:rFonts w:hint="eastAsia" w:ascii="宋体" w:hAnsi="宋体"/>
          <w:sz w:val="28"/>
          <w:szCs w:val="28"/>
          <w:highlight w:val="none"/>
          <w:u w:val="single"/>
          <w:lang w:val="en-US" w:eastAsia="zh-CN"/>
        </w:rPr>
        <w:t>东阳市</w:t>
      </w:r>
      <w:r>
        <w:rPr>
          <w:rFonts w:hint="eastAsia" w:ascii="宋体" w:hAnsi="宋体"/>
          <w:sz w:val="28"/>
          <w:szCs w:val="28"/>
          <w:highlight w:val="none"/>
          <w:u w:val="single"/>
          <w:lang w:eastAsia="zh-CN"/>
        </w:rPr>
        <w:t>2025年度新建房屋白蚁防治服务</w:t>
      </w:r>
      <w:r>
        <w:rPr>
          <w:rFonts w:hint="eastAsia" w:ascii="宋体" w:hAnsi="宋体"/>
          <w:sz w:val="28"/>
          <w:szCs w:val="28"/>
          <w:highlight w:val="none"/>
          <w:u w:val="single"/>
          <w:lang w:val="en-US" w:eastAsia="zh-CN"/>
        </w:rPr>
        <w:t>1-3标段</w:t>
      </w:r>
      <w:r>
        <w:rPr>
          <w:rFonts w:hint="eastAsia" w:ascii="宋体" w:hAnsi="宋体"/>
          <w:sz w:val="28"/>
          <w:szCs w:val="28"/>
          <w:highlight w:val="none"/>
          <w:u w:val="single"/>
          <w:lang w:eastAsia="zh-CN"/>
        </w:rPr>
        <w:t>采购项目</w:t>
      </w:r>
      <w:r>
        <w:rPr>
          <w:rFonts w:hint="eastAsia" w:ascii="宋体" w:hAnsi="宋体" w:cs="宋体"/>
          <w:sz w:val="28"/>
          <w:szCs w:val="28"/>
          <w:highlight w:val="none"/>
        </w:rPr>
        <w:t>招标公告</w:t>
      </w:r>
      <w:r>
        <w:rPr>
          <w:rFonts w:hint="eastAsia" w:ascii="宋体" w:hAnsi="宋体"/>
          <w:sz w:val="28"/>
          <w:szCs w:val="28"/>
          <w:highlight w:val="none"/>
        </w:rPr>
        <w:t>，本单位愿意参加该项目</w:t>
      </w:r>
      <w:r>
        <w:rPr>
          <w:rFonts w:hint="eastAsia" w:ascii="宋体" w:hAnsi="宋体"/>
          <w:sz w:val="28"/>
          <w:szCs w:val="28"/>
          <w:highlight w:val="none"/>
          <w:lang w:val="en-US" w:eastAsia="zh-CN"/>
        </w:rPr>
        <w:t>标项一/标项二/标项三</w:t>
      </w:r>
      <w:r>
        <w:rPr>
          <w:rFonts w:hint="eastAsia" w:ascii="宋体" w:hAnsi="宋体"/>
          <w:sz w:val="28"/>
          <w:szCs w:val="28"/>
          <w:highlight w:val="none"/>
        </w:rPr>
        <w:t>的投标。现予以确认！</w:t>
      </w:r>
    </w:p>
    <w:p w14:paraId="6D658C4E">
      <w:pPr>
        <w:kinsoku/>
        <w:wordWrap/>
        <w:topLinePunct w:val="0"/>
        <w:bidi w:val="0"/>
        <w:spacing w:line="360" w:lineRule="auto"/>
        <w:rPr>
          <w:rFonts w:hint="eastAsia" w:ascii="宋体" w:hAnsi="宋体"/>
          <w:sz w:val="28"/>
          <w:szCs w:val="28"/>
          <w:highlight w:val="none"/>
          <w:u w:val="single"/>
        </w:rPr>
      </w:pPr>
      <w:r>
        <w:rPr>
          <w:rFonts w:hint="eastAsia" w:ascii="宋体" w:hAnsi="宋体"/>
          <w:sz w:val="28"/>
          <w:szCs w:val="28"/>
          <w:highlight w:val="none"/>
        </w:rPr>
        <w:t xml:space="preserve">单位名称（公章）：  </w:t>
      </w:r>
      <w:r>
        <w:rPr>
          <w:rFonts w:hint="eastAsia" w:ascii="宋体" w:hAnsi="宋体"/>
          <w:sz w:val="28"/>
          <w:szCs w:val="28"/>
          <w:highlight w:val="none"/>
          <w:u w:val="single"/>
        </w:rPr>
        <w:t xml:space="preserve">                                            </w:t>
      </w:r>
    </w:p>
    <w:p w14:paraId="0E5D0713">
      <w:pPr>
        <w:kinsoku/>
        <w:wordWrap/>
        <w:topLinePunct w:val="0"/>
        <w:bidi w:val="0"/>
        <w:spacing w:line="360" w:lineRule="auto"/>
        <w:rPr>
          <w:rFonts w:hint="eastAsia" w:ascii="宋体" w:hAnsi="宋体"/>
          <w:sz w:val="28"/>
          <w:szCs w:val="28"/>
          <w:highlight w:val="none"/>
          <w:u w:val="single"/>
        </w:rPr>
      </w:pPr>
    </w:p>
    <w:p w14:paraId="6AB7694C">
      <w:pPr>
        <w:kinsoku/>
        <w:wordWrap/>
        <w:topLinePunct w:val="0"/>
        <w:bidi w:val="0"/>
        <w:spacing w:line="360" w:lineRule="auto"/>
        <w:rPr>
          <w:rFonts w:hint="eastAsia" w:ascii="宋体" w:hAnsi="宋体"/>
          <w:sz w:val="28"/>
          <w:szCs w:val="28"/>
          <w:highlight w:val="none"/>
          <w:u w:val="single"/>
        </w:rPr>
      </w:pPr>
      <w:r>
        <w:rPr>
          <w:rFonts w:hint="eastAsia" w:ascii="宋体" w:hAnsi="宋体"/>
          <w:sz w:val="28"/>
          <w:szCs w:val="28"/>
          <w:highlight w:val="none"/>
        </w:rPr>
        <w:t>法定代表人或授权代表（签章）：</w:t>
      </w:r>
      <w:r>
        <w:rPr>
          <w:rFonts w:hint="eastAsia" w:ascii="宋体" w:hAnsi="宋体"/>
          <w:sz w:val="28"/>
          <w:szCs w:val="28"/>
          <w:highlight w:val="none"/>
          <w:u w:val="single"/>
        </w:rPr>
        <w:t xml:space="preserve">                                  </w:t>
      </w:r>
    </w:p>
    <w:p w14:paraId="59C2C41C">
      <w:pPr>
        <w:kinsoku/>
        <w:wordWrap/>
        <w:topLinePunct w:val="0"/>
        <w:bidi w:val="0"/>
        <w:spacing w:line="360" w:lineRule="auto"/>
        <w:rPr>
          <w:rFonts w:hint="eastAsia" w:ascii="宋体" w:hAnsi="宋体"/>
          <w:sz w:val="28"/>
          <w:szCs w:val="28"/>
          <w:highlight w:val="none"/>
          <w:u w:val="single"/>
        </w:rPr>
      </w:pPr>
    </w:p>
    <w:p w14:paraId="6D2D336C">
      <w:pPr>
        <w:kinsoku/>
        <w:wordWrap/>
        <w:topLinePunct w:val="0"/>
        <w:bidi w:val="0"/>
        <w:spacing w:line="360" w:lineRule="auto"/>
        <w:rPr>
          <w:rFonts w:hint="eastAsia" w:ascii="宋体" w:hAnsi="宋体"/>
          <w:sz w:val="28"/>
          <w:szCs w:val="28"/>
          <w:highlight w:val="none"/>
          <w:u w:val="single"/>
        </w:rPr>
      </w:pPr>
      <w:r>
        <w:rPr>
          <w:rFonts w:hint="eastAsia" w:ascii="宋体" w:hAnsi="宋体"/>
          <w:sz w:val="28"/>
          <w:szCs w:val="28"/>
          <w:highlight w:val="none"/>
        </w:rPr>
        <w:t>单位地址：</w:t>
      </w:r>
      <w:r>
        <w:rPr>
          <w:rFonts w:hint="eastAsia" w:ascii="宋体" w:hAnsi="宋体"/>
          <w:sz w:val="28"/>
          <w:szCs w:val="28"/>
          <w:highlight w:val="none"/>
          <w:u w:val="single"/>
        </w:rPr>
        <w:t xml:space="preserve">                                                     </w:t>
      </w:r>
    </w:p>
    <w:p w14:paraId="4E49B288">
      <w:pPr>
        <w:kinsoku/>
        <w:wordWrap/>
        <w:topLinePunct w:val="0"/>
        <w:bidi w:val="0"/>
        <w:spacing w:line="360" w:lineRule="auto"/>
        <w:rPr>
          <w:rFonts w:hint="eastAsia" w:ascii="宋体" w:hAnsi="宋体"/>
          <w:sz w:val="28"/>
          <w:szCs w:val="28"/>
          <w:highlight w:val="none"/>
        </w:rPr>
      </w:pPr>
    </w:p>
    <w:p w14:paraId="76B65C9B">
      <w:pPr>
        <w:kinsoku/>
        <w:wordWrap/>
        <w:topLinePunct w:val="0"/>
        <w:bidi w:val="0"/>
        <w:spacing w:line="360" w:lineRule="auto"/>
        <w:rPr>
          <w:rFonts w:hint="eastAsia" w:ascii="宋体" w:hAnsi="宋体"/>
          <w:sz w:val="28"/>
          <w:szCs w:val="28"/>
          <w:highlight w:val="none"/>
        </w:rPr>
      </w:pPr>
      <w:r>
        <w:rPr>
          <w:rFonts w:hint="eastAsia" w:ascii="宋体" w:hAnsi="宋体"/>
          <w:sz w:val="28"/>
          <w:szCs w:val="28"/>
          <w:highlight w:val="none"/>
        </w:rPr>
        <w:t>电  话：</w:t>
      </w:r>
      <w:r>
        <w:rPr>
          <w:rFonts w:hint="eastAsia" w:ascii="宋体" w:hAnsi="宋体"/>
          <w:sz w:val="28"/>
          <w:szCs w:val="28"/>
          <w:highlight w:val="none"/>
          <w:u w:val="single"/>
        </w:rPr>
        <w:t xml:space="preserve">                   </w:t>
      </w:r>
      <w:r>
        <w:rPr>
          <w:rFonts w:hint="eastAsia" w:ascii="宋体" w:hAnsi="宋体"/>
          <w:sz w:val="28"/>
          <w:szCs w:val="28"/>
          <w:highlight w:val="none"/>
        </w:rPr>
        <w:t>邮  编：</w:t>
      </w:r>
      <w:r>
        <w:rPr>
          <w:rFonts w:hint="eastAsia" w:ascii="宋体" w:hAnsi="宋体"/>
          <w:sz w:val="28"/>
          <w:szCs w:val="28"/>
          <w:highlight w:val="none"/>
          <w:u w:val="single"/>
        </w:rPr>
        <w:t xml:space="preserve">                           </w:t>
      </w:r>
    </w:p>
    <w:p w14:paraId="781D6143">
      <w:pPr>
        <w:kinsoku/>
        <w:wordWrap/>
        <w:topLinePunct w:val="0"/>
        <w:bidi w:val="0"/>
        <w:spacing w:line="360" w:lineRule="auto"/>
        <w:rPr>
          <w:rFonts w:hint="eastAsia" w:ascii="宋体" w:hAnsi="宋体"/>
          <w:sz w:val="28"/>
          <w:szCs w:val="28"/>
          <w:highlight w:val="none"/>
        </w:rPr>
      </w:pPr>
      <w:r>
        <w:rPr>
          <w:rFonts w:hint="eastAsia" w:ascii="宋体" w:hAnsi="宋体"/>
          <w:sz w:val="28"/>
          <w:szCs w:val="28"/>
          <w:highlight w:val="none"/>
        </w:rPr>
        <w:t xml:space="preserve"> </w:t>
      </w:r>
    </w:p>
    <w:p w14:paraId="5E91C65E">
      <w:pPr>
        <w:kinsoku/>
        <w:wordWrap/>
        <w:topLinePunct w:val="0"/>
        <w:bidi w:val="0"/>
        <w:spacing w:line="360" w:lineRule="auto"/>
        <w:rPr>
          <w:rFonts w:hint="eastAsia" w:ascii="宋体" w:hAnsi="宋体"/>
          <w:sz w:val="28"/>
          <w:szCs w:val="28"/>
          <w:highlight w:val="none"/>
          <w:u w:val="single"/>
        </w:rPr>
      </w:pPr>
      <w:r>
        <w:rPr>
          <w:rFonts w:hint="eastAsia" w:ascii="宋体" w:hAnsi="宋体"/>
          <w:sz w:val="28"/>
          <w:szCs w:val="28"/>
          <w:highlight w:val="none"/>
        </w:rPr>
        <w:t>传  真：</w:t>
      </w:r>
      <w:r>
        <w:rPr>
          <w:rFonts w:hint="eastAsia" w:ascii="宋体" w:hAnsi="宋体"/>
          <w:sz w:val="28"/>
          <w:szCs w:val="28"/>
          <w:highlight w:val="none"/>
          <w:u w:val="single"/>
        </w:rPr>
        <w:t xml:space="preserve">                   </w:t>
      </w:r>
      <w:r>
        <w:rPr>
          <w:rFonts w:hint="eastAsia" w:ascii="宋体" w:hAnsi="宋体"/>
          <w:sz w:val="28"/>
          <w:szCs w:val="28"/>
          <w:highlight w:val="none"/>
        </w:rPr>
        <w:t>日  期：</w:t>
      </w:r>
      <w:r>
        <w:rPr>
          <w:rFonts w:hint="eastAsia" w:ascii="宋体" w:hAnsi="宋体"/>
          <w:sz w:val="28"/>
          <w:szCs w:val="28"/>
          <w:highlight w:val="none"/>
          <w:u w:val="single"/>
        </w:rPr>
        <w:t xml:space="preserve">                     </w:t>
      </w:r>
    </w:p>
    <w:p w14:paraId="13FF6B27">
      <w:pPr>
        <w:kinsoku/>
        <w:wordWrap/>
        <w:topLinePunct w:val="0"/>
        <w:bidi w:val="0"/>
        <w:spacing w:line="360" w:lineRule="auto"/>
        <w:rPr>
          <w:rFonts w:hint="eastAsia" w:ascii="宋体" w:hAnsi="宋体"/>
          <w:sz w:val="28"/>
          <w:szCs w:val="28"/>
          <w:highlight w:val="none"/>
          <w:u w:val="single"/>
        </w:rPr>
      </w:pPr>
    </w:p>
    <w:p w14:paraId="08B2E37C">
      <w:pPr>
        <w:kinsoku/>
        <w:wordWrap/>
        <w:topLinePunct w:val="0"/>
        <w:bidi w:val="0"/>
        <w:spacing w:line="360" w:lineRule="auto"/>
        <w:rPr>
          <w:rFonts w:hint="eastAsia" w:ascii="宋体" w:hAnsi="宋体"/>
          <w:sz w:val="32"/>
          <w:highlight w:val="none"/>
          <w:u w:val="single"/>
        </w:rPr>
      </w:pPr>
      <w:r>
        <w:rPr>
          <w:rFonts w:hint="eastAsia" w:ascii="宋体" w:hAnsi="宋体"/>
          <w:sz w:val="28"/>
          <w:szCs w:val="28"/>
          <w:highlight w:val="none"/>
        </w:rPr>
        <w:t>联系人：</w:t>
      </w:r>
      <w:r>
        <w:rPr>
          <w:rFonts w:hint="eastAsia" w:ascii="宋体" w:hAnsi="宋体"/>
          <w:sz w:val="28"/>
          <w:szCs w:val="28"/>
          <w:highlight w:val="none"/>
          <w:u w:val="single"/>
        </w:rPr>
        <w:t xml:space="preserve">                  </w:t>
      </w:r>
      <w:r>
        <w:rPr>
          <w:rFonts w:hint="eastAsia" w:ascii="宋体" w:hAnsi="宋体"/>
          <w:sz w:val="28"/>
          <w:szCs w:val="28"/>
          <w:highlight w:val="none"/>
        </w:rPr>
        <w:t>手机号码：</w:t>
      </w:r>
      <w:r>
        <w:rPr>
          <w:rFonts w:hint="eastAsia" w:ascii="宋体" w:hAnsi="宋体"/>
          <w:sz w:val="28"/>
          <w:szCs w:val="28"/>
          <w:highlight w:val="none"/>
          <w:u w:val="single"/>
        </w:rPr>
        <w:t xml:space="preserve">                 </w:t>
      </w:r>
      <w:r>
        <w:rPr>
          <w:rFonts w:hint="eastAsia" w:ascii="宋体" w:hAnsi="宋体"/>
          <w:sz w:val="32"/>
          <w:highlight w:val="none"/>
          <w:u w:val="single"/>
        </w:rPr>
        <w:t xml:space="preserve">   </w:t>
      </w:r>
    </w:p>
    <w:p w14:paraId="1B39D65A">
      <w:pPr>
        <w:kinsoku/>
        <w:wordWrap/>
        <w:topLinePunct w:val="0"/>
        <w:bidi w:val="0"/>
        <w:spacing w:line="360" w:lineRule="auto"/>
        <w:rPr>
          <w:rFonts w:hint="eastAsia" w:ascii="宋体" w:hAnsi="宋体"/>
          <w:sz w:val="28"/>
          <w:szCs w:val="28"/>
          <w:highlight w:val="none"/>
        </w:rPr>
      </w:pPr>
    </w:p>
    <w:p w14:paraId="3768C85F">
      <w:pPr>
        <w:widowControl/>
        <w:kinsoku/>
        <w:wordWrap/>
        <w:topLinePunct w:val="0"/>
        <w:bidi w:val="0"/>
        <w:spacing w:line="360" w:lineRule="auto"/>
        <w:jc w:val="left"/>
        <w:rPr>
          <w:rFonts w:hint="eastAsia" w:ascii="宋体" w:hAnsi="宋体"/>
          <w:sz w:val="28"/>
          <w:szCs w:val="28"/>
          <w:highlight w:val="none"/>
        </w:rPr>
      </w:pPr>
      <w:r>
        <w:rPr>
          <w:rFonts w:hint="eastAsia" w:ascii="宋体" w:hAnsi="宋体"/>
          <w:sz w:val="28"/>
          <w:szCs w:val="28"/>
          <w:highlight w:val="none"/>
        </w:rPr>
        <w:t>注：此投标确认函请于</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17</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16</w:t>
      </w:r>
      <w:r>
        <w:rPr>
          <w:rFonts w:hint="eastAsia" w:ascii="宋体" w:hAnsi="宋体"/>
          <w:color w:val="auto"/>
          <w:sz w:val="28"/>
          <w:szCs w:val="28"/>
          <w:highlight w:val="none"/>
        </w:rPr>
        <w:t>时</w:t>
      </w:r>
      <w:r>
        <w:rPr>
          <w:rFonts w:hint="eastAsia" w:ascii="宋体" w:hAnsi="宋体"/>
          <w:sz w:val="28"/>
          <w:szCs w:val="28"/>
          <w:highlight w:val="none"/>
        </w:rPr>
        <w:t>前通过快递或邮箱方式送达到杭州建设工程造价咨询有限公司（地址：浙江省东阳市中山路323号10楼1007，</w:t>
      </w:r>
      <w:r>
        <w:rPr>
          <w:rFonts w:hint="eastAsia" w:ascii="宋体" w:hAnsi="宋体"/>
          <w:sz w:val="28"/>
          <w:szCs w:val="28"/>
          <w:highlight w:val="none"/>
          <w:lang w:eastAsia="zh-CN"/>
        </w:rPr>
        <w:t>（</w:t>
      </w:r>
      <w:r>
        <w:rPr>
          <w:rFonts w:hint="eastAsia" w:ascii="宋体" w:hAnsi="宋体"/>
          <w:sz w:val="28"/>
          <w:szCs w:val="28"/>
          <w:highlight w:val="none"/>
        </w:rPr>
        <w:t>邮箱：</w:t>
      </w:r>
      <w:r>
        <w:rPr>
          <w:rFonts w:hint="eastAsia" w:ascii="宋体" w:hAnsi="宋体"/>
          <w:sz w:val="28"/>
          <w:szCs w:val="28"/>
          <w:highlight w:val="none"/>
          <w:lang w:val="en-US" w:eastAsia="zh-CN"/>
        </w:rPr>
        <w:t>137391528@qq.com</w:t>
      </w:r>
      <w:r>
        <w:rPr>
          <w:rFonts w:hint="eastAsia" w:ascii="宋体" w:hAnsi="宋体"/>
          <w:sz w:val="28"/>
          <w:szCs w:val="28"/>
          <w:highlight w:val="none"/>
        </w:rPr>
        <w:t>）。</w:t>
      </w:r>
    </w:p>
    <w:p w14:paraId="141952B6">
      <w:pPr>
        <w:kinsoku/>
        <w:wordWrap/>
        <w:topLinePunct w:val="0"/>
        <w:bidi w:val="0"/>
        <w:spacing w:line="360" w:lineRule="auto"/>
        <w:ind w:firstLine="373"/>
        <w:jc w:val="left"/>
        <w:rPr>
          <w:rFonts w:hint="eastAsia"/>
          <w:highlight w:val="none"/>
        </w:rPr>
      </w:pPr>
      <w:r>
        <w:rPr>
          <w:rFonts w:hint="eastAsia"/>
          <w:sz w:val="28"/>
          <w:szCs w:val="28"/>
          <w:highlight w:val="none"/>
        </w:rPr>
        <w:t>（如投标单位发送投标确认函后未参加投标项目，将以失信单位名单上报</w:t>
      </w:r>
      <w:r>
        <w:rPr>
          <w:rFonts w:hint="eastAsia"/>
          <w:sz w:val="28"/>
          <w:szCs w:val="28"/>
          <w:highlight w:val="none"/>
          <w:lang w:val="en-US" w:eastAsia="zh-CN"/>
        </w:rPr>
        <w:t>金华市公共资源交易中心</w:t>
      </w:r>
      <w:r>
        <w:rPr>
          <w:rFonts w:hint="eastAsia"/>
          <w:sz w:val="28"/>
          <w:szCs w:val="28"/>
          <w:highlight w:val="none"/>
        </w:rPr>
        <w:t>）</w:t>
      </w:r>
    </w:p>
    <w:p w14:paraId="7A05935C">
      <w:pPr>
        <w:pStyle w:val="2"/>
        <w:rPr>
          <w:rFonts w:hint="eastAsia"/>
        </w:rPr>
      </w:pPr>
    </w:p>
    <w:p w14:paraId="396296D7">
      <w:pPr>
        <w:rPr>
          <w:rFonts w:hint="eastAsia"/>
        </w:rPr>
      </w:pPr>
    </w:p>
    <w:p w14:paraId="5CD11F24">
      <w:pPr>
        <w:rPr>
          <w:rFonts w:hint="eastAsia"/>
        </w:rPr>
      </w:pPr>
    </w:p>
    <w:p w14:paraId="0A9C9017">
      <w:pPr>
        <w:tabs>
          <w:tab w:val="left" w:pos="2920"/>
        </w:tabs>
        <w:snapToGrid w:val="0"/>
        <w:spacing w:line="480" w:lineRule="auto"/>
        <w:jc w:val="center"/>
        <w:rPr>
          <w:rFonts w:ascii="宋体" w:hAnsi="宋体" w:cs="宋体"/>
          <w:b/>
          <w:bCs/>
          <w:color w:val="auto"/>
          <w:sz w:val="32"/>
          <w:szCs w:val="32"/>
        </w:rPr>
      </w:pPr>
      <w:r>
        <w:rPr>
          <w:rFonts w:hint="eastAsia" w:ascii="宋体" w:hAnsi="宋体" w:cs="宋体"/>
          <w:b/>
          <w:bCs/>
          <w:color w:val="auto"/>
          <w:sz w:val="32"/>
          <w:szCs w:val="32"/>
        </w:rPr>
        <w:t>第二章   招 标 需 求</w:t>
      </w:r>
    </w:p>
    <w:p w14:paraId="5C6D580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Arial"/>
          <w:b/>
          <w:color w:val="auto"/>
          <w:sz w:val="24"/>
          <w:highlight w:val="none"/>
        </w:rPr>
      </w:pPr>
      <w:r>
        <w:rPr>
          <w:rFonts w:hint="eastAsia" w:ascii="宋体" w:hAnsi="宋体" w:cs="宋体"/>
          <w:b/>
          <w:bCs/>
          <w:color w:val="auto"/>
          <w:sz w:val="24"/>
        </w:rPr>
        <w:t>一、</w:t>
      </w:r>
      <w:r>
        <w:rPr>
          <w:rFonts w:hint="eastAsia"/>
          <w:b/>
          <w:color w:val="auto"/>
          <w:sz w:val="24"/>
          <w:highlight w:val="none"/>
        </w:rPr>
        <w:t>采购</w:t>
      </w:r>
      <w:r>
        <w:rPr>
          <w:rFonts w:hint="eastAsia"/>
          <w:b/>
          <w:bCs/>
          <w:color w:val="auto"/>
          <w:sz w:val="24"/>
          <w:highlight w:val="none"/>
        </w:rPr>
        <w:t>项目概况</w:t>
      </w:r>
    </w:p>
    <w:p w14:paraId="539BCB07">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本次招标项目为东阳市房屋征收服务中心（东阳市房地产处）</w:t>
      </w:r>
      <w:r>
        <w:rPr>
          <w:rFonts w:hint="eastAsia" w:hAnsi="宋体" w:cs="宋体"/>
          <w:b w:val="0"/>
          <w:bCs w:val="0"/>
          <w:color w:val="auto"/>
          <w:kern w:val="2"/>
          <w:sz w:val="24"/>
          <w:szCs w:val="24"/>
          <w:highlight w:val="none"/>
          <w:lang w:val="en-US" w:eastAsia="zh-CN" w:bidi="ar-SA"/>
        </w:rPr>
        <w:t>东阳市2025年度新建房屋白蚁防治服务1-3标项采购项目</w:t>
      </w:r>
      <w:r>
        <w:rPr>
          <w:rFonts w:hint="eastAsia" w:ascii="宋体" w:hAnsi="宋体" w:eastAsia="宋体" w:cs="宋体"/>
          <w:b w:val="0"/>
          <w:bCs w:val="0"/>
          <w:color w:val="auto"/>
          <w:kern w:val="2"/>
          <w:sz w:val="24"/>
          <w:szCs w:val="24"/>
          <w:highlight w:val="none"/>
          <w:lang w:val="en-US" w:eastAsia="zh-CN" w:bidi="ar-SA"/>
        </w:rPr>
        <w:t>，服务内容包括新建房屋白蚁预防、白蚁综合治理等。此外，服务内容还包含：</w:t>
      </w:r>
    </w:p>
    <w:p w14:paraId="4962AB5A">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（1）应急性或上级交办的白蚁防治事件处理和其他工作。</w:t>
      </w:r>
    </w:p>
    <w:p w14:paraId="0B22493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（2）来电来人业务接待、登记，业务数据统计工作等。</w:t>
      </w:r>
    </w:p>
    <w:p w14:paraId="357E9B24">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464"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2、本次招标分三个标</w:t>
      </w:r>
      <w:r>
        <w:rPr>
          <w:rFonts w:hint="eastAsia" w:hAnsi="宋体" w:cs="宋体"/>
          <w:b w:val="0"/>
          <w:bCs w:val="0"/>
          <w:color w:val="auto"/>
          <w:kern w:val="2"/>
          <w:sz w:val="24"/>
          <w:szCs w:val="24"/>
          <w:highlight w:val="none"/>
          <w:lang w:val="en-US" w:eastAsia="zh-CN" w:bidi="ar-SA"/>
        </w:rPr>
        <w:t>段</w:t>
      </w:r>
      <w:r>
        <w:rPr>
          <w:rFonts w:hint="eastAsia" w:ascii="宋体" w:hAnsi="宋体" w:eastAsia="宋体" w:cs="宋体"/>
          <w:b w:val="0"/>
          <w:bCs w:val="0"/>
          <w:color w:val="auto"/>
          <w:kern w:val="2"/>
          <w:sz w:val="24"/>
          <w:szCs w:val="24"/>
          <w:highlight w:val="none"/>
          <w:lang w:val="en-US" w:eastAsia="zh-CN" w:bidi="ar-SA"/>
        </w:rPr>
        <w:t>，标</w:t>
      </w:r>
      <w:r>
        <w:rPr>
          <w:rFonts w:hint="eastAsia" w:hAnsi="宋体" w:cs="宋体"/>
          <w:b w:val="0"/>
          <w:bCs w:val="0"/>
          <w:color w:val="auto"/>
          <w:kern w:val="2"/>
          <w:sz w:val="24"/>
          <w:szCs w:val="24"/>
          <w:highlight w:val="none"/>
          <w:lang w:val="en-US" w:eastAsia="zh-CN" w:bidi="ar-SA"/>
        </w:rPr>
        <w:t>段</w:t>
      </w:r>
      <w:r>
        <w:rPr>
          <w:rFonts w:hint="eastAsia" w:ascii="宋体" w:hAnsi="宋体" w:eastAsia="宋体" w:cs="宋体"/>
          <w:b w:val="0"/>
          <w:bCs w:val="0"/>
          <w:color w:val="auto"/>
          <w:kern w:val="2"/>
          <w:sz w:val="24"/>
          <w:szCs w:val="24"/>
          <w:highlight w:val="none"/>
          <w:lang w:val="en-US" w:eastAsia="zh-CN" w:bidi="ar-SA"/>
        </w:rPr>
        <w:t>一：吴宁、白云、江北街道区域内；标</w:t>
      </w:r>
      <w:r>
        <w:rPr>
          <w:rFonts w:hint="eastAsia" w:hAnsi="宋体" w:cs="宋体"/>
          <w:b w:val="0"/>
          <w:bCs w:val="0"/>
          <w:color w:val="auto"/>
          <w:kern w:val="2"/>
          <w:sz w:val="24"/>
          <w:szCs w:val="24"/>
          <w:highlight w:val="none"/>
          <w:lang w:val="en-US" w:eastAsia="zh-CN" w:bidi="ar-SA"/>
        </w:rPr>
        <w:t>段</w:t>
      </w:r>
      <w:r>
        <w:rPr>
          <w:rFonts w:hint="eastAsia" w:ascii="宋体" w:hAnsi="宋体" w:eastAsia="宋体" w:cs="宋体"/>
          <w:b w:val="0"/>
          <w:bCs w:val="0"/>
          <w:color w:val="auto"/>
          <w:kern w:val="2"/>
          <w:sz w:val="24"/>
          <w:szCs w:val="24"/>
          <w:highlight w:val="none"/>
          <w:lang w:val="en-US" w:eastAsia="zh-CN" w:bidi="ar-SA"/>
        </w:rPr>
        <w:t>二：南市街道、横店镇、南马镇、画水镇、马宅镇、湖溪镇、千祥镇区域内；标段三：六石街道、城东街道、巍山镇、虎鹿镇、歌山镇、佐村镇、三单乡、东阳江镇区域。</w:t>
      </w:r>
    </w:p>
    <w:p w14:paraId="48DDFB0C">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hAnsi="宋体" w:cs="宋体"/>
          <w:b w:val="0"/>
          <w:bCs w:val="0"/>
          <w:color w:val="auto"/>
          <w:kern w:val="2"/>
          <w:sz w:val="24"/>
          <w:szCs w:val="24"/>
          <w:highlight w:val="none"/>
          <w:lang w:val="en-US" w:eastAsia="zh-CN" w:bidi="ar-SA"/>
        </w:rPr>
        <w:t>3、</w:t>
      </w:r>
      <w:r>
        <w:rPr>
          <w:rFonts w:hint="eastAsia" w:hAnsi="宋体" w:cs="宋体"/>
          <w:color w:val="000000"/>
          <w:spacing w:val="-4"/>
          <w:sz w:val="24"/>
        </w:rPr>
        <w:t>本次招标在同一时间、地点按标段顺序开标、评标。</w:t>
      </w:r>
      <w:r>
        <w:rPr>
          <w:rFonts w:hint="eastAsia" w:hAnsi="宋体" w:cs="宋体"/>
          <w:color w:val="auto"/>
          <w:spacing w:val="-4"/>
          <w:sz w:val="24"/>
        </w:rPr>
        <w:t>投标人必须参加本项目全部标段的投标，同一投标人只能中一个标段，如果一家投标单位有三个标段排名第一，只中先开标段，后开标段则推荐第二名为中标候选人（依次类推）。开标顺序为先开第一标段、再开第二标段、最后开第三标段。</w:t>
      </w:r>
    </w:p>
    <w:p w14:paraId="1682DABB">
      <w:pPr>
        <w:pStyle w:val="18"/>
        <w:ind w:firstLine="240" w:firstLineChars="100"/>
        <w:rPr>
          <w:rFonts w:hint="eastAsia"/>
          <w:lang w:val="en-US" w:eastAsia="zh-CN"/>
        </w:rPr>
      </w:pPr>
      <w:r>
        <w:rPr>
          <w:rFonts w:hint="eastAsia" w:ascii="宋体" w:hAnsi="宋体" w:eastAsia="宋体" w:cs="宋体"/>
          <w:color w:val="0D0D0D"/>
          <w:sz w:val="24"/>
        </w:rPr>
        <w:t>▲</w:t>
      </w:r>
      <w:r>
        <w:rPr>
          <w:rFonts w:hint="eastAsia" w:ascii="宋体" w:hAnsi="宋体" w:cs="宋体"/>
          <w:b/>
          <w:bCs/>
          <w:color w:val="000000"/>
          <w:sz w:val="24"/>
          <w:lang w:val="en-US" w:eastAsia="zh-CN"/>
        </w:rPr>
        <w:t>4</w:t>
      </w:r>
      <w:r>
        <w:rPr>
          <w:rFonts w:hint="eastAsia" w:ascii="宋体" w:hAnsi="宋体" w:eastAsia="宋体" w:cs="宋体"/>
          <w:b/>
          <w:bCs/>
          <w:color w:val="000000"/>
          <w:sz w:val="24"/>
        </w:rPr>
        <w:t>、本项目分</w:t>
      </w: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rPr>
        <w:t>个标</w:t>
      </w:r>
      <w:r>
        <w:rPr>
          <w:rFonts w:hint="eastAsia" w:ascii="宋体" w:hAnsi="宋体" w:eastAsia="宋体" w:cs="宋体"/>
          <w:b/>
          <w:bCs/>
          <w:color w:val="000000"/>
          <w:sz w:val="24"/>
          <w:lang w:val="en-US" w:eastAsia="zh-CN"/>
        </w:rPr>
        <w:t>段</w:t>
      </w:r>
      <w:r>
        <w:rPr>
          <w:rFonts w:hint="eastAsia" w:ascii="宋体" w:hAnsi="宋体" w:eastAsia="宋体" w:cs="宋体"/>
          <w:b/>
          <w:bCs/>
          <w:color w:val="000000"/>
          <w:sz w:val="24"/>
        </w:rPr>
        <w:t>确定</w:t>
      </w: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rPr>
        <w:t>名中标人（每个标项的中标人不重复）。</w:t>
      </w:r>
    </w:p>
    <w:p w14:paraId="646BE0AC">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 xml:space="preserve"> 二</w:t>
      </w:r>
      <w:r>
        <w:rPr>
          <w:rFonts w:hint="eastAsia" w:ascii="Times New Roman" w:hAnsi="Times New Roman" w:eastAsia="宋体" w:cs="Times New Roman"/>
          <w:b/>
          <w:color w:val="auto"/>
          <w:kern w:val="2"/>
          <w:sz w:val="24"/>
          <w:szCs w:val="24"/>
          <w:highlight w:val="none"/>
          <w:lang w:val="en-US" w:eastAsia="zh-CN" w:bidi="ar-SA"/>
        </w:rPr>
        <w:t>、</w:t>
      </w:r>
      <w:r>
        <w:rPr>
          <w:rFonts w:hint="eastAsia" w:ascii="Times New Roman" w:hAnsi="Times New Roman" w:cs="Times New Roman"/>
          <w:b/>
          <w:color w:val="auto"/>
          <w:kern w:val="2"/>
          <w:sz w:val="24"/>
          <w:szCs w:val="24"/>
          <w:highlight w:val="none"/>
          <w:lang w:val="en-US" w:eastAsia="zh-CN" w:bidi="ar-SA"/>
        </w:rPr>
        <w:t>服务内容及最高限价</w:t>
      </w:r>
    </w:p>
    <w:p w14:paraId="4958AE20">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464" w:firstLineChars="200"/>
        <w:textAlignment w:val="auto"/>
        <w:rPr>
          <w:rFonts w:hint="default"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1、东阳市</w:t>
      </w:r>
      <w:r>
        <w:rPr>
          <w:rFonts w:hint="eastAsia" w:hAnsi="宋体" w:cs="宋体"/>
          <w:color w:val="auto"/>
          <w:sz w:val="24"/>
          <w:highlight w:val="none"/>
          <w:lang w:eastAsia="zh-CN"/>
        </w:rPr>
        <w:t>2025年度新建房屋白蚁防治服务</w:t>
      </w:r>
      <w:r>
        <w:rPr>
          <w:rFonts w:hint="eastAsia" w:hAnsi="宋体" w:cs="宋体"/>
          <w:color w:val="auto"/>
          <w:sz w:val="24"/>
          <w:highlight w:val="none"/>
          <w:lang w:val="en-US" w:eastAsia="zh-CN"/>
        </w:rPr>
        <w:t>1-3标段</w:t>
      </w:r>
      <w:r>
        <w:rPr>
          <w:rFonts w:hint="eastAsia" w:hAnsi="宋体" w:cs="宋体"/>
          <w:color w:val="auto"/>
          <w:sz w:val="24"/>
          <w:highlight w:val="none"/>
          <w:lang w:eastAsia="zh-CN"/>
        </w:rPr>
        <w:t>采购项目预</w:t>
      </w:r>
      <w:r>
        <w:rPr>
          <w:rFonts w:hint="eastAsia" w:ascii="宋体" w:hAnsi="宋体" w:cs="宋体"/>
          <w:color w:val="auto"/>
          <w:sz w:val="24"/>
          <w:highlight w:val="none"/>
          <w:lang w:eastAsia="zh-CN"/>
        </w:rPr>
        <w:t>算价</w:t>
      </w:r>
      <w:r>
        <w:rPr>
          <w:rFonts w:hint="eastAsia" w:hAnsi="宋体" w:cs="宋体"/>
          <w:color w:val="auto"/>
          <w:sz w:val="24"/>
          <w:highlight w:val="none"/>
          <w:lang w:val="en-US" w:eastAsia="zh-CN"/>
        </w:rPr>
        <w:t>29.5</w:t>
      </w:r>
      <w:r>
        <w:rPr>
          <w:rFonts w:hint="eastAsia" w:ascii="宋体" w:hAnsi="宋体" w:cs="宋体"/>
          <w:color w:val="auto"/>
          <w:sz w:val="24"/>
          <w:highlight w:val="none"/>
          <w:lang w:val="en-US" w:eastAsia="zh-CN"/>
        </w:rPr>
        <w:t>万元，零星项目金额总计不超过</w:t>
      </w:r>
      <w:r>
        <w:rPr>
          <w:rFonts w:hint="eastAsia" w:hAnsi="宋体" w:cs="宋体"/>
          <w:color w:val="auto"/>
          <w:sz w:val="24"/>
          <w:highlight w:val="none"/>
          <w:lang w:val="en-US" w:eastAsia="zh-CN"/>
        </w:rPr>
        <w:t>29.5</w:t>
      </w:r>
      <w:r>
        <w:rPr>
          <w:rFonts w:hint="eastAsia" w:ascii="宋体" w:hAnsi="宋体" w:cs="宋体"/>
          <w:color w:val="auto"/>
          <w:sz w:val="24"/>
          <w:highlight w:val="none"/>
          <w:lang w:val="en-US" w:eastAsia="zh-CN"/>
        </w:rPr>
        <w:t>万元</w:t>
      </w:r>
      <w:r>
        <w:rPr>
          <w:rFonts w:hint="eastAsia" w:hAnsi="宋体" w:cs="宋体"/>
          <w:color w:val="auto"/>
          <w:sz w:val="24"/>
          <w:highlight w:val="none"/>
          <w:lang w:val="en-US" w:eastAsia="zh-CN"/>
        </w:rPr>
        <w:t>。</w:t>
      </w:r>
    </w:p>
    <w:p w14:paraId="4B2AD9E9">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464"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2、东阳市2025</w:t>
      </w:r>
      <w:r>
        <w:rPr>
          <w:rFonts w:hint="eastAsia" w:ascii="宋体" w:hAnsi="宋体" w:eastAsia="宋体" w:cs="宋体"/>
          <w:b w:val="0"/>
          <w:bCs w:val="0"/>
          <w:color w:val="auto"/>
          <w:kern w:val="2"/>
          <w:sz w:val="24"/>
          <w:szCs w:val="24"/>
          <w:highlight w:val="none"/>
          <w:lang w:val="en-US" w:eastAsia="zh-CN" w:bidi="ar-SA"/>
        </w:rPr>
        <w:t>年度新建房屋白蚁防治服务</w:t>
      </w:r>
      <w:r>
        <w:rPr>
          <w:rFonts w:hint="eastAsia" w:hAnsi="宋体" w:cs="宋体"/>
          <w:b w:val="0"/>
          <w:bCs w:val="0"/>
          <w:color w:val="auto"/>
          <w:kern w:val="2"/>
          <w:sz w:val="24"/>
          <w:szCs w:val="24"/>
          <w:highlight w:val="none"/>
          <w:lang w:val="en-US" w:eastAsia="zh-CN" w:bidi="ar-SA"/>
        </w:rPr>
        <w:t>1-3标段采购项目</w:t>
      </w:r>
      <w:r>
        <w:rPr>
          <w:rFonts w:hint="eastAsia" w:ascii="宋体" w:hAnsi="宋体" w:eastAsia="宋体" w:cs="宋体"/>
          <w:b w:val="0"/>
          <w:bCs w:val="0"/>
          <w:color w:val="auto"/>
          <w:kern w:val="2"/>
          <w:sz w:val="24"/>
          <w:szCs w:val="24"/>
          <w:highlight w:val="none"/>
          <w:lang w:val="en-US" w:eastAsia="zh-CN" w:bidi="ar-SA"/>
        </w:rPr>
        <w:t>内容及收费基准价：</w:t>
      </w:r>
    </w:p>
    <w:tbl>
      <w:tblPr>
        <w:tblStyle w:val="2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06"/>
        <w:gridCol w:w="2962"/>
        <w:gridCol w:w="4113"/>
      </w:tblGrid>
      <w:tr w14:paraId="0EB2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7" w:type="dxa"/>
            <w:noWrap w:val="0"/>
            <w:vAlign w:val="center"/>
          </w:tcPr>
          <w:p w14:paraId="089C79F9">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序号</w:t>
            </w:r>
          </w:p>
        </w:tc>
        <w:tc>
          <w:tcPr>
            <w:tcW w:w="1706" w:type="dxa"/>
            <w:noWrap w:val="0"/>
            <w:vAlign w:val="center"/>
          </w:tcPr>
          <w:p w14:paraId="29963DFF">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类别</w:t>
            </w:r>
          </w:p>
        </w:tc>
        <w:tc>
          <w:tcPr>
            <w:tcW w:w="2962" w:type="dxa"/>
            <w:noWrap w:val="0"/>
            <w:vAlign w:val="center"/>
          </w:tcPr>
          <w:p w14:paraId="0AF6E8D7">
            <w:pPr>
              <w:snapToGrid w:val="0"/>
              <w:spacing w:line="440" w:lineRule="exact"/>
              <w:ind w:firstLine="464" w:firstLineChars="200"/>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项目内容</w:t>
            </w:r>
          </w:p>
        </w:tc>
        <w:tc>
          <w:tcPr>
            <w:tcW w:w="4113" w:type="dxa"/>
            <w:noWrap w:val="0"/>
            <w:vAlign w:val="center"/>
          </w:tcPr>
          <w:p w14:paraId="70BB3F2F">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收费基准价（最高单价限价）</w:t>
            </w:r>
          </w:p>
        </w:tc>
      </w:tr>
      <w:tr w14:paraId="565C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87" w:type="dxa"/>
            <w:vMerge w:val="restart"/>
            <w:noWrap w:val="0"/>
            <w:vAlign w:val="center"/>
          </w:tcPr>
          <w:p w14:paraId="68CBEF17">
            <w:pPr>
              <w:snapToGrid w:val="0"/>
              <w:spacing w:line="440" w:lineRule="exact"/>
              <w:jc w:val="center"/>
              <w:rPr>
                <w:rFonts w:hAnsi="宋体" w:cs="宋体"/>
                <w:color w:val="auto"/>
                <w:spacing w:val="-4"/>
                <w:sz w:val="24"/>
                <w:szCs w:val="24"/>
                <w:highlight w:val="none"/>
              </w:rPr>
            </w:pPr>
            <w:r>
              <w:rPr>
                <w:rFonts w:hint="eastAsia" w:hAnsi="宋体" w:cs="宋体"/>
                <w:color w:val="auto"/>
                <w:spacing w:val="-4"/>
                <w:sz w:val="24"/>
                <w:szCs w:val="24"/>
                <w:highlight w:val="none"/>
              </w:rPr>
              <w:t>1</w:t>
            </w:r>
          </w:p>
        </w:tc>
        <w:tc>
          <w:tcPr>
            <w:tcW w:w="1706" w:type="dxa"/>
            <w:vMerge w:val="restart"/>
            <w:noWrap w:val="0"/>
            <w:vAlign w:val="center"/>
          </w:tcPr>
          <w:p w14:paraId="0B45BBE4">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新建房屋白蚁预防</w:t>
            </w:r>
          </w:p>
        </w:tc>
        <w:tc>
          <w:tcPr>
            <w:tcW w:w="2962" w:type="dxa"/>
            <w:noWrap w:val="0"/>
            <w:vAlign w:val="center"/>
          </w:tcPr>
          <w:p w14:paraId="39849E20">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蚁情现场调查</w:t>
            </w:r>
          </w:p>
        </w:tc>
        <w:tc>
          <w:tcPr>
            <w:tcW w:w="4113" w:type="dxa"/>
            <w:noWrap w:val="0"/>
            <w:vAlign w:val="center"/>
          </w:tcPr>
          <w:p w14:paraId="25D9193C">
            <w:pPr>
              <w:snapToGrid w:val="0"/>
              <w:spacing w:line="440" w:lineRule="exact"/>
              <w:jc w:val="center"/>
              <w:rPr>
                <w:rFonts w:hAnsi="宋体" w:cs="宋体"/>
                <w:color w:val="auto"/>
                <w:spacing w:val="-4"/>
                <w:sz w:val="24"/>
                <w:szCs w:val="24"/>
                <w:highlight w:val="none"/>
              </w:rPr>
            </w:pPr>
            <w:r>
              <w:rPr>
                <w:rFonts w:hint="eastAsia" w:hAnsi="宋体" w:cs="宋体"/>
                <w:color w:val="000000"/>
                <w:spacing w:val="-4"/>
                <w:sz w:val="24"/>
                <w:szCs w:val="24"/>
              </w:rPr>
              <w:t>7.13元/100㎡</w:t>
            </w:r>
          </w:p>
        </w:tc>
      </w:tr>
      <w:tr w14:paraId="32AD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noWrap w:val="0"/>
            <w:vAlign w:val="center"/>
          </w:tcPr>
          <w:p w14:paraId="3085F15E">
            <w:pPr>
              <w:snapToGrid w:val="0"/>
              <w:spacing w:line="440" w:lineRule="exact"/>
              <w:jc w:val="center"/>
              <w:rPr>
                <w:rFonts w:hint="eastAsia" w:hAnsi="宋体" w:cs="宋体"/>
                <w:color w:val="auto"/>
                <w:spacing w:val="-4"/>
                <w:sz w:val="24"/>
                <w:szCs w:val="24"/>
                <w:highlight w:val="none"/>
              </w:rPr>
            </w:pPr>
          </w:p>
        </w:tc>
        <w:tc>
          <w:tcPr>
            <w:tcW w:w="1706" w:type="dxa"/>
            <w:vMerge w:val="continue"/>
            <w:noWrap w:val="0"/>
            <w:vAlign w:val="center"/>
          </w:tcPr>
          <w:p w14:paraId="4679D8C7">
            <w:pPr>
              <w:snapToGrid w:val="0"/>
              <w:spacing w:line="440" w:lineRule="exact"/>
              <w:jc w:val="center"/>
              <w:rPr>
                <w:rFonts w:hint="eastAsia" w:hAnsi="宋体" w:cs="宋体"/>
                <w:color w:val="auto"/>
                <w:spacing w:val="-4"/>
                <w:sz w:val="24"/>
                <w:szCs w:val="24"/>
                <w:highlight w:val="none"/>
              </w:rPr>
            </w:pPr>
          </w:p>
        </w:tc>
        <w:tc>
          <w:tcPr>
            <w:tcW w:w="2962" w:type="dxa"/>
            <w:noWrap w:val="0"/>
            <w:vAlign w:val="center"/>
          </w:tcPr>
          <w:p w14:paraId="419BA654">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地下型监测装置安装</w:t>
            </w:r>
          </w:p>
        </w:tc>
        <w:tc>
          <w:tcPr>
            <w:tcW w:w="4113" w:type="dxa"/>
            <w:noWrap w:val="0"/>
            <w:vAlign w:val="center"/>
          </w:tcPr>
          <w:p w14:paraId="5247276F">
            <w:pPr>
              <w:snapToGrid w:val="0"/>
              <w:spacing w:line="440" w:lineRule="exact"/>
              <w:jc w:val="center"/>
              <w:rPr>
                <w:rFonts w:hAnsi="宋体" w:cs="宋体"/>
                <w:color w:val="auto"/>
                <w:spacing w:val="-4"/>
                <w:sz w:val="24"/>
                <w:szCs w:val="24"/>
                <w:highlight w:val="none"/>
              </w:rPr>
            </w:pPr>
            <w:r>
              <w:rPr>
                <w:rFonts w:hint="eastAsia" w:hAnsi="宋体" w:cs="宋体"/>
                <w:color w:val="000000"/>
                <w:spacing w:val="-4"/>
                <w:sz w:val="24"/>
                <w:szCs w:val="24"/>
              </w:rPr>
              <w:t>47.16元/套</w:t>
            </w:r>
          </w:p>
        </w:tc>
      </w:tr>
      <w:tr w14:paraId="1C2A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noWrap w:val="0"/>
            <w:vAlign w:val="center"/>
          </w:tcPr>
          <w:p w14:paraId="0586DAC4">
            <w:pPr>
              <w:snapToGrid w:val="0"/>
              <w:spacing w:line="440" w:lineRule="exact"/>
              <w:jc w:val="center"/>
              <w:rPr>
                <w:rFonts w:hint="eastAsia" w:hAnsi="宋体" w:cs="宋体"/>
                <w:color w:val="auto"/>
                <w:spacing w:val="-4"/>
                <w:sz w:val="24"/>
                <w:szCs w:val="24"/>
                <w:highlight w:val="none"/>
              </w:rPr>
            </w:pPr>
          </w:p>
        </w:tc>
        <w:tc>
          <w:tcPr>
            <w:tcW w:w="1706" w:type="dxa"/>
            <w:vMerge w:val="continue"/>
            <w:noWrap w:val="0"/>
            <w:vAlign w:val="center"/>
          </w:tcPr>
          <w:p w14:paraId="15B0EDE2">
            <w:pPr>
              <w:snapToGrid w:val="0"/>
              <w:spacing w:line="440" w:lineRule="exact"/>
              <w:jc w:val="center"/>
              <w:rPr>
                <w:rFonts w:hint="eastAsia" w:hAnsi="宋体" w:cs="宋体"/>
                <w:color w:val="auto"/>
                <w:spacing w:val="-4"/>
                <w:sz w:val="24"/>
                <w:szCs w:val="24"/>
                <w:highlight w:val="none"/>
              </w:rPr>
            </w:pPr>
          </w:p>
        </w:tc>
        <w:tc>
          <w:tcPr>
            <w:tcW w:w="2962" w:type="dxa"/>
            <w:noWrap w:val="0"/>
            <w:vAlign w:val="center"/>
          </w:tcPr>
          <w:p w14:paraId="141F65C5">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监测装置检查维护</w:t>
            </w:r>
          </w:p>
        </w:tc>
        <w:tc>
          <w:tcPr>
            <w:tcW w:w="4113" w:type="dxa"/>
            <w:noWrap w:val="0"/>
            <w:vAlign w:val="center"/>
          </w:tcPr>
          <w:p w14:paraId="41647363">
            <w:pPr>
              <w:snapToGrid w:val="0"/>
              <w:spacing w:line="440" w:lineRule="exact"/>
              <w:jc w:val="center"/>
              <w:rPr>
                <w:rFonts w:hAnsi="宋体" w:cs="宋体"/>
                <w:color w:val="auto"/>
                <w:spacing w:val="-4"/>
                <w:sz w:val="24"/>
                <w:szCs w:val="24"/>
                <w:highlight w:val="none"/>
              </w:rPr>
            </w:pPr>
            <w:r>
              <w:rPr>
                <w:rFonts w:hint="eastAsia" w:hAnsi="宋体" w:cs="宋体"/>
                <w:spacing w:val="-4"/>
                <w:sz w:val="24"/>
                <w:szCs w:val="24"/>
              </w:rPr>
              <w:t>13.42元/套*次</w:t>
            </w:r>
          </w:p>
        </w:tc>
      </w:tr>
      <w:tr w14:paraId="68C6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noWrap w:val="0"/>
            <w:vAlign w:val="center"/>
          </w:tcPr>
          <w:p w14:paraId="3044651A">
            <w:pPr>
              <w:snapToGrid w:val="0"/>
              <w:spacing w:line="440" w:lineRule="exact"/>
              <w:jc w:val="center"/>
              <w:rPr>
                <w:rFonts w:hint="eastAsia" w:hAnsi="宋体" w:cs="宋体"/>
                <w:color w:val="auto"/>
                <w:spacing w:val="-4"/>
                <w:sz w:val="24"/>
                <w:szCs w:val="24"/>
                <w:highlight w:val="none"/>
              </w:rPr>
            </w:pPr>
          </w:p>
        </w:tc>
        <w:tc>
          <w:tcPr>
            <w:tcW w:w="1706" w:type="dxa"/>
            <w:vMerge w:val="continue"/>
            <w:noWrap w:val="0"/>
            <w:vAlign w:val="center"/>
          </w:tcPr>
          <w:p w14:paraId="17ABB192">
            <w:pPr>
              <w:snapToGrid w:val="0"/>
              <w:spacing w:line="440" w:lineRule="exact"/>
              <w:jc w:val="center"/>
              <w:rPr>
                <w:rFonts w:hint="eastAsia" w:hAnsi="宋体" w:cs="宋体"/>
                <w:color w:val="auto"/>
                <w:spacing w:val="-4"/>
                <w:sz w:val="24"/>
                <w:szCs w:val="24"/>
                <w:highlight w:val="none"/>
              </w:rPr>
            </w:pPr>
          </w:p>
        </w:tc>
        <w:tc>
          <w:tcPr>
            <w:tcW w:w="2962" w:type="dxa"/>
            <w:noWrap w:val="0"/>
            <w:vAlign w:val="center"/>
          </w:tcPr>
          <w:p w14:paraId="75452558">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lang w:val="en-US" w:eastAsia="zh-CN"/>
              </w:rPr>
              <w:t>药物屏障复查回访</w:t>
            </w:r>
          </w:p>
        </w:tc>
        <w:tc>
          <w:tcPr>
            <w:tcW w:w="4113" w:type="dxa"/>
            <w:noWrap w:val="0"/>
            <w:vAlign w:val="center"/>
          </w:tcPr>
          <w:p w14:paraId="52263E0D">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lang w:val="en-US" w:eastAsia="zh-CN"/>
              </w:rPr>
              <w:t>7.13元/100㎡</w:t>
            </w:r>
          </w:p>
        </w:tc>
      </w:tr>
      <w:tr w14:paraId="1546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noWrap w:val="0"/>
            <w:vAlign w:val="center"/>
          </w:tcPr>
          <w:p w14:paraId="7EB110A5">
            <w:pPr>
              <w:snapToGrid w:val="0"/>
              <w:spacing w:line="440" w:lineRule="exact"/>
              <w:jc w:val="center"/>
              <w:rPr>
                <w:rFonts w:hint="eastAsia" w:hAnsi="宋体" w:cs="宋体"/>
                <w:color w:val="auto"/>
                <w:spacing w:val="-4"/>
                <w:sz w:val="24"/>
                <w:szCs w:val="24"/>
                <w:highlight w:val="none"/>
              </w:rPr>
            </w:pPr>
          </w:p>
        </w:tc>
        <w:tc>
          <w:tcPr>
            <w:tcW w:w="1706" w:type="dxa"/>
            <w:vMerge w:val="continue"/>
            <w:noWrap w:val="0"/>
            <w:vAlign w:val="center"/>
          </w:tcPr>
          <w:p w14:paraId="3839079C">
            <w:pPr>
              <w:snapToGrid w:val="0"/>
              <w:spacing w:line="440" w:lineRule="exact"/>
              <w:jc w:val="center"/>
              <w:rPr>
                <w:rFonts w:hint="eastAsia" w:hAnsi="宋体" w:cs="宋体"/>
                <w:color w:val="auto"/>
                <w:spacing w:val="-4"/>
                <w:sz w:val="24"/>
                <w:szCs w:val="24"/>
                <w:highlight w:val="none"/>
              </w:rPr>
            </w:pPr>
          </w:p>
        </w:tc>
        <w:tc>
          <w:tcPr>
            <w:tcW w:w="2962" w:type="dxa"/>
            <w:noWrap w:val="0"/>
            <w:vAlign w:val="center"/>
          </w:tcPr>
          <w:p w14:paraId="7B327128">
            <w:pPr>
              <w:spacing w:line="440" w:lineRule="exact"/>
              <w:jc w:val="center"/>
              <w:rPr>
                <w:rFonts w:hint="default" w:hAnsi="宋体" w:cs="宋体"/>
                <w:color w:val="auto"/>
                <w:spacing w:val="-4"/>
                <w:sz w:val="24"/>
                <w:szCs w:val="24"/>
                <w:highlight w:val="none"/>
                <w:lang w:val="en-US" w:eastAsia="zh-CN"/>
              </w:rPr>
            </w:pPr>
            <w:r>
              <w:rPr>
                <w:rFonts w:hint="eastAsia" w:hAnsi="宋体" w:cs="宋体"/>
                <w:color w:val="auto"/>
                <w:spacing w:val="-4"/>
                <w:sz w:val="24"/>
                <w:szCs w:val="24"/>
                <w:highlight w:val="none"/>
                <w:lang w:val="en-US" w:eastAsia="zh-CN"/>
              </w:rPr>
              <w:t>白蚁药杀法灭治</w:t>
            </w:r>
          </w:p>
        </w:tc>
        <w:tc>
          <w:tcPr>
            <w:tcW w:w="4113" w:type="dxa"/>
            <w:noWrap w:val="0"/>
            <w:vAlign w:val="center"/>
          </w:tcPr>
          <w:p w14:paraId="743F83D9">
            <w:pPr>
              <w:spacing w:line="440" w:lineRule="exact"/>
              <w:jc w:val="center"/>
              <w:rPr>
                <w:rFonts w:hint="default" w:hAnsi="宋体" w:cs="宋体"/>
                <w:color w:val="auto"/>
                <w:spacing w:val="-4"/>
                <w:sz w:val="24"/>
                <w:szCs w:val="24"/>
                <w:highlight w:val="none"/>
                <w:lang w:val="en-US" w:eastAsia="zh-CN"/>
              </w:rPr>
            </w:pPr>
            <w:r>
              <w:rPr>
                <w:rFonts w:hint="eastAsia" w:hAnsi="宋体" w:cs="宋体"/>
                <w:color w:val="auto"/>
                <w:spacing w:val="-4"/>
                <w:sz w:val="24"/>
                <w:szCs w:val="24"/>
                <w:highlight w:val="none"/>
                <w:lang w:val="en-US" w:eastAsia="zh-CN"/>
              </w:rPr>
              <w:t>3.06元/㎡</w:t>
            </w:r>
          </w:p>
        </w:tc>
      </w:tr>
      <w:tr w14:paraId="2EA0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568" w:type="dxa"/>
            <w:gridSpan w:val="4"/>
            <w:noWrap w:val="0"/>
            <w:vAlign w:val="center"/>
          </w:tcPr>
          <w:p w14:paraId="05A74313">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备注：1.本次招标项目的报价内容为</w:t>
            </w:r>
            <w:r>
              <w:rPr>
                <w:rFonts w:hint="eastAsia" w:hAnsi="宋体" w:cs="宋体"/>
                <w:b w:val="0"/>
                <w:bCs w:val="0"/>
                <w:color w:val="auto"/>
                <w:kern w:val="2"/>
                <w:sz w:val="24"/>
                <w:szCs w:val="24"/>
                <w:highlight w:val="none"/>
                <w:lang w:val="en-US" w:eastAsia="zh-CN" w:bidi="ar-SA"/>
              </w:rPr>
              <w:t>折扣</w:t>
            </w:r>
            <w:r>
              <w:rPr>
                <w:rFonts w:hint="eastAsia" w:ascii="宋体" w:hAnsi="宋体" w:eastAsia="宋体" w:cs="宋体"/>
                <w:b w:val="0"/>
                <w:bCs w:val="0"/>
                <w:color w:val="auto"/>
                <w:kern w:val="2"/>
                <w:sz w:val="24"/>
                <w:szCs w:val="24"/>
                <w:highlight w:val="none"/>
                <w:lang w:val="en-US" w:eastAsia="zh-CN" w:bidi="ar-SA"/>
              </w:rPr>
              <w:t>，即投标人在招标文件工作内容及收费标准（基准价）中规定的基准价基础上，结合自身企业经营情况填报的折扣幅度。折扣以百分比（%）进行表述，折扣百分比数值越小，则报价越</w:t>
            </w:r>
            <w:r>
              <w:rPr>
                <w:rFonts w:hint="eastAsia" w:hAnsi="宋体" w:cs="宋体"/>
                <w:b w:val="0"/>
                <w:bCs w:val="0"/>
                <w:color w:val="auto"/>
                <w:kern w:val="2"/>
                <w:sz w:val="24"/>
                <w:szCs w:val="24"/>
                <w:highlight w:val="none"/>
                <w:lang w:val="en-US" w:eastAsia="zh-CN" w:bidi="ar-SA"/>
              </w:rPr>
              <w:t>低</w:t>
            </w:r>
            <w:r>
              <w:rPr>
                <w:rFonts w:hint="eastAsia" w:ascii="宋体" w:hAnsi="宋体" w:eastAsia="宋体" w:cs="宋体"/>
                <w:b w:val="0"/>
                <w:bCs w:val="0"/>
                <w:color w:val="auto"/>
                <w:kern w:val="2"/>
                <w:sz w:val="24"/>
                <w:szCs w:val="24"/>
                <w:highlight w:val="none"/>
                <w:lang w:val="en-US" w:eastAsia="zh-CN" w:bidi="ar-SA"/>
              </w:rPr>
              <w:t>。</w:t>
            </w:r>
          </w:p>
          <w:p w14:paraId="632B2759">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hAnsi="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2.结算时根据中标人完成各项目的完工数量及中标单价结算。中标单价=收费基准价×折扣</w:t>
            </w:r>
          </w:p>
        </w:tc>
      </w:tr>
    </w:tbl>
    <w:p w14:paraId="7B829C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auto"/>
          <w:sz w:val="24"/>
          <w:szCs w:val="24"/>
          <w:highlight w:val="none"/>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预防维护期间应根据白蚁生长特性，及时进行检查有无白蚁孳生情况，安装监测装置、补充防治药物、埋设诱杀包、喷施灭蚁粉剂等防治措施、设施等。</w:t>
      </w:r>
      <w:r>
        <w:rPr>
          <w:rFonts w:hint="eastAsia" w:ascii="宋体" w:hAnsi="宋体" w:cs="宋体"/>
          <w:color w:val="auto"/>
          <w:sz w:val="24"/>
          <w:lang w:val="en-US" w:eastAsia="zh-CN"/>
        </w:rPr>
        <w:t>每</w:t>
      </w:r>
      <w:r>
        <w:rPr>
          <w:rFonts w:hint="eastAsia" w:ascii="宋体" w:hAnsi="宋体" w:eastAsia="宋体" w:cs="宋体"/>
          <w:color w:val="auto"/>
          <w:sz w:val="24"/>
          <w:lang w:val="en-US" w:eastAsia="zh-CN"/>
        </w:rPr>
        <w:t>年检查维护次数不得少于2次，白蚁活动高发其时间段</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-6月、9-1</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月两个时间段，每个时间段不得少于1次。确保无白蚁孳生繁殖。</w:t>
      </w:r>
    </w:p>
    <w:p w14:paraId="37CF15F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本次招标</w:t>
      </w:r>
      <w:r>
        <w:rPr>
          <w:rFonts w:hint="eastAsia" w:ascii="宋体" w:hAnsi="宋体" w:cs="宋体"/>
          <w:color w:val="auto"/>
          <w:sz w:val="24"/>
          <w:highlight w:val="none"/>
        </w:rPr>
        <w:t>项目为东阳市</w:t>
      </w:r>
      <w:r>
        <w:rPr>
          <w:rFonts w:hint="eastAsia" w:ascii="宋体" w:hAnsi="宋体" w:cs="宋体"/>
          <w:color w:val="auto"/>
          <w:sz w:val="24"/>
          <w:highlight w:val="none"/>
          <w:lang w:eastAsia="zh-CN"/>
        </w:rPr>
        <w:t>2025</w:t>
      </w:r>
      <w:r>
        <w:rPr>
          <w:rFonts w:hint="eastAsia" w:ascii="宋体" w:hAnsi="宋体" w:cs="宋体"/>
          <w:color w:val="auto"/>
          <w:sz w:val="24"/>
          <w:highlight w:val="none"/>
        </w:rPr>
        <w:t>年度新建房屋白蚁防治蚁情现场调查、监测装置安装施工、已建成房屋白蚁预防工程监测装置检查维护、</w:t>
      </w:r>
      <w:r>
        <w:rPr>
          <w:rFonts w:hint="eastAsia" w:ascii="宋体" w:hAnsi="宋体" w:cs="宋体"/>
          <w:color w:val="auto"/>
          <w:sz w:val="24"/>
          <w:highlight w:val="none"/>
          <w:lang w:val="en-US" w:eastAsia="zh-CN"/>
        </w:rPr>
        <w:t>药物屏障复查回访、</w:t>
      </w:r>
      <w:r>
        <w:rPr>
          <w:rFonts w:hint="eastAsia" w:hAnsi="宋体" w:cs="宋体"/>
          <w:color w:val="auto"/>
          <w:spacing w:val="-4"/>
          <w:sz w:val="24"/>
          <w:szCs w:val="24"/>
          <w:highlight w:val="none"/>
          <w:lang w:val="en-US" w:eastAsia="zh-CN"/>
        </w:rPr>
        <w:t>白蚁药杀法灭治、</w:t>
      </w:r>
      <w:r>
        <w:rPr>
          <w:rFonts w:hint="eastAsia" w:ascii="宋体" w:hAnsi="宋体" w:cs="宋体"/>
          <w:color w:val="auto"/>
          <w:sz w:val="24"/>
          <w:highlight w:val="none"/>
        </w:rPr>
        <w:t>白蚁综合治理。项目施工应严格按照DB33/T 1108-2018《房屋白蚁监测控制系统应用技术规程》、GB/T 51253-2017《建设工程白蚁危害评定标准》等规定。</w:t>
      </w:r>
    </w:p>
    <w:p w14:paraId="02318C4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新建房屋白蚁预防</w:t>
      </w:r>
    </w:p>
    <w:p w14:paraId="3B9480C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蚁情现场调查：对新建预防项目进行白蚁问询、调查、记录整理、并编写蚁害调查表和施工方案。</w:t>
      </w:r>
      <w:r>
        <w:rPr>
          <w:rFonts w:hint="eastAsia" w:ascii="宋体" w:hAnsi="宋体" w:cs="宋体"/>
          <w:color w:val="auto"/>
          <w:sz w:val="24"/>
          <w:highlight w:val="none"/>
          <w:lang w:val="en-US" w:eastAsia="zh-CN"/>
        </w:rPr>
        <w:t>计量单位：100㎡（用地面积</w:t>
      </w:r>
      <w:r>
        <w:rPr>
          <w:rFonts w:hint="eastAsia" w:ascii="宋体" w:hAnsi="宋体" w:cs="宋体"/>
          <w:color w:val="auto"/>
          <w:sz w:val="24"/>
          <w:highlight w:val="none"/>
          <w:lang w:eastAsia="zh-CN"/>
        </w:rPr>
        <w:t>）</w:t>
      </w:r>
    </w:p>
    <w:p w14:paraId="479323E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地下型监测装置安装：根据施工方案完成新建预防项目监测装置的放样、编号、挖孔、埋置、覆土、记录整理工作。</w:t>
      </w:r>
    </w:p>
    <w:p w14:paraId="750123D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监测装置检查维护：对存量项目监测装置进行一年两次的复查、更换监测装置及饵料、喷粉或饵剂投放、记录整理。</w:t>
      </w:r>
    </w:p>
    <w:p w14:paraId="1718292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(4)药物屏障复查回访</w:t>
      </w:r>
      <w:r>
        <w:rPr>
          <w:rFonts w:hint="eastAsia" w:ascii="宋体" w:hAnsi="宋体" w:cs="宋体"/>
          <w:color w:val="auto"/>
          <w:sz w:val="24"/>
          <w:highlight w:val="none"/>
        </w:rPr>
        <w:t>：对存量项目</w:t>
      </w:r>
      <w:r>
        <w:rPr>
          <w:rFonts w:hint="eastAsia" w:ascii="宋体" w:hAnsi="宋体" w:cs="宋体"/>
          <w:color w:val="auto"/>
          <w:sz w:val="24"/>
          <w:highlight w:val="none"/>
          <w:lang w:eastAsia="zh-CN"/>
        </w:rPr>
        <w:t>药物屏障处理的</w:t>
      </w:r>
      <w:r>
        <w:rPr>
          <w:rFonts w:hint="eastAsia" w:ascii="宋体" w:hAnsi="宋体" w:cs="宋体"/>
          <w:color w:val="auto"/>
          <w:sz w:val="24"/>
          <w:highlight w:val="none"/>
        </w:rPr>
        <w:t>复查</w:t>
      </w:r>
      <w:r>
        <w:rPr>
          <w:rFonts w:hint="eastAsia" w:ascii="宋体" w:hAnsi="宋体" w:cs="宋体"/>
          <w:color w:val="auto"/>
          <w:sz w:val="24"/>
          <w:highlight w:val="none"/>
          <w:lang w:eastAsia="zh-CN"/>
        </w:rPr>
        <w:t>回访。</w:t>
      </w:r>
      <w:r>
        <w:rPr>
          <w:rFonts w:hint="eastAsia" w:ascii="宋体" w:hAnsi="宋体" w:cs="宋体"/>
          <w:color w:val="auto"/>
          <w:sz w:val="24"/>
          <w:highlight w:val="none"/>
          <w:lang w:val="en-US" w:eastAsia="zh-CN"/>
        </w:rPr>
        <w:t>计量单位：100㎡（用地面积</w:t>
      </w:r>
      <w:r>
        <w:rPr>
          <w:rFonts w:hint="eastAsia" w:ascii="宋体" w:hAnsi="宋体" w:cs="宋体"/>
          <w:color w:val="auto"/>
          <w:sz w:val="24"/>
          <w:highlight w:val="none"/>
          <w:lang w:eastAsia="zh-CN"/>
        </w:rPr>
        <w:t>）</w:t>
      </w:r>
    </w:p>
    <w:p w14:paraId="390F08A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白蚁药杀灭治：检查、喷粉、喷液、埋饵、饵剂投放处理。计量单位：㎡（建筑面积）</w:t>
      </w:r>
    </w:p>
    <w:p w14:paraId="0547652B">
      <w:pPr>
        <w:keepNext w:val="0"/>
        <w:keepLines w:val="0"/>
        <w:pageBreakBefore w:val="0"/>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b/>
          <w:bCs/>
          <w:color w:val="auto"/>
          <w:sz w:val="24"/>
          <w:highlight w:val="none"/>
          <w:lang w:eastAsia="zh-CN"/>
        </w:rPr>
      </w:pPr>
      <w:r>
        <w:rPr>
          <w:rFonts w:hint="eastAsia" w:hAnsi="宋体" w:cs="宋体"/>
          <w:color w:val="auto"/>
          <w:spacing w:val="-4"/>
          <w:sz w:val="24"/>
          <w:highlight w:val="none"/>
          <w:lang w:val="en-US" w:eastAsia="zh-CN"/>
        </w:rPr>
        <w:t>6、</w:t>
      </w:r>
      <w:r>
        <w:rPr>
          <w:rFonts w:hint="eastAsia" w:hAnsi="宋体" w:cs="宋体"/>
          <w:color w:val="auto"/>
          <w:spacing w:val="-4"/>
          <w:sz w:val="24"/>
          <w:highlight w:val="none"/>
        </w:rPr>
        <w:t>新建房屋白蚁防治施工以</w:t>
      </w:r>
      <w:r>
        <w:rPr>
          <w:rFonts w:hint="eastAsia" w:hAnsi="宋体" w:cs="宋体"/>
          <w:color w:val="auto"/>
          <w:spacing w:val="-4"/>
          <w:sz w:val="24"/>
          <w:highlight w:val="none"/>
          <w:lang w:eastAsia="zh-CN"/>
        </w:rPr>
        <w:t>2025</w:t>
      </w:r>
      <w:r>
        <w:rPr>
          <w:rFonts w:hint="eastAsia" w:hAnsi="宋体" w:cs="宋体"/>
          <w:color w:val="auto"/>
          <w:spacing w:val="-4"/>
          <w:sz w:val="24"/>
          <w:highlight w:val="none"/>
        </w:rPr>
        <w:t>年</w:t>
      </w:r>
      <w:r>
        <w:rPr>
          <w:rFonts w:hint="eastAsia" w:hAnsi="宋体" w:cs="宋体"/>
          <w:color w:val="auto"/>
          <w:spacing w:val="-4"/>
          <w:sz w:val="24"/>
          <w:highlight w:val="none"/>
          <w:lang w:val="en-US" w:eastAsia="zh-CN"/>
        </w:rPr>
        <w:t xml:space="preserve"> 7 </w:t>
      </w:r>
      <w:r>
        <w:rPr>
          <w:rFonts w:hint="eastAsia" w:hAnsi="宋体" w:cs="宋体"/>
          <w:color w:val="auto"/>
          <w:spacing w:val="-4"/>
          <w:sz w:val="24"/>
          <w:highlight w:val="none"/>
        </w:rPr>
        <w:t>月</w:t>
      </w:r>
      <w:r>
        <w:rPr>
          <w:rFonts w:hint="eastAsia" w:hAnsi="宋体" w:cs="宋体"/>
          <w:color w:val="auto"/>
          <w:spacing w:val="-4"/>
          <w:sz w:val="24"/>
          <w:highlight w:val="none"/>
          <w:lang w:val="en-US" w:eastAsia="zh-CN"/>
        </w:rPr>
        <w:t xml:space="preserve"> 1 </w:t>
      </w:r>
      <w:r>
        <w:rPr>
          <w:rFonts w:hint="eastAsia" w:hAnsi="宋体" w:cs="宋体"/>
          <w:color w:val="auto"/>
          <w:spacing w:val="-4"/>
          <w:sz w:val="24"/>
          <w:highlight w:val="none"/>
        </w:rPr>
        <w:t>日-202</w:t>
      </w:r>
      <w:r>
        <w:rPr>
          <w:rFonts w:hint="eastAsia" w:hAnsi="宋体" w:cs="宋体"/>
          <w:color w:val="auto"/>
          <w:spacing w:val="-4"/>
          <w:sz w:val="24"/>
          <w:highlight w:val="none"/>
          <w:lang w:val="en-US" w:eastAsia="zh-CN"/>
        </w:rPr>
        <w:t>6</w:t>
      </w:r>
      <w:r>
        <w:rPr>
          <w:rFonts w:hint="eastAsia" w:hAnsi="宋体" w:cs="宋体"/>
          <w:color w:val="auto"/>
          <w:spacing w:val="-4"/>
          <w:sz w:val="24"/>
          <w:highlight w:val="none"/>
        </w:rPr>
        <w:t>年</w:t>
      </w:r>
      <w:r>
        <w:rPr>
          <w:rFonts w:hint="eastAsia" w:hAnsi="宋体" w:cs="宋体"/>
          <w:color w:val="auto"/>
          <w:spacing w:val="-4"/>
          <w:sz w:val="24"/>
          <w:highlight w:val="none"/>
          <w:lang w:val="en-US" w:eastAsia="zh-CN"/>
        </w:rPr>
        <w:t xml:space="preserve"> 6 </w:t>
      </w:r>
      <w:r>
        <w:rPr>
          <w:rFonts w:hint="eastAsia" w:hAnsi="宋体" w:cs="宋体"/>
          <w:color w:val="auto"/>
          <w:spacing w:val="-4"/>
          <w:sz w:val="24"/>
          <w:highlight w:val="none"/>
        </w:rPr>
        <w:t>月</w:t>
      </w:r>
      <w:r>
        <w:rPr>
          <w:rFonts w:hint="eastAsia" w:hAnsi="宋体" w:cs="宋体"/>
          <w:color w:val="auto"/>
          <w:spacing w:val="-4"/>
          <w:sz w:val="24"/>
          <w:highlight w:val="none"/>
          <w:lang w:val="en-US" w:eastAsia="zh-CN"/>
        </w:rPr>
        <w:t xml:space="preserve"> 30 </w:t>
      </w:r>
      <w:r>
        <w:rPr>
          <w:rFonts w:hint="eastAsia" w:hAnsi="宋体" w:cs="宋体"/>
          <w:color w:val="auto"/>
          <w:spacing w:val="-4"/>
          <w:sz w:val="24"/>
          <w:highlight w:val="none"/>
        </w:rPr>
        <w:t>日期间受理的项目（以新建房屋白蚁预防公共服务受理登记单为准）。</w:t>
      </w:r>
    </w:p>
    <w:p w14:paraId="5EDAE642">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、技术要求</w:t>
      </w:r>
    </w:p>
    <w:p w14:paraId="6661C0F9">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color w:val="auto"/>
          <w:sz w:val="24"/>
          <w:highlight w:val="none"/>
        </w:rPr>
      </w:pPr>
      <w:r>
        <w:rPr>
          <w:rFonts w:hint="eastAsia" w:ascii="宋体" w:hAnsi="宋体"/>
          <w:b/>
          <w:bCs/>
          <w:color w:val="auto"/>
          <w:sz w:val="24"/>
          <w:highlight w:val="none"/>
        </w:rPr>
        <w:t>1、对投标公司的要求</w:t>
      </w:r>
      <w:r>
        <w:rPr>
          <w:rFonts w:hint="eastAsia" w:ascii="宋体" w:hAnsi="宋体"/>
          <w:color w:val="auto"/>
          <w:sz w:val="24"/>
          <w:highlight w:val="none"/>
        </w:rPr>
        <w:t>：</w:t>
      </w:r>
    </w:p>
    <w:p w14:paraId="7BDBC76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配备有相应专业技能的工作人员不少于7人。其中：具有中级以上（含中级）相关专业技术职称（含白蚁防治技师）的工作人员不少于3人（其中，专职相应专业技术人员不少于2人，外聘专业技术人员不得超过1人，证书标注为非白蚁防治专业的需同时提供白蚁防治职业资格证书或白蚁防治职业培训合格证书）；</w:t>
      </w:r>
    </w:p>
    <w:p w14:paraId="5EBB7E2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（2）经过白蚁防治职业技能培训与考核鉴定，持有白蚁防治职业资格证书或白蚁防治职业培训合格证书的专职人员不少于4 人； </w:t>
      </w:r>
    </w:p>
    <w:p w14:paraId="3F288F0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（3）专职人员需与由社保部门出具的养老保险证明对应，养老保险证明应反映招标文件发布前1个月的缴纳情况；</w:t>
      </w:r>
    </w:p>
    <w:p w14:paraId="154BD79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（4）相关专业技能证书发证单位为全国白蚁防治中心、设区市以上人力资源或建设行政主管部门。</w:t>
      </w:r>
    </w:p>
    <w:p w14:paraId="557284B4">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color w:val="auto"/>
          <w:sz w:val="24"/>
          <w:highlight w:val="none"/>
        </w:rPr>
      </w:pPr>
      <w:r>
        <w:rPr>
          <w:rFonts w:hint="eastAsia" w:ascii="宋体" w:hAnsi="宋体"/>
          <w:b/>
          <w:bCs/>
          <w:color w:val="auto"/>
          <w:sz w:val="24"/>
          <w:highlight w:val="none"/>
        </w:rPr>
        <w:t>2、对拟投入本项目的项目组的要求</w:t>
      </w:r>
      <w:r>
        <w:rPr>
          <w:rFonts w:hint="eastAsia" w:ascii="宋体" w:hAnsi="宋体"/>
          <w:color w:val="auto"/>
          <w:sz w:val="24"/>
          <w:highlight w:val="none"/>
        </w:rPr>
        <w:t>：</w:t>
      </w:r>
    </w:p>
    <w:p w14:paraId="3C4437F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（1）项目经理（技术负责人）1 人，应具有白蚁防治专业高级技工或助理工程师及以上资格证书，专职负责本项目工作，月均出勤22天以上；    </w:t>
      </w:r>
    </w:p>
    <w:p w14:paraId="0E059A6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（2）施工员3人(包括驾驶员)及以上，应经过白蚁防治职业技能培训与考核鉴定，持有职业资格证书或白蚁防治职业培训合格证书（业务量大时或白蚁活动高峰期应增配施工员）；</w:t>
      </w:r>
    </w:p>
    <w:p w14:paraId="7AA15C8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（3）配置有白蚁防治施工机械设备与保障质量安全的技术装备，有环境安全的药物专储仓库。</w:t>
      </w:r>
    </w:p>
    <w:p w14:paraId="1DE2276E">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color w:val="auto"/>
          <w:sz w:val="24"/>
          <w:highlight w:val="none"/>
        </w:rPr>
      </w:pPr>
      <w:r>
        <w:rPr>
          <w:rFonts w:hint="eastAsia" w:ascii="宋体" w:hAnsi="宋体"/>
          <w:b/>
          <w:color w:val="auto"/>
          <w:sz w:val="24"/>
          <w:highlight w:val="none"/>
          <w:lang w:eastAsia="zh-CN"/>
        </w:rPr>
        <w:t>四</w:t>
      </w:r>
      <w:r>
        <w:rPr>
          <w:rFonts w:hint="eastAsia" w:ascii="宋体" w:hAnsi="宋体"/>
          <w:b/>
          <w:color w:val="auto"/>
          <w:sz w:val="24"/>
          <w:highlight w:val="none"/>
        </w:rPr>
        <w:t>、防治服务的技术依据</w:t>
      </w:r>
    </w:p>
    <w:p w14:paraId="7190F80A">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1、《房屋白蚁监测控制系统应用技术规程》编号DB33／T1108—2018。主要技术指标为：</w:t>
      </w:r>
    </w:p>
    <w:p w14:paraId="5DD587FA">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监测装置安装位置为房屋外墙0.5-1米，房屋四周安装间距为5米，特殊情况协商确定，服务施工方案由东阳市房屋征收服务中心（东阳市房地产处）审定后方可实施；</w:t>
      </w:r>
    </w:p>
    <w:p w14:paraId="275214A0">
      <w:pPr>
        <w:keepNext w:val="0"/>
        <w:keepLines w:val="0"/>
        <w:pageBreakBefore w:val="0"/>
        <w:numPr>
          <w:ilvl w:val="0"/>
          <w:numId w:val="2"/>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监测装置维护周期：每年上半年、下半年各1次，（包括维护、更换、处理）特殊情况协商确定；</w:t>
      </w:r>
    </w:p>
    <w:p w14:paraId="7089688F">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2、东阳市房屋征收服务中心</w:t>
      </w:r>
      <w:r>
        <w:rPr>
          <w:rFonts w:hint="eastAsia" w:ascii="宋体" w:hAnsi="宋体"/>
          <w:color w:val="auto"/>
          <w:sz w:val="24"/>
          <w:highlight w:val="none"/>
          <w:lang w:val="en-US" w:eastAsia="zh-CN"/>
        </w:rPr>
        <w:t>（东阳市房地产处）</w:t>
      </w:r>
      <w:r>
        <w:rPr>
          <w:rFonts w:hint="eastAsia" w:ascii="宋体" w:hAnsi="宋体"/>
          <w:color w:val="auto"/>
          <w:sz w:val="24"/>
          <w:highlight w:val="none"/>
        </w:rPr>
        <w:t>有关白蚁防治施工的规章制度。</w:t>
      </w:r>
    </w:p>
    <w:p w14:paraId="13335279">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五</w:t>
      </w:r>
      <w:r>
        <w:rPr>
          <w:rFonts w:hint="eastAsia" w:ascii="宋体" w:hAnsi="宋体"/>
          <w:b/>
          <w:bCs/>
          <w:color w:val="auto"/>
          <w:sz w:val="24"/>
          <w:highlight w:val="none"/>
        </w:rPr>
        <w:t>、工作质量检查考核</w:t>
      </w:r>
    </w:p>
    <w:p w14:paraId="57B672F8">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rPr>
        <w:t>（一）新建房屋白蚁预防施工业务</w:t>
      </w:r>
    </w:p>
    <w:p w14:paraId="7B7F9B23">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1、中标单位工作职责：收到新建预防档案后3个工作日内现场勘察工地，取得施工图纸，编制初步施工方案，会同建设单位审定施工方案，施工方案中应包含监测装置安</w:t>
      </w:r>
      <w:r>
        <w:rPr>
          <w:rFonts w:hint="eastAsia"/>
          <w:color w:val="auto"/>
          <w:sz w:val="24"/>
          <w:highlight w:val="none"/>
        </w:rPr>
        <w:t>装图纸，准确记录安装位置。</w:t>
      </w:r>
      <w:r>
        <w:rPr>
          <w:rFonts w:hint="eastAsia" w:ascii="宋体" w:hAnsi="宋体"/>
          <w:color w:val="auto"/>
          <w:sz w:val="24"/>
          <w:highlight w:val="none"/>
        </w:rPr>
        <w:t>并按照施工方案进行白蚁预防施工，接受建设单位现场监管，规范填写相关表格，工程完工后，按规定移交完整的项目档案。</w:t>
      </w:r>
    </w:p>
    <w:p w14:paraId="17CEB26D">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color w:val="auto"/>
          <w:sz w:val="24"/>
          <w:highlight w:val="none"/>
        </w:rPr>
      </w:pPr>
      <w:r>
        <w:rPr>
          <w:rFonts w:hint="eastAsia"/>
          <w:color w:val="auto"/>
          <w:sz w:val="24"/>
          <w:highlight w:val="none"/>
        </w:rPr>
        <w:t>2、采取每季度一次对中标单位工作内容及工作范围是否按规定要求操作进行酌情考核。</w:t>
      </w:r>
    </w:p>
    <w:p w14:paraId="411B647A">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color w:val="auto"/>
          <w:sz w:val="24"/>
          <w:highlight w:val="none"/>
        </w:rPr>
      </w:pPr>
      <w:r>
        <w:rPr>
          <w:rFonts w:hint="eastAsia"/>
          <w:color w:val="auto"/>
          <w:sz w:val="24"/>
          <w:highlight w:val="none"/>
        </w:rPr>
        <w:t>3、考核验收按照《房屋白蚁监测控制系统应用技术规程》编号DB33／T1108—2018、相关规章制度、白蚁预防施工方案等要求，对中标单位进行不定时的工作质量检查。</w:t>
      </w:r>
    </w:p>
    <w:p w14:paraId="586E1D9E">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color w:val="auto"/>
          <w:sz w:val="24"/>
          <w:highlight w:val="none"/>
        </w:rPr>
      </w:pPr>
      <w:r>
        <w:rPr>
          <w:rFonts w:hint="eastAsia"/>
          <w:color w:val="auto"/>
          <w:sz w:val="24"/>
          <w:highlight w:val="none"/>
        </w:rPr>
        <w:t>4、白蚁预防施工项目完工后，按白蚁预防施工方案逐个项目验收。若验收不通过，退回重新施工，服务期内若超过3次验收不通过重新施工的，按不通过项目费用合计的20%处罚，同时</w:t>
      </w:r>
      <w:r>
        <w:rPr>
          <w:rFonts w:hint="eastAsia"/>
          <w:color w:val="auto"/>
          <w:sz w:val="24"/>
          <w:highlight w:val="none"/>
          <w:lang w:eastAsia="zh-CN"/>
        </w:rPr>
        <w:t>采购人</w:t>
      </w:r>
      <w:r>
        <w:rPr>
          <w:rFonts w:hint="eastAsia"/>
          <w:color w:val="auto"/>
          <w:sz w:val="24"/>
          <w:highlight w:val="none"/>
        </w:rPr>
        <w:t>有权提前解除合同。装置安装确认通过率达到98%以上。</w:t>
      </w:r>
    </w:p>
    <w:p w14:paraId="2F91BFD5">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color w:val="auto"/>
          <w:sz w:val="24"/>
          <w:highlight w:val="none"/>
        </w:rPr>
        <w:t>5、造成预防工程漏防的，中标单位应及时上报东阳市房屋征收服务中心</w:t>
      </w:r>
      <w:r>
        <w:rPr>
          <w:rFonts w:hint="eastAsia"/>
          <w:color w:val="auto"/>
          <w:sz w:val="24"/>
          <w:highlight w:val="none"/>
          <w:lang w:eastAsia="zh-CN"/>
        </w:rPr>
        <w:t>（东阳市房地产处）</w:t>
      </w:r>
      <w:r>
        <w:rPr>
          <w:rFonts w:hint="eastAsia"/>
          <w:color w:val="auto"/>
          <w:sz w:val="24"/>
          <w:highlight w:val="none"/>
        </w:rPr>
        <w:t>，并根据实际情况及时采取补防措施。若因</w:t>
      </w:r>
      <w:r>
        <w:rPr>
          <w:rFonts w:hint="eastAsia"/>
          <w:color w:val="auto"/>
          <w:sz w:val="24"/>
          <w:highlight w:val="none"/>
          <w:lang w:eastAsia="zh-CN"/>
        </w:rPr>
        <w:t>中标单位</w:t>
      </w:r>
      <w:r>
        <w:rPr>
          <w:rFonts w:hint="eastAsia"/>
          <w:color w:val="auto"/>
          <w:sz w:val="24"/>
          <w:highlight w:val="none"/>
        </w:rPr>
        <w:t>原因</w:t>
      </w:r>
      <w:r>
        <w:rPr>
          <w:rFonts w:hint="eastAsia" w:ascii="宋体" w:hAnsi="宋体"/>
          <w:color w:val="auto"/>
          <w:sz w:val="24"/>
          <w:highlight w:val="none"/>
        </w:rPr>
        <w:t>造成漏防：（1）可补防的，</w:t>
      </w:r>
      <w:r>
        <w:rPr>
          <w:rFonts w:hint="eastAsia" w:ascii="宋体" w:hAnsi="宋体"/>
          <w:color w:val="auto"/>
          <w:sz w:val="24"/>
          <w:highlight w:val="none"/>
          <w:lang w:eastAsia="zh-CN"/>
        </w:rPr>
        <w:t>中标单位</w:t>
      </w:r>
      <w:r>
        <w:rPr>
          <w:rFonts w:hint="eastAsia" w:ascii="宋体" w:hAnsi="宋体"/>
          <w:color w:val="auto"/>
          <w:sz w:val="24"/>
          <w:highlight w:val="none"/>
        </w:rPr>
        <w:t>负责补防，补防费用</w:t>
      </w:r>
      <w:r>
        <w:rPr>
          <w:rFonts w:hint="eastAsia" w:ascii="宋体" w:hAnsi="宋体"/>
          <w:color w:val="auto"/>
          <w:sz w:val="24"/>
          <w:highlight w:val="none"/>
          <w:lang w:eastAsia="zh-CN"/>
        </w:rPr>
        <w:t>采购人</w:t>
      </w:r>
      <w:r>
        <w:rPr>
          <w:rFonts w:hint="eastAsia" w:ascii="宋体" w:hAnsi="宋体"/>
          <w:color w:val="auto"/>
          <w:sz w:val="24"/>
          <w:highlight w:val="none"/>
        </w:rPr>
        <w:t>不予以支付，按漏防部分费用的20%予以处罚，同时</w:t>
      </w:r>
      <w:r>
        <w:rPr>
          <w:rFonts w:hint="eastAsia" w:ascii="宋体" w:hAnsi="宋体"/>
          <w:color w:val="auto"/>
          <w:sz w:val="24"/>
          <w:highlight w:val="none"/>
          <w:lang w:eastAsia="zh-CN"/>
        </w:rPr>
        <w:t>采购人</w:t>
      </w:r>
      <w:r>
        <w:rPr>
          <w:rFonts w:hint="eastAsia" w:ascii="宋体" w:hAnsi="宋体"/>
          <w:color w:val="auto"/>
          <w:sz w:val="24"/>
          <w:highlight w:val="none"/>
        </w:rPr>
        <w:t>有权提前解除合同。（2）无法补防的，在费用结算时扣回漏防部分的费用，按漏防部分费用的30%予以处罚，同时</w:t>
      </w:r>
      <w:r>
        <w:rPr>
          <w:rFonts w:hint="eastAsia" w:ascii="宋体" w:hAnsi="宋体"/>
          <w:color w:val="auto"/>
          <w:sz w:val="24"/>
          <w:highlight w:val="none"/>
          <w:lang w:eastAsia="zh-CN"/>
        </w:rPr>
        <w:t>采购人</w:t>
      </w:r>
      <w:r>
        <w:rPr>
          <w:rFonts w:hint="eastAsia" w:ascii="宋体" w:hAnsi="宋体"/>
          <w:color w:val="auto"/>
          <w:sz w:val="24"/>
          <w:highlight w:val="none"/>
        </w:rPr>
        <w:t>有权提前解除合同。因</w:t>
      </w:r>
      <w:r>
        <w:rPr>
          <w:rFonts w:hint="eastAsia" w:ascii="宋体" w:hAnsi="宋体"/>
          <w:color w:val="auto"/>
          <w:sz w:val="24"/>
          <w:highlight w:val="none"/>
          <w:lang w:eastAsia="zh-CN"/>
        </w:rPr>
        <w:t>采购人</w:t>
      </w:r>
      <w:r>
        <w:rPr>
          <w:rFonts w:hint="eastAsia" w:ascii="宋体" w:hAnsi="宋体"/>
          <w:color w:val="auto"/>
          <w:sz w:val="24"/>
          <w:highlight w:val="none"/>
        </w:rPr>
        <w:t>原因造成漏防：（1）可补防的，</w:t>
      </w:r>
      <w:r>
        <w:rPr>
          <w:rFonts w:hint="eastAsia" w:ascii="宋体" w:hAnsi="宋体"/>
          <w:color w:val="auto"/>
          <w:sz w:val="24"/>
          <w:highlight w:val="none"/>
          <w:lang w:eastAsia="zh-CN"/>
        </w:rPr>
        <w:t>中标单位</w:t>
      </w:r>
      <w:r>
        <w:rPr>
          <w:rFonts w:hint="eastAsia" w:ascii="宋体" w:hAnsi="宋体"/>
          <w:color w:val="auto"/>
          <w:sz w:val="24"/>
          <w:highlight w:val="none"/>
        </w:rPr>
        <w:t>负责补防，补防费用</w:t>
      </w:r>
      <w:r>
        <w:rPr>
          <w:rFonts w:hint="eastAsia" w:ascii="宋体" w:hAnsi="宋体"/>
          <w:color w:val="auto"/>
          <w:sz w:val="24"/>
          <w:highlight w:val="none"/>
          <w:lang w:eastAsia="zh-CN"/>
        </w:rPr>
        <w:t>采购人</w:t>
      </w:r>
      <w:r>
        <w:rPr>
          <w:rFonts w:hint="eastAsia" w:ascii="宋体" w:hAnsi="宋体"/>
          <w:color w:val="auto"/>
          <w:sz w:val="24"/>
          <w:highlight w:val="none"/>
        </w:rPr>
        <w:t>另行支付。（2）无法补防的，在费用结算时扣回漏防部分的费用。</w:t>
      </w:r>
    </w:p>
    <w:p w14:paraId="36C4F92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6、监测装置检查维护业务工作质量及考核要求</w:t>
      </w:r>
    </w:p>
    <w:p w14:paraId="15FC734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trike/>
          <w:color w:val="auto"/>
          <w:kern w:val="0"/>
          <w:sz w:val="24"/>
          <w:szCs w:val="24"/>
          <w:highlight w:val="none"/>
        </w:rPr>
      </w:pPr>
      <w:r>
        <w:rPr>
          <w:rFonts w:hint="eastAsia" w:ascii="宋体" w:hAnsi="宋体"/>
          <w:color w:val="auto"/>
          <w:sz w:val="24"/>
          <w:highlight w:val="none"/>
        </w:rPr>
        <w:t>根据《房屋白蚁监测控制系统应用技术规程》编号DB33／T1108—2018、东阳市房屋征收服务中心</w:t>
      </w:r>
      <w:r>
        <w:rPr>
          <w:rFonts w:hint="eastAsia" w:ascii="宋体" w:hAnsi="宋体"/>
          <w:color w:val="auto"/>
          <w:sz w:val="24"/>
          <w:highlight w:val="none"/>
          <w:lang w:eastAsia="zh-CN"/>
        </w:rPr>
        <w:t>（东阳市房地产处）</w:t>
      </w:r>
      <w:r>
        <w:rPr>
          <w:rFonts w:hint="eastAsia" w:ascii="宋体" w:hAnsi="宋体"/>
          <w:color w:val="auto"/>
          <w:sz w:val="24"/>
          <w:highlight w:val="none"/>
        </w:rPr>
        <w:t>相关规章制度执行。同时应满足未发现白蚁活动的项目检查维护一年不少于两次，且两次</w:t>
      </w:r>
      <w:r>
        <w:rPr>
          <w:rFonts w:hint="eastAsia" w:ascii="宋体" w:hAnsi="宋体" w:eastAsia="宋体" w:cs="宋体"/>
          <w:color w:val="auto"/>
          <w:kern w:val="0"/>
          <w:sz w:val="24"/>
          <w:szCs w:val="24"/>
          <w:highlight w:val="none"/>
        </w:rPr>
        <w:t>检查间隔时间应大于150天；</w:t>
      </w:r>
      <w:r>
        <w:rPr>
          <w:rFonts w:hint="eastAsia" w:ascii="宋体" w:hAnsi="宋体" w:eastAsia="宋体" w:cs="宋体"/>
          <w:color w:val="auto"/>
          <w:sz w:val="24"/>
          <w:szCs w:val="24"/>
          <w:highlight w:val="none"/>
        </w:rPr>
        <w:t>每次检查维护过程需对监测控制装置实施的检查覆盖率不低于98%。检查发现白蚁后施药率需达到100%。</w:t>
      </w:r>
    </w:p>
    <w:p w14:paraId="493590B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eastAsia="宋体" w:cs="宋体"/>
          <w:color w:val="auto"/>
          <w:sz w:val="24"/>
          <w:szCs w:val="24"/>
          <w:highlight w:val="none"/>
        </w:rPr>
        <w:t>监测控制装置检查维护应填写施工记录单，并由检查人和小区内物管企业盖章确认，无物管企业的由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进行签字确认。</w:t>
      </w:r>
    </w:p>
    <w:p w14:paraId="5EE90759">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rPr>
        <w:t>（二）安全生产</w:t>
      </w:r>
    </w:p>
    <w:p w14:paraId="53D98E8F">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不发生药物渗漏、环境污染、人身安全等安全生产事故。</w:t>
      </w:r>
    </w:p>
    <w:p w14:paraId="3F6E27EF">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安全生产事故责任由中标单位全部自负。</w:t>
      </w:r>
    </w:p>
    <w:p w14:paraId="3F7BDAFA">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rPr>
        <w:t>（三）作风效能</w:t>
      </w:r>
    </w:p>
    <w:p w14:paraId="6D1E7897">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保证服务质量和工作效能，做到文明、及时、主动服务。</w:t>
      </w:r>
    </w:p>
    <w:p w14:paraId="1641264C">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color w:val="auto"/>
          <w:sz w:val="24"/>
          <w:highlight w:val="none"/>
        </w:rPr>
      </w:pPr>
      <w:r>
        <w:rPr>
          <w:rFonts w:hint="eastAsia" w:ascii="宋体" w:hAnsi="宋体"/>
          <w:b/>
          <w:bCs/>
          <w:color w:val="auto"/>
          <w:sz w:val="24"/>
          <w:highlight w:val="none"/>
          <w:lang w:eastAsia="zh-CN"/>
        </w:rPr>
        <w:t>六</w:t>
      </w:r>
      <w:r>
        <w:rPr>
          <w:rFonts w:hint="eastAsia" w:ascii="宋体" w:hAnsi="宋体"/>
          <w:b/>
          <w:bCs/>
          <w:color w:val="auto"/>
          <w:sz w:val="24"/>
          <w:highlight w:val="none"/>
        </w:rPr>
        <w:t>、处罚规定</w:t>
      </w:r>
    </w:p>
    <w:p w14:paraId="3EF513D5">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1、如未按规定要求完成业务的，每个项目罚款500.00元。</w:t>
      </w:r>
    </w:p>
    <w:p w14:paraId="0167A17C">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2、由于中标单位工作失误，造成客户不满意或投诉的，每次罚款2000.00元。</w:t>
      </w:r>
    </w:p>
    <w:p w14:paraId="6FC49698">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3、由于中标单位工作失误，造成客户投诉或发生较大责任事故，导致采购人受上级部门问责或处分的，扣罚50000.00元，并中止合同，取消下一轮投标中标资格。</w:t>
      </w:r>
    </w:p>
    <w:p w14:paraId="5F8359BD">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七</w:t>
      </w:r>
      <w:r>
        <w:rPr>
          <w:rFonts w:hint="eastAsia" w:ascii="宋体" w:hAnsi="宋体"/>
          <w:b/>
          <w:bCs/>
          <w:color w:val="auto"/>
          <w:sz w:val="24"/>
          <w:highlight w:val="none"/>
        </w:rPr>
        <w:t>、中标单位若违反以下规定之一的，采购人有权利终止合同</w:t>
      </w:r>
    </w:p>
    <w:p w14:paraId="0A43423E">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1、发现投标时提供虚假投标文件资料的。</w:t>
      </w:r>
    </w:p>
    <w:p w14:paraId="7A2A5E31">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2、中标单位未按规定要求配备人员、设备的。</w:t>
      </w:r>
    </w:p>
    <w:p w14:paraId="67B2EC54">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3、对工作质量检查考核中存在问题，采购人书面通知责令限期整改，而中标单位一月内达不到整改要求的。</w:t>
      </w:r>
    </w:p>
    <w:p w14:paraId="62E90802">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4、由于中标单位工作失误，造成客户投诉或发生较大责任事故，导致采购人受上级部门问责或处分的。</w:t>
      </w:r>
    </w:p>
    <w:p w14:paraId="564CAC21">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、商务要求</w:t>
      </w:r>
    </w:p>
    <w:p w14:paraId="45F8447A">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cs="宋体"/>
          <w:b/>
          <w:bCs/>
          <w:color w:val="auto"/>
          <w:sz w:val="24"/>
          <w:highlight w:val="none"/>
        </w:rPr>
        <w:t>▲</w:t>
      </w:r>
      <w:r>
        <w:rPr>
          <w:rFonts w:hint="eastAsia" w:ascii="宋体" w:hAnsi="宋体"/>
          <w:b/>
          <w:bCs/>
          <w:color w:val="auto"/>
          <w:sz w:val="24"/>
          <w:highlight w:val="none"/>
        </w:rPr>
        <w:t>（一）中标单位配备要求</w:t>
      </w:r>
    </w:p>
    <w:p w14:paraId="60BC71D0">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1、场地要求：中标单位在签订合同后一个月内须安置好在东阳的办公地点及场所，并提供详细信息（地址、人员名单、联系电话）。</w:t>
      </w:r>
    </w:p>
    <w:p w14:paraId="3E688AFC">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2、机械设备要求：中标单位拟投入本项目的白蚁防治、回访复查专用汽车（每辆车载重量在0.45吨及以上）不少于</w:t>
      </w:r>
      <w:r>
        <w:rPr>
          <w:rFonts w:hint="eastAsia" w:ascii="宋体" w:hAnsi="宋体"/>
          <w:color w:val="auto"/>
          <w:sz w:val="24"/>
          <w:highlight w:val="none"/>
          <w:lang w:val="en-US" w:eastAsia="zh-CN"/>
        </w:rPr>
        <w:t>1</w:t>
      </w:r>
      <w:r>
        <w:rPr>
          <w:rFonts w:hint="eastAsia" w:ascii="宋体" w:hAnsi="宋体"/>
          <w:color w:val="auto"/>
          <w:sz w:val="24"/>
          <w:highlight w:val="none"/>
        </w:rPr>
        <w:t>辆，驾驶员</w:t>
      </w:r>
      <w:r>
        <w:rPr>
          <w:rFonts w:hint="eastAsia" w:ascii="宋体" w:hAnsi="宋体"/>
          <w:color w:val="auto"/>
          <w:sz w:val="24"/>
          <w:highlight w:val="none"/>
          <w:lang w:val="en-US" w:eastAsia="zh-CN"/>
        </w:rPr>
        <w:t>1</w:t>
      </w:r>
      <w:r>
        <w:rPr>
          <w:rFonts w:hint="eastAsia" w:ascii="宋体" w:hAnsi="宋体"/>
          <w:color w:val="auto"/>
          <w:sz w:val="24"/>
          <w:highlight w:val="none"/>
        </w:rPr>
        <w:t>名，以及配备必要的白蚁防治设备、工具、药物、安全、统一工作服、劳保用品。</w:t>
      </w:r>
    </w:p>
    <w:p w14:paraId="10CD92AC">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3、监测装置及使用的饵料、粉剂要求：</w:t>
      </w:r>
      <w:r>
        <w:rPr>
          <w:rFonts w:hint="eastAsia" w:hAnsi="宋体" w:cs="宋体"/>
          <w:color w:val="auto"/>
          <w:spacing w:val="-4"/>
          <w:sz w:val="24"/>
          <w:highlight w:val="none"/>
        </w:rPr>
        <w:t>监测装置应</w:t>
      </w:r>
      <w:r>
        <w:rPr>
          <w:rFonts w:hint="eastAsia" w:ascii="宋体" w:hAnsi="宋体" w:cs="宋体"/>
          <w:color w:val="auto"/>
          <w:spacing w:val="-4"/>
          <w:sz w:val="24"/>
          <w:highlight w:val="none"/>
        </w:rPr>
        <w:t>选用通过</w:t>
      </w:r>
      <w:r>
        <w:rPr>
          <w:rFonts w:hint="eastAsia" w:hAnsi="宋体" w:cs="宋体"/>
          <w:color w:val="auto"/>
          <w:spacing w:val="-4"/>
          <w:sz w:val="24"/>
          <w:highlight w:val="none"/>
        </w:rPr>
        <w:t>全国白蚁防治中心</w:t>
      </w:r>
      <w:r>
        <w:rPr>
          <w:rFonts w:hint="eastAsia" w:ascii="宋体" w:hAnsi="宋体" w:cs="宋体"/>
          <w:color w:val="auto"/>
          <w:spacing w:val="-4"/>
          <w:sz w:val="24"/>
          <w:highlight w:val="none"/>
        </w:rPr>
        <w:t>评议认定的产品，</w:t>
      </w:r>
      <w:r>
        <w:rPr>
          <w:rFonts w:hint="eastAsia" w:hAnsi="宋体" w:cs="宋体"/>
          <w:color w:val="auto"/>
          <w:spacing w:val="-4"/>
          <w:sz w:val="24"/>
          <w:highlight w:val="none"/>
        </w:rPr>
        <w:t>主要可参照《关于发布2021年度白蚁防治用品信息调研结果的通知》（全蚁发〔2021〕36号）和</w:t>
      </w:r>
      <w:r>
        <w:rPr>
          <w:rFonts w:hint="eastAsia" w:ascii="宋体" w:hAnsi="宋体"/>
          <w:color w:val="auto"/>
          <w:sz w:val="24"/>
          <w:highlight w:val="none"/>
        </w:rPr>
        <w:t>符合浙江省住房和城乡建设厅批准并发布的《房屋白蚁监测控制系统应用技术规程》（编号DB33／T1108—2018）要求，</w:t>
      </w:r>
      <w:r>
        <w:rPr>
          <w:rFonts w:hint="eastAsia" w:hAnsi="宋体" w:cs="宋体"/>
          <w:color w:val="auto"/>
          <w:spacing w:val="-4"/>
          <w:sz w:val="24"/>
          <w:highlight w:val="none"/>
        </w:rPr>
        <w:t>白蚁防治</w:t>
      </w:r>
      <w:r>
        <w:rPr>
          <w:rFonts w:hint="eastAsia" w:ascii="宋体" w:hAnsi="宋体" w:cs="宋体"/>
          <w:color w:val="auto"/>
          <w:spacing w:val="-4"/>
          <w:sz w:val="24"/>
          <w:highlight w:val="none"/>
        </w:rPr>
        <w:t>产品应在技术商务文件中响应，中标后未经招标方许可不得变更产品，</w:t>
      </w:r>
      <w:r>
        <w:rPr>
          <w:rFonts w:hint="eastAsia" w:ascii="宋体" w:hAnsi="宋体"/>
          <w:color w:val="auto"/>
          <w:sz w:val="24"/>
          <w:highlight w:val="none"/>
        </w:rPr>
        <w:t>并向采购单位报备。</w:t>
      </w:r>
    </w:p>
    <w:p w14:paraId="18EDD6BA">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4、药物要求：白蚁防治药物应选用取得“农药三证”并对环境友好的白蚁防治药物，严格控制药物使用浓度和剂量，避免药物对环境的污染。</w:t>
      </w:r>
    </w:p>
    <w:p w14:paraId="2E8CD164">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bCs/>
          <w:color w:val="auto"/>
          <w:sz w:val="24"/>
          <w:highlight w:val="none"/>
        </w:rPr>
      </w:pPr>
      <w:r>
        <w:rPr>
          <w:rFonts w:hint="eastAsia" w:ascii="宋体" w:hAnsi="宋体" w:cs="宋体"/>
          <w:b/>
          <w:bCs/>
          <w:color w:val="auto"/>
          <w:sz w:val="24"/>
          <w:highlight w:val="none"/>
        </w:rPr>
        <w:t>▲</w:t>
      </w:r>
      <w:r>
        <w:rPr>
          <w:rFonts w:hint="eastAsia" w:ascii="宋体" w:hAnsi="宋体"/>
          <w:b/>
          <w:bCs/>
          <w:color w:val="auto"/>
          <w:sz w:val="24"/>
          <w:highlight w:val="none"/>
        </w:rPr>
        <w:t>（二）项目承包方式及报价要求</w:t>
      </w:r>
    </w:p>
    <w:p w14:paraId="42AD8449">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1、投标单位应根据国家的有关规定和新建房屋白蚁防治、白蚁治理、维护复查</w:t>
      </w:r>
      <w:r>
        <w:rPr>
          <w:rFonts w:hint="eastAsia" w:ascii="宋体" w:hAnsi="宋体"/>
          <w:color w:val="auto"/>
          <w:sz w:val="24"/>
          <w:highlight w:val="none"/>
          <w:lang w:eastAsia="zh-CN"/>
        </w:rPr>
        <w:t>回访</w:t>
      </w:r>
      <w:r>
        <w:rPr>
          <w:rFonts w:hint="eastAsia" w:ascii="宋体" w:hAnsi="宋体"/>
          <w:color w:val="auto"/>
          <w:sz w:val="24"/>
          <w:highlight w:val="none"/>
        </w:rPr>
        <w:t>等工作要求，并结合企业的实际情况进行投标报价。投标单位的投标报价为完成本招标文件规定的各项工作内容和要求的单价，</w:t>
      </w:r>
      <w:r>
        <w:rPr>
          <w:rFonts w:hint="eastAsia" w:hAnsi="宋体" w:cs="Arial"/>
          <w:color w:val="auto"/>
          <w:sz w:val="24"/>
          <w:highlight w:val="none"/>
        </w:rPr>
        <w:t>投标报价含一切税金和其他费用，如</w:t>
      </w:r>
      <w:r>
        <w:rPr>
          <w:rFonts w:hint="eastAsia" w:ascii="宋体" w:hAnsi="宋体"/>
          <w:color w:val="auto"/>
          <w:sz w:val="24"/>
          <w:highlight w:val="none"/>
        </w:rPr>
        <w:t>包括人员费用、器械费用、药物费用、监测装置费用、合理利润、税金、政策性文件规定及合同包含的所有风险、责任等各项应有费用，如有漏项，视同已包含在其总项目中。</w:t>
      </w:r>
      <w:r>
        <w:rPr>
          <w:rFonts w:hint="eastAsia" w:hAnsi="宋体" w:cs="Arial"/>
          <w:color w:val="auto"/>
          <w:sz w:val="24"/>
          <w:highlight w:val="none"/>
        </w:rPr>
        <w:t>投标报价是履行合同的最终价格，含一切税金和其他费用</w:t>
      </w:r>
      <w:r>
        <w:rPr>
          <w:rFonts w:hint="eastAsia" w:hAnsi="宋体" w:cs="Arial"/>
          <w:color w:val="auto"/>
          <w:sz w:val="24"/>
          <w:highlight w:val="none"/>
          <w:lang w:eastAsia="zh-CN"/>
        </w:rPr>
        <w:t>。</w:t>
      </w:r>
    </w:p>
    <w:p w14:paraId="732F546F">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bCs/>
          <w:color w:val="auto"/>
          <w:sz w:val="24"/>
          <w:highlight w:val="none"/>
        </w:rPr>
      </w:pPr>
      <w:r>
        <w:rPr>
          <w:rFonts w:hint="eastAsia" w:ascii="宋体" w:hAnsi="宋体"/>
          <w:b/>
          <w:bCs/>
          <w:color w:val="auto"/>
          <w:sz w:val="24"/>
          <w:highlight w:val="none"/>
        </w:rPr>
        <w:t>2、实际结算金额为完成工作量乘以单价</w:t>
      </w:r>
      <w:r>
        <w:rPr>
          <w:rFonts w:hint="eastAsia" w:ascii="宋体" w:hAnsi="宋体"/>
          <w:b/>
          <w:bCs/>
          <w:color w:val="auto"/>
          <w:sz w:val="24"/>
          <w:highlight w:val="none"/>
          <w:lang w:eastAsia="zh-CN"/>
        </w:rPr>
        <w:t>及</w:t>
      </w:r>
      <w:r>
        <w:rPr>
          <w:rFonts w:hint="eastAsia" w:ascii="宋体" w:hAnsi="宋体"/>
          <w:b/>
          <w:bCs/>
          <w:color w:val="auto"/>
          <w:sz w:val="24"/>
          <w:highlight w:val="none"/>
          <w:lang w:val="en-US" w:eastAsia="zh-CN"/>
        </w:rPr>
        <w:t xml:space="preserve">折扣 </w:t>
      </w:r>
      <w:r>
        <w:rPr>
          <w:rFonts w:hint="eastAsia" w:ascii="宋体" w:hAnsi="宋体"/>
          <w:b/>
          <w:bCs/>
          <w:color w:val="auto"/>
          <w:sz w:val="24"/>
          <w:highlight w:val="none"/>
        </w:rPr>
        <w:t>。</w:t>
      </w:r>
    </w:p>
    <w:p w14:paraId="1B4A7CEA">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bCs/>
          <w:color w:val="auto"/>
          <w:sz w:val="24"/>
          <w:highlight w:val="none"/>
        </w:rPr>
      </w:pPr>
      <w:r>
        <w:rPr>
          <w:rFonts w:hint="eastAsia" w:ascii="宋体" w:hAnsi="宋体"/>
          <w:b/>
          <w:bCs/>
          <w:color w:val="auto"/>
          <w:sz w:val="24"/>
          <w:highlight w:val="none"/>
        </w:rPr>
        <w:t>3、本次报价设有最高限价（单价），投标单位的投标报价不得超过最高限价，否则其投标无效。</w:t>
      </w:r>
    </w:p>
    <w:p w14:paraId="3B98C8B4">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（1）新建房屋白蚁防治地下型监测装置安装最高限价：</w:t>
      </w:r>
      <w:r>
        <w:rPr>
          <w:rFonts w:hint="eastAsia" w:ascii="宋体" w:hAnsi="宋体"/>
          <w:b/>
          <w:bCs/>
          <w:color w:val="auto"/>
          <w:sz w:val="24"/>
          <w:highlight w:val="none"/>
          <w:u w:val="single"/>
        </w:rPr>
        <w:t>47.16</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元/套</w:t>
      </w:r>
    </w:p>
    <w:p w14:paraId="4271B52C">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（2）监测装置检查维护费最高限价：</w:t>
      </w:r>
      <w:r>
        <w:rPr>
          <w:rFonts w:hint="eastAsia" w:ascii="宋体" w:hAnsi="宋体"/>
          <w:b/>
          <w:bCs/>
          <w:color w:val="auto"/>
          <w:sz w:val="24"/>
          <w:highlight w:val="none"/>
          <w:u w:val="single"/>
        </w:rPr>
        <w:t>13.42元/套</w:t>
      </w:r>
      <w:r>
        <w:rPr>
          <w:rFonts w:hint="eastAsia" w:ascii="宋体" w:hAnsi="宋体"/>
          <w:b/>
          <w:bCs/>
          <w:color w:val="auto"/>
          <w:sz w:val="24"/>
          <w:highlight w:val="none"/>
          <w:u w:val="single"/>
          <w:lang w:val="en-US" w:eastAsia="zh-CN"/>
        </w:rPr>
        <w:t>*</w:t>
      </w:r>
      <w:r>
        <w:rPr>
          <w:rFonts w:hint="eastAsia" w:ascii="宋体" w:hAnsi="宋体"/>
          <w:b/>
          <w:bCs/>
          <w:color w:val="auto"/>
          <w:sz w:val="24"/>
          <w:highlight w:val="none"/>
          <w:u w:val="single"/>
        </w:rPr>
        <w:t>次</w:t>
      </w:r>
    </w:p>
    <w:p w14:paraId="4904A1A2">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b/>
          <w:bCs/>
          <w:color w:val="auto"/>
          <w:sz w:val="24"/>
          <w:highlight w:val="none"/>
          <w:u w:val="single"/>
          <w:lang w:val="en-US" w:eastAsia="zh-CN"/>
        </w:rPr>
      </w:pPr>
      <w:r>
        <w:rPr>
          <w:rFonts w:hint="eastAsia" w:ascii="宋体" w:hAnsi="宋体"/>
          <w:b/>
          <w:bCs/>
          <w:color w:val="auto"/>
          <w:sz w:val="24"/>
          <w:highlight w:val="none"/>
          <w:lang w:val="en-US" w:eastAsia="zh-CN"/>
        </w:rPr>
        <w:t>（3）药物屏障复查回访最高限价：</w:t>
      </w:r>
      <w:r>
        <w:rPr>
          <w:rFonts w:hint="eastAsia" w:ascii="宋体" w:hAnsi="宋体"/>
          <w:b/>
          <w:bCs/>
          <w:color w:val="auto"/>
          <w:sz w:val="24"/>
          <w:highlight w:val="none"/>
          <w:u w:val="single"/>
          <w:lang w:val="en-US" w:eastAsia="zh-CN"/>
        </w:rPr>
        <w:t>7.13元/100㎡*</w:t>
      </w:r>
      <w:r>
        <w:rPr>
          <w:rFonts w:hint="eastAsia" w:ascii="宋体" w:hAnsi="宋体"/>
          <w:b/>
          <w:bCs/>
          <w:color w:val="auto"/>
          <w:sz w:val="24"/>
          <w:highlight w:val="none"/>
          <w:u w:val="single"/>
        </w:rPr>
        <w:t>次</w:t>
      </w:r>
    </w:p>
    <w:p w14:paraId="584AFBC3">
      <w:pPr>
        <w:pStyle w:val="24"/>
        <w:keepNext w:val="0"/>
        <w:keepLines w:val="0"/>
        <w:pageBreakBefore w:val="0"/>
        <w:kinsoku/>
        <w:wordWrap/>
        <w:overflowPunct/>
        <w:topLinePunct w:val="0"/>
        <w:autoSpaceDE/>
        <w:autoSpaceDN/>
        <w:bidi w:val="0"/>
        <w:adjustRightInd w:val="0"/>
        <w:snapToGrid w:val="0"/>
        <w:spacing w:line="440" w:lineRule="exact"/>
        <w:ind w:left="0" w:leftChars="0" w:firstLine="482"/>
        <w:textAlignment w:val="auto"/>
        <w:rPr>
          <w:rFonts w:hint="eastAsia"/>
        </w:rPr>
      </w:pPr>
      <w:r>
        <w:rPr>
          <w:rFonts w:hint="eastAsia" w:ascii="宋体" w:hAnsi="宋体"/>
          <w:b/>
          <w:bCs/>
          <w:color w:val="auto"/>
          <w:sz w:val="24"/>
          <w:highlight w:val="none"/>
        </w:rPr>
        <w:t>（</w:t>
      </w:r>
      <w:r>
        <w:rPr>
          <w:rFonts w:hint="eastAsia" w:hAnsi="宋体"/>
          <w:b/>
          <w:bCs/>
          <w:color w:val="auto"/>
          <w:sz w:val="24"/>
          <w:highlight w:val="none"/>
          <w:lang w:val="en-US" w:eastAsia="zh-CN"/>
        </w:rPr>
        <w:t>4</w:t>
      </w:r>
      <w:r>
        <w:rPr>
          <w:rFonts w:hint="eastAsia" w:ascii="宋体" w:hAnsi="宋体"/>
          <w:b/>
          <w:bCs/>
          <w:color w:val="auto"/>
          <w:sz w:val="24"/>
          <w:highlight w:val="none"/>
        </w:rPr>
        <w:t>）蚁情现场调查费最高限价：</w:t>
      </w:r>
      <w:r>
        <w:rPr>
          <w:rFonts w:hint="eastAsia" w:ascii="宋体" w:hAnsi="宋体" w:eastAsia="宋体" w:cs="Times New Roman"/>
          <w:b/>
          <w:bCs/>
          <w:color w:val="auto"/>
          <w:kern w:val="2"/>
          <w:sz w:val="24"/>
          <w:szCs w:val="24"/>
          <w:highlight w:val="none"/>
          <w:u w:val="single"/>
          <w:lang w:val="en-US" w:eastAsia="zh-CN" w:bidi="ar-SA"/>
        </w:rPr>
        <w:t>7.13元/100㎡</w:t>
      </w:r>
    </w:p>
    <w:p w14:paraId="7C2E08CE">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lang w:val="en-US" w:eastAsia="zh-CN"/>
        </w:rPr>
        <w:t xml:space="preserve">    （5）白蚁药杀法灭治最高限价：</w:t>
      </w:r>
      <w:r>
        <w:rPr>
          <w:rFonts w:hint="eastAsia" w:ascii="宋体" w:hAnsi="宋体" w:cs="宋体"/>
          <w:b/>
          <w:bCs/>
          <w:color w:val="auto"/>
          <w:sz w:val="24"/>
          <w:highlight w:val="none"/>
          <w:u w:val="single"/>
          <w:lang w:val="en-US" w:eastAsia="zh-CN"/>
        </w:rPr>
        <w:t>3.06元/㎡</w:t>
      </w:r>
    </w:p>
    <w:p w14:paraId="03D43E4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b/>
          <w:bCs/>
          <w:color w:val="auto"/>
          <w:sz w:val="24"/>
          <w:highlight w:val="none"/>
        </w:rPr>
      </w:pPr>
      <w:r>
        <w:rPr>
          <w:rFonts w:hint="eastAsia" w:ascii="宋体" w:hAnsi="宋体" w:cs="宋体"/>
          <w:b/>
          <w:bCs/>
          <w:color w:val="auto"/>
          <w:sz w:val="24"/>
          <w:highlight w:val="none"/>
        </w:rPr>
        <w:t>▲</w:t>
      </w:r>
      <w:r>
        <w:rPr>
          <w:rFonts w:hint="eastAsia" w:ascii="宋体" w:hAnsi="宋体"/>
          <w:b/>
          <w:bCs/>
          <w:color w:val="auto"/>
          <w:sz w:val="24"/>
          <w:highlight w:val="none"/>
        </w:rPr>
        <w:t>（三）付款方式</w:t>
      </w:r>
    </w:p>
    <w:p w14:paraId="1A3FEA28">
      <w:pPr>
        <w:keepNext w:val="0"/>
        <w:keepLines w:val="0"/>
        <w:pageBreakBefore w:val="0"/>
        <w:numPr>
          <w:ilvl w:val="0"/>
          <w:numId w:val="3"/>
        </w:numPr>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cs="宋体"/>
          <w:color w:val="000000"/>
          <w:spacing w:val="-4"/>
          <w:sz w:val="24"/>
        </w:rPr>
      </w:pPr>
      <w:r>
        <w:rPr>
          <w:rFonts w:hint="eastAsia" w:ascii="宋体" w:hAnsi="宋体" w:cs="宋体"/>
          <w:color w:val="auto"/>
          <w:spacing w:val="-4"/>
          <w:sz w:val="24"/>
          <w:highlight w:val="none"/>
        </w:rPr>
        <w:t>合同签订</w:t>
      </w:r>
      <w:r>
        <w:rPr>
          <w:rFonts w:hint="eastAsia" w:ascii="宋体" w:hAnsi="宋体" w:cs="宋体"/>
          <w:color w:val="000000"/>
          <w:spacing w:val="-4"/>
          <w:sz w:val="24"/>
        </w:rPr>
        <w:t>分配给中标单位施工的项目待施工方案确定</w:t>
      </w:r>
      <w:r>
        <w:rPr>
          <w:rFonts w:hint="eastAsia" w:ascii="宋体" w:hAnsi="宋体" w:cs="宋体"/>
          <w:color w:val="auto"/>
          <w:spacing w:val="-4"/>
          <w:sz w:val="24"/>
          <w:highlight w:val="none"/>
        </w:rPr>
        <w:t>后7天内采购人付至合</w:t>
      </w:r>
      <w:r>
        <w:rPr>
          <w:rFonts w:hint="eastAsia" w:ascii="宋体" w:hAnsi="宋体" w:cs="宋体"/>
          <w:color w:val="auto"/>
          <w:spacing w:val="-4"/>
          <w:sz w:val="24"/>
          <w:highlight w:val="none"/>
          <w:lang w:val="en-US" w:eastAsia="zh-CN"/>
        </w:rPr>
        <w:t>同</w:t>
      </w:r>
      <w:r>
        <w:rPr>
          <w:rFonts w:hint="eastAsia" w:ascii="宋体" w:hAnsi="宋体" w:cs="宋体"/>
          <w:color w:val="auto"/>
          <w:spacing w:val="-4"/>
          <w:sz w:val="24"/>
          <w:highlight w:val="none"/>
        </w:rPr>
        <w:t>价款的40%作为项目的预付款。最终结算款按实际工程量结算，结算基准价以本招标文件提供的项目基本服务清单内容中列出的单价为准，最终结算款=实际完成工程量×（结算基准价×中标折扣）。</w:t>
      </w:r>
      <w:r>
        <w:rPr>
          <w:rFonts w:hint="eastAsia" w:ascii="宋体" w:hAnsi="宋体" w:cs="宋体"/>
          <w:color w:val="000000"/>
          <w:spacing w:val="-4"/>
          <w:sz w:val="24"/>
        </w:rPr>
        <w:t>服务费由采购单位根据当期业务量和资金落实情况按月或按季度支付剩余的</w:t>
      </w:r>
      <w:r>
        <w:rPr>
          <w:rFonts w:hint="eastAsia" w:ascii="宋体" w:hAnsi="宋体" w:cs="宋体"/>
          <w:color w:val="000000"/>
          <w:spacing w:val="-4"/>
          <w:sz w:val="24"/>
          <w:highlight w:val="none"/>
          <w:lang w:val="en-US" w:eastAsia="zh-CN"/>
        </w:rPr>
        <w:t>60</w:t>
      </w:r>
      <w:r>
        <w:rPr>
          <w:rFonts w:hint="eastAsia" w:ascii="宋体" w:hAnsi="宋体" w:cs="宋体"/>
          <w:color w:val="000000"/>
          <w:spacing w:val="-4"/>
          <w:sz w:val="24"/>
          <w:highlight w:val="none"/>
        </w:rPr>
        <w:t>%，</w:t>
      </w:r>
      <w:r>
        <w:rPr>
          <w:rFonts w:hint="eastAsia" w:ascii="宋体" w:hAnsi="宋体" w:cs="宋体"/>
          <w:color w:val="000000"/>
          <w:spacing w:val="-4"/>
          <w:sz w:val="24"/>
        </w:rPr>
        <w:t>即：每个项目完工验收后，7个工作日内付至合同金额的100%。</w:t>
      </w:r>
    </w:p>
    <w:p w14:paraId="36B38AC5">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eastAsia="宋体" w:cs="宋体"/>
          <w:color w:val="auto"/>
          <w:spacing w:val="-4"/>
          <w:sz w:val="24"/>
          <w:highlight w:val="none"/>
          <w:lang w:val="en-US" w:eastAsia="zh-CN"/>
        </w:rPr>
      </w:pPr>
      <w:r>
        <w:rPr>
          <w:rFonts w:hint="eastAsia" w:ascii="宋体" w:hAnsi="宋体" w:cs="宋体"/>
          <w:color w:val="auto"/>
          <w:spacing w:val="-4"/>
          <w:sz w:val="24"/>
          <w:highlight w:val="none"/>
          <w:lang w:val="en-US" w:eastAsia="zh-CN"/>
        </w:rPr>
        <w:t>2、</w:t>
      </w:r>
      <w:r>
        <w:rPr>
          <w:rFonts w:hint="eastAsia" w:ascii="宋体" w:hAnsi="宋体" w:cs="宋体"/>
          <w:color w:val="auto"/>
          <w:spacing w:val="-4"/>
          <w:sz w:val="24"/>
          <w:highlight w:val="none"/>
        </w:rPr>
        <w:t>项目基本服务清单内容中未列明单价的，参照清单中类似项目单价，以双方协商采购人签证为准</w:t>
      </w:r>
      <w:r>
        <w:rPr>
          <w:rFonts w:hint="eastAsia" w:ascii="宋体" w:hAnsi="宋体" w:cs="宋体"/>
          <w:color w:val="auto"/>
          <w:spacing w:val="-4"/>
          <w:sz w:val="24"/>
          <w:highlight w:val="none"/>
          <w:lang w:eastAsia="zh-CN"/>
        </w:rPr>
        <w:t>。</w:t>
      </w:r>
    </w:p>
    <w:p w14:paraId="1C9E48A1">
      <w:pPr>
        <w:keepNext w:val="0"/>
        <w:keepLines w:val="0"/>
        <w:pageBreakBefore w:val="0"/>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lang w:val="en-US" w:eastAsia="zh-CN"/>
        </w:rPr>
        <w:t>3</w:t>
      </w: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rPr>
        <w:t>由考核验收结果或违约责任引起的经济扣罚直接在当季核拨的经费中扣除；应急性任务或上级交办工作的费用，凭政府采购中标通知书、合同、工作量结算清单向采购单位申请支付；</w:t>
      </w:r>
    </w:p>
    <w:p w14:paraId="74131C1A">
      <w:pPr>
        <w:keepNext w:val="0"/>
        <w:keepLines w:val="0"/>
        <w:pageBreakBefore w:val="0"/>
        <w:kinsoku/>
        <w:wordWrap/>
        <w:overflowPunct/>
        <w:topLinePunct w:val="0"/>
        <w:autoSpaceDE/>
        <w:autoSpaceDN/>
        <w:bidi w:val="0"/>
        <w:adjustRightInd w:val="0"/>
        <w:snapToGrid w:val="0"/>
        <w:spacing w:line="440" w:lineRule="exact"/>
        <w:ind w:firstLine="464" w:firstLineChars="200"/>
        <w:textAlignment w:val="auto"/>
        <w:rPr>
          <w:color w:val="auto"/>
          <w:highlight w:val="none"/>
        </w:rPr>
      </w:pPr>
      <w:r>
        <w:rPr>
          <w:rFonts w:hint="eastAsia" w:ascii="宋体" w:hAnsi="宋体" w:cs="宋体"/>
          <w:color w:val="auto"/>
          <w:spacing w:val="-4"/>
          <w:sz w:val="24"/>
          <w:highlight w:val="none"/>
          <w:lang w:val="en-US" w:eastAsia="zh-CN"/>
        </w:rPr>
        <w:t>4</w:t>
      </w: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rPr>
        <w:t>中标人办理费用结算时须提供正式税务发票。</w:t>
      </w:r>
    </w:p>
    <w:p w14:paraId="2F5C49B0">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color w:val="auto"/>
          <w:sz w:val="24"/>
          <w:highlight w:val="none"/>
        </w:rPr>
      </w:pPr>
      <w:r>
        <w:rPr>
          <w:rFonts w:hint="eastAsia" w:ascii="宋体" w:hAnsi="宋体"/>
          <w:b/>
          <w:bCs/>
          <w:color w:val="auto"/>
          <w:sz w:val="24"/>
          <w:highlight w:val="none"/>
        </w:rPr>
        <w:t>（四）服务期限</w:t>
      </w:r>
      <w:r>
        <w:rPr>
          <w:rFonts w:hint="eastAsia" w:ascii="宋体" w:hAnsi="宋体"/>
          <w:color w:val="auto"/>
          <w:sz w:val="24"/>
          <w:highlight w:val="none"/>
        </w:rPr>
        <w:t xml:space="preserve">： </w:t>
      </w:r>
    </w:p>
    <w:p w14:paraId="69A5ABC6">
      <w:pPr>
        <w:keepNext w:val="0"/>
        <w:keepLines w:val="0"/>
        <w:pageBreakBefore w:val="0"/>
        <w:widowControl/>
        <w:kinsoku/>
        <w:wordWrap/>
        <w:overflowPunct/>
        <w:topLinePunct w:val="0"/>
        <w:autoSpaceDE/>
        <w:autoSpaceDN/>
        <w:bidi w:val="0"/>
        <w:adjustRightInd w:val="0"/>
        <w:snapToGrid w:val="0"/>
        <w:spacing w:line="440" w:lineRule="exact"/>
        <w:ind w:firstLine="511" w:firstLineChars="213"/>
        <w:jc w:val="left"/>
        <w:textAlignment w:val="auto"/>
        <w:rPr>
          <w:rFonts w:hint="eastAsia" w:ascii="宋体" w:hAnsi="宋体"/>
          <w:color w:val="auto"/>
          <w:sz w:val="24"/>
          <w:highlight w:val="none"/>
        </w:rPr>
      </w:pPr>
      <w:r>
        <w:rPr>
          <w:rFonts w:hint="eastAsia" w:ascii="宋体" w:hAnsi="宋体"/>
          <w:color w:val="auto"/>
          <w:sz w:val="24"/>
          <w:highlight w:val="none"/>
        </w:rPr>
        <w:t>1、白蚁预防施工服务期限为</w:t>
      </w:r>
      <w:r>
        <w:rPr>
          <w:rFonts w:hint="eastAsia" w:ascii="宋体" w:hAnsi="宋体" w:cs="宋体"/>
          <w:color w:val="auto"/>
          <w:sz w:val="24"/>
          <w:highlight w:val="none"/>
        </w:rPr>
        <w:t>1年，</w:t>
      </w:r>
      <w:r>
        <w:rPr>
          <w:rFonts w:hint="eastAsia" w:ascii="宋体" w:hAnsi="宋体" w:cs="Arial"/>
          <w:color w:val="auto"/>
          <w:sz w:val="24"/>
          <w:highlight w:val="none"/>
        </w:rPr>
        <w:t>绩效评价好、季度考核高，服务对象满意度高的，可在原合同基础上延续，若考核不通过合同不延续。</w:t>
      </w:r>
      <w:r>
        <w:rPr>
          <w:rFonts w:hint="eastAsia" w:ascii="宋体" w:hAnsi="宋体" w:cs="宋体"/>
          <w:color w:val="auto"/>
          <w:sz w:val="24"/>
          <w:highlight w:val="none"/>
        </w:rPr>
        <w:t>中标单位白蚁预防施工服务范围为</w:t>
      </w:r>
      <w:r>
        <w:rPr>
          <w:rFonts w:hint="eastAsia" w:ascii="宋体" w:hAnsi="宋体"/>
          <w:color w:val="auto"/>
          <w:sz w:val="24"/>
          <w:highlight w:val="none"/>
        </w:rPr>
        <w:t>：</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7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1 </w:t>
      </w:r>
      <w:r>
        <w:rPr>
          <w:rFonts w:hint="eastAsia" w:ascii="宋体" w:hAnsi="宋体"/>
          <w:color w:val="auto"/>
          <w:sz w:val="24"/>
          <w:highlight w:val="none"/>
        </w:rPr>
        <w:t>日至202</w:t>
      </w:r>
      <w:r>
        <w:rPr>
          <w:rFonts w:hint="eastAsia" w:ascii="宋体" w:hAnsi="宋体"/>
          <w:color w:val="auto"/>
          <w:sz w:val="24"/>
          <w:highlight w:val="none"/>
          <w:lang w:val="en-US" w:eastAsia="zh-CN"/>
        </w:rPr>
        <w:t>6</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6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30 </w:t>
      </w:r>
      <w:r>
        <w:rPr>
          <w:rFonts w:hint="eastAsia" w:ascii="宋体" w:hAnsi="宋体"/>
          <w:color w:val="auto"/>
          <w:sz w:val="24"/>
          <w:highlight w:val="none"/>
        </w:rPr>
        <w:t>日受理的新建房屋白蚁防治服务项目。</w:t>
      </w:r>
    </w:p>
    <w:p w14:paraId="3BAF69E0">
      <w:pPr>
        <w:keepNext w:val="0"/>
        <w:keepLines w:val="0"/>
        <w:pageBreakBefore w:val="0"/>
        <w:widowControl/>
        <w:kinsoku/>
        <w:wordWrap/>
        <w:overflowPunct/>
        <w:topLinePunct w:val="0"/>
        <w:autoSpaceDE/>
        <w:autoSpaceDN/>
        <w:bidi w:val="0"/>
        <w:adjustRightInd w:val="0"/>
        <w:snapToGrid w:val="0"/>
        <w:spacing w:line="440" w:lineRule="exact"/>
        <w:ind w:firstLine="511" w:firstLineChars="213"/>
        <w:jc w:val="left"/>
        <w:textAlignment w:val="auto"/>
        <w:rPr>
          <w:rFonts w:hint="eastAsia" w:ascii="宋体" w:hAnsi="宋体"/>
          <w:b/>
          <w:bCs/>
          <w:color w:val="auto"/>
          <w:sz w:val="24"/>
          <w:highlight w:val="none"/>
        </w:rPr>
      </w:pPr>
      <w:r>
        <w:rPr>
          <w:rFonts w:hint="eastAsia" w:ascii="宋体" w:hAnsi="宋体"/>
          <w:color w:val="auto"/>
          <w:sz w:val="24"/>
          <w:highlight w:val="none"/>
        </w:rPr>
        <w:t>2、</w:t>
      </w:r>
      <w:r>
        <w:rPr>
          <w:rFonts w:hint="eastAsia" w:ascii="宋体" w:hAnsi="宋体" w:cs="宋体"/>
          <w:color w:val="auto"/>
          <w:spacing w:val="-4"/>
          <w:sz w:val="24"/>
          <w:highlight w:val="none"/>
        </w:rPr>
        <w:t>对存量项目监测装置进行一年不少于两次的检查、维护与处理等复查工作,按</w:t>
      </w:r>
      <w:r>
        <w:rPr>
          <w:rFonts w:hint="eastAsia" w:ascii="宋体" w:hAnsi="宋体" w:cs="宋体"/>
          <w:color w:val="auto"/>
          <w:sz w:val="24"/>
          <w:highlight w:val="none"/>
        </w:rPr>
        <w:t>《房屋白蚁监测控制系统应用技术规程》编号DB33／T1108—2018、东阳市房屋征收服务中</w:t>
      </w:r>
      <w:r>
        <w:rPr>
          <w:rFonts w:hint="eastAsia" w:ascii="宋体" w:hAnsi="宋体" w:cs="宋体"/>
          <w:color w:val="auto"/>
          <w:spacing w:val="-4"/>
          <w:sz w:val="24"/>
          <w:highlight w:val="none"/>
        </w:rPr>
        <w:t>心</w:t>
      </w:r>
      <w:r>
        <w:rPr>
          <w:rFonts w:hint="eastAsia" w:ascii="宋体" w:hAnsi="宋体" w:cs="宋体"/>
          <w:color w:val="auto"/>
          <w:spacing w:val="-4"/>
          <w:sz w:val="24"/>
          <w:highlight w:val="none"/>
          <w:lang w:eastAsia="zh-CN"/>
        </w:rPr>
        <w:t>（东阳市房地产处）</w:t>
      </w:r>
      <w:r>
        <w:rPr>
          <w:rFonts w:hint="eastAsia" w:ascii="宋体" w:hAnsi="宋体" w:cs="宋体"/>
          <w:color w:val="auto"/>
          <w:spacing w:val="-4"/>
          <w:sz w:val="24"/>
          <w:highlight w:val="none"/>
        </w:rPr>
        <w:t>相关规</w:t>
      </w:r>
      <w:r>
        <w:rPr>
          <w:rFonts w:hint="eastAsia" w:ascii="宋体" w:hAnsi="宋体" w:cs="宋体"/>
          <w:color w:val="auto"/>
          <w:sz w:val="24"/>
          <w:highlight w:val="none"/>
        </w:rPr>
        <w:t>章制度完成。</w:t>
      </w:r>
    </w:p>
    <w:p w14:paraId="6DD9778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3、在本项目履约过程中，中标人如未按合同履约的，采购人有权取消其中标资格并终止合同，已履约的项目，按实际完成的工作量结算。</w:t>
      </w:r>
    </w:p>
    <w:p w14:paraId="5ED3F612">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b/>
          <w:bCs/>
          <w:color w:val="auto"/>
          <w:sz w:val="24"/>
          <w:highlight w:val="none"/>
        </w:rPr>
      </w:pPr>
      <w:r>
        <w:rPr>
          <w:rFonts w:hint="eastAsia" w:ascii="宋体" w:hAnsi="宋体"/>
          <w:b/>
          <w:bCs/>
          <w:color w:val="auto"/>
          <w:sz w:val="24"/>
          <w:highlight w:val="none"/>
        </w:rPr>
        <w:t>（五）其他要求</w:t>
      </w:r>
    </w:p>
    <w:p w14:paraId="65987D59">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▲中标单位必须在施工时采取安全保障措施，保证安全施工。施工过程中产生的安全事故及责任均由中标单位自行承担。</w:t>
      </w:r>
    </w:p>
    <w:p w14:paraId="25FD4D2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val="en-US" w:eastAsia="zh-CN"/>
        </w:rPr>
        <w:t>保密</w:t>
      </w:r>
    </w:p>
    <w:p w14:paraId="5714F429">
      <w:pPr>
        <w:spacing w:line="440" w:lineRule="exact"/>
        <w:ind w:firstLine="48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招投标双方应分别为对方在投标文件和招标文件中涉及的商业和技术等秘密保密，违者应对由此造成的后果承担责任。</w:t>
      </w:r>
    </w:p>
    <w:p w14:paraId="4C5F114D">
      <w:pPr>
        <w:spacing w:line="440" w:lineRule="exact"/>
        <w:outlineLvl w:val="1"/>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十</w:t>
      </w:r>
      <w:r>
        <w:rPr>
          <w:rFonts w:hint="eastAsia" w:ascii="宋体" w:hAnsi="宋体" w:cs="宋体"/>
          <w:b/>
          <w:color w:val="auto"/>
          <w:sz w:val="24"/>
          <w:szCs w:val="24"/>
          <w:highlight w:val="none"/>
        </w:rPr>
        <w:t>、合同的签订</w:t>
      </w:r>
    </w:p>
    <w:p w14:paraId="52BCC867">
      <w:pPr>
        <w:spacing w:line="360" w:lineRule="auto"/>
        <w:ind w:firstLine="480" w:firstLineChars="200"/>
        <w:rPr>
          <w:rFonts w:hint="eastAsia" w:ascii="宋体" w:hAnsi="宋体"/>
          <w:b/>
          <w:bCs/>
          <w:color w:val="auto"/>
          <w:sz w:val="24"/>
          <w:highlight w:val="none"/>
        </w:rPr>
      </w:pPr>
      <w:r>
        <w:rPr>
          <w:rFonts w:hint="eastAsia" w:ascii="宋体" w:hAnsi="宋体" w:cs="宋体"/>
          <w:bCs/>
          <w:color w:val="auto"/>
          <w:sz w:val="24"/>
          <w:szCs w:val="24"/>
          <w:highlight w:val="none"/>
        </w:rPr>
        <w:t>中标单位在收到《中标通知书》后20日内与</w:t>
      </w:r>
      <w:r>
        <w:rPr>
          <w:rFonts w:hint="eastAsia" w:ascii="宋体" w:hAnsi="宋体" w:cs="宋体"/>
          <w:color w:val="auto"/>
          <w:sz w:val="24"/>
          <w:szCs w:val="24"/>
          <w:highlight w:val="none"/>
          <w:lang w:eastAsia="zh-CN"/>
        </w:rPr>
        <w:t>东阳市房屋征收服务中心（东阳市房地产处）</w:t>
      </w:r>
      <w:r>
        <w:rPr>
          <w:rFonts w:hint="eastAsia" w:ascii="宋体" w:hAnsi="宋体" w:cs="宋体"/>
          <w:bCs/>
          <w:color w:val="auto"/>
          <w:sz w:val="24"/>
          <w:szCs w:val="24"/>
          <w:highlight w:val="none"/>
        </w:rPr>
        <w:t>签订合同。</w:t>
      </w:r>
    </w:p>
    <w:p w14:paraId="2303F3A5">
      <w:pPr>
        <w:spacing w:line="360" w:lineRule="auto"/>
        <w:rPr>
          <w:rFonts w:hint="eastAsia" w:ascii="宋体" w:hAnsi="宋体"/>
          <w:b/>
          <w:bCs/>
          <w:color w:val="auto"/>
          <w:sz w:val="24"/>
          <w:highlight w:val="none"/>
        </w:rPr>
      </w:pPr>
    </w:p>
    <w:p w14:paraId="470F1EBB">
      <w:pPr>
        <w:spacing w:line="360" w:lineRule="auto"/>
        <w:rPr>
          <w:rFonts w:hint="eastAsia" w:ascii="宋体" w:hAnsi="宋体"/>
          <w:b/>
          <w:bCs/>
          <w:color w:val="auto"/>
          <w:sz w:val="24"/>
          <w:highlight w:val="none"/>
        </w:rPr>
      </w:pPr>
    </w:p>
    <w:p w14:paraId="2BACF844">
      <w:pPr>
        <w:widowControl/>
        <w:spacing w:line="360" w:lineRule="exact"/>
        <w:ind w:firstLine="420"/>
        <w:jc w:val="center"/>
        <w:rPr>
          <w:rFonts w:hint="eastAsia" w:ascii="新宋体" w:hAnsi="新宋体" w:eastAsia="新宋体"/>
          <w:color w:val="auto"/>
          <w:kern w:val="0"/>
          <w:sz w:val="28"/>
          <w:szCs w:val="28"/>
          <w:highlight w:val="none"/>
        </w:rPr>
      </w:pPr>
    </w:p>
    <w:p w14:paraId="0AAE5E8E">
      <w:pPr>
        <w:widowControl/>
        <w:spacing w:line="360" w:lineRule="exact"/>
        <w:ind w:firstLine="420"/>
        <w:jc w:val="center"/>
        <w:rPr>
          <w:rFonts w:hint="eastAsia" w:ascii="新宋体" w:hAnsi="新宋体" w:eastAsia="新宋体"/>
          <w:color w:val="auto"/>
          <w:kern w:val="0"/>
          <w:sz w:val="28"/>
          <w:szCs w:val="28"/>
          <w:highlight w:val="none"/>
        </w:rPr>
      </w:pPr>
    </w:p>
    <w:p w14:paraId="532B3944">
      <w:pPr>
        <w:widowControl/>
        <w:spacing w:line="360" w:lineRule="exact"/>
        <w:ind w:firstLine="420"/>
        <w:jc w:val="center"/>
        <w:rPr>
          <w:rFonts w:hint="eastAsia" w:ascii="新宋体" w:hAnsi="新宋体" w:eastAsia="新宋体"/>
          <w:color w:val="auto"/>
          <w:kern w:val="0"/>
          <w:sz w:val="28"/>
          <w:szCs w:val="28"/>
          <w:highlight w:val="none"/>
        </w:rPr>
      </w:pPr>
    </w:p>
    <w:p w14:paraId="0F4D79B6">
      <w:pPr>
        <w:widowControl/>
        <w:spacing w:line="360" w:lineRule="exact"/>
        <w:ind w:firstLine="420"/>
        <w:jc w:val="center"/>
        <w:rPr>
          <w:rFonts w:hint="eastAsia" w:ascii="新宋体" w:hAnsi="新宋体" w:eastAsia="新宋体"/>
          <w:color w:val="auto"/>
          <w:kern w:val="0"/>
          <w:sz w:val="28"/>
          <w:szCs w:val="28"/>
          <w:highlight w:val="none"/>
        </w:rPr>
      </w:pPr>
    </w:p>
    <w:p w14:paraId="72C76E62">
      <w:pPr>
        <w:widowControl/>
        <w:spacing w:line="360" w:lineRule="exact"/>
        <w:ind w:firstLine="420"/>
        <w:jc w:val="center"/>
        <w:rPr>
          <w:rFonts w:hint="eastAsia" w:ascii="新宋体" w:hAnsi="新宋体" w:eastAsia="新宋体"/>
          <w:color w:val="auto"/>
          <w:kern w:val="0"/>
          <w:sz w:val="28"/>
          <w:szCs w:val="28"/>
          <w:highlight w:val="none"/>
        </w:rPr>
      </w:pPr>
    </w:p>
    <w:p w14:paraId="171CCB3F">
      <w:pPr>
        <w:widowControl/>
        <w:spacing w:line="360" w:lineRule="exact"/>
        <w:ind w:firstLine="420"/>
        <w:jc w:val="center"/>
        <w:rPr>
          <w:rFonts w:hint="eastAsia" w:ascii="新宋体" w:hAnsi="新宋体" w:eastAsia="新宋体"/>
          <w:color w:val="auto"/>
          <w:kern w:val="0"/>
          <w:sz w:val="28"/>
          <w:szCs w:val="28"/>
          <w:highlight w:val="none"/>
        </w:rPr>
      </w:pPr>
    </w:p>
    <w:p w14:paraId="421DB78F">
      <w:pPr>
        <w:pStyle w:val="18"/>
        <w:rPr>
          <w:rFonts w:hint="eastAsia" w:ascii="新宋体" w:hAnsi="新宋体" w:eastAsia="新宋体"/>
          <w:color w:val="auto"/>
          <w:kern w:val="0"/>
          <w:sz w:val="28"/>
          <w:szCs w:val="28"/>
          <w:highlight w:val="none"/>
        </w:rPr>
      </w:pPr>
    </w:p>
    <w:p w14:paraId="5159E015">
      <w:pPr>
        <w:rPr>
          <w:rFonts w:hint="eastAsia"/>
        </w:rPr>
      </w:pPr>
    </w:p>
    <w:p w14:paraId="31B683E1">
      <w:pPr>
        <w:widowControl/>
        <w:spacing w:line="360" w:lineRule="exact"/>
        <w:ind w:firstLine="420"/>
        <w:jc w:val="center"/>
        <w:rPr>
          <w:rFonts w:hint="eastAsia" w:ascii="新宋体" w:hAnsi="新宋体" w:eastAsia="新宋体"/>
          <w:b/>
          <w:bCs/>
          <w:color w:val="auto"/>
          <w:kern w:val="0"/>
          <w:sz w:val="28"/>
          <w:szCs w:val="28"/>
          <w:highlight w:val="none"/>
        </w:rPr>
      </w:pPr>
      <w:r>
        <w:rPr>
          <w:rFonts w:hint="eastAsia" w:ascii="新宋体" w:hAnsi="新宋体" w:eastAsia="新宋体"/>
          <w:b/>
          <w:bCs/>
          <w:color w:val="auto"/>
          <w:kern w:val="0"/>
          <w:sz w:val="28"/>
          <w:szCs w:val="28"/>
          <w:highlight w:val="none"/>
        </w:rPr>
        <w:t>中标单位考核细则</w:t>
      </w:r>
    </w:p>
    <w:p w14:paraId="75DB54B9">
      <w:pPr>
        <w:pStyle w:val="18"/>
        <w:rPr>
          <w:rFonts w:hint="eastAsia"/>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585"/>
        <w:gridCol w:w="3144"/>
      </w:tblGrid>
      <w:tr w14:paraId="3EA7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99" w:type="dxa"/>
            <w:tcBorders>
              <w:top w:val="single" w:color="auto" w:sz="4" w:space="0"/>
              <w:left w:val="single" w:color="auto" w:sz="4" w:space="0"/>
              <w:bottom w:val="single" w:color="auto" w:sz="4" w:space="0"/>
              <w:right w:val="single" w:color="auto" w:sz="4" w:space="0"/>
            </w:tcBorders>
            <w:noWrap w:val="0"/>
            <w:vAlign w:val="top"/>
          </w:tcPr>
          <w:p w14:paraId="0E2C80B8">
            <w:pPr>
              <w:rPr>
                <w:rFonts w:ascii="宋体" w:hAnsi="宋体"/>
                <w:color w:val="auto"/>
                <w:sz w:val="24"/>
                <w:szCs w:val="24"/>
                <w:highlight w:val="none"/>
              </w:rPr>
            </w:pPr>
            <w:r>
              <w:rPr>
                <w:rFonts w:hint="eastAsia" w:ascii="宋体" w:hAnsi="宋体"/>
                <w:color w:val="auto"/>
                <w:sz w:val="24"/>
                <w:szCs w:val="24"/>
                <w:highlight w:val="none"/>
              </w:rPr>
              <w:t>项</w:t>
            </w:r>
            <w:r>
              <w:rPr>
                <w:rFonts w:ascii="宋体" w:hAnsi="宋体"/>
                <w:color w:val="auto"/>
                <w:sz w:val="24"/>
                <w:szCs w:val="24"/>
                <w:highlight w:val="none"/>
              </w:rPr>
              <w:t xml:space="preserve"> </w:t>
            </w:r>
            <w:r>
              <w:rPr>
                <w:rFonts w:hint="eastAsia" w:ascii="宋体" w:hAnsi="宋体"/>
                <w:color w:val="auto"/>
                <w:sz w:val="24"/>
                <w:szCs w:val="24"/>
                <w:highlight w:val="none"/>
              </w:rPr>
              <w:t>目</w:t>
            </w:r>
          </w:p>
        </w:tc>
        <w:tc>
          <w:tcPr>
            <w:tcW w:w="5585" w:type="dxa"/>
            <w:tcBorders>
              <w:top w:val="single" w:color="auto" w:sz="4" w:space="0"/>
              <w:left w:val="single" w:color="auto" w:sz="4" w:space="0"/>
              <w:bottom w:val="single" w:color="auto" w:sz="4" w:space="0"/>
              <w:right w:val="single" w:color="auto" w:sz="4" w:space="0"/>
            </w:tcBorders>
            <w:noWrap w:val="0"/>
            <w:vAlign w:val="top"/>
          </w:tcPr>
          <w:p w14:paraId="560F7C4E">
            <w:pPr>
              <w:ind w:left="840" w:hanging="420"/>
              <w:jc w:val="center"/>
              <w:rPr>
                <w:rFonts w:ascii="宋体" w:hAnsi="宋体"/>
                <w:color w:val="auto"/>
                <w:sz w:val="24"/>
                <w:szCs w:val="24"/>
                <w:highlight w:val="none"/>
              </w:rPr>
            </w:pPr>
            <w:r>
              <w:rPr>
                <w:rFonts w:hint="eastAsia" w:ascii="宋体" w:hAnsi="宋体"/>
                <w:color w:val="auto"/>
                <w:sz w:val="24"/>
                <w:szCs w:val="24"/>
                <w:highlight w:val="none"/>
              </w:rPr>
              <w:t>考</w:t>
            </w:r>
            <w:r>
              <w:rPr>
                <w:rFonts w:ascii="宋体" w:hAnsi="宋体"/>
                <w:color w:val="auto"/>
                <w:sz w:val="24"/>
                <w:szCs w:val="24"/>
                <w:highlight w:val="none"/>
              </w:rPr>
              <w:t xml:space="preserve">   </w:t>
            </w:r>
            <w:r>
              <w:rPr>
                <w:rFonts w:hint="eastAsia" w:ascii="宋体" w:hAnsi="宋体"/>
                <w:color w:val="auto"/>
                <w:sz w:val="24"/>
                <w:szCs w:val="24"/>
                <w:highlight w:val="none"/>
              </w:rPr>
              <w:t>核</w:t>
            </w:r>
            <w:r>
              <w:rPr>
                <w:rFonts w:ascii="宋体" w:hAnsi="宋体"/>
                <w:color w:val="auto"/>
                <w:sz w:val="24"/>
                <w:szCs w:val="24"/>
                <w:highlight w:val="none"/>
              </w:rPr>
              <w:t xml:space="preserve">   </w:t>
            </w:r>
            <w:r>
              <w:rPr>
                <w:rFonts w:hint="eastAsia" w:ascii="宋体" w:hAnsi="宋体"/>
                <w:color w:val="auto"/>
                <w:sz w:val="24"/>
                <w:szCs w:val="24"/>
                <w:highlight w:val="none"/>
              </w:rPr>
              <w:t>内</w:t>
            </w:r>
            <w:r>
              <w:rPr>
                <w:rFonts w:ascii="宋体" w:hAnsi="宋体"/>
                <w:color w:val="auto"/>
                <w:sz w:val="24"/>
                <w:szCs w:val="24"/>
                <w:highlight w:val="none"/>
              </w:rPr>
              <w:t xml:space="preserve">   </w:t>
            </w:r>
            <w:r>
              <w:rPr>
                <w:rFonts w:hint="eastAsia" w:ascii="宋体" w:hAnsi="宋体"/>
                <w:color w:val="auto"/>
                <w:sz w:val="24"/>
                <w:szCs w:val="24"/>
                <w:highlight w:val="none"/>
              </w:rPr>
              <w:t>容</w:t>
            </w:r>
          </w:p>
        </w:tc>
        <w:tc>
          <w:tcPr>
            <w:tcW w:w="3144" w:type="dxa"/>
            <w:tcBorders>
              <w:top w:val="single" w:color="auto" w:sz="4" w:space="0"/>
              <w:left w:val="single" w:color="auto" w:sz="4" w:space="0"/>
              <w:bottom w:val="single" w:color="auto" w:sz="4" w:space="0"/>
              <w:right w:val="single" w:color="auto" w:sz="4" w:space="0"/>
            </w:tcBorders>
            <w:noWrap w:val="0"/>
            <w:vAlign w:val="top"/>
          </w:tcPr>
          <w:p w14:paraId="454FBCB6">
            <w:pPr>
              <w:ind w:left="840" w:hanging="420"/>
              <w:jc w:val="center"/>
              <w:rPr>
                <w:rFonts w:ascii="宋体" w:hAnsi="宋体"/>
                <w:color w:val="auto"/>
                <w:sz w:val="24"/>
                <w:szCs w:val="24"/>
                <w:highlight w:val="none"/>
              </w:rPr>
            </w:pPr>
            <w:r>
              <w:rPr>
                <w:rFonts w:hint="eastAsia" w:ascii="宋体" w:hAnsi="宋体"/>
                <w:color w:val="auto"/>
                <w:sz w:val="24"/>
                <w:szCs w:val="24"/>
                <w:highlight w:val="none"/>
              </w:rPr>
              <w:t>评</w:t>
            </w:r>
            <w:r>
              <w:rPr>
                <w:rFonts w:ascii="宋体" w:hAnsi="宋体"/>
                <w:color w:val="auto"/>
                <w:sz w:val="24"/>
                <w:szCs w:val="24"/>
                <w:highlight w:val="none"/>
              </w:rPr>
              <w:t xml:space="preserve"> </w:t>
            </w:r>
            <w:r>
              <w:rPr>
                <w:rFonts w:hint="eastAsia" w:ascii="宋体" w:hAnsi="宋体"/>
                <w:color w:val="auto"/>
                <w:sz w:val="24"/>
                <w:szCs w:val="24"/>
                <w:highlight w:val="none"/>
              </w:rPr>
              <w:t>分</w:t>
            </w:r>
            <w:r>
              <w:rPr>
                <w:rFonts w:ascii="宋体" w:hAnsi="宋体"/>
                <w:color w:val="auto"/>
                <w:sz w:val="24"/>
                <w:szCs w:val="24"/>
                <w:highlight w:val="none"/>
              </w:rPr>
              <w:t xml:space="preserve"> </w:t>
            </w:r>
            <w:r>
              <w:rPr>
                <w:rFonts w:hint="eastAsia" w:ascii="宋体" w:hAnsi="宋体"/>
                <w:color w:val="auto"/>
                <w:sz w:val="24"/>
                <w:szCs w:val="24"/>
                <w:highlight w:val="none"/>
              </w:rPr>
              <w:t>标</w:t>
            </w:r>
            <w:r>
              <w:rPr>
                <w:rFonts w:ascii="宋体" w:hAnsi="宋体"/>
                <w:color w:val="auto"/>
                <w:sz w:val="24"/>
                <w:szCs w:val="24"/>
                <w:highlight w:val="none"/>
              </w:rPr>
              <w:t xml:space="preserve"> </w:t>
            </w:r>
            <w:r>
              <w:rPr>
                <w:rFonts w:hint="eastAsia" w:ascii="宋体" w:hAnsi="宋体"/>
                <w:color w:val="auto"/>
                <w:sz w:val="24"/>
                <w:szCs w:val="24"/>
                <w:highlight w:val="none"/>
              </w:rPr>
              <w:t>准</w:t>
            </w:r>
          </w:p>
        </w:tc>
      </w:tr>
      <w:tr w14:paraId="12A2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612E84FF">
            <w:pPr>
              <w:jc w:val="left"/>
              <w:rPr>
                <w:rFonts w:hint="eastAsia" w:ascii="宋体" w:hAnsi="宋体"/>
                <w:color w:val="auto"/>
                <w:sz w:val="24"/>
                <w:szCs w:val="24"/>
                <w:highlight w:val="none"/>
              </w:rPr>
            </w:pPr>
            <w:r>
              <w:rPr>
                <w:rFonts w:hint="eastAsia" w:ascii="宋体" w:hAnsi="宋体"/>
                <w:color w:val="auto"/>
                <w:sz w:val="24"/>
                <w:szCs w:val="24"/>
                <w:highlight w:val="none"/>
              </w:rPr>
              <w:t>一、白蚁预防工程项目质量管理40 分</w:t>
            </w:r>
          </w:p>
        </w:tc>
        <w:tc>
          <w:tcPr>
            <w:tcW w:w="5585" w:type="dxa"/>
            <w:tcBorders>
              <w:top w:val="single" w:color="auto" w:sz="4" w:space="0"/>
              <w:left w:val="single" w:color="auto" w:sz="4" w:space="0"/>
              <w:bottom w:val="single" w:color="auto" w:sz="4" w:space="0"/>
              <w:right w:val="single" w:color="auto" w:sz="4" w:space="0"/>
            </w:tcBorders>
            <w:noWrap w:val="0"/>
            <w:vAlign w:val="top"/>
          </w:tcPr>
          <w:p w14:paraId="48D7989B">
            <w:pPr>
              <w:jc w:val="left"/>
              <w:rPr>
                <w:rFonts w:hint="eastAsia" w:ascii="宋体" w:hAnsi="宋体"/>
                <w:color w:val="auto"/>
                <w:sz w:val="24"/>
                <w:szCs w:val="24"/>
                <w:highlight w:val="none"/>
              </w:rPr>
            </w:pPr>
            <w:r>
              <w:rPr>
                <w:rFonts w:hint="eastAsia" w:ascii="宋体" w:hAnsi="宋体"/>
                <w:color w:val="auto"/>
                <w:sz w:val="24"/>
                <w:szCs w:val="24"/>
                <w:highlight w:val="none"/>
              </w:rPr>
              <w:t>收到白蚁预防合同工程项目后3个工作日内及时进行工地勘查，制定白蚁预防施工方案依据和建议</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65754C08">
            <w:pPr>
              <w:jc w:val="left"/>
              <w:rPr>
                <w:rFonts w:hint="eastAsia" w:ascii="宋体" w:hAnsi="宋体"/>
                <w:color w:val="auto"/>
                <w:sz w:val="24"/>
                <w:szCs w:val="24"/>
                <w:highlight w:val="none"/>
              </w:rPr>
            </w:pPr>
            <w:r>
              <w:rPr>
                <w:rFonts w:hint="eastAsia" w:ascii="宋体" w:hAnsi="宋体"/>
                <w:color w:val="auto"/>
                <w:sz w:val="24"/>
                <w:szCs w:val="24"/>
                <w:highlight w:val="none"/>
              </w:rPr>
              <w:t>未在3个工作日内勘查的扣1分</w:t>
            </w:r>
          </w:p>
        </w:tc>
      </w:tr>
      <w:tr w14:paraId="6CF7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85F3864">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6D1D0FC8">
            <w:pPr>
              <w:jc w:val="left"/>
              <w:rPr>
                <w:rFonts w:hint="eastAsia" w:ascii="宋体" w:hAnsi="宋体"/>
                <w:color w:val="auto"/>
                <w:sz w:val="24"/>
                <w:szCs w:val="24"/>
                <w:highlight w:val="none"/>
              </w:rPr>
            </w:pPr>
            <w:r>
              <w:rPr>
                <w:rFonts w:hint="eastAsia" w:ascii="宋体" w:hAnsi="宋体"/>
                <w:color w:val="auto"/>
                <w:sz w:val="24"/>
                <w:szCs w:val="24"/>
                <w:highlight w:val="none"/>
              </w:rPr>
              <w:t>白蚁预防工程项目施工方案应及时送达采购方1份，项目负责人应熟悉白蚁预防工程项目施工方案</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3830ABC7">
            <w:pPr>
              <w:jc w:val="left"/>
              <w:rPr>
                <w:rFonts w:hint="eastAsia" w:ascii="宋体" w:hAnsi="宋体"/>
                <w:color w:val="auto"/>
                <w:sz w:val="24"/>
                <w:szCs w:val="24"/>
                <w:highlight w:val="none"/>
              </w:rPr>
            </w:pPr>
            <w:r>
              <w:rPr>
                <w:rFonts w:hint="eastAsia" w:ascii="宋体" w:hAnsi="宋体"/>
                <w:color w:val="auto"/>
                <w:sz w:val="24"/>
                <w:szCs w:val="24"/>
                <w:highlight w:val="none"/>
              </w:rPr>
              <w:t>未将施工方案及时送达甲方扣1分</w:t>
            </w:r>
          </w:p>
        </w:tc>
      </w:tr>
      <w:tr w14:paraId="0029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21B89015">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75140A25">
            <w:pPr>
              <w:jc w:val="left"/>
              <w:rPr>
                <w:rFonts w:hint="eastAsia" w:ascii="宋体" w:hAnsi="宋体"/>
                <w:color w:val="auto"/>
                <w:sz w:val="24"/>
                <w:szCs w:val="24"/>
                <w:highlight w:val="none"/>
              </w:rPr>
            </w:pPr>
            <w:r>
              <w:rPr>
                <w:rFonts w:hint="eastAsia" w:ascii="宋体" w:hAnsi="宋体"/>
                <w:color w:val="auto"/>
                <w:sz w:val="24"/>
                <w:szCs w:val="24"/>
                <w:highlight w:val="none"/>
              </w:rPr>
              <w:t>每只工程项目每季度巡查不少于1次，掌握工程进度，及时准确反馈工程信息</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17700A07">
            <w:pPr>
              <w:jc w:val="left"/>
              <w:rPr>
                <w:rFonts w:hint="eastAsia" w:ascii="宋体" w:hAnsi="宋体"/>
                <w:color w:val="auto"/>
                <w:sz w:val="24"/>
                <w:szCs w:val="24"/>
                <w:highlight w:val="none"/>
              </w:rPr>
            </w:pPr>
            <w:r>
              <w:rPr>
                <w:rFonts w:hint="eastAsia" w:ascii="宋体" w:hAnsi="宋体"/>
                <w:color w:val="auto"/>
                <w:sz w:val="24"/>
                <w:szCs w:val="24"/>
                <w:highlight w:val="none"/>
              </w:rPr>
              <w:t>巡查工地少一次扣1分</w:t>
            </w:r>
          </w:p>
        </w:tc>
      </w:tr>
      <w:tr w14:paraId="1F75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398CBC4">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6E4E8130">
            <w:pPr>
              <w:jc w:val="left"/>
              <w:rPr>
                <w:rFonts w:hint="eastAsia" w:ascii="宋体" w:hAnsi="宋体"/>
                <w:color w:val="auto"/>
                <w:sz w:val="24"/>
                <w:szCs w:val="24"/>
                <w:highlight w:val="none"/>
              </w:rPr>
            </w:pPr>
            <w:r>
              <w:rPr>
                <w:rFonts w:hint="eastAsia" w:ascii="宋体" w:hAnsi="宋体"/>
                <w:color w:val="auto"/>
                <w:sz w:val="24"/>
                <w:szCs w:val="24"/>
                <w:highlight w:val="none"/>
              </w:rPr>
              <w:t>组织白蚁预防施工应提前一天上报白蚁防治主管单位。白蚁防治单位应及时安排质监人员到场监督工程质量</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4E6C88B6">
            <w:pPr>
              <w:jc w:val="left"/>
              <w:rPr>
                <w:rFonts w:hint="eastAsia" w:ascii="宋体" w:hAnsi="宋体"/>
                <w:color w:val="auto"/>
                <w:sz w:val="24"/>
                <w:szCs w:val="24"/>
                <w:highlight w:val="none"/>
              </w:rPr>
            </w:pPr>
            <w:r>
              <w:rPr>
                <w:rFonts w:hint="eastAsia" w:ascii="宋体" w:hAnsi="宋体"/>
                <w:color w:val="auto"/>
                <w:sz w:val="24"/>
                <w:szCs w:val="24"/>
                <w:highlight w:val="none"/>
              </w:rPr>
              <w:t>不上报一项工程扣1分</w:t>
            </w:r>
          </w:p>
        </w:tc>
      </w:tr>
      <w:tr w14:paraId="324E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276824B">
            <w:pPr>
              <w:jc w:val="left"/>
              <w:rPr>
                <w:rFonts w:hint="eastAsia" w:ascii="宋体" w:hAnsi="宋体"/>
                <w:color w:val="auto"/>
                <w:sz w:val="24"/>
                <w:szCs w:val="24"/>
                <w:highlight w:val="none"/>
              </w:rPr>
            </w:pPr>
          </w:p>
        </w:tc>
        <w:tc>
          <w:tcPr>
            <w:tcW w:w="5585" w:type="dxa"/>
            <w:tcBorders>
              <w:top w:val="single" w:color="auto" w:sz="4" w:space="0"/>
              <w:left w:val="single" w:color="auto" w:sz="4" w:space="0"/>
              <w:right w:val="single" w:color="auto" w:sz="4" w:space="0"/>
            </w:tcBorders>
            <w:noWrap w:val="0"/>
            <w:vAlign w:val="top"/>
          </w:tcPr>
          <w:p w14:paraId="0B3F922E">
            <w:pPr>
              <w:jc w:val="left"/>
              <w:rPr>
                <w:rFonts w:hint="eastAsia" w:ascii="宋体" w:hAnsi="宋体"/>
                <w:color w:val="auto"/>
                <w:sz w:val="24"/>
                <w:szCs w:val="24"/>
                <w:highlight w:val="none"/>
              </w:rPr>
            </w:pPr>
            <w:r>
              <w:rPr>
                <w:rFonts w:hint="eastAsia" w:ascii="宋体" w:hAnsi="宋体"/>
                <w:color w:val="auto"/>
                <w:sz w:val="24"/>
                <w:szCs w:val="24"/>
                <w:highlight w:val="none"/>
              </w:rPr>
              <w:t>组织施工有序，按照《房屋白蚁监测控制系统应用技术规程》编号DB33／T1108—2018。主要技术指标为：</w:t>
            </w:r>
          </w:p>
          <w:p w14:paraId="2FA6B8EE">
            <w:pPr>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监测装置安装间距，房屋四周为5米，特殊情况协商确定，服务施工方案由东阳市房屋征收服务中心（东阳市房地产处）审定后方可实施；</w:t>
            </w:r>
          </w:p>
          <w:p w14:paraId="4448C10D">
            <w:pPr>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监测装置维护周期：每年上半年、下半年各1次，（包括维护和更换）特殊情况协商确定；</w:t>
            </w:r>
          </w:p>
          <w:p w14:paraId="243A303C">
            <w:pPr>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（3）监测装置应选用通过全国白蚁防治中心评议认定的产品，主要可参照（全蚁发〔2021〕36号）和《房屋白蚁监测控制系统应用技术规程》（编号DB33／T1108—2018）要求。</w:t>
            </w:r>
          </w:p>
        </w:tc>
        <w:tc>
          <w:tcPr>
            <w:tcW w:w="3144" w:type="dxa"/>
            <w:tcBorders>
              <w:top w:val="single" w:color="auto" w:sz="4" w:space="0"/>
              <w:left w:val="single" w:color="auto" w:sz="4" w:space="0"/>
              <w:right w:val="single" w:color="auto" w:sz="4" w:space="0"/>
            </w:tcBorders>
            <w:noWrap w:val="0"/>
            <w:vAlign w:val="center"/>
          </w:tcPr>
          <w:p w14:paraId="49DA3F41">
            <w:pPr>
              <w:jc w:val="left"/>
              <w:rPr>
                <w:rFonts w:hint="eastAsia" w:ascii="宋体" w:hAnsi="宋体"/>
                <w:color w:val="auto"/>
                <w:sz w:val="24"/>
                <w:szCs w:val="24"/>
                <w:highlight w:val="none"/>
              </w:rPr>
            </w:pPr>
            <w:r>
              <w:rPr>
                <w:rFonts w:hint="eastAsia" w:ascii="宋体" w:hAnsi="宋体"/>
                <w:color w:val="auto"/>
                <w:sz w:val="24"/>
                <w:szCs w:val="24"/>
                <w:highlight w:val="none"/>
              </w:rPr>
              <w:t>未按 《房屋白蚁监测控制技术规程》 组织施工和未按规定采购监测装置的，每一项内容扣2分</w:t>
            </w:r>
          </w:p>
        </w:tc>
      </w:tr>
      <w:tr w14:paraId="6857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270DA7A1">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6C17C9DD">
            <w:pPr>
              <w:jc w:val="left"/>
              <w:rPr>
                <w:rFonts w:hint="eastAsia" w:ascii="宋体" w:hAnsi="宋体"/>
                <w:color w:val="auto"/>
                <w:sz w:val="24"/>
                <w:szCs w:val="24"/>
                <w:highlight w:val="none"/>
              </w:rPr>
            </w:pPr>
            <w:r>
              <w:rPr>
                <w:rFonts w:hint="eastAsia" w:ascii="宋体" w:hAnsi="宋体"/>
                <w:color w:val="auto"/>
                <w:sz w:val="24"/>
                <w:szCs w:val="24"/>
                <w:highlight w:val="none"/>
              </w:rPr>
              <w:t>安装监控装置，必须提供安装图纸，准确记录安装位置。</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7DC8DE10">
            <w:pPr>
              <w:jc w:val="left"/>
              <w:rPr>
                <w:rFonts w:hint="eastAsia" w:ascii="宋体" w:hAnsi="宋体"/>
                <w:color w:val="auto"/>
                <w:sz w:val="24"/>
                <w:szCs w:val="24"/>
                <w:highlight w:val="none"/>
              </w:rPr>
            </w:pPr>
            <w:r>
              <w:rPr>
                <w:rFonts w:hint="eastAsia" w:ascii="宋体" w:hAnsi="宋体"/>
                <w:color w:val="auto"/>
                <w:sz w:val="24"/>
                <w:szCs w:val="24"/>
                <w:highlight w:val="none"/>
              </w:rPr>
              <w:t>抽查中位置误差超过0.5米，按抽查与实际的比例，核算实际有误数量，1个扣1分。</w:t>
            </w:r>
          </w:p>
        </w:tc>
      </w:tr>
      <w:tr w14:paraId="6C78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A4F95EB">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63DD0ABB">
            <w:pPr>
              <w:jc w:val="left"/>
              <w:rPr>
                <w:rFonts w:hint="eastAsia" w:ascii="宋体" w:hAnsi="宋体"/>
                <w:color w:val="auto"/>
                <w:sz w:val="24"/>
                <w:szCs w:val="24"/>
                <w:highlight w:val="none"/>
              </w:rPr>
            </w:pPr>
            <w:r>
              <w:rPr>
                <w:rFonts w:hint="eastAsia" w:ascii="宋体" w:hAnsi="宋体"/>
                <w:color w:val="auto"/>
                <w:sz w:val="24"/>
                <w:szCs w:val="24"/>
                <w:highlight w:val="none"/>
              </w:rPr>
              <w:t>做到施工安全无事故，白蚁预防项目负责人应及时向建筑施工单位说明安全事项，施工人员应严格执行安全操作规定</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6D473C61">
            <w:pPr>
              <w:jc w:val="left"/>
              <w:rPr>
                <w:rFonts w:hint="eastAsia" w:ascii="宋体" w:hAnsi="宋体"/>
                <w:color w:val="auto"/>
                <w:sz w:val="24"/>
                <w:szCs w:val="24"/>
                <w:highlight w:val="none"/>
              </w:rPr>
            </w:pPr>
            <w:r>
              <w:rPr>
                <w:rFonts w:hint="eastAsia" w:ascii="宋体" w:hAnsi="宋体"/>
                <w:color w:val="auto"/>
                <w:sz w:val="24"/>
                <w:szCs w:val="24"/>
                <w:highlight w:val="none"/>
              </w:rPr>
              <w:t>不穿戴工作服安全帽进入工地的每人次扣1分</w:t>
            </w:r>
          </w:p>
        </w:tc>
      </w:tr>
      <w:tr w14:paraId="7795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6341945">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40684DF6">
            <w:pPr>
              <w:jc w:val="left"/>
              <w:rPr>
                <w:rFonts w:hint="eastAsia" w:ascii="宋体" w:hAnsi="宋体"/>
                <w:color w:val="auto"/>
                <w:sz w:val="24"/>
                <w:szCs w:val="24"/>
                <w:highlight w:val="none"/>
              </w:rPr>
            </w:pPr>
            <w:r>
              <w:rPr>
                <w:rFonts w:hint="eastAsia" w:ascii="宋体" w:hAnsi="宋体"/>
                <w:color w:val="auto"/>
                <w:sz w:val="24"/>
                <w:szCs w:val="24"/>
                <w:highlight w:val="none"/>
              </w:rPr>
              <w:t>施工反馈意见应完全反映出建设单位的评价意见</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19B9BE7F">
            <w:pPr>
              <w:jc w:val="left"/>
              <w:rPr>
                <w:rFonts w:hint="eastAsia" w:ascii="宋体" w:hAnsi="宋体"/>
                <w:color w:val="auto"/>
                <w:sz w:val="24"/>
                <w:szCs w:val="24"/>
                <w:highlight w:val="none"/>
              </w:rPr>
            </w:pPr>
            <w:r>
              <w:rPr>
                <w:rFonts w:hint="eastAsia" w:ascii="宋体" w:hAnsi="宋体"/>
                <w:color w:val="auto"/>
                <w:sz w:val="24"/>
                <w:szCs w:val="24"/>
                <w:highlight w:val="none"/>
              </w:rPr>
              <w:t>建设单位评价差的扣1分</w:t>
            </w:r>
          </w:p>
        </w:tc>
      </w:tr>
      <w:tr w14:paraId="4F48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460A332">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66104C59">
            <w:pPr>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整理收集工程质量验收资料齐全，白蚁防治单位应收集提供如下资料：1、勘查记录，2、施工方案，3、施工记录（施工过程照片及施工图纸），4、安全记录，5、监测装置质量保证书、6、施工信息反馈意见，7、竣工验收证明书，8、质监记录（由白蚁监管单位提供），9、新建房屋白蚁防治公共服务受理登记单，10、验收证明书，11、发证登记表，12、工程竣工通知书</w:t>
            </w:r>
            <w:r>
              <w:rPr>
                <w:rFonts w:hint="eastAsia" w:ascii="宋体" w:hAnsi="宋体"/>
                <w:color w:val="auto"/>
                <w:sz w:val="24"/>
                <w:szCs w:val="24"/>
                <w:highlight w:val="none"/>
                <w:lang w:eastAsia="zh-CN"/>
              </w:rPr>
              <w:t>。</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613B5A94">
            <w:pPr>
              <w:jc w:val="left"/>
              <w:rPr>
                <w:rFonts w:hint="eastAsia" w:ascii="宋体" w:hAnsi="宋体"/>
                <w:color w:val="auto"/>
                <w:sz w:val="24"/>
                <w:szCs w:val="24"/>
                <w:highlight w:val="none"/>
              </w:rPr>
            </w:pPr>
            <w:r>
              <w:rPr>
                <w:rFonts w:hint="eastAsia" w:ascii="宋体" w:hAnsi="宋体"/>
                <w:color w:val="auto"/>
                <w:sz w:val="24"/>
                <w:szCs w:val="24"/>
                <w:highlight w:val="none"/>
              </w:rPr>
              <w:t>缺一份资料扣1分，各项记录填写不详实扣1分，随意涂改一处扣0.5分</w:t>
            </w:r>
          </w:p>
        </w:tc>
      </w:tr>
      <w:tr w14:paraId="5FA9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2CD8593">
            <w:pPr>
              <w:jc w:val="left"/>
              <w:rPr>
                <w:rFonts w:hint="eastAsia" w:ascii="宋体" w:hAnsi="宋体"/>
                <w:color w:val="auto"/>
                <w:sz w:val="24"/>
                <w:szCs w:val="24"/>
                <w:highlight w:val="none"/>
              </w:rPr>
            </w:pPr>
          </w:p>
        </w:tc>
        <w:tc>
          <w:tcPr>
            <w:tcW w:w="5585" w:type="dxa"/>
            <w:tcBorders>
              <w:top w:val="single" w:color="auto" w:sz="4" w:space="0"/>
              <w:left w:val="single" w:color="auto" w:sz="4" w:space="0"/>
              <w:right w:val="single" w:color="auto" w:sz="4" w:space="0"/>
            </w:tcBorders>
            <w:noWrap w:val="0"/>
            <w:vAlign w:val="top"/>
          </w:tcPr>
          <w:p w14:paraId="22E39325">
            <w:pPr>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7C941EF">
            <w:pPr>
              <w:jc w:val="left"/>
              <w:rPr>
                <w:rFonts w:hint="eastAsia" w:ascii="宋体" w:hAnsi="宋体"/>
                <w:color w:val="auto"/>
                <w:sz w:val="24"/>
                <w:szCs w:val="24"/>
                <w:highlight w:val="none"/>
              </w:rPr>
            </w:pPr>
            <w:r>
              <w:rPr>
                <w:rFonts w:hint="eastAsia" w:ascii="宋体" w:hAnsi="宋体"/>
                <w:color w:val="auto"/>
                <w:sz w:val="24"/>
                <w:szCs w:val="24"/>
                <w:highlight w:val="none"/>
              </w:rPr>
              <w:t>竣工工程10个工作日内提交竣工验收</w:t>
            </w:r>
          </w:p>
        </w:tc>
        <w:tc>
          <w:tcPr>
            <w:tcW w:w="3144" w:type="dxa"/>
            <w:tcBorders>
              <w:top w:val="single" w:color="auto" w:sz="4" w:space="0"/>
              <w:left w:val="single" w:color="auto" w:sz="4" w:space="0"/>
              <w:right w:val="single" w:color="auto" w:sz="4" w:space="0"/>
            </w:tcBorders>
            <w:noWrap w:val="0"/>
            <w:vAlign w:val="center"/>
          </w:tcPr>
          <w:p w14:paraId="18BD836E">
            <w:pPr>
              <w:jc w:val="left"/>
              <w:rPr>
                <w:rFonts w:hint="eastAsia" w:ascii="宋体" w:hAnsi="宋体"/>
                <w:color w:val="auto"/>
                <w:sz w:val="24"/>
                <w:szCs w:val="24"/>
                <w:highlight w:val="none"/>
              </w:rPr>
            </w:pPr>
            <w:r>
              <w:rPr>
                <w:rFonts w:hint="eastAsia" w:ascii="宋体" w:hAnsi="宋体"/>
                <w:color w:val="auto"/>
                <w:sz w:val="24"/>
                <w:szCs w:val="24"/>
                <w:highlight w:val="none"/>
              </w:rPr>
              <w:t>不按时提交竣工验收的扣2分，退件资料一个工作日内不提交的扣1分</w:t>
            </w:r>
          </w:p>
        </w:tc>
      </w:tr>
      <w:tr w14:paraId="09AB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99" w:type="dxa"/>
            <w:tcBorders>
              <w:top w:val="single" w:color="auto" w:sz="4" w:space="0"/>
              <w:left w:val="single" w:color="auto" w:sz="4" w:space="0"/>
              <w:bottom w:val="nil"/>
              <w:right w:val="single" w:color="auto" w:sz="4" w:space="0"/>
            </w:tcBorders>
            <w:noWrap w:val="0"/>
            <w:vAlign w:val="center"/>
          </w:tcPr>
          <w:p w14:paraId="1A73FAA2">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4DD435C4">
            <w:pPr>
              <w:jc w:val="left"/>
              <w:rPr>
                <w:rFonts w:hint="eastAsia" w:ascii="宋体" w:hAnsi="宋体"/>
                <w:color w:val="auto"/>
                <w:sz w:val="24"/>
                <w:szCs w:val="24"/>
                <w:highlight w:val="none"/>
              </w:rPr>
            </w:pPr>
            <w:r>
              <w:rPr>
                <w:rFonts w:hint="eastAsia" w:ascii="宋体" w:hAnsi="宋体"/>
                <w:color w:val="auto"/>
                <w:sz w:val="24"/>
                <w:szCs w:val="24"/>
                <w:highlight w:val="none"/>
              </w:rPr>
              <w:t>白蚁防治单位收到工程竣工发证通知书后，应当日通知建设单位到白蚁防治主管单位领取新建房屋白蚁预防确认书</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08BE04EF">
            <w:pPr>
              <w:jc w:val="left"/>
              <w:rPr>
                <w:rFonts w:hint="eastAsia" w:ascii="宋体" w:hAnsi="宋体"/>
                <w:color w:val="auto"/>
                <w:sz w:val="24"/>
                <w:szCs w:val="24"/>
                <w:highlight w:val="none"/>
              </w:rPr>
            </w:pPr>
            <w:r>
              <w:rPr>
                <w:rFonts w:hint="eastAsia" w:ascii="宋体" w:hAnsi="宋体"/>
                <w:color w:val="auto"/>
                <w:sz w:val="24"/>
                <w:szCs w:val="24"/>
                <w:highlight w:val="none"/>
              </w:rPr>
              <w:t>不及时通知的扣1分</w:t>
            </w:r>
          </w:p>
        </w:tc>
      </w:tr>
      <w:tr w14:paraId="0D79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899" w:type="dxa"/>
            <w:tcBorders>
              <w:top w:val="nil"/>
              <w:left w:val="single" w:color="auto" w:sz="4" w:space="0"/>
              <w:bottom w:val="single" w:color="auto" w:sz="4" w:space="0"/>
              <w:right w:val="single" w:color="auto" w:sz="4" w:space="0"/>
            </w:tcBorders>
            <w:noWrap w:val="0"/>
            <w:vAlign w:val="center"/>
          </w:tcPr>
          <w:p w14:paraId="0995D636">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5409C869">
            <w:pPr>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纸质档案资料与数据应及时填写记录清楚。</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1415AFBA">
            <w:pPr>
              <w:jc w:val="left"/>
              <w:rPr>
                <w:rFonts w:hint="eastAsia" w:ascii="宋体" w:hAnsi="宋体"/>
                <w:color w:val="auto"/>
                <w:sz w:val="24"/>
                <w:szCs w:val="24"/>
                <w:highlight w:val="none"/>
              </w:rPr>
            </w:pPr>
            <w:r>
              <w:rPr>
                <w:rFonts w:hint="eastAsia" w:ascii="宋体" w:hAnsi="宋体"/>
                <w:color w:val="auto"/>
                <w:sz w:val="24"/>
                <w:szCs w:val="24"/>
                <w:highlight w:val="none"/>
              </w:rPr>
              <w:t>不及时填写和输入资料的扣1分</w:t>
            </w:r>
          </w:p>
        </w:tc>
      </w:tr>
      <w:tr w14:paraId="76A9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1120A911">
            <w:pPr>
              <w:jc w:val="left"/>
              <w:rPr>
                <w:rFonts w:hint="eastAsia" w:ascii="宋体" w:hAnsi="宋体"/>
                <w:color w:val="auto"/>
                <w:sz w:val="24"/>
                <w:szCs w:val="24"/>
                <w:highlight w:val="none"/>
              </w:rPr>
            </w:pPr>
            <w:r>
              <w:rPr>
                <w:rFonts w:hint="eastAsia" w:ascii="宋体" w:hAnsi="宋体"/>
                <w:color w:val="auto"/>
                <w:sz w:val="24"/>
                <w:szCs w:val="24"/>
                <w:highlight w:val="none"/>
              </w:rPr>
              <w:t>二、白蚁预防维护、复查管理10分</w:t>
            </w:r>
          </w:p>
        </w:tc>
        <w:tc>
          <w:tcPr>
            <w:tcW w:w="5585" w:type="dxa"/>
            <w:tcBorders>
              <w:top w:val="single" w:color="auto" w:sz="4" w:space="0"/>
              <w:left w:val="single" w:color="auto" w:sz="4" w:space="0"/>
              <w:bottom w:val="single" w:color="auto" w:sz="4" w:space="0"/>
              <w:right w:val="single" w:color="auto" w:sz="4" w:space="0"/>
            </w:tcBorders>
            <w:noWrap w:val="0"/>
            <w:vAlign w:val="top"/>
          </w:tcPr>
          <w:p w14:paraId="7B50C936">
            <w:pPr>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每个项目监测装置的维护复查工程应对逐幢逐套监测装置进行勘查和维护，并做好详实记录，应告知甲方防范白蚁易滋生的主要原因和措施。对项目名称变更、联系电话变更的应及时更正</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0364D71E">
            <w:pPr>
              <w:jc w:val="left"/>
              <w:rPr>
                <w:rFonts w:hint="eastAsia" w:ascii="宋体" w:hAnsi="宋体"/>
                <w:color w:val="auto"/>
                <w:sz w:val="24"/>
                <w:szCs w:val="24"/>
                <w:highlight w:val="none"/>
              </w:rPr>
            </w:pPr>
            <w:r>
              <w:rPr>
                <w:rFonts w:hint="eastAsia" w:ascii="宋体" w:hAnsi="宋体"/>
                <w:color w:val="auto"/>
                <w:sz w:val="24"/>
                <w:szCs w:val="24"/>
                <w:highlight w:val="none"/>
              </w:rPr>
              <w:t>不按幢按监测装置套数进行维护的扣2分，填写内容缺一项扣1分，无照片的扣1分</w:t>
            </w:r>
          </w:p>
        </w:tc>
      </w:tr>
      <w:tr w14:paraId="46AA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8C93E0A">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371B9A60">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蚁害情况填写详实、清楚，有蚁害的应填写白蚁种类，危害范围、危害程度等。检查白蚁预防监测系统应填写检查的个数、编号、型号等</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4BC0DD48">
            <w:pPr>
              <w:rPr>
                <w:rFonts w:ascii="宋体" w:hAnsi="宋体"/>
                <w:color w:val="auto"/>
                <w:sz w:val="24"/>
                <w:szCs w:val="24"/>
                <w:highlight w:val="none"/>
              </w:rPr>
            </w:pPr>
            <w:r>
              <w:rPr>
                <w:rFonts w:hint="eastAsia" w:ascii="宋体" w:hAnsi="宋体"/>
                <w:color w:val="auto"/>
                <w:sz w:val="24"/>
                <w:szCs w:val="24"/>
                <w:highlight w:val="none"/>
              </w:rPr>
              <w:t>填写内容缺一项扣</w:t>
            </w:r>
            <w:r>
              <w:rPr>
                <w:rFonts w:ascii="宋体" w:hAnsi="宋体"/>
                <w:color w:val="auto"/>
                <w:sz w:val="24"/>
                <w:szCs w:val="24"/>
                <w:highlight w:val="none"/>
              </w:rPr>
              <w:t>1</w:t>
            </w:r>
            <w:r>
              <w:rPr>
                <w:rFonts w:hint="eastAsia" w:ascii="宋体" w:hAnsi="宋体"/>
                <w:color w:val="auto"/>
                <w:sz w:val="24"/>
                <w:szCs w:val="24"/>
                <w:highlight w:val="none"/>
              </w:rPr>
              <w:t>分</w:t>
            </w:r>
          </w:p>
        </w:tc>
      </w:tr>
      <w:tr w14:paraId="247D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62A58BD">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18786C43">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有白蚁危害应填写白蚁种类，灭治施工人员，灭治时间，灭治方法，灭治效果等处理情况</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4F1F2C55">
            <w:pPr>
              <w:rPr>
                <w:rFonts w:ascii="宋体" w:hAnsi="宋体"/>
                <w:color w:val="auto"/>
                <w:sz w:val="24"/>
                <w:szCs w:val="24"/>
                <w:highlight w:val="none"/>
              </w:rPr>
            </w:pPr>
            <w:r>
              <w:rPr>
                <w:rFonts w:hint="eastAsia" w:ascii="宋体" w:hAnsi="宋体"/>
                <w:color w:val="auto"/>
                <w:sz w:val="24"/>
                <w:szCs w:val="24"/>
                <w:highlight w:val="none"/>
              </w:rPr>
              <w:t>填写内容缺一项扣</w:t>
            </w:r>
            <w:r>
              <w:rPr>
                <w:rFonts w:ascii="宋体" w:hAnsi="宋体"/>
                <w:color w:val="auto"/>
                <w:sz w:val="24"/>
                <w:szCs w:val="24"/>
                <w:highlight w:val="none"/>
              </w:rPr>
              <w:t>1</w:t>
            </w:r>
            <w:r>
              <w:rPr>
                <w:rFonts w:hint="eastAsia" w:ascii="宋体" w:hAnsi="宋体"/>
                <w:color w:val="auto"/>
                <w:sz w:val="24"/>
                <w:szCs w:val="24"/>
                <w:highlight w:val="none"/>
              </w:rPr>
              <w:t>分</w:t>
            </w:r>
          </w:p>
        </w:tc>
      </w:tr>
      <w:tr w14:paraId="771D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2CB6184">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right w:val="single" w:color="auto" w:sz="4" w:space="0"/>
            </w:tcBorders>
            <w:noWrap w:val="0"/>
            <w:vAlign w:val="top"/>
          </w:tcPr>
          <w:p w14:paraId="344BECE6">
            <w:pPr>
              <w:jc w:val="left"/>
              <w:rPr>
                <w:rFonts w:ascii="宋体" w:hAnsi="宋体"/>
                <w:color w:val="auto"/>
                <w:sz w:val="24"/>
                <w:szCs w:val="24"/>
                <w:highlight w:val="none"/>
              </w:rPr>
            </w:pPr>
            <w:r>
              <w:rPr>
                <w:rFonts w:hint="eastAsia" w:ascii="宋体" w:hAnsi="宋体"/>
                <w:color w:val="auto"/>
                <w:sz w:val="24"/>
                <w:szCs w:val="24"/>
                <w:highlight w:val="none"/>
              </w:rPr>
              <w:t>按技术规程规定完成维护工程项目数、装置套数和面积，按规定产品更换监测装置，并于每季度月底上报，同时需建立维护复查工程项目资料档案</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6EE18D4E">
            <w:pPr>
              <w:rPr>
                <w:rFonts w:ascii="宋体" w:hAnsi="宋体"/>
                <w:color w:val="auto"/>
                <w:sz w:val="24"/>
                <w:szCs w:val="24"/>
                <w:highlight w:val="none"/>
              </w:rPr>
            </w:pPr>
            <w:r>
              <w:rPr>
                <w:rFonts w:hint="eastAsia" w:ascii="宋体" w:hAnsi="宋体"/>
                <w:color w:val="auto"/>
                <w:sz w:val="24"/>
                <w:szCs w:val="24"/>
                <w:highlight w:val="none"/>
              </w:rPr>
              <w:t>只完成项目不完成装置套数的扣</w:t>
            </w:r>
            <w:r>
              <w:rPr>
                <w:rFonts w:ascii="宋体" w:hAnsi="宋体"/>
                <w:color w:val="auto"/>
                <w:sz w:val="24"/>
                <w:szCs w:val="24"/>
                <w:highlight w:val="none"/>
              </w:rPr>
              <w:t>2</w:t>
            </w:r>
            <w:r>
              <w:rPr>
                <w:rFonts w:hint="eastAsia" w:ascii="宋体" w:hAnsi="宋体"/>
                <w:color w:val="auto"/>
                <w:sz w:val="24"/>
                <w:szCs w:val="24"/>
                <w:highlight w:val="none"/>
              </w:rPr>
              <w:t>分；不按时上报扣1分；不建立维护项目档案的扣1分</w:t>
            </w:r>
          </w:p>
        </w:tc>
      </w:tr>
      <w:tr w14:paraId="59C6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99" w:type="dxa"/>
            <w:vMerge w:val="restart"/>
            <w:tcBorders>
              <w:top w:val="single" w:color="auto" w:sz="4" w:space="0"/>
              <w:left w:val="single" w:color="auto" w:sz="4" w:space="0"/>
              <w:right w:val="single" w:color="auto" w:sz="4" w:space="0"/>
            </w:tcBorders>
            <w:noWrap w:val="0"/>
            <w:vAlign w:val="center"/>
          </w:tcPr>
          <w:p w14:paraId="097F9F84">
            <w:pPr>
              <w:rPr>
                <w:rFonts w:hint="eastAsia" w:ascii="宋体" w:hAnsi="宋体"/>
                <w:color w:val="auto"/>
                <w:sz w:val="24"/>
                <w:szCs w:val="24"/>
                <w:highlight w:val="none"/>
              </w:rPr>
            </w:pPr>
            <w:r>
              <w:rPr>
                <w:rFonts w:hint="eastAsia" w:ascii="宋体" w:hAnsi="宋体"/>
                <w:color w:val="auto"/>
                <w:sz w:val="24"/>
                <w:szCs w:val="24"/>
                <w:highlight w:val="none"/>
              </w:rPr>
              <w:t>三、药物管理</w:t>
            </w:r>
            <w:r>
              <w:rPr>
                <w:rFonts w:ascii="宋体" w:hAnsi="宋体"/>
                <w:color w:val="auto"/>
                <w:sz w:val="24"/>
                <w:szCs w:val="24"/>
                <w:highlight w:val="none"/>
              </w:rPr>
              <w:t>10</w:t>
            </w:r>
            <w:r>
              <w:rPr>
                <w:rFonts w:hint="eastAsia" w:ascii="宋体" w:hAnsi="宋体"/>
                <w:color w:val="auto"/>
                <w:sz w:val="24"/>
                <w:szCs w:val="24"/>
                <w:highlight w:val="none"/>
              </w:rPr>
              <w:t>分</w:t>
            </w:r>
          </w:p>
        </w:tc>
        <w:tc>
          <w:tcPr>
            <w:tcW w:w="5585" w:type="dxa"/>
            <w:tcBorders>
              <w:top w:val="single" w:color="auto" w:sz="4" w:space="0"/>
              <w:left w:val="single" w:color="auto" w:sz="4" w:space="0"/>
              <w:right w:val="single" w:color="auto" w:sz="4" w:space="0"/>
            </w:tcBorders>
            <w:noWrap w:val="0"/>
            <w:vAlign w:val="top"/>
          </w:tcPr>
          <w:p w14:paraId="7E0CC667">
            <w:pPr>
              <w:jc w:val="left"/>
              <w:rPr>
                <w:rFonts w:ascii="宋体" w:hAnsi="宋体"/>
                <w:color w:val="auto"/>
                <w:sz w:val="24"/>
                <w:szCs w:val="24"/>
                <w:highlight w:val="none"/>
              </w:rPr>
            </w:pPr>
            <w:r>
              <w:rPr>
                <w:rFonts w:hint="eastAsia" w:ascii="宋体" w:hAnsi="宋体"/>
                <w:color w:val="auto"/>
                <w:sz w:val="24"/>
                <w:szCs w:val="24"/>
                <w:highlight w:val="none"/>
              </w:rPr>
              <w:t>白蚁防治药物的使用，必须履行《</w:t>
            </w:r>
            <w:r>
              <w:rPr>
                <w:rFonts w:ascii="宋体" w:hAnsi="宋体"/>
                <w:color w:val="auto"/>
                <w:sz w:val="24"/>
                <w:szCs w:val="24"/>
                <w:highlight w:val="none"/>
              </w:rPr>
              <w:t>POPS</w:t>
            </w:r>
            <w:r>
              <w:rPr>
                <w:rFonts w:hint="eastAsia" w:ascii="宋体" w:hAnsi="宋体"/>
                <w:color w:val="auto"/>
                <w:sz w:val="24"/>
                <w:szCs w:val="24"/>
                <w:highlight w:val="none"/>
              </w:rPr>
              <w:t>公约》（又称《斯德哥乐摩公约》），应符合《中华人民共和国农药管理条例》和国家现行有关产品标准的规定并应具有农药登记证，农药生产许可证或农药生产批准文件。药物应有专人管理和专用仓储，不得随意销售药物</w:t>
            </w:r>
          </w:p>
        </w:tc>
        <w:tc>
          <w:tcPr>
            <w:tcW w:w="3144" w:type="dxa"/>
            <w:tcBorders>
              <w:top w:val="single" w:color="auto" w:sz="4" w:space="0"/>
              <w:left w:val="single" w:color="auto" w:sz="4" w:space="0"/>
              <w:right w:val="single" w:color="auto" w:sz="4" w:space="0"/>
            </w:tcBorders>
            <w:noWrap w:val="0"/>
            <w:vAlign w:val="center"/>
          </w:tcPr>
          <w:p w14:paraId="0B4BE304">
            <w:pPr>
              <w:rPr>
                <w:rFonts w:ascii="宋体" w:hAnsi="宋体"/>
                <w:color w:val="auto"/>
                <w:sz w:val="24"/>
                <w:szCs w:val="24"/>
                <w:highlight w:val="none"/>
              </w:rPr>
            </w:pPr>
            <w:r>
              <w:rPr>
                <w:rFonts w:hint="eastAsia" w:ascii="宋体" w:hAnsi="宋体"/>
                <w:color w:val="auto"/>
                <w:sz w:val="24"/>
                <w:szCs w:val="24"/>
                <w:highlight w:val="none"/>
              </w:rPr>
              <w:t>不按国家标准使用药物扣</w:t>
            </w:r>
            <w:r>
              <w:rPr>
                <w:rFonts w:ascii="宋体" w:hAnsi="宋体"/>
                <w:color w:val="auto"/>
                <w:sz w:val="24"/>
                <w:szCs w:val="24"/>
                <w:highlight w:val="none"/>
              </w:rPr>
              <w:t>1</w:t>
            </w:r>
            <w:r>
              <w:rPr>
                <w:rFonts w:hint="eastAsia" w:ascii="宋体" w:hAnsi="宋体"/>
                <w:color w:val="auto"/>
                <w:sz w:val="24"/>
                <w:szCs w:val="24"/>
                <w:highlight w:val="none"/>
              </w:rPr>
              <w:t>分，药物无专人管理和专用仓储扣</w:t>
            </w:r>
            <w:r>
              <w:rPr>
                <w:rFonts w:ascii="宋体" w:hAnsi="宋体"/>
                <w:color w:val="auto"/>
                <w:sz w:val="24"/>
                <w:szCs w:val="24"/>
                <w:highlight w:val="none"/>
              </w:rPr>
              <w:t>1</w:t>
            </w:r>
            <w:r>
              <w:rPr>
                <w:rFonts w:hint="eastAsia" w:ascii="宋体" w:hAnsi="宋体"/>
                <w:color w:val="auto"/>
                <w:sz w:val="24"/>
                <w:szCs w:val="24"/>
                <w:highlight w:val="none"/>
              </w:rPr>
              <w:t>分。</w:t>
            </w:r>
          </w:p>
        </w:tc>
      </w:tr>
      <w:tr w14:paraId="2A0A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9" w:type="dxa"/>
            <w:vMerge w:val="continue"/>
            <w:tcBorders>
              <w:left w:val="single" w:color="auto" w:sz="4" w:space="0"/>
              <w:right w:val="single" w:color="auto" w:sz="4" w:space="0"/>
            </w:tcBorders>
            <w:noWrap w:val="0"/>
            <w:vAlign w:val="center"/>
          </w:tcPr>
          <w:p w14:paraId="2F8333D2">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6B25273F">
            <w:pPr>
              <w:jc w:val="left"/>
              <w:rPr>
                <w:rFonts w:ascii="宋体" w:hAnsi="宋体"/>
                <w:color w:val="auto"/>
                <w:sz w:val="24"/>
                <w:szCs w:val="24"/>
                <w:highlight w:val="none"/>
              </w:rPr>
            </w:pPr>
            <w:r>
              <w:rPr>
                <w:rFonts w:hint="eastAsia" w:ascii="宋体" w:hAnsi="宋体"/>
                <w:color w:val="auto"/>
                <w:sz w:val="24"/>
                <w:szCs w:val="24"/>
                <w:highlight w:val="none"/>
              </w:rPr>
              <w:t>白蚁防治药物由中标单位自行采购，必须选用经国家有关部门批准生产的药剂，严格按照国家和地方有关城市房屋白蚁防治的施工技术规范和操作程序进行防治。</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6630C533">
            <w:pPr>
              <w:rPr>
                <w:rFonts w:ascii="宋体" w:hAnsi="宋体"/>
                <w:color w:val="auto"/>
                <w:sz w:val="24"/>
                <w:szCs w:val="24"/>
                <w:highlight w:val="none"/>
              </w:rPr>
            </w:pPr>
            <w:r>
              <w:rPr>
                <w:rFonts w:hint="eastAsia" w:ascii="宋体" w:hAnsi="宋体"/>
                <w:color w:val="auto"/>
                <w:sz w:val="24"/>
                <w:szCs w:val="24"/>
                <w:highlight w:val="none"/>
              </w:rPr>
              <w:t>不按规定采购扣</w:t>
            </w:r>
            <w:r>
              <w:rPr>
                <w:rFonts w:ascii="宋体" w:hAnsi="宋体"/>
                <w:color w:val="auto"/>
                <w:sz w:val="24"/>
                <w:szCs w:val="24"/>
                <w:highlight w:val="none"/>
              </w:rPr>
              <w:t>1</w:t>
            </w:r>
            <w:r>
              <w:rPr>
                <w:rFonts w:hint="eastAsia" w:ascii="宋体" w:hAnsi="宋体"/>
                <w:color w:val="auto"/>
                <w:sz w:val="24"/>
                <w:szCs w:val="24"/>
                <w:highlight w:val="none"/>
              </w:rPr>
              <w:t>分，规范、程序</w:t>
            </w:r>
            <w:r>
              <w:rPr>
                <w:rFonts w:hint="eastAsia" w:ascii="宋体" w:hAnsi="宋体" w:cs="宋体"/>
                <w:color w:val="auto"/>
                <w:kern w:val="0"/>
                <w:sz w:val="24"/>
                <w:szCs w:val="24"/>
                <w:highlight w:val="none"/>
              </w:rPr>
              <w:t>不符</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w:t>
            </w:r>
          </w:p>
        </w:tc>
      </w:tr>
      <w:tr w14:paraId="489E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99" w:type="dxa"/>
            <w:vMerge w:val="continue"/>
            <w:tcBorders>
              <w:left w:val="single" w:color="auto" w:sz="4" w:space="0"/>
              <w:right w:val="single" w:color="auto" w:sz="4" w:space="0"/>
            </w:tcBorders>
            <w:noWrap w:val="0"/>
            <w:vAlign w:val="center"/>
          </w:tcPr>
          <w:p w14:paraId="3CFE0AE9">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091DA094">
            <w:pPr>
              <w:jc w:val="left"/>
              <w:rPr>
                <w:rFonts w:ascii="宋体" w:hAnsi="宋体"/>
                <w:color w:val="auto"/>
                <w:sz w:val="24"/>
                <w:szCs w:val="24"/>
                <w:highlight w:val="none"/>
              </w:rPr>
            </w:pPr>
            <w:r>
              <w:rPr>
                <w:rFonts w:hint="eastAsia" w:ascii="宋体" w:hAnsi="宋体"/>
                <w:color w:val="auto"/>
                <w:sz w:val="24"/>
                <w:szCs w:val="24"/>
                <w:highlight w:val="none"/>
              </w:rPr>
              <w:t>白蚁防治药物应安全存放，不能滞留车上和其它场所过夜，不能随意处置给他人</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6FB8B947">
            <w:pPr>
              <w:rPr>
                <w:rFonts w:ascii="宋体" w:hAnsi="宋体"/>
                <w:color w:val="auto"/>
                <w:sz w:val="24"/>
                <w:szCs w:val="24"/>
                <w:highlight w:val="none"/>
              </w:rPr>
            </w:pPr>
            <w:r>
              <w:rPr>
                <w:rFonts w:hint="eastAsia" w:ascii="宋体" w:hAnsi="宋体"/>
                <w:color w:val="auto"/>
                <w:sz w:val="24"/>
                <w:szCs w:val="24"/>
                <w:highlight w:val="none"/>
              </w:rPr>
              <w:t>不按规定处置一次扣</w:t>
            </w:r>
            <w:r>
              <w:rPr>
                <w:rFonts w:ascii="宋体" w:hAnsi="宋体"/>
                <w:color w:val="auto"/>
                <w:sz w:val="24"/>
                <w:szCs w:val="24"/>
                <w:highlight w:val="none"/>
              </w:rPr>
              <w:t>1</w:t>
            </w:r>
            <w:r>
              <w:rPr>
                <w:rFonts w:hint="eastAsia" w:ascii="宋体" w:hAnsi="宋体"/>
                <w:color w:val="auto"/>
                <w:sz w:val="24"/>
                <w:szCs w:val="24"/>
                <w:highlight w:val="none"/>
              </w:rPr>
              <w:t>分</w:t>
            </w:r>
          </w:p>
        </w:tc>
      </w:tr>
      <w:tr w14:paraId="124E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9" w:type="dxa"/>
            <w:vMerge w:val="continue"/>
            <w:tcBorders>
              <w:left w:val="single" w:color="auto" w:sz="4" w:space="0"/>
              <w:bottom w:val="single" w:color="auto" w:sz="4" w:space="0"/>
              <w:right w:val="single" w:color="auto" w:sz="4" w:space="0"/>
            </w:tcBorders>
            <w:noWrap w:val="0"/>
            <w:vAlign w:val="center"/>
          </w:tcPr>
          <w:p w14:paraId="47571221">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74412046">
            <w:pPr>
              <w:jc w:val="left"/>
              <w:rPr>
                <w:rFonts w:ascii="宋体" w:hAnsi="宋体"/>
                <w:color w:val="auto"/>
                <w:sz w:val="24"/>
                <w:szCs w:val="24"/>
                <w:highlight w:val="none"/>
              </w:rPr>
            </w:pPr>
            <w:r>
              <w:rPr>
                <w:rFonts w:hint="eastAsia" w:ascii="宋体" w:hAnsi="宋体" w:cs="宋体"/>
                <w:color w:val="auto"/>
                <w:kern w:val="0"/>
                <w:sz w:val="24"/>
                <w:szCs w:val="24"/>
                <w:highlight w:val="none"/>
              </w:rPr>
              <w:t>药物容器集中处理，不得任意丢弃或作他用。</w:t>
            </w:r>
            <w:r>
              <w:rPr>
                <w:rFonts w:hint="eastAsia" w:ascii="宋体" w:hAnsi="宋体"/>
                <w:color w:val="auto"/>
                <w:sz w:val="24"/>
                <w:szCs w:val="24"/>
                <w:highlight w:val="none"/>
              </w:rPr>
              <w:t>剩余药物不得倒入池塘、河流、喷向花草等</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3AF2F7A8">
            <w:pPr>
              <w:rPr>
                <w:rFonts w:ascii="宋体" w:hAnsi="宋体"/>
                <w:color w:val="auto"/>
                <w:sz w:val="24"/>
                <w:szCs w:val="24"/>
                <w:highlight w:val="none"/>
              </w:rPr>
            </w:pPr>
            <w:r>
              <w:rPr>
                <w:rFonts w:hint="eastAsia" w:ascii="宋体" w:hAnsi="宋体"/>
                <w:color w:val="auto"/>
                <w:sz w:val="24"/>
                <w:szCs w:val="24"/>
                <w:highlight w:val="none"/>
              </w:rPr>
              <w:t>不按规定处置一次扣</w:t>
            </w:r>
            <w:r>
              <w:rPr>
                <w:rFonts w:ascii="宋体" w:hAnsi="宋体"/>
                <w:color w:val="auto"/>
                <w:sz w:val="24"/>
                <w:szCs w:val="24"/>
                <w:highlight w:val="none"/>
              </w:rPr>
              <w:t>1</w:t>
            </w:r>
            <w:r>
              <w:rPr>
                <w:rFonts w:hint="eastAsia" w:ascii="宋体" w:hAnsi="宋体"/>
                <w:color w:val="auto"/>
                <w:sz w:val="24"/>
                <w:szCs w:val="24"/>
                <w:highlight w:val="none"/>
              </w:rPr>
              <w:t>分</w:t>
            </w:r>
          </w:p>
        </w:tc>
      </w:tr>
      <w:tr w14:paraId="3A2F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3915AC06">
            <w:pPr>
              <w:rPr>
                <w:rFonts w:hint="eastAsia" w:ascii="宋体" w:hAnsi="宋体"/>
                <w:color w:val="auto"/>
                <w:sz w:val="24"/>
                <w:szCs w:val="24"/>
                <w:highlight w:val="none"/>
              </w:rPr>
            </w:pPr>
            <w:r>
              <w:rPr>
                <w:rFonts w:hint="eastAsia" w:ascii="宋体" w:hAnsi="宋体"/>
                <w:color w:val="auto"/>
                <w:sz w:val="24"/>
                <w:szCs w:val="24"/>
                <w:highlight w:val="none"/>
              </w:rPr>
              <w:t>四、企业质量保证体系4</w:t>
            </w:r>
            <w:r>
              <w:rPr>
                <w:rFonts w:ascii="宋体" w:hAnsi="宋体"/>
                <w:color w:val="auto"/>
                <w:sz w:val="24"/>
                <w:szCs w:val="24"/>
                <w:highlight w:val="none"/>
              </w:rPr>
              <w:t>0</w:t>
            </w:r>
            <w:r>
              <w:rPr>
                <w:rFonts w:hint="eastAsia" w:ascii="宋体" w:hAnsi="宋体"/>
                <w:color w:val="auto"/>
                <w:sz w:val="24"/>
                <w:szCs w:val="24"/>
                <w:highlight w:val="none"/>
              </w:rPr>
              <w:t>分</w:t>
            </w:r>
          </w:p>
        </w:tc>
        <w:tc>
          <w:tcPr>
            <w:tcW w:w="5585" w:type="dxa"/>
            <w:tcBorders>
              <w:top w:val="single" w:color="auto" w:sz="4" w:space="0"/>
              <w:left w:val="single" w:color="auto" w:sz="4" w:space="0"/>
              <w:bottom w:val="single" w:color="auto" w:sz="4" w:space="0"/>
              <w:right w:val="single" w:color="auto" w:sz="4" w:space="0"/>
            </w:tcBorders>
            <w:noWrap w:val="0"/>
            <w:vAlign w:val="top"/>
          </w:tcPr>
          <w:p w14:paraId="2B3ADAED">
            <w:pPr>
              <w:jc w:val="left"/>
              <w:rPr>
                <w:rFonts w:ascii="宋体" w:hAnsi="宋体"/>
                <w:color w:val="auto"/>
                <w:sz w:val="24"/>
                <w:szCs w:val="24"/>
                <w:highlight w:val="none"/>
              </w:rPr>
            </w:pPr>
            <w:r>
              <w:rPr>
                <w:rFonts w:hint="eastAsia" w:ascii="宋体" w:hAnsi="宋体"/>
                <w:color w:val="auto"/>
                <w:sz w:val="24"/>
                <w:szCs w:val="24"/>
                <w:highlight w:val="none"/>
              </w:rPr>
              <w:t>基础建设：有固定的办公地点及场所，有醒目的门牌号和公司名称，有明显的岗位标识</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69CC15CC">
            <w:pPr>
              <w:rPr>
                <w:rFonts w:ascii="宋体" w:hAnsi="宋体"/>
                <w:color w:val="auto"/>
                <w:sz w:val="24"/>
                <w:szCs w:val="24"/>
                <w:highlight w:val="none"/>
              </w:rPr>
            </w:pPr>
            <w:r>
              <w:rPr>
                <w:rFonts w:hint="eastAsia" w:ascii="宋体" w:hAnsi="宋体"/>
                <w:color w:val="auto"/>
                <w:sz w:val="24"/>
                <w:szCs w:val="24"/>
                <w:highlight w:val="none"/>
              </w:rPr>
              <w:t>门牌号标示不清，导致群众上门咨询困难的扣</w:t>
            </w:r>
            <w:r>
              <w:rPr>
                <w:rFonts w:ascii="宋体" w:hAnsi="宋体"/>
                <w:color w:val="auto"/>
                <w:sz w:val="24"/>
                <w:szCs w:val="24"/>
                <w:highlight w:val="none"/>
              </w:rPr>
              <w:t>3</w:t>
            </w:r>
            <w:r>
              <w:rPr>
                <w:rFonts w:hint="eastAsia" w:ascii="宋体" w:hAnsi="宋体"/>
                <w:color w:val="auto"/>
                <w:sz w:val="24"/>
                <w:szCs w:val="24"/>
                <w:highlight w:val="none"/>
              </w:rPr>
              <w:t>分</w:t>
            </w:r>
          </w:p>
        </w:tc>
      </w:tr>
      <w:tr w14:paraId="3C6D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C7C6084">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756E94AC">
            <w:pPr>
              <w:jc w:val="left"/>
              <w:rPr>
                <w:rFonts w:ascii="宋体" w:hAnsi="宋体"/>
                <w:color w:val="auto"/>
                <w:sz w:val="24"/>
                <w:szCs w:val="24"/>
                <w:highlight w:val="none"/>
              </w:rPr>
            </w:pPr>
            <w:r>
              <w:rPr>
                <w:rFonts w:hint="eastAsia" w:ascii="宋体" w:hAnsi="宋体"/>
                <w:color w:val="auto"/>
                <w:sz w:val="24"/>
                <w:szCs w:val="24"/>
                <w:highlight w:val="none"/>
              </w:rPr>
              <w:t>成立一年以上的企业（公司）应有公司网络平台，有白蚁防治咨询平台和电话咨询热线，应设立工作前台（有公司简介、宣传图片、白蚁标本窗柜、白蚁防治动漫图解宣传墙等）</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4B8B4DEB">
            <w:pPr>
              <w:rPr>
                <w:rFonts w:ascii="宋体" w:hAnsi="宋体"/>
                <w:color w:val="auto"/>
                <w:sz w:val="24"/>
                <w:szCs w:val="24"/>
                <w:highlight w:val="none"/>
              </w:rPr>
            </w:pPr>
            <w:r>
              <w:rPr>
                <w:rFonts w:hint="eastAsia" w:ascii="宋体" w:hAnsi="宋体"/>
                <w:color w:val="auto"/>
                <w:sz w:val="24"/>
                <w:szCs w:val="24"/>
                <w:highlight w:val="none"/>
              </w:rPr>
              <w:t>缺一项扣</w:t>
            </w:r>
            <w:r>
              <w:rPr>
                <w:rFonts w:ascii="宋体" w:hAnsi="宋体"/>
                <w:color w:val="auto"/>
                <w:sz w:val="24"/>
                <w:szCs w:val="24"/>
                <w:highlight w:val="none"/>
              </w:rPr>
              <w:t>1</w:t>
            </w:r>
            <w:r>
              <w:rPr>
                <w:rFonts w:hint="eastAsia" w:ascii="宋体" w:hAnsi="宋体"/>
                <w:color w:val="auto"/>
                <w:sz w:val="24"/>
                <w:szCs w:val="24"/>
                <w:highlight w:val="none"/>
              </w:rPr>
              <w:t>分</w:t>
            </w:r>
          </w:p>
        </w:tc>
      </w:tr>
      <w:tr w14:paraId="4FDA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4929C38">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318F1874">
            <w:pPr>
              <w:jc w:val="left"/>
              <w:rPr>
                <w:rFonts w:ascii="宋体" w:hAnsi="宋体"/>
                <w:color w:val="auto"/>
                <w:sz w:val="24"/>
                <w:szCs w:val="24"/>
                <w:highlight w:val="none"/>
              </w:rPr>
            </w:pPr>
            <w:r>
              <w:rPr>
                <w:rFonts w:hint="eastAsia" w:ascii="宋体" w:hAnsi="宋体"/>
                <w:color w:val="auto"/>
                <w:sz w:val="24"/>
                <w:szCs w:val="24"/>
                <w:highlight w:val="none"/>
              </w:rPr>
              <w:t>人力资源：合理科学配置人力资源，确保各项任务完成，总经理一名，办公室一名，项目负责人一名（含一名以上），施工员二名（含二名以上），回访复查员一名，白蚁灭治一名</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2B49B353">
            <w:pPr>
              <w:rPr>
                <w:rFonts w:ascii="宋体" w:hAnsi="宋体"/>
                <w:color w:val="auto"/>
                <w:sz w:val="24"/>
                <w:szCs w:val="24"/>
                <w:highlight w:val="none"/>
              </w:rPr>
            </w:pPr>
            <w:r>
              <w:rPr>
                <w:rFonts w:hint="eastAsia" w:ascii="宋体" w:hAnsi="宋体"/>
                <w:color w:val="auto"/>
                <w:sz w:val="24"/>
                <w:szCs w:val="24"/>
                <w:highlight w:val="none"/>
              </w:rPr>
              <w:t>人力资源达不到标准配置的扣</w:t>
            </w:r>
            <w:r>
              <w:rPr>
                <w:rFonts w:ascii="宋体" w:hAnsi="宋体"/>
                <w:color w:val="auto"/>
                <w:sz w:val="24"/>
                <w:szCs w:val="24"/>
                <w:highlight w:val="none"/>
              </w:rPr>
              <w:t>2</w:t>
            </w:r>
            <w:r>
              <w:rPr>
                <w:rFonts w:hint="eastAsia" w:ascii="宋体" w:hAnsi="宋体"/>
                <w:color w:val="auto"/>
                <w:sz w:val="24"/>
                <w:szCs w:val="24"/>
                <w:highlight w:val="none"/>
              </w:rPr>
              <w:t>分</w:t>
            </w:r>
          </w:p>
        </w:tc>
      </w:tr>
      <w:tr w14:paraId="064C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A971725">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135A8AEA">
            <w:pPr>
              <w:jc w:val="left"/>
              <w:rPr>
                <w:rFonts w:ascii="宋体" w:hAnsi="宋体"/>
                <w:color w:val="auto"/>
                <w:sz w:val="24"/>
                <w:szCs w:val="24"/>
                <w:highlight w:val="none"/>
              </w:rPr>
            </w:pPr>
            <w:r>
              <w:rPr>
                <w:rFonts w:hint="eastAsia" w:ascii="宋体" w:hAnsi="宋体"/>
                <w:color w:val="auto"/>
                <w:sz w:val="24"/>
                <w:szCs w:val="24"/>
                <w:highlight w:val="none"/>
              </w:rPr>
              <w:t>施工设施：</w:t>
            </w:r>
            <w:r>
              <w:rPr>
                <w:rFonts w:hint="eastAsia" w:ascii="宋体" w:hAnsi="宋体" w:cs="宋体"/>
                <w:color w:val="auto"/>
                <w:kern w:val="0"/>
                <w:sz w:val="24"/>
                <w:szCs w:val="24"/>
                <w:highlight w:val="none"/>
              </w:rPr>
              <w:t>专门的施工车辆一</w:t>
            </w:r>
            <w:r>
              <w:rPr>
                <w:rFonts w:hint="eastAsia" w:ascii="宋体" w:hAnsi="宋体"/>
                <w:color w:val="auto"/>
                <w:sz w:val="24"/>
                <w:szCs w:val="24"/>
                <w:highlight w:val="none"/>
              </w:rPr>
              <w:t>辆</w:t>
            </w:r>
            <w:r>
              <w:rPr>
                <w:rFonts w:hint="eastAsia" w:ascii="宋体" w:hAnsi="宋体" w:cs="宋体"/>
                <w:color w:val="auto"/>
                <w:kern w:val="0"/>
                <w:sz w:val="24"/>
                <w:szCs w:val="24"/>
                <w:highlight w:val="none"/>
              </w:rPr>
              <w:t>，应根据任务需要及时加配施工车辆，</w:t>
            </w:r>
            <w:r>
              <w:rPr>
                <w:rFonts w:hint="eastAsia" w:ascii="宋体" w:hAnsi="宋体"/>
                <w:color w:val="auto"/>
                <w:sz w:val="24"/>
                <w:szCs w:val="24"/>
                <w:highlight w:val="none"/>
              </w:rPr>
              <w:t>确保任务完成</w:t>
            </w:r>
            <w:r>
              <w:rPr>
                <w:rFonts w:hint="eastAsia" w:ascii="宋体" w:hAnsi="宋体" w:cs="宋体"/>
                <w:color w:val="auto"/>
                <w:kern w:val="0"/>
                <w:sz w:val="24"/>
                <w:szCs w:val="24"/>
                <w:highlight w:val="none"/>
              </w:rPr>
              <w:t>，</w:t>
            </w:r>
            <w:r>
              <w:rPr>
                <w:rFonts w:hint="eastAsia" w:ascii="宋体" w:hAnsi="宋体"/>
                <w:color w:val="auto"/>
                <w:sz w:val="24"/>
                <w:szCs w:val="24"/>
                <w:highlight w:val="none"/>
              </w:rPr>
              <w:t>照相机1部</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1EB39E6F">
            <w:pPr>
              <w:rPr>
                <w:rFonts w:ascii="宋体" w:hAnsi="宋体"/>
                <w:color w:val="auto"/>
                <w:sz w:val="24"/>
                <w:szCs w:val="24"/>
                <w:highlight w:val="none"/>
              </w:rPr>
            </w:pPr>
            <w:r>
              <w:rPr>
                <w:rFonts w:hint="eastAsia" w:ascii="宋体" w:hAnsi="宋体"/>
                <w:color w:val="auto"/>
                <w:sz w:val="24"/>
                <w:szCs w:val="24"/>
                <w:highlight w:val="none"/>
              </w:rPr>
              <w:t>施工设施达不到标准配置的扣</w:t>
            </w:r>
            <w:r>
              <w:rPr>
                <w:rFonts w:ascii="宋体" w:hAnsi="宋体"/>
                <w:color w:val="auto"/>
                <w:sz w:val="24"/>
                <w:szCs w:val="24"/>
                <w:highlight w:val="none"/>
              </w:rPr>
              <w:t>3</w:t>
            </w:r>
            <w:r>
              <w:rPr>
                <w:rFonts w:hint="eastAsia" w:ascii="宋体" w:hAnsi="宋体"/>
                <w:color w:val="auto"/>
                <w:sz w:val="24"/>
                <w:szCs w:val="24"/>
                <w:highlight w:val="none"/>
              </w:rPr>
              <w:t>分</w:t>
            </w:r>
          </w:p>
        </w:tc>
      </w:tr>
      <w:tr w14:paraId="22C7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78A3F37">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46A73262">
            <w:pPr>
              <w:jc w:val="left"/>
              <w:rPr>
                <w:rFonts w:ascii="宋体" w:hAnsi="宋体"/>
                <w:b/>
                <w:color w:val="auto"/>
                <w:sz w:val="24"/>
                <w:szCs w:val="24"/>
                <w:highlight w:val="none"/>
              </w:rPr>
            </w:pPr>
            <w:r>
              <w:rPr>
                <w:rFonts w:hint="eastAsia" w:ascii="宋体" w:hAnsi="宋体"/>
                <w:color w:val="auto"/>
                <w:sz w:val="24"/>
                <w:szCs w:val="24"/>
                <w:highlight w:val="none"/>
              </w:rPr>
              <w:t>技能培训，公司每季度开展一次理论和实际操作能力培训，同时公司员工应积极参加白蚁防治主管部门组织的理论和实际操作能力培训，不合格的应劝退或辞职，做到持证上岗，无证作业应责令其整改，并停止从事白蚁防治活动等事项</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5CC332C2">
            <w:pPr>
              <w:rPr>
                <w:rFonts w:ascii="宋体" w:hAnsi="宋体"/>
                <w:color w:val="auto"/>
                <w:sz w:val="24"/>
                <w:szCs w:val="24"/>
                <w:highlight w:val="none"/>
              </w:rPr>
            </w:pPr>
            <w:r>
              <w:rPr>
                <w:rFonts w:hint="eastAsia" w:ascii="宋体" w:hAnsi="宋体"/>
                <w:color w:val="auto"/>
                <w:sz w:val="24"/>
                <w:szCs w:val="24"/>
                <w:highlight w:val="none"/>
              </w:rPr>
              <w:t>缺一次扣</w:t>
            </w:r>
            <w:r>
              <w:rPr>
                <w:rFonts w:ascii="宋体" w:hAnsi="宋体"/>
                <w:color w:val="auto"/>
                <w:sz w:val="24"/>
                <w:szCs w:val="24"/>
                <w:highlight w:val="none"/>
              </w:rPr>
              <w:t>1</w:t>
            </w:r>
            <w:r>
              <w:rPr>
                <w:rFonts w:hint="eastAsia" w:ascii="宋体" w:hAnsi="宋体"/>
                <w:color w:val="auto"/>
                <w:sz w:val="24"/>
                <w:szCs w:val="24"/>
                <w:highlight w:val="none"/>
              </w:rPr>
              <w:t>分，不参加上级主管部门技能培训的一人次扣</w:t>
            </w:r>
            <w:r>
              <w:rPr>
                <w:rFonts w:ascii="宋体" w:hAnsi="宋体"/>
                <w:color w:val="auto"/>
                <w:sz w:val="24"/>
                <w:szCs w:val="24"/>
                <w:highlight w:val="none"/>
              </w:rPr>
              <w:t>1</w:t>
            </w:r>
            <w:r>
              <w:rPr>
                <w:rFonts w:hint="eastAsia" w:ascii="宋体" w:hAnsi="宋体"/>
                <w:color w:val="auto"/>
                <w:sz w:val="24"/>
                <w:szCs w:val="24"/>
                <w:highlight w:val="none"/>
              </w:rPr>
              <w:t>分，不合格的、不劝退的扣</w:t>
            </w:r>
            <w:r>
              <w:rPr>
                <w:rFonts w:ascii="宋体" w:hAnsi="宋体"/>
                <w:color w:val="auto"/>
                <w:sz w:val="24"/>
                <w:szCs w:val="24"/>
                <w:highlight w:val="none"/>
              </w:rPr>
              <w:t>2</w:t>
            </w:r>
            <w:r>
              <w:rPr>
                <w:rFonts w:hint="eastAsia" w:ascii="宋体" w:hAnsi="宋体"/>
                <w:color w:val="auto"/>
                <w:sz w:val="24"/>
                <w:szCs w:val="24"/>
                <w:highlight w:val="none"/>
              </w:rPr>
              <w:t>分</w:t>
            </w:r>
          </w:p>
        </w:tc>
      </w:tr>
      <w:tr w14:paraId="32DF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60EFA31">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3E82BE45">
            <w:pPr>
              <w:jc w:val="left"/>
              <w:rPr>
                <w:rFonts w:hint="eastAsia" w:ascii="宋体" w:hAnsi="宋体"/>
                <w:color w:val="auto"/>
                <w:sz w:val="24"/>
                <w:szCs w:val="24"/>
                <w:highlight w:val="none"/>
              </w:rPr>
            </w:pPr>
            <w:r>
              <w:rPr>
                <w:rFonts w:hint="eastAsia" w:ascii="宋体" w:hAnsi="宋体"/>
                <w:color w:val="auto"/>
                <w:sz w:val="24"/>
                <w:szCs w:val="24"/>
                <w:highlight w:val="none"/>
              </w:rPr>
              <w:t>规程规章：应有公司章程、公司理念，人员岗位职责，考勤管理制度，安全生产制度和措施，白蚁预防工程回访复查规定，白蚁防治施工规定，白蚁防治安全操作规定，白蚁预防项目台帐，监测装置维护、回访复查项目台帐，白蚁灭治项目台账，药物使用台帐、工程项目进度阅览表，服务质量承诺书等</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458AC8E2">
            <w:pPr>
              <w:jc w:val="left"/>
              <w:rPr>
                <w:rFonts w:hint="eastAsia" w:ascii="宋体" w:hAnsi="宋体"/>
                <w:color w:val="auto"/>
                <w:sz w:val="24"/>
                <w:szCs w:val="24"/>
                <w:highlight w:val="none"/>
              </w:rPr>
            </w:pPr>
            <w:r>
              <w:rPr>
                <w:rFonts w:hint="eastAsia" w:ascii="宋体" w:hAnsi="宋体"/>
                <w:color w:val="auto"/>
                <w:sz w:val="24"/>
                <w:szCs w:val="24"/>
                <w:highlight w:val="none"/>
              </w:rPr>
              <w:t>缺一项扣1分</w:t>
            </w:r>
          </w:p>
        </w:tc>
      </w:tr>
      <w:tr w14:paraId="51D7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2C9362C3">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5096842D">
            <w:pPr>
              <w:jc w:val="left"/>
              <w:rPr>
                <w:rFonts w:hint="eastAsia" w:ascii="宋体" w:hAnsi="宋体"/>
                <w:color w:val="auto"/>
                <w:sz w:val="24"/>
                <w:szCs w:val="24"/>
                <w:highlight w:val="none"/>
              </w:rPr>
            </w:pPr>
            <w:r>
              <w:rPr>
                <w:rFonts w:hint="eastAsia" w:ascii="宋体" w:hAnsi="宋体"/>
                <w:color w:val="auto"/>
                <w:sz w:val="24"/>
                <w:szCs w:val="24"/>
                <w:highlight w:val="none"/>
              </w:rPr>
              <w:t>企业（公司）每季度工作情况和工作计划，应在月底上报白蚁防治主管单位，应及时上报年度工作总结，努力完成白蚁防治主管单位交办的各项任务</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5F3549D2">
            <w:pPr>
              <w:jc w:val="left"/>
              <w:rPr>
                <w:rFonts w:hint="eastAsia" w:ascii="宋体" w:hAnsi="宋体"/>
                <w:color w:val="auto"/>
                <w:sz w:val="24"/>
                <w:szCs w:val="24"/>
                <w:highlight w:val="none"/>
              </w:rPr>
            </w:pPr>
            <w:r>
              <w:rPr>
                <w:rFonts w:hint="eastAsia" w:ascii="宋体" w:hAnsi="宋体"/>
                <w:color w:val="auto"/>
                <w:sz w:val="24"/>
                <w:szCs w:val="24"/>
                <w:highlight w:val="none"/>
              </w:rPr>
              <w:t>不及时上报的扣2分，不能按时完成交办的任务每项扣2分</w:t>
            </w:r>
          </w:p>
        </w:tc>
      </w:tr>
      <w:tr w14:paraId="0991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84F4B56">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14:paraId="4CF42AD1">
            <w:pPr>
              <w:jc w:val="left"/>
              <w:rPr>
                <w:rFonts w:hint="eastAsia" w:ascii="宋体" w:hAnsi="宋体"/>
                <w:color w:val="auto"/>
                <w:sz w:val="24"/>
                <w:szCs w:val="24"/>
                <w:highlight w:val="none"/>
              </w:rPr>
            </w:pPr>
            <w:r>
              <w:rPr>
                <w:rFonts w:hint="eastAsia" w:ascii="宋体" w:hAnsi="宋体"/>
                <w:color w:val="auto"/>
                <w:sz w:val="24"/>
                <w:szCs w:val="24"/>
                <w:highlight w:val="none"/>
              </w:rPr>
              <w:t>企业（公司）应注重社会效益和企业效益并举。做到遵纪守法，诚实守信，公平竞争，合法经营</w:t>
            </w:r>
          </w:p>
        </w:tc>
        <w:tc>
          <w:tcPr>
            <w:tcW w:w="3144" w:type="dxa"/>
            <w:tcBorders>
              <w:top w:val="single" w:color="auto" w:sz="4" w:space="0"/>
              <w:left w:val="single" w:color="auto" w:sz="4" w:space="0"/>
              <w:bottom w:val="single" w:color="auto" w:sz="4" w:space="0"/>
              <w:right w:val="single" w:color="auto" w:sz="4" w:space="0"/>
            </w:tcBorders>
            <w:noWrap w:val="0"/>
            <w:vAlign w:val="center"/>
          </w:tcPr>
          <w:p w14:paraId="03EFB4FB">
            <w:pPr>
              <w:jc w:val="left"/>
              <w:rPr>
                <w:rFonts w:hint="eastAsia" w:ascii="宋体" w:hAnsi="宋体"/>
                <w:color w:val="auto"/>
                <w:sz w:val="24"/>
                <w:szCs w:val="24"/>
                <w:highlight w:val="none"/>
              </w:rPr>
            </w:pPr>
            <w:r>
              <w:rPr>
                <w:rFonts w:hint="eastAsia" w:ascii="宋体" w:hAnsi="宋体"/>
                <w:color w:val="auto"/>
                <w:sz w:val="24"/>
                <w:szCs w:val="24"/>
                <w:highlight w:val="none"/>
              </w:rPr>
              <w:t>产生严重负面影响的扣10分</w:t>
            </w:r>
          </w:p>
        </w:tc>
      </w:tr>
      <w:tr w14:paraId="605D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99" w:type="dxa"/>
            <w:tcBorders>
              <w:top w:val="single" w:color="auto" w:sz="4" w:space="0"/>
              <w:left w:val="single" w:color="auto" w:sz="4" w:space="0"/>
              <w:bottom w:val="single" w:color="auto" w:sz="4" w:space="0"/>
              <w:right w:val="single" w:color="auto" w:sz="4" w:space="0"/>
            </w:tcBorders>
            <w:noWrap w:val="0"/>
            <w:vAlign w:val="top"/>
          </w:tcPr>
          <w:p w14:paraId="79F5C4FC">
            <w:pPr>
              <w:ind w:left="840" w:hanging="420"/>
              <w:jc w:val="center"/>
              <w:rPr>
                <w:rFonts w:ascii="宋体" w:hAnsi="宋体"/>
                <w:color w:val="auto"/>
                <w:sz w:val="24"/>
                <w:szCs w:val="24"/>
                <w:highlight w:val="none"/>
              </w:rPr>
            </w:pPr>
          </w:p>
          <w:p w14:paraId="42FE7D2B">
            <w:pPr>
              <w:ind w:left="840" w:hanging="420"/>
              <w:jc w:val="center"/>
              <w:rPr>
                <w:rFonts w:hint="eastAsia" w:ascii="宋体" w:hAnsi="宋体"/>
                <w:color w:val="auto"/>
                <w:sz w:val="24"/>
                <w:szCs w:val="24"/>
                <w:highlight w:val="none"/>
              </w:rPr>
            </w:pPr>
          </w:p>
          <w:p w14:paraId="2F4F91C4">
            <w:pPr>
              <w:rPr>
                <w:rFonts w:ascii="宋体" w:hAnsi="宋体"/>
                <w:color w:val="auto"/>
                <w:sz w:val="24"/>
                <w:szCs w:val="24"/>
                <w:highlight w:val="none"/>
              </w:rPr>
            </w:pPr>
            <w:r>
              <w:rPr>
                <w:rFonts w:hint="eastAsia" w:ascii="宋体" w:hAnsi="宋体"/>
                <w:color w:val="auto"/>
                <w:sz w:val="24"/>
                <w:szCs w:val="24"/>
                <w:highlight w:val="none"/>
              </w:rPr>
              <w:t>备注</w:t>
            </w:r>
          </w:p>
        </w:tc>
        <w:tc>
          <w:tcPr>
            <w:tcW w:w="8729" w:type="dxa"/>
            <w:gridSpan w:val="2"/>
            <w:tcBorders>
              <w:top w:val="single" w:color="auto" w:sz="4" w:space="0"/>
              <w:left w:val="single" w:color="auto" w:sz="4" w:space="0"/>
              <w:bottom w:val="single" w:color="auto" w:sz="4" w:space="0"/>
              <w:right w:val="single" w:color="auto" w:sz="4" w:space="0"/>
            </w:tcBorders>
            <w:noWrap w:val="0"/>
            <w:vAlign w:val="top"/>
          </w:tcPr>
          <w:p w14:paraId="6C633823">
            <w:pPr>
              <w:jc w:val="left"/>
              <w:rPr>
                <w:rFonts w:hint="eastAsia" w:ascii="宋体" w:hAnsi="宋体"/>
                <w:color w:val="auto"/>
                <w:sz w:val="24"/>
                <w:szCs w:val="24"/>
                <w:highlight w:val="none"/>
              </w:rPr>
            </w:pPr>
            <w:r>
              <w:rPr>
                <w:rFonts w:hint="eastAsia" w:ascii="宋体" w:hAnsi="宋体"/>
                <w:color w:val="auto"/>
                <w:sz w:val="24"/>
                <w:szCs w:val="24"/>
                <w:highlight w:val="none"/>
              </w:rPr>
              <w:t>1.白蚁预防工程项目质量管理40分，35分为合格工程项目，低于35分为不合格工程，不予结算工资，限期整改，并按本工程项目的3倍处罚。</w:t>
            </w:r>
          </w:p>
          <w:p w14:paraId="2A1D3F43">
            <w:pPr>
              <w:jc w:val="left"/>
              <w:rPr>
                <w:rFonts w:hint="eastAsia" w:ascii="宋体" w:hAnsi="宋体"/>
                <w:color w:val="auto"/>
                <w:sz w:val="24"/>
                <w:szCs w:val="24"/>
                <w:highlight w:val="none"/>
              </w:rPr>
            </w:pPr>
            <w:r>
              <w:rPr>
                <w:rFonts w:hint="eastAsia" w:ascii="宋体" w:hAnsi="宋体"/>
                <w:color w:val="auto"/>
                <w:sz w:val="24"/>
                <w:szCs w:val="24"/>
                <w:highlight w:val="none"/>
              </w:rPr>
              <w:t>2.白蚁预防维护 、回访复查工程项目质量管理10分，8分为合格，低于8分为不合格，不予结算工资，限期整改，并按本工程项目的3倍处罚。填写内容不详实的，弄虚作假的不得分。</w:t>
            </w:r>
          </w:p>
          <w:p w14:paraId="3D3B0CC7">
            <w:pPr>
              <w:jc w:val="left"/>
              <w:rPr>
                <w:rFonts w:hint="eastAsia" w:ascii="宋体" w:hAnsi="宋体"/>
                <w:color w:val="auto"/>
                <w:sz w:val="24"/>
                <w:szCs w:val="24"/>
                <w:highlight w:val="none"/>
              </w:rPr>
            </w:pPr>
            <w:r>
              <w:rPr>
                <w:rFonts w:hint="eastAsia" w:ascii="宋体" w:hAnsi="宋体"/>
                <w:color w:val="auto"/>
                <w:sz w:val="24"/>
                <w:szCs w:val="24"/>
                <w:highlight w:val="none"/>
              </w:rPr>
              <w:t>3.对企业（公司）考核，分四个方面内容组成，按季度考核， 90分为合格。</w:t>
            </w:r>
          </w:p>
          <w:p w14:paraId="5037EFCD">
            <w:pPr>
              <w:jc w:val="left"/>
              <w:rPr>
                <w:rFonts w:hint="eastAsia" w:ascii="宋体" w:hAnsi="宋体"/>
                <w:color w:val="auto"/>
                <w:sz w:val="24"/>
                <w:szCs w:val="24"/>
                <w:highlight w:val="none"/>
              </w:rPr>
            </w:pPr>
            <w:r>
              <w:rPr>
                <w:rFonts w:hint="eastAsia" w:ascii="宋体" w:hAnsi="宋体"/>
                <w:color w:val="auto"/>
                <w:sz w:val="24"/>
                <w:szCs w:val="24"/>
                <w:highlight w:val="none"/>
              </w:rPr>
              <w:t>4.白蚁防治主管单位按工作岗位职责分工开展评估考核，每季度月底汇总。</w:t>
            </w:r>
          </w:p>
        </w:tc>
      </w:tr>
    </w:tbl>
    <w:p w14:paraId="1E030F6E">
      <w:pPr>
        <w:spacing w:line="440" w:lineRule="exact"/>
        <w:ind w:firstLine="480"/>
        <w:outlineLvl w:val="1"/>
        <w:rPr>
          <w:rFonts w:ascii="宋体" w:hAnsi="宋体" w:cs="宋体"/>
          <w:bCs/>
          <w:color w:val="auto"/>
          <w:sz w:val="24"/>
          <w:szCs w:val="24"/>
          <w:highlight w:val="none"/>
        </w:rPr>
      </w:pPr>
    </w:p>
    <w:p w14:paraId="67B2A705">
      <w:pPr>
        <w:spacing w:before="120" w:beforeLines="50" w:after="120" w:afterLines="50" w:line="440" w:lineRule="exact"/>
        <w:contextualSpacing/>
        <w:jc w:val="both"/>
        <w:rPr>
          <w:rFonts w:hint="eastAsia" w:ascii="宋体" w:hAnsi="宋体" w:cs="宋体"/>
          <w:b/>
          <w:bCs/>
          <w:color w:val="auto"/>
          <w:sz w:val="32"/>
          <w:szCs w:val="32"/>
          <w:highlight w:val="none"/>
        </w:rPr>
      </w:pPr>
    </w:p>
    <w:p w14:paraId="611F93C0">
      <w:pPr>
        <w:spacing w:before="120" w:beforeLines="50" w:after="120" w:afterLines="50" w:line="440" w:lineRule="exact"/>
        <w:contextualSpacing/>
        <w:jc w:val="center"/>
        <w:rPr>
          <w:rFonts w:hint="eastAsia" w:ascii="宋体" w:hAnsi="宋体" w:cs="宋体"/>
          <w:b/>
          <w:bCs/>
          <w:color w:val="auto"/>
          <w:sz w:val="32"/>
          <w:szCs w:val="32"/>
          <w:highlight w:val="none"/>
        </w:rPr>
      </w:pPr>
    </w:p>
    <w:p w14:paraId="107B5EC5">
      <w:pPr>
        <w:spacing w:before="120" w:beforeLines="50" w:after="120" w:afterLines="50" w:line="440" w:lineRule="exact"/>
        <w:contextualSpacing/>
        <w:jc w:val="center"/>
        <w:rPr>
          <w:rFonts w:hint="eastAsia" w:ascii="宋体" w:hAnsi="宋体" w:cs="宋体"/>
          <w:b/>
          <w:bCs/>
          <w:color w:val="auto"/>
          <w:sz w:val="32"/>
          <w:szCs w:val="32"/>
          <w:highlight w:val="none"/>
        </w:rPr>
      </w:pPr>
    </w:p>
    <w:p w14:paraId="51DEAD30">
      <w:pPr>
        <w:spacing w:before="120" w:beforeLines="50" w:after="120" w:afterLines="50" w:line="440" w:lineRule="exact"/>
        <w:contextualSpacing/>
        <w:jc w:val="center"/>
        <w:rPr>
          <w:rFonts w:hint="eastAsia" w:ascii="宋体" w:hAnsi="宋体" w:cs="宋体"/>
          <w:b/>
          <w:bCs/>
          <w:color w:val="auto"/>
          <w:sz w:val="32"/>
          <w:szCs w:val="32"/>
          <w:highlight w:val="none"/>
        </w:rPr>
      </w:pPr>
    </w:p>
    <w:p w14:paraId="3672CAE8">
      <w:pPr>
        <w:spacing w:before="120" w:beforeLines="50" w:after="120" w:afterLines="50" w:line="440" w:lineRule="exact"/>
        <w:contextualSpacing/>
        <w:jc w:val="center"/>
        <w:rPr>
          <w:rFonts w:hint="eastAsia" w:ascii="宋体" w:hAnsi="宋体" w:cs="宋体"/>
          <w:b/>
          <w:bCs/>
          <w:color w:val="auto"/>
          <w:sz w:val="32"/>
          <w:szCs w:val="32"/>
          <w:highlight w:val="none"/>
        </w:rPr>
      </w:pPr>
    </w:p>
    <w:p w14:paraId="0D56B199">
      <w:pPr>
        <w:spacing w:before="120" w:beforeLines="50" w:after="120" w:afterLines="50" w:line="440" w:lineRule="exact"/>
        <w:contextualSpacing/>
        <w:jc w:val="center"/>
        <w:rPr>
          <w:rFonts w:hint="eastAsia" w:ascii="宋体" w:hAnsi="宋体" w:cs="宋体"/>
          <w:b/>
          <w:bCs/>
          <w:color w:val="auto"/>
          <w:sz w:val="32"/>
          <w:szCs w:val="32"/>
          <w:highlight w:val="none"/>
        </w:rPr>
      </w:pPr>
    </w:p>
    <w:p w14:paraId="29451D2F">
      <w:pPr>
        <w:spacing w:before="120" w:beforeLines="50" w:after="120" w:afterLines="50" w:line="440" w:lineRule="exact"/>
        <w:contextualSpacing/>
        <w:jc w:val="center"/>
        <w:rPr>
          <w:rFonts w:hint="eastAsia" w:ascii="宋体" w:hAnsi="宋体" w:cs="宋体"/>
          <w:b/>
          <w:bCs/>
          <w:color w:val="auto"/>
          <w:sz w:val="32"/>
          <w:szCs w:val="32"/>
          <w:highlight w:val="none"/>
        </w:rPr>
      </w:pPr>
    </w:p>
    <w:p w14:paraId="291D4604">
      <w:pPr>
        <w:spacing w:before="120" w:beforeLines="50" w:after="120" w:afterLines="50" w:line="440" w:lineRule="exact"/>
        <w:contextualSpacing/>
        <w:jc w:val="center"/>
        <w:rPr>
          <w:rFonts w:hint="eastAsia" w:ascii="宋体" w:hAnsi="宋体" w:cs="宋体"/>
          <w:b/>
          <w:bCs/>
          <w:color w:val="auto"/>
          <w:sz w:val="32"/>
          <w:szCs w:val="32"/>
          <w:highlight w:val="none"/>
        </w:rPr>
      </w:pPr>
    </w:p>
    <w:p w14:paraId="2C803510">
      <w:pPr>
        <w:spacing w:before="120" w:beforeLines="50" w:after="120" w:afterLines="50" w:line="440" w:lineRule="exact"/>
        <w:contextualSpacing/>
        <w:jc w:val="center"/>
        <w:rPr>
          <w:rFonts w:hint="eastAsia" w:ascii="宋体" w:hAnsi="宋体" w:cs="宋体"/>
          <w:b/>
          <w:bCs/>
          <w:color w:val="auto"/>
          <w:sz w:val="32"/>
          <w:szCs w:val="32"/>
          <w:highlight w:val="none"/>
        </w:rPr>
      </w:pPr>
    </w:p>
    <w:p w14:paraId="59D20010">
      <w:pPr>
        <w:spacing w:before="120" w:beforeLines="50" w:after="120" w:afterLines="50" w:line="440" w:lineRule="exact"/>
        <w:contextualSpacing/>
        <w:jc w:val="center"/>
        <w:rPr>
          <w:rFonts w:hint="eastAsia" w:ascii="宋体" w:hAnsi="宋体" w:cs="宋体"/>
          <w:b/>
          <w:bCs/>
          <w:color w:val="auto"/>
          <w:sz w:val="32"/>
          <w:szCs w:val="32"/>
          <w:highlight w:val="none"/>
        </w:rPr>
      </w:pPr>
    </w:p>
    <w:p w14:paraId="297EE844">
      <w:pPr>
        <w:spacing w:before="120" w:beforeLines="50" w:after="120" w:afterLines="50" w:line="440" w:lineRule="exact"/>
        <w:contextualSpacing/>
        <w:jc w:val="center"/>
        <w:rPr>
          <w:rFonts w:hint="eastAsia" w:ascii="宋体" w:hAnsi="宋体" w:cs="宋体"/>
          <w:b/>
          <w:bCs/>
          <w:color w:val="auto"/>
          <w:sz w:val="32"/>
          <w:szCs w:val="32"/>
          <w:highlight w:val="none"/>
        </w:rPr>
      </w:pPr>
    </w:p>
    <w:p w14:paraId="4067A548">
      <w:pPr>
        <w:spacing w:before="120" w:beforeLines="50" w:after="120" w:afterLines="50" w:line="440" w:lineRule="exact"/>
        <w:contextualSpacing/>
        <w:jc w:val="center"/>
        <w:rPr>
          <w:rFonts w:hint="eastAsia" w:ascii="宋体" w:hAnsi="宋体" w:cs="宋体"/>
          <w:b/>
          <w:bCs/>
          <w:color w:val="auto"/>
          <w:sz w:val="32"/>
          <w:szCs w:val="32"/>
          <w:highlight w:val="none"/>
        </w:rPr>
      </w:pPr>
    </w:p>
    <w:p w14:paraId="4FE07CD8">
      <w:pPr>
        <w:spacing w:before="120" w:beforeLines="50" w:after="120" w:afterLines="50" w:line="440" w:lineRule="exact"/>
        <w:contextualSpacing/>
        <w:jc w:val="both"/>
        <w:rPr>
          <w:rFonts w:hint="eastAsia" w:ascii="宋体" w:hAnsi="宋体" w:cs="宋体"/>
          <w:b/>
          <w:bCs/>
          <w:color w:val="auto"/>
          <w:sz w:val="30"/>
          <w:szCs w:val="30"/>
          <w:highlight w:val="none"/>
        </w:rPr>
      </w:pPr>
    </w:p>
    <w:p w14:paraId="1E598D3F">
      <w:pPr>
        <w:spacing w:before="120" w:beforeLines="50" w:after="120" w:afterLines="50" w:line="440" w:lineRule="exact"/>
        <w:ind w:firstLine="3012" w:firstLineChars="1000"/>
        <w:contextualSpacing/>
        <w:jc w:val="both"/>
        <w:rPr>
          <w:rFonts w:ascii="宋体" w:hAnsi="宋体" w:cs="宋体"/>
          <w:b/>
          <w:bCs/>
          <w:color w:val="auto"/>
          <w:sz w:val="30"/>
          <w:szCs w:val="30"/>
          <w:highlight w:val="none"/>
        </w:rPr>
      </w:pPr>
      <w:r>
        <w:rPr>
          <w:rFonts w:hint="eastAsia" w:ascii="宋体" w:hAnsi="宋体" w:cs="宋体"/>
          <w:b/>
          <w:bCs/>
          <w:color w:val="auto"/>
          <w:sz w:val="30"/>
          <w:szCs w:val="30"/>
          <w:highlight w:val="none"/>
        </w:rPr>
        <w:t>第三章  投标人须知</w:t>
      </w:r>
    </w:p>
    <w:p w14:paraId="12F89C56">
      <w:pPr>
        <w:snapToGrid w:val="0"/>
        <w:spacing w:before="120" w:beforeLines="50" w:after="120" w:afterLines="50"/>
        <w:ind w:left="238"/>
        <w:outlineLvl w:val="1"/>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1"/>
          <w:szCs w:val="21"/>
          <w:highlight w:val="none"/>
        </w:rPr>
        <w:t>前  附  表</w:t>
      </w:r>
    </w:p>
    <w:tbl>
      <w:tblPr>
        <w:tblStyle w:val="25"/>
        <w:tblW w:w="10050" w:type="dxa"/>
        <w:tblInd w:w="-1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9255"/>
      </w:tblGrid>
      <w:tr w14:paraId="6C515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95" w:type="dxa"/>
            <w:tcBorders>
              <w:top w:val="single" w:color="auto" w:sz="4" w:space="0"/>
              <w:left w:val="single" w:color="auto" w:sz="4" w:space="0"/>
              <w:bottom w:val="single" w:color="auto" w:sz="4" w:space="0"/>
              <w:right w:val="single" w:color="auto" w:sz="4" w:space="0"/>
            </w:tcBorders>
            <w:vAlign w:val="center"/>
          </w:tcPr>
          <w:p w14:paraId="26B6426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9255" w:type="dxa"/>
            <w:tcBorders>
              <w:top w:val="single" w:color="auto" w:sz="4" w:space="0"/>
              <w:left w:val="single" w:color="auto" w:sz="4" w:space="0"/>
              <w:bottom w:val="single" w:color="auto" w:sz="4" w:space="0"/>
              <w:right w:val="single" w:color="auto" w:sz="4" w:space="0"/>
            </w:tcBorders>
            <w:vAlign w:val="center"/>
          </w:tcPr>
          <w:p w14:paraId="1AEC185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内容、要求</w:t>
            </w:r>
          </w:p>
        </w:tc>
      </w:tr>
      <w:tr w14:paraId="0870C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95" w:type="dxa"/>
            <w:tcBorders>
              <w:top w:val="single" w:color="auto" w:sz="4" w:space="0"/>
              <w:left w:val="single" w:color="auto" w:sz="4" w:space="0"/>
              <w:bottom w:val="single" w:color="auto" w:sz="4" w:space="0"/>
              <w:right w:val="single" w:color="auto" w:sz="4" w:space="0"/>
            </w:tcBorders>
            <w:vAlign w:val="center"/>
          </w:tcPr>
          <w:p w14:paraId="65308D1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255" w:type="dxa"/>
            <w:tcBorders>
              <w:top w:val="single" w:color="auto" w:sz="4" w:space="0"/>
              <w:left w:val="single" w:color="auto" w:sz="4" w:space="0"/>
              <w:bottom w:val="single" w:color="auto" w:sz="4" w:space="0"/>
              <w:right w:val="single" w:color="auto" w:sz="4" w:space="0"/>
            </w:tcBorders>
            <w:vAlign w:val="center"/>
          </w:tcPr>
          <w:p w14:paraId="3901C07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东阳市</w:t>
            </w:r>
            <w:r>
              <w:rPr>
                <w:rFonts w:hint="eastAsia" w:ascii="宋体" w:hAnsi="宋体" w:cs="宋体"/>
                <w:color w:val="auto"/>
                <w:sz w:val="24"/>
                <w:highlight w:val="none"/>
                <w:lang w:eastAsia="zh-CN"/>
              </w:rPr>
              <w:t>2025年度新建房屋白蚁防治服务</w:t>
            </w:r>
            <w:r>
              <w:rPr>
                <w:rFonts w:hint="eastAsia" w:ascii="宋体" w:hAnsi="宋体" w:cs="宋体"/>
                <w:color w:val="auto"/>
                <w:sz w:val="24"/>
                <w:highlight w:val="none"/>
                <w:lang w:val="en-US" w:eastAsia="zh-CN"/>
              </w:rPr>
              <w:t>1-3标段</w:t>
            </w:r>
            <w:r>
              <w:rPr>
                <w:rFonts w:hint="eastAsia" w:ascii="宋体" w:hAnsi="宋体" w:cs="宋体"/>
                <w:color w:val="auto"/>
                <w:sz w:val="24"/>
                <w:highlight w:val="none"/>
                <w:lang w:eastAsia="zh-CN"/>
              </w:rPr>
              <w:t>采购项目</w:t>
            </w:r>
          </w:p>
        </w:tc>
      </w:tr>
      <w:tr w14:paraId="64B5B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95" w:type="dxa"/>
            <w:tcBorders>
              <w:top w:val="single" w:color="auto" w:sz="4" w:space="0"/>
              <w:left w:val="single" w:color="auto" w:sz="4" w:space="0"/>
              <w:bottom w:val="single" w:color="auto" w:sz="4" w:space="0"/>
              <w:right w:val="single" w:color="auto" w:sz="4" w:space="0"/>
            </w:tcBorders>
            <w:vAlign w:val="center"/>
          </w:tcPr>
          <w:p w14:paraId="78B4719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255" w:type="dxa"/>
            <w:tcBorders>
              <w:top w:val="single" w:color="auto" w:sz="4" w:space="0"/>
              <w:left w:val="single" w:color="auto" w:sz="4" w:space="0"/>
              <w:bottom w:val="single" w:color="auto" w:sz="4" w:space="0"/>
              <w:right w:val="single" w:color="auto" w:sz="4" w:space="0"/>
            </w:tcBorders>
            <w:vAlign w:val="center"/>
          </w:tcPr>
          <w:p w14:paraId="7519BA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投标报价及费用：1、本项目投标应以人民币报价；2、不论投标结果如何，投标人均应自行承担所有与投标有关的全部费用；3、投标费用：本项目代理服务费按照本章第五条收费标准向中标单位收取。</w:t>
            </w:r>
          </w:p>
        </w:tc>
      </w:tr>
      <w:tr w14:paraId="7D9A2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auto" w:sz="4" w:space="0"/>
              <w:left w:val="single" w:color="auto" w:sz="4" w:space="0"/>
              <w:bottom w:val="single" w:color="auto" w:sz="4" w:space="0"/>
              <w:right w:val="single" w:color="auto" w:sz="4" w:space="0"/>
            </w:tcBorders>
            <w:vAlign w:val="center"/>
          </w:tcPr>
          <w:p w14:paraId="6DD8096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255" w:type="dxa"/>
            <w:tcBorders>
              <w:top w:val="single" w:color="auto" w:sz="4" w:space="0"/>
              <w:left w:val="single" w:color="auto" w:sz="4" w:space="0"/>
              <w:bottom w:val="single" w:color="auto" w:sz="4" w:space="0"/>
              <w:right w:val="single" w:color="auto" w:sz="4" w:space="0"/>
            </w:tcBorders>
            <w:vAlign w:val="center"/>
          </w:tcPr>
          <w:p w14:paraId="5E21DDC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此项目为专门面向中小企业采购项目</w:t>
            </w:r>
            <w:r>
              <w:rPr>
                <w:rFonts w:hint="eastAsia" w:ascii="宋体" w:hAnsi="宋体" w:cs="宋体"/>
                <w:color w:val="auto"/>
                <w:sz w:val="24"/>
                <w:highlight w:val="none"/>
                <w:lang w:eastAsia="zh-CN"/>
              </w:rPr>
              <w:t>。</w:t>
            </w:r>
          </w:p>
        </w:tc>
      </w:tr>
      <w:tr w14:paraId="7A9BF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auto" w:sz="4" w:space="0"/>
              <w:left w:val="single" w:color="auto" w:sz="4" w:space="0"/>
              <w:bottom w:val="single" w:color="auto" w:sz="4" w:space="0"/>
              <w:right w:val="single" w:color="auto" w:sz="4" w:space="0"/>
            </w:tcBorders>
            <w:vAlign w:val="center"/>
          </w:tcPr>
          <w:p w14:paraId="4CA9F0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9255" w:type="dxa"/>
            <w:tcBorders>
              <w:top w:val="single" w:color="auto" w:sz="4" w:space="0"/>
              <w:left w:val="single" w:color="auto" w:sz="4" w:space="0"/>
              <w:bottom w:val="single" w:color="auto" w:sz="4" w:space="0"/>
              <w:right w:val="single" w:color="auto" w:sz="4" w:space="0"/>
            </w:tcBorders>
            <w:vAlign w:val="center"/>
          </w:tcPr>
          <w:p w14:paraId="061D81AA">
            <w:p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rPr>
              <w:t>采购标的对应的中小企业划分标准所属行业</w:t>
            </w:r>
            <w:r>
              <w:rPr>
                <w:rFonts w:hint="eastAsia" w:ascii="宋体" w:hAnsi="宋体" w:eastAsia="宋体" w:cs="宋体"/>
                <w:b/>
                <w:bCs/>
                <w:sz w:val="24"/>
                <w:szCs w:val="24"/>
                <w:lang w:eastAsia="zh-CN"/>
              </w:rPr>
              <w:t>：</w:t>
            </w:r>
          </w:p>
          <w:p w14:paraId="5215BD7A">
            <w:pPr>
              <w:pStyle w:val="6"/>
              <w:spacing w:line="240" w:lineRule="auto"/>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color w:val="auto"/>
                <w:kern w:val="0"/>
                <w:sz w:val="24"/>
                <w:szCs w:val="24"/>
                <w:highlight w:val="none"/>
              </w:rPr>
              <w:t>标的：</w:t>
            </w:r>
            <w:r>
              <w:rPr>
                <w:rFonts w:hint="eastAsia" w:hAnsi="宋体" w:cs="宋体"/>
                <w:b/>
                <w:bCs/>
                <w:color w:val="auto"/>
                <w:kern w:val="0"/>
                <w:sz w:val="24"/>
                <w:szCs w:val="24"/>
                <w:highlight w:val="none"/>
                <w:u w:val="single"/>
                <w:lang w:eastAsia="zh-CN"/>
              </w:rPr>
              <w:t>东阳市2025年度新建房屋白蚁防治服务1-3标段采购项目</w:t>
            </w:r>
            <w:r>
              <w:rPr>
                <w:rFonts w:hint="eastAsia" w:ascii="宋体" w:hAnsi="宋体" w:eastAsia="宋体" w:cs="宋体"/>
                <w:b/>
                <w:bCs/>
                <w:color w:val="auto"/>
                <w:kern w:val="0"/>
                <w:sz w:val="24"/>
                <w:szCs w:val="24"/>
                <w:highlight w:val="none"/>
              </w:rPr>
              <w:t>，属于</w:t>
            </w:r>
            <w:r>
              <w:rPr>
                <w:rFonts w:hint="eastAsia" w:ascii="宋体" w:hAnsi="宋体" w:eastAsia="宋体" w:cs="宋体"/>
                <w:b/>
                <w:bCs/>
                <w:color w:val="auto"/>
                <w:kern w:val="0"/>
                <w:sz w:val="24"/>
                <w:szCs w:val="24"/>
                <w:highlight w:val="none"/>
                <w:u w:val="single"/>
              </w:rPr>
              <w:t xml:space="preserve"> </w:t>
            </w:r>
            <w:r>
              <w:rPr>
                <w:rFonts w:hint="eastAsia" w:hAnsi="宋体" w:cs="宋体"/>
                <w:b/>
                <w:bCs/>
                <w:color w:val="auto"/>
                <w:kern w:val="0"/>
                <w:sz w:val="24"/>
                <w:szCs w:val="24"/>
                <w:highlight w:val="none"/>
                <w:u w:val="single"/>
                <w:lang w:val="en-US" w:eastAsia="zh-CN"/>
              </w:rPr>
              <w:t>其他未列明</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lang w:val="en-US" w:eastAsia="zh-CN"/>
              </w:rPr>
              <w:t>行业</w:t>
            </w:r>
            <w:r>
              <w:rPr>
                <w:rFonts w:hint="eastAsia" w:ascii="宋体" w:hAnsi="宋体" w:eastAsia="宋体" w:cs="宋体"/>
                <w:b/>
                <w:bCs/>
                <w:color w:val="auto"/>
                <w:kern w:val="0"/>
                <w:sz w:val="24"/>
                <w:szCs w:val="24"/>
                <w:highlight w:val="none"/>
              </w:rPr>
              <w:t>。</w:t>
            </w:r>
          </w:p>
          <w:p w14:paraId="6F01CF7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color w:val="auto"/>
                <w:sz w:val="24"/>
                <w:highlight w:val="yellow"/>
              </w:rPr>
            </w:pPr>
            <w:r>
              <w:rPr>
                <w:rFonts w:hint="eastAsia" w:ascii="宋体" w:hAnsi="宋体" w:eastAsia="宋体" w:cs="宋体"/>
                <w:b/>
                <w:bCs/>
                <w:sz w:val="24"/>
                <w:szCs w:val="24"/>
              </w:rPr>
              <w:t>根据</w:t>
            </w:r>
            <w:r>
              <w:rPr>
                <w:rFonts w:hint="eastAsia" w:ascii="宋体" w:hAnsi="宋体" w:eastAsia="宋体" w:cs="宋体"/>
                <w:b/>
                <w:bCs/>
                <w:sz w:val="24"/>
                <w:szCs w:val="24"/>
                <w:shd w:val="clear" w:color="auto" w:fill="FFFFFF"/>
              </w:rPr>
              <w:t>《政府采购促进中小企业管理办法》及《关于印发中小企业划型标准规定的通知工信部联企业》（〔2011〕300号）有关规定</w:t>
            </w:r>
            <w:r>
              <w:rPr>
                <w:rFonts w:hint="eastAsia" w:ascii="宋体" w:hAnsi="宋体" w:cs="宋体"/>
                <w:b/>
                <w:bCs/>
                <w:sz w:val="24"/>
                <w:szCs w:val="24"/>
                <w:lang w:eastAsia="zh-CN"/>
              </w:rPr>
              <w:t>。</w:t>
            </w:r>
          </w:p>
        </w:tc>
      </w:tr>
      <w:tr w14:paraId="41FCA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7B306C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9255" w:type="dxa"/>
            <w:tcBorders>
              <w:top w:val="single" w:color="auto" w:sz="4" w:space="0"/>
              <w:left w:val="single" w:color="auto" w:sz="4" w:space="0"/>
              <w:bottom w:val="single" w:color="auto" w:sz="4" w:space="0"/>
              <w:right w:val="single" w:color="auto" w:sz="4" w:space="0"/>
            </w:tcBorders>
            <w:vAlign w:val="center"/>
          </w:tcPr>
          <w:p w14:paraId="37C3D9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w:t>
            </w:r>
            <w:r>
              <w:rPr>
                <w:rFonts w:hint="eastAsia" w:ascii="宋体" w:hAnsi="宋体" w:cs="宋体"/>
                <w:color w:val="auto"/>
                <w:sz w:val="24"/>
                <w:highlight w:val="none"/>
                <w:shd w:val="clear" w:color="auto" w:fill="FFFFFF"/>
              </w:rPr>
              <w:t>于</w:t>
            </w:r>
            <w:r>
              <w:rPr>
                <w:rFonts w:hint="eastAsia" w:ascii="宋体" w:hAnsi="宋体" w:cs="宋体"/>
                <w:b/>
                <w:bCs/>
                <w:color w:val="auto"/>
                <w:sz w:val="24"/>
                <w:highlight w:val="none"/>
                <w:u w:val="single"/>
                <w:shd w:val="clear" w:color="auto" w:fill="FFFFFF"/>
              </w:rPr>
              <w:t>质疑期限届满之日</w:t>
            </w:r>
            <w:r>
              <w:rPr>
                <w:rFonts w:hint="eastAsia" w:ascii="宋体" w:hAnsi="宋体" w:cs="宋体"/>
                <w:color w:val="auto"/>
                <w:sz w:val="24"/>
                <w:highlight w:val="none"/>
                <w:shd w:val="clear" w:color="auto" w:fill="FFFFFF"/>
              </w:rPr>
              <w:t>前，</w:t>
            </w:r>
            <w:r>
              <w:rPr>
                <w:rFonts w:hint="eastAsia" w:ascii="宋体" w:hAnsi="宋体" w:cs="宋体"/>
                <w:color w:val="auto"/>
                <w:sz w:val="24"/>
                <w:highlight w:val="none"/>
              </w:rPr>
              <w:t>以书面形式要求招标采购单位作出书面解释、澄清或者向招标采购单位提出书面质疑（</w:t>
            </w:r>
            <w:r>
              <w:rPr>
                <w:rFonts w:hint="eastAsia" w:ascii="宋体" w:hAnsi="宋体" w:cs="宋体"/>
                <w:b/>
                <w:color w:val="auto"/>
                <w:sz w:val="24"/>
                <w:highlight w:val="none"/>
              </w:rPr>
              <w:t>超过此规定时间的质疑函将不予受理）</w:t>
            </w:r>
            <w:r>
              <w:rPr>
                <w:rFonts w:hint="eastAsia" w:ascii="宋体" w:hAnsi="宋体" w:cs="宋体"/>
                <w:color w:val="auto"/>
                <w:sz w:val="24"/>
                <w:highlight w:val="none"/>
              </w:rPr>
              <w:t>；招标采购单位将于</w:t>
            </w:r>
            <w:r>
              <w:rPr>
                <w:rFonts w:hint="eastAsia" w:ascii="宋体" w:hAnsi="宋体" w:cs="宋体"/>
                <w:b/>
                <w:bCs/>
                <w:color w:val="auto"/>
                <w:sz w:val="24"/>
                <w:highlight w:val="none"/>
                <w:u w:val="single"/>
                <w:shd w:val="clear" w:color="auto" w:fill="FFFFFF"/>
              </w:rPr>
              <w:t>答疑期限届满之日</w:t>
            </w:r>
            <w:r>
              <w:rPr>
                <w:rFonts w:hint="eastAsia" w:ascii="宋体" w:hAnsi="宋体" w:cs="宋体"/>
                <w:b/>
                <w:bCs/>
                <w:color w:val="auto"/>
                <w:sz w:val="24"/>
                <w:highlight w:val="none"/>
                <w:shd w:val="clear" w:color="auto" w:fill="FFFFFF"/>
              </w:rPr>
              <w:t>前</w:t>
            </w:r>
            <w:r>
              <w:rPr>
                <w:rFonts w:hint="eastAsia" w:ascii="宋体" w:hAnsi="宋体" w:cs="宋体"/>
                <w:color w:val="auto"/>
                <w:sz w:val="24"/>
                <w:highlight w:val="none"/>
                <w:shd w:val="clear" w:color="auto" w:fill="FFFFFF"/>
              </w:rPr>
              <w:t>将答疑内容以传真或网上发布公告的形式通知所有已报名的投标人；答疑内容是招标</w:t>
            </w:r>
            <w:r>
              <w:rPr>
                <w:rFonts w:hint="eastAsia" w:ascii="宋体" w:hAnsi="宋体" w:cs="宋体"/>
                <w:color w:val="auto"/>
                <w:sz w:val="24"/>
                <w:highlight w:val="none"/>
              </w:rPr>
              <w:t>文件的组成部分；因其他紧急情况影响本项目正常招标活动的，招标采购单位将于投标截止日期5天前书面通知所有已报名的投标人。</w:t>
            </w:r>
          </w:p>
        </w:tc>
      </w:tr>
      <w:tr w14:paraId="1F043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C53B01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6</w:t>
            </w:r>
          </w:p>
        </w:tc>
        <w:tc>
          <w:tcPr>
            <w:tcW w:w="9255" w:type="dxa"/>
            <w:tcBorders>
              <w:top w:val="single" w:color="auto" w:sz="4" w:space="0"/>
              <w:left w:val="single" w:color="auto" w:sz="4" w:space="0"/>
              <w:bottom w:val="single" w:color="auto" w:sz="4" w:space="0"/>
              <w:right w:val="single" w:color="auto" w:sz="4" w:space="0"/>
            </w:tcBorders>
            <w:vAlign w:val="center"/>
          </w:tcPr>
          <w:p w14:paraId="635DEC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sz w:val="24"/>
              </w:rPr>
              <w:t>投标文件组成：资格审查文件</w:t>
            </w:r>
            <w:r>
              <w:rPr>
                <w:rFonts w:hint="eastAsia" w:ascii="宋体" w:hAnsi="宋体" w:cs="宋体"/>
                <w:b/>
                <w:sz w:val="24"/>
                <w:u w:val="single"/>
              </w:rPr>
              <w:t xml:space="preserve"> </w:t>
            </w:r>
            <w:r>
              <w:rPr>
                <w:rFonts w:hint="eastAsia" w:ascii="宋体" w:hAnsi="宋体" w:cs="宋体"/>
                <w:b/>
                <w:sz w:val="24"/>
                <w:u w:val="single"/>
                <w:lang w:val="en-US" w:eastAsia="zh-CN"/>
              </w:rPr>
              <w:t>2</w:t>
            </w:r>
            <w:r>
              <w:rPr>
                <w:rFonts w:hint="eastAsia" w:ascii="宋体" w:hAnsi="宋体" w:cs="宋体"/>
                <w:b/>
                <w:sz w:val="24"/>
                <w:u w:val="single"/>
              </w:rPr>
              <w:t xml:space="preserve"> </w:t>
            </w:r>
            <w:r>
              <w:rPr>
                <w:rFonts w:hint="eastAsia" w:ascii="宋体" w:hAnsi="宋体" w:cs="宋体"/>
                <w:b/>
                <w:sz w:val="24"/>
              </w:rPr>
              <w:t>份</w:t>
            </w:r>
            <w:r>
              <w:rPr>
                <w:rFonts w:hint="eastAsia" w:ascii="宋体" w:hAnsi="宋体" w:cs="宋体"/>
                <w:b/>
                <w:sz w:val="24"/>
                <w:lang w:eastAsia="zh-CN"/>
              </w:rPr>
              <w:t>，</w:t>
            </w:r>
            <w:r>
              <w:rPr>
                <w:rFonts w:hint="eastAsia" w:ascii="宋体" w:hAnsi="宋体" w:cs="宋体"/>
                <w:b/>
                <w:sz w:val="24"/>
              </w:rPr>
              <w:t>技术、资信及商务文件、报价文件正本各</w:t>
            </w:r>
            <w:r>
              <w:rPr>
                <w:rFonts w:hint="eastAsia" w:ascii="宋体" w:hAnsi="宋体" w:cs="宋体"/>
                <w:b/>
                <w:sz w:val="24"/>
                <w:u w:val="single"/>
              </w:rPr>
              <w:t xml:space="preserve"> 1 </w:t>
            </w:r>
            <w:r>
              <w:rPr>
                <w:rFonts w:hint="eastAsia" w:ascii="宋体" w:hAnsi="宋体" w:cs="宋体"/>
                <w:b/>
                <w:sz w:val="24"/>
              </w:rPr>
              <w:t>份，副本各</w:t>
            </w:r>
            <w:r>
              <w:rPr>
                <w:rFonts w:hint="eastAsia" w:ascii="宋体" w:hAnsi="宋体" w:cs="宋体"/>
                <w:b/>
                <w:sz w:val="24"/>
                <w:u w:val="single"/>
              </w:rPr>
              <w:t xml:space="preserve"> </w:t>
            </w:r>
            <w:r>
              <w:rPr>
                <w:rFonts w:hint="eastAsia" w:ascii="宋体" w:hAnsi="宋体" w:cs="宋体"/>
                <w:b/>
                <w:sz w:val="24"/>
                <w:u w:val="single"/>
                <w:lang w:val="en-US" w:eastAsia="zh-CN"/>
              </w:rPr>
              <w:t>4</w:t>
            </w:r>
            <w:r>
              <w:rPr>
                <w:rFonts w:hint="eastAsia" w:ascii="宋体" w:hAnsi="宋体" w:cs="宋体"/>
                <w:b/>
                <w:sz w:val="24"/>
                <w:u w:val="single"/>
              </w:rPr>
              <w:t xml:space="preserve"> </w:t>
            </w:r>
            <w:r>
              <w:rPr>
                <w:rFonts w:hint="eastAsia" w:ascii="宋体" w:hAnsi="宋体" w:cs="宋体"/>
                <w:b/>
                <w:sz w:val="24"/>
              </w:rPr>
              <w:t>份。</w:t>
            </w:r>
          </w:p>
        </w:tc>
      </w:tr>
      <w:tr w14:paraId="435CF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657891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7</w:t>
            </w:r>
          </w:p>
        </w:tc>
        <w:tc>
          <w:tcPr>
            <w:tcW w:w="9255" w:type="dxa"/>
            <w:tcBorders>
              <w:top w:val="single" w:color="auto" w:sz="4" w:space="0"/>
              <w:left w:val="single" w:color="auto" w:sz="4" w:space="0"/>
              <w:bottom w:val="single" w:color="auto" w:sz="4" w:space="0"/>
              <w:right w:val="single" w:color="auto" w:sz="4" w:space="0"/>
            </w:tcBorders>
            <w:vAlign w:val="center"/>
          </w:tcPr>
          <w:p w14:paraId="0936687F">
            <w:pPr>
              <w:keepNext w:val="0"/>
              <w:keepLines w:val="0"/>
              <w:pageBreakBefore w:val="0"/>
              <w:widowControl w:val="0"/>
              <w:kinsoku/>
              <w:wordWrap/>
              <w:overflowPunct/>
              <w:topLinePunct w:val="0"/>
              <w:autoSpaceDE/>
              <w:autoSpaceDN/>
              <w:bidi w:val="0"/>
              <w:adjustRightInd/>
              <w:snapToGrid/>
              <w:spacing w:line="440" w:lineRule="atLeast"/>
              <w:jc w:val="left"/>
              <w:rPr>
                <w:rFonts w:hint="eastAsia" w:ascii="宋体" w:hAnsi="宋体" w:cs="宋体"/>
                <w:b/>
                <w:color w:val="FF0000"/>
                <w:sz w:val="24"/>
                <w:highlight w:val="none"/>
              </w:rPr>
            </w:pPr>
            <w:r>
              <w:rPr>
                <w:rFonts w:hint="eastAsia" w:ascii="宋体" w:hAnsi="宋体" w:cs="宋体"/>
                <w:b/>
                <w:color w:val="FF0000"/>
                <w:sz w:val="24"/>
                <w:highlight w:val="none"/>
              </w:rPr>
              <w:t>投标截止时间：</w:t>
            </w:r>
            <w:r>
              <w:rPr>
                <w:rFonts w:hint="eastAsia" w:ascii="宋体" w:hAnsi="宋体" w:cs="宋体"/>
                <w:b/>
                <w:color w:val="FF0000"/>
                <w:sz w:val="24"/>
                <w:highlight w:val="none"/>
                <w:u w:val="single"/>
                <w:lang w:eastAsia="zh-CN"/>
              </w:rPr>
              <w:t>202</w:t>
            </w:r>
            <w:r>
              <w:rPr>
                <w:rFonts w:hint="eastAsia" w:ascii="宋体" w:hAnsi="宋体" w:cs="宋体"/>
                <w:b/>
                <w:color w:val="FF0000"/>
                <w:sz w:val="24"/>
                <w:highlight w:val="none"/>
                <w:u w:val="single"/>
                <w:lang w:val="en-US" w:eastAsia="zh-CN"/>
              </w:rPr>
              <w:t>5</w:t>
            </w:r>
            <w:r>
              <w:rPr>
                <w:rFonts w:hint="eastAsia" w:ascii="宋体" w:hAnsi="宋体" w:cs="宋体"/>
                <w:b/>
                <w:color w:val="FF0000"/>
                <w:sz w:val="24"/>
                <w:highlight w:val="none"/>
                <w:u w:val="single"/>
                <w:lang w:eastAsia="zh-CN"/>
              </w:rPr>
              <w:t>年</w:t>
            </w:r>
            <w:r>
              <w:rPr>
                <w:rFonts w:hint="eastAsia" w:ascii="宋体" w:hAnsi="宋体" w:cs="宋体"/>
                <w:b/>
                <w:color w:val="FF0000"/>
                <w:sz w:val="24"/>
                <w:highlight w:val="none"/>
                <w:u w:val="single"/>
                <w:lang w:val="en-US" w:eastAsia="zh-CN"/>
              </w:rPr>
              <w:t xml:space="preserve"> 9</w:t>
            </w:r>
            <w:r>
              <w:rPr>
                <w:rFonts w:hint="eastAsia" w:ascii="宋体" w:hAnsi="宋体" w:cs="宋体"/>
                <w:b/>
                <w:color w:val="FF0000"/>
                <w:sz w:val="24"/>
                <w:highlight w:val="none"/>
                <w:u w:val="single"/>
              </w:rPr>
              <w:t>月</w:t>
            </w:r>
            <w:r>
              <w:rPr>
                <w:rFonts w:hint="eastAsia" w:ascii="宋体" w:hAnsi="宋体" w:cs="宋体"/>
                <w:b/>
                <w:color w:val="FF0000"/>
                <w:sz w:val="24"/>
                <w:highlight w:val="none"/>
                <w:u w:val="single"/>
                <w:lang w:val="en-US" w:eastAsia="zh-CN"/>
              </w:rPr>
              <w:t>18</w:t>
            </w:r>
            <w:r>
              <w:rPr>
                <w:rFonts w:hint="eastAsia" w:ascii="宋体" w:hAnsi="宋体" w:cs="宋体"/>
                <w:b/>
                <w:color w:val="FF0000"/>
                <w:sz w:val="24"/>
                <w:highlight w:val="none"/>
                <w:u w:val="single"/>
              </w:rPr>
              <w:t>日</w:t>
            </w:r>
            <w:r>
              <w:rPr>
                <w:rFonts w:hint="eastAsia" w:ascii="宋体" w:hAnsi="宋体" w:cs="宋体"/>
                <w:b/>
                <w:color w:val="FF0000"/>
                <w:sz w:val="24"/>
                <w:highlight w:val="none"/>
                <w:u w:val="single"/>
                <w:lang w:val="en-US" w:eastAsia="zh-CN"/>
              </w:rPr>
              <w:t>上</w:t>
            </w:r>
            <w:r>
              <w:rPr>
                <w:rFonts w:hint="eastAsia" w:ascii="宋体" w:hAnsi="宋体" w:cs="宋体"/>
                <w:b/>
                <w:color w:val="FF0000"/>
                <w:sz w:val="24"/>
                <w:highlight w:val="none"/>
                <w:u w:val="single"/>
              </w:rPr>
              <w:t>午</w:t>
            </w:r>
            <w:r>
              <w:rPr>
                <w:rFonts w:hint="eastAsia" w:ascii="宋体" w:hAnsi="宋体" w:cs="宋体"/>
                <w:b/>
                <w:color w:val="FF0000"/>
                <w:sz w:val="24"/>
                <w:highlight w:val="none"/>
                <w:u w:val="single"/>
                <w:lang w:val="en-US" w:eastAsia="zh-CN"/>
              </w:rPr>
              <w:t>9</w:t>
            </w:r>
            <w:r>
              <w:rPr>
                <w:rFonts w:hint="eastAsia" w:ascii="宋体" w:hAnsi="宋体" w:cs="宋体"/>
                <w:b/>
                <w:color w:val="FF0000"/>
                <w:sz w:val="24"/>
                <w:highlight w:val="none"/>
                <w:u w:val="single"/>
              </w:rPr>
              <w:t>时</w:t>
            </w:r>
            <w:r>
              <w:rPr>
                <w:rFonts w:hint="eastAsia" w:ascii="宋体" w:hAnsi="宋体" w:cs="宋体"/>
                <w:b/>
                <w:color w:val="FF0000"/>
                <w:sz w:val="24"/>
                <w:highlight w:val="none"/>
                <w:u w:val="single"/>
                <w:lang w:val="en-US" w:eastAsia="zh-CN"/>
              </w:rPr>
              <w:t>30</w:t>
            </w:r>
            <w:r>
              <w:rPr>
                <w:rFonts w:hint="eastAsia" w:ascii="宋体" w:hAnsi="宋体" w:cs="宋体"/>
                <w:b/>
                <w:color w:val="FF0000"/>
                <w:sz w:val="24"/>
                <w:highlight w:val="none"/>
                <w:u w:val="single"/>
              </w:rPr>
              <w:t>分</w:t>
            </w:r>
          </w:p>
          <w:p w14:paraId="74291E5C">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top"/>
              <w:rPr>
                <w:rFonts w:hint="eastAsia" w:ascii="宋体" w:hAnsi="宋体" w:eastAsia="宋体" w:cs="宋体"/>
                <w:bCs/>
                <w:sz w:val="24"/>
                <w:highlight w:val="none"/>
              </w:rPr>
            </w:pPr>
            <w:r>
              <w:rPr>
                <w:rFonts w:hint="eastAsia" w:ascii="宋体" w:hAnsi="宋体" w:eastAsia="宋体" w:cs="宋体"/>
                <w:bCs/>
                <w:sz w:val="24"/>
                <w:highlight w:val="none"/>
              </w:rPr>
              <w:t>本项目采用不见面开标的形式开标，各投标人自行下载钉钉，在开标截止时间前1小时内招标人将邀请各投标人进入本项目钉钉群签到，并开启群视频直播，对开标现场情况进行全程直播。</w:t>
            </w:r>
          </w:p>
          <w:p w14:paraId="2FF0EB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eastAsia="宋体" w:cs="宋体"/>
                <w:bCs/>
                <w:color w:val="auto"/>
                <w:sz w:val="24"/>
                <w:highlight w:val="none"/>
              </w:rPr>
              <w:t>各投标人应先将投标文件按照招标文件规定的密封要求进行密封，然后快递邮寄至</w:t>
            </w:r>
            <w:r>
              <w:rPr>
                <w:rFonts w:hint="eastAsia" w:ascii="宋体" w:hAnsi="宋体" w:eastAsia="宋体" w:cs="宋体"/>
                <w:bCs/>
                <w:color w:val="auto"/>
                <w:sz w:val="24"/>
                <w:highlight w:val="none"/>
                <w:lang w:val="en-US" w:eastAsia="zh-CN"/>
              </w:rPr>
              <w:t>杭州建设工程造价咨询有限公司</w:t>
            </w:r>
            <w:r>
              <w:rPr>
                <w:rFonts w:hint="eastAsia" w:ascii="宋体" w:hAnsi="宋体" w:eastAsia="宋体" w:cs="宋体"/>
                <w:bCs/>
                <w:color w:val="auto"/>
                <w:sz w:val="24"/>
                <w:highlight w:val="none"/>
              </w:rPr>
              <w:t>（地址：</w:t>
            </w:r>
            <w:r>
              <w:rPr>
                <w:rFonts w:hint="eastAsia" w:ascii="宋体" w:hAnsi="宋体" w:cs="宋体"/>
                <w:sz w:val="24"/>
                <w:szCs w:val="22"/>
                <w:highlight w:val="none"/>
                <w:lang w:eastAsia="zh-CN"/>
              </w:rPr>
              <w:t>浙江省东阳市中山路323号10楼1007</w:t>
            </w:r>
            <w:r>
              <w:rPr>
                <w:rFonts w:hint="eastAsia" w:ascii="宋体" w:hAnsi="宋体" w:cs="宋体"/>
                <w:sz w:val="24"/>
                <w:szCs w:val="22"/>
                <w:highlight w:val="none"/>
              </w:rPr>
              <w:t>，联系人：</w:t>
            </w:r>
            <w:r>
              <w:rPr>
                <w:rFonts w:hint="eastAsia" w:ascii="宋体" w:hAnsi="宋体" w:cs="宋体"/>
                <w:color w:val="auto"/>
                <w:sz w:val="24"/>
                <w:highlight w:val="none"/>
                <w:lang w:val="en-US" w:eastAsia="zh-CN"/>
              </w:rPr>
              <w:t>洪碧函</w:t>
            </w:r>
            <w:r>
              <w:rPr>
                <w:rFonts w:hint="eastAsia" w:ascii="宋体" w:hAnsi="宋体" w:cs="宋体"/>
                <w:sz w:val="24"/>
                <w:szCs w:val="22"/>
                <w:highlight w:val="none"/>
              </w:rPr>
              <w:t>，联系电话：</w:t>
            </w:r>
            <w:r>
              <w:rPr>
                <w:rFonts w:hint="eastAsia" w:ascii="宋体" w:hAnsi="宋体" w:cs="宋体"/>
                <w:color w:val="auto"/>
                <w:sz w:val="24"/>
                <w:highlight w:val="none"/>
                <w:lang w:val="en-US" w:eastAsia="zh-CN"/>
              </w:rPr>
              <w:t>18069959168</w:t>
            </w:r>
            <w:r>
              <w:rPr>
                <w:rFonts w:hint="eastAsia" w:ascii="宋体" w:hAnsi="宋体" w:cs="宋体"/>
                <w:sz w:val="24"/>
                <w:szCs w:val="22"/>
                <w:highlight w:val="none"/>
              </w:rPr>
              <w:t>。</w:t>
            </w:r>
            <w:r>
              <w:rPr>
                <w:rFonts w:hint="eastAsia" w:ascii="宋体" w:hAnsi="宋体" w:eastAsia="宋体" w:cs="宋体"/>
                <w:bCs/>
                <w:color w:val="auto"/>
                <w:sz w:val="24"/>
                <w:highlight w:val="none"/>
              </w:rPr>
              <w:t>），快递邮件应于</w:t>
            </w:r>
            <w:r>
              <w:rPr>
                <w:rFonts w:hint="eastAsia" w:ascii="宋体" w:hAnsi="宋体" w:eastAsia="宋体" w:cs="宋体"/>
                <w:bCs/>
                <w:color w:val="auto"/>
                <w:sz w:val="24"/>
                <w:highlight w:val="none"/>
                <w:lang w:eastAsia="zh-CN"/>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年</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18</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lang w:val="en-US" w:eastAsia="zh-CN"/>
              </w:rPr>
              <w:t>上午</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时</w:t>
            </w:r>
            <w:r>
              <w:rPr>
                <w:rFonts w:hint="eastAsia" w:ascii="宋体" w:hAnsi="宋体" w:cs="宋体"/>
                <w:bCs/>
                <w:color w:val="auto"/>
                <w:sz w:val="24"/>
                <w:highlight w:val="none"/>
                <w:lang w:val="en-US" w:eastAsia="zh-CN"/>
              </w:rPr>
              <w:t>30分</w:t>
            </w:r>
            <w:r>
              <w:rPr>
                <w:rFonts w:hint="eastAsia" w:ascii="宋体" w:hAnsi="宋体" w:eastAsia="宋体" w:cs="宋体"/>
                <w:bCs/>
                <w:color w:val="auto"/>
                <w:sz w:val="24"/>
                <w:highlight w:val="none"/>
              </w:rPr>
              <w:t>前送达</w:t>
            </w:r>
            <w:r>
              <w:rPr>
                <w:rFonts w:hint="eastAsia" w:ascii="宋体" w:hAnsi="宋体" w:eastAsia="宋体" w:cs="宋体"/>
                <w:bCs/>
                <w:color w:val="auto"/>
                <w:sz w:val="24"/>
                <w:highlight w:val="none"/>
                <w:lang w:eastAsia="zh-CN"/>
              </w:rPr>
              <w:t>杭州建设工程造价咨询有限公司</w:t>
            </w:r>
            <w:r>
              <w:rPr>
                <w:rFonts w:hint="eastAsia" w:ascii="宋体" w:hAnsi="宋体" w:eastAsia="宋体" w:cs="宋体"/>
                <w:bCs/>
                <w:color w:val="auto"/>
                <w:sz w:val="24"/>
                <w:highlight w:val="none"/>
              </w:rPr>
              <w:t>，规定时间内收到的投标文件视为在投标截止时间前送达。</w:t>
            </w:r>
            <w:r>
              <w:rPr>
                <w:rFonts w:hint="eastAsia" w:ascii="宋体" w:hAnsi="宋体" w:eastAsia="宋体" w:cs="宋体"/>
                <w:bCs/>
                <w:sz w:val="24"/>
                <w:highlight w:val="none"/>
                <w:lang w:eastAsia="zh-CN"/>
              </w:rPr>
              <w:t>杭州建设工程造价咨询有限公司</w:t>
            </w:r>
            <w:r>
              <w:rPr>
                <w:rFonts w:hint="eastAsia" w:ascii="宋体" w:hAnsi="宋体" w:eastAsia="宋体" w:cs="宋体"/>
                <w:bCs/>
                <w:sz w:val="24"/>
                <w:highlight w:val="none"/>
              </w:rPr>
              <w:t>将</w:t>
            </w:r>
            <w:r>
              <w:rPr>
                <w:rFonts w:hint="eastAsia" w:ascii="宋体" w:hAnsi="宋体" w:eastAsia="宋体" w:cs="宋体"/>
                <w:bCs/>
                <w:sz w:val="24"/>
                <w:highlight w:val="none"/>
                <w:lang w:val="en-US" w:eastAsia="zh-CN"/>
              </w:rPr>
              <w:t>快递送达或现场递交</w:t>
            </w:r>
            <w:r>
              <w:rPr>
                <w:rFonts w:hint="eastAsia" w:ascii="宋体" w:hAnsi="宋体" w:eastAsia="宋体" w:cs="宋体"/>
                <w:bCs/>
                <w:sz w:val="24"/>
                <w:highlight w:val="none"/>
              </w:rPr>
              <w:t>的投标文件原封不动的送往</w:t>
            </w:r>
            <w:r>
              <w:rPr>
                <w:rFonts w:hint="eastAsia" w:ascii="宋体" w:hAnsi="宋体" w:eastAsia="宋体" w:cs="宋体"/>
                <w:bCs/>
                <w:sz w:val="24"/>
                <w:highlight w:val="none"/>
                <w:lang w:val="en-US" w:eastAsia="zh-CN"/>
              </w:rPr>
              <w:t>开</w:t>
            </w:r>
            <w:r>
              <w:rPr>
                <w:rFonts w:hint="eastAsia" w:ascii="宋体" w:hAnsi="宋体" w:eastAsia="宋体" w:cs="宋体"/>
                <w:bCs/>
                <w:sz w:val="24"/>
                <w:highlight w:val="none"/>
              </w:rPr>
              <w:t>标室</w:t>
            </w:r>
            <w:r>
              <w:rPr>
                <w:rFonts w:hint="eastAsia" w:ascii="宋体" w:hAnsi="宋体" w:eastAsia="宋体" w:cs="宋体"/>
                <w:bCs/>
                <w:sz w:val="24"/>
                <w:highlight w:val="none"/>
                <w:lang w:eastAsia="zh-CN"/>
              </w:rPr>
              <w:t>。</w:t>
            </w:r>
          </w:p>
        </w:tc>
      </w:tr>
      <w:tr w14:paraId="7E429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7D3EA5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8</w:t>
            </w:r>
          </w:p>
        </w:tc>
        <w:tc>
          <w:tcPr>
            <w:tcW w:w="9255" w:type="dxa"/>
            <w:tcBorders>
              <w:top w:val="single" w:color="auto" w:sz="4" w:space="0"/>
              <w:left w:val="single" w:color="auto" w:sz="4" w:space="0"/>
              <w:bottom w:val="single" w:color="auto" w:sz="4" w:space="0"/>
              <w:right w:val="single" w:color="auto" w:sz="4" w:space="0"/>
            </w:tcBorders>
            <w:vAlign w:val="center"/>
          </w:tcPr>
          <w:p w14:paraId="3971BA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18</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p>
          <w:p w14:paraId="2E3694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eastAsia="宋体" w:cs="宋体"/>
                <w:b w:val="0"/>
                <w:bCs/>
                <w:i w:val="0"/>
                <w:iCs w:val="0"/>
                <w:sz w:val="24"/>
                <w:highlight w:val="none"/>
              </w:rPr>
              <w:t>供应商无须到开标现场开标，请在</w:t>
            </w:r>
            <w:r>
              <w:rPr>
                <w:rFonts w:hint="eastAsia" w:ascii="宋体" w:hAnsi="宋体" w:eastAsia="宋体" w:cs="宋体"/>
                <w:b w:val="0"/>
                <w:bCs/>
                <w:i w:val="0"/>
                <w:iCs w:val="0"/>
                <w:sz w:val="24"/>
                <w:highlight w:val="none"/>
                <w:lang w:eastAsia="zh-CN"/>
              </w:rPr>
              <w:t>开标截止时间</w:t>
            </w:r>
            <w:r>
              <w:rPr>
                <w:rFonts w:hint="eastAsia" w:ascii="宋体" w:hAnsi="宋体" w:eastAsia="宋体" w:cs="宋体"/>
                <w:b w:val="0"/>
                <w:bCs/>
                <w:i w:val="0"/>
                <w:iCs w:val="0"/>
                <w:sz w:val="24"/>
                <w:highlight w:val="none"/>
              </w:rPr>
              <w:t>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tc>
      </w:tr>
      <w:tr w14:paraId="11DD1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7A281E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9255" w:type="dxa"/>
            <w:tcBorders>
              <w:top w:val="single" w:color="auto" w:sz="4" w:space="0"/>
              <w:left w:val="single" w:color="auto" w:sz="4" w:space="0"/>
              <w:bottom w:val="single" w:color="auto" w:sz="4" w:space="0"/>
              <w:right w:val="single" w:color="auto" w:sz="4" w:space="0"/>
            </w:tcBorders>
            <w:vAlign w:val="center"/>
          </w:tcPr>
          <w:p w14:paraId="140E130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评标办法：综合评分法</w:t>
            </w:r>
          </w:p>
        </w:tc>
      </w:tr>
      <w:tr w14:paraId="266CA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119D5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w:t>
            </w:r>
          </w:p>
        </w:tc>
        <w:tc>
          <w:tcPr>
            <w:tcW w:w="9255" w:type="dxa"/>
            <w:tcBorders>
              <w:top w:val="single" w:color="auto" w:sz="4" w:space="0"/>
              <w:left w:val="single" w:color="auto" w:sz="4" w:space="0"/>
              <w:bottom w:val="single" w:color="auto" w:sz="4" w:space="0"/>
              <w:right w:val="single" w:color="auto" w:sz="4" w:space="0"/>
            </w:tcBorders>
            <w:vAlign w:val="center"/>
          </w:tcPr>
          <w:p w14:paraId="3FADA7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4"/>
                <w:highlight w:val="none"/>
              </w:rPr>
              <w:t>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r>
              <w:rPr>
                <w:rFonts w:hint="eastAsia" w:ascii="宋体" w:hAnsi="宋体" w:cs="宋体"/>
                <w:color w:val="auto"/>
                <w:sz w:val="24"/>
                <w:highlight w:val="none"/>
              </w:rPr>
              <w:t>，公告1个工作日。</w:t>
            </w:r>
          </w:p>
        </w:tc>
      </w:tr>
      <w:tr w14:paraId="562B9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C45A4E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9255" w:type="dxa"/>
            <w:tcBorders>
              <w:top w:val="single" w:color="auto" w:sz="4" w:space="0"/>
              <w:left w:val="single" w:color="auto" w:sz="4" w:space="0"/>
              <w:bottom w:val="single" w:color="auto" w:sz="4" w:space="0"/>
              <w:right w:val="single" w:color="auto" w:sz="4" w:space="0"/>
            </w:tcBorders>
            <w:vAlign w:val="center"/>
          </w:tcPr>
          <w:p w14:paraId="71BBFA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中标通知书：确定中标人后，中标人应在三个工作日内，向招标人领取《中标通知书》，否则按放弃中标资格处理。</w:t>
            </w:r>
          </w:p>
        </w:tc>
      </w:tr>
      <w:tr w14:paraId="27C58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ADD361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12</w:t>
            </w:r>
          </w:p>
        </w:tc>
        <w:tc>
          <w:tcPr>
            <w:tcW w:w="9255" w:type="dxa"/>
            <w:tcBorders>
              <w:top w:val="single" w:color="auto" w:sz="4" w:space="0"/>
              <w:left w:val="single" w:color="auto" w:sz="4" w:space="0"/>
              <w:bottom w:val="single" w:color="auto" w:sz="4" w:space="0"/>
              <w:right w:val="single" w:color="auto" w:sz="4" w:space="0"/>
            </w:tcBorders>
            <w:vAlign w:val="center"/>
          </w:tcPr>
          <w:p w14:paraId="1805FB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kern w:val="0"/>
                <w:sz w:val="24"/>
                <w:highlight w:val="none"/>
              </w:rPr>
            </w:pPr>
            <w:r>
              <w:rPr>
                <w:rFonts w:hint="eastAsia" w:ascii="宋体" w:hAnsi="宋体" w:cs="宋体"/>
                <w:b/>
                <w:color w:val="auto"/>
                <w:sz w:val="24"/>
                <w:highlight w:val="none"/>
              </w:rPr>
              <w:t>投标保证金：本项目</w:t>
            </w:r>
            <w:r>
              <w:rPr>
                <w:rFonts w:hint="eastAsia" w:ascii="宋体" w:hAnsi="宋体" w:cs="宋体"/>
                <w:b/>
                <w:color w:val="auto"/>
                <w:kern w:val="0"/>
                <w:sz w:val="24"/>
                <w:highlight w:val="none"/>
              </w:rPr>
              <w:t>不收取投标保证金</w:t>
            </w:r>
          </w:p>
          <w:p w14:paraId="2F69C3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color w:val="auto"/>
                <w:kern w:val="0"/>
                <w:sz w:val="24"/>
                <w:highlight w:val="none"/>
              </w:rPr>
              <w:t xml:space="preserve">履约保证金: </w:t>
            </w:r>
            <w:r>
              <w:rPr>
                <w:rFonts w:hint="eastAsia" w:ascii="宋体" w:hAnsi="宋体" w:eastAsia="宋体" w:cs="宋体"/>
                <w:b/>
                <w:color w:val="auto"/>
                <w:kern w:val="0"/>
                <w:sz w:val="24"/>
                <w:highlight w:val="none"/>
              </w:rPr>
              <w:t>本项目不收取履约保证金</w:t>
            </w:r>
          </w:p>
        </w:tc>
      </w:tr>
      <w:tr w14:paraId="479F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87FD5A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w:t>
            </w:r>
          </w:p>
        </w:tc>
        <w:tc>
          <w:tcPr>
            <w:tcW w:w="9255" w:type="dxa"/>
            <w:tcBorders>
              <w:top w:val="single" w:color="auto" w:sz="4" w:space="0"/>
              <w:left w:val="single" w:color="auto" w:sz="4" w:space="0"/>
              <w:bottom w:val="single" w:color="auto" w:sz="4" w:space="0"/>
              <w:right w:val="single" w:color="auto" w:sz="4" w:space="0"/>
            </w:tcBorders>
            <w:vAlign w:val="center"/>
          </w:tcPr>
          <w:p w14:paraId="08FD27E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签订合同时间：中标通知书发出后20日内。</w:t>
            </w:r>
          </w:p>
        </w:tc>
      </w:tr>
      <w:tr w14:paraId="35743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E16223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9255" w:type="dxa"/>
            <w:tcBorders>
              <w:top w:val="single" w:color="auto" w:sz="4" w:space="0"/>
              <w:left w:val="single" w:color="auto" w:sz="4" w:space="0"/>
              <w:bottom w:val="single" w:color="auto" w:sz="4" w:space="0"/>
              <w:right w:val="single" w:color="auto" w:sz="4" w:space="0"/>
            </w:tcBorders>
            <w:vAlign w:val="center"/>
          </w:tcPr>
          <w:p w14:paraId="0976AF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付款方式：</w:t>
            </w:r>
          </w:p>
          <w:p w14:paraId="06334A04">
            <w:pPr>
              <w:keepNext w:val="0"/>
              <w:keepLines w:val="0"/>
              <w:pageBreakBefore w:val="0"/>
              <w:kinsoku/>
              <w:wordWrap/>
              <w:overflowPunct/>
              <w:topLinePunct w:val="0"/>
              <w:autoSpaceDE/>
              <w:autoSpaceDN/>
              <w:bidi w:val="0"/>
              <w:adjustRightInd w:val="0"/>
              <w:snapToGrid w:val="0"/>
              <w:spacing w:line="360" w:lineRule="auto"/>
              <w:ind w:firstLine="464" w:firstLineChars="200"/>
              <w:textAlignment w:val="auto"/>
              <w:rPr>
                <w:rFonts w:hint="eastAsia" w:ascii="宋体" w:hAnsi="宋体" w:eastAsia="宋体" w:cs="宋体"/>
                <w:color w:val="auto"/>
                <w:sz w:val="24"/>
                <w:highlight w:val="none"/>
              </w:rPr>
            </w:pPr>
            <w:r>
              <w:rPr>
                <w:rFonts w:hint="eastAsia" w:ascii="宋体" w:hAnsi="宋体" w:cs="宋体"/>
                <w:color w:val="auto"/>
                <w:spacing w:val="-4"/>
                <w:sz w:val="24"/>
                <w:highlight w:val="none"/>
                <w:lang w:val="en-US" w:eastAsia="zh-CN"/>
              </w:rPr>
              <w:t>1、</w:t>
            </w:r>
            <w:r>
              <w:rPr>
                <w:rFonts w:hint="eastAsia" w:ascii="宋体" w:hAnsi="宋体" w:cs="宋体"/>
                <w:color w:val="auto"/>
                <w:spacing w:val="-4"/>
                <w:sz w:val="24"/>
                <w:highlight w:val="none"/>
              </w:rPr>
              <w:t>合同签订</w:t>
            </w:r>
            <w:r>
              <w:rPr>
                <w:rFonts w:hint="eastAsia" w:ascii="宋体" w:hAnsi="宋体" w:cs="宋体"/>
                <w:color w:val="000000"/>
                <w:spacing w:val="-4"/>
                <w:sz w:val="24"/>
              </w:rPr>
              <w:t>分配给中标单位施工的项目待施工方案确定</w:t>
            </w:r>
            <w:r>
              <w:rPr>
                <w:rFonts w:hint="eastAsia" w:ascii="宋体" w:hAnsi="宋体" w:cs="宋体"/>
                <w:color w:val="auto"/>
                <w:spacing w:val="-4"/>
                <w:sz w:val="24"/>
                <w:highlight w:val="none"/>
              </w:rPr>
              <w:t>后7天内采购人付至合</w:t>
            </w:r>
            <w:r>
              <w:rPr>
                <w:rFonts w:hint="eastAsia" w:ascii="宋体" w:hAnsi="宋体" w:cs="宋体"/>
                <w:color w:val="auto"/>
                <w:spacing w:val="-4"/>
                <w:sz w:val="24"/>
                <w:highlight w:val="none"/>
                <w:lang w:val="en-US" w:eastAsia="zh-CN"/>
              </w:rPr>
              <w:t>同</w:t>
            </w:r>
            <w:r>
              <w:rPr>
                <w:rFonts w:hint="eastAsia" w:ascii="宋体" w:hAnsi="宋体" w:cs="宋体"/>
                <w:color w:val="auto"/>
                <w:spacing w:val="-4"/>
                <w:sz w:val="24"/>
                <w:highlight w:val="none"/>
              </w:rPr>
              <w:t>价款的40%作为项目的预付款。最终结算款按实际工程量结算，结算基准价以本招标文件提供的项目基本服务清单内容中列出的单价为准，最终结算款=实际完成工程量×（结算基准价×中标折扣）。合同款结算周期为一个季度，采购单位收到每季度完整结算资料和税务发票后，7个工作日内付清单</w:t>
            </w:r>
            <w:r>
              <w:rPr>
                <w:rFonts w:hint="eastAsia" w:ascii="宋体" w:hAnsi="宋体" w:cs="宋体"/>
                <w:color w:val="auto"/>
                <w:spacing w:val="-4"/>
                <w:sz w:val="24"/>
                <w:highlight w:val="none"/>
                <w:lang w:val="en-US" w:eastAsia="zh-CN"/>
              </w:rPr>
              <w:t>当</w:t>
            </w:r>
            <w:r>
              <w:rPr>
                <w:rFonts w:hint="eastAsia" w:ascii="宋体" w:hAnsi="宋体" w:cs="宋体"/>
                <w:color w:val="auto"/>
                <w:spacing w:val="-4"/>
                <w:sz w:val="24"/>
                <w:highlight w:val="none"/>
              </w:rPr>
              <w:t>季款</w:t>
            </w:r>
            <w:r>
              <w:rPr>
                <w:rFonts w:hint="eastAsia" w:ascii="宋体" w:hAnsi="宋体" w:cs="宋体"/>
                <w:color w:val="auto"/>
                <w:spacing w:val="-4"/>
                <w:sz w:val="24"/>
                <w:highlight w:val="none"/>
                <w:lang w:val="en-US" w:eastAsia="zh-CN"/>
              </w:rPr>
              <w:t>项</w:t>
            </w:r>
            <w:r>
              <w:rPr>
                <w:rFonts w:hint="eastAsia" w:ascii="宋体" w:hAnsi="宋体" w:cs="宋体"/>
                <w:color w:val="auto"/>
                <w:spacing w:val="-4"/>
                <w:sz w:val="24"/>
                <w:highlight w:val="none"/>
              </w:rPr>
              <w:t>。</w:t>
            </w:r>
          </w:p>
        </w:tc>
      </w:tr>
      <w:tr w14:paraId="128BB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2F89B6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9255" w:type="dxa"/>
            <w:tcBorders>
              <w:top w:val="single" w:color="auto" w:sz="4" w:space="0"/>
              <w:left w:val="single" w:color="auto" w:sz="4" w:space="0"/>
              <w:bottom w:val="single" w:color="auto" w:sz="4" w:space="0"/>
              <w:right w:val="single" w:color="auto" w:sz="4" w:space="0"/>
            </w:tcBorders>
            <w:vAlign w:val="center"/>
          </w:tcPr>
          <w:p w14:paraId="3C607B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7632E1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根据中华人民共和国现行技术标准，按招标文件以及合同规定的验收评定标准等规范，</w:t>
            </w:r>
            <w:r>
              <w:rPr>
                <w:rFonts w:hint="eastAsia" w:ascii="宋体" w:hAnsi="宋体" w:cs="宋体"/>
                <w:color w:val="auto"/>
                <w:sz w:val="24"/>
                <w:highlight w:val="none"/>
                <w:lang w:eastAsia="zh-CN"/>
              </w:rPr>
              <w:t>本项目以</w:t>
            </w:r>
            <w:r>
              <w:rPr>
                <w:rFonts w:hint="eastAsia" w:ascii="宋体" w:hAnsi="宋体" w:cs="宋体"/>
                <w:color w:val="auto"/>
                <w:sz w:val="24"/>
                <w:highlight w:val="none"/>
                <w:lang w:val="en-US" w:eastAsia="zh-CN"/>
              </w:rPr>
              <w:t>取得上级相关部门审批意见为验收合格。</w:t>
            </w:r>
          </w:p>
        </w:tc>
      </w:tr>
      <w:tr w14:paraId="075B4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5" w:type="dxa"/>
            <w:tcBorders>
              <w:top w:val="single" w:color="auto" w:sz="4" w:space="0"/>
              <w:left w:val="single" w:color="auto" w:sz="4" w:space="0"/>
              <w:bottom w:val="single" w:color="auto" w:sz="4" w:space="0"/>
              <w:right w:val="single" w:color="auto" w:sz="4" w:space="0"/>
            </w:tcBorders>
            <w:vAlign w:val="center"/>
          </w:tcPr>
          <w:p w14:paraId="550429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9255" w:type="dxa"/>
            <w:tcBorders>
              <w:top w:val="single" w:color="auto" w:sz="4" w:space="0"/>
              <w:left w:val="single" w:color="auto" w:sz="4" w:space="0"/>
              <w:bottom w:val="single" w:color="auto" w:sz="4" w:space="0"/>
              <w:right w:val="single" w:color="auto" w:sz="4" w:space="0"/>
            </w:tcBorders>
            <w:vAlign w:val="center"/>
          </w:tcPr>
          <w:p w14:paraId="21EA0EA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p>
        </w:tc>
      </w:tr>
      <w:tr w14:paraId="38667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5" w:type="dxa"/>
            <w:tcBorders>
              <w:top w:val="single" w:color="auto" w:sz="4" w:space="0"/>
              <w:left w:val="single" w:color="auto" w:sz="4" w:space="0"/>
              <w:bottom w:val="single" w:color="auto" w:sz="4" w:space="0"/>
              <w:right w:val="single" w:color="auto" w:sz="4" w:space="0"/>
            </w:tcBorders>
            <w:vAlign w:val="center"/>
          </w:tcPr>
          <w:p w14:paraId="62BC648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9255" w:type="dxa"/>
            <w:tcBorders>
              <w:top w:val="single" w:color="auto" w:sz="4" w:space="0"/>
              <w:left w:val="single" w:color="auto" w:sz="4" w:space="0"/>
              <w:bottom w:val="single" w:color="auto" w:sz="4" w:space="0"/>
              <w:right w:val="single" w:color="auto" w:sz="4" w:space="0"/>
            </w:tcBorders>
            <w:vAlign w:val="center"/>
          </w:tcPr>
          <w:p w14:paraId="791A660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024F76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（1）招标人或采购代理机构将对本项目供应商的信用记录进行查询。查询渠道为信用中国网站（www.creditchina.gov.cn）、中国政府采购网（www.ccgp.gov.cn）；</w:t>
            </w:r>
          </w:p>
          <w:p w14:paraId="06FB68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7C5629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2C52F12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F411DC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3A25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95" w:type="dxa"/>
            <w:tcBorders>
              <w:top w:val="single" w:color="auto" w:sz="4" w:space="0"/>
              <w:left w:val="single" w:color="auto" w:sz="4" w:space="0"/>
              <w:bottom w:val="single" w:color="auto" w:sz="4" w:space="0"/>
              <w:right w:val="single" w:color="auto" w:sz="4" w:space="0"/>
            </w:tcBorders>
            <w:vAlign w:val="center"/>
          </w:tcPr>
          <w:p w14:paraId="431C5A5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9255" w:type="dxa"/>
            <w:tcBorders>
              <w:top w:val="single" w:color="auto" w:sz="4" w:space="0"/>
              <w:left w:val="single" w:color="auto" w:sz="4" w:space="0"/>
              <w:bottom w:val="single" w:color="auto" w:sz="4" w:space="0"/>
              <w:right w:val="single" w:color="auto" w:sz="4" w:space="0"/>
            </w:tcBorders>
            <w:vAlign w:val="center"/>
          </w:tcPr>
          <w:p w14:paraId="35F73B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sz w:val="24"/>
              </w:rPr>
              <w:t>解释：本招标文件的解释权属于招标采购单位。</w:t>
            </w:r>
          </w:p>
        </w:tc>
      </w:tr>
    </w:tbl>
    <w:p w14:paraId="4DC7BC7D">
      <w:pPr>
        <w:snapToGrid w:val="0"/>
        <w:spacing w:line="480" w:lineRule="auto"/>
        <w:rPr>
          <w:rFonts w:hint="eastAsia" w:ascii="宋体" w:hAnsi="宋体" w:cs="宋体"/>
          <w:b/>
          <w:color w:val="auto"/>
          <w:sz w:val="28"/>
          <w:szCs w:val="28"/>
          <w:highlight w:val="none"/>
        </w:rPr>
      </w:pPr>
      <w:r>
        <w:rPr>
          <w:rFonts w:hint="eastAsia" w:ascii="宋体" w:hAnsi="宋体" w:cs="宋体"/>
          <w:b/>
          <w:color w:val="auto"/>
          <w:sz w:val="24"/>
          <w:highlight w:val="none"/>
        </w:rPr>
        <w:t>注：如本招标文件后面的条款与本表有矛盾的以本表的内容为准。</w:t>
      </w:r>
    </w:p>
    <w:p w14:paraId="4401A268">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color w:val="auto"/>
          <w:sz w:val="28"/>
          <w:szCs w:val="28"/>
          <w:highlight w:val="none"/>
        </w:rPr>
      </w:pPr>
    </w:p>
    <w:p w14:paraId="5DC768AF">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14:paraId="1310A31A">
      <w:pPr>
        <w:snapToGrid w:val="0"/>
        <w:spacing w:before="120" w:beforeLines="50" w:line="360" w:lineRule="exact"/>
        <w:ind w:firstLine="354" w:firstLineChars="147"/>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（一）适用范围</w:t>
      </w:r>
    </w:p>
    <w:p w14:paraId="566F2DE6">
      <w:pPr>
        <w:snapToGrid w:val="0"/>
        <w:spacing w:line="360" w:lineRule="auto"/>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val="en-US" w:eastAsia="zh-CN"/>
        </w:rPr>
        <w:t>东阳市</w:t>
      </w:r>
      <w:r>
        <w:rPr>
          <w:rFonts w:hint="eastAsia" w:ascii="宋体" w:hAnsi="宋体" w:cs="宋体"/>
          <w:color w:val="auto"/>
          <w:sz w:val="24"/>
          <w:highlight w:val="none"/>
          <w:lang w:eastAsia="zh-CN"/>
        </w:rPr>
        <w:t>2025年度新建房屋白蚁防治服务</w:t>
      </w:r>
      <w:r>
        <w:rPr>
          <w:rFonts w:hint="eastAsia" w:ascii="宋体" w:hAnsi="宋体" w:cs="宋体"/>
          <w:color w:val="auto"/>
          <w:sz w:val="24"/>
          <w:highlight w:val="none"/>
          <w:lang w:val="en-US" w:eastAsia="zh-CN"/>
        </w:rPr>
        <w:t>1-3标段</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的招标、投标、评标、定标、验收、合同履约、付款等行为（法律、法规另有规定的，从其规定）。</w:t>
      </w:r>
    </w:p>
    <w:p w14:paraId="31D91893">
      <w:pPr>
        <w:snapToGrid w:val="0"/>
        <w:spacing w:before="120" w:beforeLines="50" w:line="360" w:lineRule="exact"/>
        <w:ind w:firstLine="354" w:firstLineChars="147"/>
        <w:jc w:val="left"/>
        <w:outlineLvl w:val="1"/>
        <w:rPr>
          <w:rFonts w:ascii="宋体" w:hAnsi="宋体" w:cs="宋体"/>
          <w:b/>
          <w:color w:val="auto"/>
          <w:sz w:val="24"/>
          <w:szCs w:val="20"/>
          <w:highlight w:val="none"/>
        </w:rPr>
      </w:pPr>
      <w:r>
        <w:rPr>
          <w:rFonts w:hint="eastAsia" w:ascii="宋体" w:hAnsi="宋体" w:cs="宋体"/>
          <w:b/>
          <w:color w:val="auto"/>
          <w:sz w:val="24"/>
          <w:highlight w:val="none"/>
        </w:rPr>
        <w:t>（二）定义</w:t>
      </w:r>
    </w:p>
    <w:p w14:paraId="62AA821D">
      <w:pPr>
        <w:tabs>
          <w:tab w:val="left" w:pos="345"/>
        </w:tabs>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东阳市房屋征收服务中心（东阳市房地产处）</w:t>
      </w:r>
      <w:r>
        <w:rPr>
          <w:rFonts w:hint="eastAsia" w:ascii="宋体" w:hAnsi="宋体" w:cs="宋体"/>
          <w:color w:val="auto"/>
          <w:sz w:val="24"/>
          <w:highlight w:val="none"/>
        </w:rPr>
        <w:t>（“采购人”）和</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（“采购代理机构”）。</w:t>
      </w:r>
    </w:p>
    <w:p w14:paraId="7AD5003F">
      <w:pPr>
        <w:snapToGrid w:val="0"/>
        <w:spacing w:line="360" w:lineRule="auto"/>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2.“投标人”系指向招标方提交投标文件的单位。</w:t>
      </w:r>
    </w:p>
    <w:p w14:paraId="6FC9E945">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4EDCFC02">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14:paraId="0872435E">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74CD7B78">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6.“书面形式”包括信函、传真、邮箱等。</w:t>
      </w:r>
    </w:p>
    <w:p w14:paraId="6A797A35">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7.“▲”系指实质性要求条款。</w:t>
      </w:r>
    </w:p>
    <w:p w14:paraId="5D99E8A4">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8.采购项目需要落实的政府采购政策：</w:t>
      </w:r>
    </w:p>
    <w:p w14:paraId="15CC6B01">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D17E2D9">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支持绿色发展</w:t>
      </w:r>
    </w:p>
    <w:p w14:paraId="69F3432A">
      <w:pPr>
        <w:tabs>
          <w:tab w:val="left" w:pos="345"/>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165A12F0">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14:paraId="4D3A5E70">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25BB6A">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（3）支持中小企业发展</w:t>
      </w:r>
    </w:p>
    <w:p w14:paraId="6E0A1B05">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E1A2CBC">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F5D199F">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3.2在政府采购活动中，供应商提供的货物、工程或者服务符合下列情形的，享受中小企业扶持政策：</w:t>
      </w:r>
    </w:p>
    <w:p w14:paraId="29A4B1DB">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3.2.1在货物采购项目中，货物由中小企业制造，即货物由中小企业生产且使用该中小企业商号或者注册商标；</w:t>
      </w:r>
    </w:p>
    <w:p w14:paraId="26F5E457">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3.2.2在工程采购项目中，工程由中小企业承建，即工程施工单位为中小企业；</w:t>
      </w:r>
    </w:p>
    <w:p w14:paraId="14F6A392">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3.2.3在服务采购项目中，服务由中小企业承接，即提供服务的人员为中小企业依照《中华人民共和国劳动合同法》订立劳动合同的从业人员。</w:t>
      </w:r>
    </w:p>
    <w:p w14:paraId="6EF75FEF">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4F9EBFF0">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2657534B">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387C629">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3.4符合《关于促进残疾人就业政府采购政策的通知》（财库〔2017〕141号）规定的条件并提供《残疾人福利性单位声明函》（附件1）的残疾人福利性单位视同小型、微型企业。</w:t>
      </w:r>
    </w:p>
    <w:p w14:paraId="6A5947F8">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9AE1B8">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D51BB29">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3.7中小企业享受扶持政策获得政府采购合同的，小微企业不得将合同分包给大中型企业，中型企业不得将合同分包给大型企业。</w:t>
      </w:r>
    </w:p>
    <w:p w14:paraId="54A7D6C5">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（4）支持创新发展</w:t>
      </w:r>
    </w:p>
    <w:p w14:paraId="066E04D4">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采购人优先采购被认定为首台套产品和“制造精品”的自主创新产品。</w:t>
      </w:r>
    </w:p>
    <w:p w14:paraId="79693804">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09D960A">
      <w:pPr>
        <w:tabs>
          <w:tab w:val="left" w:pos="34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0CF92EB">
      <w:pPr>
        <w:snapToGrid w:val="0"/>
        <w:spacing w:before="120" w:beforeLines="50" w:line="360" w:lineRule="auto"/>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（三）招标方式</w:t>
      </w:r>
    </w:p>
    <w:p w14:paraId="78C7F357">
      <w:pPr>
        <w:snapToGrid w:val="0"/>
        <w:spacing w:line="360" w:lineRule="auto"/>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本次招标采用公开招标方式进行。</w:t>
      </w:r>
    </w:p>
    <w:p w14:paraId="79E5BC98">
      <w:pPr>
        <w:snapToGrid w:val="0"/>
        <w:spacing w:before="120" w:beforeLines="50" w:line="360" w:lineRule="auto"/>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（四）投标委托</w:t>
      </w:r>
    </w:p>
    <w:p w14:paraId="70E01879">
      <w:pPr>
        <w:snapToGrid w:val="0"/>
        <w:spacing w:before="120" w:line="360" w:lineRule="auto"/>
        <w:ind w:firstLine="472"/>
        <w:jc w:val="left"/>
        <w:rPr>
          <w:sz w:val="24"/>
        </w:rPr>
      </w:pPr>
      <w:r>
        <w:rPr>
          <w:rFonts w:hint="eastAsia"/>
          <w:sz w:val="24"/>
        </w:rPr>
        <w:t>如投标人代表不是法定代表人，须有法定代表人出具的授权委托书，委托代理人应当是投标人的在职正式职工（投标人本单位缴纳社保花名册为准）</w:t>
      </w:r>
      <w:r>
        <w:rPr>
          <w:sz w:val="24"/>
        </w:rPr>
        <w:t>。</w:t>
      </w:r>
    </w:p>
    <w:p w14:paraId="00EA79A9">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（五）投标费用</w:t>
      </w:r>
    </w:p>
    <w:p w14:paraId="029D4D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1、不论投标结果如何，投标人均应自行承担所有与投标有关的全部费用（招标文件有相关规定除外）。</w:t>
      </w:r>
    </w:p>
    <w:p w14:paraId="2301CA38">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eastAsia="zh-CN"/>
        </w:rPr>
        <w:t>杭州建设工程造价咨询有限公司</w:t>
      </w:r>
      <w:r>
        <w:rPr>
          <w:rFonts w:hint="eastAsia" w:ascii="宋体" w:hAnsi="宋体" w:cs="宋体"/>
          <w:bCs/>
          <w:color w:val="auto"/>
          <w:sz w:val="24"/>
          <w:highlight w:val="none"/>
        </w:rPr>
        <w:t>按差额定率累进法计算（详见本条下列表格收费标准），向中标单位收取中标服务费，在领取中标通知书前交纳。</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5298"/>
      </w:tblGrid>
      <w:tr w14:paraId="4224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360" w:type="dxa"/>
            <w:tcBorders>
              <w:top w:val="single" w:color="auto" w:sz="4" w:space="0"/>
              <w:left w:val="single" w:color="auto" w:sz="4" w:space="0"/>
              <w:bottom w:val="single" w:color="auto" w:sz="4" w:space="0"/>
              <w:right w:val="single" w:color="auto" w:sz="4" w:space="0"/>
            </w:tcBorders>
            <w:vAlign w:val="center"/>
          </w:tcPr>
          <w:p w14:paraId="01B4C6A4">
            <w:pPr>
              <w:tabs>
                <w:tab w:val="left" w:pos="762"/>
                <w:tab w:val="center" w:pos="2007"/>
              </w:tabs>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收费标准</w:t>
            </w:r>
          </w:p>
        </w:tc>
        <w:tc>
          <w:tcPr>
            <w:tcW w:w="5298" w:type="dxa"/>
            <w:tcBorders>
              <w:top w:val="single" w:color="auto" w:sz="4" w:space="0"/>
              <w:left w:val="single" w:color="auto" w:sz="4" w:space="0"/>
              <w:bottom w:val="single" w:color="auto" w:sz="4" w:space="0"/>
              <w:right w:val="single" w:color="auto" w:sz="4" w:space="0"/>
            </w:tcBorders>
            <w:vAlign w:val="center"/>
          </w:tcPr>
          <w:p w14:paraId="4E93C871">
            <w:pPr>
              <w:tabs>
                <w:tab w:val="left" w:pos="762"/>
                <w:tab w:val="center" w:pos="2007"/>
              </w:tabs>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ab/>
            </w:r>
            <w:r>
              <w:rPr>
                <w:rFonts w:hint="eastAsia" w:ascii="宋体" w:hAnsi="宋体" w:cs="宋体"/>
                <w:bCs/>
                <w:color w:val="auto"/>
                <w:sz w:val="24"/>
                <w:highlight w:val="none"/>
              </w:rPr>
              <w:tab/>
            </w:r>
            <w:r>
              <w:rPr>
                <w:rFonts w:hint="eastAsia" w:ascii="宋体" w:hAnsi="宋体" w:cs="宋体"/>
                <w:bCs/>
                <w:color w:val="auto"/>
                <w:sz w:val="24"/>
                <w:highlight w:val="none"/>
              </w:rPr>
              <w:t xml:space="preserve">    服务招标</w:t>
            </w:r>
          </w:p>
        </w:tc>
      </w:tr>
      <w:tr w14:paraId="720B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60" w:type="dxa"/>
            <w:tcBorders>
              <w:top w:val="single" w:color="auto" w:sz="4" w:space="0"/>
              <w:left w:val="single" w:color="auto" w:sz="4" w:space="0"/>
              <w:bottom w:val="single" w:color="auto" w:sz="4" w:space="0"/>
              <w:right w:val="single" w:color="auto" w:sz="4" w:space="0"/>
            </w:tcBorders>
          </w:tcPr>
          <w:p w14:paraId="266C438F">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100万以下</w:t>
            </w:r>
          </w:p>
        </w:tc>
        <w:tc>
          <w:tcPr>
            <w:tcW w:w="5298" w:type="dxa"/>
            <w:tcBorders>
              <w:top w:val="single" w:color="auto" w:sz="4" w:space="0"/>
              <w:left w:val="single" w:color="auto" w:sz="4" w:space="0"/>
              <w:bottom w:val="single" w:color="auto" w:sz="4" w:space="0"/>
              <w:right w:val="single" w:color="auto" w:sz="4" w:space="0"/>
            </w:tcBorders>
          </w:tcPr>
          <w:p w14:paraId="1B2AC4AB">
            <w:pPr>
              <w:spacing w:line="36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1.5%</w:t>
            </w:r>
          </w:p>
        </w:tc>
      </w:tr>
      <w:tr w14:paraId="32A6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60" w:type="dxa"/>
            <w:tcBorders>
              <w:top w:val="single" w:color="auto" w:sz="4" w:space="0"/>
              <w:left w:val="single" w:color="auto" w:sz="4" w:space="0"/>
              <w:bottom w:val="single" w:color="auto" w:sz="4" w:space="0"/>
              <w:right w:val="single" w:color="auto" w:sz="4" w:space="0"/>
            </w:tcBorders>
          </w:tcPr>
          <w:p w14:paraId="16411B15">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100万元-500万元</w:t>
            </w:r>
          </w:p>
        </w:tc>
        <w:tc>
          <w:tcPr>
            <w:tcW w:w="5298" w:type="dxa"/>
            <w:tcBorders>
              <w:top w:val="single" w:color="auto" w:sz="4" w:space="0"/>
              <w:left w:val="single" w:color="auto" w:sz="4" w:space="0"/>
              <w:bottom w:val="single" w:color="auto" w:sz="4" w:space="0"/>
              <w:right w:val="single" w:color="auto" w:sz="4" w:space="0"/>
            </w:tcBorders>
          </w:tcPr>
          <w:p w14:paraId="74B4A8E6">
            <w:pPr>
              <w:spacing w:line="360" w:lineRule="exact"/>
              <w:ind w:firstLine="1920" w:firstLineChars="8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0.8%</w:t>
            </w:r>
          </w:p>
        </w:tc>
      </w:tr>
    </w:tbl>
    <w:p w14:paraId="3E4E284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中标服务费由中标人汇至以下账户：</w:t>
      </w:r>
    </w:p>
    <w:p w14:paraId="3847DC7C">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户名：</w:t>
      </w:r>
      <w:r>
        <w:rPr>
          <w:rFonts w:hint="eastAsia" w:ascii="宋体" w:hAnsi="宋体" w:eastAsia="宋体" w:cs="宋体"/>
          <w:bCs/>
          <w:color w:val="auto"/>
          <w:sz w:val="24"/>
          <w:highlight w:val="none"/>
          <w:lang w:eastAsia="zh-CN"/>
        </w:rPr>
        <w:t>杭州建设工程造价咨询有限公司</w:t>
      </w:r>
      <w:r>
        <w:rPr>
          <w:rFonts w:hint="eastAsia" w:ascii="宋体" w:hAnsi="宋体" w:eastAsia="宋体" w:cs="宋体"/>
          <w:bCs/>
          <w:color w:val="auto"/>
          <w:sz w:val="24"/>
          <w:highlight w:val="none"/>
          <w:lang w:val="en-US" w:eastAsia="zh-CN"/>
        </w:rPr>
        <w:t>东阳分公司</w:t>
      </w:r>
    </w:p>
    <w:p w14:paraId="5EA4DCA1">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开户银行：</w:t>
      </w:r>
      <w:r>
        <w:rPr>
          <w:rFonts w:hint="eastAsia" w:ascii="宋体" w:hAnsi="宋体" w:eastAsia="宋体" w:cs="宋体"/>
          <w:bCs/>
          <w:color w:val="auto"/>
          <w:sz w:val="24"/>
          <w:highlight w:val="none"/>
          <w:lang w:val="en-US" w:eastAsia="zh-CN"/>
        </w:rPr>
        <w:t>中国工商银行股份有限公司东阳支行</w:t>
      </w:r>
    </w:p>
    <w:p w14:paraId="5668B2F9">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账 号：</w:t>
      </w:r>
      <w:r>
        <w:rPr>
          <w:rFonts w:hint="eastAsia" w:ascii="宋体" w:hAnsi="宋体" w:eastAsia="宋体" w:cs="宋体"/>
          <w:bCs/>
          <w:color w:val="auto"/>
          <w:sz w:val="24"/>
          <w:highlight w:val="none"/>
          <w:lang w:val="en-US" w:eastAsia="zh-CN"/>
        </w:rPr>
        <w:t>1208040009200033983</w:t>
      </w:r>
    </w:p>
    <w:p w14:paraId="204C3258">
      <w:pPr>
        <w:spacing w:afterAutospacing="0"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（六）联合体投标</w:t>
      </w:r>
    </w:p>
    <w:p w14:paraId="3FD70F66">
      <w:pPr>
        <w:snapToGrid w:val="0"/>
        <w:spacing w:beforeAutospacing="0" w:line="360" w:lineRule="auto"/>
        <w:ind w:firstLine="470" w:firstLineChars="19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本项目接受联合体投标。</w:t>
      </w:r>
    </w:p>
    <w:p w14:paraId="0E58432E">
      <w:pPr>
        <w:snapToGrid w:val="0"/>
        <w:spacing w:line="360" w:lineRule="auto"/>
        <w:ind w:firstLine="482" w:firstLineChars="200"/>
        <w:rPr>
          <w:rFonts w:ascii="宋体" w:hAnsi="宋体" w:cs="宋体"/>
          <w:b/>
          <w:color w:val="auto"/>
          <w:kern w:val="0"/>
          <w:sz w:val="24"/>
          <w:szCs w:val="20"/>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4B7885A0">
      <w:pPr>
        <w:snapToGrid w:val="0"/>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14:paraId="135A7715">
      <w:pPr>
        <w:snapToGrid w:val="0"/>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cs="宋体"/>
          <w:color w:val="auto"/>
          <w:kern w:val="0"/>
          <w:sz w:val="24"/>
          <w:highlight w:val="none"/>
        </w:rPr>
        <w:t>2.本项目分包按照浙财采监[2022]3号文件执行。</w:t>
      </w:r>
    </w:p>
    <w:p w14:paraId="2B884C37">
      <w:pPr>
        <w:snapToGrid w:val="0"/>
        <w:spacing w:before="120" w:beforeLines="50" w:line="360" w:lineRule="auto"/>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（八）特别说明</w:t>
      </w:r>
    </w:p>
    <w:p w14:paraId="5A58E4B5">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rPr>
        <w:t>.多家投标人参加投标，如其中两家或两家以上投标人的法定代表人为同一人或相互之间存在投资关系且达到控股的，应当按一个投标人认定。</w:t>
      </w:r>
    </w:p>
    <w:p w14:paraId="6A9EE6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▲2.投标人投标所使用的资格、信誉、荣誉、业绩与企业认证必须为本投标单位所拥有。</w:t>
      </w:r>
    </w:p>
    <w:p w14:paraId="184E00AD">
      <w:pPr>
        <w:snapToGrid w:val="0"/>
        <w:spacing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投标人投标所使用的采购项目实施人员必须为本投标单位员工（或必须为本投标单位或控股公司正式员工）。</w:t>
      </w:r>
    </w:p>
    <w:p w14:paraId="3D1B1AC0">
      <w:pPr>
        <w:snapToGrid w:val="0"/>
        <w:spacing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.投标人应仔细阅读招标文件的所有内容，按照招标文件的要求提交投标文件，并对所提供的全部资料的真实性承担法律责任。</w:t>
      </w:r>
    </w:p>
    <w:p w14:paraId="5BB9365C">
      <w:pPr>
        <w:snapToGrid w:val="0"/>
        <w:spacing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5A49AEB4">
      <w:pPr>
        <w:snapToGrid w:val="0"/>
        <w:spacing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委员会认为投标人的报价明显低于其他通过符合性审查投标人的报价，有可能影响成果质量或者不能诚信履约的，应当要求其在评标现场合理的时间内提供书面说明，投标人不能证明其报价合理性的，评标委员会应当将其作为无效投标处理。</w:t>
      </w:r>
    </w:p>
    <w:p w14:paraId="46F1A765">
      <w:pPr>
        <w:snapToGrid w:val="0"/>
        <w:spacing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.招标方不保证最低报价者为中标方。</w:t>
      </w:r>
    </w:p>
    <w:p w14:paraId="7A707C59">
      <w:pPr>
        <w:snapToGrid w:val="0"/>
        <w:spacing w:line="360" w:lineRule="auto"/>
        <w:ind w:left="2" w:leftChars="1"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.为维护国家利益及招标方自身利益，允许招标方在合同签订之前仍有选择或拒绝任何或全部投标的权力。</w:t>
      </w:r>
    </w:p>
    <w:p w14:paraId="73895E2E">
      <w:pPr>
        <w:snapToGrid w:val="0"/>
        <w:spacing w:line="360" w:lineRule="auto"/>
        <w:ind w:left="2" w:leftChars="1"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66B0D8DB">
      <w:pPr>
        <w:snapToGrid w:val="0"/>
        <w:spacing w:line="360" w:lineRule="auto"/>
        <w:ind w:firstLine="472"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5D04C94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ascii="宋体" w:hAnsi="宋体" w:cs="宋体"/>
          <w:color w:val="auto"/>
          <w:sz w:val="24"/>
          <w:highlight w:val="none"/>
        </w:rPr>
        <w:t>投标人对招标采购单位的质疑答复不满意或者招标采购单位未在规定时间内作出答复的，可以在答复期满后十五个工作日内向同级采购监管部门投诉。</w:t>
      </w:r>
    </w:p>
    <w:p w14:paraId="568175D9">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DBB847D">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20837488">
      <w:pPr>
        <w:snapToGrid w:val="0"/>
        <w:spacing w:line="360" w:lineRule="auto"/>
        <w:ind w:firstLine="551" w:firstLineChars="196"/>
        <w:outlineLvl w:val="0"/>
        <w:rPr>
          <w:rFonts w:ascii="宋体" w:hAnsi="宋体" w:cs="宋体"/>
          <w:b/>
          <w:color w:val="auto"/>
          <w:sz w:val="28"/>
          <w:szCs w:val="28"/>
          <w:highlight w:val="none"/>
        </w:rPr>
      </w:pPr>
      <w:r>
        <w:rPr>
          <w:rFonts w:hint="eastAsia" w:ascii="宋体" w:hAnsi="宋体" w:cs="宋体"/>
          <w:b/>
          <w:color w:val="auto"/>
          <w:sz w:val="28"/>
          <w:szCs w:val="28"/>
          <w:highlight w:val="none"/>
        </w:rPr>
        <w:t>二、招标文件</w:t>
      </w:r>
    </w:p>
    <w:p w14:paraId="0C6E9549">
      <w:pPr>
        <w:snapToGrid w:val="0"/>
        <w:spacing w:line="360" w:lineRule="auto"/>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（一）招标文件的构成。本招标文件由以下部分组成：</w:t>
      </w:r>
    </w:p>
    <w:p w14:paraId="7AFD64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1.招标公告</w:t>
      </w:r>
    </w:p>
    <w:p w14:paraId="283FB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2.招标需求</w:t>
      </w:r>
    </w:p>
    <w:p w14:paraId="59A091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3.投标人须知</w:t>
      </w:r>
    </w:p>
    <w:p w14:paraId="1A8F3A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4.评标办法及标准</w:t>
      </w:r>
    </w:p>
    <w:p w14:paraId="2A27EC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14:paraId="7A44AC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6.投标文件格式</w:t>
      </w:r>
    </w:p>
    <w:p w14:paraId="07B96BCD">
      <w:pPr>
        <w:snapToGrid w:val="0"/>
        <w:spacing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2AE43D5E">
      <w:pPr>
        <w:snapToGrid w:val="0"/>
        <w:spacing w:beforeAutospacing="0" w:afterAutospacing="0" w:line="360" w:lineRule="auto"/>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（二）投标人的风险</w:t>
      </w:r>
    </w:p>
    <w:p w14:paraId="70E58B45">
      <w:pPr>
        <w:pStyle w:val="36"/>
        <w:spacing w:before="0" w:beforeAutospacing="0" w:line="360" w:lineRule="auto"/>
        <w:ind w:firstLine="480" w:firstLineChars="200"/>
        <w:jc w:val="left"/>
        <w:rPr>
          <w:rFonts w:ascii="宋体" w:hAnsi="宋体" w:cs="宋体"/>
          <w:color w:val="auto"/>
          <w:spacing w:val="0"/>
          <w:kern w:val="2"/>
          <w:szCs w:val="24"/>
          <w:highlight w:val="none"/>
        </w:rPr>
      </w:pPr>
      <w:r>
        <w:rPr>
          <w:rFonts w:hint="eastAsia" w:ascii="宋体" w:hAnsi="宋体" w:cs="宋体"/>
          <w:color w:val="auto"/>
          <w:spacing w:val="0"/>
          <w:kern w:val="2"/>
          <w:szCs w:val="24"/>
          <w:highlight w:val="none"/>
        </w:rPr>
        <w:t>投标人没有按照招标文件要求提供全部资料，或者投标人没有对招标文件在各方面作出实质性响应是投标人的风险，并可能导致其投标被拒绝。</w:t>
      </w:r>
    </w:p>
    <w:p w14:paraId="40341E8D">
      <w:pPr>
        <w:pStyle w:val="14"/>
        <w:snapToGrid w:val="0"/>
        <w:spacing w:before="120" w:beforeLines="50" w:line="360" w:lineRule="auto"/>
        <w:ind w:left="0" w:leftChars="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14:paraId="7B948D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认真阅读本招标文件，发现其中有误或有不合理要求的，投标人应当按照公开招标公告第八条规定以书面形式要求招标方澄清。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298EEA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6CEAB5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4BCE9C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4.招标文件的澄清、答复、修改或补充都应该通过本招标机构以法定形式发布，采购人非通过本机构，不得擅自澄清、答复、修改或补充招标文件。</w:t>
      </w:r>
    </w:p>
    <w:p w14:paraId="6E55D5B3">
      <w:pPr>
        <w:snapToGrid w:val="0"/>
        <w:spacing w:line="360" w:lineRule="auto"/>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三、投标文件的编制</w:t>
      </w:r>
    </w:p>
    <w:p w14:paraId="64FC8033">
      <w:pPr>
        <w:snapToGrid w:val="0"/>
        <w:spacing w:line="360" w:lineRule="auto"/>
        <w:ind w:firstLine="472" w:firstLineChars="196"/>
        <w:jc w:val="left"/>
        <w:outlineLvl w:val="0"/>
        <w:rPr>
          <w:rFonts w:ascii="宋体" w:hAnsi="宋体" w:cs="宋体"/>
          <w:b/>
          <w:color w:val="auto"/>
          <w:sz w:val="24"/>
          <w:szCs w:val="20"/>
          <w:highlight w:val="none"/>
        </w:rPr>
      </w:pPr>
      <w:r>
        <w:rPr>
          <w:rFonts w:hint="eastAsia" w:ascii="宋体" w:hAnsi="宋体" w:cs="宋体"/>
          <w:b/>
          <w:color w:val="auto"/>
          <w:sz w:val="24"/>
          <w:highlight w:val="none"/>
        </w:rPr>
        <w:t>（一）投标文件的组成</w:t>
      </w:r>
    </w:p>
    <w:p w14:paraId="3E4F32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投标文件由资格审查文件、商务资信技术文件、报价文件三部分组成。</w:t>
      </w:r>
    </w:p>
    <w:p w14:paraId="405B007D">
      <w:pPr>
        <w:snapToGrid w:val="0"/>
        <w:spacing w:before="120" w:beforeLines="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1.资格审查文件</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标一、标二、标三</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3187ED72">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firstLine="0" w:firstLineChars="0"/>
        <w:jc w:val="left"/>
        <w:textAlignment w:val="auto"/>
        <w:rPr>
          <w:rFonts w:ascii="宋体" w:hAnsi="宋体" w:cs="宋体"/>
          <w:bCs/>
          <w:color w:val="auto"/>
          <w:sz w:val="24"/>
          <w:highlight w:val="none"/>
        </w:rPr>
      </w:pPr>
      <w:r>
        <w:rPr>
          <w:rFonts w:hint="eastAsia" w:ascii="宋体" w:hAnsi="宋体" w:cs="宋体"/>
          <w:bCs/>
          <w:color w:val="auto"/>
          <w:sz w:val="24"/>
          <w:highlight w:val="none"/>
        </w:rPr>
        <w:t>（1）有效的企业法人营业执照副本</w:t>
      </w:r>
      <w:r>
        <w:rPr>
          <w:rFonts w:ascii="宋体" w:hAnsi="宋体" w:cs="宋体"/>
          <w:color w:val="auto"/>
          <w:sz w:val="24"/>
          <w:szCs w:val="21"/>
          <w:highlight w:val="none"/>
        </w:rPr>
        <w:t>(或事业法人登记证书或其它工商等登记证明材料；自然人参与提供身份证)</w:t>
      </w:r>
      <w:r>
        <w:rPr>
          <w:rFonts w:hint="eastAsia" w:ascii="宋体" w:hAnsi="宋体" w:cs="宋体"/>
          <w:bCs/>
          <w:color w:val="auto"/>
          <w:sz w:val="24"/>
          <w:highlight w:val="none"/>
        </w:rPr>
        <w:t>复印件；</w:t>
      </w:r>
    </w:p>
    <w:p w14:paraId="06E52451">
      <w:pPr>
        <w:keepNext w:val="0"/>
        <w:keepLines w:val="0"/>
        <w:pageBreakBefore w:val="0"/>
        <w:widowControl w:val="0"/>
        <w:kinsoku/>
        <w:wordWrap/>
        <w:overflowPunct/>
        <w:topLinePunct w:val="0"/>
        <w:autoSpaceDE/>
        <w:autoSpaceDN/>
        <w:bidi w:val="0"/>
        <w:adjustRightInd/>
        <w:snapToGrid w:val="0"/>
        <w:spacing w:before="120" w:beforeLines="50" w:line="360" w:lineRule="auto"/>
        <w:ind w:left="304" w:leftChars="145" w:firstLine="0" w:firstLineChars="0"/>
        <w:jc w:val="left"/>
        <w:textAlignment w:val="auto"/>
        <w:rPr>
          <w:rFonts w:ascii="宋体" w:hAnsi="宋体" w:cs="宋体"/>
          <w:bCs/>
          <w:color w:val="auto"/>
          <w:sz w:val="24"/>
          <w:highlight w:val="none"/>
        </w:rPr>
      </w:pPr>
      <w:r>
        <w:rPr>
          <w:rFonts w:hint="eastAsia" w:ascii="宋体" w:hAnsi="宋体" w:cs="宋体"/>
          <w:bCs/>
          <w:color w:val="auto"/>
          <w:sz w:val="24"/>
          <w:highlight w:val="none"/>
        </w:rPr>
        <w:t>（2）法定代表人授权委托书(格式见附件)；</w:t>
      </w:r>
    </w:p>
    <w:p w14:paraId="40A62E92">
      <w:pPr>
        <w:keepNext w:val="0"/>
        <w:keepLines w:val="0"/>
        <w:pageBreakBefore w:val="0"/>
        <w:widowControl w:val="0"/>
        <w:kinsoku/>
        <w:wordWrap/>
        <w:overflowPunct/>
        <w:topLinePunct w:val="0"/>
        <w:autoSpaceDE/>
        <w:autoSpaceDN/>
        <w:bidi w:val="0"/>
        <w:adjustRightInd/>
        <w:snapToGrid w:val="0"/>
        <w:spacing w:before="120" w:beforeLines="50" w:line="360" w:lineRule="auto"/>
        <w:ind w:left="304" w:leftChars="145" w:firstLine="0" w:firstLineChars="0"/>
        <w:jc w:val="left"/>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14:paraId="62BB1D5C">
      <w:pPr>
        <w:keepNext w:val="0"/>
        <w:keepLines w:val="0"/>
        <w:pageBreakBefore w:val="0"/>
        <w:widowControl w:val="0"/>
        <w:kinsoku/>
        <w:wordWrap/>
        <w:overflowPunct/>
        <w:topLinePunct w:val="0"/>
        <w:autoSpaceDE/>
        <w:autoSpaceDN/>
        <w:bidi w:val="0"/>
        <w:adjustRightInd/>
        <w:snapToGrid w:val="0"/>
        <w:spacing w:before="120" w:beforeLines="50" w:line="360" w:lineRule="auto"/>
        <w:ind w:left="304" w:leftChars="145" w:firstLine="0" w:firstLineChars="0"/>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14:paraId="3483D7A5">
      <w:pPr>
        <w:keepNext w:val="0"/>
        <w:keepLines w:val="0"/>
        <w:pageBreakBefore w:val="0"/>
        <w:widowControl w:val="0"/>
        <w:kinsoku/>
        <w:wordWrap/>
        <w:overflowPunct/>
        <w:topLinePunct w:val="0"/>
        <w:autoSpaceDE/>
        <w:autoSpaceDN/>
        <w:bidi w:val="0"/>
        <w:adjustRightInd/>
        <w:snapToGrid w:val="0"/>
        <w:spacing w:before="120" w:beforeLines="50" w:line="360" w:lineRule="auto"/>
        <w:ind w:left="304" w:leftChars="145" w:firstLine="0" w:firstLineChars="0"/>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）浙江政府采购网注册正式供应商的网络截图或承诺书；</w:t>
      </w:r>
    </w:p>
    <w:p w14:paraId="420059FF">
      <w:pPr>
        <w:keepNext w:val="0"/>
        <w:keepLines w:val="0"/>
        <w:pageBreakBefore w:val="0"/>
        <w:widowControl w:val="0"/>
        <w:kinsoku/>
        <w:wordWrap/>
        <w:overflowPunct/>
        <w:topLinePunct w:val="0"/>
        <w:autoSpaceDE/>
        <w:autoSpaceDN/>
        <w:bidi w:val="0"/>
        <w:adjustRightInd/>
        <w:snapToGrid w:val="0"/>
        <w:spacing w:before="120" w:beforeLines="50" w:line="360" w:lineRule="auto"/>
        <w:ind w:left="304" w:leftChars="145" w:firstLine="0" w:firstLineChars="0"/>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）政府采购活动现场确认声明书 (格式见附件) ；</w:t>
      </w:r>
    </w:p>
    <w:p w14:paraId="761E04E4">
      <w:pPr>
        <w:keepNext w:val="0"/>
        <w:keepLines w:val="0"/>
        <w:pageBreakBefore w:val="0"/>
        <w:widowControl w:val="0"/>
        <w:kinsoku/>
        <w:wordWrap/>
        <w:overflowPunct/>
        <w:topLinePunct w:val="0"/>
        <w:autoSpaceDE/>
        <w:autoSpaceDN/>
        <w:bidi w:val="0"/>
        <w:adjustRightInd/>
        <w:snapToGrid w:val="0"/>
        <w:spacing w:before="120" w:beforeLines="50" w:line="360" w:lineRule="auto"/>
        <w:ind w:left="304" w:leftChars="145" w:firstLine="0" w:firstLineChars="0"/>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）政府采购代理机构考评表(格式见附件)；</w:t>
      </w:r>
    </w:p>
    <w:p w14:paraId="6D337751">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firstLine="0" w:firstLineChars="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）联合体协议（联合体投标时提供，格式见附件）；</w:t>
      </w:r>
    </w:p>
    <w:p w14:paraId="1ABF9D10">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firstLine="0" w:firstLineChars="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）分包协议（分包时提供，格式见附件）；</w:t>
      </w:r>
    </w:p>
    <w:p w14:paraId="59D6B426">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）中小企业声明函（格式见附件）。</w:t>
      </w:r>
    </w:p>
    <w:p w14:paraId="3EE8170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eastAsia="宋体"/>
          <w:lang w:val="en-US" w:eastAsia="zh-CN"/>
        </w:rPr>
      </w:pPr>
      <w:r>
        <w:rPr>
          <w:rFonts w:hint="eastAsia" w:ascii="宋体" w:hAnsi="宋体" w:cs="宋体"/>
          <w:b/>
          <w:bCs w:val="0"/>
          <w:color w:val="auto"/>
          <w:sz w:val="24"/>
          <w:highlight w:val="none"/>
          <w:lang w:val="en-US" w:eastAsia="zh-CN"/>
        </w:rPr>
        <w:t>（11）</w:t>
      </w:r>
      <w:r>
        <w:rPr>
          <w:rFonts w:hint="eastAsia" w:hAnsi="宋体"/>
          <w:b/>
          <w:bCs w:val="0"/>
          <w:sz w:val="21"/>
          <w:szCs w:val="21"/>
        </w:rPr>
        <w:t>以上复印件均需加盖单位公章。</w:t>
      </w:r>
    </w:p>
    <w:p w14:paraId="35A56C1F">
      <w:pPr>
        <w:snapToGrid w:val="0"/>
        <w:spacing w:before="120" w:beforeLines="50" w:line="360" w:lineRule="auto"/>
        <w:ind w:left="412" w:leftChars="196"/>
        <w:jc w:val="left"/>
        <w:rPr>
          <w:rFonts w:ascii="宋体" w:hAnsi="宋体" w:cs="宋体"/>
          <w:b/>
          <w:color w:val="auto"/>
          <w:sz w:val="24"/>
          <w:highlight w:val="none"/>
        </w:rPr>
      </w:pPr>
      <w:r>
        <w:rPr>
          <w:rFonts w:hint="eastAsia" w:ascii="宋体" w:hAnsi="宋体" w:cs="宋体"/>
          <w:b/>
          <w:color w:val="auto"/>
          <w:sz w:val="24"/>
          <w:highlight w:val="none"/>
        </w:rPr>
        <w:t>2.商务资信技术文件</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标一、标二、标三</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6868AB34">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 w:val="0"/>
          <w:bCs/>
          <w:color w:val="auto"/>
          <w:sz w:val="24"/>
          <w:highlight w:val="none"/>
        </w:rPr>
      </w:pPr>
      <w:r>
        <w:rPr>
          <w:rFonts w:hint="eastAsia" w:ascii="宋体" w:hAnsi="宋体" w:cs="宋体"/>
          <w:b w:val="0"/>
          <w:bCs/>
          <w:color w:val="auto"/>
          <w:sz w:val="24"/>
          <w:highlight w:val="none"/>
        </w:rPr>
        <w:t>（1）评分响应表（格式见附件）；</w:t>
      </w:r>
    </w:p>
    <w:p w14:paraId="10ED88E8">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 w:val="0"/>
          <w:bCs/>
          <w:color w:val="auto"/>
          <w:sz w:val="24"/>
          <w:highlight w:val="none"/>
        </w:rPr>
      </w:pPr>
      <w:r>
        <w:rPr>
          <w:rFonts w:hint="eastAsia" w:ascii="宋体" w:hAnsi="宋体" w:cs="宋体"/>
          <w:b w:val="0"/>
          <w:bCs/>
          <w:color w:val="auto"/>
          <w:sz w:val="24"/>
          <w:highlight w:val="none"/>
        </w:rPr>
        <w:t>（2）投标声明书 (格式见附件)；</w:t>
      </w:r>
    </w:p>
    <w:p w14:paraId="47F6E58E">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 w:val="0"/>
          <w:bCs/>
          <w:color w:val="auto"/>
          <w:sz w:val="24"/>
          <w:highlight w:val="none"/>
        </w:rPr>
      </w:pPr>
      <w:r>
        <w:rPr>
          <w:rFonts w:hint="eastAsia" w:ascii="宋体" w:hAnsi="宋体" w:cs="宋体"/>
          <w:b w:val="0"/>
          <w:bCs/>
          <w:color w:val="auto"/>
          <w:sz w:val="24"/>
          <w:highlight w:val="none"/>
        </w:rPr>
        <w:t>（3）法定代表人授权委托书(格式见附件)；</w:t>
      </w:r>
    </w:p>
    <w:p w14:paraId="5D6E7149">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 w:val="0"/>
          <w:bCs/>
          <w:color w:val="auto"/>
          <w:sz w:val="24"/>
          <w:highlight w:val="none"/>
        </w:rPr>
      </w:pPr>
      <w:r>
        <w:rPr>
          <w:rFonts w:hint="eastAsia" w:ascii="宋体" w:hAnsi="宋体" w:cs="宋体"/>
          <w:b w:val="0"/>
          <w:bCs/>
          <w:color w:val="auto"/>
          <w:sz w:val="24"/>
          <w:highlight w:val="none"/>
        </w:rPr>
        <w:t>（4）投标单位情况表(格式见附件)；</w:t>
      </w:r>
    </w:p>
    <w:p w14:paraId="1255BAE4">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olor w:val="auto"/>
          <w:sz w:val="24"/>
          <w:highlight w:val="none"/>
        </w:rPr>
        <w:t>投标人依法缴纳税收和社保费、无失信行为的声明函</w:t>
      </w:r>
      <w:r>
        <w:rPr>
          <w:rFonts w:ascii="宋体" w:hAnsi="宋体"/>
          <w:color w:val="auto"/>
          <w:sz w:val="24"/>
          <w:highlight w:val="none"/>
        </w:rPr>
        <w:t>(格式见附件</w:t>
      </w:r>
      <w:r>
        <w:rPr>
          <w:rFonts w:hint="eastAsia" w:ascii="宋体" w:hAnsi="宋体"/>
          <w:color w:val="auto"/>
          <w:sz w:val="24"/>
          <w:highlight w:val="none"/>
        </w:rPr>
        <w:t>)</w:t>
      </w:r>
      <w:r>
        <w:rPr>
          <w:rFonts w:hint="eastAsia" w:ascii="宋体" w:hAnsi="宋体" w:cs="宋体"/>
          <w:bCs/>
          <w:color w:val="auto"/>
          <w:sz w:val="24"/>
          <w:highlight w:val="none"/>
        </w:rPr>
        <w:t>；</w:t>
      </w:r>
    </w:p>
    <w:p w14:paraId="5B752344">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 w:val="0"/>
          <w:bCs/>
          <w:color w:val="auto"/>
          <w:sz w:val="24"/>
          <w:highlight w:val="none"/>
        </w:rPr>
      </w:pP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rPr>
        <w:t>6</w:t>
      </w:r>
      <w:r>
        <w:rPr>
          <w:rFonts w:hint="eastAsia" w:ascii="宋体" w:hAnsi="宋体" w:cs="宋体"/>
          <w:b w:val="0"/>
          <w:bCs/>
          <w:color w:val="auto"/>
          <w:sz w:val="24"/>
          <w:highlight w:val="none"/>
          <w:lang w:val="zh-CN"/>
        </w:rPr>
        <w:t>）政府采购供应商诚信承诺书（格式见附件）；</w:t>
      </w:r>
    </w:p>
    <w:p w14:paraId="7B7F7DBC">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（7）承诺书（格式见附件）；</w:t>
      </w:r>
    </w:p>
    <w:p w14:paraId="4FB0EDAB">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（8）距采购人最近或者能为本项目提供最优服务的网点情况表（格式见附件）；</w:t>
      </w:r>
    </w:p>
    <w:p w14:paraId="750C1016">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（9）</w:t>
      </w:r>
      <w:r>
        <w:rPr>
          <w:rFonts w:hint="eastAsia" w:ascii="宋体" w:hAnsi="宋体" w:cs="宋体"/>
          <w:bCs/>
          <w:color w:val="auto"/>
          <w:sz w:val="24"/>
          <w:highlight w:val="none"/>
          <w:lang w:val="zh-CN"/>
        </w:rPr>
        <w:t>同类业绩一览表</w:t>
      </w:r>
      <w:r>
        <w:rPr>
          <w:rFonts w:hint="eastAsia" w:ascii="宋体" w:hAnsi="宋体" w:cs="宋体"/>
          <w:bCs/>
          <w:color w:val="auto"/>
          <w:sz w:val="24"/>
          <w:highlight w:val="none"/>
        </w:rPr>
        <w:t>（格式见附件）；</w:t>
      </w:r>
    </w:p>
    <w:p w14:paraId="76EA9458">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)项目实施人员一览表（格式见附件）；</w:t>
      </w:r>
    </w:p>
    <w:p w14:paraId="668502EF">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w:t>
      </w:r>
      <w:r>
        <w:rPr>
          <w:rFonts w:hint="eastAsia" w:ascii="宋体" w:hAnsi="宋体" w:cs="宋体"/>
          <w:bCs/>
          <w:color w:val="auto"/>
          <w:sz w:val="24"/>
          <w:highlight w:val="none"/>
          <w:lang w:val="zh-CN"/>
        </w:rPr>
        <w:t>技术部分（至少包括技术方案、</w:t>
      </w:r>
      <w:r>
        <w:rPr>
          <w:rFonts w:hint="eastAsia" w:ascii="宋体" w:hAnsi="宋体" w:cs="宋体"/>
          <w:bCs/>
          <w:color w:val="auto"/>
          <w:sz w:val="24"/>
          <w:highlight w:val="none"/>
        </w:rPr>
        <w:t>合理化建议等内容）；</w:t>
      </w:r>
    </w:p>
    <w:p w14:paraId="7C3D57C0">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）其它按照评标办法可加分的内容说明、证明文件；</w:t>
      </w:r>
    </w:p>
    <w:p w14:paraId="1BD0C8FB">
      <w:pPr>
        <w:keepNext w:val="0"/>
        <w:keepLines w:val="0"/>
        <w:pageBreakBefore w:val="0"/>
        <w:widowControl w:val="0"/>
        <w:kinsoku/>
        <w:wordWrap/>
        <w:overflowPunct/>
        <w:topLinePunct w:val="0"/>
        <w:autoSpaceDE/>
        <w:autoSpaceDN/>
        <w:bidi w:val="0"/>
        <w:adjustRightInd/>
        <w:snapToGrid w:val="0"/>
        <w:spacing w:before="120" w:beforeLines="50" w:line="360" w:lineRule="auto"/>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）投标人需要说明的其他文件和说明。</w:t>
      </w:r>
    </w:p>
    <w:p w14:paraId="7BEC4356">
      <w:pPr>
        <w:snapToGrid w:val="0"/>
        <w:spacing w:line="360" w:lineRule="auto"/>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3.报价文件</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标一、标二、标三</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79617040">
      <w:pPr>
        <w:snapToGrid w:val="0"/>
        <w:spacing w:before="120" w:beforeLines="50" w:line="360" w:lineRule="auto"/>
        <w:ind w:left="412" w:leftChars="196"/>
        <w:jc w:val="left"/>
        <w:rPr>
          <w:rFonts w:ascii="宋体" w:hAnsi="宋体" w:cs="宋体"/>
          <w:bCs/>
          <w:color w:val="auto"/>
          <w:sz w:val="24"/>
          <w:highlight w:val="none"/>
        </w:rPr>
      </w:pPr>
      <w:r>
        <w:rPr>
          <w:rFonts w:hint="eastAsia" w:ascii="宋体" w:hAnsi="宋体" w:cs="宋体"/>
          <w:bCs/>
          <w:color w:val="auto"/>
          <w:sz w:val="24"/>
          <w:highlight w:val="none"/>
        </w:rPr>
        <w:t xml:space="preserve">（1）投标函（格式见附件）； </w:t>
      </w:r>
    </w:p>
    <w:p w14:paraId="1B887266">
      <w:pPr>
        <w:snapToGrid w:val="0"/>
        <w:spacing w:before="120" w:beforeLines="50" w:line="360" w:lineRule="auto"/>
        <w:ind w:left="412" w:leftChars="196"/>
        <w:jc w:val="left"/>
        <w:rPr>
          <w:rFonts w:ascii="宋体" w:hAnsi="宋体" w:cs="宋体"/>
          <w:bCs/>
          <w:color w:val="auto"/>
          <w:sz w:val="24"/>
          <w:highlight w:val="none"/>
        </w:rPr>
      </w:pPr>
      <w:r>
        <w:rPr>
          <w:rFonts w:hint="eastAsia" w:ascii="宋体" w:hAnsi="宋体" w:cs="宋体"/>
          <w:bCs/>
          <w:color w:val="auto"/>
          <w:sz w:val="24"/>
          <w:highlight w:val="none"/>
        </w:rPr>
        <w:t>（2）开标一览表（格式见附件）；</w:t>
      </w:r>
    </w:p>
    <w:p w14:paraId="0C2B179D">
      <w:pPr>
        <w:snapToGrid w:val="0"/>
        <w:spacing w:before="120" w:beforeLines="50" w:line="360" w:lineRule="auto"/>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（3）投标人针对报价需要说明的其他文件和说明（不允许含报价）。</w:t>
      </w:r>
    </w:p>
    <w:p w14:paraId="6492D503">
      <w:pPr>
        <w:snapToGrid w:val="0"/>
        <w:spacing w:before="120" w:beforeLines="50" w:line="360" w:lineRule="auto"/>
        <w:ind w:firstLine="472" w:firstLineChars="196"/>
        <w:jc w:val="left"/>
        <w:outlineLvl w:val="0"/>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2CDA8B14">
      <w:pPr>
        <w:snapToGrid w:val="0"/>
        <w:spacing w:line="360" w:lineRule="auto"/>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744E514">
      <w:pPr>
        <w:snapToGrid w:val="0"/>
        <w:spacing w:line="360" w:lineRule="auto"/>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706F0ACD">
      <w:pPr>
        <w:snapToGrid w:val="0"/>
        <w:spacing w:before="120" w:beforeLines="50" w:line="360" w:lineRule="auto"/>
        <w:ind w:firstLine="472" w:firstLineChars="196"/>
        <w:jc w:val="left"/>
        <w:outlineLvl w:val="0"/>
        <w:rPr>
          <w:rFonts w:ascii="宋体" w:hAnsi="宋体" w:cs="宋体"/>
          <w:b/>
          <w:color w:val="auto"/>
          <w:sz w:val="24"/>
          <w:szCs w:val="20"/>
          <w:highlight w:val="none"/>
        </w:rPr>
      </w:pPr>
      <w:r>
        <w:rPr>
          <w:rFonts w:hint="eastAsia" w:ascii="宋体" w:hAnsi="宋体" w:cs="宋体"/>
          <w:b/>
          <w:color w:val="auto"/>
          <w:sz w:val="24"/>
          <w:highlight w:val="none"/>
        </w:rPr>
        <w:t>（三）投标报价</w:t>
      </w:r>
    </w:p>
    <w:p w14:paraId="57724351">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▲1.投标报价应按招标文件中相关附表格式填写。</w:t>
      </w:r>
    </w:p>
    <w:p w14:paraId="38FEDD8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w:t>
      </w:r>
      <w:r>
        <w:rPr>
          <w:rFonts w:hint="eastAsia" w:eastAsia="宋体"/>
          <w:color w:val="auto"/>
          <w:sz w:val="24"/>
          <w:szCs w:val="22"/>
          <w:highlight w:val="none"/>
        </w:rPr>
        <w:t>投标报价为完成本招标文件规定的各项工作内容和要求的单价，包括人员费用、器械费用、药物费用、监测装置费用、合理利润、税金、政策性文件规定及合同包含的所有风险、责任等各项应有费用</w:t>
      </w:r>
      <w:r>
        <w:rPr>
          <w:rFonts w:hint="eastAsia"/>
          <w:color w:val="auto"/>
          <w:sz w:val="24"/>
          <w:szCs w:val="22"/>
          <w:highlight w:val="none"/>
        </w:rPr>
        <w:t>。投标人所投报的投标报价为投标人所能承受的整个项目的最终最低报价，如有漏项，视同已包含在其它项目中，合同价不作调整。</w:t>
      </w:r>
    </w:p>
    <w:p w14:paraId="4BD7C130">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sz w:val="24"/>
          <w:szCs w:val="24"/>
        </w:rPr>
        <w:t>投标文件只允许有一个报价，有选择的或有条件的报价将不予接受。</w:t>
      </w:r>
    </w:p>
    <w:p w14:paraId="1D08A9FA">
      <w:pPr>
        <w:spacing w:line="360" w:lineRule="auto"/>
        <w:ind w:firstLine="240" w:firstLineChars="100"/>
        <w:rPr>
          <w:sz w:val="24"/>
          <w:szCs w:val="24"/>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b/>
          <w:bCs/>
          <w:sz w:val="24"/>
          <w:szCs w:val="24"/>
        </w:rPr>
        <w:t>投标人的报价超过或者等于最高限价按无效标处理。</w:t>
      </w:r>
    </w:p>
    <w:p w14:paraId="41E4DC87">
      <w:pPr>
        <w:pStyle w:val="14"/>
        <w:snapToGrid w:val="0"/>
        <w:spacing w:before="120" w:beforeLines="50" w:line="360" w:lineRule="auto"/>
        <w:ind w:left="0" w:leftChars="0" w:firstLine="0"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4"/>
          <w:szCs w:val="24"/>
          <w:highlight w:val="none"/>
        </w:rPr>
        <w:t>四）投标文件的有效期</w:t>
      </w:r>
    </w:p>
    <w:p w14:paraId="5E58E69C">
      <w:pPr>
        <w:pStyle w:val="14"/>
        <w:snapToGrid w:val="0"/>
        <w:spacing w:line="360" w:lineRule="auto"/>
        <w:ind w:left="0" w:leftChars="0"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天投标文件应保持有效。有效期不足的投标文件将被拒绝。</w:t>
      </w:r>
    </w:p>
    <w:p w14:paraId="67E71B2A">
      <w:pPr>
        <w:pStyle w:val="14"/>
        <w:snapToGrid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5803531A">
      <w:pPr>
        <w:snapToGrid w:val="0"/>
        <w:spacing w:line="360" w:lineRule="auto"/>
        <w:ind w:firstLine="480" w:firstLineChars="200"/>
        <w:jc w:val="left"/>
        <w:outlineLvl w:val="0"/>
        <w:rPr>
          <w:rFonts w:ascii="宋体" w:hAnsi="宋体" w:cs="宋体"/>
          <w:b/>
          <w:color w:val="auto"/>
          <w:sz w:val="24"/>
          <w:szCs w:val="20"/>
          <w:highlight w:val="none"/>
        </w:rPr>
      </w:pPr>
      <w:r>
        <w:rPr>
          <w:rFonts w:hint="eastAsia" w:ascii="宋体" w:hAnsi="宋体" w:cs="宋体"/>
          <w:color w:val="auto"/>
          <w:sz w:val="24"/>
          <w:highlight w:val="none"/>
        </w:rPr>
        <w:t>3.投标人可拒绝接受延期要求。同意延长有效期的投标人不能修改投标文件。</w:t>
      </w:r>
    </w:p>
    <w:p w14:paraId="581C302D">
      <w:pPr>
        <w:snapToGrid w:val="0"/>
        <w:spacing w:line="360" w:lineRule="auto"/>
        <w:ind w:firstLine="480" w:firstLineChars="200"/>
        <w:jc w:val="left"/>
        <w:outlineLvl w:val="0"/>
        <w:rPr>
          <w:rFonts w:ascii="宋体" w:hAnsi="宋体" w:cs="宋体"/>
          <w:b/>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5F3F371D">
      <w:pPr>
        <w:snapToGrid w:val="0"/>
        <w:spacing w:before="120" w:beforeLines="50" w:line="360" w:lineRule="auto"/>
        <w:jc w:val="left"/>
        <w:outlineLvl w:val="0"/>
        <w:rPr>
          <w:rFonts w:ascii="宋体" w:hAnsi="宋体" w:cs="宋体"/>
          <w:b/>
          <w:color w:val="auto"/>
          <w:sz w:val="24"/>
          <w:szCs w:val="20"/>
          <w:highlight w:val="none"/>
        </w:rPr>
      </w:pPr>
      <w:r>
        <w:rPr>
          <w:rFonts w:hint="eastAsia" w:ascii="宋体" w:hAnsi="宋体" w:cs="宋体"/>
          <w:b/>
          <w:color w:val="auto"/>
          <w:sz w:val="24"/>
          <w:highlight w:val="none"/>
        </w:rPr>
        <w:t>（五）投标文件的签署</w:t>
      </w:r>
    </w:p>
    <w:p w14:paraId="4A02B56A">
      <w:pPr>
        <w:snapToGrid w:val="0"/>
        <w:spacing w:line="360" w:lineRule="auto"/>
        <w:ind w:firstLine="480"/>
        <w:jc w:val="left"/>
        <w:rPr>
          <w:rFonts w:hint="eastAsia" w:ascii="宋体" w:hAnsi="宋体" w:cs="宋体"/>
          <w:sz w:val="24"/>
          <w:highlight w:val="none"/>
        </w:rPr>
      </w:pPr>
      <w:r>
        <w:rPr>
          <w:rFonts w:hint="eastAsia" w:ascii="宋体" w:hAnsi="宋体" w:cs="宋体"/>
          <w:sz w:val="24"/>
          <w:highlight w:val="none"/>
        </w:rPr>
        <w:t>1.投标人应按本招标文件规定的格式和顺序编制、装订投标文件并标注页码，投标文件内容不完整、编排混乱导致投标文件被误读、漏读或者查找不到相关内容的，是投标人的责任。</w:t>
      </w:r>
    </w:p>
    <w:p w14:paraId="68E60F61">
      <w:pPr>
        <w:snapToGrid w:val="0"/>
        <w:spacing w:line="360" w:lineRule="auto"/>
        <w:ind w:firstLine="480"/>
        <w:jc w:val="left"/>
        <w:rPr>
          <w:rFonts w:hint="eastAsia" w:ascii="宋体" w:hAnsi="宋体" w:cs="宋体"/>
          <w:sz w:val="24"/>
          <w:highlight w:val="none"/>
        </w:rPr>
      </w:pPr>
      <w:r>
        <w:rPr>
          <w:rFonts w:hint="eastAsia" w:ascii="宋体" w:hAnsi="宋体" w:cs="宋体"/>
          <w:sz w:val="24"/>
          <w:highlight w:val="none"/>
        </w:rPr>
        <w:t>2.投标人应按资格审查文件</w:t>
      </w:r>
      <w:r>
        <w:rPr>
          <w:rFonts w:hint="eastAsia" w:ascii="宋体" w:hAnsi="宋体" w:cs="宋体"/>
          <w:sz w:val="24"/>
          <w:highlight w:val="none"/>
          <w:u w:val="single"/>
          <w:lang w:val="en-US" w:eastAsia="zh-CN"/>
        </w:rPr>
        <w:t>2</w:t>
      </w:r>
      <w:r>
        <w:rPr>
          <w:rFonts w:hint="eastAsia" w:ascii="宋体" w:hAnsi="宋体" w:cs="宋体"/>
          <w:sz w:val="24"/>
          <w:highlight w:val="none"/>
          <w:u w:val="single"/>
        </w:rPr>
        <w:t>份</w:t>
      </w:r>
      <w:r>
        <w:rPr>
          <w:rFonts w:hint="eastAsia" w:ascii="宋体" w:hAnsi="宋体" w:cs="宋体"/>
          <w:sz w:val="24"/>
          <w:highlight w:val="none"/>
        </w:rPr>
        <w:t>，技术、资信及商务文件、报价文件正本各</w:t>
      </w:r>
      <w:r>
        <w:rPr>
          <w:rFonts w:hint="eastAsia" w:ascii="宋体" w:hAnsi="宋体" w:cs="宋体"/>
          <w:sz w:val="24"/>
          <w:highlight w:val="none"/>
          <w:u w:val="single"/>
        </w:rPr>
        <w:t xml:space="preserve"> 1 份</w:t>
      </w:r>
      <w:r>
        <w:rPr>
          <w:rFonts w:hint="eastAsia" w:ascii="宋体" w:hAnsi="宋体" w:cs="宋体"/>
          <w:sz w:val="24"/>
          <w:highlight w:val="none"/>
        </w:rPr>
        <w:t>，副本各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份</w:t>
      </w:r>
      <w:r>
        <w:rPr>
          <w:rFonts w:hint="eastAsia" w:ascii="宋体" w:hAnsi="宋体" w:cs="宋体"/>
          <w:sz w:val="24"/>
          <w:highlight w:val="none"/>
        </w:rPr>
        <w:t>分别编制并单独装订成册，投标文件的封面应注明“正本”、“副本”字样，投标文件的封面格式详见投标文件格式。</w:t>
      </w:r>
    </w:p>
    <w:p w14:paraId="3F3369D9">
      <w:pPr>
        <w:snapToGrid w:val="0"/>
        <w:spacing w:line="360" w:lineRule="auto"/>
        <w:ind w:firstLine="480"/>
        <w:jc w:val="left"/>
        <w:rPr>
          <w:rFonts w:hint="eastAsia" w:ascii="宋体" w:hAnsi="宋体" w:cs="宋体"/>
          <w:sz w:val="24"/>
          <w:highlight w:val="none"/>
        </w:rPr>
      </w:pPr>
      <w:r>
        <w:rPr>
          <w:rFonts w:hint="eastAsia" w:ascii="宋体" w:hAnsi="宋体" w:cs="宋体"/>
          <w:sz w:val="24"/>
          <w:highlight w:val="none"/>
        </w:rPr>
        <w:t>3.投标文件需打印或用不褪色的墨水填写，投标文件正本除本《投标人须知》中规定的可提供复印件外均须提供原件。副本可为正本的复印件。</w:t>
      </w:r>
    </w:p>
    <w:p w14:paraId="76121752">
      <w:pPr>
        <w:snapToGrid w:val="0"/>
        <w:spacing w:line="360" w:lineRule="auto"/>
        <w:ind w:firstLine="480"/>
        <w:jc w:val="left"/>
        <w:rPr>
          <w:rFonts w:hint="eastAsia" w:ascii="宋体" w:hAnsi="宋体" w:cs="宋体"/>
          <w:b w:val="0"/>
          <w:bCs w:val="0"/>
          <w:sz w:val="24"/>
          <w:highlight w:val="none"/>
        </w:rPr>
      </w:pPr>
      <w:r>
        <w:rPr>
          <w:rFonts w:hint="eastAsia" w:ascii="宋体" w:hAnsi="宋体" w:cs="宋体"/>
          <w:b w:val="0"/>
          <w:bCs w:val="0"/>
          <w:sz w:val="24"/>
          <w:highlight w:val="none"/>
        </w:rPr>
        <w:t>4.招标文件对签字、盖章有特别要求的地方，投标文件无论正本或副本必须由投标人法定代表人或法定代表人的授权委托人签署并加盖单位公章，投标人应写全称。</w:t>
      </w:r>
    </w:p>
    <w:p w14:paraId="1CEC4FDD">
      <w:pPr>
        <w:snapToGrid w:val="0"/>
        <w:spacing w:line="360" w:lineRule="auto"/>
        <w:ind w:firstLine="480"/>
        <w:jc w:val="left"/>
        <w:rPr>
          <w:rFonts w:hint="eastAsia" w:ascii="宋体" w:hAnsi="宋体" w:eastAsia="宋体" w:cs="宋体"/>
          <w:sz w:val="24"/>
          <w:highlight w:val="yellow"/>
        </w:rPr>
      </w:pPr>
      <w:r>
        <w:rPr>
          <w:rFonts w:hint="eastAsia" w:ascii="宋体" w:hAnsi="宋体" w:cs="宋体"/>
          <w:sz w:val="24"/>
          <w:highlight w:val="none"/>
        </w:rPr>
        <w:t>5.投标文件不得涂改，若有修改错漏处，须加盖单位公章或者法定代表人或授权委</w:t>
      </w:r>
      <w:r>
        <w:rPr>
          <w:sz w:val="24"/>
          <w:highlight w:val="none"/>
        </w:rPr>
        <w:t>托人签字或盖章。投标文件因字迹潦草或表达不清所引起的后果由投标人负责。</w:t>
      </w:r>
    </w:p>
    <w:p w14:paraId="598D366D">
      <w:pPr>
        <w:snapToGrid w:val="0"/>
        <w:spacing w:line="360" w:lineRule="auto"/>
        <w:ind w:firstLine="241" w:firstLineChars="100"/>
        <w:jc w:val="left"/>
        <w:rPr>
          <w:rFonts w:ascii="宋体" w:hAnsi="宋体" w:cs="宋体"/>
          <w:b/>
          <w:color w:val="auto"/>
          <w:sz w:val="24"/>
          <w:szCs w:val="20"/>
          <w:highlight w:val="none"/>
        </w:rPr>
      </w:pPr>
      <w:r>
        <w:rPr>
          <w:rFonts w:hint="eastAsia" w:ascii="宋体" w:hAnsi="宋体" w:cs="宋体"/>
          <w:b/>
          <w:color w:val="auto"/>
          <w:sz w:val="24"/>
          <w:highlight w:val="none"/>
        </w:rPr>
        <w:t>（六）投标文件的包装、递交、修改和撤回</w:t>
      </w:r>
    </w:p>
    <w:p w14:paraId="444E6DD9">
      <w:pPr>
        <w:snapToGrid w:val="0"/>
        <w:spacing w:line="360" w:lineRule="auto"/>
        <w:ind w:firstLine="480"/>
        <w:jc w:val="left"/>
        <w:rPr>
          <w:rFonts w:hint="eastAsia" w:ascii="宋体" w:hAnsi="宋体" w:cs="宋体"/>
          <w:sz w:val="24"/>
          <w:highlight w:val="none"/>
        </w:rPr>
      </w:pPr>
      <w:r>
        <w:rPr>
          <w:rFonts w:hint="eastAsia" w:ascii="宋体" w:hAnsi="宋体" w:cs="宋体"/>
          <w:sz w:val="24"/>
          <w:highlight w:val="none"/>
        </w:rPr>
        <w:t>1.投标文件应按以下方法装袋密封标记：资格审查文件包装袋内装资格审查文件</w:t>
      </w:r>
      <w:r>
        <w:rPr>
          <w:rFonts w:hint="eastAsia" w:ascii="宋体" w:hAnsi="宋体" w:cs="宋体"/>
          <w:sz w:val="24"/>
          <w:highlight w:val="none"/>
          <w:u w:val="single"/>
          <w:lang w:val="en-US" w:eastAsia="zh-CN"/>
        </w:rPr>
        <w:t>2</w:t>
      </w:r>
      <w:r>
        <w:rPr>
          <w:rFonts w:hint="eastAsia" w:ascii="宋体" w:hAnsi="宋体" w:cs="宋体"/>
          <w:sz w:val="24"/>
          <w:highlight w:val="none"/>
          <w:u w:val="single"/>
        </w:rPr>
        <w:t>份</w:t>
      </w:r>
      <w:r>
        <w:rPr>
          <w:rFonts w:hint="eastAsia" w:ascii="宋体" w:hAnsi="宋体" w:cs="宋体"/>
          <w:sz w:val="24"/>
          <w:highlight w:val="none"/>
        </w:rPr>
        <w:t>，技术、资信及商务文件包装袋内装技术文件</w:t>
      </w:r>
      <w:r>
        <w:rPr>
          <w:rFonts w:hint="eastAsia" w:ascii="宋体" w:hAnsi="宋体" w:cs="宋体"/>
          <w:sz w:val="24"/>
          <w:highlight w:val="none"/>
          <w:u w:val="single"/>
        </w:rPr>
        <w:t>正本1份</w:t>
      </w:r>
      <w:r>
        <w:rPr>
          <w:rFonts w:hint="eastAsia" w:ascii="宋体" w:hAnsi="宋体" w:cs="宋体"/>
          <w:sz w:val="24"/>
          <w:highlight w:val="none"/>
        </w:rPr>
        <w:t>和</w:t>
      </w:r>
      <w:r>
        <w:rPr>
          <w:rFonts w:hint="eastAsia" w:ascii="宋体" w:hAnsi="宋体" w:cs="宋体"/>
          <w:sz w:val="24"/>
          <w:highlight w:val="none"/>
          <w:u w:val="single"/>
        </w:rPr>
        <w:t>副本</w:t>
      </w:r>
      <w:r>
        <w:rPr>
          <w:rFonts w:hint="eastAsia" w:ascii="宋体" w:hAnsi="宋体" w:cs="宋体"/>
          <w:sz w:val="24"/>
          <w:highlight w:val="none"/>
          <w:u w:val="single"/>
          <w:lang w:val="en-US" w:eastAsia="zh-CN"/>
        </w:rPr>
        <w:t>4</w:t>
      </w:r>
      <w:r>
        <w:rPr>
          <w:rFonts w:hint="eastAsia" w:ascii="宋体" w:hAnsi="宋体" w:cs="宋体"/>
          <w:sz w:val="24"/>
          <w:highlight w:val="none"/>
          <w:u w:val="single"/>
        </w:rPr>
        <w:t>份</w:t>
      </w:r>
      <w:r>
        <w:rPr>
          <w:rFonts w:hint="eastAsia" w:ascii="宋体" w:hAnsi="宋体" w:cs="宋体"/>
          <w:sz w:val="24"/>
          <w:highlight w:val="none"/>
        </w:rPr>
        <w:t>，报价文件包装袋内装报价文件</w:t>
      </w:r>
      <w:r>
        <w:rPr>
          <w:rFonts w:hint="eastAsia" w:ascii="宋体" w:hAnsi="宋体" w:cs="宋体"/>
          <w:sz w:val="24"/>
          <w:highlight w:val="none"/>
          <w:u w:val="single"/>
        </w:rPr>
        <w:t>正本1份</w:t>
      </w:r>
      <w:r>
        <w:rPr>
          <w:rFonts w:hint="eastAsia" w:ascii="宋体" w:hAnsi="宋体" w:cs="宋体"/>
          <w:sz w:val="24"/>
          <w:highlight w:val="none"/>
        </w:rPr>
        <w:t>和</w:t>
      </w:r>
      <w:r>
        <w:rPr>
          <w:rFonts w:hint="eastAsia" w:ascii="宋体" w:hAnsi="宋体" w:cs="宋体"/>
          <w:sz w:val="24"/>
          <w:highlight w:val="none"/>
          <w:u w:val="single"/>
        </w:rPr>
        <w:t>副本</w:t>
      </w:r>
      <w:r>
        <w:rPr>
          <w:rFonts w:hint="eastAsia" w:ascii="宋体" w:hAnsi="宋体" w:cs="宋体"/>
          <w:sz w:val="24"/>
          <w:highlight w:val="none"/>
          <w:u w:val="single"/>
          <w:lang w:val="en-US" w:eastAsia="zh-CN"/>
        </w:rPr>
        <w:t>4</w:t>
      </w:r>
      <w:r>
        <w:rPr>
          <w:rFonts w:hint="eastAsia" w:ascii="宋体" w:hAnsi="宋体" w:cs="宋体"/>
          <w:sz w:val="24"/>
          <w:highlight w:val="none"/>
          <w:u w:val="single"/>
        </w:rPr>
        <w:t>份</w:t>
      </w:r>
      <w:r>
        <w:rPr>
          <w:rFonts w:hint="eastAsia" w:ascii="宋体" w:hAnsi="宋体" w:cs="宋体"/>
          <w:sz w:val="24"/>
          <w:highlight w:val="none"/>
        </w:rPr>
        <w:t>，包装封面上应标明“</w:t>
      </w:r>
      <w:r>
        <w:rPr>
          <w:rFonts w:hint="eastAsia" w:ascii="宋体" w:hAnsi="宋体" w:cs="宋体"/>
          <w:sz w:val="24"/>
          <w:highlight w:val="none"/>
          <w:lang w:val="en-US" w:eastAsia="zh-CN"/>
        </w:rPr>
        <w:t>项目</w:t>
      </w:r>
      <w:r>
        <w:rPr>
          <w:rFonts w:hint="eastAsia" w:ascii="宋体" w:hAnsi="宋体" w:cs="宋体"/>
          <w:sz w:val="24"/>
          <w:highlight w:val="none"/>
        </w:rPr>
        <w:t>编号、投标项目名称、技术、资信及商务文件（或报价文件）、投标人名称、</w:t>
      </w:r>
      <w:r>
        <w:rPr>
          <w:rFonts w:hint="eastAsia" w:ascii="宋体" w:hAnsi="宋体" w:cs="宋体"/>
          <w:color w:val="000000"/>
          <w:sz w:val="24"/>
          <w:highlight w:val="none"/>
        </w:rPr>
        <w:t>于</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9</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18</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上</w:t>
      </w:r>
      <w:r>
        <w:rPr>
          <w:rFonts w:hint="eastAsia" w:ascii="宋体" w:hAnsi="宋体" w:cs="宋体"/>
          <w:color w:val="FF0000"/>
          <w:sz w:val="24"/>
          <w:highlight w:val="none"/>
          <w:u w:val="single"/>
        </w:rPr>
        <w:t>午</w:t>
      </w:r>
      <w:r>
        <w:rPr>
          <w:rFonts w:hint="eastAsia" w:ascii="宋体" w:hAnsi="宋体" w:cs="宋体"/>
          <w:color w:val="FF0000"/>
          <w:sz w:val="24"/>
          <w:highlight w:val="none"/>
          <w:u w:val="single"/>
          <w:lang w:val="en-US" w:eastAsia="zh-CN"/>
        </w:rPr>
        <w:t>9</w:t>
      </w:r>
      <w:r>
        <w:rPr>
          <w:rFonts w:hint="eastAsia" w:ascii="宋体" w:hAnsi="宋体" w:cs="宋体"/>
          <w:color w:val="FF0000"/>
          <w:sz w:val="24"/>
          <w:highlight w:val="none"/>
          <w:u w:val="single"/>
        </w:rPr>
        <w:t>时</w:t>
      </w:r>
      <w:r>
        <w:rPr>
          <w:rFonts w:hint="eastAsia" w:ascii="宋体" w:hAnsi="宋体" w:cs="宋体"/>
          <w:color w:val="FF0000"/>
          <w:sz w:val="24"/>
          <w:highlight w:val="none"/>
          <w:u w:val="single"/>
          <w:lang w:val="en-US" w:eastAsia="zh-CN"/>
        </w:rPr>
        <w:t>30</w:t>
      </w:r>
      <w:r>
        <w:rPr>
          <w:rFonts w:hint="eastAsia" w:ascii="宋体" w:hAnsi="宋体" w:cs="宋体"/>
          <w:color w:val="FF0000"/>
          <w:sz w:val="24"/>
          <w:highlight w:val="none"/>
          <w:u w:val="single"/>
        </w:rPr>
        <w:t>分前不准启封</w:t>
      </w:r>
      <w:r>
        <w:rPr>
          <w:rFonts w:hint="eastAsia" w:ascii="宋体" w:hAnsi="宋体" w:cs="宋体"/>
          <w:color w:val="FF0000"/>
          <w:sz w:val="24"/>
          <w:highlight w:val="none"/>
        </w:rPr>
        <w:t>”</w:t>
      </w:r>
      <w:r>
        <w:rPr>
          <w:rFonts w:hint="eastAsia" w:ascii="宋体" w:hAnsi="宋体" w:cs="宋体"/>
          <w:color w:val="auto"/>
          <w:sz w:val="24"/>
          <w:highlight w:val="none"/>
        </w:rPr>
        <w:t>等</w:t>
      </w:r>
      <w:r>
        <w:rPr>
          <w:rFonts w:hint="eastAsia" w:ascii="宋体" w:hAnsi="宋体" w:cs="宋体"/>
          <w:sz w:val="24"/>
          <w:highlight w:val="none"/>
        </w:rPr>
        <w:t>，并在封口加盖单位公章。外包装的封面格式详见招标文件附件。</w:t>
      </w:r>
    </w:p>
    <w:p w14:paraId="5A476AC5">
      <w:pPr>
        <w:snapToGrid w:val="0"/>
        <w:spacing w:line="360" w:lineRule="auto"/>
        <w:ind w:firstLine="420"/>
        <w:jc w:val="left"/>
        <w:rPr>
          <w:rFonts w:hint="eastAsia" w:ascii="宋体" w:hAnsi="宋体" w:cs="宋体"/>
          <w:sz w:val="24"/>
          <w:highlight w:val="none"/>
        </w:rPr>
      </w:pPr>
      <w:r>
        <w:rPr>
          <w:rFonts w:hint="eastAsia" w:ascii="宋体" w:hAnsi="宋体" w:cs="宋体"/>
          <w:sz w:val="24"/>
          <w:highlight w:val="none"/>
        </w:rPr>
        <w:t>2.未按规定密封或标记的投标文件将被拒绝，由此造成投标文件被误投或提前拆封的风险由投标人承担。</w:t>
      </w:r>
    </w:p>
    <w:p w14:paraId="6E8CBB8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664D8AAB">
      <w:pPr>
        <w:snapToGrid w:val="0"/>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（七）投标无效的情形</w:t>
      </w:r>
    </w:p>
    <w:p w14:paraId="72BF9660">
      <w:p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EDD5358">
      <w:pPr>
        <w:spacing w:line="360" w:lineRule="auto"/>
        <w:ind w:firstLine="482" w:firstLineChars="200"/>
        <w:rPr>
          <w:rFonts w:ascii="宋体" w:hAnsi="宋体" w:cs="宋体"/>
          <w:color w:val="auto"/>
          <w:sz w:val="22"/>
          <w:highlight w:val="none"/>
          <w:u w:val="single"/>
        </w:rPr>
      </w:pPr>
      <w:r>
        <w:rPr>
          <w:rFonts w:hint="eastAsia" w:ascii="宋体" w:hAnsi="宋体" w:cs="宋体"/>
          <w:b/>
          <w:bCs/>
          <w:color w:val="auto"/>
          <w:sz w:val="24"/>
          <w:highlight w:val="none"/>
        </w:rPr>
        <w:t>1.在资格审查时，如发现下列情形之一的，投标无效：</w:t>
      </w:r>
    </w:p>
    <w:p w14:paraId="0A2D9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（1）资格审查材料不全的，或者不符合招标文件要求的；</w:t>
      </w:r>
    </w:p>
    <w:p w14:paraId="2EEEF1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（2）资格审查材料未按招标文件要求签署、盖章的；</w:t>
      </w:r>
    </w:p>
    <w:p w14:paraId="73A548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（3）不具备招标文件中规定的资格条件的；</w:t>
      </w:r>
    </w:p>
    <w:p w14:paraId="4E4DD2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（4）经查询存在不良信用记录的；</w:t>
      </w:r>
    </w:p>
    <w:p w14:paraId="5B39C9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（5）联合体投标的未提供</w:t>
      </w:r>
      <w:r>
        <w:rPr>
          <w:rFonts w:hint="eastAsia" w:ascii="宋体" w:hAnsi="宋体" w:cs="宋体"/>
          <w:color w:val="auto"/>
          <w:sz w:val="24"/>
          <w:highlight w:val="none"/>
          <w:lang w:val="zh-CN"/>
        </w:rPr>
        <w:t>联合体协议书的</w:t>
      </w:r>
      <w:r>
        <w:rPr>
          <w:rFonts w:hint="eastAsia" w:ascii="宋体" w:hAnsi="宋体" w:cs="宋体"/>
          <w:color w:val="auto"/>
          <w:sz w:val="24"/>
          <w:highlight w:val="none"/>
        </w:rPr>
        <w:t>；</w:t>
      </w:r>
    </w:p>
    <w:p w14:paraId="634AAB9B">
      <w:pPr>
        <w:pStyle w:val="24"/>
        <w:spacing w:line="360" w:lineRule="auto"/>
        <w:rPr>
          <w:rFonts w:hint="default" w:eastAsia="宋体"/>
          <w:lang w:val="en-US"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6</w:t>
      </w:r>
      <w:r>
        <w:rPr>
          <w:rFonts w:hint="eastAsia" w:hAnsi="宋体" w:cs="宋体"/>
          <w:color w:val="auto"/>
          <w:sz w:val="24"/>
          <w:highlight w:val="none"/>
          <w:lang w:eastAsia="zh-CN"/>
        </w:rPr>
        <w:t>）</w:t>
      </w:r>
      <w:r>
        <w:rPr>
          <w:rFonts w:hint="eastAsia" w:hAnsi="宋体" w:cs="宋体"/>
          <w:color w:val="auto"/>
          <w:sz w:val="24"/>
          <w:highlight w:val="none"/>
          <w:lang w:val="en-US" w:eastAsia="zh-CN"/>
        </w:rPr>
        <w:t>未按招标文件要求提供中小微企业声明函的；</w:t>
      </w:r>
    </w:p>
    <w:p w14:paraId="00230E9D">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）联合体各方在同一招标项目中以自己名义单独投标或者参加其他联合体投标的，相关投标均无效。</w:t>
      </w:r>
    </w:p>
    <w:p w14:paraId="62CC4835">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2.在符合性审查和商务评审时，如发现下列情形之一的，投标文件将被视为无效：</w:t>
      </w:r>
    </w:p>
    <w:p w14:paraId="23203D6A">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）资信及商务标内有商务报价出现的；</w:t>
      </w:r>
    </w:p>
    <w:p w14:paraId="68A711B4">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）超出经营范围投标的；</w:t>
      </w:r>
    </w:p>
    <w:p w14:paraId="646AD1E5">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）资格证明文件不全的，或者不符合招标文件标明的资格要求的；</w:t>
      </w:r>
    </w:p>
    <w:p w14:paraId="7843C8DD">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）本招标文件明确规定投标文件需要投标人签字、盖章的地方，投标人没有按招标文件的规定进行签字、盖章的,或未提供法定代表人授权委托书、投标声明书或者填写项目不齐全的，或则授权委托书无效的；</w:t>
      </w:r>
    </w:p>
    <w:p w14:paraId="23719492">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）投标文件无法定代表人签字,或未提供法定代表人授权委托书、投标声明书或者填写项目不齐全的；</w:t>
      </w:r>
    </w:p>
    <w:p w14:paraId="3D52E333">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）投标文件的实质性内容未使用中文表述、意思表述不明确、前后矛盾或者使用计量单位不符合招标文件要求的（经评标委员会认定并允许其当场更正的笔误除外）；</w:t>
      </w:r>
    </w:p>
    <w:p w14:paraId="1E1DACF2">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）投标有效期、服务期（交货期）、质保期、付款方式等商务条款不能满足招标文件要求的；</w:t>
      </w:r>
    </w:p>
    <w:p w14:paraId="3534E6BB">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）未实质性响应招标文件中标有“▲”条款要求的；</w:t>
      </w:r>
    </w:p>
    <w:p w14:paraId="58136950">
      <w:pPr>
        <w:pStyle w:val="24"/>
        <w:spacing w:line="360" w:lineRule="auto"/>
      </w:pPr>
      <w:r>
        <w:rPr>
          <w:rFonts w:hint="eastAsia" w:hAnsi="宋体"/>
          <w:sz w:val="24"/>
          <w:lang w:eastAsia="zh-CN"/>
        </w:rPr>
        <w:t>（</w:t>
      </w:r>
      <w:r>
        <w:rPr>
          <w:rFonts w:hint="eastAsia" w:hAnsi="宋体"/>
          <w:sz w:val="24"/>
          <w:lang w:val="en-US" w:eastAsia="zh-CN"/>
        </w:rPr>
        <w:t>9</w:t>
      </w:r>
      <w:r>
        <w:rPr>
          <w:rFonts w:hint="eastAsia" w:hAnsi="宋体"/>
          <w:sz w:val="24"/>
          <w:lang w:eastAsia="zh-CN"/>
        </w:rPr>
        <w:t>）</w:t>
      </w:r>
      <w:r>
        <w:rPr>
          <w:rFonts w:hint="eastAsia" w:hAnsi="宋体"/>
          <w:sz w:val="24"/>
        </w:rPr>
        <w:t>未提交本招标文件资信及商务文件中第（4</w:t>
      </w:r>
      <w:r>
        <w:rPr>
          <w:rFonts w:hAnsi="宋体"/>
          <w:sz w:val="24"/>
        </w:rPr>
        <w:t>）</w:t>
      </w:r>
      <w:r>
        <w:rPr>
          <w:rFonts w:hint="eastAsia" w:hAnsi="宋体"/>
          <w:sz w:val="24"/>
        </w:rPr>
        <w:t>、（5）、（6）、（7）条资料的；</w:t>
      </w:r>
    </w:p>
    <w:p w14:paraId="7B94C98E">
      <w:pPr>
        <w:pStyle w:val="11"/>
        <w:snapToGrid w:val="0"/>
        <w:spacing w:line="360" w:lineRule="auto"/>
        <w:ind w:firstLine="454" w:firstLineChars="196"/>
        <w:rPr>
          <w:rFonts w:hAnsi="宋体" w:cs="宋体"/>
          <w:color w:val="auto"/>
          <w:sz w:val="24"/>
          <w:szCs w:val="24"/>
          <w:highlight w:val="none"/>
        </w:rPr>
      </w:pP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）投标文件有招标方不能接受的附加条件的；</w:t>
      </w:r>
    </w:p>
    <w:p w14:paraId="12FAE8A4">
      <w:pPr>
        <w:pStyle w:val="11"/>
        <w:snapToGrid w:val="0"/>
        <w:spacing w:line="360" w:lineRule="auto"/>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3.在技术评审时，如发现下列情形之一的，投标文件将被视为无效：</w:t>
      </w:r>
    </w:p>
    <w:p w14:paraId="65DF31D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（1）投标人未在规定的时间内对询标函进行澄清回复、拒绝澄清回复或澄清回复的内容改变了投标文件的实质性内容的；</w:t>
      </w:r>
    </w:p>
    <w:p w14:paraId="76D8DECE">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（2）技术标内有商务报价出现的；</w:t>
      </w:r>
    </w:p>
    <w:p w14:paraId="4939640C">
      <w:pPr>
        <w:pStyle w:val="11"/>
        <w:snapToGrid w:val="0"/>
        <w:spacing w:line="360" w:lineRule="auto"/>
        <w:ind w:firstLine="454" w:firstLineChars="196"/>
        <w:rPr>
          <w:rFonts w:hint="eastAsia" w:hAnsi="宋体" w:cs="宋体"/>
          <w:color w:val="auto"/>
          <w:sz w:val="24"/>
          <w:highlight w:val="none"/>
        </w:rPr>
      </w:pPr>
      <w:r>
        <w:rPr>
          <w:rFonts w:hint="eastAsia" w:hAnsi="宋体" w:cs="宋体"/>
          <w:color w:val="auto"/>
          <w:sz w:val="24"/>
          <w:szCs w:val="24"/>
          <w:highlight w:val="none"/>
        </w:rPr>
        <w:t>（3）</w:t>
      </w:r>
      <w:r>
        <w:rPr>
          <w:rFonts w:hint="eastAsia" w:hAnsi="宋体" w:cs="宋体"/>
          <w:color w:val="auto"/>
          <w:sz w:val="24"/>
          <w:highlight w:val="none"/>
        </w:rPr>
        <w:t>投标技术方案不明确，存在一个或一个以上备选（替代）投标方案的；</w:t>
      </w:r>
    </w:p>
    <w:p w14:paraId="4DB6E2A1">
      <w:pPr>
        <w:pStyle w:val="6"/>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（4）与其他参加本次投标供应商的投标文件（技术文件）的文字表述内容相同连续20行以上或者差错相同2处以上的；</w:t>
      </w:r>
    </w:p>
    <w:p w14:paraId="7702B3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7BA084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3E3BA4C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4.在报价评审时，如发现下列情形之一的，投标文件将被视为无效：</w:t>
      </w:r>
    </w:p>
    <w:p w14:paraId="070035EF">
      <w:pPr>
        <w:pStyle w:val="11"/>
        <w:snapToGrid w:val="0"/>
        <w:spacing w:line="360" w:lineRule="auto"/>
        <w:ind w:firstLine="464" w:firstLineChars="200"/>
        <w:rPr>
          <w:rFonts w:hAnsi="宋体" w:cs="宋体"/>
          <w:color w:val="auto"/>
          <w:sz w:val="24"/>
          <w:highlight w:val="none"/>
        </w:rPr>
      </w:pPr>
      <w:r>
        <w:rPr>
          <w:rFonts w:hint="eastAsia" w:hAnsi="宋体" w:cs="宋体"/>
          <w:color w:val="auto"/>
          <w:sz w:val="24"/>
          <w:highlight w:val="none"/>
        </w:rPr>
        <w:t>（1）投标人未在规定的时间内对询标函进行澄清回复、拒绝澄清回复或者澄清回复的内容改变了投标文件的实质性内容的；</w:t>
      </w:r>
    </w:p>
    <w:p w14:paraId="7C2897C1">
      <w:pPr>
        <w:pStyle w:val="11"/>
        <w:snapToGrid w:val="0"/>
        <w:spacing w:line="360" w:lineRule="auto"/>
        <w:ind w:firstLine="454" w:firstLineChars="196"/>
        <w:rPr>
          <w:rFonts w:hAnsi="宋体" w:cs="宋体"/>
          <w:color w:val="auto"/>
          <w:sz w:val="24"/>
          <w:szCs w:val="24"/>
          <w:highlight w:val="none"/>
        </w:rPr>
      </w:pPr>
      <w:r>
        <w:rPr>
          <w:rFonts w:hint="eastAsia" w:hAnsi="宋体" w:cs="宋体"/>
          <w:color w:val="auto"/>
          <w:sz w:val="24"/>
          <w:szCs w:val="24"/>
          <w:highlight w:val="none"/>
        </w:rPr>
        <w:t>（2）未按照招标文件标明的格式报价的；</w:t>
      </w:r>
    </w:p>
    <w:p w14:paraId="50F35091">
      <w:pPr>
        <w:pStyle w:val="11"/>
        <w:snapToGrid w:val="0"/>
        <w:spacing w:line="360" w:lineRule="auto"/>
        <w:ind w:firstLine="454" w:firstLineChars="196"/>
        <w:rPr>
          <w:rFonts w:hAnsi="宋体" w:cs="宋体"/>
          <w:color w:val="auto"/>
          <w:sz w:val="24"/>
          <w:szCs w:val="24"/>
          <w:highlight w:val="none"/>
        </w:rPr>
      </w:pPr>
      <w:r>
        <w:rPr>
          <w:rFonts w:hint="eastAsia" w:hAnsi="宋体" w:cs="宋体"/>
          <w:color w:val="auto"/>
          <w:sz w:val="24"/>
          <w:szCs w:val="24"/>
          <w:highlight w:val="none"/>
        </w:rPr>
        <w:t>（3）报价</w:t>
      </w:r>
      <w:r>
        <w:rPr>
          <w:rFonts w:hint="eastAsia" w:hAnsi="宋体" w:cs="宋体"/>
          <w:color w:val="auto"/>
          <w:sz w:val="24"/>
          <w:highlight w:val="none"/>
        </w:rPr>
        <w:t>超出限价的</w:t>
      </w:r>
      <w:r>
        <w:rPr>
          <w:rFonts w:hint="eastAsia" w:hAnsi="宋体" w:cs="宋体"/>
          <w:color w:val="auto"/>
          <w:sz w:val="24"/>
          <w:szCs w:val="24"/>
          <w:highlight w:val="none"/>
        </w:rPr>
        <w:t>；</w:t>
      </w:r>
    </w:p>
    <w:p w14:paraId="63CA7C47">
      <w:pPr>
        <w:pStyle w:val="11"/>
        <w:snapToGrid w:val="0"/>
        <w:spacing w:line="360" w:lineRule="auto"/>
        <w:ind w:firstLine="454" w:firstLineChars="196"/>
        <w:rPr>
          <w:rFonts w:hAnsi="宋体" w:cs="宋体"/>
          <w:color w:val="auto"/>
          <w:sz w:val="24"/>
          <w:szCs w:val="24"/>
          <w:highlight w:val="none"/>
        </w:rPr>
      </w:pPr>
      <w:r>
        <w:rPr>
          <w:rFonts w:hint="eastAsia" w:hAnsi="宋体" w:cs="宋体"/>
          <w:color w:val="auto"/>
          <w:sz w:val="24"/>
          <w:szCs w:val="24"/>
          <w:highlight w:val="none"/>
        </w:rPr>
        <w:t>（4）投标报价具有选择性的；</w:t>
      </w:r>
    </w:p>
    <w:p w14:paraId="0D470EC3">
      <w:pPr>
        <w:pStyle w:val="11"/>
        <w:snapToGrid w:val="0"/>
        <w:spacing w:line="360" w:lineRule="auto"/>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1E7AD6">
      <w:pPr>
        <w:snapToGrid w:val="0"/>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5.被拒绝的投标文件为无效。</w:t>
      </w:r>
    </w:p>
    <w:p w14:paraId="155EE3B4">
      <w:pPr>
        <w:snapToGrid w:val="0"/>
        <w:spacing w:before="120" w:beforeLines="50" w:line="360" w:lineRule="auto"/>
        <w:ind w:firstLine="472" w:firstLineChars="196"/>
        <w:jc w:val="left"/>
        <w:outlineLvl w:val="0"/>
        <w:rPr>
          <w:rFonts w:ascii="宋体" w:hAnsi="宋体" w:cs="宋体"/>
          <w:b/>
          <w:color w:val="auto"/>
          <w:sz w:val="24"/>
          <w:highlight w:val="none"/>
        </w:rPr>
      </w:pPr>
      <w:r>
        <w:rPr>
          <w:rFonts w:hint="eastAsia" w:ascii="宋体" w:hAnsi="宋体" w:cs="宋体"/>
          <w:b/>
          <w:color w:val="auto"/>
          <w:sz w:val="24"/>
          <w:highlight w:val="none"/>
        </w:rPr>
        <w:t>6.根据有关法律、法规规定为无效、废标的，按法律、法规规定执行。</w:t>
      </w:r>
    </w:p>
    <w:p w14:paraId="7D796EF6">
      <w:pPr>
        <w:snapToGrid w:val="0"/>
        <w:spacing w:before="120" w:beforeLines="50" w:line="360" w:lineRule="auto"/>
        <w:jc w:val="left"/>
        <w:outlineLvl w:val="0"/>
        <w:rPr>
          <w:rFonts w:ascii="宋体" w:hAnsi="宋体" w:cs="宋体"/>
          <w:b/>
          <w:color w:val="auto"/>
          <w:sz w:val="28"/>
          <w:szCs w:val="28"/>
          <w:highlight w:val="none"/>
        </w:rPr>
      </w:pPr>
      <w:r>
        <w:rPr>
          <w:rFonts w:hint="eastAsia" w:ascii="宋体" w:hAnsi="宋体" w:cs="宋体"/>
          <w:b/>
          <w:color w:val="auto"/>
          <w:sz w:val="28"/>
          <w:szCs w:val="28"/>
          <w:highlight w:val="none"/>
        </w:rPr>
        <w:t>四、开标</w:t>
      </w:r>
    </w:p>
    <w:p w14:paraId="11F6B07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1DC0BCDE">
      <w:pPr>
        <w:snapToGrid w:val="0"/>
        <w:spacing w:line="360" w:lineRule="auto"/>
        <w:ind w:firstLine="457"/>
        <w:rPr>
          <w:rFonts w:hint="eastAsia" w:ascii="宋体" w:hAnsi="宋体" w:eastAsia="宋体" w:cs="宋体"/>
          <w:b/>
          <w:spacing w:val="-4"/>
          <w:sz w:val="24"/>
          <w:highlight w:val="none"/>
          <w:lang w:val="en-US" w:eastAsia="zh-CN"/>
        </w:rPr>
      </w:pPr>
      <w:r>
        <w:rPr>
          <w:rFonts w:hint="eastAsia" w:ascii="宋体" w:hAnsi="宋体" w:eastAsia="宋体" w:cs="宋体"/>
          <w:b/>
          <w:spacing w:val="-4"/>
          <w:sz w:val="24"/>
          <w:highlight w:val="none"/>
          <w:lang w:val="en-US" w:eastAsia="zh-CN"/>
        </w:rPr>
        <w:t>▲采购代理机构将在规定的时间进行开标，投标人无须到开标现场，但投标人的法定代表人或其委托代理人【委托代理人应当是投标人的在职正式职工（以投标人本单位缴纳社保花名册或浙江政务服务网查询打印的社会保险参保证明（需带二维码及浙江省社会保险电子专用章）为准）】应做好投标准备，准时在线参加开标会议，随时关注开标进度。</w:t>
      </w:r>
    </w:p>
    <w:p w14:paraId="761CA0B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（二）开标程序</w:t>
      </w:r>
    </w:p>
    <w:p w14:paraId="4C937161">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1.开标会由招标代理机构主持，主持人宣布开标会议开始；</w:t>
      </w:r>
    </w:p>
    <w:p w14:paraId="59EDC7E3">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2.主持人宣布开标会议纪律及评标期间的有关事项；告知应当回避的情形,提请有关人员回避；</w:t>
      </w:r>
    </w:p>
    <w:p w14:paraId="5B64BE72">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3.由采购人代表或招标采购单位委托的公证机构检查投标文件密封的完整性，由招标代理机构逐一开启各投标人的投标文件；</w:t>
      </w:r>
    </w:p>
    <w:p w14:paraId="45AAC2E7">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4.由采购人或代理机构进行资格审查，通过资格审查的投标人进入商务技术响应文件评审环节；</w:t>
      </w:r>
    </w:p>
    <w:p w14:paraId="59D9742F">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5.将通过符合性审查投标人的技术、资信及商务发放给各评标委员会成员，评标委员会成员对技术文件、资信商务文件进行评审；</w:t>
      </w:r>
    </w:p>
    <w:p w14:paraId="5F4294D6">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6.技术、资信及商务评分结束后，由主持人公布无效投标的投标人名单、投标无效的原因及其他有效投标的评分结果；</w:t>
      </w:r>
    </w:p>
    <w:p w14:paraId="4CA38640">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7.由代理机构人员宣读各投标人是否属于小型、微型企业待遇，宣读《投标报价一览表》中的投标人名称及在其投标文件中承诺的投标报价、投标内容（投标服务项目名称），以及招标方认为有必要宣读的其他内容。</w:t>
      </w:r>
    </w:p>
    <w:p w14:paraId="37954172">
      <w:pPr>
        <w:snapToGrid w:val="0"/>
        <w:spacing w:line="360" w:lineRule="auto"/>
        <w:ind w:firstLine="457"/>
        <w:rPr>
          <w:rFonts w:hint="eastAsia" w:ascii="宋体" w:hAnsi="宋体" w:eastAsia="宋体" w:cs="宋体"/>
          <w:b w:val="0"/>
          <w:bCs/>
          <w:spacing w:val="-4"/>
          <w:sz w:val="24"/>
          <w:lang w:val="en-US" w:eastAsia="zh-CN"/>
        </w:rPr>
      </w:pPr>
      <w:r>
        <w:rPr>
          <w:rFonts w:hint="eastAsia" w:ascii="宋体" w:hAnsi="宋体" w:eastAsia="宋体" w:cs="宋体"/>
          <w:b w:val="0"/>
          <w:bCs/>
          <w:spacing w:val="-4"/>
          <w:sz w:val="24"/>
          <w:lang w:val="en-US" w:eastAsia="zh-CN"/>
        </w:rPr>
        <w:t>8.由招标方做开标记录。</w:t>
      </w:r>
    </w:p>
    <w:p w14:paraId="1ABF5D2A">
      <w:pPr>
        <w:snapToGrid w:val="0"/>
        <w:spacing w:line="360" w:lineRule="auto"/>
        <w:ind w:left="842" w:leftChars="267" w:hanging="281" w:hangingChars="1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五、评标</w:t>
      </w:r>
    </w:p>
    <w:p w14:paraId="6EDD5672">
      <w:pPr>
        <w:snapToGrid w:val="0"/>
        <w:spacing w:line="360" w:lineRule="auto"/>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（一）组建评标委员会</w:t>
      </w:r>
    </w:p>
    <w:p w14:paraId="332D84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人，共</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人组成。</w:t>
      </w:r>
    </w:p>
    <w:p w14:paraId="3203315A">
      <w:pPr>
        <w:snapToGrid w:val="0"/>
        <w:spacing w:line="360" w:lineRule="auto"/>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（二）评标的方式</w:t>
      </w:r>
    </w:p>
    <w:p w14:paraId="335191F6">
      <w:pPr>
        <w:snapToGrid w:val="0"/>
        <w:spacing w:line="360" w:lineRule="auto"/>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26434B22">
      <w:pPr>
        <w:snapToGrid w:val="0"/>
        <w:spacing w:line="360" w:lineRule="auto"/>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评标程序</w:t>
      </w:r>
    </w:p>
    <w:p w14:paraId="53E5A533">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1.形式审查</w:t>
      </w:r>
    </w:p>
    <w:p w14:paraId="38A48F01">
      <w:pPr>
        <w:snapToGrid w:val="0"/>
        <w:spacing w:line="360" w:lineRule="auto"/>
        <w:ind w:firstLine="480" w:firstLineChars="200"/>
        <w:rPr>
          <w:rFonts w:ascii="宋体" w:hAnsi="宋体" w:cs="宋体"/>
          <w:b/>
          <w:color w:val="auto"/>
          <w:sz w:val="24"/>
          <w:szCs w:val="20"/>
          <w:highlight w:val="none"/>
        </w:rPr>
      </w:pPr>
      <w:r>
        <w:rPr>
          <w:rFonts w:hint="eastAsia" w:ascii="宋体" w:hAnsi="宋体" w:cs="宋体"/>
          <w:color w:val="auto"/>
          <w:sz w:val="24"/>
          <w:highlight w:val="none"/>
        </w:rPr>
        <w:t>采购人代表和代理机构工作人员对投标人的资格文件的完整性、符合性等进行审查。</w:t>
      </w:r>
    </w:p>
    <w:p w14:paraId="2CD10F0E">
      <w:pPr>
        <w:snapToGrid w:val="0"/>
        <w:spacing w:line="360" w:lineRule="auto"/>
        <w:ind w:firstLine="472" w:firstLineChars="196"/>
        <w:rPr>
          <w:rFonts w:ascii="宋体" w:hAnsi="宋体" w:cs="宋体"/>
          <w:b/>
          <w:bCs/>
          <w:color w:val="auto"/>
          <w:sz w:val="24"/>
          <w:szCs w:val="20"/>
          <w:highlight w:val="none"/>
        </w:rPr>
      </w:pPr>
      <w:r>
        <w:rPr>
          <w:rFonts w:hint="eastAsia" w:ascii="宋体" w:hAnsi="宋体" w:cs="宋体"/>
          <w:b/>
          <w:bCs/>
          <w:color w:val="auto"/>
          <w:sz w:val="24"/>
          <w:highlight w:val="none"/>
        </w:rPr>
        <w:t>2.实质审查与比较</w:t>
      </w:r>
    </w:p>
    <w:p w14:paraId="25DF6E02">
      <w:pPr>
        <w:snapToGrid w:val="0"/>
        <w:spacing w:line="360" w:lineRule="auto"/>
        <w:ind w:firstLine="240" w:firstLineChars="100"/>
        <w:rPr>
          <w:rFonts w:hint="eastAsia" w:ascii="宋体" w:hAnsi="宋体" w:cs="宋体"/>
          <w:sz w:val="24"/>
        </w:rPr>
      </w:pPr>
      <w:r>
        <w:rPr>
          <w:rFonts w:hint="eastAsia" w:ascii="宋体" w:hAnsi="宋体" w:cs="宋体"/>
          <w:sz w:val="24"/>
        </w:rPr>
        <w:t>（1）评标委员会审查投标文件的实质性内容是否符合招标文件的实质性要求。</w:t>
      </w:r>
    </w:p>
    <w:p w14:paraId="60754609">
      <w:pPr>
        <w:snapToGrid w:val="0"/>
        <w:spacing w:line="360" w:lineRule="auto"/>
        <w:ind w:firstLine="240" w:firstLineChars="100"/>
        <w:rPr>
          <w:rFonts w:hint="eastAsia" w:ascii="宋体" w:hAnsi="宋体" w:cs="宋体"/>
          <w:sz w:val="24"/>
        </w:rPr>
      </w:pPr>
      <w:r>
        <w:rPr>
          <w:rFonts w:hint="eastAsia" w:ascii="宋体" w:hAnsi="宋体" w:cs="宋体"/>
          <w:sz w:val="24"/>
        </w:rPr>
        <w:t>（2）评标委员会将根据投标人的投标文件进行审查、核对,如有疑问,将对投标人进行询标,投标人要向评标委员会澄清有关问题,并最终以书面形式进行答复。</w:t>
      </w:r>
    </w:p>
    <w:p w14:paraId="66F62FE6">
      <w:pPr>
        <w:snapToGrid w:val="0"/>
        <w:spacing w:line="360" w:lineRule="auto"/>
        <w:ind w:firstLine="482"/>
        <w:rPr>
          <w:rFonts w:hint="eastAsia" w:ascii="宋体" w:hAnsi="宋体" w:cs="宋体"/>
          <w:sz w:val="24"/>
        </w:rPr>
      </w:pPr>
      <w:r>
        <w:rPr>
          <w:rFonts w:hint="eastAsia" w:ascii="宋体" w:hAnsi="宋体" w:cs="宋体"/>
          <w:sz w:val="24"/>
        </w:rPr>
        <w:t>投标人代表未到场或者拒绝澄清或者澄清的内容改变了投标文件的实质性内容的，评标委员会有权对该投标文件作出不利于投标人的评判。</w:t>
      </w:r>
    </w:p>
    <w:p w14:paraId="2CA9F5D5">
      <w:pPr>
        <w:snapToGrid w:val="0"/>
        <w:spacing w:line="360" w:lineRule="auto"/>
        <w:ind w:firstLine="240" w:firstLineChars="100"/>
        <w:rPr>
          <w:rFonts w:hint="eastAsia" w:ascii="宋体" w:hAnsi="宋体" w:cs="宋体"/>
          <w:sz w:val="24"/>
        </w:rPr>
      </w:pPr>
      <w:r>
        <w:rPr>
          <w:rFonts w:hint="eastAsia" w:ascii="宋体" w:hAnsi="宋体" w:cs="宋体"/>
          <w:sz w:val="24"/>
        </w:rPr>
        <w:t>（3）技术、商务、资信及其他分按照评标委员会成员的独立评分结果的算术平均分计算，由指定专人进行计算复核。</w:t>
      </w:r>
    </w:p>
    <w:p w14:paraId="5FEC06E1">
      <w:pPr>
        <w:snapToGrid w:val="0"/>
        <w:spacing w:line="360" w:lineRule="auto"/>
        <w:ind w:firstLine="240" w:firstLineChars="100"/>
        <w:rPr>
          <w:rFonts w:hint="eastAsia" w:ascii="宋体" w:hAnsi="宋体" w:cs="宋体"/>
          <w:sz w:val="24"/>
        </w:rPr>
      </w:pPr>
      <w:r>
        <w:rPr>
          <w:rFonts w:hint="eastAsia" w:ascii="宋体" w:hAnsi="宋体" w:cs="宋体"/>
          <w:sz w:val="24"/>
        </w:rPr>
        <w:t>（4）招标方工作人员协助评标委员会审核投标报价有无计算错误，并根据本项目的评分标准计算各投标人的报价得分。</w:t>
      </w:r>
    </w:p>
    <w:p w14:paraId="364F9F4F">
      <w:pPr>
        <w:snapToGrid w:val="0"/>
        <w:spacing w:line="360" w:lineRule="auto"/>
        <w:ind w:firstLine="240" w:firstLineChars="100"/>
        <w:rPr>
          <w:rFonts w:hint="eastAsia" w:ascii="宋体" w:hAnsi="宋体" w:cs="宋体"/>
          <w:sz w:val="24"/>
        </w:rPr>
      </w:pPr>
      <w:r>
        <w:rPr>
          <w:rFonts w:hint="eastAsia" w:ascii="宋体" w:hAnsi="宋体" w:cs="宋体"/>
          <w:sz w:val="24"/>
        </w:rPr>
        <w:t>（5）评标委员会完成评标后,招标方工作人员对各部分得分汇总,计算出本项目最终得分。评标委员会按评标原则推荐中标候选人并起草评标报告。</w:t>
      </w:r>
    </w:p>
    <w:p w14:paraId="65F2A284">
      <w:pPr>
        <w:snapToGrid w:val="0"/>
        <w:spacing w:line="360" w:lineRule="auto"/>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（四）澄清问题的形式</w:t>
      </w:r>
    </w:p>
    <w:p w14:paraId="37AA345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240314D">
      <w:pPr>
        <w:snapToGrid w:val="0"/>
        <w:spacing w:line="360" w:lineRule="auto"/>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（五）错误修正</w:t>
      </w:r>
    </w:p>
    <w:p w14:paraId="6771E8F2">
      <w:pPr>
        <w:snapToGrid w:val="0"/>
        <w:spacing w:line="360" w:lineRule="auto"/>
        <w:ind w:left="719" w:leftChars="228" w:hanging="240" w:hangingChars="100"/>
        <w:rPr>
          <w:rFonts w:hint="eastAsia"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62B857C2">
      <w:pPr>
        <w:numPr>
          <w:ilvl w:val="0"/>
          <w:numId w:val="0"/>
        </w:numPr>
        <w:snapToGrid w:val="0"/>
        <w:spacing w:line="360" w:lineRule="auto"/>
        <w:ind w:firstLine="480" w:firstLineChars="200"/>
        <w:rPr>
          <w:rFonts w:hint="eastAsia" w:ascii="宋体" w:hAnsi="宋体" w:cs="宋体"/>
          <w:b w:val="0"/>
          <w:bCs/>
          <w:sz w:val="24"/>
        </w:rPr>
      </w:pPr>
      <w:r>
        <w:rPr>
          <w:rFonts w:hint="eastAsia" w:ascii="宋体" w:hAnsi="宋体" w:eastAsia="宋体" w:cs="宋体"/>
          <w:b w:val="0"/>
          <w:bCs/>
          <w:sz w:val="24"/>
          <w:lang w:val="en-US" w:eastAsia="zh-CN"/>
        </w:rPr>
        <w:t>1.</w:t>
      </w:r>
      <w:r>
        <w:rPr>
          <w:rFonts w:hint="eastAsia" w:ascii="宋体" w:hAnsi="宋体" w:eastAsia="宋体" w:cs="宋体"/>
          <w:b w:val="0"/>
          <w:bCs/>
          <w:sz w:val="24"/>
        </w:rPr>
        <w:t>投</w:t>
      </w:r>
      <w:r>
        <w:rPr>
          <w:rFonts w:hint="eastAsia" w:ascii="Times New Roman" w:hAnsi="Times New Roman" w:eastAsia="宋体" w:cs="Times New Roman"/>
          <w:b w:val="0"/>
          <w:bCs/>
          <w:sz w:val="24"/>
        </w:rPr>
        <w:t>标文件中开标一览</w:t>
      </w:r>
      <w:r>
        <w:rPr>
          <w:rFonts w:hint="eastAsia" w:ascii="宋体" w:hAnsi="宋体" w:cs="宋体"/>
          <w:b w:val="0"/>
          <w:bCs/>
          <w:sz w:val="24"/>
        </w:rPr>
        <w:t>表（报价表）内容与与投标文件中相应内容不一致的，以开标一览表（报价表）为准；</w:t>
      </w:r>
    </w:p>
    <w:p w14:paraId="6D5BC81D">
      <w:pPr>
        <w:tabs>
          <w:tab w:val="left" w:pos="630"/>
        </w:tabs>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投标文件</w:t>
      </w:r>
      <w:r>
        <w:rPr>
          <w:rFonts w:hint="eastAsia" w:ascii="宋体" w:hAnsi="宋体" w:cs="宋体"/>
          <w:bCs/>
          <w:color w:val="auto"/>
          <w:sz w:val="24"/>
          <w:highlight w:val="none"/>
        </w:rPr>
        <w:t>大写金额和小写金额不一致的，以大写金额为准；</w:t>
      </w:r>
    </w:p>
    <w:p w14:paraId="660FDBD7">
      <w:pPr>
        <w:tabs>
          <w:tab w:val="left" w:pos="630"/>
        </w:tabs>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w:t>
      </w:r>
      <w:r>
        <w:rPr>
          <w:rFonts w:hint="eastAsia" w:ascii="宋体" w:hAnsi="宋体" w:cs="宋体"/>
          <w:bCs/>
          <w:color w:val="auto"/>
          <w:spacing w:val="-6"/>
          <w:sz w:val="24"/>
          <w:highlight w:val="none"/>
        </w:rPr>
        <w:t>单价金额小数点或者百分比有明显错位的，以开标一览表的总价为准，并修改单价</w:t>
      </w:r>
      <w:r>
        <w:rPr>
          <w:rFonts w:hint="eastAsia" w:ascii="宋体" w:hAnsi="宋体" w:cs="宋体"/>
          <w:bCs/>
          <w:color w:val="auto"/>
          <w:sz w:val="24"/>
          <w:highlight w:val="none"/>
        </w:rPr>
        <w:t>；</w:t>
      </w:r>
    </w:p>
    <w:p w14:paraId="0356F6B6">
      <w:pPr>
        <w:tabs>
          <w:tab w:val="left" w:pos="630"/>
        </w:tabs>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.总价金额与按单价汇总金额不一致的，以单价金额计算结果为准；</w:t>
      </w:r>
    </w:p>
    <w:p w14:paraId="4E02298C">
      <w:pPr>
        <w:tabs>
          <w:tab w:val="left" w:pos="630"/>
        </w:tabs>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.对不同文字文本投标文件的解释发生异议的，以中文文本为准。</w:t>
      </w:r>
    </w:p>
    <w:p w14:paraId="2D2113ED">
      <w:pPr>
        <w:tabs>
          <w:tab w:val="left" w:pos="630"/>
        </w:tabs>
        <w:snapToGrid w:val="0"/>
        <w:spacing w:line="360" w:lineRule="auto"/>
        <w:ind w:firstLine="472" w:firstLineChars="196"/>
        <w:rPr>
          <w:rFonts w:ascii="宋体" w:hAnsi="宋体" w:cs="宋体"/>
          <w:b/>
          <w:bCs w:val="0"/>
          <w:color w:val="auto"/>
          <w:sz w:val="24"/>
          <w:highlight w:val="none"/>
        </w:rPr>
      </w:pPr>
      <w:r>
        <w:rPr>
          <w:rFonts w:hint="eastAsia" w:ascii="宋体" w:hAnsi="宋体" w:cs="宋体"/>
          <w:b/>
          <w:bCs w:val="0"/>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305E007">
      <w:pPr>
        <w:tabs>
          <w:tab w:val="left" w:pos="630"/>
        </w:tabs>
        <w:snapToGrid w:val="0"/>
        <w:spacing w:afterAutospacing="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（六）评标原则和评标办法</w:t>
      </w:r>
    </w:p>
    <w:p w14:paraId="56E34B84">
      <w:pPr>
        <w:tabs>
          <w:tab w:val="left" w:pos="2175"/>
        </w:tabs>
        <w:snapToGrid w:val="0"/>
        <w:spacing w:beforeAutospacing="0" w:afterAutospacing="0" w:line="360" w:lineRule="auto"/>
        <w:ind w:firstLine="480"/>
        <w:rPr>
          <w:rFonts w:hint="eastAsia"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403819">
      <w:pPr>
        <w:tabs>
          <w:tab w:val="left" w:pos="2175"/>
        </w:tabs>
        <w:snapToGrid w:val="0"/>
        <w:spacing w:beforeAutospacing="0" w:after="120" w:line="360" w:lineRule="auto"/>
        <w:ind w:firstLine="480"/>
        <w:rPr>
          <w:rFonts w:hint="eastAsia" w:ascii="宋体" w:hAnsi="宋体" w:cs="宋体"/>
          <w:sz w:val="24"/>
          <w:highlight w:val="none"/>
        </w:rPr>
      </w:pPr>
      <w:r>
        <w:rPr>
          <w:rFonts w:hint="eastAsia" w:ascii="宋体" w:hAnsi="宋体" w:cs="宋体"/>
          <w:sz w:val="24"/>
          <w:highlight w:val="none"/>
        </w:rPr>
        <w:t>2.评标办法。采用</w:t>
      </w:r>
      <w:r>
        <w:rPr>
          <w:rFonts w:hint="eastAsia" w:ascii="宋体" w:hAnsi="宋体" w:cs="宋体"/>
          <w:sz w:val="24"/>
          <w:highlight w:val="none"/>
          <w:u w:val="single"/>
        </w:rPr>
        <w:t xml:space="preserve"> 综合评分法 </w:t>
      </w:r>
      <w:r>
        <w:rPr>
          <w:rFonts w:hint="eastAsia" w:ascii="宋体" w:hAnsi="宋体" w:cs="宋体"/>
          <w:sz w:val="24"/>
          <w:highlight w:val="none"/>
        </w:rPr>
        <w:t>，具体评标内容及评分标准等详见《第四章：评标办法及评分标准》。</w:t>
      </w:r>
    </w:p>
    <w:p w14:paraId="7192F3D4">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（七）评标过程的监控</w:t>
      </w:r>
    </w:p>
    <w:p w14:paraId="41D5C0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36E620A7">
      <w:pPr>
        <w:snapToGrid w:val="0"/>
        <w:spacing w:line="360" w:lineRule="auto"/>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六、定标</w:t>
      </w:r>
    </w:p>
    <w:p w14:paraId="2C8A79B7">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（一）确定中标人。本项目由采购人授权评标委员会确定中标人。</w:t>
      </w:r>
    </w:p>
    <w:p w14:paraId="73412886">
      <w:pPr>
        <w:spacing w:line="360" w:lineRule="auto"/>
        <w:ind w:left="-178" w:leftChars="-85" w:firstLine="588" w:firstLineChars="245"/>
        <w:rPr>
          <w:rFonts w:ascii="宋体" w:hAnsi="宋体" w:cs="宋体"/>
          <w:bCs/>
          <w:color w:val="auto"/>
          <w:sz w:val="24"/>
          <w:highlight w:val="none"/>
        </w:rPr>
      </w:pPr>
      <w:r>
        <w:rPr>
          <w:rFonts w:hint="eastAsia" w:ascii="宋体" w:hAnsi="宋体" w:cs="宋体"/>
          <w:bCs/>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9F042B4">
      <w:pPr>
        <w:spacing w:line="360" w:lineRule="auto"/>
        <w:ind w:left="-178" w:leftChars="-85" w:firstLine="588" w:firstLineChars="2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（1）排名第一的候选供应商，因自身原因放弃中标成交或因不可抗力不能履行合同的；</w:t>
      </w:r>
    </w:p>
    <w:p w14:paraId="6F002B21">
      <w:pPr>
        <w:spacing w:line="360" w:lineRule="auto"/>
        <w:ind w:left="-178" w:leftChars="-85" w:firstLine="588" w:firstLineChars="2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（2）经质疑，采购组织机构审查确认因排名第一的候选供应商在本次采购活动中存在违法违规行为或其他原因使质疑成立的</w:t>
      </w:r>
    </w:p>
    <w:p w14:paraId="5E43D5E5">
      <w:pPr>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rPr>
        <w:t>2.采购人应当自收到评审报告之日起5个工作日内在评审报告推荐的中标或者成交</w:t>
      </w:r>
      <w:r>
        <w:rPr>
          <w:rFonts w:hint="eastAsia" w:ascii="宋体" w:hAnsi="宋体" w:eastAsia="宋体" w:cs="宋体"/>
          <w:bCs/>
          <w:color w:val="auto"/>
          <w:sz w:val="24"/>
          <w:highlight w:val="none"/>
        </w:rPr>
        <w:t>候选人中按顺序确定中标或者成交供应商。如有投标人对评标结果提出质疑的，采购人可在质疑处理完毕后确定中标人。</w:t>
      </w:r>
    </w:p>
    <w:p w14:paraId="3350CB66">
      <w:pPr>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3.采购人或者采购代理机构应当自中标、成交供应商确定之日起2个工作日内，发出中标、成交通知书，并在</w:t>
      </w:r>
      <w:r>
        <w:rPr>
          <w:rFonts w:hint="eastAsia" w:ascii="宋体" w:hAnsi="宋体" w:cs="宋体"/>
          <w:bCs/>
          <w:color w:val="auto"/>
          <w:sz w:val="24"/>
          <w:highlight w:val="none"/>
          <w:lang w:val="en-US" w:eastAsia="zh-CN"/>
        </w:rPr>
        <w:t>相关网站上</w:t>
      </w:r>
      <w:r>
        <w:rPr>
          <w:rFonts w:hint="eastAsia" w:ascii="宋体" w:hAnsi="宋体" w:eastAsia="宋体" w:cs="宋体"/>
          <w:bCs/>
          <w:color w:val="auto"/>
          <w:sz w:val="24"/>
          <w:highlight w:val="none"/>
        </w:rPr>
        <w:t>公告中标、成交结果。</w:t>
      </w:r>
    </w:p>
    <w:p w14:paraId="1138E465">
      <w:pPr>
        <w:keepLines w:val="0"/>
        <w:pageBreakBefore w:val="0"/>
        <w:kinsoku/>
        <w:wordWrap/>
        <w:overflowPunct/>
        <w:topLinePunct w:val="0"/>
        <w:autoSpaceDE/>
        <w:autoSpaceDN/>
        <w:bidi w:val="0"/>
        <w:spacing w:line="360" w:lineRule="auto"/>
        <w:ind w:left="0" w:leftChars="0" w:firstLine="482"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
          <w:bCs w:val="0"/>
          <w:color w:val="auto"/>
          <w:sz w:val="24"/>
          <w:highlight w:val="none"/>
          <w:lang w:val="en-US" w:eastAsia="zh-CN"/>
        </w:rPr>
        <w:t>4.本项目标的分三个</w:t>
      </w:r>
      <w:r>
        <w:rPr>
          <w:rFonts w:hint="eastAsia" w:ascii="宋体" w:hAnsi="宋体" w:cs="宋体"/>
          <w:b/>
          <w:bCs w:val="0"/>
          <w:color w:val="auto"/>
          <w:sz w:val="24"/>
          <w:highlight w:val="none"/>
          <w:lang w:val="en-US" w:eastAsia="zh-CN"/>
        </w:rPr>
        <w:t>标段</w:t>
      </w:r>
      <w:r>
        <w:rPr>
          <w:rFonts w:hint="eastAsia" w:ascii="宋体" w:hAnsi="宋体" w:eastAsia="宋体" w:cs="宋体"/>
          <w:b/>
          <w:bCs w:val="0"/>
          <w:color w:val="auto"/>
          <w:sz w:val="24"/>
          <w:highlight w:val="none"/>
          <w:lang w:val="en-US" w:eastAsia="zh-CN"/>
        </w:rPr>
        <w:t>，</w:t>
      </w:r>
      <w:r>
        <w:rPr>
          <w:rFonts w:hint="eastAsia" w:ascii="宋体" w:hAnsi="宋体" w:eastAsia="宋体" w:cs="宋体"/>
          <w:b/>
          <w:bCs/>
          <w:color w:val="000000"/>
          <w:sz w:val="24"/>
        </w:rPr>
        <w:t>确定</w:t>
      </w: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rPr>
        <w:t>名中标人（每个标项的中标人不重复）。</w:t>
      </w:r>
      <w:r>
        <w:rPr>
          <w:rFonts w:hint="eastAsia" w:hAnsi="宋体" w:cs="宋体"/>
          <w:b/>
          <w:bCs w:val="0"/>
          <w:color w:val="auto"/>
          <w:spacing w:val="-4"/>
          <w:sz w:val="24"/>
        </w:rPr>
        <w:t>投标人必须参加本项目全部标段的投标，同一投标人只能中一个标段，如果一家投标单位有三个标段排名第一，只中先开标段，后开标段则推荐第二名为中标候选人（依次类推）。开标顺序为先开第一标段、再开第二标段、最后开第三标段。</w:t>
      </w:r>
    </w:p>
    <w:p w14:paraId="2EAFB828">
      <w:pPr>
        <w:snapToGrid w:val="0"/>
        <w:spacing w:line="360" w:lineRule="auto"/>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七、合同授予</w:t>
      </w:r>
    </w:p>
    <w:p w14:paraId="45077801">
      <w:pPr>
        <w:snapToGrid w:val="0"/>
        <w:spacing w:line="360" w:lineRule="auto"/>
        <w:ind w:firstLine="472" w:firstLineChars="196"/>
        <w:rPr>
          <w:rFonts w:ascii="宋体" w:hAnsi="宋体" w:cs="宋体"/>
          <w:b/>
          <w:bCs/>
          <w:color w:val="auto"/>
          <w:sz w:val="24"/>
          <w:szCs w:val="20"/>
          <w:highlight w:val="none"/>
        </w:rPr>
      </w:pPr>
      <w:r>
        <w:rPr>
          <w:rFonts w:hint="eastAsia" w:ascii="宋体" w:hAnsi="宋体" w:cs="宋体"/>
          <w:b/>
          <w:bCs/>
          <w:color w:val="auto"/>
          <w:sz w:val="24"/>
          <w:highlight w:val="none"/>
        </w:rPr>
        <w:t>（一）签订合同</w:t>
      </w:r>
    </w:p>
    <w:p w14:paraId="0C715F7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1.采购人与中标人应当在《中标通知书》发出之日起</w:t>
      </w:r>
      <w:r>
        <w:rPr>
          <w:rFonts w:hint="eastAsia" w:ascii="宋体" w:hAnsi="宋体" w:cs="宋体"/>
          <w:color w:val="auto"/>
          <w:sz w:val="24"/>
          <w:highlight w:val="none"/>
          <w:u w:val="single"/>
        </w:rPr>
        <w:t>20</w:t>
      </w:r>
      <w:r>
        <w:rPr>
          <w:rFonts w:hint="eastAsia" w:ascii="宋体" w:hAnsi="宋体" w:cs="宋体"/>
          <w:color w:val="auto"/>
          <w:sz w:val="24"/>
          <w:highlight w:val="none"/>
        </w:rPr>
        <w:t>日内签订政府采购合同。同时，采购代理机构对合同内容进行审查，如发现与采购结果和投标承诺内容不一致的，应予以纠正。</w:t>
      </w:r>
    </w:p>
    <w:p w14:paraId="0165821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2.中标人拖延、拒签合同的,将被取消中标资格,并按有关规定报有关部门处罚。</w:t>
      </w:r>
    </w:p>
    <w:p w14:paraId="031AB0C4">
      <w:pPr>
        <w:snapToGrid w:val="0"/>
        <w:spacing w:before="120" w:after="120" w:line="36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（二）履约保证金</w:t>
      </w:r>
    </w:p>
    <w:p w14:paraId="7234CBB4">
      <w:pPr>
        <w:snapToGrid w:val="0"/>
        <w:spacing w:before="120" w:after="120" w:line="360" w:lineRule="exact"/>
        <w:ind w:firstLine="710" w:firstLineChars="296"/>
        <w:rPr>
          <w:rFonts w:ascii="宋体" w:hAnsi="宋体" w:cs="宋体"/>
          <w:bCs/>
          <w:color w:val="auto"/>
          <w:sz w:val="24"/>
          <w:highlight w:val="none"/>
        </w:rPr>
      </w:pPr>
      <w:r>
        <w:rPr>
          <w:rFonts w:hint="eastAsia" w:ascii="宋体" w:hAnsi="宋体" w:eastAsia="宋体" w:cs="宋体"/>
          <w:color w:val="auto"/>
          <w:sz w:val="24"/>
        </w:rPr>
        <w:t>本项目不收取履约保证</w:t>
      </w:r>
      <w:r>
        <w:rPr>
          <w:rFonts w:hint="eastAsia" w:ascii="宋体" w:hAnsi="宋体" w:cs="宋体"/>
          <w:color w:val="auto"/>
          <w:sz w:val="24"/>
        </w:rPr>
        <w:t>金</w:t>
      </w:r>
      <w:r>
        <w:rPr>
          <w:rFonts w:hint="eastAsia" w:ascii="宋体" w:hAnsi="宋体" w:cs="宋体"/>
          <w:bCs/>
          <w:color w:val="auto"/>
          <w:sz w:val="24"/>
          <w:highlight w:val="none"/>
        </w:rPr>
        <w:t>。</w:t>
      </w:r>
    </w:p>
    <w:p w14:paraId="7F181CFF">
      <w:pPr>
        <w:pStyle w:val="2"/>
        <w:adjustRightInd w:val="0"/>
        <w:spacing w:before="120" w:after="120" w:line="360" w:lineRule="exact"/>
        <w:ind w:firstLine="562" w:firstLineChars="200"/>
        <w:contextualSpacing/>
        <w:rPr>
          <w:rFonts w:hAnsi="宋体" w:cs="宋体"/>
          <w:b/>
          <w:color w:val="auto"/>
          <w:highlight w:val="none"/>
        </w:rPr>
      </w:pPr>
      <w:r>
        <w:rPr>
          <w:rFonts w:hint="eastAsia" w:ascii="宋体" w:hAnsi="宋体" w:eastAsia="宋体" w:cs="宋体"/>
          <w:b/>
          <w:color w:val="auto"/>
          <w:kern w:val="2"/>
          <w:sz w:val="28"/>
          <w:szCs w:val="28"/>
          <w:highlight w:val="none"/>
          <w:lang w:val="en-US" w:eastAsia="zh-CN" w:bidi="ar-SA"/>
        </w:rPr>
        <w:t>八、公共资源交易领域涉黑涉恶举报</w:t>
      </w:r>
    </w:p>
    <w:p w14:paraId="04EEC2F5">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2922CBE">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市扫黑办 ：0579-86655381              市公安局 ：110、0579-86096000</w:t>
      </w:r>
    </w:p>
    <w:p w14:paraId="0E13F14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市检察院 : 0579-86642000              市 法 院 ：0579-86620148</w:t>
      </w:r>
    </w:p>
    <w:p w14:paraId="639E3EB4">
      <w:pPr>
        <w:adjustRightInd w:val="0"/>
        <w:spacing w:line="360" w:lineRule="auto"/>
        <w:ind w:firstLine="480" w:firstLineChars="200"/>
        <w:rPr>
          <w:rFonts w:hint="eastAsia" w:hAnsi="宋体" w:cs="宋体"/>
          <w:b/>
          <w:bCs/>
          <w:color w:val="auto"/>
          <w:sz w:val="32"/>
          <w:szCs w:val="32"/>
          <w:highlight w:val="none"/>
        </w:rPr>
      </w:pPr>
      <w:r>
        <w:rPr>
          <w:rFonts w:hint="eastAsia" w:ascii="宋体" w:hAnsi="宋体" w:cs="宋体"/>
          <w:color w:val="auto"/>
          <w:sz w:val="24"/>
          <w:highlight w:val="none"/>
        </w:rPr>
        <w:t xml:space="preserve">市公共资源办:0579-86691835            市公共资源交易中心:0579-86691729 </w:t>
      </w:r>
    </w:p>
    <w:p w14:paraId="434BD052">
      <w:pPr>
        <w:pStyle w:val="9"/>
        <w:ind w:left="0" w:leftChars="0" w:firstLine="0" w:firstLineChars="0"/>
        <w:rPr>
          <w:rFonts w:hint="eastAsia"/>
        </w:rPr>
      </w:pPr>
    </w:p>
    <w:p w14:paraId="52C95D4D">
      <w:pPr>
        <w:pStyle w:val="2"/>
        <w:snapToGrid w:val="0"/>
        <w:spacing w:beforeLines="0" w:after="120" w:line="240" w:lineRule="auto"/>
        <w:ind w:firstLine="2249" w:firstLineChars="700"/>
        <w:jc w:val="both"/>
        <w:rPr>
          <w:rFonts w:hAnsi="宋体" w:cs="宋体"/>
          <w:b/>
          <w:bCs/>
          <w:color w:val="auto"/>
          <w:sz w:val="32"/>
          <w:szCs w:val="32"/>
          <w:highlight w:val="none"/>
        </w:rPr>
      </w:pPr>
      <w:r>
        <w:rPr>
          <w:rFonts w:hint="eastAsia" w:hAnsi="宋体" w:cs="宋体"/>
          <w:b/>
          <w:bCs/>
          <w:color w:val="auto"/>
          <w:sz w:val="32"/>
          <w:szCs w:val="32"/>
          <w:highlight w:val="none"/>
        </w:rPr>
        <w:t>第四章  评标办法及评分标准</w:t>
      </w:r>
    </w:p>
    <w:p w14:paraId="13DF7964">
      <w:pPr>
        <w:keepNext w:val="0"/>
        <w:keepLines w:val="0"/>
        <w:pageBreakBefore w:val="0"/>
        <w:widowControl w:val="0"/>
        <w:kinsoku/>
        <w:wordWrap/>
        <w:overflowPunct/>
        <w:topLinePunct w:val="0"/>
        <w:autoSpaceDE/>
        <w:autoSpaceDN/>
        <w:bidi w:val="0"/>
        <w:adjustRightInd/>
        <w:snapToGrid/>
        <w:spacing w:before="120" w:beforeLines="50" w:afterAutospacing="0" w:line="52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4B8BFDC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val="en-US" w:eastAsia="zh-CN"/>
        </w:rPr>
        <w:t>东阳市</w:t>
      </w:r>
      <w:bookmarkStart w:id="8" w:name="_GoBack"/>
      <w:bookmarkEnd w:id="8"/>
      <w:r>
        <w:rPr>
          <w:rFonts w:hint="eastAsia" w:ascii="宋体" w:hAnsi="宋体" w:cs="宋体"/>
          <w:color w:val="auto"/>
          <w:sz w:val="24"/>
          <w:highlight w:val="none"/>
          <w:lang w:eastAsia="zh-CN"/>
        </w:rPr>
        <w:t>2025年度新建房屋白蚁防治服务</w:t>
      </w:r>
      <w:r>
        <w:rPr>
          <w:rFonts w:hint="eastAsia" w:ascii="宋体" w:hAnsi="宋体" w:cs="宋体"/>
          <w:color w:val="auto"/>
          <w:sz w:val="24"/>
          <w:highlight w:val="none"/>
          <w:lang w:val="en-US" w:eastAsia="zh-CN"/>
        </w:rPr>
        <w:t>1-3标段</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的评标。</w:t>
      </w:r>
    </w:p>
    <w:p w14:paraId="67E7BA21">
      <w:pPr>
        <w:keepNext w:val="0"/>
        <w:keepLines w:val="0"/>
        <w:pageBreakBefore w:val="0"/>
        <w:widowControl w:val="0"/>
        <w:kinsoku/>
        <w:wordWrap/>
        <w:overflowPunct/>
        <w:topLinePunct w:val="0"/>
        <w:autoSpaceDE/>
        <w:autoSpaceDN/>
        <w:bidi w:val="0"/>
        <w:adjustRightInd/>
        <w:snapToGrid/>
        <w:spacing w:beforeAutospacing="0" w:after="120" w:afterLines="50" w:line="520" w:lineRule="exact"/>
        <w:ind w:firstLine="551" w:firstLineChars="196"/>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14:paraId="430AB9B2">
      <w:pPr>
        <w:spacing w:before="120" w:beforeLines="50" w:afterAutospacing="0" w:line="360" w:lineRule="auto"/>
        <w:ind w:firstLine="480" w:firstLineChars="200"/>
        <w:rPr>
          <w:rFonts w:hint="eastAsia" w:ascii="宋体" w:hAnsi="宋体"/>
          <w:color w:val="000000"/>
          <w:sz w:val="24"/>
        </w:rPr>
      </w:pPr>
      <w:r>
        <w:rPr>
          <w:rFonts w:hint="eastAsia" w:hAnsi="宋体" w:cs="宋体"/>
          <w:color w:val="auto"/>
          <w:spacing w:val="0"/>
          <w:sz w:val="24"/>
          <w:szCs w:val="24"/>
          <w:highlight w:val="none"/>
        </w:rPr>
        <w:t>1、</w:t>
      </w:r>
      <w:r>
        <w:rPr>
          <w:rFonts w:hint="eastAsia" w:ascii="宋体" w:hAnsi="宋体"/>
          <w:color w:val="000000"/>
          <w:sz w:val="24"/>
        </w:rPr>
        <w:t>本次评标采用综合评分法，总分为100分，其中价格分</w:t>
      </w:r>
      <w:r>
        <w:rPr>
          <w:rFonts w:hint="eastAsia" w:ascii="宋体" w:hAnsi="宋体"/>
          <w:color w:val="000000"/>
          <w:sz w:val="24"/>
          <w:lang w:val="en-US" w:eastAsia="zh-CN"/>
        </w:rPr>
        <w:t>30</w:t>
      </w:r>
      <w:r>
        <w:rPr>
          <w:rFonts w:hint="eastAsia" w:ascii="宋体" w:hAnsi="宋体"/>
          <w:color w:val="000000"/>
          <w:sz w:val="24"/>
        </w:rPr>
        <w:t>分、技术、商务及其他分共</w:t>
      </w:r>
      <w:r>
        <w:rPr>
          <w:rFonts w:hint="eastAsia" w:ascii="宋体" w:hAnsi="宋体"/>
          <w:color w:val="000000"/>
          <w:sz w:val="24"/>
          <w:lang w:val="en-US" w:eastAsia="zh-CN"/>
        </w:rPr>
        <w:t>70</w:t>
      </w:r>
      <w:r>
        <w:rPr>
          <w:rFonts w:hint="eastAsia" w:ascii="宋体" w:hAnsi="宋体"/>
          <w:color w:val="000000"/>
          <w:sz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r>
        <w:rPr>
          <w:rFonts w:hint="eastAsia" w:ascii="宋体" w:hAnsi="宋体"/>
          <w:b/>
          <w:bCs/>
          <w:color w:val="000000"/>
          <w:sz w:val="24"/>
        </w:rPr>
        <w:t>注：</w:t>
      </w:r>
      <w:r>
        <w:rPr>
          <w:rFonts w:hint="eastAsia" w:ascii="宋体" w:hAnsi="宋体"/>
          <w:color w:val="000000"/>
          <w:sz w:val="24"/>
        </w:rPr>
        <w:t>本项目共设三个标段，投标人必须参加本项目全部标段的投标，同一投标人只能中一个标段，如果一家投标单位有三个标段排名第一，只中先开标段，后开标段则推荐第二名为中标候选人（依次类推）。开标顺序为先开第一标段再开第二标段最后开第三标段。</w:t>
      </w:r>
    </w:p>
    <w:p w14:paraId="41CF528C">
      <w:pPr>
        <w:spacing w:beforeAutospacing="0" w:afterAutospacing="0" w:line="360" w:lineRule="auto"/>
        <w:ind w:firstLine="480" w:firstLineChars="200"/>
        <w:rPr>
          <w:rFonts w:hint="eastAsia" w:hAnsi="宋体" w:cs="宋体"/>
          <w:color w:val="auto"/>
          <w:spacing w:val="0"/>
          <w:sz w:val="24"/>
          <w:szCs w:val="24"/>
          <w:highlight w:val="none"/>
        </w:rPr>
      </w:pPr>
      <w:r>
        <w:rPr>
          <w:rFonts w:hint="eastAsia" w:hAnsi="宋体" w:cs="宋体"/>
          <w:color w:val="auto"/>
          <w:spacing w:val="0"/>
          <w:sz w:val="24"/>
          <w:szCs w:val="24"/>
          <w:highlight w:val="none"/>
        </w:rPr>
        <w:t>投标人评标综合得分=价格分+(技术分+商务分+资信及其他分)</w:t>
      </w:r>
    </w:p>
    <w:p w14:paraId="35796FDC">
      <w:pPr>
        <w:spacing w:beforeAutospacing="0" w:after="120" w:afterLines="50"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p w14:paraId="0D17E61A">
      <w:pPr>
        <w:pStyle w:val="11"/>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66" w:firstLineChars="200"/>
        <w:textAlignment w:val="auto"/>
        <w:rPr>
          <w:rFonts w:hAnsi="宋体" w:cs="宋体"/>
          <w:b/>
          <w:bCs/>
          <w:color w:val="auto"/>
          <w:sz w:val="24"/>
          <w:highlight w:val="none"/>
        </w:rPr>
      </w:pPr>
      <w:r>
        <w:rPr>
          <w:rFonts w:hint="eastAsia" w:hAnsi="宋体" w:cs="宋体"/>
          <w:b/>
          <w:color w:val="auto"/>
          <w:sz w:val="24"/>
          <w:highlight w:val="none"/>
        </w:rPr>
        <w:t>（一）</w:t>
      </w:r>
      <w:r>
        <w:rPr>
          <w:rFonts w:hint="eastAsia" w:hAnsi="宋体" w:cs="宋体"/>
          <w:b/>
          <w:bCs/>
          <w:color w:val="auto"/>
          <w:sz w:val="24"/>
          <w:highlight w:val="none"/>
        </w:rPr>
        <w:t>价格分（</w:t>
      </w:r>
      <w:r>
        <w:rPr>
          <w:rFonts w:hint="eastAsia" w:hAnsi="宋体" w:cs="宋体"/>
          <w:b/>
          <w:bCs/>
          <w:color w:val="auto"/>
          <w:sz w:val="24"/>
          <w:highlight w:val="none"/>
          <w:lang w:val="en-US" w:eastAsia="zh-CN"/>
        </w:rPr>
        <w:t>30</w:t>
      </w:r>
      <w:r>
        <w:rPr>
          <w:rFonts w:hint="eastAsia" w:hAnsi="宋体" w:cs="宋体"/>
          <w:b/>
          <w:bCs/>
          <w:color w:val="auto"/>
          <w:sz w:val="24"/>
          <w:highlight w:val="none"/>
        </w:rPr>
        <w:t>分）</w:t>
      </w:r>
    </w:p>
    <w:p w14:paraId="1E2C221E">
      <w:pPr>
        <w:pStyle w:val="11"/>
        <w:keepNext w:val="0"/>
        <w:keepLines w:val="0"/>
        <w:pageBreakBefore w:val="0"/>
        <w:widowControl w:val="0"/>
        <w:kinsoku/>
        <w:wordWrap/>
        <w:overflowPunct/>
        <w:topLinePunct w:val="0"/>
        <w:autoSpaceDE/>
        <w:autoSpaceDN/>
        <w:bidi w:val="0"/>
        <w:adjustRightInd/>
        <w:snapToGrid/>
        <w:spacing w:line="520" w:lineRule="exact"/>
        <w:ind w:firstLine="454" w:firstLineChars="196"/>
        <w:textAlignment w:val="auto"/>
        <w:rPr>
          <w:rFonts w:hAnsi="宋体" w:cs="宋体"/>
          <w:bCs/>
          <w:color w:val="auto"/>
          <w:sz w:val="24"/>
          <w:highlight w:val="none"/>
        </w:rPr>
      </w:pPr>
      <w:r>
        <w:rPr>
          <w:rFonts w:hint="eastAsia" w:hAnsi="宋体" w:cs="宋体"/>
          <w:color w:val="auto"/>
          <w:sz w:val="24"/>
          <w:highlight w:val="none"/>
        </w:rPr>
        <w:t>价格分采用低价优先法计算，取所有技术、资信商务得分入围投标人中，投标价格最低的投标报价为评标基准价</w:t>
      </w:r>
      <w:r>
        <w:rPr>
          <w:rFonts w:hint="eastAsia" w:hAnsi="宋体" w:cs="宋体"/>
          <w:bCs/>
          <w:color w:val="auto"/>
          <w:sz w:val="24"/>
          <w:highlight w:val="none"/>
        </w:rPr>
        <w:t>，其他投标人的价格分按照下列公式计算：</w:t>
      </w:r>
    </w:p>
    <w:p w14:paraId="30A25128">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hAnsi="宋体" w:eastAsia="宋体" w:cs="宋体"/>
          <w:bCs/>
          <w:color w:val="auto"/>
          <w:sz w:val="24"/>
          <w:highlight w:val="none"/>
          <w:lang w:val="en-US" w:eastAsia="zh-CN"/>
        </w:rPr>
      </w:pPr>
      <w:r>
        <w:rPr>
          <w:rFonts w:hint="eastAsia" w:hAnsi="宋体" w:cs="宋体"/>
          <w:bCs/>
          <w:color w:val="auto"/>
          <w:sz w:val="24"/>
          <w:highlight w:val="none"/>
        </w:rPr>
        <w:t>价格分=评标基准价/投标报价×</w:t>
      </w:r>
      <w:r>
        <w:rPr>
          <w:rFonts w:hint="eastAsia" w:hAnsi="宋体" w:cs="宋体"/>
          <w:bCs/>
          <w:color w:val="auto"/>
          <w:sz w:val="24"/>
          <w:highlight w:val="none"/>
          <w:lang w:val="en-US" w:eastAsia="zh-CN"/>
        </w:rPr>
        <w:t>30</w:t>
      </w:r>
    </w:p>
    <w:p w14:paraId="1C1F709B">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（二）技术分、商务分、资信及其他分，共</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分。</w:t>
      </w:r>
    </w:p>
    <w:p w14:paraId="0648F126">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535B373A">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14:paraId="569579F4">
      <w:pPr>
        <w:keepNext w:val="0"/>
        <w:keepLines w:val="0"/>
        <w:pageBreakBefore w:val="0"/>
        <w:widowControl w:val="0"/>
        <w:tabs>
          <w:tab w:val="left" w:pos="1154"/>
        </w:tabs>
        <w:kinsoku/>
        <w:wordWrap/>
        <w:overflowPunct/>
        <w:topLinePunct w:val="0"/>
        <w:autoSpaceDE/>
        <w:autoSpaceDN/>
        <w:bidi w:val="0"/>
        <w:adjustRightInd/>
        <w:snapToGrid/>
        <w:spacing w:line="42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附件：评分表格式（技术、商务、资信及其他分，共</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w:t>
      </w:r>
    </w:p>
    <w:p w14:paraId="7658A2EF">
      <w:pPr>
        <w:pStyle w:val="9"/>
      </w:pPr>
    </w:p>
    <w:tbl>
      <w:tblPr>
        <w:tblStyle w:val="25"/>
        <w:tblW w:w="10177" w:type="dxa"/>
        <w:tblInd w:w="-56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73"/>
        <w:gridCol w:w="720"/>
        <w:gridCol w:w="236"/>
        <w:gridCol w:w="7294"/>
        <w:gridCol w:w="774"/>
      </w:tblGrid>
      <w:tr w14:paraId="03AB0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0" w:type="dxa"/>
            <w:tcBorders>
              <w:top w:val="single" w:color="auto" w:sz="4" w:space="0"/>
              <w:left w:val="single" w:color="auto" w:sz="4" w:space="0"/>
              <w:bottom w:val="single" w:color="auto" w:sz="4" w:space="0"/>
            </w:tcBorders>
            <w:vAlign w:val="center"/>
          </w:tcPr>
          <w:p w14:paraId="41D197FD">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29" w:type="dxa"/>
            <w:gridSpan w:val="3"/>
            <w:tcBorders>
              <w:top w:val="single" w:color="auto" w:sz="4" w:space="0"/>
              <w:bottom w:val="single" w:color="auto" w:sz="4" w:space="0"/>
            </w:tcBorders>
            <w:vAlign w:val="center"/>
          </w:tcPr>
          <w:p w14:paraId="5BC2553D">
            <w:pPr>
              <w:spacing w:line="340" w:lineRule="exact"/>
              <w:rPr>
                <w:rFonts w:ascii="宋体" w:hAnsi="宋体" w:cs="宋体"/>
                <w:color w:val="auto"/>
                <w:sz w:val="24"/>
                <w:highlight w:val="none"/>
              </w:rPr>
            </w:pPr>
            <w:r>
              <w:rPr>
                <w:rFonts w:hint="eastAsia" w:ascii="宋体" w:hAnsi="宋体" w:cs="宋体"/>
                <w:color w:val="auto"/>
                <w:sz w:val="24"/>
                <w:highlight w:val="none"/>
              </w:rPr>
              <w:t>评分项目</w:t>
            </w:r>
          </w:p>
        </w:tc>
        <w:tc>
          <w:tcPr>
            <w:tcW w:w="7294" w:type="dxa"/>
            <w:tcBorders>
              <w:top w:val="single" w:color="auto" w:sz="4" w:space="0"/>
              <w:bottom w:val="single" w:color="auto" w:sz="4" w:space="0"/>
            </w:tcBorders>
            <w:vAlign w:val="center"/>
          </w:tcPr>
          <w:p w14:paraId="4DF4F40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774" w:type="dxa"/>
            <w:tcBorders>
              <w:top w:val="single" w:color="auto" w:sz="4" w:space="0"/>
              <w:bottom w:val="single" w:color="auto" w:sz="4" w:space="0"/>
              <w:right w:val="single" w:color="auto" w:sz="4" w:space="0"/>
            </w:tcBorders>
          </w:tcPr>
          <w:p w14:paraId="310E75B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分值</w:t>
            </w:r>
          </w:p>
        </w:tc>
      </w:tr>
      <w:tr w14:paraId="6430C8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tcBorders>
              <w:top w:val="single" w:color="auto" w:sz="4" w:space="0"/>
              <w:left w:val="single" w:color="auto" w:sz="4" w:space="0"/>
              <w:bottom w:val="single" w:color="auto" w:sz="4" w:space="0"/>
            </w:tcBorders>
            <w:vAlign w:val="center"/>
          </w:tcPr>
          <w:p w14:paraId="1B341DC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8623" w:type="dxa"/>
            <w:gridSpan w:val="4"/>
            <w:tcBorders>
              <w:top w:val="single" w:color="auto" w:sz="4" w:space="0"/>
              <w:bottom w:val="single" w:color="auto" w:sz="4" w:space="0"/>
            </w:tcBorders>
            <w:vAlign w:val="center"/>
          </w:tcPr>
          <w:p w14:paraId="4BDCEF6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 xml:space="preserve">        技术分</w:t>
            </w:r>
          </w:p>
        </w:tc>
        <w:tc>
          <w:tcPr>
            <w:tcW w:w="774" w:type="dxa"/>
            <w:tcBorders>
              <w:top w:val="single" w:color="auto" w:sz="4" w:space="0"/>
              <w:bottom w:val="single" w:color="auto" w:sz="4" w:space="0"/>
              <w:right w:val="single" w:color="auto" w:sz="4" w:space="0"/>
            </w:tcBorders>
            <w:vAlign w:val="center"/>
          </w:tcPr>
          <w:p w14:paraId="1585A08E">
            <w:pPr>
              <w:spacing w:line="3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58</w:t>
            </w:r>
            <w:r>
              <w:rPr>
                <w:rFonts w:hint="eastAsia" w:ascii="宋体" w:hAnsi="宋体" w:cs="宋体"/>
                <w:color w:val="auto"/>
                <w:sz w:val="24"/>
                <w:highlight w:val="none"/>
              </w:rPr>
              <w:t>分</w:t>
            </w:r>
          </w:p>
        </w:tc>
      </w:tr>
      <w:tr w14:paraId="43958B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0" w:type="dxa"/>
            <w:tcBorders>
              <w:top w:val="single" w:color="auto" w:sz="4" w:space="0"/>
              <w:left w:val="single" w:color="auto" w:sz="4" w:space="0"/>
              <w:bottom w:val="single" w:color="auto" w:sz="4" w:space="0"/>
            </w:tcBorders>
            <w:vAlign w:val="center"/>
          </w:tcPr>
          <w:p w14:paraId="3FF1095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329" w:type="dxa"/>
            <w:gridSpan w:val="3"/>
            <w:tcBorders>
              <w:top w:val="single" w:color="auto" w:sz="4" w:space="0"/>
              <w:bottom w:val="single" w:color="auto" w:sz="4" w:space="0"/>
            </w:tcBorders>
            <w:vAlign w:val="center"/>
          </w:tcPr>
          <w:p w14:paraId="5ED35D65">
            <w:pPr>
              <w:widowControl/>
              <w:spacing w:line="340" w:lineRule="exact"/>
              <w:jc w:val="center"/>
              <w:rPr>
                <w:rFonts w:ascii="宋体" w:hAnsi="宋体" w:cs="宋体"/>
                <w:color w:val="auto"/>
                <w:sz w:val="24"/>
                <w:highlight w:val="none"/>
              </w:rPr>
            </w:pPr>
            <w:r>
              <w:rPr>
                <w:rFonts w:hint="eastAsia" w:ascii="宋体" w:hAnsi="宋体" w:eastAsia="宋体" w:cs="宋体"/>
                <w:i w:val="0"/>
                <w:iCs w:val="0"/>
                <w:color w:val="auto"/>
                <w:sz w:val="24"/>
                <w:szCs w:val="24"/>
                <w:highlight w:val="none"/>
              </w:rPr>
              <w:t>项目理解与分析</w:t>
            </w:r>
          </w:p>
        </w:tc>
        <w:tc>
          <w:tcPr>
            <w:tcW w:w="7294" w:type="dxa"/>
            <w:tcBorders>
              <w:top w:val="single" w:color="auto" w:sz="4" w:space="0"/>
              <w:bottom w:val="single" w:color="auto" w:sz="4" w:space="0"/>
            </w:tcBorders>
            <w:vAlign w:val="center"/>
          </w:tcPr>
          <w:p w14:paraId="51697B13">
            <w:pPr>
              <w:widowControl/>
              <w:spacing w:line="340" w:lineRule="exact"/>
              <w:rPr>
                <w:color w:val="auto"/>
                <w:highlight w:val="none"/>
              </w:rPr>
            </w:pPr>
            <w:r>
              <w:rPr>
                <w:rFonts w:hint="eastAsia" w:ascii="宋体" w:hAnsi="宋体" w:eastAsia="宋体" w:cs="宋体"/>
                <w:i w:val="0"/>
                <w:iCs w:val="0"/>
                <w:color w:val="auto"/>
                <w:sz w:val="24"/>
                <w:szCs w:val="24"/>
                <w:highlight w:val="none"/>
              </w:rPr>
              <w:t>根据供应商对本项目的</w:t>
            </w:r>
            <w:r>
              <w:rPr>
                <w:rFonts w:hint="eastAsia" w:ascii="宋体" w:hAnsi="宋体" w:eastAsia="宋体" w:cs="宋体"/>
                <w:i w:val="0"/>
                <w:iCs w:val="0"/>
                <w:color w:val="auto"/>
                <w:sz w:val="24"/>
                <w:szCs w:val="24"/>
                <w:highlight w:val="none"/>
                <w:lang w:val="zh-CN"/>
              </w:rPr>
              <w:t>背景</w:t>
            </w:r>
            <w:r>
              <w:rPr>
                <w:rFonts w:hint="eastAsia" w:ascii="宋体" w:hAnsi="宋体" w:eastAsia="宋体" w:cs="宋体"/>
                <w:i w:val="0"/>
                <w:iCs w:val="0"/>
                <w:color w:val="auto"/>
                <w:sz w:val="24"/>
                <w:szCs w:val="24"/>
                <w:highlight w:val="none"/>
              </w:rPr>
              <w:t>（0-2）</w:t>
            </w:r>
            <w:r>
              <w:rPr>
                <w:rFonts w:hint="eastAsia" w:ascii="宋体" w:hAnsi="宋体" w:eastAsia="宋体" w:cs="宋体"/>
                <w:i w:val="0"/>
                <w:iCs w:val="0"/>
                <w:color w:val="auto"/>
                <w:sz w:val="24"/>
                <w:szCs w:val="24"/>
                <w:highlight w:val="none"/>
                <w:lang w:val="zh-CN"/>
              </w:rPr>
              <w:t>、现状的</w:t>
            </w:r>
            <w:r>
              <w:rPr>
                <w:rFonts w:hint="eastAsia" w:ascii="宋体" w:hAnsi="宋体" w:eastAsia="宋体" w:cs="宋体"/>
                <w:i w:val="0"/>
                <w:iCs w:val="0"/>
                <w:color w:val="auto"/>
                <w:sz w:val="24"/>
                <w:szCs w:val="24"/>
                <w:highlight w:val="none"/>
              </w:rPr>
              <w:t>认知理解情况（0-2）是否准备、全面等进行评审内容进行评审。</w:t>
            </w:r>
            <w:r>
              <w:rPr>
                <w:rFonts w:hint="eastAsia" w:ascii="宋体" w:hAnsi="宋体" w:eastAsia="宋体" w:cs="宋体"/>
                <w:i w:val="0"/>
                <w:iCs w:val="0"/>
                <w:color w:val="auto"/>
                <w:sz w:val="24"/>
                <w:szCs w:val="24"/>
                <w:highlight w:val="none"/>
                <w:lang w:eastAsia="zh-CN"/>
              </w:rPr>
              <w:t>理解分析</w:t>
            </w:r>
            <w:r>
              <w:rPr>
                <w:rFonts w:hint="eastAsia" w:ascii="宋体" w:hAnsi="宋体" w:eastAsia="宋体" w:cs="宋体"/>
                <w:i w:val="0"/>
                <w:iCs w:val="0"/>
                <w:color w:val="auto"/>
                <w:sz w:val="24"/>
                <w:szCs w:val="24"/>
                <w:highlight w:val="none"/>
                <w:lang w:val="en-US" w:eastAsia="zh-CN"/>
              </w:rPr>
              <w:t>科学合理，可操作性强得4分。上述方案有缺项，每项扣2分，方案不够合理、操作性不强的每项扣0-2分，扣完为止。</w:t>
            </w:r>
          </w:p>
        </w:tc>
        <w:tc>
          <w:tcPr>
            <w:tcW w:w="774" w:type="dxa"/>
            <w:tcBorders>
              <w:top w:val="single" w:color="auto" w:sz="4" w:space="0"/>
              <w:bottom w:val="single" w:color="auto" w:sz="4" w:space="0"/>
              <w:right w:val="single" w:color="auto" w:sz="4" w:space="0"/>
            </w:tcBorders>
            <w:vAlign w:val="center"/>
          </w:tcPr>
          <w:p w14:paraId="4ADEB6FB">
            <w:pPr>
              <w:spacing w:line="3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r>
      <w:tr w14:paraId="26280B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tcBorders>
            <w:vAlign w:val="center"/>
          </w:tcPr>
          <w:p w14:paraId="006F8834">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329" w:type="dxa"/>
            <w:gridSpan w:val="3"/>
            <w:vMerge w:val="restart"/>
            <w:tcBorders>
              <w:top w:val="single" w:color="auto" w:sz="4" w:space="0"/>
              <w:bottom w:val="single" w:color="auto" w:sz="4" w:space="0"/>
            </w:tcBorders>
            <w:vAlign w:val="center"/>
          </w:tcPr>
          <w:p w14:paraId="2F7166DB">
            <w:pPr>
              <w:pStyle w:val="49"/>
              <w:spacing w:line="340" w:lineRule="exact"/>
              <w:jc w:val="both"/>
              <w:rPr>
                <w:rFonts w:hint="eastAsia" w:ascii="宋体" w:hAnsi="宋体" w:cs="宋体"/>
                <w:color w:val="auto"/>
                <w:highlight w:val="none"/>
              </w:rPr>
            </w:pPr>
          </w:p>
          <w:p w14:paraId="2CE7F68D">
            <w:pPr>
              <w:pStyle w:val="49"/>
              <w:spacing w:line="340" w:lineRule="exact"/>
              <w:jc w:val="both"/>
              <w:rPr>
                <w:rFonts w:hint="eastAsia" w:ascii="宋体" w:hAnsi="宋体" w:cs="宋体"/>
                <w:color w:val="auto"/>
                <w:highlight w:val="none"/>
              </w:rPr>
            </w:pPr>
          </w:p>
          <w:p w14:paraId="2636ACEF">
            <w:pPr>
              <w:pStyle w:val="49"/>
              <w:spacing w:line="340" w:lineRule="exact"/>
              <w:jc w:val="both"/>
              <w:rPr>
                <w:rFonts w:hint="eastAsia" w:ascii="宋体" w:hAnsi="宋体" w:cs="宋体"/>
                <w:color w:val="auto"/>
                <w:highlight w:val="none"/>
              </w:rPr>
            </w:pPr>
          </w:p>
          <w:p w14:paraId="7F1ABEF3">
            <w:pPr>
              <w:pStyle w:val="49"/>
              <w:spacing w:line="340" w:lineRule="exact"/>
              <w:jc w:val="both"/>
              <w:rPr>
                <w:rFonts w:hint="eastAsia" w:ascii="宋体" w:hAnsi="宋体" w:cs="宋体"/>
                <w:color w:val="auto"/>
                <w:highlight w:val="none"/>
              </w:rPr>
            </w:pPr>
          </w:p>
          <w:p w14:paraId="13FAB214">
            <w:pPr>
              <w:pStyle w:val="49"/>
              <w:spacing w:line="340" w:lineRule="exact"/>
              <w:jc w:val="both"/>
              <w:rPr>
                <w:rFonts w:hint="eastAsia" w:ascii="宋体" w:hAnsi="宋体" w:cs="宋体"/>
                <w:color w:val="auto"/>
                <w:highlight w:val="none"/>
              </w:rPr>
            </w:pPr>
          </w:p>
          <w:p w14:paraId="4DE25A0C">
            <w:pPr>
              <w:pStyle w:val="49"/>
              <w:spacing w:line="340" w:lineRule="exact"/>
              <w:jc w:val="both"/>
              <w:rPr>
                <w:rFonts w:hint="eastAsia" w:ascii="宋体" w:hAnsi="宋体" w:cs="宋体"/>
                <w:color w:val="auto"/>
                <w:highlight w:val="none"/>
              </w:rPr>
            </w:pPr>
          </w:p>
          <w:p w14:paraId="7B98E0D7">
            <w:pPr>
              <w:pStyle w:val="49"/>
              <w:spacing w:line="340" w:lineRule="exact"/>
              <w:jc w:val="both"/>
              <w:rPr>
                <w:rFonts w:hint="eastAsia" w:ascii="宋体" w:hAnsi="宋体" w:cs="宋体"/>
                <w:color w:val="auto"/>
                <w:highlight w:val="none"/>
              </w:rPr>
            </w:pPr>
          </w:p>
          <w:p w14:paraId="034B3C61">
            <w:pPr>
              <w:pStyle w:val="49"/>
              <w:spacing w:line="340" w:lineRule="exact"/>
              <w:jc w:val="both"/>
              <w:rPr>
                <w:rFonts w:hint="eastAsia" w:ascii="宋体" w:hAnsi="宋体" w:cs="宋体"/>
                <w:color w:val="auto"/>
                <w:highlight w:val="none"/>
              </w:rPr>
            </w:pPr>
          </w:p>
          <w:p w14:paraId="78C6B18D">
            <w:pPr>
              <w:pStyle w:val="49"/>
              <w:spacing w:line="340" w:lineRule="exact"/>
              <w:jc w:val="both"/>
              <w:rPr>
                <w:rFonts w:hint="eastAsia" w:ascii="宋体" w:hAnsi="宋体" w:cs="宋体"/>
                <w:color w:val="auto"/>
                <w:highlight w:val="none"/>
              </w:rPr>
            </w:pPr>
          </w:p>
          <w:p w14:paraId="08FDA3A9">
            <w:pPr>
              <w:pStyle w:val="49"/>
              <w:spacing w:line="340" w:lineRule="exact"/>
              <w:jc w:val="both"/>
              <w:rPr>
                <w:rFonts w:hint="eastAsia" w:ascii="宋体" w:hAnsi="宋体" w:cs="宋体"/>
                <w:color w:val="auto"/>
                <w:highlight w:val="none"/>
              </w:rPr>
            </w:pPr>
          </w:p>
          <w:p w14:paraId="2D250346">
            <w:pPr>
              <w:pStyle w:val="49"/>
              <w:spacing w:line="340" w:lineRule="exact"/>
              <w:jc w:val="both"/>
              <w:rPr>
                <w:rFonts w:ascii="宋体" w:hAnsi="宋体" w:cs="宋体"/>
                <w:color w:val="auto"/>
                <w:highlight w:val="none"/>
              </w:rPr>
            </w:pPr>
            <w:r>
              <w:rPr>
                <w:rFonts w:hint="eastAsia" w:ascii="宋体" w:hAnsi="宋体" w:cs="宋体"/>
                <w:color w:val="auto"/>
                <w:highlight w:val="none"/>
              </w:rPr>
              <w:t xml:space="preserve">实施方案 </w:t>
            </w:r>
          </w:p>
        </w:tc>
        <w:tc>
          <w:tcPr>
            <w:tcW w:w="7294" w:type="dxa"/>
            <w:tcBorders>
              <w:top w:val="single" w:color="auto" w:sz="4" w:space="0"/>
              <w:bottom w:val="single" w:color="auto" w:sz="4" w:space="0"/>
            </w:tcBorders>
            <w:vAlign w:val="center"/>
          </w:tcPr>
          <w:p w14:paraId="08527A30">
            <w:pPr>
              <w:widowControl/>
              <w:spacing w:line="340" w:lineRule="exact"/>
              <w:rPr>
                <w:rFonts w:hint="eastAsia" w:ascii="宋体" w:hAnsi="宋体" w:eastAsia="宋体" w:cs="宋体"/>
                <w:color w:val="auto"/>
                <w:sz w:val="24"/>
                <w:highlight w:val="none"/>
                <w:lang w:eastAsia="zh-CN"/>
              </w:rPr>
            </w:pPr>
            <w:r>
              <w:rPr>
                <w:rFonts w:hint="eastAsia" w:ascii="宋体" w:hAnsi="宋体" w:eastAsia="宋体" w:cs="宋体"/>
                <w:i w:val="0"/>
                <w:iCs w:val="0"/>
                <w:color w:val="auto"/>
                <w:sz w:val="24"/>
                <w:szCs w:val="24"/>
                <w:highlight w:val="none"/>
              </w:rPr>
              <w:t>根据供应商</w:t>
            </w:r>
            <w:r>
              <w:rPr>
                <w:rFonts w:hint="eastAsia" w:ascii="宋体" w:hAnsi="宋体" w:eastAsia="宋体" w:cs="宋体"/>
                <w:i w:val="0"/>
                <w:iCs w:val="0"/>
                <w:color w:val="auto"/>
                <w:sz w:val="24"/>
                <w:szCs w:val="24"/>
                <w:highlight w:val="none"/>
                <w:lang w:val="zh-CN" w:eastAsia="zh-CN"/>
              </w:rPr>
              <w:t>选用的白蚁治理技术的思路</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i w:val="0"/>
                <w:iCs w:val="0"/>
                <w:color w:val="auto"/>
                <w:sz w:val="24"/>
                <w:szCs w:val="24"/>
                <w:highlight w:val="none"/>
              </w:rPr>
              <w:t>、关键技术</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i w:val="0"/>
                <w:iCs w:val="0"/>
                <w:color w:val="auto"/>
                <w:sz w:val="24"/>
                <w:szCs w:val="24"/>
                <w:highlight w:val="none"/>
              </w:rPr>
              <w:t>的理解是否全面、可行</w:t>
            </w:r>
            <w:r>
              <w:rPr>
                <w:rFonts w:hint="eastAsia" w:ascii="宋体" w:hAnsi="宋体" w:eastAsia="宋体" w:cs="宋体"/>
                <w:color w:val="auto"/>
                <w:kern w:val="2"/>
                <w:sz w:val="24"/>
                <w:szCs w:val="24"/>
                <w:highlight w:val="none"/>
                <w:lang w:val="en-US" w:eastAsia="zh-CN" w:bidi="ar-SA"/>
              </w:rPr>
              <w:t>等内容进行评审。方案科学合理，可操作性强得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分。上述方案有缺项，每项扣2分，方案不够合理、操作性不强的每项扣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1分，扣完为止</w:t>
            </w:r>
            <w:r>
              <w:rPr>
                <w:rFonts w:hint="eastAsia" w:ascii="宋体" w:hAnsi="宋体" w:cs="宋体"/>
                <w:color w:val="auto"/>
                <w:sz w:val="24"/>
                <w:szCs w:val="24"/>
                <w:highlight w:val="none"/>
                <w:lang w:val="zh-CN" w:eastAsia="zh-CN"/>
              </w:rPr>
              <w:t>。</w:t>
            </w:r>
          </w:p>
        </w:tc>
        <w:tc>
          <w:tcPr>
            <w:tcW w:w="774" w:type="dxa"/>
            <w:tcBorders>
              <w:top w:val="single" w:color="auto" w:sz="4" w:space="0"/>
              <w:bottom w:val="single" w:color="auto" w:sz="4" w:space="0"/>
              <w:right w:val="single" w:color="auto" w:sz="4" w:space="0"/>
            </w:tcBorders>
            <w:vAlign w:val="center"/>
          </w:tcPr>
          <w:p w14:paraId="764905C8">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759CC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80" w:type="dxa"/>
            <w:tcBorders>
              <w:top w:val="single" w:color="auto" w:sz="4" w:space="0"/>
              <w:left w:val="single" w:color="auto" w:sz="4" w:space="0"/>
              <w:bottom w:val="single" w:color="auto" w:sz="4" w:space="0"/>
            </w:tcBorders>
            <w:vAlign w:val="center"/>
          </w:tcPr>
          <w:p w14:paraId="439C7EAB">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29" w:type="dxa"/>
            <w:gridSpan w:val="3"/>
            <w:vMerge w:val="continue"/>
            <w:tcBorders>
              <w:top w:val="single" w:color="auto" w:sz="4" w:space="0"/>
              <w:bottom w:val="single" w:color="auto" w:sz="4" w:space="0"/>
            </w:tcBorders>
            <w:vAlign w:val="center"/>
          </w:tcPr>
          <w:p w14:paraId="202D99AC">
            <w:pPr>
              <w:widowControl/>
              <w:spacing w:line="340" w:lineRule="exact"/>
              <w:jc w:val="center"/>
              <w:rPr>
                <w:rFonts w:ascii="宋体" w:hAnsi="宋体" w:cs="宋体"/>
                <w:color w:val="auto"/>
                <w:sz w:val="24"/>
                <w:highlight w:val="none"/>
              </w:rPr>
            </w:pPr>
          </w:p>
        </w:tc>
        <w:tc>
          <w:tcPr>
            <w:tcW w:w="7294" w:type="dxa"/>
            <w:tcBorders>
              <w:top w:val="single" w:color="auto" w:sz="4" w:space="0"/>
              <w:bottom w:val="single" w:color="auto" w:sz="4" w:space="0"/>
            </w:tcBorders>
            <w:vAlign w:val="center"/>
          </w:tcPr>
          <w:p w14:paraId="0CB45EC2">
            <w:pPr>
              <w:widowControl/>
              <w:spacing w:line="340" w:lineRule="exact"/>
              <w:rPr>
                <w:rFonts w:ascii="宋体" w:hAnsi="宋体" w:cs="宋体"/>
                <w:color w:val="auto"/>
                <w:sz w:val="24"/>
                <w:highlight w:val="none"/>
              </w:rPr>
            </w:pPr>
            <w:r>
              <w:rPr>
                <w:rFonts w:hint="eastAsia" w:ascii="宋体" w:hAnsi="宋体" w:eastAsia="宋体" w:cs="宋体"/>
                <w:i w:val="0"/>
                <w:iCs w:val="0"/>
                <w:color w:val="auto"/>
                <w:sz w:val="24"/>
                <w:szCs w:val="24"/>
                <w:highlight w:val="none"/>
              </w:rPr>
              <w:t>根据供应商提供的完成本项目工作的有利条件</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eastAsia="宋体" w:cs="宋体"/>
                <w:i w:val="0"/>
                <w:iCs w:val="0"/>
                <w:color w:val="auto"/>
                <w:sz w:val="24"/>
                <w:szCs w:val="24"/>
                <w:highlight w:val="none"/>
              </w:rPr>
              <w:t>和工作基础描述</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eastAsia="宋体" w:cs="宋体"/>
                <w:i w:val="0"/>
                <w:iCs w:val="0"/>
                <w:color w:val="auto"/>
                <w:sz w:val="24"/>
                <w:szCs w:val="24"/>
                <w:highlight w:val="none"/>
              </w:rPr>
              <w:t>，对本项目的了解程度是否系统全面</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）等内容进行评审</w:t>
            </w:r>
            <w:r>
              <w:rPr>
                <w:rFonts w:hint="eastAsia"/>
                <w:color w:val="auto"/>
                <w:sz w:val="24"/>
                <w:highlight w:val="none"/>
              </w:rPr>
              <w:t>。</w:t>
            </w:r>
            <w:r>
              <w:rPr>
                <w:rFonts w:hint="eastAsia"/>
                <w:color w:val="auto"/>
                <w:sz w:val="24"/>
                <w:highlight w:val="none"/>
                <w:lang w:eastAsia="zh-CN"/>
              </w:rPr>
              <w:t>内容</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5.5</w:t>
            </w:r>
            <w:r>
              <w:rPr>
                <w:rFonts w:hint="eastAsia" w:ascii="宋体" w:hAnsi="宋体" w:eastAsia="宋体" w:cs="宋体"/>
                <w:color w:val="auto"/>
                <w:kern w:val="2"/>
                <w:sz w:val="24"/>
                <w:szCs w:val="24"/>
                <w:highlight w:val="none"/>
                <w:lang w:val="en-US" w:eastAsia="zh-CN" w:bidi="ar-SA"/>
              </w:rPr>
              <w:t>分。上述</w:t>
            </w:r>
            <w:r>
              <w:rPr>
                <w:rFonts w:hint="eastAsia" w:ascii="宋体" w:hAnsi="宋体"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有缺项，每项扣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不够合理、操作性不强的每项扣</w:t>
            </w:r>
            <w:r>
              <w:rPr>
                <w:rFonts w:hint="eastAsia" w:ascii="宋体" w:hAnsi="宋体" w:cs="宋体"/>
                <w:color w:val="auto"/>
                <w:kern w:val="2"/>
                <w:sz w:val="24"/>
                <w:szCs w:val="24"/>
                <w:highlight w:val="none"/>
                <w:lang w:val="en-US" w:eastAsia="zh-CN" w:bidi="ar-SA"/>
              </w:rPr>
              <w:t>0-1.5</w:t>
            </w:r>
            <w:r>
              <w:rPr>
                <w:rFonts w:hint="eastAsia" w:ascii="宋体" w:hAnsi="宋体" w:eastAsia="宋体" w:cs="宋体"/>
                <w:color w:val="auto"/>
                <w:kern w:val="2"/>
                <w:sz w:val="24"/>
                <w:szCs w:val="24"/>
                <w:highlight w:val="none"/>
                <w:lang w:val="en-US" w:eastAsia="zh-CN" w:bidi="ar-SA"/>
              </w:rPr>
              <w:t>分，扣完为止。</w:t>
            </w:r>
          </w:p>
        </w:tc>
        <w:tc>
          <w:tcPr>
            <w:tcW w:w="774" w:type="dxa"/>
            <w:tcBorders>
              <w:top w:val="single" w:color="auto" w:sz="4" w:space="0"/>
              <w:bottom w:val="single" w:color="auto" w:sz="4" w:space="0"/>
              <w:right w:val="single" w:color="auto" w:sz="4" w:space="0"/>
            </w:tcBorders>
            <w:vAlign w:val="center"/>
          </w:tcPr>
          <w:p w14:paraId="3B895226">
            <w:pPr>
              <w:widowControl/>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5.5</w:t>
            </w:r>
          </w:p>
        </w:tc>
      </w:tr>
      <w:tr w14:paraId="1D032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80" w:type="dxa"/>
            <w:tcBorders>
              <w:top w:val="single" w:color="auto" w:sz="4" w:space="0"/>
              <w:left w:val="single" w:color="auto" w:sz="4" w:space="0"/>
              <w:bottom w:val="single" w:color="auto" w:sz="4" w:space="0"/>
            </w:tcBorders>
            <w:vAlign w:val="center"/>
          </w:tcPr>
          <w:p w14:paraId="59949035">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329" w:type="dxa"/>
            <w:gridSpan w:val="3"/>
            <w:vMerge w:val="continue"/>
            <w:tcBorders>
              <w:top w:val="single" w:color="auto" w:sz="4" w:space="0"/>
              <w:bottom w:val="single" w:color="auto" w:sz="4" w:space="0"/>
            </w:tcBorders>
            <w:vAlign w:val="center"/>
          </w:tcPr>
          <w:p w14:paraId="6B556C83">
            <w:pPr>
              <w:widowControl/>
              <w:spacing w:line="340" w:lineRule="exact"/>
              <w:jc w:val="center"/>
              <w:rPr>
                <w:rFonts w:ascii="宋体" w:hAnsi="宋体" w:cs="宋体"/>
                <w:color w:val="auto"/>
                <w:sz w:val="24"/>
                <w:highlight w:val="none"/>
              </w:rPr>
            </w:pPr>
          </w:p>
        </w:tc>
        <w:tc>
          <w:tcPr>
            <w:tcW w:w="7294" w:type="dxa"/>
            <w:tcBorders>
              <w:top w:val="single" w:color="auto" w:sz="4" w:space="0"/>
              <w:bottom w:val="single" w:color="auto" w:sz="4" w:space="0"/>
            </w:tcBorders>
            <w:vAlign w:val="center"/>
          </w:tcPr>
          <w:p w14:paraId="38AB00B4">
            <w:pPr>
              <w:widowControl/>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根据供应商提供的项目技术方案的编制完整性</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eastAsia="宋体" w:cs="宋体"/>
                <w:i w:val="0"/>
                <w:iCs w:val="0"/>
                <w:color w:val="auto"/>
                <w:sz w:val="24"/>
                <w:szCs w:val="24"/>
                <w:highlight w:val="none"/>
              </w:rPr>
              <w:t>、格式规范</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eastAsia="宋体" w:cs="宋体"/>
                <w:i w:val="0"/>
                <w:iCs w:val="0"/>
                <w:color w:val="auto"/>
                <w:sz w:val="24"/>
                <w:szCs w:val="24"/>
                <w:highlight w:val="none"/>
              </w:rPr>
              <w:t>、内容齐全表述准确、条理清晰</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）等内容进行评审</w:t>
            </w:r>
            <w:r>
              <w:rPr>
                <w:rFonts w:hint="eastAsia"/>
                <w:color w:val="auto"/>
                <w:sz w:val="24"/>
                <w:highlight w:val="none"/>
              </w:rPr>
              <w:t>。</w:t>
            </w:r>
            <w:r>
              <w:rPr>
                <w:rFonts w:hint="eastAsia"/>
                <w:color w:val="auto"/>
                <w:sz w:val="24"/>
                <w:highlight w:val="none"/>
                <w:lang w:eastAsia="zh-CN"/>
              </w:rPr>
              <w:t>方案</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en-US" w:eastAsia="zh-CN" w:bidi="ar-SA"/>
              </w:rPr>
              <w:t>分。上述方案有缺项，每项扣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分，方案不够合理、操作性不强的每项扣</w:t>
            </w:r>
            <w:r>
              <w:rPr>
                <w:rFonts w:hint="eastAsia" w:ascii="宋体" w:hAnsi="宋体" w:cs="宋体"/>
                <w:color w:val="auto"/>
                <w:kern w:val="2"/>
                <w:sz w:val="24"/>
                <w:szCs w:val="24"/>
                <w:highlight w:val="none"/>
                <w:lang w:val="en-US" w:eastAsia="zh-CN" w:bidi="ar-SA"/>
              </w:rPr>
              <w:t>0-1.5</w:t>
            </w:r>
            <w:r>
              <w:rPr>
                <w:rFonts w:hint="eastAsia" w:ascii="宋体" w:hAnsi="宋体" w:eastAsia="宋体" w:cs="宋体"/>
                <w:color w:val="auto"/>
                <w:kern w:val="2"/>
                <w:sz w:val="24"/>
                <w:szCs w:val="24"/>
                <w:highlight w:val="none"/>
                <w:lang w:val="en-US" w:eastAsia="zh-CN" w:bidi="ar-SA"/>
              </w:rPr>
              <w:t>分，扣完为止。</w:t>
            </w:r>
          </w:p>
        </w:tc>
        <w:tc>
          <w:tcPr>
            <w:tcW w:w="774" w:type="dxa"/>
            <w:tcBorders>
              <w:top w:val="single" w:color="auto" w:sz="4" w:space="0"/>
              <w:bottom w:val="single" w:color="auto" w:sz="4" w:space="0"/>
              <w:right w:val="single" w:color="auto" w:sz="4" w:space="0"/>
            </w:tcBorders>
            <w:vAlign w:val="center"/>
          </w:tcPr>
          <w:p w14:paraId="18DBDC74">
            <w:pPr>
              <w:widowControl/>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w:t>
            </w:r>
          </w:p>
        </w:tc>
      </w:tr>
      <w:tr w14:paraId="7DEA81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80" w:type="dxa"/>
            <w:tcBorders>
              <w:top w:val="single" w:color="auto" w:sz="4" w:space="0"/>
              <w:left w:val="single" w:color="auto" w:sz="4" w:space="0"/>
              <w:bottom w:val="single" w:color="auto" w:sz="4" w:space="0"/>
            </w:tcBorders>
            <w:vAlign w:val="center"/>
          </w:tcPr>
          <w:p w14:paraId="04F28428">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29" w:type="dxa"/>
            <w:gridSpan w:val="3"/>
            <w:vMerge w:val="continue"/>
            <w:tcBorders>
              <w:top w:val="single" w:color="auto" w:sz="4" w:space="0"/>
              <w:bottom w:val="single" w:color="auto" w:sz="4" w:space="0"/>
            </w:tcBorders>
            <w:vAlign w:val="center"/>
          </w:tcPr>
          <w:p w14:paraId="0E426104">
            <w:pPr>
              <w:widowControl/>
              <w:spacing w:line="340" w:lineRule="exact"/>
              <w:jc w:val="center"/>
              <w:rPr>
                <w:rFonts w:ascii="宋体" w:hAnsi="宋体" w:cs="宋体"/>
                <w:color w:val="auto"/>
                <w:sz w:val="24"/>
                <w:highlight w:val="none"/>
              </w:rPr>
            </w:pPr>
          </w:p>
        </w:tc>
        <w:tc>
          <w:tcPr>
            <w:tcW w:w="7294" w:type="dxa"/>
            <w:tcBorders>
              <w:top w:val="single" w:color="auto" w:sz="4" w:space="0"/>
              <w:bottom w:val="single" w:color="auto" w:sz="4" w:space="0"/>
            </w:tcBorders>
            <w:vAlign w:val="center"/>
          </w:tcPr>
          <w:p w14:paraId="2F3E2996">
            <w:pPr>
              <w:widowControl/>
              <w:spacing w:line="340" w:lineRule="exact"/>
              <w:rPr>
                <w:rFonts w:hint="eastAsia" w:ascii="宋体" w:hAnsi="宋体" w:eastAsia="宋体" w:cs="宋体"/>
                <w:i w:val="0"/>
                <w:iCs w:val="0"/>
                <w:color w:val="auto"/>
                <w:sz w:val="24"/>
                <w:szCs w:val="24"/>
                <w:highlight w:val="none"/>
              </w:rPr>
            </w:pPr>
            <w:r>
              <w:rPr>
                <w:rFonts w:hint="eastAsia" w:ascii="宋体" w:hAnsi="宋体" w:cs="宋体"/>
                <w:color w:val="auto"/>
                <w:sz w:val="24"/>
                <w:highlight w:val="none"/>
              </w:rPr>
              <w:t>项目组织机构是否健全、职责明确（0-</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）；人力资源安排（0-</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）是否合理等内容进行评审</w:t>
            </w:r>
            <w:r>
              <w:rPr>
                <w:rFonts w:hint="eastAsia"/>
                <w:color w:val="auto"/>
                <w:sz w:val="24"/>
                <w:highlight w:val="none"/>
              </w:rPr>
              <w:t>。</w:t>
            </w:r>
            <w:r>
              <w:rPr>
                <w:rFonts w:hint="eastAsia"/>
                <w:color w:val="auto"/>
                <w:sz w:val="24"/>
                <w:highlight w:val="none"/>
                <w:lang w:eastAsia="zh-CN"/>
              </w:rPr>
              <w:t>方案</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分。上述方案有缺项，每项扣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分，方案不够合理、操作性不强的每项扣</w:t>
            </w:r>
            <w:r>
              <w:rPr>
                <w:rFonts w:hint="eastAsia" w:ascii="宋体" w:hAnsi="宋体" w:cs="宋体"/>
                <w:color w:val="auto"/>
                <w:kern w:val="2"/>
                <w:sz w:val="24"/>
                <w:szCs w:val="24"/>
                <w:highlight w:val="none"/>
                <w:lang w:val="en-US" w:eastAsia="zh-CN" w:bidi="ar-SA"/>
              </w:rPr>
              <w:t>0-1.5</w:t>
            </w:r>
            <w:r>
              <w:rPr>
                <w:rFonts w:hint="eastAsia" w:ascii="宋体" w:hAnsi="宋体" w:eastAsia="宋体" w:cs="宋体"/>
                <w:color w:val="auto"/>
                <w:kern w:val="2"/>
                <w:sz w:val="24"/>
                <w:szCs w:val="24"/>
                <w:highlight w:val="none"/>
                <w:lang w:val="en-US" w:eastAsia="zh-CN" w:bidi="ar-SA"/>
              </w:rPr>
              <w:t>分，扣完为止。</w:t>
            </w:r>
          </w:p>
        </w:tc>
        <w:tc>
          <w:tcPr>
            <w:tcW w:w="774" w:type="dxa"/>
            <w:tcBorders>
              <w:top w:val="single" w:color="auto" w:sz="4" w:space="0"/>
              <w:bottom w:val="single" w:color="auto" w:sz="4" w:space="0"/>
              <w:right w:val="single" w:color="auto" w:sz="4" w:space="0"/>
            </w:tcBorders>
            <w:vAlign w:val="center"/>
          </w:tcPr>
          <w:p w14:paraId="4C679DAB">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6FB10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80" w:type="dxa"/>
            <w:tcBorders>
              <w:top w:val="single" w:color="auto" w:sz="4" w:space="0"/>
              <w:left w:val="single" w:color="auto" w:sz="4" w:space="0"/>
              <w:bottom w:val="single" w:color="auto" w:sz="4" w:space="0"/>
            </w:tcBorders>
            <w:vAlign w:val="center"/>
          </w:tcPr>
          <w:p w14:paraId="07003B70">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329" w:type="dxa"/>
            <w:gridSpan w:val="3"/>
            <w:vMerge w:val="continue"/>
            <w:tcBorders>
              <w:top w:val="single" w:color="auto" w:sz="4" w:space="0"/>
              <w:bottom w:val="single" w:color="auto" w:sz="4" w:space="0"/>
            </w:tcBorders>
            <w:vAlign w:val="center"/>
          </w:tcPr>
          <w:p w14:paraId="06F3C703">
            <w:pPr>
              <w:widowControl/>
              <w:spacing w:line="340" w:lineRule="exact"/>
              <w:jc w:val="center"/>
              <w:rPr>
                <w:rFonts w:ascii="宋体" w:hAnsi="宋体" w:cs="宋体"/>
                <w:color w:val="auto"/>
                <w:sz w:val="24"/>
                <w:highlight w:val="none"/>
              </w:rPr>
            </w:pPr>
          </w:p>
        </w:tc>
        <w:tc>
          <w:tcPr>
            <w:tcW w:w="7294" w:type="dxa"/>
            <w:tcBorders>
              <w:top w:val="single" w:color="auto" w:sz="4" w:space="0"/>
              <w:bottom w:val="single" w:color="auto" w:sz="4" w:space="0"/>
            </w:tcBorders>
            <w:vAlign w:val="center"/>
          </w:tcPr>
          <w:p w14:paraId="28D13962">
            <w:pPr>
              <w:widowControl/>
              <w:spacing w:line="340" w:lineRule="exact"/>
              <w:rPr>
                <w:rFonts w:ascii="宋体" w:hAnsi="宋体" w:cs="宋体"/>
                <w:color w:val="auto"/>
                <w:sz w:val="24"/>
                <w:highlight w:val="none"/>
              </w:rPr>
            </w:pPr>
            <w:r>
              <w:rPr>
                <w:rFonts w:hint="eastAsia" w:ascii="宋体" w:hAnsi="宋体" w:eastAsia="宋体" w:cs="宋体"/>
                <w:color w:val="auto"/>
                <w:sz w:val="24"/>
                <w:highlight w:val="none"/>
                <w:lang w:val="en-US"/>
              </w:rPr>
              <w:t>按照</w:t>
            </w:r>
            <w:r>
              <w:rPr>
                <w:rFonts w:hint="eastAsia" w:ascii="宋体" w:hAnsi="宋体" w:cs="宋体"/>
                <w:color w:val="auto"/>
                <w:sz w:val="24"/>
                <w:highlight w:val="none"/>
                <w:lang w:val="en-US" w:eastAsia="zh-CN"/>
              </w:rPr>
              <w:t>供应商制定</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val="en-US"/>
              </w:rPr>
              <w:t>突发事件对自然灾害及配合重大活动有应急预案</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及实施措施</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等内容进行评审。</w:t>
            </w:r>
            <w:r>
              <w:rPr>
                <w:rFonts w:hint="eastAsia" w:ascii="宋体" w:hAnsi="宋体" w:eastAsia="宋体" w:cs="宋体"/>
                <w:color w:val="auto"/>
                <w:sz w:val="24"/>
                <w:highlight w:val="none"/>
                <w:lang w:val="en-US" w:eastAsia="zh-CN"/>
              </w:rPr>
              <w:t>方案科学合理，可操作性强得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分。上述方案有缺</w:t>
            </w:r>
            <w:r>
              <w:rPr>
                <w:rFonts w:hint="eastAsia" w:ascii="宋体" w:hAnsi="宋体" w:eastAsia="宋体" w:cs="宋体"/>
                <w:color w:val="auto"/>
                <w:kern w:val="2"/>
                <w:sz w:val="24"/>
                <w:szCs w:val="24"/>
                <w:highlight w:val="none"/>
                <w:lang w:val="en-US" w:eastAsia="zh-CN" w:bidi="ar-SA"/>
              </w:rPr>
              <w:t>项，每项扣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分，方案不够合理、操作性不强的每项扣</w:t>
            </w:r>
            <w:r>
              <w:rPr>
                <w:rFonts w:hint="eastAsia" w:ascii="宋体" w:hAnsi="宋体" w:cs="宋体"/>
                <w:color w:val="auto"/>
                <w:kern w:val="2"/>
                <w:sz w:val="24"/>
                <w:szCs w:val="24"/>
                <w:highlight w:val="none"/>
                <w:lang w:val="en-US" w:eastAsia="zh-CN" w:bidi="ar-SA"/>
              </w:rPr>
              <w:t>0-1.5</w:t>
            </w:r>
            <w:r>
              <w:rPr>
                <w:rFonts w:hint="eastAsia" w:ascii="宋体" w:hAnsi="宋体" w:eastAsia="宋体" w:cs="宋体"/>
                <w:color w:val="auto"/>
                <w:kern w:val="2"/>
                <w:sz w:val="24"/>
                <w:szCs w:val="24"/>
                <w:highlight w:val="none"/>
                <w:lang w:val="en-US" w:eastAsia="zh-CN" w:bidi="ar-SA"/>
              </w:rPr>
              <w:t>分，扣完为止。</w:t>
            </w:r>
          </w:p>
        </w:tc>
        <w:tc>
          <w:tcPr>
            <w:tcW w:w="774" w:type="dxa"/>
            <w:tcBorders>
              <w:top w:val="single" w:color="auto" w:sz="4" w:space="0"/>
              <w:bottom w:val="single" w:color="auto" w:sz="4" w:space="0"/>
              <w:right w:val="single" w:color="auto" w:sz="4" w:space="0"/>
            </w:tcBorders>
            <w:vAlign w:val="center"/>
          </w:tcPr>
          <w:p w14:paraId="6EBA581A">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14:paraId="37EF5F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80" w:type="dxa"/>
            <w:tcBorders>
              <w:top w:val="single" w:color="auto" w:sz="4" w:space="0"/>
              <w:left w:val="single" w:color="auto" w:sz="4" w:space="0"/>
              <w:bottom w:val="single" w:color="auto" w:sz="4" w:space="0"/>
            </w:tcBorders>
            <w:vAlign w:val="center"/>
          </w:tcPr>
          <w:p w14:paraId="37832999">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329" w:type="dxa"/>
            <w:gridSpan w:val="3"/>
            <w:vMerge w:val="restart"/>
            <w:tcBorders>
              <w:top w:val="single" w:color="auto" w:sz="4" w:space="0"/>
              <w:bottom w:val="single" w:color="auto" w:sz="4" w:space="0"/>
            </w:tcBorders>
            <w:vAlign w:val="center"/>
          </w:tcPr>
          <w:p w14:paraId="645AFCD5">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产品要求</w:t>
            </w:r>
          </w:p>
        </w:tc>
        <w:tc>
          <w:tcPr>
            <w:tcW w:w="7294" w:type="dxa"/>
            <w:tcBorders>
              <w:top w:val="single" w:color="auto" w:sz="4" w:space="0"/>
              <w:bottom w:val="single" w:color="auto" w:sz="4" w:space="0"/>
            </w:tcBorders>
            <w:vAlign w:val="center"/>
          </w:tcPr>
          <w:p w14:paraId="076A2405">
            <w:pPr>
              <w:widowControl/>
              <w:spacing w:line="340" w:lineRule="exac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en-US"/>
              </w:rPr>
              <w:t>提供的地下型白蚁监测控制装置产品整体性能先进性</w:t>
            </w: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rPr>
              <w:t>、可靠性</w:t>
            </w: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rPr>
              <w:t>和操作便捷性</w:t>
            </w: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w:t>
            </w:r>
            <w:r>
              <w:rPr>
                <w:rFonts w:hint="eastAsia" w:ascii="宋体" w:hAnsi="宋体" w:cs="宋体"/>
                <w:color w:val="auto"/>
                <w:sz w:val="24"/>
                <w:highlight w:val="none"/>
              </w:rPr>
              <w:t>等内容进行评审</w:t>
            </w:r>
            <w:r>
              <w:rPr>
                <w:rFonts w:hint="eastAsia"/>
                <w:color w:val="auto"/>
                <w:sz w:val="24"/>
                <w:highlight w:val="none"/>
              </w:rPr>
              <w:t>。</w:t>
            </w:r>
          </w:p>
          <w:p w14:paraId="4DEC3B0B">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需提供监测控制装置的图片及说明</w:t>
            </w:r>
            <w:r>
              <w:rPr>
                <w:rFonts w:hint="eastAsia" w:ascii="宋体" w:hAnsi="宋体" w:eastAsia="宋体" w:cs="宋体"/>
                <w:color w:val="auto"/>
                <w:sz w:val="24"/>
                <w:highlight w:val="none"/>
                <w:lang w:val="en-US" w:eastAsia="zh-CN"/>
              </w:rPr>
              <w:t>。</w:t>
            </w:r>
          </w:p>
        </w:tc>
        <w:tc>
          <w:tcPr>
            <w:tcW w:w="774" w:type="dxa"/>
            <w:tcBorders>
              <w:top w:val="single" w:color="auto" w:sz="4" w:space="0"/>
              <w:bottom w:val="single" w:color="auto" w:sz="4" w:space="0"/>
              <w:right w:val="single" w:color="auto" w:sz="4" w:space="0"/>
            </w:tcBorders>
            <w:vAlign w:val="center"/>
          </w:tcPr>
          <w:p w14:paraId="1AE93F9B">
            <w:pPr>
              <w:widowControl/>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w:t>
            </w:r>
          </w:p>
        </w:tc>
      </w:tr>
      <w:tr w14:paraId="5856F8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0" w:type="dxa"/>
            <w:tcBorders>
              <w:top w:val="single" w:color="auto" w:sz="4" w:space="0"/>
              <w:left w:val="single" w:color="auto" w:sz="4" w:space="0"/>
              <w:bottom w:val="single" w:color="auto" w:sz="4" w:space="0"/>
            </w:tcBorders>
            <w:vAlign w:val="center"/>
          </w:tcPr>
          <w:p w14:paraId="3617F9D9">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329" w:type="dxa"/>
            <w:gridSpan w:val="3"/>
            <w:vMerge w:val="continue"/>
            <w:tcBorders>
              <w:top w:val="single" w:color="auto" w:sz="4" w:space="0"/>
              <w:bottom w:val="single" w:color="auto" w:sz="4" w:space="0"/>
            </w:tcBorders>
            <w:vAlign w:val="center"/>
          </w:tcPr>
          <w:p w14:paraId="1E53171C">
            <w:pPr>
              <w:widowControl/>
              <w:spacing w:line="340" w:lineRule="exact"/>
              <w:rPr>
                <w:rFonts w:hint="eastAsia" w:ascii="宋体" w:hAnsi="宋体" w:eastAsia="宋体" w:cs="宋体"/>
                <w:color w:val="auto"/>
                <w:sz w:val="24"/>
                <w:highlight w:val="none"/>
              </w:rPr>
            </w:pPr>
          </w:p>
        </w:tc>
        <w:tc>
          <w:tcPr>
            <w:tcW w:w="7294" w:type="dxa"/>
            <w:tcBorders>
              <w:top w:val="single" w:color="auto" w:sz="4" w:space="0"/>
              <w:bottom w:val="single" w:color="auto" w:sz="4" w:space="0"/>
            </w:tcBorders>
            <w:vAlign w:val="center"/>
          </w:tcPr>
          <w:p w14:paraId="52677941">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提供的白蚁防治药物的有效性（0-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分）、环保性（0-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分）和技术吻合性（0-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w:t>
            </w:r>
            <w:r>
              <w:rPr>
                <w:rFonts w:hint="eastAsia" w:ascii="宋体" w:hAnsi="宋体" w:cs="宋体"/>
                <w:color w:val="auto"/>
                <w:sz w:val="24"/>
                <w:highlight w:val="none"/>
              </w:rPr>
              <w:t>等内容进行评审</w:t>
            </w:r>
            <w:r>
              <w:rPr>
                <w:rFonts w:hint="eastAsia"/>
                <w:color w:val="auto"/>
                <w:sz w:val="24"/>
                <w:highlight w:val="none"/>
              </w:rPr>
              <w:t>。</w:t>
            </w:r>
            <w:r>
              <w:rPr>
                <w:rFonts w:hint="eastAsia" w:ascii="宋体" w:hAnsi="宋体" w:eastAsia="宋体" w:cs="宋体"/>
                <w:color w:val="auto"/>
                <w:sz w:val="24"/>
                <w:highlight w:val="none"/>
                <w:lang w:val="en-US" w:eastAsia="zh-CN"/>
              </w:rPr>
              <w:t xml:space="preserve">   </w:t>
            </w:r>
          </w:p>
        </w:tc>
        <w:tc>
          <w:tcPr>
            <w:tcW w:w="774" w:type="dxa"/>
            <w:tcBorders>
              <w:top w:val="single" w:color="auto" w:sz="4" w:space="0"/>
              <w:bottom w:val="single" w:color="auto" w:sz="4" w:space="0"/>
              <w:right w:val="single" w:color="auto" w:sz="4" w:space="0"/>
            </w:tcBorders>
            <w:vAlign w:val="center"/>
          </w:tcPr>
          <w:p w14:paraId="54385BFE">
            <w:pPr>
              <w:widowControl/>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w:t>
            </w:r>
          </w:p>
        </w:tc>
      </w:tr>
      <w:tr w14:paraId="1F0336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tcBorders>
              <w:top w:val="single" w:color="auto" w:sz="4" w:space="0"/>
              <w:left w:val="single" w:color="auto" w:sz="4" w:space="0"/>
              <w:bottom w:val="single" w:color="auto" w:sz="4" w:space="0"/>
            </w:tcBorders>
            <w:vAlign w:val="center"/>
          </w:tcPr>
          <w:p w14:paraId="42EE8506">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329" w:type="dxa"/>
            <w:gridSpan w:val="3"/>
            <w:vMerge w:val="continue"/>
            <w:tcBorders>
              <w:top w:val="single" w:color="auto" w:sz="4" w:space="0"/>
              <w:bottom w:val="single" w:color="auto" w:sz="4" w:space="0"/>
            </w:tcBorders>
            <w:vAlign w:val="center"/>
          </w:tcPr>
          <w:p w14:paraId="097295A4">
            <w:pPr>
              <w:widowControl/>
              <w:spacing w:line="340" w:lineRule="exact"/>
              <w:rPr>
                <w:rFonts w:hint="eastAsia" w:ascii="宋体" w:hAnsi="宋体" w:eastAsia="宋体" w:cs="宋体"/>
                <w:color w:val="auto"/>
                <w:sz w:val="24"/>
                <w:highlight w:val="none"/>
              </w:rPr>
            </w:pPr>
          </w:p>
        </w:tc>
        <w:tc>
          <w:tcPr>
            <w:tcW w:w="7294" w:type="dxa"/>
            <w:tcBorders>
              <w:top w:val="single" w:color="auto" w:sz="4" w:space="0"/>
              <w:bottom w:val="single" w:color="auto" w:sz="4" w:space="0"/>
            </w:tcBorders>
            <w:vAlign w:val="center"/>
          </w:tcPr>
          <w:p w14:paraId="0FC1E14C">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使用监控装置的性能指标响应情况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投标产品在全国白蚁防治中心推荐产品目录《关于公布</w:t>
            </w:r>
            <w:r>
              <w:rPr>
                <w:rFonts w:hint="eastAsia" w:ascii="宋体" w:hAnsi="宋体" w:cs="宋体"/>
                <w:color w:val="auto"/>
                <w:sz w:val="24"/>
                <w:highlight w:val="none"/>
                <w:lang w:val="en-US" w:eastAsia="zh-CN"/>
              </w:rPr>
              <w:t>2023</w:t>
            </w:r>
            <w:r>
              <w:rPr>
                <w:rFonts w:hint="eastAsia" w:ascii="宋体" w:hAnsi="宋体" w:eastAsia="宋体" w:cs="宋体"/>
                <w:color w:val="auto"/>
                <w:sz w:val="24"/>
                <w:highlight w:val="none"/>
              </w:rPr>
              <w:t>年度白蚁防治用品信息调研结果的通知》（全蚁﹝202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号）里的，得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w:t>
            </w:r>
          </w:p>
          <w:p w14:paraId="676063C7">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提供全国白蚁防治中心推荐产品目录截图，否则不予认可。</w:t>
            </w:r>
          </w:p>
        </w:tc>
        <w:tc>
          <w:tcPr>
            <w:tcW w:w="774" w:type="dxa"/>
            <w:tcBorders>
              <w:top w:val="single" w:color="auto" w:sz="4" w:space="0"/>
              <w:bottom w:val="single" w:color="auto" w:sz="4" w:space="0"/>
              <w:right w:val="single" w:color="auto" w:sz="4" w:space="0"/>
            </w:tcBorders>
            <w:vAlign w:val="center"/>
          </w:tcPr>
          <w:p w14:paraId="1B95A228">
            <w:pPr>
              <w:widowControl/>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r>
      <w:tr w14:paraId="1FD04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80" w:type="dxa"/>
            <w:tcBorders>
              <w:top w:val="single" w:color="auto" w:sz="4" w:space="0"/>
              <w:left w:val="single" w:color="auto" w:sz="4" w:space="0"/>
              <w:bottom w:val="single" w:color="auto" w:sz="4" w:space="0"/>
            </w:tcBorders>
            <w:vAlign w:val="center"/>
          </w:tcPr>
          <w:p w14:paraId="6DB3A799">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329" w:type="dxa"/>
            <w:gridSpan w:val="3"/>
            <w:vMerge w:val="continue"/>
            <w:tcBorders>
              <w:top w:val="single" w:color="auto" w:sz="4" w:space="0"/>
              <w:bottom w:val="single" w:color="auto" w:sz="4" w:space="0"/>
            </w:tcBorders>
            <w:vAlign w:val="center"/>
          </w:tcPr>
          <w:p w14:paraId="1EF8D571">
            <w:pPr>
              <w:widowControl/>
              <w:spacing w:line="340" w:lineRule="exact"/>
              <w:rPr>
                <w:rFonts w:hint="eastAsia" w:ascii="宋体" w:hAnsi="宋体" w:eastAsia="宋体" w:cs="宋体"/>
                <w:color w:val="auto"/>
                <w:sz w:val="24"/>
                <w:highlight w:val="none"/>
              </w:rPr>
            </w:pPr>
          </w:p>
        </w:tc>
        <w:tc>
          <w:tcPr>
            <w:tcW w:w="7294" w:type="dxa"/>
            <w:tcBorders>
              <w:top w:val="single" w:color="auto" w:sz="4" w:space="0"/>
              <w:bottom w:val="single" w:color="auto" w:sz="4" w:space="0"/>
            </w:tcBorders>
            <w:vAlign w:val="center"/>
          </w:tcPr>
          <w:p w14:paraId="04A617B6">
            <w:pPr>
              <w:widowControl/>
              <w:spacing w:line="3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白蚁预防药物的存储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与使用有严密的质量监控措施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和完善的存储场所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等内容进行评审。</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lang w:val="en-US" w:eastAsia="zh-CN"/>
              </w:rPr>
              <w:t>科学合理，可操作性强得</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分。上述内容有缺项，每项扣</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分，内容不够合理、操作性不强的每项扣0-</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分，扣完为止。</w:t>
            </w:r>
          </w:p>
        </w:tc>
        <w:tc>
          <w:tcPr>
            <w:tcW w:w="774" w:type="dxa"/>
            <w:tcBorders>
              <w:top w:val="single" w:color="auto" w:sz="4" w:space="0"/>
              <w:bottom w:val="single" w:color="auto" w:sz="4" w:space="0"/>
              <w:right w:val="single" w:color="auto" w:sz="4" w:space="0"/>
            </w:tcBorders>
            <w:vAlign w:val="center"/>
          </w:tcPr>
          <w:p w14:paraId="413698A3">
            <w:pPr>
              <w:widowControl/>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4.5</w:t>
            </w:r>
          </w:p>
        </w:tc>
      </w:tr>
      <w:tr w14:paraId="08AE3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tcBorders>
            <w:vAlign w:val="center"/>
          </w:tcPr>
          <w:p w14:paraId="793A469F">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329" w:type="dxa"/>
            <w:gridSpan w:val="3"/>
            <w:tcBorders>
              <w:top w:val="single" w:color="auto" w:sz="4" w:space="0"/>
              <w:bottom w:val="single" w:color="auto" w:sz="4" w:space="0"/>
            </w:tcBorders>
            <w:vAlign w:val="center"/>
          </w:tcPr>
          <w:p w14:paraId="5EE2A034">
            <w:pPr>
              <w:pStyle w:val="53"/>
              <w:jc w:val="center"/>
              <w:rPr>
                <w:rFonts w:ascii="宋体" w:hAnsi="宋体" w:cs="宋体"/>
                <w:color w:val="auto"/>
                <w:highlight w:val="none"/>
              </w:rPr>
            </w:pPr>
            <w:r>
              <w:rPr>
                <w:rFonts w:hint="eastAsia" w:ascii="宋体" w:hAnsi="宋体" w:eastAsia="宋体" w:cs="宋体"/>
                <w:i w:val="0"/>
                <w:iCs w:val="0"/>
                <w:color w:val="auto"/>
                <w:sz w:val="24"/>
                <w:szCs w:val="24"/>
                <w:highlight w:val="none"/>
              </w:rPr>
              <w:t>进度计划</w:t>
            </w:r>
          </w:p>
        </w:tc>
        <w:tc>
          <w:tcPr>
            <w:tcW w:w="7294" w:type="dxa"/>
            <w:tcBorders>
              <w:top w:val="single" w:color="auto" w:sz="4" w:space="0"/>
              <w:bottom w:val="single" w:color="auto" w:sz="4" w:space="0"/>
            </w:tcBorders>
            <w:vAlign w:val="center"/>
          </w:tcPr>
          <w:p w14:paraId="4B0E7B78">
            <w:pPr>
              <w:pStyle w:val="53"/>
              <w:jc w:val="left"/>
              <w:rPr>
                <w:rFonts w:hint="eastAsia" w:ascii="宋体" w:hAnsi="宋体" w:cs="宋体"/>
                <w:color w:val="auto"/>
                <w:sz w:val="24"/>
                <w:highlight w:val="none"/>
              </w:rPr>
            </w:pPr>
            <w:r>
              <w:rPr>
                <w:rFonts w:hint="eastAsia" w:ascii="宋体" w:hAnsi="宋体" w:eastAsia="宋体" w:cs="宋体"/>
                <w:i w:val="0"/>
                <w:iCs w:val="0"/>
                <w:color w:val="auto"/>
                <w:sz w:val="24"/>
                <w:szCs w:val="24"/>
                <w:highlight w:val="none"/>
              </w:rPr>
              <w:t>根据供应商的工作进度安排</w:t>
            </w:r>
            <w:r>
              <w:rPr>
                <w:rFonts w:hint="eastAsia" w:ascii="宋体" w:hAnsi="宋体" w:cs="宋体"/>
                <w:color w:val="auto"/>
                <w:sz w:val="24"/>
                <w:highlight w:val="none"/>
              </w:rPr>
              <w:t>（0-2）</w:t>
            </w:r>
            <w:r>
              <w:rPr>
                <w:rFonts w:hint="eastAsia" w:cs="宋体"/>
                <w:i w:val="0"/>
                <w:iCs w:val="0"/>
                <w:color w:val="auto"/>
                <w:sz w:val="24"/>
                <w:szCs w:val="24"/>
                <w:highlight w:val="none"/>
                <w:lang w:eastAsia="zh-CN"/>
              </w:rPr>
              <w:t>、时间节点</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是否具有科学、合理</w:t>
            </w:r>
            <w:r>
              <w:rPr>
                <w:rFonts w:hint="eastAsia" w:ascii="宋体" w:hAnsi="宋体" w:cs="宋体"/>
                <w:color w:val="auto"/>
                <w:sz w:val="24"/>
                <w:highlight w:val="none"/>
              </w:rPr>
              <w:t>等内容进行评审</w:t>
            </w:r>
            <w:r>
              <w:rPr>
                <w:rFonts w:hint="eastAsia"/>
                <w:color w:val="auto"/>
                <w:sz w:val="24"/>
                <w:highlight w:val="none"/>
              </w:rPr>
              <w:t>。</w:t>
            </w:r>
            <w:r>
              <w:rPr>
                <w:rFonts w:hint="eastAsia"/>
                <w:color w:val="auto"/>
                <w:sz w:val="24"/>
                <w:highlight w:val="none"/>
                <w:lang w:eastAsia="zh-CN"/>
              </w:rPr>
              <w:t>方案</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分。上述方案有缺项，每项扣2分，方案不够合理、操作性不强的每项扣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2分，扣完为止。</w:t>
            </w:r>
          </w:p>
        </w:tc>
        <w:tc>
          <w:tcPr>
            <w:tcW w:w="774" w:type="dxa"/>
            <w:tcBorders>
              <w:top w:val="single" w:color="auto" w:sz="4" w:space="0"/>
              <w:bottom w:val="single" w:color="auto" w:sz="4" w:space="0"/>
              <w:right w:val="single" w:color="auto" w:sz="4" w:space="0"/>
            </w:tcBorders>
            <w:vAlign w:val="center"/>
          </w:tcPr>
          <w:p w14:paraId="56A4F320">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2C57C5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80" w:type="dxa"/>
            <w:tcBorders>
              <w:top w:val="single" w:color="auto" w:sz="4" w:space="0"/>
              <w:left w:val="single" w:color="auto" w:sz="4" w:space="0"/>
              <w:bottom w:val="single" w:color="auto" w:sz="4" w:space="0"/>
            </w:tcBorders>
            <w:vAlign w:val="center"/>
          </w:tcPr>
          <w:p w14:paraId="3AE592EC">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329" w:type="dxa"/>
            <w:gridSpan w:val="3"/>
            <w:tcBorders>
              <w:top w:val="single" w:color="auto" w:sz="4" w:space="0"/>
              <w:bottom w:val="single" w:color="auto" w:sz="4" w:space="0"/>
            </w:tcBorders>
            <w:vAlign w:val="center"/>
          </w:tcPr>
          <w:p w14:paraId="732A5446">
            <w:pPr>
              <w:pStyle w:val="49"/>
              <w:widowControl/>
              <w:spacing w:line="340" w:lineRule="exact"/>
              <w:rPr>
                <w:rFonts w:ascii="宋体" w:hAnsi="宋体" w:cs="宋体"/>
                <w:color w:val="auto"/>
                <w:highlight w:val="none"/>
              </w:rPr>
            </w:pPr>
            <w:r>
              <w:rPr>
                <w:rFonts w:hint="eastAsia" w:ascii="宋体" w:hAnsi="宋体" w:cs="宋体"/>
                <w:color w:val="auto"/>
                <w:highlight w:val="none"/>
              </w:rPr>
              <w:t>质量保障</w:t>
            </w:r>
          </w:p>
        </w:tc>
        <w:tc>
          <w:tcPr>
            <w:tcW w:w="7294" w:type="dxa"/>
            <w:tcBorders>
              <w:top w:val="single" w:color="auto" w:sz="4" w:space="0"/>
              <w:bottom w:val="single" w:color="auto" w:sz="4" w:space="0"/>
            </w:tcBorders>
            <w:vAlign w:val="center"/>
          </w:tcPr>
          <w:p w14:paraId="0E7542FD">
            <w:pPr>
              <w:widowControl/>
              <w:spacing w:line="340" w:lineRule="exact"/>
              <w:rPr>
                <w:rFonts w:ascii="宋体" w:hAnsi="宋体" w:cs="宋体"/>
                <w:color w:val="auto"/>
                <w:sz w:val="24"/>
                <w:highlight w:val="none"/>
              </w:rPr>
            </w:pPr>
            <w:r>
              <w:rPr>
                <w:rFonts w:hint="eastAsia" w:ascii="宋体" w:hAnsi="宋体" w:cs="宋体"/>
                <w:color w:val="auto"/>
                <w:sz w:val="24"/>
                <w:highlight w:val="none"/>
              </w:rPr>
              <w:t>保障制度是否齐全（0-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），保证措施是否严密可行（0-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）等内容进行评审</w:t>
            </w:r>
            <w:r>
              <w:rPr>
                <w:rFonts w:hint="eastAsia"/>
                <w:color w:val="auto"/>
                <w:sz w:val="24"/>
                <w:highlight w:val="none"/>
              </w:rPr>
              <w:t>。</w:t>
            </w:r>
            <w:r>
              <w:rPr>
                <w:rFonts w:hint="eastAsia" w:ascii="宋体" w:hAnsi="宋体" w:eastAsia="宋体" w:cs="宋体"/>
                <w:color w:val="auto"/>
                <w:kern w:val="2"/>
                <w:sz w:val="24"/>
                <w:szCs w:val="24"/>
                <w:highlight w:val="none"/>
                <w:lang w:val="en-US" w:eastAsia="zh-CN" w:bidi="ar-SA"/>
              </w:rPr>
              <w:t>制度措施科学合理，可操作性强得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分，制度措施不够合理、操作性不强的每项扣</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分，扣完为止。</w:t>
            </w:r>
          </w:p>
        </w:tc>
        <w:tc>
          <w:tcPr>
            <w:tcW w:w="774" w:type="dxa"/>
            <w:tcBorders>
              <w:top w:val="single" w:color="auto" w:sz="4" w:space="0"/>
              <w:bottom w:val="single" w:color="auto" w:sz="4" w:space="0"/>
              <w:right w:val="single" w:color="auto" w:sz="4" w:space="0"/>
            </w:tcBorders>
            <w:vAlign w:val="center"/>
          </w:tcPr>
          <w:p w14:paraId="582A3BDF">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054BC3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tcBorders>
            <w:vAlign w:val="center"/>
          </w:tcPr>
          <w:p w14:paraId="1CF14D14">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329" w:type="dxa"/>
            <w:gridSpan w:val="3"/>
            <w:tcBorders>
              <w:top w:val="single" w:color="auto" w:sz="4" w:space="0"/>
              <w:bottom w:val="single" w:color="auto" w:sz="4" w:space="0"/>
            </w:tcBorders>
            <w:vAlign w:val="center"/>
          </w:tcPr>
          <w:p w14:paraId="188D9262">
            <w:pPr>
              <w:pStyle w:val="53"/>
              <w:jc w:val="center"/>
              <w:rPr>
                <w:rFonts w:hint="eastAsia" w:ascii="宋体" w:hAnsi="宋体" w:cs="宋体"/>
                <w:color w:val="auto"/>
                <w:highlight w:val="none"/>
              </w:rPr>
            </w:pPr>
            <w:r>
              <w:rPr>
                <w:rFonts w:hint="eastAsia" w:ascii="宋体" w:hAnsi="宋体" w:eastAsia="宋体" w:cs="宋体"/>
                <w:i w:val="0"/>
                <w:iCs w:val="0"/>
                <w:color w:val="auto"/>
                <w:sz w:val="24"/>
                <w:szCs w:val="24"/>
                <w:highlight w:val="none"/>
              </w:rPr>
              <w:t>风险控制</w:t>
            </w:r>
          </w:p>
        </w:tc>
        <w:tc>
          <w:tcPr>
            <w:tcW w:w="7294" w:type="dxa"/>
            <w:tcBorders>
              <w:top w:val="single" w:color="auto" w:sz="4" w:space="0"/>
              <w:bottom w:val="single" w:color="auto" w:sz="4" w:space="0"/>
            </w:tcBorders>
            <w:vAlign w:val="center"/>
          </w:tcPr>
          <w:p w14:paraId="21C1594A">
            <w:pPr>
              <w:pStyle w:val="53"/>
              <w:jc w:val="left"/>
              <w:rPr>
                <w:rFonts w:hint="eastAsia" w:ascii="宋体" w:hAnsi="宋体" w:cs="宋体"/>
                <w:color w:val="auto"/>
                <w:sz w:val="24"/>
                <w:highlight w:val="none"/>
              </w:rPr>
            </w:pPr>
            <w:r>
              <w:rPr>
                <w:rFonts w:hint="eastAsia" w:ascii="宋体" w:hAnsi="宋体" w:eastAsia="宋体" w:cs="宋体"/>
                <w:i w:val="0"/>
                <w:iCs w:val="0"/>
                <w:color w:val="auto"/>
                <w:sz w:val="24"/>
                <w:szCs w:val="24"/>
                <w:highlight w:val="none"/>
              </w:rPr>
              <w:t>根据供应商提供的风险控制措施适用性、可行性</w:t>
            </w:r>
            <w:r>
              <w:rPr>
                <w:rFonts w:hint="eastAsia" w:ascii="宋体" w:hAnsi="宋体" w:cs="宋体"/>
                <w:color w:val="auto"/>
                <w:sz w:val="24"/>
                <w:highlight w:val="none"/>
              </w:rPr>
              <w:t>等内容进行评审</w:t>
            </w:r>
            <w:r>
              <w:rPr>
                <w:rFonts w:hint="eastAsia"/>
                <w:color w:val="auto"/>
                <w:sz w:val="24"/>
                <w:highlight w:val="none"/>
              </w:rPr>
              <w:t>。</w:t>
            </w:r>
          </w:p>
        </w:tc>
        <w:tc>
          <w:tcPr>
            <w:tcW w:w="774" w:type="dxa"/>
            <w:tcBorders>
              <w:top w:val="single" w:color="auto" w:sz="4" w:space="0"/>
              <w:bottom w:val="single" w:color="auto" w:sz="4" w:space="0"/>
              <w:right w:val="single" w:color="auto" w:sz="4" w:space="0"/>
            </w:tcBorders>
            <w:vAlign w:val="center"/>
          </w:tcPr>
          <w:p w14:paraId="03656AE7">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6ADB6F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tcBorders>
            <w:vAlign w:val="center"/>
          </w:tcPr>
          <w:p w14:paraId="41AF0877">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329" w:type="dxa"/>
            <w:gridSpan w:val="3"/>
            <w:tcBorders>
              <w:top w:val="single" w:color="auto" w:sz="4" w:space="0"/>
              <w:bottom w:val="single" w:color="auto" w:sz="4" w:space="0"/>
            </w:tcBorders>
            <w:vAlign w:val="center"/>
          </w:tcPr>
          <w:p w14:paraId="1AF3B420">
            <w:pPr>
              <w:pStyle w:val="49"/>
              <w:widowControl/>
              <w:spacing w:line="340" w:lineRule="exact"/>
              <w:rPr>
                <w:rFonts w:ascii="宋体" w:hAnsi="宋体" w:cs="宋体"/>
                <w:color w:val="auto"/>
                <w:highlight w:val="none"/>
              </w:rPr>
            </w:pPr>
            <w:r>
              <w:rPr>
                <w:rFonts w:hint="eastAsia" w:ascii="宋体" w:hAnsi="宋体" w:cs="宋体"/>
                <w:color w:val="auto"/>
                <w:highlight w:val="none"/>
              </w:rPr>
              <w:t>提交成果</w:t>
            </w:r>
          </w:p>
        </w:tc>
        <w:tc>
          <w:tcPr>
            <w:tcW w:w="7294" w:type="dxa"/>
            <w:tcBorders>
              <w:top w:val="single" w:color="auto" w:sz="4" w:space="0"/>
              <w:bottom w:val="single" w:color="auto" w:sz="4" w:space="0"/>
            </w:tcBorders>
            <w:vAlign w:val="center"/>
          </w:tcPr>
          <w:p w14:paraId="6931B208">
            <w:pPr>
              <w:widowControl/>
              <w:spacing w:line="340" w:lineRule="exact"/>
              <w:rPr>
                <w:rFonts w:ascii="宋体" w:hAnsi="宋体" w:cs="宋体"/>
                <w:color w:val="auto"/>
                <w:sz w:val="24"/>
                <w:highlight w:val="none"/>
              </w:rPr>
            </w:pPr>
            <w:r>
              <w:rPr>
                <w:rFonts w:hint="eastAsia" w:ascii="宋体" w:hAnsi="宋体" w:cs="宋体"/>
                <w:color w:val="auto"/>
                <w:sz w:val="24"/>
                <w:highlight w:val="none"/>
              </w:rPr>
              <w:t>成果文件编制（0-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）、资料归档（0-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）等工序流程是否科学、规范、严密等内容进行评审</w:t>
            </w:r>
            <w:r>
              <w:rPr>
                <w:rFonts w:hint="eastAsia"/>
                <w:color w:val="auto"/>
                <w:sz w:val="24"/>
                <w:highlight w:val="none"/>
              </w:rPr>
              <w:t>。</w:t>
            </w:r>
            <w:r>
              <w:rPr>
                <w:rFonts w:hint="eastAsia" w:ascii="宋体" w:hAnsi="宋体" w:eastAsia="宋体" w:cs="宋体"/>
                <w:color w:val="auto"/>
                <w:kern w:val="2"/>
                <w:sz w:val="24"/>
                <w:szCs w:val="24"/>
                <w:highlight w:val="none"/>
                <w:lang w:val="en-US" w:eastAsia="zh-CN" w:bidi="ar-SA"/>
              </w:rPr>
              <w:t>流程科学合理，可操作性强得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分，流程不够合理、操作性不强的每项扣</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分，扣完为止。</w:t>
            </w:r>
          </w:p>
        </w:tc>
        <w:tc>
          <w:tcPr>
            <w:tcW w:w="774" w:type="dxa"/>
            <w:tcBorders>
              <w:top w:val="single" w:color="auto" w:sz="4" w:space="0"/>
              <w:bottom w:val="single" w:color="auto" w:sz="4" w:space="0"/>
              <w:right w:val="single" w:color="auto" w:sz="4" w:space="0"/>
            </w:tcBorders>
            <w:vAlign w:val="center"/>
          </w:tcPr>
          <w:p w14:paraId="316224B1">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2D94A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0" w:type="dxa"/>
            <w:tcBorders>
              <w:top w:val="single" w:color="auto" w:sz="4" w:space="0"/>
              <w:left w:val="single" w:color="auto" w:sz="4" w:space="0"/>
              <w:bottom w:val="single" w:color="auto" w:sz="4" w:space="0"/>
            </w:tcBorders>
            <w:vAlign w:val="center"/>
          </w:tcPr>
          <w:p w14:paraId="1439483C">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329" w:type="dxa"/>
            <w:gridSpan w:val="3"/>
            <w:tcBorders>
              <w:top w:val="single" w:color="auto" w:sz="4" w:space="0"/>
              <w:bottom w:val="single" w:color="auto" w:sz="4" w:space="0"/>
            </w:tcBorders>
            <w:vAlign w:val="center"/>
          </w:tcPr>
          <w:p w14:paraId="28D4168E">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合理化</w:t>
            </w:r>
          </w:p>
          <w:p w14:paraId="7CD9247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建议</w:t>
            </w:r>
          </w:p>
        </w:tc>
        <w:tc>
          <w:tcPr>
            <w:tcW w:w="7294" w:type="dxa"/>
            <w:tcBorders>
              <w:top w:val="single" w:color="auto" w:sz="4" w:space="0"/>
              <w:bottom w:val="single" w:color="auto" w:sz="4" w:space="0"/>
            </w:tcBorders>
            <w:vAlign w:val="center"/>
          </w:tcPr>
          <w:p w14:paraId="092921D9">
            <w:pPr>
              <w:spacing w:line="3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根据投标人合理化建议的可行性及科学性等内容进行评审</w:t>
            </w:r>
            <w:r>
              <w:rPr>
                <w:rFonts w:hint="eastAsia" w:ascii="宋体" w:hAnsi="宋体" w:cs="宋体"/>
                <w:color w:val="auto"/>
                <w:sz w:val="24"/>
                <w:highlight w:val="none"/>
                <w:lang w:eastAsia="zh-CN"/>
              </w:rPr>
              <w:t>。</w:t>
            </w:r>
          </w:p>
        </w:tc>
        <w:tc>
          <w:tcPr>
            <w:tcW w:w="774" w:type="dxa"/>
            <w:tcBorders>
              <w:top w:val="single" w:color="auto" w:sz="4" w:space="0"/>
              <w:bottom w:val="single" w:color="auto" w:sz="4" w:space="0"/>
              <w:right w:val="single" w:color="auto" w:sz="4" w:space="0"/>
            </w:tcBorders>
            <w:vAlign w:val="center"/>
          </w:tcPr>
          <w:p w14:paraId="0D791443">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r w14:paraId="3A3290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tcBorders>
              <w:top w:val="single" w:color="auto" w:sz="4" w:space="0"/>
              <w:left w:val="single" w:color="auto" w:sz="4" w:space="0"/>
              <w:bottom w:val="single" w:color="auto" w:sz="4" w:space="0"/>
            </w:tcBorders>
            <w:vAlign w:val="center"/>
          </w:tcPr>
          <w:p w14:paraId="1A8855DF">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329" w:type="dxa"/>
            <w:gridSpan w:val="3"/>
            <w:tcBorders>
              <w:top w:val="single" w:color="auto" w:sz="4" w:space="0"/>
              <w:bottom w:val="single" w:color="auto" w:sz="4" w:space="0"/>
            </w:tcBorders>
            <w:vAlign w:val="center"/>
          </w:tcPr>
          <w:p w14:paraId="27424C40">
            <w:pPr>
              <w:pStyle w:val="53"/>
              <w:jc w:val="center"/>
              <w:rPr>
                <w:rFonts w:ascii="宋体" w:hAnsi="宋体" w:cs="宋体"/>
                <w:color w:val="auto"/>
                <w:sz w:val="24"/>
                <w:highlight w:val="none"/>
              </w:rPr>
            </w:pPr>
            <w:r>
              <w:rPr>
                <w:rFonts w:hint="eastAsia" w:ascii="宋体" w:hAnsi="宋体" w:eastAsia="宋体" w:cs="宋体"/>
                <w:b w:val="0"/>
                <w:bCs/>
                <w:color w:val="auto"/>
                <w:kern w:val="2"/>
                <w:sz w:val="24"/>
                <w:szCs w:val="24"/>
                <w:highlight w:val="none"/>
                <w:lang w:val="en-US" w:eastAsia="zh-CN" w:bidi="ar"/>
              </w:rPr>
              <w:t>售后服务</w:t>
            </w:r>
            <w:r>
              <w:rPr>
                <w:rFonts w:hint="eastAsia" w:ascii="宋体" w:hAnsi="宋体" w:cs="宋体"/>
                <w:b w:val="0"/>
                <w:bCs/>
                <w:color w:val="auto"/>
                <w:kern w:val="2"/>
                <w:sz w:val="24"/>
                <w:szCs w:val="24"/>
                <w:highlight w:val="none"/>
                <w:lang w:val="en-US" w:eastAsia="zh-CN" w:bidi="ar"/>
              </w:rPr>
              <w:t>方案</w:t>
            </w:r>
          </w:p>
        </w:tc>
        <w:tc>
          <w:tcPr>
            <w:tcW w:w="7294" w:type="dxa"/>
            <w:tcBorders>
              <w:top w:val="single" w:color="auto" w:sz="4" w:space="0"/>
              <w:bottom w:val="single" w:color="auto" w:sz="4" w:space="0"/>
            </w:tcBorders>
            <w:vAlign w:val="center"/>
          </w:tcPr>
          <w:p w14:paraId="7A3B6EC8">
            <w:pPr>
              <w:pStyle w:val="53"/>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根据供应商</w:t>
            </w:r>
            <w:r>
              <w:rPr>
                <w:rFonts w:hint="eastAsia" w:ascii="宋体" w:hAnsi="宋体" w:eastAsia="宋体" w:cs="宋体"/>
                <w:color w:val="auto"/>
                <w:sz w:val="24"/>
                <w:szCs w:val="24"/>
                <w:highlight w:val="none"/>
                <w:lang w:val="zh-CN" w:eastAsia="zh-CN"/>
              </w:rPr>
              <w:t>提供的售后服务方案</w:t>
            </w:r>
            <w:r>
              <w:rPr>
                <w:rFonts w:hint="eastAsia" w:cs="宋体"/>
                <w:i w:val="0"/>
                <w:iCs w:val="0"/>
                <w:color w:val="auto"/>
                <w:sz w:val="24"/>
                <w:szCs w:val="24"/>
                <w:highlight w:val="none"/>
                <w:lang w:eastAsia="zh-CN"/>
              </w:rPr>
              <w:t>（</w:t>
            </w:r>
            <w:r>
              <w:rPr>
                <w:rFonts w:hint="eastAsia" w:cs="宋体"/>
                <w:i w:val="0"/>
                <w:iCs w:val="0"/>
                <w:color w:val="auto"/>
                <w:sz w:val="24"/>
                <w:szCs w:val="24"/>
                <w:highlight w:val="none"/>
                <w:lang w:val="en-US" w:eastAsia="zh-CN"/>
              </w:rPr>
              <w:t>0-1</w:t>
            </w: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和</w:t>
            </w:r>
            <w:r>
              <w:rPr>
                <w:rFonts w:hint="eastAsia" w:ascii="宋体" w:hAnsi="宋体" w:eastAsia="宋体" w:cs="宋体"/>
                <w:color w:val="auto"/>
                <w:sz w:val="24"/>
                <w:szCs w:val="24"/>
                <w:highlight w:val="none"/>
                <w:lang w:val="zh-CN" w:eastAsia="zh-CN"/>
              </w:rPr>
              <w:t>服务承诺落实的保障措施</w:t>
            </w:r>
            <w:r>
              <w:rPr>
                <w:rFonts w:hint="eastAsia" w:cs="宋体"/>
                <w:i w:val="0"/>
                <w:iCs w:val="0"/>
                <w:color w:val="auto"/>
                <w:sz w:val="24"/>
                <w:szCs w:val="24"/>
                <w:highlight w:val="none"/>
                <w:lang w:eastAsia="zh-CN"/>
              </w:rPr>
              <w:t>（</w:t>
            </w:r>
            <w:r>
              <w:rPr>
                <w:rFonts w:hint="eastAsia" w:cs="宋体"/>
                <w:i w:val="0"/>
                <w:iCs w:val="0"/>
                <w:color w:val="auto"/>
                <w:sz w:val="24"/>
                <w:szCs w:val="24"/>
                <w:highlight w:val="none"/>
                <w:lang w:val="en-US" w:eastAsia="zh-CN"/>
              </w:rPr>
              <w:t>0-1</w:t>
            </w: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的</w:t>
            </w:r>
            <w:r>
              <w:rPr>
                <w:rFonts w:hint="eastAsia" w:ascii="宋体" w:hAnsi="宋体" w:eastAsia="宋体" w:cs="宋体"/>
                <w:color w:val="auto"/>
                <w:sz w:val="24"/>
                <w:szCs w:val="24"/>
                <w:highlight w:val="none"/>
                <w:lang w:val="zh-CN" w:eastAsia="zh-CN"/>
              </w:rPr>
              <w:t>可行性、完整性</w:t>
            </w:r>
            <w:r>
              <w:rPr>
                <w:rFonts w:hint="eastAsia" w:ascii="宋体" w:hAnsi="宋体" w:eastAsia="宋体" w:cs="宋体"/>
                <w:color w:val="auto"/>
                <w:kern w:val="2"/>
                <w:sz w:val="24"/>
                <w:szCs w:val="24"/>
                <w:highlight w:val="none"/>
                <w:lang w:val="en-US" w:eastAsia="zh-CN" w:bidi="ar-SA"/>
              </w:rPr>
              <w:t>，可操作性强得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分。上述方案有缺项，每项扣</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分，方案不够合理、操作性不强的每项扣</w:t>
            </w:r>
            <w:r>
              <w:rPr>
                <w:rFonts w:hint="eastAsia" w:ascii="宋体" w:hAnsi="宋体" w:cs="宋体"/>
                <w:color w:val="auto"/>
                <w:kern w:val="2"/>
                <w:sz w:val="24"/>
                <w:szCs w:val="24"/>
                <w:highlight w:val="none"/>
                <w:lang w:val="en-US" w:eastAsia="zh-CN" w:bidi="ar-SA"/>
              </w:rPr>
              <w:t>0-</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分，扣完为止。</w:t>
            </w:r>
          </w:p>
        </w:tc>
        <w:tc>
          <w:tcPr>
            <w:tcW w:w="774" w:type="dxa"/>
            <w:tcBorders>
              <w:top w:val="single" w:color="auto" w:sz="4" w:space="0"/>
              <w:bottom w:val="single" w:color="auto" w:sz="4" w:space="0"/>
              <w:right w:val="single" w:color="auto" w:sz="4" w:space="0"/>
            </w:tcBorders>
            <w:vAlign w:val="center"/>
          </w:tcPr>
          <w:p w14:paraId="70E0F5D0">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5571D3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80" w:type="dxa"/>
            <w:tcBorders>
              <w:top w:val="single" w:color="auto" w:sz="4" w:space="0"/>
              <w:left w:val="single" w:color="auto" w:sz="4" w:space="0"/>
              <w:bottom w:val="single" w:color="auto" w:sz="4" w:space="0"/>
            </w:tcBorders>
            <w:vAlign w:val="center"/>
          </w:tcPr>
          <w:p w14:paraId="47D7F18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8623" w:type="dxa"/>
            <w:gridSpan w:val="4"/>
            <w:tcBorders>
              <w:top w:val="single" w:color="auto" w:sz="4" w:space="0"/>
              <w:bottom w:val="single" w:color="auto" w:sz="4" w:space="0"/>
            </w:tcBorders>
            <w:vAlign w:val="center"/>
          </w:tcPr>
          <w:p w14:paraId="17EDF2B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商务资信及其他分</w:t>
            </w:r>
          </w:p>
        </w:tc>
        <w:tc>
          <w:tcPr>
            <w:tcW w:w="774" w:type="dxa"/>
            <w:tcBorders>
              <w:top w:val="single" w:color="auto" w:sz="4" w:space="0"/>
              <w:bottom w:val="single" w:color="auto" w:sz="4" w:space="0"/>
              <w:right w:val="single" w:color="auto" w:sz="4" w:space="0"/>
            </w:tcBorders>
            <w:vAlign w:val="center"/>
          </w:tcPr>
          <w:p w14:paraId="0D7B4A09">
            <w:pPr>
              <w:spacing w:line="3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w:t>
            </w:r>
          </w:p>
        </w:tc>
      </w:tr>
      <w:tr w14:paraId="58987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780" w:type="dxa"/>
            <w:tcBorders>
              <w:top w:val="single" w:color="auto" w:sz="4" w:space="0"/>
              <w:left w:val="single" w:color="auto" w:sz="4" w:space="0"/>
              <w:bottom w:val="single" w:color="auto" w:sz="4" w:space="0"/>
            </w:tcBorders>
            <w:vAlign w:val="center"/>
          </w:tcPr>
          <w:p w14:paraId="6E2F1D8C">
            <w:pPr>
              <w:widowControl/>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73" w:type="dxa"/>
            <w:vMerge w:val="restart"/>
            <w:tcBorders>
              <w:top w:val="single" w:color="auto" w:sz="4" w:space="0"/>
              <w:bottom w:val="single" w:color="auto" w:sz="4" w:space="0"/>
            </w:tcBorders>
            <w:vAlign w:val="center"/>
          </w:tcPr>
          <w:p w14:paraId="6196C059">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商务资信部分</w:t>
            </w:r>
          </w:p>
        </w:tc>
        <w:tc>
          <w:tcPr>
            <w:tcW w:w="720" w:type="dxa"/>
            <w:tcBorders>
              <w:top w:val="single" w:color="auto" w:sz="4" w:space="0"/>
              <w:bottom w:val="single" w:color="auto" w:sz="4" w:space="0"/>
            </w:tcBorders>
            <w:vAlign w:val="center"/>
          </w:tcPr>
          <w:p w14:paraId="652F2301">
            <w:pPr>
              <w:widowControl/>
              <w:spacing w:line="3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服务团队</w:t>
            </w:r>
          </w:p>
        </w:tc>
        <w:tc>
          <w:tcPr>
            <w:tcW w:w="7530" w:type="dxa"/>
            <w:gridSpan w:val="2"/>
            <w:tcBorders>
              <w:top w:val="single" w:color="auto" w:sz="4" w:space="0"/>
              <w:bottom w:val="single" w:color="auto" w:sz="4" w:space="0"/>
            </w:tcBorders>
            <w:vAlign w:val="center"/>
          </w:tcPr>
          <w:p w14:paraId="547E3313">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项目经理具有白蚁防治专业高级技工或助理工程师及以上等级证书得1分；且同时具有白蚁防治职业培训合格证书的得（0-1分）；没有不得分，满分2分。</w:t>
            </w:r>
          </w:p>
          <w:p w14:paraId="14BF2E8B">
            <w:pPr>
              <w:widowControl/>
              <w:spacing w:line="340" w:lineRule="exact"/>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CN" w:eastAsia="zh-CN"/>
              </w:rPr>
              <w:t>项目班子其他成员持有白蚁防治职业资格证书或白蚁防治职业培训合格证书的专职人员4人的得2分,4人（不含）以上的每增加1人得0.5分，满分4分。</w:t>
            </w:r>
          </w:p>
          <w:p w14:paraId="4CBDDAC8">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(中标之后提供人员社保证明，如不能提供则作虚假应标处理并报财政部门列入黑名单</w:t>
            </w:r>
            <w:r>
              <w:rPr>
                <w:rFonts w:hint="eastAsia" w:ascii="宋体" w:hAnsi="宋体" w:eastAsia="宋体" w:cs="宋体"/>
                <w:color w:val="auto"/>
                <w:sz w:val="24"/>
                <w:highlight w:val="none"/>
                <w:lang w:val="zh-TW" w:eastAsia="zh-CN"/>
              </w:rPr>
              <w:t>）</w:t>
            </w:r>
          </w:p>
        </w:tc>
        <w:tc>
          <w:tcPr>
            <w:tcW w:w="774" w:type="dxa"/>
            <w:tcBorders>
              <w:top w:val="single" w:color="auto" w:sz="4" w:space="0"/>
              <w:bottom w:val="single" w:color="auto" w:sz="4" w:space="0"/>
              <w:right w:val="single" w:color="auto" w:sz="4" w:space="0"/>
            </w:tcBorders>
            <w:vAlign w:val="center"/>
          </w:tcPr>
          <w:p w14:paraId="3F496A16">
            <w:pPr>
              <w:widowControl/>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17C16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0" w:type="dxa"/>
            <w:tcBorders>
              <w:top w:val="single" w:color="auto" w:sz="4" w:space="0"/>
              <w:left w:val="single" w:color="auto" w:sz="4" w:space="0"/>
              <w:bottom w:val="single" w:color="auto" w:sz="4" w:space="0"/>
            </w:tcBorders>
            <w:vAlign w:val="center"/>
          </w:tcPr>
          <w:p w14:paraId="6E707EFB">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73" w:type="dxa"/>
            <w:vMerge w:val="continue"/>
            <w:tcBorders>
              <w:top w:val="single" w:color="auto" w:sz="4" w:space="0"/>
              <w:bottom w:val="single" w:color="auto" w:sz="4" w:space="0"/>
            </w:tcBorders>
            <w:vAlign w:val="center"/>
          </w:tcPr>
          <w:p w14:paraId="0F653BE6">
            <w:pPr>
              <w:widowControl/>
              <w:spacing w:line="340" w:lineRule="exact"/>
              <w:jc w:val="center"/>
              <w:rPr>
                <w:rFonts w:ascii="宋体" w:hAnsi="宋体" w:cs="宋体"/>
                <w:color w:val="auto"/>
                <w:sz w:val="24"/>
                <w:highlight w:val="none"/>
              </w:rPr>
            </w:pPr>
          </w:p>
        </w:tc>
        <w:tc>
          <w:tcPr>
            <w:tcW w:w="720" w:type="dxa"/>
            <w:tcBorders>
              <w:top w:val="single" w:color="auto" w:sz="4" w:space="0"/>
              <w:bottom w:val="single" w:color="auto" w:sz="4" w:space="0"/>
            </w:tcBorders>
            <w:vAlign w:val="center"/>
          </w:tcPr>
          <w:p w14:paraId="046D71EC">
            <w:pPr>
              <w:widowControl/>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14:paraId="6D680E9F">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业绩</w:t>
            </w:r>
          </w:p>
        </w:tc>
        <w:tc>
          <w:tcPr>
            <w:tcW w:w="7530" w:type="dxa"/>
            <w:gridSpan w:val="2"/>
            <w:tcBorders>
              <w:top w:val="single" w:color="auto" w:sz="4" w:space="0"/>
              <w:bottom w:val="single" w:color="auto" w:sz="4" w:space="0"/>
            </w:tcBorders>
            <w:vAlign w:val="center"/>
          </w:tcPr>
          <w:p w14:paraId="0EAE1494">
            <w:pPr>
              <w:widowControl/>
              <w:spacing w:line="340" w:lineRule="exact"/>
              <w:rPr>
                <w:rFonts w:hint="eastAsia" w:ascii="宋体" w:hAnsi="宋体" w:cs="宋体"/>
                <w:color w:val="auto"/>
                <w:sz w:val="24"/>
                <w:highlight w:val="none"/>
              </w:rPr>
            </w:pPr>
            <w:r>
              <w:rPr>
                <w:rFonts w:hint="eastAsia" w:ascii="宋体" w:hAnsi="宋体" w:eastAsia="宋体" w:cs="宋体"/>
                <w:color w:val="auto"/>
                <w:sz w:val="24"/>
                <w:highlight w:val="none"/>
                <w:lang w:val="zh-CN" w:eastAsia="zh-CN"/>
              </w:rPr>
              <w:t>投标人自</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eastAsia="zh-CN"/>
              </w:rPr>
              <w:t>年1月1日以来，具有白蚁防治同类项目业绩的，每提供一个业绩得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zh-CN" w:eastAsia="zh-CN"/>
              </w:rPr>
              <w:t>分，最高得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r>
              <w:rPr>
                <w:rFonts w:hint="eastAsia" w:ascii="宋体" w:hAnsi="宋体" w:cs="宋体"/>
                <w:color w:val="auto"/>
                <w:sz w:val="24"/>
                <w:highlight w:val="none"/>
              </w:rPr>
              <w:t>。</w:t>
            </w:r>
          </w:p>
          <w:p w14:paraId="7EDD81AA">
            <w:pPr>
              <w:widowControl/>
              <w:spacing w:line="340" w:lineRule="exact"/>
              <w:rPr>
                <w:rFonts w:ascii="宋体" w:hAnsi="宋体" w:cs="宋体"/>
                <w:color w:val="auto"/>
                <w:sz w:val="24"/>
                <w:highlight w:val="none"/>
              </w:rPr>
            </w:pPr>
            <w:r>
              <w:rPr>
                <w:rFonts w:hint="eastAsia" w:ascii="宋体" w:hAnsi="宋体" w:cs="宋体"/>
                <w:color w:val="auto"/>
                <w:sz w:val="24"/>
                <w:highlight w:val="none"/>
              </w:rPr>
              <w:t>注：提供中标通知书或合同复印件，以签订时间为准。</w:t>
            </w:r>
          </w:p>
        </w:tc>
        <w:tc>
          <w:tcPr>
            <w:tcW w:w="774" w:type="dxa"/>
            <w:tcBorders>
              <w:top w:val="single" w:color="auto" w:sz="4" w:space="0"/>
              <w:bottom w:val="single" w:color="auto" w:sz="4" w:space="0"/>
              <w:right w:val="single" w:color="auto" w:sz="4" w:space="0"/>
            </w:tcBorders>
            <w:vAlign w:val="center"/>
          </w:tcPr>
          <w:p w14:paraId="240F4F16">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546CBF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80" w:type="dxa"/>
            <w:tcBorders>
              <w:top w:val="single" w:color="auto" w:sz="4" w:space="0"/>
              <w:left w:val="single" w:color="auto" w:sz="4" w:space="0"/>
              <w:bottom w:val="single" w:color="auto" w:sz="4" w:space="0"/>
            </w:tcBorders>
            <w:vAlign w:val="center"/>
          </w:tcPr>
          <w:p w14:paraId="0E3C6A9A">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73" w:type="dxa"/>
            <w:vMerge w:val="continue"/>
            <w:tcBorders>
              <w:top w:val="single" w:color="auto" w:sz="4" w:space="0"/>
              <w:bottom w:val="single" w:color="auto" w:sz="4" w:space="0"/>
            </w:tcBorders>
            <w:vAlign w:val="center"/>
          </w:tcPr>
          <w:p w14:paraId="7169EEE7">
            <w:pPr>
              <w:widowControl/>
              <w:spacing w:line="340" w:lineRule="exact"/>
              <w:jc w:val="center"/>
              <w:rPr>
                <w:rFonts w:ascii="宋体" w:hAnsi="宋体" w:cs="宋体"/>
                <w:color w:val="auto"/>
                <w:sz w:val="24"/>
                <w:highlight w:val="none"/>
              </w:rPr>
            </w:pPr>
          </w:p>
        </w:tc>
        <w:tc>
          <w:tcPr>
            <w:tcW w:w="720" w:type="dxa"/>
            <w:tcBorders>
              <w:top w:val="single" w:color="auto" w:sz="4" w:space="0"/>
              <w:bottom w:val="single" w:color="auto" w:sz="4" w:space="0"/>
            </w:tcBorders>
            <w:vAlign w:val="center"/>
          </w:tcPr>
          <w:p w14:paraId="120860B2">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体系认证</w:t>
            </w:r>
          </w:p>
        </w:tc>
        <w:tc>
          <w:tcPr>
            <w:tcW w:w="7530" w:type="dxa"/>
            <w:gridSpan w:val="2"/>
            <w:tcBorders>
              <w:top w:val="single" w:color="auto" w:sz="4" w:space="0"/>
              <w:bottom w:val="single" w:color="auto" w:sz="4" w:space="0"/>
            </w:tcBorders>
            <w:vAlign w:val="center"/>
          </w:tcPr>
          <w:p w14:paraId="75E4253D">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投标人通过ISO9001质量体系认证、ISO14001环境管理体系认证、ISO</w:t>
            </w:r>
            <w:r>
              <w:rPr>
                <w:rFonts w:hint="eastAsia" w:ascii="宋体" w:hAnsi="宋体" w:eastAsia="宋体" w:cs="宋体"/>
                <w:color w:val="auto"/>
                <w:sz w:val="24"/>
                <w:highlight w:val="none"/>
                <w:lang w:val="en-US" w:eastAsia="zh-CN"/>
              </w:rPr>
              <w:t>45001职业健康安全管理体系认证</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GB/T27922服务认证证书的，每个得1分，最高得4分</w:t>
            </w:r>
            <w:r>
              <w:rPr>
                <w:rFonts w:hint="eastAsia" w:ascii="宋体" w:hAnsi="宋体" w:eastAsia="宋体" w:cs="宋体"/>
                <w:color w:val="auto"/>
                <w:sz w:val="24"/>
                <w:highlight w:val="none"/>
                <w:lang w:val="zh-CN" w:eastAsia="zh-CN"/>
              </w:rPr>
              <w:t>。</w:t>
            </w:r>
          </w:p>
          <w:p w14:paraId="56AF3C3E">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（提供证书复印件</w:t>
            </w:r>
            <w:r>
              <w:rPr>
                <w:rFonts w:hint="eastAsia" w:ascii="宋体" w:hAnsi="宋体" w:eastAsia="宋体" w:cs="宋体"/>
                <w:color w:val="auto"/>
                <w:sz w:val="24"/>
                <w:highlight w:val="none"/>
                <w:lang w:val="en-US" w:eastAsia="zh-CN"/>
              </w:rPr>
              <w:t>且在有效期内，</w:t>
            </w:r>
            <w:r>
              <w:rPr>
                <w:rFonts w:hint="eastAsia" w:ascii="宋体" w:hAnsi="宋体" w:eastAsia="宋体" w:cs="宋体"/>
                <w:color w:val="auto"/>
                <w:sz w:val="24"/>
                <w:highlight w:val="none"/>
                <w:lang w:val="zh-CN" w:eastAsia="zh-CN"/>
              </w:rPr>
              <w:t>否则不得分）。</w:t>
            </w:r>
          </w:p>
        </w:tc>
        <w:tc>
          <w:tcPr>
            <w:tcW w:w="774" w:type="dxa"/>
            <w:tcBorders>
              <w:top w:val="single" w:color="auto" w:sz="4" w:space="0"/>
              <w:bottom w:val="single" w:color="auto" w:sz="4" w:space="0"/>
              <w:right w:val="single" w:color="auto" w:sz="4" w:space="0"/>
            </w:tcBorders>
            <w:vAlign w:val="center"/>
          </w:tcPr>
          <w:p w14:paraId="06CB659F">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bl>
    <w:p w14:paraId="441F96EA">
      <w:pPr>
        <w:tabs>
          <w:tab w:val="left" w:pos="210"/>
          <w:tab w:val="left" w:pos="420"/>
        </w:tabs>
        <w:adjustRightInd w:val="0"/>
        <w:snapToGrid w:val="0"/>
        <w:spacing w:line="440" w:lineRule="atLeast"/>
        <w:jc w:val="both"/>
        <w:rPr>
          <w:rFonts w:hint="eastAsia" w:ascii="宋体" w:hAnsi="宋体" w:cs="宋体"/>
          <w:b/>
          <w:color w:val="auto"/>
          <w:sz w:val="32"/>
          <w:szCs w:val="32"/>
          <w:highlight w:val="none"/>
        </w:rPr>
      </w:pPr>
    </w:p>
    <w:p w14:paraId="547E86E5">
      <w:pPr>
        <w:tabs>
          <w:tab w:val="left" w:pos="210"/>
          <w:tab w:val="left" w:pos="420"/>
        </w:tabs>
        <w:adjustRightInd w:val="0"/>
        <w:snapToGrid w:val="0"/>
        <w:spacing w:line="440" w:lineRule="atLeast"/>
        <w:ind w:firstLine="2570" w:firstLineChars="800"/>
        <w:jc w:val="both"/>
        <w:rPr>
          <w:rFonts w:hint="eastAsia" w:ascii="宋体" w:hAnsi="宋体" w:cs="宋体"/>
          <w:b/>
          <w:color w:val="auto"/>
          <w:sz w:val="32"/>
          <w:szCs w:val="32"/>
          <w:highlight w:val="none"/>
        </w:rPr>
      </w:pPr>
    </w:p>
    <w:p w14:paraId="56654CB5">
      <w:pPr>
        <w:pStyle w:val="9"/>
        <w:rPr>
          <w:rFonts w:hint="eastAsia" w:ascii="宋体" w:hAnsi="宋体" w:cs="宋体"/>
          <w:b/>
          <w:color w:val="auto"/>
          <w:sz w:val="32"/>
          <w:szCs w:val="32"/>
          <w:highlight w:val="none"/>
        </w:rPr>
      </w:pPr>
    </w:p>
    <w:p w14:paraId="61CCD5D0">
      <w:pPr>
        <w:rPr>
          <w:rFonts w:hint="eastAsia" w:ascii="宋体" w:hAnsi="宋体" w:cs="宋体"/>
          <w:b/>
          <w:color w:val="auto"/>
          <w:sz w:val="32"/>
          <w:szCs w:val="32"/>
          <w:highlight w:val="none"/>
        </w:rPr>
      </w:pPr>
    </w:p>
    <w:p w14:paraId="4BFB4B9F">
      <w:pPr>
        <w:pStyle w:val="9"/>
        <w:rPr>
          <w:rFonts w:hint="eastAsia"/>
        </w:rPr>
      </w:pPr>
    </w:p>
    <w:p w14:paraId="620B4E3B">
      <w:pPr>
        <w:tabs>
          <w:tab w:val="left" w:pos="210"/>
          <w:tab w:val="left" w:pos="420"/>
        </w:tabs>
        <w:adjustRightInd w:val="0"/>
        <w:snapToGrid w:val="0"/>
        <w:spacing w:line="440" w:lineRule="atLeast"/>
        <w:ind w:firstLine="2891" w:firstLineChars="900"/>
        <w:jc w:val="both"/>
        <w:rPr>
          <w:rFonts w:ascii="宋体" w:hAnsi="宋体" w:cs="宋体"/>
          <w:color w:val="auto"/>
          <w:sz w:val="32"/>
          <w:szCs w:val="32"/>
          <w:highlight w:val="none"/>
        </w:rPr>
      </w:pPr>
      <w:r>
        <w:rPr>
          <w:rFonts w:hint="eastAsia" w:ascii="宋体" w:hAnsi="宋体" w:cs="宋体"/>
          <w:b/>
          <w:color w:val="auto"/>
          <w:sz w:val="32"/>
          <w:szCs w:val="32"/>
          <w:highlight w:val="none"/>
        </w:rPr>
        <w:t>第五章  政府采购合同</w:t>
      </w:r>
    </w:p>
    <w:p w14:paraId="74392D74">
      <w:pPr>
        <w:pStyle w:val="2"/>
        <w:snapToGrid w:val="0"/>
        <w:spacing w:before="120" w:after="120" w:line="320" w:lineRule="exact"/>
        <w:rPr>
          <w:rFonts w:hAnsi="宋体" w:cs="宋体"/>
          <w:color w:val="auto"/>
          <w:highlight w:val="none"/>
        </w:rPr>
      </w:pPr>
    </w:p>
    <w:p w14:paraId="652CEFBE">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项目名称：                   项目编号：               合同号：</w:t>
      </w:r>
    </w:p>
    <w:p w14:paraId="4674AF65">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甲方（买方）：</w:t>
      </w:r>
    </w:p>
    <w:p w14:paraId="14A399B6">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乙方（卖方）：</w:t>
      </w:r>
    </w:p>
    <w:p w14:paraId="3A8B3D50">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鉴证方（招标方）：</w:t>
      </w:r>
    </w:p>
    <w:p w14:paraId="29E09736">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b/>
          <w:color w:val="auto"/>
          <w:highlight w:val="none"/>
        </w:rPr>
      </w:pPr>
      <w:r>
        <w:rPr>
          <w:rFonts w:hint="eastAsia" w:hAnsi="宋体" w:cs="宋体"/>
          <w:color w:val="auto"/>
          <w:highlight w:val="none"/>
        </w:rPr>
        <w:t>甲、乙双方根据</w:t>
      </w:r>
      <w:r>
        <w:rPr>
          <w:rFonts w:hint="eastAsia" w:hAnsi="宋体" w:cs="宋体"/>
          <w:color w:val="auto"/>
          <w:highlight w:val="none"/>
          <w:u w:val="single"/>
          <w:lang w:val="en-US" w:eastAsia="zh-CN"/>
        </w:rPr>
        <w:t xml:space="preserve">     </w:t>
      </w:r>
      <w:r>
        <w:rPr>
          <w:rFonts w:hint="eastAsia" w:hAnsi="宋体" w:cs="宋体"/>
          <w:color w:val="auto"/>
          <w:highlight w:val="none"/>
        </w:rPr>
        <w:t>年</w:t>
      </w:r>
      <w:r>
        <w:rPr>
          <w:rFonts w:hint="eastAsia" w:hAnsi="宋体" w:cs="宋体"/>
          <w:color w:val="auto"/>
          <w:highlight w:val="none"/>
          <w:u w:val="single"/>
          <w:lang w:val="en-US" w:eastAsia="zh-CN"/>
        </w:rPr>
        <w:t xml:space="preserve">    </w:t>
      </w:r>
      <w:r>
        <w:rPr>
          <w:rFonts w:hint="eastAsia" w:hAnsi="宋体" w:cs="宋体"/>
          <w:color w:val="auto"/>
          <w:highlight w:val="none"/>
        </w:rPr>
        <w:t>月</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 xml:space="preserve"> </w:t>
      </w:r>
      <w:r>
        <w:rPr>
          <w:rFonts w:hint="eastAsia" w:hAnsi="宋体" w:cs="宋体"/>
          <w:color w:val="auto"/>
          <w:highlight w:val="none"/>
        </w:rPr>
        <w:t>日</w:t>
      </w:r>
      <w:r>
        <w:rPr>
          <w:rFonts w:hint="eastAsia" w:hAnsi="宋体" w:cs="宋体"/>
          <w:color w:val="auto"/>
          <w:highlight w:val="none"/>
          <w:lang w:eastAsia="zh-CN"/>
        </w:rPr>
        <w:t>杭州建设工程造价咨询有限公司</w:t>
      </w:r>
      <w:r>
        <w:rPr>
          <w:rFonts w:hint="eastAsia" w:hAnsi="宋体" w:cs="宋体"/>
          <w:color w:val="auto"/>
          <w:highlight w:val="none"/>
        </w:rPr>
        <w:t>关于项目公开招标的结果，签署本合同。</w:t>
      </w:r>
    </w:p>
    <w:p w14:paraId="78707870">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一、服务内容</w:t>
      </w:r>
    </w:p>
    <w:p w14:paraId="4247D4DC">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 服务名称：</w:t>
      </w:r>
    </w:p>
    <w:p w14:paraId="173918FF">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 服务期限：</w:t>
      </w:r>
    </w:p>
    <w:p w14:paraId="099A22F7">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3. 服务地址：</w:t>
      </w:r>
    </w:p>
    <w:p w14:paraId="45E1182D">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二、合同金额</w:t>
      </w:r>
    </w:p>
    <w:p w14:paraId="56509E49">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left="410" w:hanging="410" w:hangingChars="171"/>
        <w:textAlignment w:val="auto"/>
        <w:rPr>
          <w:rFonts w:hAnsi="宋体" w:cs="宋体"/>
          <w:color w:val="auto"/>
          <w:highlight w:val="none"/>
        </w:rPr>
      </w:pPr>
      <w:r>
        <w:rPr>
          <w:rFonts w:hint="eastAsia" w:hAnsi="宋体" w:cs="宋体"/>
          <w:color w:val="auto"/>
          <w:highlight w:val="none"/>
        </w:rPr>
        <w:t xml:space="preserve"> 本合同金额为（大写）：_______________________元（￥_________元）人民币。</w:t>
      </w:r>
    </w:p>
    <w:p w14:paraId="63D04105">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三、知识产权及技术资料</w:t>
      </w:r>
    </w:p>
    <w:p w14:paraId="59988912">
      <w:pPr>
        <w:pStyle w:val="2"/>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b/>
          <w:color w:val="auto"/>
          <w:highlight w:val="none"/>
        </w:rPr>
      </w:pPr>
      <w:r>
        <w:rPr>
          <w:rFonts w:hint="eastAsia" w:hAnsi="宋体" w:cs="宋体"/>
          <w:color w:val="auto"/>
          <w:highlight w:val="none"/>
        </w:rPr>
        <w:t>1.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0A4264">
      <w:pPr>
        <w:pStyle w:val="2"/>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hAnsi="宋体" w:cs="宋体"/>
          <w:color w:val="auto"/>
          <w:highlight w:val="none"/>
        </w:rPr>
      </w:pPr>
      <w:r>
        <w:rPr>
          <w:rFonts w:hint="eastAsia" w:hAnsi="宋体" w:cs="宋体"/>
          <w:color w:val="auto"/>
          <w:highlight w:val="none"/>
        </w:rPr>
        <w:t>2.乙方应保证所提供的技术服务或其任何一部分均不会侵犯任何第三方的知识产权。</w:t>
      </w:r>
    </w:p>
    <w:p w14:paraId="6A7BD49B">
      <w:pPr>
        <w:pStyle w:val="2"/>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hAnsi="宋体" w:eastAsia="宋体" w:cs="宋体"/>
          <w:color w:val="auto"/>
          <w:highlight w:val="none"/>
          <w:lang w:val="en-US" w:eastAsia="zh-CN"/>
        </w:rPr>
      </w:pPr>
      <w:r>
        <w:rPr>
          <w:rFonts w:hint="eastAsia" w:hAnsi="宋体" w:cs="宋体"/>
          <w:color w:val="auto"/>
          <w:highlight w:val="none"/>
          <w:lang w:val="en-US" w:eastAsia="zh-CN"/>
        </w:rPr>
        <w:t>3.</w:t>
      </w:r>
      <w:r>
        <w:rPr>
          <w:rFonts w:hAnsi="宋体"/>
          <w:color w:val="auto"/>
        </w:rPr>
        <w:t>乙方应按招标文件规定的时间向甲方提供有关技术资料</w:t>
      </w:r>
      <w:r>
        <w:rPr>
          <w:rFonts w:hint="eastAsia" w:hAnsi="宋体"/>
          <w:color w:val="auto"/>
          <w:lang w:eastAsia="zh-CN"/>
        </w:rPr>
        <w:t>。</w:t>
      </w:r>
    </w:p>
    <w:p w14:paraId="7142F4D8">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left="410" w:hanging="410" w:hangingChars="170"/>
        <w:textAlignment w:val="auto"/>
        <w:rPr>
          <w:rFonts w:hint="eastAsia" w:hAnsi="宋体" w:cs="宋体"/>
          <w:b/>
          <w:color w:val="auto"/>
          <w:highlight w:val="none"/>
        </w:rPr>
      </w:pPr>
      <w:r>
        <w:rPr>
          <w:rFonts w:hint="eastAsia" w:hAnsi="宋体" w:cs="宋体"/>
          <w:b/>
          <w:color w:val="auto"/>
          <w:highlight w:val="none"/>
        </w:rPr>
        <w:t>四、履约保证金</w:t>
      </w:r>
    </w:p>
    <w:p w14:paraId="68C4E34E">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left="479" w:leftChars="228" w:firstLine="72" w:firstLineChars="30"/>
        <w:textAlignment w:val="auto"/>
        <w:rPr>
          <w:rFonts w:hint="eastAsia" w:ascii="宋体" w:hAnsi="宋体" w:eastAsia="宋体" w:cs="宋体"/>
          <w:bCs/>
          <w:color w:val="auto"/>
          <w:sz w:val="24"/>
          <w:highlight w:val="none"/>
          <w:lang w:eastAsia="zh-CN"/>
        </w:rPr>
      </w:pPr>
      <w:r>
        <w:rPr>
          <w:rFonts w:hint="eastAsia" w:hAnsi="宋体" w:cs="宋体"/>
          <w:color w:val="auto"/>
          <w:kern w:val="0"/>
          <w:highlight w:val="none"/>
          <w:lang w:eastAsia="zh-CN"/>
        </w:rPr>
        <w:t>本项目</w:t>
      </w:r>
      <w:r>
        <w:rPr>
          <w:rFonts w:hint="eastAsia" w:ascii="宋体" w:hAnsi="宋体" w:eastAsia="宋体" w:cs="宋体"/>
          <w:color w:val="auto"/>
          <w:kern w:val="0"/>
          <w:highlight w:val="none"/>
        </w:rPr>
        <w:t>不收取履约保证金</w:t>
      </w:r>
      <w:r>
        <w:rPr>
          <w:rFonts w:hint="eastAsia" w:hAnsi="宋体" w:cs="宋体"/>
          <w:color w:val="auto"/>
          <w:kern w:val="0"/>
          <w:highlight w:val="none"/>
          <w:lang w:eastAsia="zh-CN"/>
        </w:rPr>
        <w:t>。</w:t>
      </w:r>
    </w:p>
    <w:p w14:paraId="17E40573">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left="410" w:hanging="410" w:hangingChars="170"/>
        <w:textAlignment w:val="auto"/>
        <w:rPr>
          <w:rFonts w:hAnsi="宋体" w:cs="宋体"/>
          <w:b/>
          <w:color w:val="auto"/>
          <w:highlight w:val="none"/>
        </w:rPr>
      </w:pPr>
      <w:r>
        <w:rPr>
          <w:rFonts w:hint="eastAsia" w:hAnsi="宋体" w:cs="宋体"/>
          <w:b/>
          <w:color w:val="auto"/>
          <w:highlight w:val="none"/>
        </w:rPr>
        <w:t>五、转包或分包</w:t>
      </w:r>
    </w:p>
    <w:p w14:paraId="17D3666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14:paraId="2DCA8D6C">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kern w:val="0"/>
          <w:highlight w:val="none"/>
        </w:rPr>
      </w:pPr>
      <w:r>
        <w:rPr>
          <w:rFonts w:hint="eastAsia" w:hAnsi="宋体" w:cs="宋体"/>
          <w:color w:val="auto"/>
          <w:kern w:val="0"/>
          <w:highlight w:val="none"/>
        </w:rPr>
        <w:t>2.本项目分包按照浙财采监[2022]3号文件执行。</w:t>
      </w:r>
    </w:p>
    <w:p w14:paraId="44A4F7E2">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六、服务款支付</w:t>
      </w:r>
    </w:p>
    <w:p w14:paraId="4B333130">
      <w:pPr>
        <w:keepNext w:val="0"/>
        <w:keepLines w:val="0"/>
        <w:pageBreakBefore w:val="0"/>
        <w:shd w:val="clear" w:color="auto" w:fill="auto"/>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pacing w:val="-4"/>
          <w:sz w:val="24"/>
          <w:highlight w:val="none"/>
        </w:rPr>
        <w:t>1.</w:t>
      </w:r>
      <w:r>
        <w:rPr>
          <w:rFonts w:hint="eastAsia" w:ascii="宋体" w:hAnsi="宋体" w:eastAsia="宋体" w:cs="宋体"/>
          <w:color w:val="auto"/>
          <w:kern w:val="2"/>
          <w:sz w:val="24"/>
          <w:szCs w:val="24"/>
          <w:highlight w:val="none"/>
          <w:lang w:val="en-US" w:eastAsia="zh-CN" w:bidi="ar-SA"/>
        </w:rPr>
        <w:t>新建房屋白蚁防治项目服务费用以中标单价为结算基准价，分配给中标单位施工的项目待</w:t>
      </w:r>
      <w:r>
        <w:rPr>
          <w:rFonts w:hint="eastAsia" w:ascii="宋体" w:hAnsi="宋体" w:cs="宋体"/>
          <w:color w:val="auto"/>
          <w:kern w:val="2"/>
          <w:sz w:val="24"/>
          <w:szCs w:val="24"/>
          <w:highlight w:val="none"/>
          <w:lang w:val="en-US" w:eastAsia="zh-CN" w:bidi="ar-SA"/>
        </w:rPr>
        <w:t>合同签订</w:t>
      </w:r>
      <w:r>
        <w:rPr>
          <w:rFonts w:hint="eastAsia" w:ascii="宋体" w:hAnsi="宋体" w:eastAsia="宋体" w:cs="宋体"/>
          <w:color w:val="auto"/>
          <w:kern w:val="2"/>
          <w:sz w:val="24"/>
          <w:szCs w:val="24"/>
          <w:highlight w:val="none"/>
          <w:lang w:val="en-US" w:eastAsia="zh-CN" w:bidi="ar-SA"/>
        </w:rPr>
        <w:t>后7个工作日内支付该批次合同金额的</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0%作为服务费预付款（中标单价×数量×</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0%），服务费由采购单位根据当期业务量和资金落实情况按季度支付剩余的</w:t>
      </w:r>
      <w:r>
        <w:rPr>
          <w:rFonts w:hint="eastAsia" w:ascii="宋体" w:hAnsi="宋体" w:cs="宋体"/>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%，即：该批次完工验收后，7个工作日内付至合同金额的100%。</w:t>
      </w:r>
    </w:p>
    <w:p w14:paraId="26A93EB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2.由考核验收结果或违约责任引起的经济扣罚直接在当季核拨的经费中扣除；应急性任务或上级交办工作的费用，凭政府采购中标通知书、合同、工作量结算清单向采购单位申请支付；</w:t>
      </w:r>
    </w:p>
    <w:p w14:paraId="77555FE3">
      <w:pPr>
        <w:pStyle w:val="22"/>
        <w:keepNext w:val="0"/>
        <w:keepLines w:val="0"/>
        <w:pageBreakBefore w:val="0"/>
        <w:widowControl w:val="0"/>
        <w:kinsoku/>
        <w:wordWrap/>
        <w:overflowPunct/>
        <w:topLinePunct w:val="0"/>
        <w:autoSpaceDE/>
        <w:autoSpaceDN/>
        <w:bidi w:val="0"/>
        <w:adjustRightInd/>
        <w:snapToGrid w:val="0"/>
        <w:spacing w:before="120" w:beforeLines="50" w:beforeAutospacing="0" w:after="120" w:afterLines="50" w:afterAutospacing="0"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3.中标人办理费用结算时须提供正式税务发票。</w:t>
      </w:r>
    </w:p>
    <w:p w14:paraId="15020D11">
      <w:pPr>
        <w:pStyle w:val="22"/>
        <w:keepNext w:val="0"/>
        <w:keepLines w:val="0"/>
        <w:pageBreakBefore w:val="0"/>
        <w:widowControl w:val="0"/>
        <w:kinsoku/>
        <w:wordWrap/>
        <w:overflowPunct/>
        <w:topLinePunct w:val="0"/>
        <w:autoSpaceDE/>
        <w:autoSpaceDN/>
        <w:bidi w:val="0"/>
        <w:adjustRightInd/>
        <w:snapToGrid w:val="0"/>
        <w:spacing w:before="120" w:beforeLines="50" w:beforeAutospacing="0" w:after="120" w:afterLines="50" w:afterAutospacing="0" w:line="400" w:lineRule="exact"/>
        <w:ind w:firstLine="482" w:firstLineChars="200"/>
        <w:jc w:val="both"/>
        <w:textAlignment w:val="auto"/>
        <w:rPr>
          <w:rFonts w:cs="宋体"/>
          <w:b/>
          <w:color w:val="auto"/>
          <w:szCs w:val="20"/>
          <w:highlight w:val="none"/>
        </w:rPr>
      </w:pPr>
      <w:r>
        <w:rPr>
          <w:rFonts w:hint="eastAsia" w:cs="宋体"/>
          <w:b/>
          <w:color w:val="auto"/>
          <w:highlight w:val="none"/>
        </w:rPr>
        <w:t>七、税费</w:t>
      </w:r>
    </w:p>
    <w:p w14:paraId="4E8D027A">
      <w:pPr>
        <w:keepNext w:val="0"/>
        <w:keepLines w:val="0"/>
        <w:pageBreakBefore w:val="0"/>
        <w:widowControl w:val="0"/>
        <w:kinsoku/>
        <w:wordWrap/>
        <w:overflowPunct/>
        <w:topLinePunct w:val="0"/>
        <w:autoSpaceDE/>
        <w:autoSpaceDN/>
        <w:bidi w:val="0"/>
        <w:adjustRightInd/>
        <w:snapToGrid w:val="0"/>
        <w:spacing w:before="120" w:beforeLines="50" w:after="120" w:afterLines="50"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5181FC82">
      <w:pPr>
        <w:keepNext w:val="0"/>
        <w:keepLines w:val="0"/>
        <w:pageBreakBefore w:val="0"/>
        <w:widowControl w:val="0"/>
        <w:kinsoku/>
        <w:wordWrap/>
        <w:overflowPunct/>
        <w:topLinePunct w:val="0"/>
        <w:autoSpaceDE/>
        <w:autoSpaceDN/>
        <w:bidi w:val="0"/>
        <w:adjustRightInd/>
        <w:snapToGrid w:val="0"/>
        <w:spacing w:before="120" w:beforeLines="50" w:after="120" w:afterLines="50"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八、调试和验收</w:t>
      </w:r>
    </w:p>
    <w:p w14:paraId="473BF681">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left="479" w:leftChars="228" w:firstLine="69" w:firstLineChars="29"/>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采购单位组织</w:t>
      </w:r>
      <w:r>
        <w:rPr>
          <w:rFonts w:hint="eastAsia" w:ascii="宋体" w:hAnsi="宋体" w:eastAsia="宋体" w:cs="宋体"/>
          <w:color w:val="auto"/>
          <w:highlight w:val="none"/>
          <w:lang w:val="en-US" w:eastAsia="zh-CN"/>
        </w:rPr>
        <w:t>验收</w:t>
      </w:r>
    </w:p>
    <w:p w14:paraId="2FCBB5D3">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left="412" w:hanging="412" w:hangingChars="171"/>
        <w:textAlignment w:val="auto"/>
        <w:rPr>
          <w:rFonts w:hAnsi="宋体" w:cs="宋体"/>
          <w:color w:val="auto"/>
          <w:highlight w:val="none"/>
        </w:rPr>
      </w:pPr>
      <w:r>
        <w:rPr>
          <w:rFonts w:hint="eastAsia" w:hAnsi="宋体" w:cs="宋体"/>
          <w:b/>
          <w:color w:val="auto"/>
          <w:highlight w:val="none"/>
        </w:rPr>
        <w:t>九、服务质量保证及售后服务</w:t>
      </w:r>
    </w:p>
    <w:p w14:paraId="400AEE14">
      <w:pPr>
        <w:pStyle w:val="2"/>
        <w:keepNext w:val="0"/>
        <w:keepLines w:val="0"/>
        <w:pageBreakBefore w:val="0"/>
        <w:widowControl w:val="0"/>
        <w:kinsoku/>
        <w:wordWrap/>
        <w:overflowPunct/>
        <w:topLinePunct w:val="0"/>
        <w:autoSpaceDE/>
        <w:autoSpaceDN/>
        <w:bidi w:val="0"/>
        <w:adjustRightInd/>
        <w:snapToGrid w:val="0"/>
        <w:spacing w:before="120" w:afterLines="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hAnsi="宋体" w:cs="宋体"/>
          <w:color w:val="auto"/>
          <w:highlight w:val="none"/>
          <w:lang w:val="en-US" w:eastAsia="zh-CN"/>
        </w:rPr>
        <w:t>.</w:t>
      </w:r>
      <w:r>
        <w:rPr>
          <w:rFonts w:hAnsi="宋体"/>
          <w:color w:val="auto"/>
        </w:rPr>
        <w:t>乙方应按招标文件规定向甲方提供服务</w:t>
      </w:r>
      <w:r>
        <w:rPr>
          <w:rFonts w:hint="eastAsia" w:ascii="宋体" w:hAnsi="宋体" w:eastAsia="宋体" w:cs="宋体"/>
          <w:color w:val="auto"/>
          <w:highlight w:val="none"/>
        </w:rPr>
        <w:t>。</w:t>
      </w:r>
    </w:p>
    <w:p w14:paraId="33140113">
      <w:pPr>
        <w:pStyle w:val="2"/>
        <w:snapToGrid w:val="0"/>
        <w:spacing w:beforeLines="0" w:beforeAutospacing="0" w:afterLines="0" w:afterAutospacing="0" w:line="360" w:lineRule="auto"/>
        <w:ind w:left="0" w:leftChars="0" w:firstLine="480" w:firstLineChars="200"/>
        <w:rPr>
          <w:rFonts w:hAnsi="宋体"/>
          <w:color w:val="auto"/>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w:t>
      </w:r>
      <w:r>
        <w:rPr>
          <w:rFonts w:hAnsi="宋体"/>
          <w:color w:val="auto"/>
        </w:rPr>
        <w:t>乙方提供的服务成果在服务质量保证期内发生故障，乙方应负责免费提供后续服务。对达不到要求者，根据实际情况，经双方协商，可按以下办法处理：</w:t>
      </w:r>
    </w:p>
    <w:p w14:paraId="163919D5">
      <w:pPr>
        <w:pStyle w:val="2"/>
        <w:snapToGrid w:val="0"/>
        <w:spacing w:beforeLines="0" w:beforeAutospacing="0" w:afterLines="0" w:afterAutospacing="0" w:line="360" w:lineRule="auto"/>
        <w:ind w:firstLine="720" w:firstLineChars="300"/>
        <w:rPr>
          <w:rFonts w:hAnsi="宋体"/>
          <w:color w:val="auto"/>
        </w:rPr>
      </w:pPr>
      <w:r>
        <w:rPr>
          <w:rFonts w:hAnsi="宋体"/>
          <w:color w:val="auto"/>
        </w:rPr>
        <w:t>⑴重做：由乙方承担所发生的全部费用。</w:t>
      </w:r>
    </w:p>
    <w:p w14:paraId="244A8608">
      <w:pPr>
        <w:pStyle w:val="2"/>
        <w:snapToGrid w:val="0"/>
        <w:spacing w:beforeLines="0" w:beforeAutospacing="0" w:afterLines="0" w:afterAutospacing="0" w:line="360" w:lineRule="auto"/>
        <w:ind w:firstLine="720" w:firstLineChars="300"/>
        <w:rPr>
          <w:rFonts w:hAnsi="宋体"/>
          <w:color w:val="auto"/>
        </w:rPr>
      </w:pPr>
      <w:r>
        <w:rPr>
          <w:rFonts w:hAnsi="宋体"/>
          <w:color w:val="auto"/>
        </w:rPr>
        <w:t>⑵贬值处理：由甲乙双方合议定价。</w:t>
      </w:r>
    </w:p>
    <w:p w14:paraId="3C48BE3D">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00" w:lineRule="exact"/>
        <w:ind w:firstLine="720" w:firstLineChars="300"/>
        <w:textAlignment w:val="auto"/>
        <w:rPr>
          <w:rFonts w:hint="eastAsia" w:ascii="宋体" w:hAnsi="宋体" w:eastAsia="宋体" w:cs="宋体"/>
          <w:color w:val="auto"/>
          <w:highlight w:val="none"/>
        </w:rPr>
      </w:pPr>
      <w:r>
        <w:rPr>
          <w:rFonts w:hAnsi="宋体"/>
          <w:color w:val="auto"/>
        </w:rPr>
        <w:t>⑶解除合同</w:t>
      </w:r>
      <w:r>
        <w:rPr>
          <w:rFonts w:hint="eastAsia" w:ascii="宋体" w:hAnsi="宋体" w:eastAsia="宋体" w:cs="宋体"/>
          <w:color w:val="auto"/>
          <w:highlight w:val="none"/>
        </w:rPr>
        <w:t>。</w:t>
      </w:r>
    </w:p>
    <w:p w14:paraId="4370AD2F">
      <w:pPr>
        <w:pStyle w:val="2"/>
        <w:keepNext w:val="0"/>
        <w:keepLines w:val="0"/>
        <w:pageBreakBefore w:val="0"/>
        <w:widowControl w:val="0"/>
        <w:kinsoku/>
        <w:wordWrap/>
        <w:overflowPunct/>
        <w:topLinePunct w:val="0"/>
        <w:autoSpaceDE/>
        <w:autoSpaceDN/>
        <w:bidi w:val="0"/>
        <w:adjustRightInd/>
        <w:snapToGrid w:val="0"/>
        <w:spacing w:beforeLines="0" w:beforeAutospacing="0" w:after="120"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w:t>
      </w:r>
      <w:r>
        <w:rPr>
          <w:rFonts w:hAnsi="宋体"/>
          <w:color w:val="auto"/>
        </w:rPr>
        <w:t>如在使用过程中发生问题，乙方在接到甲方通知后</w:t>
      </w:r>
      <w:r>
        <w:rPr>
          <w:rFonts w:hint="eastAsia" w:hAnsi="宋体"/>
          <w:color w:val="auto"/>
          <w:u w:val="single"/>
        </w:rPr>
        <w:t xml:space="preserve">    </w:t>
      </w:r>
      <w:r>
        <w:rPr>
          <w:rFonts w:hAnsi="宋体"/>
          <w:color w:val="auto"/>
        </w:rPr>
        <w:t>小时内到达甲方现场</w:t>
      </w:r>
      <w:r>
        <w:rPr>
          <w:rFonts w:hint="eastAsia" w:ascii="宋体" w:hAnsi="宋体" w:eastAsia="宋体" w:cs="宋体"/>
          <w:color w:val="auto"/>
          <w:highlight w:val="none"/>
        </w:rPr>
        <w:t>。</w:t>
      </w:r>
    </w:p>
    <w:p w14:paraId="0D25C99A">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b/>
          <w:color w:val="auto"/>
          <w:highlight w:val="none"/>
        </w:rPr>
      </w:pPr>
      <w:r>
        <w:rPr>
          <w:rFonts w:hint="eastAsia" w:hAnsi="宋体" w:cs="宋体"/>
          <w:color w:val="auto"/>
          <w:highlight w:val="none"/>
          <w:lang w:val="en-US" w:eastAsia="zh-CN"/>
        </w:rPr>
        <w:t>4.</w:t>
      </w:r>
      <w:r>
        <w:rPr>
          <w:rFonts w:hint="eastAsia" w:hAnsi="宋体" w:cs="宋体"/>
          <w:color w:val="auto"/>
          <w:highlight w:val="none"/>
        </w:rPr>
        <w:t>在服务期内，乙方应对服务成果出现的质量问题负责处理解决并承担一切费用。</w:t>
      </w:r>
      <w:r>
        <w:rPr>
          <w:rFonts w:hint="eastAsia" w:hAnsi="宋体" w:cs="宋体"/>
          <w:b/>
          <w:color w:val="auto"/>
          <w:highlight w:val="none"/>
        </w:rPr>
        <w:t>十、不可抗力事件处理</w:t>
      </w:r>
    </w:p>
    <w:p w14:paraId="6F6722C7">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1.在合同有效期内，任何一方因不可抗力事件导致不能履行合同，则合同履行期可延长，其延长期与不可抗力影响期相同。</w:t>
      </w:r>
    </w:p>
    <w:p w14:paraId="66B8999D">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2.不可抗力事件发生后，应立即通知对方，并寄送有关权威机构出具的证明。</w:t>
      </w:r>
    </w:p>
    <w:p w14:paraId="50E3DE47">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3.不可抗力事件延续120天以上，双方应通过友好协商，确定是否继续履行合同。</w:t>
      </w:r>
    </w:p>
    <w:p w14:paraId="17651A4D">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十一、诉讼</w:t>
      </w:r>
    </w:p>
    <w:p w14:paraId="7D9CC848">
      <w:pPr>
        <w:pStyle w:val="2"/>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双方在执行合同中所发生的一切争议，应通过协商解决。如协商不成，可向甲方所在地法院起诉。</w:t>
      </w:r>
    </w:p>
    <w:p w14:paraId="5B92D427">
      <w:pPr>
        <w:pStyle w:val="2"/>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十二、合同生效及其它</w:t>
      </w:r>
    </w:p>
    <w:p w14:paraId="4687DC51">
      <w:pPr>
        <w:pStyle w:val="2"/>
        <w:keepNext w:val="0"/>
        <w:keepLines w:val="0"/>
        <w:pageBreakBefore w:val="0"/>
        <w:widowControl w:val="0"/>
        <w:kinsoku/>
        <w:wordWrap/>
        <w:overflowPunct/>
        <w:topLinePunct w:val="0"/>
        <w:autoSpaceDE/>
        <w:autoSpaceDN/>
        <w:bidi w:val="0"/>
        <w:adjustRightInd/>
        <w:snapToGrid w:val="0"/>
        <w:spacing w:before="120" w:afterLines="0" w:afterAutospacing="0" w:line="360" w:lineRule="auto"/>
        <w:ind w:firstLine="480" w:firstLineChars="200"/>
        <w:textAlignment w:val="auto"/>
        <w:rPr>
          <w:rFonts w:hAnsi="宋体" w:cs="宋体"/>
          <w:color w:val="auto"/>
          <w:highlight w:val="none"/>
        </w:rPr>
      </w:pPr>
      <w:r>
        <w:rPr>
          <w:rFonts w:hint="eastAsia" w:hAnsi="宋体" w:cs="宋体"/>
          <w:color w:val="auto"/>
          <w:highlight w:val="none"/>
        </w:rPr>
        <w:t>1.合同经双方法定代表人或委托代理人签字并加盖单位公章后生效。</w:t>
      </w:r>
    </w:p>
    <w:p w14:paraId="7F4CE50D">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textAlignment w:val="auto"/>
        <w:rPr>
          <w:rFonts w:hAnsi="宋体" w:cs="宋体"/>
          <w:color w:val="auto"/>
          <w:highlight w:val="none"/>
        </w:rPr>
      </w:pPr>
      <w:r>
        <w:rPr>
          <w:rFonts w:hint="eastAsia" w:hAnsi="宋体" w:cs="宋体"/>
          <w:color w:val="auto"/>
          <w:highlight w:val="none"/>
        </w:rPr>
        <w:t>2.合同执行中涉及采购资金和采购内容修改或补充的，须经财政部门审批，并签书面补充协议报政府采购监督管理部门备案，方可作为主合同不可分割的一部分。</w:t>
      </w:r>
    </w:p>
    <w:p w14:paraId="468C783C">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textAlignment w:val="auto"/>
        <w:rPr>
          <w:rFonts w:hAnsi="宋体" w:cs="宋体"/>
          <w:color w:val="auto"/>
          <w:highlight w:val="none"/>
        </w:rPr>
      </w:pPr>
      <w:r>
        <w:rPr>
          <w:rFonts w:hint="eastAsia" w:hAnsi="宋体" w:cs="宋体"/>
          <w:color w:val="auto"/>
          <w:highlight w:val="none"/>
        </w:rPr>
        <w:t>3.本合同未尽事宜，遵照《民法典》有关条文执行。</w:t>
      </w:r>
    </w:p>
    <w:p w14:paraId="259C9BFA">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textAlignment w:val="auto"/>
        <w:rPr>
          <w:rFonts w:hAnsi="宋体" w:cs="宋体"/>
          <w:color w:val="auto"/>
          <w:highlight w:val="none"/>
        </w:rPr>
      </w:pPr>
      <w:r>
        <w:rPr>
          <w:rFonts w:hint="eastAsia" w:hAnsi="宋体" w:cs="宋体"/>
          <w:color w:val="auto"/>
          <w:highlight w:val="none"/>
        </w:rPr>
        <w:t>4.本合同一式六份，甲乙双方各执二份、采购办、代理机构各执一份，具有同等法律效力。</w:t>
      </w:r>
    </w:p>
    <w:p w14:paraId="070E45F8">
      <w:pPr>
        <w:pStyle w:val="2"/>
        <w:keepNext w:val="0"/>
        <w:keepLines w:val="0"/>
        <w:pageBreakBefore w:val="0"/>
        <w:widowControl w:val="0"/>
        <w:kinsoku/>
        <w:wordWrap/>
        <w:overflowPunct/>
        <w:topLinePunct w:val="0"/>
        <w:autoSpaceDE/>
        <w:autoSpaceDN/>
        <w:bidi w:val="0"/>
        <w:adjustRightInd/>
        <w:snapToGrid w:val="0"/>
        <w:spacing w:beforeLines="0" w:beforeAutospacing="0" w:after="120" w:line="360" w:lineRule="auto"/>
        <w:ind w:firstLine="480" w:firstLineChars="200"/>
        <w:textAlignment w:val="auto"/>
        <w:rPr>
          <w:rFonts w:hAnsi="宋体" w:cs="宋体"/>
          <w:color w:val="auto"/>
          <w:highlight w:val="none"/>
        </w:rPr>
      </w:pPr>
      <w:r>
        <w:rPr>
          <w:rFonts w:hint="eastAsia" w:hAnsi="宋体" w:cs="宋体"/>
          <w:color w:val="auto"/>
          <w:highlight w:val="none"/>
        </w:rPr>
        <w:t>5.声明：本合同样本仅供参考，甲乙双方可就招标文件的非实质性条款进行修改，但不能修改实质性条款，甲乙双方对合同的真实性负责，鉴证方只负责见证项目招标的真实性。</w:t>
      </w:r>
    </w:p>
    <w:p w14:paraId="4AAC835D">
      <w:pPr>
        <w:pStyle w:val="2"/>
        <w:spacing w:before="120" w:after="120" w:line="320" w:lineRule="exact"/>
        <w:rPr>
          <w:rFonts w:hint="eastAsia" w:hAnsi="宋体" w:cs="宋体"/>
          <w:b/>
          <w:bCs/>
          <w:color w:val="auto"/>
          <w:highlight w:val="none"/>
        </w:rPr>
      </w:pPr>
    </w:p>
    <w:p w14:paraId="6AF0E855">
      <w:pPr>
        <w:pStyle w:val="2"/>
        <w:spacing w:before="120" w:after="120" w:line="320" w:lineRule="exact"/>
        <w:rPr>
          <w:rFonts w:hAnsi="宋体" w:cs="宋体"/>
          <w:color w:val="auto"/>
          <w:highlight w:val="none"/>
        </w:rPr>
      </w:pPr>
      <w:r>
        <w:rPr>
          <w:rFonts w:hint="eastAsia" w:hAnsi="宋体" w:cs="宋体"/>
          <w:b/>
          <w:bCs/>
          <w:color w:val="auto"/>
          <w:highlight w:val="none"/>
        </w:rPr>
        <w:t>甲方（盖章）：                      乙方（盖章）：</w:t>
      </w:r>
    </w:p>
    <w:p w14:paraId="0B616B6A">
      <w:pPr>
        <w:pStyle w:val="2"/>
        <w:snapToGrid w:val="0"/>
        <w:spacing w:before="120" w:after="120" w:line="320" w:lineRule="exact"/>
        <w:ind w:leftChars="-1" w:hanging="2"/>
        <w:rPr>
          <w:rFonts w:hAnsi="宋体" w:cs="宋体"/>
          <w:color w:val="auto"/>
          <w:highlight w:val="none"/>
        </w:rPr>
      </w:pPr>
      <w:r>
        <w:rPr>
          <w:rFonts w:hint="eastAsia" w:hAnsi="宋体" w:cs="宋体"/>
          <w:color w:val="auto"/>
          <w:highlight w:val="none"/>
        </w:rPr>
        <w:t>法定代表人或受委托人                 法定代表人或受委托人</w:t>
      </w:r>
    </w:p>
    <w:p w14:paraId="7CDB3ED7">
      <w:pPr>
        <w:pStyle w:val="2"/>
        <w:snapToGrid w:val="0"/>
        <w:spacing w:before="120" w:after="120" w:line="320" w:lineRule="exact"/>
        <w:ind w:left="2" w:leftChars="-85" w:hanging="180" w:hangingChars="75"/>
        <w:rPr>
          <w:rFonts w:hAnsi="宋体" w:cs="宋体"/>
          <w:color w:val="auto"/>
          <w:highlight w:val="none"/>
        </w:rPr>
      </w:pPr>
      <w:r>
        <w:rPr>
          <w:rFonts w:hint="eastAsia" w:hAnsi="宋体" w:cs="宋体"/>
          <w:color w:val="auto"/>
          <w:highlight w:val="none"/>
        </w:rPr>
        <w:t>（签字）                             （签字）</w:t>
      </w:r>
    </w:p>
    <w:p w14:paraId="33E40754">
      <w:pPr>
        <w:pStyle w:val="2"/>
        <w:snapToGrid w:val="0"/>
        <w:spacing w:before="120" w:after="120" w:line="320" w:lineRule="exact"/>
        <w:ind w:leftChars="-1" w:hanging="2"/>
        <w:rPr>
          <w:rFonts w:hAnsi="宋体" w:cs="宋体"/>
          <w:color w:val="auto"/>
          <w:highlight w:val="none"/>
        </w:rPr>
      </w:pPr>
      <w:r>
        <w:rPr>
          <w:rFonts w:hint="eastAsia" w:hAnsi="宋体" w:cs="宋体"/>
          <w:color w:val="auto"/>
          <w:highlight w:val="none"/>
        </w:rPr>
        <w:t xml:space="preserve">地址：                               地址： </w:t>
      </w:r>
    </w:p>
    <w:p w14:paraId="76D941E3">
      <w:pPr>
        <w:pStyle w:val="2"/>
        <w:snapToGrid w:val="0"/>
        <w:spacing w:before="120" w:after="120" w:line="320" w:lineRule="exact"/>
        <w:ind w:leftChars="-1" w:hanging="2"/>
        <w:rPr>
          <w:rFonts w:hAnsi="宋体" w:cs="宋体"/>
          <w:color w:val="auto"/>
          <w:highlight w:val="none"/>
        </w:rPr>
      </w:pPr>
      <w:r>
        <w:rPr>
          <w:rFonts w:hint="eastAsia" w:hAnsi="宋体" w:cs="宋体"/>
          <w:color w:val="auto"/>
          <w:highlight w:val="none"/>
        </w:rPr>
        <w:t>电话：                               电话：</w:t>
      </w:r>
    </w:p>
    <w:p w14:paraId="31D441B4">
      <w:pPr>
        <w:pStyle w:val="2"/>
        <w:snapToGrid w:val="0"/>
        <w:spacing w:before="120" w:after="120" w:line="320" w:lineRule="exact"/>
        <w:ind w:leftChars="-1" w:hanging="2"/>
        <w:rPr>
          <w:rFonts w:hAnsi="宋体" w:cs="宋体"/>
          <w:color w:val="auto"/>
          <w:highlight w:val="none"/>
        </w:rPr>
      </w:pPr>
      <w:r>
        <w:rPr>
          <w:rFonts w:hint="eastAsia" w:hAnsi="宋体" w:cs="宋体"/>
          <w:color w:val="auto"/>
          <w:highlight w:val="none"/>
        </w:rPr>
        <w:t>传真：                               传真：</w:t>
      </w:r>
    </w:p>
    <w:p w14:paraId="562C0191">
      <w:pPr>
        <w:pStyle w:val="2"/>
        <w:snapToGrid w:val="0"/>
        <w:spacing w:before="120" w:after="120" w:line="320" w:lineRule="exact"/>
        <w:ind w:leftChars="-1" w:hanging="2"/>
        <w:rPr>
          <w:rFonts w:hAnsi="宋体" w:cs="宋体"/>
          <w:color w:val="auto"/>
          <w:highlight w:val="none"/>
        </w:rPr>
      </w:pPr>
      <w:r>
        <w:rPr>
          <w:rFonts w:hint="eastAsia" w:hAnsi="宋体" w:cs="宋体"/>
          <w:color w:val="auto"/>
          <w:highlight w:val="none"/>
        </w:rPr>
        <w:t>开户银行：                           开户银行：</w:t>
      </w:r>
    </w:p>
    <w:p w14:paraId="25C01DD3">
      <w:pPr>
        <w:pStyle w:val="2"/>
        <w:snapToGrid w:val="0"/>
        <w:spacing w:before="120" w:after="120" w:line="320" w:lineRule="exact"/>
        <w:ind w:leftChars="-1" w:hanging="2"/>
        <w:rPr>
          <w:rFonts w:hAnsi="宋体" w:cs="宋体"/>
          <w:b/>
          <w:bCs/>
          <w:color w:val="auto"/>
          <w:highlight w:val="none"/>
        </w:rPr>
      </w:pPr>
      <w:r>
        <w:rPr>
          <w:rFonts w:hint="eastAsia" w:hAnsi="宋体" w:cs="宋体"/>
          <w:color w:val="auto"/>
          <w:highlight w:val="none"/>
        </w:rPr>
        <w:t>账号：                               账号：</w:t>
      </w:r>
    </w:p>
    <w:p w14:paraId="5826A42A">
      <w:pPr>
        <w:pStyle w:val="2"/>
        <w:snapToGrid w:val="0"/>
        <w:spacing w:before="120" w:after="120" w:line="320" w:lineRule="exact"/>
        <w:rPr>
          <w:rFonts w:hAnsi="宋体" w:cs="宋体"/>
          <w:b/>
          <w:bCs/>
          <w:color w:val="auto"/>
          <w:highlight w:val="none"/>
        </w:rPr>
      </w:pPr>
      <w:r>
        <w:rPr>
          <w:rFonts w:hint="eastAsia" w:hAnsi="宋体" w:cs="宋体"/>
          <w:b/>
          <w:bCs/>
          <w:color w:val="auto"/>
          <w:highlight w:val="none"/>
        </w:rPr>
        <w:t>鉴证方（盖章）：</w:t>
      </w:r>
    </w:p>
    <w:p w14:paraId="2C23A796">
      <w:pPr>
        <w:pStyle w:val="2"/>
        <w:snapToGrid w:val="0"/>
        <w:spacing w:before="120" w:after="120" w:line="320" w:lineRule="exact"/>
        <w:rPr>
          <w:rFonts w:hAnsi="宋体" w:cs="宋体"/>
          <w:color w:val="auto"/>
          <w:highlight w:val="none"/>
        </w:rPr>
      </w:pPr>
      <w:r>
        <w:rPr>
          <w:rFonts w:hint="eastAsia" w:hAnsi="宋体" w:cs="宋体"/>
          <w:color w:val="auto"/>
          <w:highlight w:val="none"/>
        </w:rPr>
        <w:t>法定代表人或主要负责人:</w:t>
      </w:r>
    </w:p>
    <w:p w14:paraId="334C6F1C">
      <w:pPr>
        <w:pStyle w:val="2"/>
        <w:tabs>
          <w:tab w:val="left" w:pos="2472"/>
        </w:tabs>
        <w:snapToGrid w:val="0"/>
        <w:spacing w:beforeLines="0" w:afterLines="0" w:line="320" w:lineRule="exact"/>
        <w:rPr>
          <w:rFonts w:hAnsi="宋体" w:cs="宋体"/>
          <w:color w:val="auto"/>
          <w:highlight w:val="none"/>
        </w:rPr>
      </w:pPr>
      <w:r>
        <w:rPr>
          <w:rFonts w:hint="eastAsia" w:hAnsi="宋体" w:cs="宋体"/>
          <w:color w:val="auto"/>
          <w:highlight w:val="none"/>
        </w:rPr>
        <w:t>联系电话：                                          签约时间：</w:t>
      </w:r>
    </w:p>
    <w:p w14:paraId="5613D957">
      <w:pPr>
        <w:pageBreakBefore/>
        <w:spacing w:line="360" w:lineRule="auto"/>
        <w:ind w:firstLine="2891" w:firstLineChars="900"/>
        <w:outlineLvl w:val="1"/>
        <w:rPr>
          <w:rFonts w:ascii="宋体" w:hAnsi="宋体" w:cs="宋体"/>
          <w:b/>
          <w:color w:val="auto"/>
          <w:sz w:val="32"/>
          <w:szCs w:val="32"/>
          <w:highlight w:val="none"/>
        </w:rPr>
      </w:pPr>
      <w:bookmarkStart w:id="4" w:name="_Toc17278025"/>
      <w:r>
        <w:rPr>
          <w:rFonts w:hint="eastAsia" w:ascii="宋体" w:hAnsi="宋体" w:cs="宋体"/>
          <w:b/>
          <w:color w:val="auto"/>
          <w:sz w:val="32"/>
          <w:szCs w:val="32"/>
          <w:highlight w:val="none"/>
        </w:rPr>
        <w:t>政府采购廉洁承诺书</w:t>
      </w:r>
      <w:bookmarkEnd w:id="4"/>
    </w:p>
    <w:p w14:paraId="3E468145">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4471E12C">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5A1B0C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35BF69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参与政府采购活动时，除具备采购文件规定的资格、资质要求外，我方还将严格遵守有关法律、法规、政策以及国家、地方关于廉政建设的各项规定。</w:t>
      </w:r>
    </w:p>
    <w:p w14:paraId="47266D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遵循公开、公平、公正、诚实信用原则，不发生损害上述原则及各方当事人合法权益得不正当竞争行为。</w:t>
      </w:r>
    </w:p>
    <w:p w14:paraId="026B6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与政府采购各方当事人保持正常的业务交往，不向采购人、采购代理机构、监督机构、评审专家、工作人员及其他参与采购活动的人员提供不正当利益。主要有：</w:t>
      </w:r>
    </w:p>
    <w:p w14:paraId="196DF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2CC80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27C167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6F1BBF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1EAF01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严格执行采购合同，自觉按合同办事；在合同执行过程中，不发生本承诺书第三条中所列不良行为。    ．</w:t>
      </w:r>
    </w:p>
    <w:p w14:paraId="6FB170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4655D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6B2FD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00E1C6D0">
      <w:pPr>
        <w:spacing w:line="360" w:lineRule="auto"/>
        <w:ind w:left="840" w:hanging="840" w:hangingChars="350"/>
        <w:jc w:val="center"/>
        <w:rPr>
          <w:rFonts w:ascii="宋体" w:hAnsi="宋体" w:cs="宋体"/>
          <w:color w:val="auto"/>
          <w:sz w:val="24"/>
          <w:highlight w:val="none"/>
        </w:rPr>
      </w:pPr>
    </w:p>
    <w:p w14:paraId="41EB9F53">
      <w:pPr>
        <w:pStyle w:val="24"/>
        <w:ind w:firstLine="0" w:firstLineChars="0"/>
        <w:rPr>
          <w:rFonts w:hAnsi="宋体" w:cs="宋体"/>
          <w:color w:val="auto"/>
          <w:highlight w:val="none"/>
        </w:rPr>
      </w:pPr>
    </w:p>
    <w:p w14:paraId="032AE3B7">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投标人（盖章）：</w:t>
      </w:r>
    </w:p>
    <w:p w14:paraId="2ED7960B">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5D877CE6">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3B54079D">
      <w:pPr>
        <w:pStyle w:val="2"/>
        <w:tabs>
          <w:tab w:val="left" w:pos="2472"/>
        </w:tabs>
        <w:snapToGrid w:val="0"/>
        <w:spacing w:beforeLines="0" w:afterLines="0" w:line="240" w:lineRule="auto"/>
        <w:rPr>
          <w:rFonts w:hAnsi="宋体" w:cs="宋体"/>
          <w:color w:val="auto"/>
          <w:sz w:val="30"/>
          <w:szCs w:val="30"/>
          <w:highlight w:val="none"/>
        </w:rPr>
      </w:pPr>
    </w:p>
    <w:p w14:paraId="544F1B6A">
      <w:pPr>
        <w:pStyle w:val="2"/>
        <w:tabs>
          <w:tab w:val="left" w:pos="2472"/>
        </w:tabs>
        <w:snapToGrid w:val="0"/>
        <w:spacing w:beforeLines="0" w:afterLines="0" w:line="240" w:lineRule="auto"/>
        <w:jc w:val="center"/>
        <w:rPr>
          <w:rFonts w:ascii="宋体" w:hAnsi="宋体" w:cs="宋体"/>
          <w:b/>
          <w:color w:val="auto"/>
          <w:sz w:val="44"/>
          <w:szCs w:val="44"/>
          <w:highlight w:val="none"/>
        </w:rPr>
      </w:pPr>
      <w:r>
        <w:rPr>
          <w:rFonts w:hint="eastAsia" w:hAnsi="宋体" w:cs="宋体"/>
          <w:b/>
          <w:bCs/>
          <w:color w:val="auto"/>
          <w:sz w:val="44"/>
          <w:szCs w:val="44"/>
          <w:highlight w:val="none"/>
        </w:rPr>
        <w:t>第六章　投标文件格式</w:t>
      </w:r>
    </w:p>
    <w:p w14:paraId="27DB62E2">
      <w:pPr>
        <w:snapToGrid w:val="0"/>
        <w:spacing w:before="120" w:beforeLines="50" w:line="380" w:lineRule="exact"/>
        <w:ind w:left="412" w:leftChars="196"/>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1.资格审查文件：</w:t>
      </w:r>
    </w:p>
    <w:p w14:paraId="7D7A2FA9">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（1）有效的企业法人营业执照副本</w:t>
      </w:r>
      <w:r>
        <w:rPr>
          <w:rFonts w:ascii="宋体" w:hAnsi="宋体" w:cs="宋体"/>
          <w:color w:val="auto"/>
          <w:sz w:val="24"/>
          <w:szCs w:val="21"/>
          <w:highlight w:val="none"/>
        </w:rPr>
        <w:t>(或事业法人登记证书或其它工商等登记证明材料；自然人参与提供身份证)</w:t>
      </w:r>
      <w:r>
        <w:rPr>
          <w:rFonts w:hint="eastAsia" w:ascii="宋体" w:hAnsi="宋体" w:cs="宋体"/>
          <w:bCs/>
          <w:color w:val="auto"/>
          <w:sz w:val="24"/>
          <w:highlight w:val="none"/>
        </w:rPr>
        <w:t>复印件；</w:t>
      </w:r>
    </w:p>
    <w:p w14:paraId="58B39328">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（2）法定代表人授权委托书(格式见附件)；</w:t>
      </w:r>
    </w:p>
    <w:p w14:paraId="7EFE09CD">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14:paraId="1DECD5D4">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14:paraId="60921ADE">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）浙江政府采购网注册正式供应商的网络截图或承诺书；</w:t>
      </w:r>
    </w:p>
    <w:p w14:paraId="1E31A384">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）政府采购活动现场确认声明书 (格式见附件) ；</w:t>
      </w:r>
    </w:p>
    <w:p w14:paraId="0F8758FD">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）政府采购代理机构考评表(格式见附件)；</w:t>
      </w:r>
    </w:p>
    <w:p w14:paraId="5AD174F6">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）联合体协议（联合体投标时提供，格式见附件）；</w:t>
      </w:r>
    </w:p>
    <w:p w14:paraId="40D90114">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）分包协议（分包时提供，格式见附件）；</w:t>
      </w:r>
    </w:p>
    <w:p w14:paraId="5D2577CD">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）中小企业声明函（格式见附件）。</w:t>
      </w:r>
    </w:p>
    <w:p w14:paraId="4F4A53A0">
      <w:pPr>
        <w:snapToGrid w:val="0"/>
        <w:spacing w:before="120" w:beforeLines="50" w:line="380" w:lineRule="exact"/>
        <w:ind w:left="412" w:leftChars="196"/>
        <w:jc w:val="lef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.商务资信技术文件：</w:t>
      </w:r>
    </w:p>
    <w:p w14:paraId="2D7BC3E9">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（1）评分响应表（格式见附件）；</w:t>
      </w:r>
    </w:p>
    <w:p w14:paraId="2732EC9E">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（2）投标声明书 (格式见附件)；</w:t>
      </w:r>
    </w:p>
    <w:p w14:paraId="7754C1EB">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（3）法定代表人授权委托书(格式见附件)；</w:t>
      </w:r>
    </w:p>
    <w:p w14:paraId="392CD5DA">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（4）投标单位情况表(格式见附件)；</w:t>
      </w:r>
    </w:p>
    <w:p w14:paraId="1B45ABC4">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olor w:val="auto"/>
          <w:sz w:val="24"/>
          <w:highlight w:val="none"/>
        </w:rPr>
        <w:t>投标人依法缴纳税收和社保费、无失信行为的声明函</w:t>
      </w:r>
      <w:r>
        <w:rPr>
          <w:rFonts w:ascii="宋体" w:hAnsi="宋体"/>
          <w:color w:val="auto"/>
          <w:sz w:val="24"/>
          <w:highlight w:val="none"/>
        </w:rPr>
        <w:t>(格式见附件</w:t>
      </w:r>
      <w:r>
        <w:rPr>
          <w:rFonts w:hint="eastAsia" w:ascii="宋体" w:hAnsi="宋体"/>
          <w:color w:val="auto"/>
          <w:sz w:val="24"/>
          <w:highlight w:val="none"/>
        </w:rPr>
        <w:t>)</w:t>
      </w:r>
      <w:r>
        <w:rPr>
          <w:rFonts w:hint="eastAsia" w:ascii="宋体" w:hAnsi="宋体" w:cs="宋体"/>
          <w:bCs/>
          <w:color w:val="auto"/>
          <w:sz w:val="24"/>
          <w:highlight w:val="none"/>
        </w:rPr>
        <w:t>；</w:t>
      </w:r>
    </w:p>
    <w:p w14:paraId="1FAD4A46">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6</w:t>
      </w:r>
      <w:r>
        <w:rPr>
          <w:rFonts w:hint="eastAsia" w:ascii="宋体" w:hAnsi="宋体" w:cs="宋体"/>
          <w:bCs/>
          <w:color w:val="auto"/>
          <w:sz w:val="24"/>
          <w:highlight w:val="none"/>
          <w:lang w:val="zh-CN"/>
        </w:rPr>
        <w:t>）政府采购供应商诚信承诺书（格式见附件）；</w:t>
      </w:r>
    </w:p>
    <w:p w14:paraId="681772C5">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（7）承诺书（格式见附件）；</w:t>
      </w:r>
    </w:p>
    <w:p w14:paraId="3A85DFD7">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（8）距采购人最近或者能为本项目提供最优服务的网点情况表（格式见附件）；</w:t>
      </w:r>
    </w:p>
    <w:p w14:paraId="0DF2D2E2">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w:t>
      </w:r>
      <w:r>
        <w:rPr>
          <w:rFonts w:hint="eastAsia" w:ascii="宋体" w:hAnsi="宋体" w:cs="宋体"/>
          <w:bCs/>
          <w:color w:val="auto"/>
          <w:sz w:val="24"/>
          <w:highlight w:val="none"/>
          <w:lang w:val="zh-CN"/>
        </w:rPr>
        <w:t>同类业绩一览表</w:t>
      </w:r>
      <w:r>
        <w:rPr>
          <w:rFonts w:hint="eastAsia" w:ascii="宋体" w:hAnsi="宋体" w:cs="宋体"/>
          <w:bCs/>
          <w:color w:val="auto"/>
          <w:sz w:val="24"/>
          <w:highlight w:val="none"/>
        </w:rPr>
        <w:t>（格式见附件）；</w:t>
      </w:r>
    </w:p>
    <w:p w14:paraId="2882902D">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)项目实施人员一览表（格式见附件）；</w:t>
      </w:r>
    </w:p>
    <w:p w14:paraId="34B5D3BC">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w:t>
      </w:r>
      <w:r>
        <w:rPr>
          <w:rFonts w:hint="eastAsia" w:ascii="宋体" w:hAnsi="宋体" w:cs="宋体"/>
          <w:bCs/>
          <w:color w:val="auto"/>
          <w:sz w:val="24"/>
          <w:highlight w:val="none"/>
          <w:lang w:val="zh-CN"/>
        </w:rPr>
        <w:t>技术部分（至少包括技术方案、</w:t>
      </w:r>
      <w:r>
        <w:rPr>
          <w:rFonts w:hint="eastAsia" w:ascii="宋体" w:hAnsi="宋体" w:cs="宋体"/>
          <w:bCs/>
          <w:color w:val="auto"/>
          <w:sz w:val="24"/>
          <w:highlight w:val="none"/>
        </w:rPr>
        <w:t>合理化建议等内容）；</w:t>
      </w:r>
    </w:p>
    <w:p w14:paraId="3695E851">
      <w:pPr>
        <w:snapToGrid w:val="0"/>
        <w:spacing w:before="120" w:beforeLines="50"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）其它按照评标办法可加分的内容说明、证明文件；</w:t>
      </w:r>
    </w:p>
    <w:p w14:paraId="4B758926">
      <w:pPr>
        <w:snapToGrid w:val="0"/>
        <w:spacing w:before="120" w:beforeLines="50" w:line="360" w:lineRule="exact"/>
        <w:ind w:firstLine="480" w:firstLineChars="200"/>
        <w:jc w:val="left"/>
        <w:rPr>
          <w:rFonts w:hint="eastAsia" w:ascii="宋体" w:hAnsi="宋体" w:cs="宋体"/>
          <w:b/>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）投标人需要说明的其他文件和说明</w:t>
      </w:r>
      <w:r>
        <w:rPr>
          <w:rFonts w:hint="eastAsia" w:ascii="宋体" w:hAnsi="宋体" w:cs="宋体"/>
          <w:color w:val="auto"/>
          <w:sz w:val="24"/>
          <w:highlight w:val="none"/>
        </w:rPr>
        <w:t>。</w:t>
      </w:r>
    </w:p>
    <w:p w14:paraId="62987522">
      <w:pPr>
        <w:snapToGrid w:val="0"/>
        <w:spacing w:before="50" w:after="120" w:afterLines="50"/>
        <w:jc w:val="left"/>
        <w:rPr>
          <w:rFonts w:hint="eastAsia" w:ascii="宋体" w:hAnsi="宋体" w:cs="宋体"/>
          <w:b/>
          <w:color w:val="auto"/>
          <w:sz w:val="24"/>
          <w:highlight w:val="none"/>
        </w:rPr>
      </w:pPr>
    </w:p>
    <w:p w14:paraId="45FFE4A9">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 xml:space="preserve">评分响应表格式： </w:t>
      </w:r>
    </w:p>
    <w:p w14:paraId="094E2074">
      <w:pPr>
        <w:snapToGrid w:val="0"/>
        <w:spacing w:before="120" w:beforeLines="50" w:after="50"/>
        <w:rPr>
          <w:rFonts w:ascii="宋体" w:hAnsi="宋体" w:cs="宋体"/>
          <w:b/>
          <w:color w:val="auto"/>
          <w:sz w:val="24"/>
          <w:highlight w:val="none"/>
        </w:rPr>
      </w:pPr>
    </w:p>
    <w:p w14:paraId="7EC2B843">
      <w:pP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投标人资信商务、技术自评得分表</w:t>
      </w:r>
    </w:p>
    <w:p w14:paraId="242239C8">
      <w:pPr>
        <w:snapToGrid w:val="0"/>
        <w:spacing w:before="50" w:after="50"/>
        <w:rPr>
          <w:rFonts w:ascii="宋体" w:hAnsi="宋体" w:cs="宋体"/>
          <w:b/>
          <w:color w:val="auto"/>
          <w:sz w:val="24"/>
          <w:highlight w:val="none"/>
        </w:rPr>
      </w:pPr>
    </w:p>
    <w:p w14:paraId="721A0603">
      <w:pPr>
        <w:snapToGrid w:val="0"/>
        <w:spacing w:before="50" w:after="50" w:line="360" w:lineRule="auto"/>
        <w:rPr>
          <w:rFonts w:ascii="宋体" w:hAnsi="宋体" w:cs="宋体"/>
          <w:b/>
          <w:color w:val="auto"/>
          <w:sz w:val="24"/>
          <w:highlight w:val="none"/>
          <w:u w:val="single"/>
        </w:rPr>
      </w:pPr>
      <w:r>
        <w:rPr>
          <w:rFonts w:hint="eastAsia" w:ascii="宋体" w:hAnsi="宋体" w:cs="宋体"/>
          <w:b/>
          <w:color w:val="auto"/>
          <w:sz w:val="24"/>
          <w:highlight w:val="none"/>
        </w:rPr>
        <w:t>投标单位名称：</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44"/>
        <w:gridCol w:w="2998"/>
        <w:gridCol w:w="1452"/>
        <w:gridCol w:w="2404"/>
      </w:tblGrid>
      <w:tr w14:paraId="64F79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1E252C81">
            <w:pPr>
              <w:pStyle w:val="20"/>
              <w:ind w:firstLine="0" w:firstLineChars="0"/>
              <w:jc w:val="center"/>
              <w:rPr>
                <w:rFonts w:ascii="宋体" w:eastAsia="宋体" w:cs="宋体"/>
                <w:b/>
                <w:bCs/>
                <w:color w:val="auto"/>
                <w:highlight w:val="none"/>
              </w:rPr>
            </w:pPr>
            <w:r>
              <w:rPr>
                <w:rFonts w:hint="eastAsia" w:ascii="宋体" w:eastAsia="宋体" w:cs="宋体"/>
                <w:b/>
                <w:bCs/>
                <w:color w:val="auto"/>
                <w:highlight w:val="none"/>
              </w:rPr>
              <w:t>序号</w:t>
            </w:r>
          </w:p>
        </w:tc>
        <w:tc>
          <w:tcPr>
            <w:tcW w:w="1444" w:type="dxa"/>
            <w:tcBorders>
              <w:top w:val="single" w:color="auto" w:sz="4" w:space="0"/>
              <w:left w:val="single" w:color="auto" w:sz="4" w:space="0"/>
              <w:bottom w:val="single" w:color="auto" w:sz="4" w:space="0"/>
              <w:right w:val="single" w:color="auto" w:sz="4" w:space="0"/>
            </w:tcBorders>
            <w:vAlign w:val="center"/>
          </w:tcPr>
          <w:p w14:paraId="5B213517">
            <w:pPr>
              <w:pStyle w:val="20"/>
              <w:ind w:firstLine="0" w:firstLineChars="0"/>
              <w:jc w:val="center"/>
              <w:rPr>
                <w:rFonts w:ascii="宋体" w:eastAsia="宋体" w:cs="宋体"/>
                <w:b/>
                <w:bCs/>
                <w:color w:val="auto"/>
                <w:highlight w:val="none"/>
              </w:rPr>
            </w:pPr>
            <w:r>
              <w:rPr>
                <w:rFonts w:hint="eastAsia" w:ascii="宋体" w:eastAsia="宋体" w:cs="宋体"/>
                <w:b/>
                <w:bCs/>
                <w:color w:val="auto"/>
                <w:highlight w:val="none"/>
              </w:rPr>
              <w:t>评审内容</w:t>
            </w:r>
          </w:p>
        </w:tc>
        <w:tc>
          <w:tcPr>
            <w:tcW w:w="2998" w:type="dxa"/>
            <w:tcBorders>
              <w:top w:val="single" w:color="auto" w:sz="4" w:space="0"/>
              <w:left w:val="single" w:color="auto" w:sz="4" w:space="0"/>
              <w:bottom w:val="single" w:color="auto" w:sz="4" w:space="0"/>
              <w:right w:val="single" w:color="auto" w:sz="4" w:space="0"/>
            </w:tcBorders>
            <w:vAlign w:val="center"/>
          </w:tcPr>
          <w:p w14:paraId="0BCD4FD8">
            <w:pPr>
              <w:pStyle w:val="20"/>
              <w:ind w:firstLine="482"/>
              <w:jc w:val="center"/>
              <w:rPr>
                <w:rFonts w:ascii="宋体" w:eastAsia="宋体" w:cs="宋体"/>
                <w:b/>
                <w:bCs/>
                <w:color w:val="auto"/>
                <w:highlight w:val="none"/>
              </w:rPr>
            </w:pPr>
            <w:r>
              <w:rPr>
                <w:rFonts w:hint="eastAsia" w:ascii="宋体" w:eastAsia="宋体" w:cs="宋体"/>
                <w:b/>
                <w:bCs/>
                <w:color w:val="auto"/>
                <w:highlight w:val="none"/>
              </w:rPr>
              <w:t>评分标准</w:t>
            </w:r>
          </w:p>
        </w:tc>
        <w:tc>
          <w:tcPr>
            <w:tcW w:w="1452" w:type="dxa"/>
            <w:tcBorders>
              <w:top w:val="single" w:color="auto" w:sz="4" w:space="0"/>
              <w:left w:val="single" w:color="auto" w:sz="4" w:space="0"/>
              <w:bottom w:val="single" w:color="auto" w:sz="4" w:space="0"/>
              <w:right w:val="single" w:color="auto" w:sz="4" w:space="0"/>
            </w:tcBorders>
            <w:vAlign w:val="center"/>
          </w:tcPr>
          <w:p w14:paraId="08A3D007">
            <w:pPr>
              <w:pStyle w:val="20"/>
              <w:ind w:firstLine="0" w:firstLineChars="0"/>
              <w:jc w:val="center"/>
              <w:rPr>
                <w:rFonts w:ascii="宋体" w:eastAsia="宋体" w:cs="宋体"/>
                <w:b/>
                <w:bCs/>
                <w:color w:val="auto"/>
                <w:highlight w:val="none"/>
              </w:rPr>
            </w:pPr>
            <w:r>
              <w:rPr>
                <w:rFonts w:hint="eastAsia" w:ascii="宋体" w:eastAsia="宋体" w:cs="宋体"/>
                <w:b/>
                <w:bCs/>
                <w:color w:val="auto"/>
                <w:highlight w:val="none"/>
              </w:rPr>
              <w:t>自评得分</w:t>
            </w:r>
          </w:p>
        </w:tc>
        <w:tc>
          <w:tcPr>
            <w:tcW w:w="2404" w:type="dxa"/>
            <w:tcBorders>
              <w:top w:val="single" w:color="auto" w:sz="4" w:space="0"/>
              <w:left w:val="single" w:color="auto" w:sz="4" w:space="0"/>
              <w:bottom w:val="single" w:color="auto" w:sz="4" w:space="0"/>
              <w:right w:val="single" w:color="auto" w:sz="4" w:space="0"/>
            </w:tcBorders>
            <w:vAlign w:val="center"/>
          </w:tcPr>
          <w:p w14:paraId="3362DE25">
            <w:pPr>
              <w:pStyle w:val="20"/>
              <w:ind w:firstLine="0" w:firstLineChars="0"/>
              <w:jc w:val="center"/>
              <w:rPr>
                <w:rFonts w:ascii="宋体" w:eastAsia="宋体" w:cs="宋体"/>
                <w:b/>
                <w:bCs/>
                <w:color w:val="auto"/>
                <w:highlight w:val="none"/>
              </w:rPr>
            </w:pPr>
            <w:r>
              <w:rPr>
                <w:rFonts w:hint="eastAsia" w:ascii="宋体" w:eastAsia="宋体" w:cs="宋体"/>
                <w:b/>
                <w:bCs/>
                <w:color w:val="auto"/>
                <w:highlight w:val="none"/>
              </w:rPr>
              <w:t>页码</w:t>
            </w:r>
          </w:p>
        </w:tc>
      </w:tr>
      <w:tr w14:paraId="1E776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046F971">
            <w:pPr>
              <w:pStyle w:val="20"/>
              <w:ind w:firstLine="0" w:firstLineChars="0"/>
              <w:jc w:val="center"/>
              <w:rPr>
                <w:rFonts w:ascii="宋体" w:eastAsia="宋体" w:cs="宋体"/>
                <w:b/>
                <w:bCs/>
                <w:color w:val="auto"/>
                <w:highlight w:val="none"/>
              </w:rPr>
            </w:pPr>
            <w:r>
              <w:rPr>
                <w:rFonts w:hint="eastAsia" w:ascii="宋体" w:eastAsia="宋体" w:cs="宋体"/>
                <w:b/>
                <w:bCs/>
                <w:color w:val="auto"/>
                <w:highlight w:val="none"/>
              </w:rPr>
              <w:t>一</w:t>
            </w:r>
          </w:p>
        </w:tc>
        <w:tc>
          <w:tcPr>
            <w:tcW w:w="1444" w:type="dxa"/>
            <w:tcBorders>
              <w:top w:val="single" w:color="auto" w:sz="4" w:space="0"/>
              <w:left w:val="single" w:color="auto" w:sz="4" w:space="0"/>
              <w:bottom w:val="single" w:color="auto" w:sz="4" w:space="0"/>
              <w:right w:val="single" w:color="auto" w:sz="4" w:space="0"/>
            </w:tcBorders>
            <w:vAlign w:val="center"/>
          </w:tcPr>
          <w:p w14:paraId="62D79973">
            <w:pPr>
              <w:pStyle w:val="20"/>
              <w:ind w:firstLine="0" w:firstLineChars="0"/>
              <w:jc w:val="center"/>
              <w:rPr>
                <w:rFonts w:ascii="宋体" w:eastAsia="宋体" w:cs="宋体"/>
                <w:b/>
                <w:bCs/>
                <w:color w:val="auto"/>
                <w:highlight w:val="none"/>
              </w:rPr>
            </w:pPr>
            <w:r>
              <w:rPr>
                <w:rFonts w:hint="eastAsia" w:ascii="宋体" w:eastAsia="宋体" w:cs="宋体"/>
                <w:b/>
                <w:bCs/>
                <w:color w:val="auto"/>
                <w:highlight w:val="none"/>
              </w:rPr>
              <w:t>技术分</w:t>
            </w:r>
          </w:p>
        </w:tc>
        <w:tc>
          <w:tcPr>
            <w:tcW w:w="2998" w:type="dxa"/>
            <w:tcBorders>
              <w:top w:val="single" w:color="auto" w:sz="4" w:space="0"/>
              <w:left w:val="single" w:color="auto" w:sz="4" w:space="0"/>
              <w:bottom w:val="single" w:color="auto" w:sz="4" w:space="0"/>
              <w:right w:val="single" w:color="auto" w:sz="4" w:space="0"/>
            </w:tcBorders>
            <w:vAlign w:val="center"/>
          </w:tcPr>
          <w:p w14:paraId="7C8C28DC">
            <w:pPr>
              <w:pStyle w:val="20"/>
              <w:ind w:firstLine="482"/>
              <w:jc w:val="center"/>
              <w:rPr>
                <w:rFonts w:ascii="宋体" w:eastAsia="宋体" w:cs="宋体"/>
                <w:b/>
                <w:bCs/>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75C53216">
            <w:pPr>
              <w:pStyle w:val="20"/>
              <w:ind w:firstLine="0" w:firstLineChars="0"/>
              <w:jc w:val="center"/>
              <w:rPr>
                <w:rFonts w:ascii="宋体" w:eastAsia="宋体" w:cs="宋体"/>
                <w:b/>
                <w:bCs/>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589FB376">
            <w:pPr>
              <w:pStyle w:val="20"/>
              <w:ind w:firstLine="0" w:firstLineChars="0"/>
              <w:jc w:val="center"/>
              <w:rPr>
                <w:rFonts w:ascii="宋体" w:eastAsia="宋体" w:cs="宋体"/>
                <w:b/>
                <w:bCs/>
                <w:color w:val="auto"/>
                <w:highlight w:val="none"/>
              </w:rPr>
            </w:pPr>
          </w:p>
        </w:tc>
      </w:tr>
      <w:tr w14:paraId="3F3C3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368829E">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14:paraId="2CFC76F0">
            <w:pPr>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14:paraId="7D1DFFB7">
            <w:pPr>
              <w:rPr>
                <w:rFonts w:ascii="宋体" w:hAnsi="宋体" w:cs="宋体"/>
                <w:color w:val="auto"/>
                <w:sz w:val="24"/>
                <w:highlight w:val="none"/>
              </w:rPr>
            </w:pPr>
          </w:p>
        </w:tc>
        <w:tc>
          <w:tcPr>
            <w:tcW w:w="1452" w:type="dxa"/>
            <w:tcBorders>
              <w:top w:val="single" w:color="auto" w:sz="4" w:space="0"/>
              <w:left w:val="single" w:color="auto" w:sz="4" w:space="0"/>
              <w:right w:val="single" w:color="auto" w:sz="4" w:space="0"/>
            </w:tcBorders>
            <w:vAlign w:val="center"/>
          </w:tcPr>
          <w:p w14:paraId="4ECC9805">
            <w:pPr>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13AC259B">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14:paraId="150D9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3472380F">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14:paraId="571E5165">
            <w:pPr>
              <w:spacing w:line="320" w:lineRule="exact"/>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14:paraId="6D0A330C">
            <w:pPr>
              <w:widowControl/>
              <w:rPr>
                <w:rFonts w:ascii="宋体" w:hAnsi="宋体" w:cs="宋体"/>
                <w:color w:val="auto"/>
                <w:kern w:val="0"/>
                <w:sz w:val="24"/>
                <w:highlight w:val="none"/>
              </w:rPr>
            </w:pPr>
          </w:p>
        </w:tc>
        <w:tc>
          <w:tcPr>
            <w:tcW w:w="1452" w:type="dxa"/>
            <w:tcBorders>
              <w:top w:val="single" w:color="auto" w:sz="4" w:space="0"/>
              <w:left w:val="single" w:color="auto" w:sz="4" w:space="0"/>
              <w:right w:val="single" w:color="auto" w:sz="4" w:space="0"/>
            </w:tcBorders>
            <w:vAlign w:val="center"/>
          </w:tcPr>
          <w:p w14:paraId="70A01CE4">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5DCC4EF8">
            <w:pPr>
              <w:jc w:val="center"/>
              <w:rPr>
                <w:rFonts w:ascii="宋体" w:hAnsi="宋体" w:cs="宋体"/>
                <w:bCs/>
                <w:color w:val="auto"/>
                <w:sz w:val="24"/>
                <w:highlight w:val="none"/>
              </w:rPr>
            </w:pPr>
            <w:r>
              <w:rPr>
                <w:rFonts w:hint="eastAsia" w:ascii="宋体" w:hAnsi="宋体" w:cs="宋体"/>
                <w:bCs/>
                <w:color w:val="auto"/>
                <w:sz w:val="24"/>
                <w:highlight w:val="none"/>
              </w:rPr>
              <w:t>……</w:t>
            </w:r>
          </w:p>
        </w:tc>
      </w:tr>
      <w:tr w14:paraId="39894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86" w:type="dxa"/>
            <w:tcBorders>
              <w:left w:val="single" w:color="auto" w:sz="4" w:space="0"/>
              <w:bottom w:val="single" w:color="auto" w:sz="4" w:space="0"/>
              <w:right w:val="single" w:color="auto" w:sz="4" w:space="0"/>
            </w:tcBorders>
            <w:vAlign w:val="center"/>
          </w:tcPr>
          <w:p w14:paraId="261E2D27">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left w:val="single" w:color="auto" w:sz="4" w:space="0"/>
              <w:bottom w:val="single" w:color="auto" w:sz="4" w:space="0"/>
              <w:right w:val="single" w:color="auto" w:sz="4" w:space="0"/>
            </w:tcBorders>
            <w:vAlign w:val="center"/>
          </w:tcPr>
          <w:p w14:paraId="33637536">
            <w:pPr>
              <w:widowControl/>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13C05B50">
            <w:pPr>
              <w:ind w:left="55" w:leftChars="26"/>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4F12EF90">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2AD038A5">
            <w:pPr>
              <w:jc w:val="center"/>
              <w:rPr>
                <w:rFonts w:ascii="宋体" w:hAnsi="宋体" w:cs="宋体"/>
                <w:bCs/>
                <w:color w:val="auto"/>
                <w:sz w:val="24"/>
                <w:highlight w:val="none"/>
              </w:rPr>
            </w:pPr>
          </w:p>
        </w:tc>
      </w:tr>
      <w:tr w14:paraId="3B079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95D9442">
            <w:pPr>
              <w:widowControl/>
              <w:rPr>
                <w:rFonts w:ascii="宋体" w:hAnsi="宋体" w:cs="宋体"/>
                <w:b/>
                <w:color w:val="auto"/>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14:paraId="468B766B">
            <w:pPr>
              <w:widowControl/>
              <w:rPr>
                <w:rFonts w:ascii="宋体" w:hAnsi="宋体" w:cs="宋体"/>
                <w:b/>
                <w:color w:val="auto"/>
                <w:sz w:val="24"/>
                <w:highlight w:val="none"/>
              </w:rPr>
            </w:pPr>
            <w:r>
              <w:rPr>
                <w:rFonts w:hint="eastAsia" w:ascii="宋体" w:hAnsi="宋体" w:cs="宋体"/>
                <w:b/>
                <w:color w:val="auto"/>
                <w:sz w:val="24"/>
                <w:highlight w:val="none"/>
              </w:rPr>
              <w:t>资信商务分</w:t>
            </w:r>
          </w:p>
        </w:tc>
        <w:tc>
          <w:tcPr>
            <w:tcW w:w="2998" w:type="dxa"/>
            <w:tcBorders>
              <w:top w:val="single" w:color="auto" w:sz="4" w:space="0"/>
              <w:left w:val="single" w:color="auto" w:sz="4" w:space="0"/>
              <w:bottom w:val="single" w:color="auto" w:sz="4" w:space="0"/>
              <w:right w:val="single" w:color="auto" w:sz="4" w:space="0"/>
            </w:tcBorders>
            <w:vAlign w:val="center"/>
          </w:tcPr>
          <w:p w14:paraId="5C0EC744">
            <w:pPr>
              <w:pStyle w:val="20"/>
              <w:ind w:firstLine="0" w:firstLineChars="0"/>
              <w:jc w:val="both"/>
              <w:rPr>
                <w:rFonts w:ascii="宋体" w:eastAsia="宋体" w:cs="宋体"/>
                <w:b/>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236E0232">
            <w:pPr>
              <w:pStyle w:val="20"/>
              <w:ind w:firstLine="0" w:firstLineChars="0"/>
              <w:jc w:val="center"/>
              <w:rPr>
                <w:rFonts w:ascii="宋体" w:eastAsia="宋体" w:cs="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4200BA98">
            <w:pPr>
              <w:pStyle w:val="20"/>
              <w:ind w:firstLine="0" w:firstLineChars="0"/>
              <w:jc w:val="center"/>
              <w:rPr>
                <w:rFonts w:ascii="宋体" w:eastAsia="宋体" w:cs="宋体"/>
                <w:b/>
                <w:color w:val="auto"/>
                <w:highlight w:val="none"/>
              </w:rPr>
            </w:pPr>
          </w:p>
        </w:tc>
      </w:tr>
      <w:tr w14:paraId="1B365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6D794F4E">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14:paraId="19CEAAE1">
            <w:pPr>
              <w:spacing w:line="320" w:lineRule="exact"/>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5472D303">
            <w:pPr>
              <w:spacing w:line="320" w:lineRule="exact"/>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7D5CCF05">
            <w:pPr>
              <w:pStyle w:val="20"/>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6D39775C">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14:paraId="10863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3B6B82B">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14:paraId="14FF7BF8">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1E57ED57">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32C3EA80">
            <w:pPr>
              <w:pStyle w:val="20"/>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5F6CFF9A">
            <w:pPr>
              <w:pStyle w:val="20"/>
              <w:ind w:firstLine="0" w:firstLineChars="0"/>
              <w:jc w:val="center"/>
              <w:rPr>
                <w:rFonts w:ascii="宋体" w:eastAsia="宋体" w:cs="宋体"/>
                <w:color w:val="auto"/>
                <w:highlight w:val="none"/>
              </w:rPr>
            </w:pPr>
            <w:r>
              <w:rPr>
                <w:rFonts w:hint="eastAsia" w:ascii="宋体" w:eastAsia="宋体" w:cs="宋体"/>
                <w:color w:val="auto"/>
                <w:highlight w:val="none"/>
              </w:rPr>
              <w:t>……</w:t>
            </w:r>
          </w:p>
        </w:tc>
      </w:tr>
      <w:tr w14:paraId="1128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33033904">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top w:val="single" w:color="auto" w:sz="4" w:space="0"/>
              <w:left w:val="single" w:color="auto" w:sz="4" w:space="0"/>
              <w:bottom w:val="single" w:color="auto" w:sz="4" w:space="0"/>
              <w:right w:val="single" w:color="auto" w:sz="4" w:space="0"/>
            </w:tcBorders>
            <w:vAlign w:val="center"/>
          </w:tcPr>
          <w:p w14:paraId="57B2502C">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7296E7C3">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03FBFDA7">
            <w:pPr>
              <w:pStyle w:val="20"/>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5CB9DD1E">
            <w:pPr>
              <w:pStyle w:val="20"/>
              <w:ind w:firstLine="0" w:firstLineChars="0"/>
              <w:jc w:val="center"/>
              <w:rPr>
                <w:rFonts w:ascii="宋体" w:eastAsia="宋体" w:cs="宋体"/>
                <w:color w:val="auto"/>
                <w:highlight w:val="none"/>
              </w:rPr>
            </w:pPr>
          </w:p>
        </w:tc>
      </w:tr>
      <w:tr w14:paraId="400BB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vAlign w:val="center"/>
          </w:tcPr>
          <w:p w14:paraId="1778CB34">
            <w:pPr>
              <w:widowControl/>
              <w:rPr>
                <w:rFonts w:ascii="宋体" w:hAnsi="宋体" w:cs="宋体"/>
                <w:color w:val="auto"/>
                <w:sz w:val="24"/>
                <w:highlight w:val="none"/>
              </w:rPr>
            </w:pPr>
          </w:p>
        </w:tc>
        <w:tc>
          <w:tcPr>
            <w:tcW w:w="1444" w:type="dxa"/>
            <w:tcBorders>
              <w:left w:val="single" w:color="auto" w:sz="4" w:space="0"/>
              <w:bottom w:val="single" w:color="auto" w:sz="4" w:space="0"/>
              <w:right w:val="single" w:color="auto" w:sz="4" w:space="0"/>
            </w:tcBorders>
            <w:vAlign w:val="center"/>
          </w:tcPr>
          <w:p w14:paraId="7BA5BA97">
            <w:pPr>
              <w:widowControl/>
              <w:rPr>
                <w:rFonts w:ascii="宋体" w:hAnsi="宋体" w:cs="宋体"/>
                <w:b/>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24EE7A86">
            <w:pPr>
              <w:pStyle w:val="20"/>
              <w:ind w:firstLine="0" w:firstLineChars="0"/>
              <w:jc w:val="both"/>
              <w:rPr>
                <w:rFonts w:ascii="宋体" w:eastAsia="宋体" w:cs="宋体"/>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1BD65FC1">
            <w:pPr>
              <w:widowControl/>
              <w:jc w:val="center"/>
              <w:rPr>
                <w:rFonts w:ascii="宋体" w:hAnsi="宋体" w:cs="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26266F1D">
            <w:pPr>
              <w:widowControl/>
              <w:jc w:val="center"/>
              <w:rPr>
                <w:rFonts w:ascii="宋体" w:hAnsi="宋体" w:cs="宋体"/>
                <w:b/>
                <w:color w:val="auto"/>
                <w:sz w:val="24"/>
                <w:highlight w:val="none"/>
              </w:rPr>
            </w:pPr>
          </w:p>
        </w:tc>
      </w:tr>
    </w:tbl>
    <w:p w14:paraId="0A4A0FB5">
      <w:pPr>
        <w:snapToGrid w:val="0"/>
        <w:spacing w:before="50" w:after="50"/>
        <w:rPr>
          <w:rFonts w:ascii="宋体" w:hAnsi="宋体" w:cs="宋体"/>
          <w:color w:val="auto"/>
          <w:sz w:val="24"/>
          <w:highlight w:val="none"/>
        </w:rPr>
      </w:pPr>
      <w:r>
        <w:rPr>
          <w:rFonts w:hint="eastAsia" w:ascii="宋体" w:hAnsi="宋体" w:cs="宋体"/>
          <w:color w:val="auto"/>
          <w:sz w:val="24"/>
          <w:highlight w:val="none"/>
        </w:rPr>
        <w:t>注：投标单位根据所投标项的评分表内容，按此格式提供评分响应表置于技术文件第1页。</w:t>
      </w:r>
    </w:p>
    <w:p w14:paraId="1CCE2DF1">
      <w:pPr>
        <w:snapToGrid w:val="0"/>
        <w:spacing w:before="120" w:beforeLines="50" w:after="50"/>
        <w:rPr>
          <w:rFonts w:ascii="宋体" w:hAnsi="宋体" w:cs="宋体"/>
          <w:color w:val="auto"/>
          <w:sz w:val="24"/>
          <w:highlight w:val="none"/>
        </w:rPr>
      </w:pPr>
    </w:p>
    <w:p w14:paraId="68BD2970">
      <w:pPr>
        <w:snapToGrid w:val="0"/>
        <w:spacing w:before="120" w:beforeLines="50" w:after="50"/>
        <w:rPr>
          <w:rFonts w:ascii="宋体" w:hAnsi="宋体" w:cs="宋体"/>
          <w:color w:val="auto"/>
          <w:sz w:val="24"/>
          <w:highlight w:val="none"/>
        </w:rPr>
      </w:pPr>
    </w:p>
    <w:p w14:paraId="1B9CA758">
      <w:pPr>
        <w:snapToGrid w:val="0"/>
        <w:spacing w:before="120" w:beforeLines="50" w:after="50"/>
        <w:rPr>
          <w:rFonts w:ascii="宋体" w:hAnsi="宋体" w:cs="宋体"/>
          <w:color w:val="auto"/>
          <w:sz w:val="24"/>
          <w:highlight w:val="none"/>
        </w:rPr>
      </w:pPr>
    </w:p>
    <w:p w14:paraId="0925ABF5">
      <w:pPr>
        <w:snapToGrid w:val="0"/>
        <w:spacing w:before="120" w:beforeLines="50" w:after="50"/>
        <w:rPr>
          <w:rFonts w:ascii="宋体" w:hAnsi="宋体" w:cs="宋体"/>
          <w:color w:val="auto"/>
          <w:sz w:val="24"/>
          <w:highlight w:val="none"/>
        </w:rPr>
      </w:pPr>
    </w:p>
    <w:p w14:paraId="6B835206">
      <w:pPr>
        <w:snapToGrid w:val="0"/>
        <w:spacing w:before="120" w:beforeLines="50" w:after="50"/>
        <w:rPr>
          <w:rFonts w:ascii="宋体" w:hAnsi="宋体" w:cs="宋体"/>
          <w:color w:val="auto"/>
          <w:sz w:val="24"/>
          <w:highlight w:val="none"/>
        </w:rPr>
      </w:pPr>
    </w:p>
    <w:p w14:paraId="3284AF15">
      <w:pPr>
        <w:pStyle w:val="24"/>
        <w:ind w:firstLine="464"/>
        <w:rPr>
          <w:rFonts w:hAnsi="宋体" w:cs="宋体"/>
          <w:color w:val="auto"/>
          <w:sz w:val="24"/>
          <w:highlight w:val="none"/>
        </w:rPr>
      </w:pPr>
    </w:p>
    <w:p w14:paraId="0FDA0F86">
      <w:pPr>
        <w:pStyle w:val="24"/>
        <w:ind w:firstLine="464"/>
        <w:rPr>
          <w:rFonts w:hAnsi="宋体" w:cs="宋体"/>
          <w:color w:val="auto"/>
          <w:sz w:val="24"/>
          <w:highlight w:val="none"/>
        </w:rPr>
      </w:pPr>
    </w:p>
    <w:p w14:paraId="69BAFCF1">
      <w:pPr>
        <w:pStyle w:val="24"/>
        <w:ind w:firstLine="464"/>
        <w:rPr>
          <w:rFonts w:hAnsi="宋体" w:cs="宋体"/>
          <w:color w:val="auto"/>
          <w:sz w:val="24"/>
          <w:highlight w:val="none"/>
        </w:rPr>
      </w:pPr>
    </w:p>
    <w:p w14:paraId="1FAAD545">
      <w:pPr>
        <w:pStyle w:val="24"/>
        <w:ind w:firstLine="464"/>
        <w:rPr>
          <w:rFonts w:hAnsi="宋体" w:cs="宋体"/>
          <w:color w:val="auto"/>
          <w:sz w:val="24"/>
          <w:highlight w:val="none"/>
        </w:rPr>
      </w:pPr>
    </w:p>
    <w:p w14:paraId="2B0134D4">
      <w:pPr>
        <w:pStyle w:val="24"/>
        <w:ind w:firstLine="464"/>
        <w:rPr>
          <w:rFonts w:hAnsi="宋体" w:cs="宋体"/>
          <w:color w:val="auto"/>
          <w:sz w:val="24"/>
          <w:highlight w:val="none"/>
        </w:rPr>
      </w:pPr>
    </w:p>
    <w:p w14:paraId="21E30E12">
      <w:pPr>
        <w:pStyle w:val="24"/>
        <w:ind w:firstLine="464"/>
        <w:rPr>
          <w:rFonts w:hAnsi="宋体" w:cs="宋体"/>
          <w:color w:val="auto"/>
          <w:sz w:val="24"/>
          <w:highlight w:val="none"/>
        </w:rPr>
      </w:pPr>
    </w:p>
    <w:p w14:paraId="3D62C7A4">
      <w:pPr>
        <w:pStyle w:val="24"/>
        <w:ind w:firstLine="464"/>
        <w:rPr>
          <w:rFonts w:hAnsi="宋体" w:cs="宋体"/>
          <w:color w:val="auto"/>
          <w:sz w:val="24"/>
          <w:highlight w:val="none"/>
        </w:rPr>
      </w:pPr>
    </w:p>
    <w:p w14:paraId="71A4D8A3">
      <w:pPr>
        <w:pStyle w:val="24"/>
        <w:ind w:firstLine="464"/>
        <w:rPr>
          <w:rFonts w:hAnsi="宋体" w:cs="宋体"/>
          <w:color w:val="auto"/>
          <w:sz w:val="24"/>
          <w:highlight w:val="none"/>
        </w:rPr>
      </w:pPr>
    </w:p>
    <w:p w14:paraId="0899BBD6">
      <w:pPr>
        <w:pStyle w:val="24"/>
        <w:ind w:firstLine="464"/>
        <w:rPr>
          <w:rFonts w:hAnsi="宋体" w:cs="宋体"/>
          <w:color w:val="auto"/>
          <w:sz w:val="24"/>
          <w:highlight w:val="none"/>
        </w:rPr>
      </w:pPr>
    </w:p>
    <w:p w14:paraId="353D0758">
      <w:pPr>
        <w:snapToGrid w:val="0"/>
        <w:spacing w:before="50" w:after="120" w:afterLines="50"/>
        <w:jc w:val="left"/>
        <w:rPr>
          <w:rFonts w:ascii="宋体" w:hAnsi="宋体" w:cs="宋体"/>
          <w:b/>
          <w:color w:val="auto"/>
          <w:sz w:val="24"/>
          <w:highlight w:val="none"/>
        </w:rPr>
      </w:pPr>
    </w:p>
    <w:p w14:paraId="6676E82C">
      <w:pPr>
        <w:snapToGrid w:val="0"/>
        <w:spacing w:before="50" w:after="120" w:afterLines="50"/>
        <w:jc w:val="left"/>
        <w:rPr>
          <w:rFonts w:ascii="宋体" w:hAnsi="宋体" w:cs="宋体"/>
          <w:b/>
          <w:color w:val="auto"/>
          <w:sz w:val="24"/>
          <w:highlight w:val="none"/>
        </w:rPr>
      </w:pPr>
    </w:p>
    <w:p w14:paraId="6FF8A0C4">
      <w:pPr>
        <w:pStyle w:val="24"/>
        <w:ind w:firstLine="344"/>
        <w:rPr>
          <w:rFonts w:hAnsi="宋体" w:cs="宋体"/>
          <w:color w:val="auto"/>
          <w:highlight w:val="none"/>
        </w:rPr>
      </w:pPr>
    </w:p>
    <w:p w14:paraId="4C91BD23">
      <w:pPr>
        <w:snapToGrid w:val="0"/>
        <w:spacing w:before="50" w:after="120" w:afterLines="50"/>
        <w:jc w:val="left"/>
        <w:rPr>
          <w:rFonts w:ascii="宋体" w:hAnsi="宋体" w:cs="宋体"/>
          <w:b/>
          <w:color w:val="auto"/>
          <w:sz w:val="24"/>
          <w:highlight w:val="none"/>
        </w:rPr>
      </w:pPr>
    </w:p>
    <w:p w14:paraId="28FF54D8">
      <w:pPr>
        <w:snapToGrid w:val="0"/>
        <w:spacing w:before="50" w:after="120" w:afterLines="50" w:line="360" w:lineRule="auto"/>
        <w:jc w:val="left"/>
        <w:rPr>
          <w:rFonts w:ascii="宋体" w:hAnsi="宋体" w:cs="宋体"/>
          <w:b/>
          <w:color w:val="auto"/>
          <w:sz w:val="24"/>
          <w:szCs w:val="20"/>
          <w:highlight w:val="none"/>
        </w:rPr>
      </w:pPr>
      <w:r>
        <w:rPr>
          <w:rFonts w:hint="eastAsia" w:ascii="宋体" w:hAnsi="宋体" w:cs="宋体"/>
          <w:b/>
          <w:color w:val="auto"/>
          <w:sz w:val="24"/>
          <w:highlight w:val="none"/>
        </w:rPr>
        <w:t>投标声明书格式：</w:t>
      </w:r>
    </w:p>
    <w:p w14:paraId="168FF004">
      <w:pPr>
        <w:snapToGrid w:val="0"/>
        <w:spacing w:before="120"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30"/>
          <w:highlight w:val="none"/>
        </w:rPr>
        <w:t>投标声明书</w:t>
      </w:r>
    </w:p>
    <w:p w14:paraId="16DBBE20">
      <w:pPr>
        <w:snapToGrid w:val="0"/>
        <w:spacing w:before="120" w:beforeLines="50" w:after="50" w:line="360" w:lineRule="auto"/>
        <w:rPr>
          <w:rFonts w:hint="eastAsia" w:ascii="宋体" w:hAnsi="宋体" w:eastAsia="宋体" w:cs="宋体"/>
          <w:color w:val="auto"/>
          <w:sz w:val="24"/>
          <w:szCs w:val="20"/>
          <w:highlight w:val="none"/>
          <w:lang w:eastAsia="zh-CN"/>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lang w:eastAsia="zh-CN"/>
        </w:rPr>
        <w:t>杭州建设工程造价咨询有限公司</w:t>
      </w:r>
    </w:p>
    <w:p w14:paraId="741B69D3">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______（投标人名称）系中华人民共和国合法企业，经营地址。</w:t>
      </w:r>
    </w:p>
    <w:p w14:paraId="082BDCCD">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我（姓名）系______（投标人名称）的法定代表人，我方愿意参加贵方组织的</w:t>
      </w:r>
      <w:r>
        <w:rPr>
          <w:rFonts w:hint="eastAsia" w:ascii="宋体" w:hAnsi="宋体" w:cs="宋体"/>
          <w:color w:val="auto"/>
          <w:sz w:val="24"/>
          <w:highlight w:val="none"/>
          <w:u w:val="single"/>
          <w:lang w:val="en-US" w:eastAsia="zh-CN"/>
        </w:rPr>
        <w:t>东阳市</w:t>
      </w:r>
      <w:r>
        <w:rPr>
          <w:rFonts w:hint="eastAsia" w:ascii="宋体" w:hAnsi="宋体" w:cs="宋体"/>
          <w:color w:val="auto"/>
          <w:sz w:val="24"/>
          <w:highlight w:val="none"/>
          <w:u w:val="single"/>
          <w:lang w:eastAsia="zh-CN"/>
        </w:rPr>
        <w:t>2025年度新建房屋白蚁防治服务</w:t>
      </w:r>
      <w:r>
        <w:rPr>
          <w:rFonts w:hint="eastAsia" w:ascii="宋体" w:hAnsi="宋体" w:cs="宋体"/>
          <w:color w:val="auto"/>
          <w:sz w:val="24"/>
          <w:highlight w:val="none"/>
          <w:u w:val="single"/>
          <w:lang w:val="en-US" w:eastAsia="zh-CN"/>
        </w:rPr>
        <w:t>1-3标段</w:t>
      </w:r>
      <w:r>
        <w:rPr>
          <w:rFonts w:hint="eastAsia" w:ascii="宋体" w:hAnsi="宋体" w:cs="宋体"/>
          <w:color w:val="auto"/>
          <w:sz w:val="24"/>
          <w:highlight w:val="none"/>
          <w:u w:val="single"/>
          <w:lang w:eastAsia="zh-CN"/>
        </w:rPr>
        <w:t>采购项目</w:t>
      </w:r>
      <w:r>
        <w:rPr>
          <w:rFonts w:hint="eastAsia" w:ascii="宋体" w:hAnsi="宋体" w:cs="宋体"/>
          <w:color w:val="auto"/>
          <w:sz w:val="24"/>
          <w:highlight w:val="none"/>
        </w:rPr>
        <w:t>的投标，为便于贵方公正、择优确定中标人及其投标产品和服务，我方就本次投标有关事项郑重声明如下：</w:t>
      </w:r>
    </w:p>
    <w:p w14:paraId="25DD8B1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6E055FCA">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A34D2D4">
      <w:pPr>
        <w:snapToGrid w:val="0"/>
        <w:spacing w:before="120" w:before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3.我方及由本人担任法定代表人的其他机构最近三年内被通报、被处罚的违法行为或者可认定为不良行为的有：</w:t>
      </w:r>
    </w:p>
    <w:p w14:paraId="7173A4E8">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27046C3A">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083973DF">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3888E434">
      <w:pPr>
        <w:pStyle w:val="12"/>
        <w:tabs>
          <w:tab w:val="left" w:pos="939"/>
        </w:tabs>
        <w:snapToGrid w:val="0"/>
        <w:spacing w:line="360" w:lineRule="auto"/>
        <w:ind w:left="773" w:leftChars="150" w:hanging="458" w:hangingChars="191"/>
        <w:rPr>
          <w:rFonts w:ascii="宋体" w:hAnsi="宋体" w:cs="宋体"/>
          <w:color w:val="auto"/>
          <w:sz w:val="24"/>
          <w:highlight w:val="none"/>
        </w:rPr>
      </w:pPr>
    </w:p>
    <w:p w14:paraId="3A030E05">
      <w:pPr>
        <w:pStyle w:val="38"/>
        <w:snapToGrid w:val="0"/>
        <w:spacing w:before="120" w:beforeLines="50" w:line="360" w:lineRule="auto"/>
        <w:ind w:firstLine="200"/>
        <w:rPr>
          <w:rFonts w:ascii="宋体" w:hAnsi="宋体" w:cs="宋体"/>
          <w:color w:val="auto"/>
          <w:highlight w:val="none"/>
        </w:rPr>
      </w:pPr>
    </w:p>
    <w:p w14:paraId="4A190667">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14:paraId="0D1F8DAE">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32DFD2A9">
      <w:pPr>
        <w:snapToGrid w:val="0"/>
        <w:spacing w:before="120" w:beforeLines="50" w:after="50"/>
        <w:ind w:firstLine="4800" w:firstLineChars="2000"/>
        <w:rPr>
          <w:rFonts w:ascii="宋体" w:hAnsi="宋体" w:cs="宋体"/>
          <w:color w:val="auto"/>
          <w:sz w:val="24"/>
          <w:szCs w:val="20"/>
          <w:highlight w:val="none"/>
        </w:rPr>
      </w:pPr>
    </w:p>
    <w:p w14:paraId="79B553A4">
      <w:pPr>
        <w:pStyle w:val="2"/>
        <w:snapToGrid w:val="0"/>
        <w:spacing w:beforeLines="0" w:afterLines="0" w:line="240" w:lineRule="auto"/>
        <w:rPr>
          <w:rFonts w:hAnsi="宋体" w:cs="宋体"/>
          <w:color w:val="auto"/>
          <w:highlight w:val="none"/>
        </w:rPr>
      </w:pPr>
    </w:p>
    <w:p w14:paraId="56C86CD2">
      <w:pPr>
        <w:snapToGrid w:val="0"/>
        <w:spacing w:before="50" w:after="120" w:afterLines="50"/>
        <w:jc w:val="left"/>
        <w:rPr>
          <w:rFonts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法定代表人授权委托书格式：</w:t>
      </w:r>
    </w:p>
    <w:p w14:paraId="1A018CAA">
      <w:pPr>
        <w:snapToGrid w:val="0"/>
        <w:spacing w:before="120" w:beforeLines="50" w:after="50"/>
        <w:jc w:val="center"/>
        <w:rPr>
          <w:rFonts w:ascii="宋体" w:hAnsi="宋体" w:cs="宋体"/>
          <w:color w:val="auto"/>
          <w:sz w:val="30"/>
          <w:szCs w:val="20"/>
          <w:highlight w:val="none"/>
        </w:rPr>
      </w:pPr>
    </w:p>
    <w:p w14:paraId="16F85290">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24"/>
          <w:highlight w:val="none"/>
        </w:rPr>
        <w:t>法定代表人授权委托书</w:t>
      </w:r>
    </w:p>
    <w:p w14:paraId="6C35886F">
      <w:pPr>
        <w:snapToGrid w:val="0"/>
        <w:spacing w:before="120" w:beforeLines="50" w:after="50"/>
        <w:rPr>
          <w:rFonts w:ascii="宋体" w:hAnsi="宋体" w:cs="宋体"/>
          <w:bCs/>
          <w:color w:val="auto"/>
          <w:sz w:val="24"/>
          <w:highlight w:val="none"/>
        </w:rPr>
      </w:pPr>
    </w:p>
    <w:p w14:paraId="09C0DE6A">
      <w:pPr>
        <w:snapToGrid w:val="0"/>
        <w:spacing w:before="120" w:beforeLines="50" w:after="50" w:line="360" w:lineRule="auto"/>
        <w:rPr>
          <w:rFonts w:hint="eastAsia" w:ascii="宋体" w:hAnsi="宋体" w:eastAsia="宋体" w:cs="宋体"/>
          <w:b/>
          <w:bCs/>
          <w:color w:val="auto"/>
          <w:sz w:val="24"/>
          <w:szCs w:val="20"/>
          <w:highlight w:val="none"/>
          <w:lang w:eastAsia="zh-CN"/>
        </w:rPr>
      </w:pPr>
      <w:r>
        <w:rPr>
          <w:rFonts w:hint="eastAsia" w:ascii="宋体" w:hAnsi="宋体" w:cs="宋体"/>
          <w:bCs/>
          <w:color w:val="auto"/>
          <w:sz w:val="24"/>
          <w:highlight w:val="none"/>
        </w:rPr>
        <w:t>致：</w:t>
      </w:r>
      <w:r>
        <w:rPr>
          <w:rFonts w:hint="eastAsia" w:ascii="宋体" w:hAnsi="宋体" w:cs="宋体"/>
          <w:color w:val="auto"/>
          <w:kern w:val="0"/>
          <w:sz w:val="24"/>
          <w:highlight w:val="none"/>
          <w:u w:val="single"/>
          <w:lang w:eastAsia="zh-CN"/>
        </w:rPr>
        <w:t>杭州建设工程造价咨询有限公司</w:t>
      </w:r>
    </w:p>
    <w:p w14:paraId="319E7CF4">
      <w:pPr>
        <w:snapToGrid w:val="0"/>
        <w:spacing w:before="120" w:beforeLines="50" w:after="50"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我（姓名）系（投标人名称）的法定代表人，现授权委托本单位在职职工（姓名）以我方的名义参加</w:t>
      </w:r>
      <w:r>
        <w:rPr>
          <w:rFonts w:hint="eastAsia" w:ascii="宋体" w:hAnsi="宋体" w:cs="宋体"/>
          <w:color w:val="auto"/>
          <w:sz w:val="24"/>
          <w:highlight w:val="none"/>
          <w:u w:val="single"/>
          <w:lang w:val="en-US" w:eastAsia="zh-CN"/>
        </w:rPr>
        <w:t>东阳市</w:t>
      </w:r>
      <w:r>
        <w:rPr>
          <w:rFonts w:hint="eastAsia" w:ascii="宋体" w:hAnsi="宋体" w:cs="宋体"/>
          <w:color w:val="auto"/>
          <w:sz w:val="24"/>
          <w:highlight w:val="none"/>
          <w:u w:val="single"/>
          <w:lang w:eastAsia="zh-CN"/>
        </w:rPr>
        <w:t>2025年度新建房屋白蚁防治服务</w:t>
      </w:r>
      <w:r>
        <w:rPr>
          <w:rFonts w:hint="eastAsia" w:ascii="宋体" w:hAnsi="宋体" w:cs="宋体"/>
          <w:color w:val="auto"/>
          <w:sz w:val="24"/>
          <w:highlight w:val="none"/>
          <w:u w:val="single"/>
          <w:lang w:val="en-US" w:eastAsia="zh-CN"/>
        </w:rPr>
        <w:t>1-3标段</w:t>
      </w:r>
      <w:r>
        <w:rPr>
          <w:rFonts w:hint="eastAsia" w:ascii="宋体" w:hAnsi="宋体" w:cs="宋体"/>
          <w:color w:val="auto"/>
          <w:sz w:val="24"/>
          <w:highlight w:val="none"/>
          <w:u w:val="single"/>
          <w:lang w:eastAsia="zh-CN"/>
        </w:rPr>
        <w:t>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4C120FD0">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我方对被授权人的签名事项负全部责任。</w:t>
      </w:r>
    </w:p>
    <w:p w14:paraId="7B8B6F6E">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0D4A2DF9">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1D66C5C5">
      <w:pPr>
        <w:snapToGrid w:val="0"/>
        <w:spacing w:before="120" w:beforeLines="50" w:after="50"/>
        <w:rPr>
          <w:rFonts w:ascii="宋体" w:hAnsi="宋体" w:cs="宋体"/>
          <w:color w:val="auto"/>
          <w:sz w:val="24"/>
          <w:szCs w:val="20"/>
          <w:highlight w:val="none"/>
        </w:rPr>
      </w:pPr>
    </w:p>
    <w:p w14:paraId="11811620">
      <w:pPr>
        <w:snapToGrid w:val="0"/>
        <w:spacing w:before="120" w:beforeLines="50" w:after="50"/>
        <w:rPr>
          <w:rFonts w:ascii="宋体" w:hAnsi="宋体" w:cs="宋体"/>
          <w:color w:val="auto"/>
          <w:sz w:val="24"/>
          <w:szCs w:val="20"/>
          <w:highlight w:val="none"/>
          <w:u w:val="single"/>
        </w:rPr>
      </w:pPr>
      <w:r>
        <w:rPr>
          <w:rFonts w:hint="eastAsia" w:ascii="宋体" w:hAnsi="宋体" w:cs="宋体"/>
          <w:color w:val="auto"/>
          <w:sz w:val="24"/>
          <w:highlight w:val="none"/>
        </w:rPr>
        <w:t>被授权人签名：                 法定代表人（签字或</w:t>
      </w:r>
      <w:r>
        <w:rPr>
          <w:rFonts w:ascii="宋体" w:hAnsi="宋体" w:cs="宋体"/>
          <w:color w:val="auto"/>
          <w:sz w:val="24"/>
          <w:highlight w:val="none"/>
        </w:rPr>
        <w:t>盖章</w:t>
      </w:r>
      <w:r>
        <w:rPr>
          <w:rFonts w:hint="eastAsia" w:ascii="宋体" w:hAnsi="宋体" w:cs="宋体"/>
          <w:color w:val="auto"/>
          <w:sz w:val="24"/>
          <w:highlight w:val="none"/>
        </w:rPr>
        <w:t xml:space="preserve">）：         </w:t>
      </w:r>
    </w:p>
    <w:p w14:paraId="4582FF42">
      <w:pPr>
        <w:snapToGrid w:val="0"/>
        <w:spacing w:before="120" w:beforeLines="50" w:after="50"/>
        <w:ind w:firstLine="960" w:firstLineChars="400"/>
        <w:rPr>
          <w:rFonts w:ascii="宋体" w:hAnsi="宋体" w:cs="宋体"/>
          <w:color w:val="auto"/>
          <w:sz w:val="24"/>
          <w:szCs w:val="20"/>
          <w:highlight w:val="none"/>
        </w:rPr>
      </w:pPr>
      <w:r>
        <w:rPr>
          <w:rFonts w:hint="eastAsia" w:ascii="宋体" w:hAnsi="宋体" w:cs="宋体"/>
          <w:color w:val="auto"/>
          <w:sz w:val="24"/>
          <w:highlight w:val="none"/>
        </w:rPr>
        <w:t>职务：                          职务：</w:t>
      </w:r>
    </w:p>
    <w:p w14:paraId="5B23CCE9">
      <w:pPr>
        <w:snapToGrid w:val="0"/>
        <w:spacing w:before="120" w:beforeLines="50" w:after="50"/>
        <w:rPr>
          <w:rFonts w:ascii="宋体" w:hAnsi="宋体" w:cs="宋体"/>
          <w:color w:val="auto"/>
          <w:sz w:val="24"/>
          <w:highlight w:val="none"/>
        </w:rPr>
      </w:pPr>
      <w:r>
        <w:rPr>
          <w:rFonts w:hint="eastAsia" w:ascii="宋体" w:hAnsi="宋体" w:cs="宋体"/>
          <w:color w:val="auto"/>
          <w:sz w:val="24"/>
          <w:highlight w:val="none"/>
        </w:rPr>
        <w:t>被授权人身份证复印件：</w:t>
      </w:r>
    </w:p>
    <w:p w14:paraId="6C95CACE">
      <w:pPr>
        <w:snapToGrid w:val="0"/>
        <w:spacing w:before="120" w:beforeLines="50" w:after="50"/>
        <w:rPr>
          <w:rFonts w:ascii="宋体" w:hAnsi="宋体" w:cs="宋体"/>
          <w:color w:val="auto"/>
          <w:sz w:val="24"/>
          <w:highlight w:val="none"/>
        </w:rPr>
      </w:pPr>
    </w:p>
    <w:p w14:paraId="6F8A03C6">
      <w:pPr>
        <w:snapToGrid w:val="0"/>
        <w:spacing w:before="120" w:beforeLines="50" w:after="50"/>
        <w:rPr>
          <w:rFonts w:ascii="宋体" w:hAnsi="宋体" w:cs="宋体"/>
          <w:color w:val="auto"/>
          <w:sz w:val="24"/>
          <w:highlight w:val="none"/>
        </w:rPr>
      </w:pPr>
    </w:p>
    <w:p w14:paraId="62E05113">
      <w:pPr>
        <w:snapToGrid w:val="0"/>
        <w:spacing w:before="120" w:beforeLines="50" w:after="50"/>
        <w:rPr>
          <w:rFonts w:ascii="宋体" w:hAnsi="宋体" w:cs="宋体"/>
          <w:color w:val="auto"/>
          <w:sz w:val="24"/>
          <w:highlight w:val="none"/>
        </w:rPr>
      </w:pPr>
    </w:p>
    <w:p w14:paraId="2C197BC8">
      <w:pPr>
        <w:snapToGrid w:val="0"/>
        <w:spacing w:before="120" w:beforeLines="50" w:after="50"/>
        <w:rPr>
          <w:rFonts w:ascii="宋体" w:hAnsi="宋体" w:cs="宋体"/>
          <w:color w:val="auto"/>
          <w:sz w:val="24"/>
          <w:szCs w:val="20"/>
          <w:highlight w:val="none"/>
        </w:rPr>
      </w:pPr>
    </w:p>
    <w:p w14:paraId="51471757">
      <w:pPr>
        <w:snapToGrid w:val="0"/>
        <w:spacing w:before="120" w:beforeLines="50" w:after="50"/>
        <w:rPr>
          <w:rFonts w:ascii="宋体" w:hAnsi="宋体" w:cs="宋体"/>
          <w:color w:val="auto"/>
          <w:sz w:val="24"/>
          <w:highlight w:val="none"/>
        </w:rPr>
      </w:pPr>
    </w:p>
    <w:p w14:paraId="65601AA8">
      <w:pPr>
        <w:snapToGrid w:val="0"/>
        <w:spacing w:before="120" w:beforeLines="50" w:after="50"/>
        <w:rPr>
          <w:rFonts w:ascii="宋体" w:hAnsi="宋体" w:cs="宋体"/>
          <w:color w:val="auto"/>
          <w:sz w:val="24"/>
          <w:highlight w:val="none"/>
        </w:rPr>
      </w:pPr>
    </w:p>
    <w:p w14:paraId="0E6EF3F2">
      <w:pPr>
        <w:snapToGrid w:val="0"/>
        <w:spacing w:before="120" w:beforeLines="50" w:after="50"/>
        <w:rPr>
          <w:rFonts w:ascii="宋体" w:hAnsi="宋体" w:cs="宋体"/>
          <w:color w:val="auto"/>
          <w:sz w:val="24"/>
          <w:highlight w:val="none"/>
        </w:rPr>
      </w:pPr>
    </w:p>
    <w:p w14:paraId="22FBD34C">
      <w:pPr>
        <w:snapToGrid w:val="0"/>
        <w:spacing w:before="120" w:beforeLines="50" w:after="50"/>
        <w:rPr>
          <w:rFonts w:ascii="宋体" w:hAnsi="宋体" w:cs="宋体"/>
          <w:color w:val="auto"/>
          <w:sz w:val="24"/>
          <w:highlight w:val="none"/>
        </w:rPr>
      </w:pPr>
    </w:p>
    <w:p w14:paraId="4D06A4BB">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076D3FEE">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47124716">
      <w:pPr>
        <w:snapToGrid w:val="0"/>
        <w:spacing w:before="120" w:beforeLines="50" w:after="50"/>
        <w:rPr>
          <w:rFonts w:ascii="宋体" w:hAnsi="宋体" w:cs="宋体"/>
          <w:color w:val="auto"/>
          <w:sz w:val="24"/>
          <w:highlight w:val="none"/>
        </w:rPr>
      </w:pPr>
    </w:p>
    <w:p w14:paraId="182EB9C4">
      <w:pPr>
        <w:snapToGrid w:val="0"/>
        <w:spacing w:before="120" w:beforeLines="50" w:after="50"/>
        <w:rPr>
          <w:rFonts w:ascii="宋体" w:hAnsi="宋体" w:cs="宋体"/>
          <w:color w:val="auto"/>
          <w:sz w:val="24"/>
          <w:highlight w:val="none"/>
        </w:rPr>
      </w:pPr>
    </w:p>
    <w:p w14:paraId="16359759">
      <w:pPr>
        <w:snapToGrid w:val="0"/>
        <w:spacing w:before="120" w:beforeLines="50" w:after="50"/>
        <w:jc w:val="center"/>
        <w:rPr>
          <w:rFonts w:ascii="宋体" w:hAnsi="宋体" w:cs="宋体"/>
          <w:color w:val="auto"/>
          <w:highlight w:val="none"/>
        </w:rPr>
        <w:sectPr>
          <w:footerReference r:id="rId7" w:type="first"/>
          <w:footerReference r:id="rId6" w:type="default"/>
          <w:pgSz w:w="11906" w:h="16838"/>
          <w:pgMar w:top="1474" w:right="1247" w:bottom="1247" w:left="1588" w:header="851" w:footer="851" w:gutter="0"/>
          <w:pgNumType w:fmt="decimal" w:start="1"/>
          <w:cols w:space="720" w:num="1"/>
          <w:titlePg/>
          <w:docGrid w:linePitch="312" w:charSpace="0"/>
        </w:sectPr>
      </w:pPr>
    </w:p>
    <w:p w14:paraId="38B73DF7">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投标单位情况表：</w:t>
      </w:r>
    </w:p>
    <w:p w14:paraId="69659C39">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投标单位情况表</w:t>
      </w:r>
    </w:p>
    <w:p w14:paraId="4528A110">
      <w:pPr>
        <w:spacing w:before="120" w:after="120"/>
        <w:ind w:firstLine="630" w:firstLineChars="300"/>
        <w:rPr>
          <w:rFonts w:ascii="宋体" w:hAnsi="宋体" w:cs="宋体"/>
          <w:color w:val="auto"/>
          <w:highlight w:val="none"/>
        </w:rPr>
      </w:pPr>
      <w:r>
        <w:rPr>
          <w:rFonts w:hint="eastAsia" w:ascii="宋体" w:hAnsi="宋体" w:cs="宋体"/>
          <w:color w:val="auto"/>
          <w:highlight w:val="none"/>
        </w:rPr>
        <w:t>投标单位：                                        填表日期：</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44D9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vAlign w:val="center"/>
          </w:tcPr>
          <w:p w14:paraId="026597B6">
            <w:pPr>
              <w:spacing w:before="120" w:after="120"/>
              <w:rPr>
                <w:rFonts w:ascii="宋体" w:hAnsi="宋体" w:cs="宋体"/>
                <w:color w:val="auto"/>
                <w:highlight w:val="none"/>
              </w:rPr>
            </w:pPr>
            <w:r>
              <w:rPr>
                <w:rFonts w:hint="eastAsia" w:ascii="宋体" w:hAnsi="宋体" w:cs="宋体"/>
                <w:color w:val="auto"/>
                <w:highlight w:val="none"/>
              </w:rPr>
              <w:t>单位名称</w:t>
            </w:r>
          </w:p>
        </w:tc>
        <w:tc>
          <w:tcPr>
            <w:tcW w:w="3263" w:type="dxa"/>
            <w:vAlign w:val="center"/>
          </w:tcPr>
          <w:p w14:paraId="19DDE819">
            <w:pPr>
              <w:widowControl/>
              <w:jc w:val="center"/>
              <w:rPr>
                <w:rFonts w:ascii="宋体" w:hAnsi="宋体" w:cs="宋体"/>
                <w:color w:val="auto"/>
                <w:sz w:val="24"/>
                <w:highlight w:val="none"/>
              </w:rPr>
            </w:pPr>
          </w:p>
        </w:tc>
        <w:tc>
          <w:tcPr>
            <w:tcW w:w="1388" w:type="dxa"/>
            <w:gridSpan w:val="2"/>
            <w:vAlign w:val="center"/>
          </w:tcPr>
          <w:p w14:paraId="3519FEC8">
            <w:pPr>
              <w:spacing w:before="120" w:after="120"/>
              <w:rPr>
                <w:rFonts w:ascii="宋体" w:hAnsi="宋体" w:cs="宋体"/>
                <w:color w:val="auto"/>
                <w:highlight w:val="none"/>
              </w:rPr>
            </w:pPr>
            <w:r>
              <w:rPr>
                <w:rFonts w:hint="eastAsia" w:ascii="宋体" w:hAnsi="宋体" w:cs="宋体"/>
                <w:color w:val="auto"/>
                <w:highlight w:val="none"/>
              </w:rPr>
              <w:t>电话</w:t>
            </w:r>
          </w:p>
        </w:tc>
        <w:tc>
          <w:tcPr>
            <w:tcW w:w="2534" w:type="dxa"/>
            <w:vAlign w:val="center"/>
          </w:tcPr>
          <w:p w14:paraId="215DA95C">
            <w:pPr>
              <w:spacing w:before="120" w:after="120"/>
              <w:jc w:val="center"/>
              <w:rPr>
                <w:rFonts w:ascii="宋体" w:hAnsi="宋体" w:cs="宋体"/>
                <w:color w:val="auto"/>
                <w:highlight w:val="none"/>
              </w:rPr>
            </w:pPr>
          </w:p>
        </w:tc>
      </w:tr>
      <w:tr w14:paraId="383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vAlign w:val="center"/>
          </w:tcPr>
          <w:p w14:paraId="2CEFDCF9">
            <w:pPr>
              <w:spacing w:before="120" w:after="120"/>
              <w:rPr>
                <w:rFonts w:ascii="宋体" w:hAnsi="宋体" w:cs="宋体"/>
                <w:color w:val="auto"/>
                <w:highlight w:val="none"/>
              </w:rPr>
            </w:pPr>
            <w:r>
              <w:rPr>
                <w:rFonts w:hint="eastAsia" w:ascii="宋体" w:hAnsi="宋体" w:cs="宋体"/>
                <w:color w:val="auto"/>
                <w:highlight w:val="none"/>
              </w:rPr>
              <w:t>地址</w:t>
            </w:r>
          </w:p>
        </w:tc>
        <w:tc>
          <w:tcPr>
            <w:tcW w:w="3263" w:type="dxa"/>
            <w:vAlign w:val="center"/>
          </w:tcPr>
          <w:p w14:paraId="78D8E4E2">
            <w:pPr>
              <w:spacing w:before="120" w:after="120"/>
              <w:jc w:val="center"/>
              <w:rPr>
                <w:rFonts w:ascii="宋体" w:hAnsi="宋体" w:cs="宋体"/>
                <w:color w:val="auto"/>
                <w:highlight w:val="none"/>
              </w:rPr>
            </w:pPr>
          </w:p>
        </w:tc>
        <w:tc>
          <w:tcPr>
            <w:tcW w:w="1388" w:type="dxa"/>
            <w:gridSpan w:val="2"/>
            <w:vAlign w:val="center"/>
          </w:tcPr>
          <w:p w14:paraId="1A6BAEBE">
            <w:pPr>
              <w:spacing w:before="120" w:after="120"/>
              <w:rPr>
                <w:rFonts w:ascii="宋体" w:hAnsi="宋体" w:cs="宋体"/>
                <w:color w:val="auto"/>
                <w:highlight w:val="none"/>
              </w:rPr>
            </w:pPr>
            <w:r>
              <w:rPr>
                <w:rFonts w:hint="eastAsia" w:ascii="宋体" w:hAnsi="宋体" w:cs="宋体"/>
                <w:color w:val="auto"/>
                <w:highlight w:val="none"/>
              </w:rPr>
              <w:t>传真</w:t>
            </w:r>
          </w:p>
        </w:tc>
        <w:tc>
          <w:tcPr>
            <w:tcW w:w="2534" w:type="dxa"/>
            <w:vAlign w:val="center"/>
          </w:tcPr>
          <w:p w14:paraId="172B2256">
            <w:pPr>
              <w:spacing w:before="120" w:after="120"/>
              <w:jc w:val="center"/>
              <w:rPr>
                <w:rFonts w:ascii="宋体" w:hAnsi="宋体" w:cs="宋体"/>
                <w:color w:val="auto"/>
                <w:highlight w:val="none"/>
              </w:rPr>
            </w:pPr>
          </w:p>
        </w:tc>
      </w:tr>
      <w:tr w14:paraId="2DA7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vAlign w:val="center"/>
          </w:tcPr>
          <w:p w14:paraId="6BF0AE6F">
            <w:pPr>
              <w:spacing w:before="120" w:after="120"/>
              <w:rPr>
                <w:rFonts w:ascii="宋体" w:hAnsi="宋体" w:cs="宋体"/>
                <w:color w:val="auto"/>
                <w:highlight w:val="none"/>
              </w:rPr>
            </w:pPr>
            <w:r>
              <w:rPr>
                <w:rFonts w:hint="eastAsia" w:ascii="宋体" w:hAnsi="宋体" w:cs="宋体"/>
                <w:color w:val="auto"/>
                <w:highlight w:val="none"/>
              </w:rPr>
              <w:t>主管部门</w:t>
            </w:r>
          </w:p>
        </w:tc>
        <w:tc>
          <w:tcPr>
            <w:tcW w:w="3263" w:type="dxa"/>
            <w:vAlign w:val="center"/>
          </w:tcPr>
          <w:p w14:paraId="16788786">
            <w:pPr>
              <w:spacing w:before="120" w:after="120"/>
              <w:jc w:val="center"/>
              <w:rPr>
                <w:rFonts w:ascii="宋体" w:hAnsi="宋体" w:cs="宋体"/>
                <w:color w:val="auto"/>
                <w:highlight w:val="none"/>
              </w:rPr>
            </w:pPr>
          </w:p>
        </w:tc>
        <w:tc>
          <w:tcPr>
            <w:tcW w:w="1388" w:type="dxa"/>
            <w:gridSpan w:val="2"/>
            <w:vAlign w:val="center"/>
          </w:tcPr>
          <w:p w14:paraId="1B13BF7F">
            <w:pPr>
              <w:spacing w:before="120" w:after="120"/>
              <w:rPr>
                <w:rFonts w:ascii="宋体" w:hAnsi="宋体" w:cs="宋体"/>
                <w:color w:val="auto"/>
                <w:highlight w:val="none"/>
              </w:rPr>
            </w:pPr>
            <w:r>
              <w:rPr>
                <w:rFonts w:hint="eastAsia" w:ascii="宋体" w:hAnsi="宋体" w:cs="宋体"/>
                <w:color w:val="auto"/>
                <w:highlight w:val="none"/>
              </w:rPr>
              <w:t>企业性质</w:t>
            </w:r>
          </w:p>
        </w:tc>
        <w:tc>
          <w:tcPr>
            <w:tcW w:w="2534" w:type="dxa"/>
            <w:vAlign w:val="center"/>
          </w:tcPr>
          <w:p w14:paraId="1C1FCB40">
            <w:pPr>
              <w:spacing w:before="120" w:after="120"/>
              <w:jc w:val="center"/>
              <w:rPr>
                <w:rFonts w:ascii="宋体" w:hAnsi="宋体" w:cs="宋体"/>
                <w:color w:val="auto"/>
                <w:highlight w:val="none"/>
              </w:rPr>
            </w:pPr>
          </w:p>
        </w:tc>
      </w:tr>
      <w:tr w14:paraId="15CD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vAlign w:val="center"/>
          </w:tcPr>
          <w:p w14:paraId="0BFACF53">
            <w:pPr>
              <w:spacing w:before="120" w:after="120"/>
              <w:rPr>
                <w:rFonts w:ascii="宋体" w:hAnsi="宋体" w:cs="宋体"/>
                <w:color w:val="auto"/>
                <w:highlight w:val="none"/>
              </w:rPr>
            </w:pPr>
            <w:r>
              <w:rPr>
                <w:rFonts w:hint="eastAsia" w:ascii="宋体" w:hAnsi="宋体" w:cs="宋体"/>
                <w:color w:val="auto"/>
                <w:highlight w:val="none"/>
              </w:rPr>
              <w:t>企业法人</w:t>
            </w:r>
          </w:p>
        </w:tc>
        <w:tc>
          <w:tcPr>
            <w:tcW w:w="3263" w:type="dxa"/>
            <w:vAlign w:val="center"/>
          </w:tcPr>
          <w:p w14:paraId="25E7256F">
            <w:pPr>
              <w:spacing w:before="120" w:after="120"/>
              <w:jc w:val="center"/>
              <w:rPr>
                <w:rFonts w:ascii="宋体" w:hAnsi="宋体" w:cs="宋体"/>
                <w:color w:val="auto"/>
                <w:highlight w:val="none"/>
              </w:rPr>
            </w:pPr>
          </w:p>
        </w:tc>
        <w:tc>
          <w:tcPr>
            <w:tcW w:w="1388" w:type="dxa"/>
            <w:gridSpan w:val="2"/>
            <w:vAlign w:val="center"/>
          </w:tcPr>
          <w:p w14:paraId="6765A68C">
            <w:pPr>
              <w:spacing w:before="120" w:after="120"/>
              <w:rPr>
                <w:rFonts w:ascii="宋体" w:hAnsi="宋体" w:cs="宋体"/>
                <w:color w:val="auto"/>
                <w:highlight w:val="none"/>
              </w:rPr>
            </w:pPr>
            <w:r>
              <w:rPr>
                <w:rFonts w:hint="eastAsia" w:ascii="宋体" w:hAnsi="宋体" w:cs="宋体"/>
                <w:color w:val="auto"/>
                <w:highlight w:val="none"/>
              </w:rPr>
              <w:t>资质等级</w:t>
            </w:r>
          </w:p>
        </w:tc>
        <w:tc>
          <w:tcPr>
            <w:tcW w:w="2534" w:type="dxa"/>
            <w:vAlign w:val="center"/>
          </w:tcPr>
          <w:p w14:paraId="2E6D480D">
            <w:pPr>
              <w:spacing w:before="120" w:after="120"/>
              <w:jc w:val="center"/>
              <w:rPr>
                <w:rFonts w:ascii="宋体" w:hAnsi="宋体" w:cs="宋体"/>
                <w:color w:val="auto"/>
                <w:highlight w:val="none"/>
              </w:rPr>
            </w:pPr>
          </w:p>
        </w:tc>
      </w:tr>
      <w:tr w14:paraId="2A13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vAlign w:val="center"/>
          </w:tcPr>
          <w:p w14:paraId="02674127">
            <w:pPr>
              <w:spacing w:before="120" w:after="120"/>
              <w:rPr>
                <w:rFonts w:ascii="宋体" w:hAnsi="宋体" w:cs="宋体"/>
                <w:color w:val="auto"/>
                <w:highlight w:val="none"/>
              </w:rPr>
            </w:pPr>
            <w:r>
              <w:rPr>
                <w:rFonts w:hint="eastAsia" w:ascii="宋体" w:hAnsi="宋体" w:cs="宋体"/>
                <w:color w:val="auto"/>
                <w:highlight w:val="none"/>
              </w:rPr>
              <w:t>授权代表</w:t>
            </w:r>
          </w:p>
        </w:tc>
        <w:tc>
          <w:tcPr>
            <w:tcW w:w="3263" w:type="dxa"/>
            <w:vAlign w:val="center"/>
          </w:tcPr>
          <w:p w14:paraId="17A616EF">
            <w:pPr>
              <w:spacing w:before="120" w:after="120"/>
              <w:jc w:val="center"/>
              <w:rPr>
                <w:rFonts w:ascii="宋体" w:hAnsi="宋体" w:cs="宋体"/>
                <w:color w:val="auto"/>
                <w:highlight w:val="none"/>
              </w:rPr>
            </w:pPr>
          </w:p>
        </w:tc>
        <w:tc>
          <w:tcPr>
            <w:tcW w:w="1388" w:type="dxa"/>
            <w:gridSpan w:val="2"/>
            <w:vAlign w:val="center"/>
          </w:tcPr>
          <w:p w14:paraId="5D5C3D3A">
            <w:pPr>
              <w:spacing w:before="120" w:after="120"/>
              <w:rPr>
                <w:rFonts w:ascii="宋体" w:hAnsi="宋体" w:cs="宋体"/>
                <w:color w:val="auto"/>
                <w:highlight w:val="none"/>
              </w:rPr>
            </w:pPr>
            <w:r>
              <w:rPr>
                <w:rFonts w:hint="eastAsia" w:ascii="宋体" w:hAnsi="宋体" w:cs="宋体"/>
                <w:color w:val="auto"/>
                <w:highlight w:val="none"/>
              </w:rPr>
              <w:t>职务</w:t>
            </w:r>
          </w:p>
        </w:tc>
        <w:tc>
          <w:tcPr>
            <w:tcW w:w="2534" w:type="dxa"/>
            <w:vAlign w:val="center"/>
          </w:tcPr>
          <w:p w14:paraId="5AD6CF9A">
            <w:pPr>
              <w:spacing w:before="120" w:after="120"/>
              <w:jc w:val="center"/>
              <w:rPr>
                <w:rFonts w:ascii="宋体" w:hAnsi="宋体" w:cs="宋体"/>
                <w:color w:val="auto"/>
                <w:highlight w:val="none"/>
              </w:rPr>
            </w:pPr>
          </w:p>
        </w:tc>
      </w:tr>
      <w:tr w14:paraId="29F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vAlign w:val="center"/>
          </w:tcPr>
          <w:p w14:paraId="01AB1716">
            <w:pPr>
              <w:spacing w:before="120" w:after="120"/>
              <w:ind w:firstLine="630" w:firstLineChars="300"/>
              <w:jc w:val="center"/>
              <w:rPr>
                <w:rFonts w:ascii="宋体" w:hAnsi="宋体" w:cs="宋体"/>
                <w:color w:val="auto"/>
                <w:highlight w:val="none"/>
              </w:rPr>
            </w:pPr>
          </w:p>
          <w:p w14:paraId="0AB9733C">
            <w:pPr>
              <w:spacing w:before="120" w:after="120"/>
              <w:jc w:val="center"/>
              <w:rPr>
                <w:rFonts w:ascii="宋体" w:hAnsi="宋体" w:cs="宋体"/>
                <w:color w:val="auto"/>
                <w:highlight w:val="none"/>
              </w:rPr>
            </w:pPr>
            <w:r>
              <w:rPr>
                <w:rFonts w:hint="eastAsia" w:ascii="宋体" w:hAnsi="宋体" w:cs="宋体"/>
                <w:color w:val="auto"/>
                <w:highlight w:val="none"/>
              </w:rPr>
              <w:t>单位概况</w:t>
            </w:r>
          </w:p>
          <w:p w14:paraId="60F2CEA0">
            <w:pPr>
              <w:spacing w:before="120" w:after="120"/>
              <w:ind w:firstLine="630" w:firstLineChars="300"/>
              <w:jc w:val="center"/>
              <w:rPr>
                <w:rFonts w:ascii="宋体" w:hAnsi="宋体" w:cs="宋体"/>
                <w:color w:val="auto"/>
                <w:highlight w:val="none"/>
              </w:rPr>
            </w:pPr>
          </w:p>
          <w:p w14:paraId="4F6223B7">
            <w:pPr>
              <w:spacing w:before="120" w:after="120"/>
              <w:ind w:firstLine="630" w:firstLineChars="300"/>
              <w:jc w:val="center"/>
              <w:rPr>
                <w:rFonts w:ascii="宋体" w:hAnsi="宋体" w:cs="宋体"/>
                <w:color w:val="auto"/>
                <w:highlight w:val="none"/>
              </w:rPr>
            </w:pPr>
          </w:p>
          <w:p w14:paraId="40ADE027">
            <w:pPr>
              <w:spacing w:before="120" w:after="120"/>
              <w:ind w:firstLine="630" w:firstLineChars="300"/>
              <w:jc w:val="center"/>
              <w:rPr>
                <w:rFonts w:ascii="宋体" w:hAnsi="宋体" w:cs="宋体"/>
                <w:color w:val="auto"/>
                <w:highlight w:val="none"/>
              </w:rPr>
            </w:pPr>
          </w:p>
          <w:p w14:paraId="14F512B5">
            <w:pPr>
              <w:spacing w:before="120" w:after="120"/>
              <w:ind w:firstLine="630" w:firstLineChars="300"/>
              <w:jc w:val="center"/>
              <w:rPr>
                <w:rFonts w:ascii="宋体" w:hAnsi="宋体" w:cs="宋体"/>
                <w:color w:val="auto"/>
                <w:highlight w:val="none"/>
              </w:rPr>
            </w:pPr>
          </w:p>
        </w:tc>
        <w:tc>
          <w:tcPr>
            <w:tcW w:w="1260" w:type="dxa"/>
            <w:vMerge w:val="restart"/>
            <w:vAlign w:val="center"/>
          </w:tcPr>
          <w:p w14:paraId="087494FB">
            <w:pPr>
              <w:jc w:val="center"/>
              <w:rPr>
                <w:rFonts w:ascii="宋体" w:hAnsi="宋体" w:cs="宋体"/>
                <w:color w:val="auto"/>
                <w:sz w:val="24"/>
                <w:highlight w:val="none"/>
              </w:rPr>
            </w:pPr>
            <w:r>
              <w:rPr>
                <w:rFonts w:hint="eastAsia" w:ascii="宋体" w:hAnsi="宋体" w:cs="宋体"/>
                <w:color w:val="auto"/>
                <w:sz w:val="24"/>
                <w:highlight w:val="none"/>
              </w:rPr>
              <w:t>职工总数</w:t>
            </w:r>
          </w:p>
        </w:tc>
        <w:tc>
          <w:tcPr>
            <w:tcW w:w="3263" w:type="dxa"/>
            <w:vAlign w:val="center"/>
          </w:tcPr>
          <w:p w14:paraId="6E33B2B0">
            <w:pPr>
              <w:spacing w:before="120" w:after="120"/>
              <w:rPr>
                <w:rFonts w:ascii="宋体" w:hAnsi="宋体" w:cs="宋体"/>
                <w:color w:val="auto"/>
                <w:highlight w:val="none"/>
              </w:rPr>
            </w:pPr>
            <w:r>
              <w:rPr>
                <w:rFonts w:hint="eastAsia"/>
                <w:color w:val="auto"/>
                <w:highlight w:val="none"/>
              </w:rPr>
              <w:t>员工（包括技术工人、高级技师、工程师）：人</w:t>
            </w:r>
          </w:p>
        </w:tc>
        <w:tc>
          <w:tcPr>
            <w:tcW w:w="3922" w:type="dxa"/>
            <w:gridSpan w:val="3"/>
            <w:vAlign w:val="center"/>
          </w:tcPr>
          <w:p w14:paraId="65962F32">
            <w:pPr>
              <w:spacing w:before="120" w:after="120"/>
              <w:rPr>
                <w:rFonts w:ascii="宋体" w:hAnsi="宋体" w:cs="宋体"/>
                <w:color w:val="auto"/>
                <w:highlight w:val="none"/>
              </w:rPr>
            </w:pPr>
            <w:r>
              <w:rPr>
                <w:rFonts w:hint="eastAsia" w:ascii="宋体" w:hAnsi="宋体" w:cs="宋体"/>
                <w:color w:val="auto"/>
                <w:highlight w:val="none"/>
              </w:rPr>
              <w:t>技术工人：          人</w:t>
            </w:r>
          </w:p>
        </w:tc>
      </w:tr>
      <w:tr w14:paraId="7578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vAlign w:val="center"/>
          </w:tcPr>
          <w:p w14:paraId="3C278E19">
            <w:pPr>
              <w:spacing w:before="120" w:after="120"/>
              <w:ind w:firstLine="630" w:firstLineChars="300"/>
              <w:jc w:val="center"/>
              <w:rPr>
                <w:rFonts w:ascii="宋体" w:hAnsi="宋体" w:cs="宋体"/>
                <w:color w:val="auto"/>
                <w:highlight w:val="none"/>
              </w:rPr>
            </w:pPr>
          </w:p>
        </w:tc>
        <w:tc>
          <w:tcPr>
            <w:tcW w:w="1260" w:type="dxa"/>
            <w:vMerge w:val="continue"/>
            <w:vAlign w:val="center"/>
          </w:tcPr>
          <w:p w14:paraId="3F99A8A1">
            <w:pPr>
              <w:widowControl/>
              <w:jc w:val="center"/>
              <w:rPr>
                <w:rFonts w:ascii="宋体" w:hAnsi="宋体" w:cs="宋体"/>
                <w:color w:val="auto"/>
                <w:sz w:val="24"/>
                <w:highlight w:val="none"/>
              </w:rPr>
            </w:pPr>
          </w:p>
        </w:tc>
        <w:tc>
          <w:tcPr>
            <w:tcW w:w="3263" w:type="dxa"/>
            <w:vAlign w:val="center"/>
          </w:tcPr>
          <w:p w14:paraId="14A2777C">
            <w:pPr>
              <w:spacing w:before="120" w:after="120"/>
              <w:rPr>
                <w:rFonts w:ascii="宋体" w:hAnsi="宋体" w:cs="宋体"/>
                <w:color w:val="auto"/>
                <w:highlight w:val="none"/>
              </w:rPr>
            </w:pPr>
            <w:r>
              <w:rPr>
                <w:rFonts w:hint="eastAsia" w:ascii="宋体" w:hAnsi="宋体" w:cs="宋体"/>
                <w:color w:val="auto"/>
                <w:highlight w:val="none"/>
              </w:rPr>
              <w:t>高级技师：       人</w:t>
            </w:r>
          </w:p>
        </w:tc>
        <w:tc>
          <w:tcPr>
            <w:tcW w:w="3922" w:type="dxa"/>
            <w:gridSpan w:val="3"/>
            <w:vAlign w:val="center"/>
          </w:tcPr>
          <w:p w14:paraId="673E32F2">
            <w:pPr>
              <w:spacing w:before="120" w:after="120"/>
              <w:rPr>
                <w:rFonts w:ascii="宋体" w:hAnsi="宋体" w:cs="宋体"/>
                <w:color w:val="auto"/>
                <w:highlight w:val="none"/>
              </w:rPr>
            </w:pPr>
            <w:r>
              <w:rPr>
                <w:rFonts w:hint="eastAsia" w:ascii="宋体" w:hAnsi="宋体" w:cs="宋体"/>
                <w:color w:val="auto"/>
                <w:highlight w:val="none"/>
              </w:rPr>
              <w:t>工程师：            人</w:t>
            </w:r>
          </w:p>
        </w:tc>
      </w:tr>
      <w:tr w14:paraId="0B69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vAlign w:val="center"/>
          </w:tcPr>
          <w:p w14:paraId="3B03B8FE">
            <w:pPr>
              <w:spacing w:before="120" w:after="120"/>
              <w:ind w:firstLine="630" w:firstLineChars="300"/>
              <w:jc w:val="center"/>
              <w:rPr>
                <w:rFonts w:ascii="宋体" w:hAnsi="宋体" w:cs="宋体"/>
                <w:color w:val="auto"/>
                <w:highlight w:val="none"/>
              </w:rPr>
            </w:pPr>
          </w:p>
        </w:tc>
        <w:tc>
          <w:tcPr>
            <w:tcW w:w="1260" w:type="dxa"/>
            <w:vAlign w:val="center"/>
          </w:tcPr>
          <w:p w14:paraId="499D9087">
            <w:pPr>
              <w:spacing w:before="120" w:after="120"/>
              <w:jc w:val="center"/>
              <w:rPr>
                <w:rFonts w:ascii="宋体" w:hAnsi="宋体" w:cs="宋体"/>
                <w:color w:val="auto"/>
                <w:highlight w:val="none"/>
              </w:rPr>
            </w:pPr>
            <w:r>
              <w:rPr>
                <w:rFonts w:hint="eastAsia" w:ascii="宋体" w:hAnsi="宋体" w:cs="宋体"/>
                <w:color w:val="auto"/>
                <w:highlight w:val="none"/>
              </w:rPr>
              <w:t>流动资金</w:t>
            </w:r>
          </w:p>
        </w:tc>
        <w:tc>
          <w:tcPr>
            <w:tcW w:w="3263" w:type="dxa"/>
            <w:vAlign w:val="center"/>
          </w:tcPr>
          <w:p w14:paraId="1D69AF28">
            <w:pPr>
              <w:spacing w:before="120" w:after="120"/>
              <w:jc w:val="center"/>
              <w:rPr>
                <w:rFonts w:ascii="宋体" w:hAnsi="宋体" w:cs="宋体"/>
                <w:color w:val="auto"/>
                <w:highlight w:val="none"/>
              </w:rPr>
            </w:pPr>
          </w:p>
        </w:tc>
        <w:tc>
          <w:tcPr>
            <w:tcW w:w="1222" w:type="dxa"/>
            <w:vAlign w:val="center"/>
          </w:tcPr>
          <w:p w14:paraId="5C3FBBAD">
            <w:pPr>
              <w:spacing w:before="120" w:after="120"/>
              <w:jc w:val="center"/>
              <w:rPr>
                <w:rFonts w:ascii="宋体" w:hAnsi="宋体" w:cs="宋体"/>
                <w:color w:val="auto"/>
                <w:highlight w:val="none"/>
              </w:rPr>
            </w:pPr>
            <w:r>
              <w:rPr>
                <w:rFonts w:hint="eastAsia" w:ascii="宋体" w:hAnsi="宋体" w:cs="宋体"/>
                <w:color w:val="auto"/>
                <w:highlight w:val="none"/>
              </w:rPr>
              <w:t>营业面积</w:t>
            </w:r>
          </w:p>
        </w:tc>
        <w:tc>
          <w:tcPr>
            <w:tcW w:w="2700" w:type="dxa"/>
            <w:gridSpan w:val="2"/>
            <w:vAlign w:val="center"/>
          </w:tcPr>
          <w:p w14:paraId="738ADED1">
            <w:pPr>
              <w:spacing w:before="120" w:after="120"/>
              <w:jc w:val="center"/>
              <w:rPr>
                <w:rFonts w:ascii="宋体" w:hAnsi="宋体" w:cs="宋体"/>
                <w:color w:val="auto"/>
                <w:highlight w:val="none"/>
              </w:rPr>
            </w:pPr>
          </w:p>
        </w:tc>
      </w:tr>
      <w:tr w14:paraId="1A8E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vAlign w:val="center"/>
          </w:tcPr>
          <w:p w14:paraId="5D8FAD5F">
            <w:pPr>
              <w:spacing w:before="120" w:after="120"/>
              <w:ind w:firstLine="630" w:firstLineChars="300"/>
              <w:jc w:val="center"/>
              <w:rPr>
                <w:rFonts w:ascii="宋体" w:hAnsi="宋体" w:cs="宋体"/>
                <w:color w:val="auto"/>
                <w:highlight w:val="none"/>
              </w:rPr>
            </w:pPr>
          </w:p>
        </w:tc>
        <w:tc>
          <w:tcPr>
            <w:tcW w:w="1260" w:type="dxa"/>
            <w:vAlign w:val="center"/>
          </w:tcPr>
          <w:p w14:paraId="5B334AD1">
            <w:pPr>
              <w:spacing w:before="120" w:after="120"/>
              <w:jc w:val="center"/>
              <w:rPr>
                <w:rFonts w:ascii="宋体" w:hAnsi="宋体" w:cs="宋体"/>
                <w:color w:val="auto"/>
                <w:highlight w:val="none"/>
              </w:rPr>
            </w:pPr>
            <w:r>
              <w:rPr>
                <w:rFonts w:hint="eastAsia" w:ascii="宋体" w:hAnsi="宋体" w:cs="宋体"/>
                <w:color w:val="auto"/>
                <w:highlight w:val="none"/>
              </w:rPr>
              <w:t>固定资金</w:t>
            </w:r>
          </w:p>
        </w:tc>
        <w:tc>
          <w:tcPr>
            <w:tcW w:w="3263" w:type="dxa"/>
            <w:vAlign w:val="center"/>
          </w:tcPr>
          <w:p w14:paraId="3E0D0F51">
            <w:pPr>
              <w:widowControl/>
              <w:jc w:val="center"/>
              <w:rPr>
                <w:rFonts w:ascii="宋体" w:hAnsi="宋体" w:cs="宋体"/>
                <w:color w:val="auto"/>
                <w:sz w:val="24"/>
                <w:highlight w:val="none"/>
              </w:rPr>
            </w:pPr>
          </w:p>
        </w:tc>
        <w:tc>
          <w:tcPr>
            <w:tcW w:w="1222" w:type="dxa"/>
            <w:vAlign w:val="center"/>
          </w:tcPr>
          <w:p w14:paraId="21647611">
            <w:pPr>
              <w:spacing w:before="120" w:after="120"/>
              <w:jc w:val="center"/>
              <w:rPr>
                <w:rFonts w:ascii="宋体" w:hAnsi="宋体" w:cs="宋体"/>
                <w:color w:val="auto"/>
                <w:highlight w:val="none"/>
              </w:rPr>
            </w:pPr>
            <w:r>
              <w:rPr>
                <w:rFonts w:hint="eastAsia" w:ascii="宋体" w:hAnsi="宋体" w:cs="宋体"/>
                <w:color w:val="auto"/>
                <w:highlight w:val="none"/>
              </w:rPr>
              <w:t>售后网点</w:t>
            </w:r>
          </w:p>
        </w:tc>
        <w:tc>
          <w:tcPr>
            <w:tcW w:w="2700" w:type="dxa"/>
            <w:gridSpan w:val="2"/>
            <w:vAlign w:val="center"/>
          </w:tcPr>
          <w:p w14:paraId="6ACB8392">
            <w:pPr>
              <w:widowControl/>
              <w:jc w:val="center"/>
              <w:rPr>
                <w:rFonts w:ascii="宋体" w:hAnsi="宋体" w:cs="宋体"/>
                <w:color w:val="auto"/>
                <w:sz w:val="24"/>
                <w:highlight w:val="none"/>
              </w:rPr>
            </w:pPr>
          </w:p>
        </w:tc>
      </w:tr>
      <w:tr w14:paraId="1A24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vAlign w:val="center"/>
          </w:tcPr>
          <w:p w14:paraId="573FF2E0">
            <w:pPr>
              <w:spacing w:before="120" w:after="120"/>
              <w:jc w:val="center"/>
              <w:rPr>
                <w:rFonts w:ascii="宋体" w:hAnsi="宋体" w:cs="宋体"/>
                <w:color w:val="auto"/>
                <w:highlight w:val="none"/>
              </w:rPr>
            </w:pPr>
            <w:r>
              <w:rPr>
                <w:rFonts w:hint="eastAsia" w:ascii="宋体" w:hAnsi="宋体" w:cs="宋体"/>
                <w:color w:val="auto"/>
                <w:highlight w:val="none"/>
              </w:rPr>
              <w:t>单位简历</w:t>
            </w:r>
          </w:p>
        </w:tc>
        <w:tc>
          <w:tcPr>
            <w:tcW w:w="8445" w:type="dxa"/>
            <w:gridSpan w:val="5"/>
          </w:tcPr>
          <w:p w14:paraId="7EA56D2C">
            <w:pPr>
              <w:jc w:val="left"/>
              <w:rPr>
                <w:rFonts w:ascii="宋体" w:hAnsi="宋体" w:cs="宋体"/>
                <w:color w:val="auto"/>
                <w:sz w:val="24"/>
                <w:highlight w:val="none"/>
              </w:rPr>
            </w:pPr>
          </w:p>
        </w:tc>
      </w:tr>
      <w:tr w14:paraId="2B10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vAlign w:val="center"/>
          </w:tcPr>
          <w:p w14:paraId="2F1F94AB">
            <w:pPr>
              <w:spacing w:before="120" w:after="120"/>
              <w:jc w:val="center"/>
              <w:rPr>
                <w:rFonts w:ascii="宋体" w:hAnsi="宋体" w:cs="宋体"/>
                <w:color w:val="auto"/>
                <w:highlight w:val="none"/>
              </w:rPr>
            </w:pPr>
            <w:r>
              <w:rPr>
                <w:rFonts w:hint="eastAsia" w:ascii="宋体" w:hAnsi="宋体" w:cs="宋体"/>
                <w:color w:val="auto"/>
                <w:highlight w:val="none"/>
              </w:rPr>
              <w:t>优势及特长</w:t>
            </w:r>
          </w:p>
        </w:tc>
        <w:tc>
          <w:tcPr>
            <w:tcW w:w="8445" w:type="dxa"/>
            <w:gridSpan w:val="5"/>
          </w:tcPr>
          <w:p w14:paraId="420ECD3C">
            <w:pPr>
              <w:jc w:val="left"/>
              <w:rPr>
                <w:rFonts w:ascii="宋体" w:hAnsi="宋体" w:cs="宋体"/>
                <w:color w:val="auto"/>
                <w:sz w:val="24"/>
                <w:highlight w:val="none"/>
              </w:rPr>
            </w:pPr>
          </w:p>
        </w:tc>
      </w:tr>
    </w:tbl>
    <w:p w14:paraId="5E09FDE1">
      <w:pPr>
        <w:ind w:firstLine="480" w:firstLineChars="200"/>
        <w:rPr>
          <w:rFonts w:ascii="宋体" w:hAnsi="宋体" w:cs="宋体"/>
          <w:color w:val="auto"/>
          <w:sz w:val="24"/>
          <w:highlight w:val="none"/>
        </w:rPr>
      </w:pPr>
      <w:r>
        <w:rPr>
          <w:rFonts w:hint="eastAsia" w:ascii="宋体" w:hAnsi="宋体" w:cs="宋体"/>
          <w:color w:val="auto"/>
          <w:sz w:val="24"/>
          <w:highlight w:val="none"/>
        </w:rPr>
        <w:t>注：附营业执照、资质证书复印件等相关资料。</w:t>
      </w:r>
    </w:p>
    <w:p w14:paraId="381918F7">
      <w:pPr>
        <w:rPr>
          <w:rFonts w:ascii="宋体" w:hAnsi="宋体" w:cs="宋体"/>
          <w:color w:val="auto"/>
          <w:sz w:val="24"/>
          <w:highlight w:val="none"/>
        </w:rPr>
      </w:pPr>
    </w:p>
    <w:p w14:paraId="2A0A23DD">
      <w:pPr>
        <w:snapToGrid w:val="0"/>
        <w:spacing w:line="360" w:lineRule="auto"/>
        <w:ind w:firstLine="560" w:firstLineChars="200"/>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364215A4">
      <w:pPr>
        <w:snapToGrid w:val="0"/>
        <w:spacing w:line="360" w:lineRule="auto"/>
        <w:ind w:firstLine="560" w:firstLineChars="200"/>
        <w:jc w:val="left"/>
        <w:rPr>
          <w:rFonts w:ascii="宋体" w:hAnsi="宋体"/>
          <w:b/>
          <w:bCs/>
          <w:color w:val="auto"/>
          <w:sz w:val="24"/>
          <w:highlight w:val="none"/>
        </w:rPr>
      </w:pPr>
      <w:r>
        <w:rPr>
          <w:rFonts w:hint="eastAsia" w:ascii="宋体" w:hAnsi="宋体"/>
          <w:color w:val="auto"/>
          <w:spacing w:val="20"/>
          <w:sz w:val="24"/>
          <w:highlight w:val="none"/>
        </w:rPr>
        <w:t>日期：</w:t>
      </w:r>
    </w:p>
    <w:p w14:paraId="5AFFAFBA">
      <w:pPr>
        <w:pStyle w:val="4"/>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投标人依法缴纳税收和社保费、无失信行为的声明函</w:t>
      </w:r>
    </w:p>
    <w:p w14:paraId="4DDD92CE">
      <w:pPr>
        <w:pStyle w:val="4"/>
        <w:jc w:val="center"/>
        <w:rPr>
          <w:rFonts w:ascii="宋体" w:hAnsi="宋体" w:cs="宋体"/>
          <w:bCs w:val="0"/>
          <w:color w:val="auto"/>
          <w:sz w:val="30"/>
          <w:szCs w:val="30"/>
          <w:highlight w:val="none"/>
        </w:rPr>
      </w:pPr>
      <w:r>
        <w:rPr>
          <w:rFonts w:hint="eastAsia" w:ascii="宋体" w:hAnsi="宋体" w:eastAsia="宋体" w:cs="宋体"/>
          <w:bCs w:val="0"/>
          <w:color w:val="auto"/>
          <w:sz w:val="30"/>
          <w:szCs w:val="30"/>
          <w:highlight w:val="none"/>
        </w:rPr>
        <w:t>投标人依法缴纳税收和社保费、无失信行为的声明函</w:t>
      </w:r>
    </w:p>
    <w:p w14:paraId="4D809860">
      <w:pPr>
        <w:pStyle w:val="4"/>
        <w:jc w:val="center"/>
        <w:rPr>
          <w:rFonts w:ascii="宋体" w:hAnsi="宋体" w:cs="宋体"/>
          <w:bCs w:val="0"/>
          <w:color w:val="auto"/>
          <w:sz w:val="30"/>
          <w:szCs w:val="30"/>
          <w:highlight w:val="none"/>
        </w:rPr>
      </w:pPr>
    </w:p>
    <w:p w14:paraId="44D7D3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致：采购人</w:t>
      </w:r>
    </w:p>
    <w:p w14:paraId="2077119D">
      <w:pPr>
        <w:pStyle w:val="4"/>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本公司（单位）在参加采购编号为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，项目名称为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的政府采购活动前，在生产经营活动中始终依法缴纳税收和社保费。截至公告发布日止，相关主体在“信用中国”网站(www.creditchina.gov.cn)及中国政府采购网(www.ccgp.gov.cn)无有失信行为。</w:t>
      </w:r>
    </w:p>
    <w:p w14:paraId="35A12F9C">
      <w:pPr>
        <w:pStyle w:val="4"/>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特此声明。</w:t>
      </w:r>
    </w:p>
    <w:p w14:paraId="4EE2E0F3">
      <w:pPr>
        <w:snapToGrid w:val="0"/>
        <w:spacing w:line="360" w:lineRule="auto"/>
        <w:rPr>
          <w:rFonts w:ascii="宋体" w:hAnsi="宋体" w:cs="宋体"/>
          <w:color w:val="auto"/>
          <w:sz w:val="24"/>
          <w:highlight w:val="none"/>
          <w:u w:val="singl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01E0557A">
      <w:pPr>
        <w:pStyle w:val="4"/>
        <w:rPr>
          <w:rFonts w:ascii="宋体" w:hAnsi="宋体" w:eastAsia="宋体"/>
          <w:b w:val="0"/>
          <w:bCs w:val="0"/>
          <w:color w:val="auto"/>
          <w:spacing w:val="20"/>
          <w:sz w:val="24"/>
          <w:szCs w:val="24"/>
          <w:highlight w:val="none"/>
        </w:rPr>
      </w:pPr>
      <w:r>
        <w:rPr>
          <w:rFonts w:hint="eastAsia" w:ascii="宋体" w:hAnsi="宋体" w:eastAsia="宋体"/>
          <w:b w:val="0"/>
          <w:bCs w:val="0"/>
          <w:color w:val="auto"/>
          <w:spacing w:val="20"/>
          <w:sz w:val="24"/>
          <w:szCs w:val="24"/>
          <w:highlight w:val="none"/>
        </w:rPr>
        <w:t>日  期：</w:t>
      </w:r>
    </w:p>
    <w:p w14:paraId="474DC6FA">
      <w:pPr>
        <w:snapToGrid w:val="0"/>
        <w:spacing w:before="50" w:after="120" w:afterLines="50"/>
        <w:jc w:val="left"/>
        <w:rPr>
          <w:rFonts w:ascii="宋体" w:hAnsi="宋体" w:cs="宋体"/>
          <w:b/>
          <w:color w:val="auto"/>
          <w:sz w:val="24"/>
          <w:highlight w:val="none"/>
        </w:rPr>
      </w:pPr>
    </w:p>
    <w:p w14:paraId="2C3A0368">
      <w:pPr>
        <w:pStyle w:val="8"/>
        <w:rPr>
          <w:rFonts w:ascii="宋体" w:hAnsi="宋体" w:cs="宋体"/>
          <w:b/>
          <w:color w:val="auto"/>
          <w:sz w:val="24"/>
          <w:highlight w:val="none"/>
        </w:rPr>
      </w:pPr>
    </w:p>
    <w:p w14:paraId="386A301A">
      <w:pPr>
        <w:pStyle w:val="21"/>
        <w:rPr>
          <w:rFonts w:ascii="宋体" w:hAnsi="宋体" w:cs="宋体"/>
          <w:b/>
          <w:color w:val="auto"/>
          <w:sz w:val="24"/>
          <w:highlight w:val="none"/>
        </w:rPr>
      </w:pPr>
    </w:p>
    <w:p w14:paraId="1CF135B1">
      <w:pPr>
        <w:rPr>
          <w:rFonts w:ascii="宋体" w:hAnsi="宋体" w:cs="宋体"/>
          <w:b/>
          <w:color w:val="auto"/>
          <w:sz w:val="24"/>
          <w:highlight w:val="none"/>
        </w:rPr>
      </w:pPr>
    </w:p>
    <w:p w14:paraId="0F56BEA7">
      <w:pPr>
        <w:pStyle w:val="8"/>
        <w:rPr>
          <w:rFonts w:ascii="宋体" w:hAnsi="宋体" w:cs="宋体"/>
          <w:b/>
          <w:color w:val="auto"/>
          <w:sz w:val="24"/>
          <w:highlight w:val="none"/>
        </w:rPr>
      </w:pPr>
    </w:p>
    <w:p w14:paraId="516E5041">
      <w:pPr>
        <w:pStyle w:val="21"/>
        <w:rPr>
          <w:rFonts w:ascii="宋体" w:hAnsi="宋体" w:cs="宋体"/>
          <w:b/>
          <w:color w:val="auto"/>
          <w:sz w:val="24"/>
          <w:highlight w:val="none"/>
        </w:rPr>
      </w:pPr>
    </w:p>
    <w:p w14:paraId="41CC1567">
      <w:pPr>
        <w:rPr>
          <w:rFonts w:ascii="宋体" w:hAnsi="宋体" w:cs="宋体"/>
          <w:b/>
          <w:color w:val="auto"/>
          <w:sz w:val="24"/>
          <w:highlight w:val="none"/>
        </w:rPr>
      </w:pPr>
    </w:p>
    <w:p w14:paraId="05C02E73">
      <w:pPr>
        <w:pStyle w:val="8"/>
        <w:rPr>
          <w:rFonts w:ascii="宋体" w:hAnsi="宋体" w:cs="宋体"/>
          <w:b/>
          <w:color w:val="auto"/>
          <w:sz w:val="24"/>
          <w:highlight w:val="none"/>
        </w:rPr>
      </w:pPr>
    </w:p>
    <w:p w14:paraId="4CFED45F">
      <w:pPr>
        <w:pStyle w:val="21"/>
        <w:rPr>
          <w:rFonts w:ascii="宋体" w:hAnsi="宋体" w:cs="宋体"/>
          <w:b/>
          <w:color w:val="auto"/>
          <w:sz w:val="24"/>
          <w:highlight w:val="none"/>
        </w:rPr>
      </w:pPr>
    </w:p>
    <w:p w14:paraId="7FB25612">
      <w:pPr>
        <w:rPr>
          <w:rFonts w:ascii="宋体" w:hAnsi="宋体" w:cs="宋体"/>
          <w:b/>
          <w:color w:val="auto"/>
          <w:sz w:val="24"/>
          <w:highlight w:val="none"/>
        </w:rPr>
      </w:pPr>
    </w:p>
    <w:p w14:paraId="465AA295">
      <w:pPr>
        <w:pStyle w:val="8"/>
        <w:rPr>
          <w:rFonts w:ascii="宋体" w:hAnsi="宋体" w:cs="宋体"/>
          <w:b/>
          <w:color w:val="auto"/>
          <w:sz w:val="24"/>
          <w:highlight w:val="none"/>
        </w:rPr>
      </w:pPr>
    </w:p>
    <w:p w14:paraId="7F862CCA">
      <w:pPr>
        <w:pStyle w:val="21"/>
        <w:rPr>
          <w:rFonts w:ascii="宋体" w:hAnsi="宋体" w:cs="宋体"/>
          <w:b/>
          <w:color w:val="auto"/>
          <w:sz w:val="24"/>
          <w:highlight w:val="none"/>
        </w:rPr>
      </w:pPr>
    </w:p>
    <w:p w14:paraId="64E2EACC">
      <w:pPr>
        <w:rPr>
          <w:rFonts w:ascii="宋体" w:hAnsi="宋体" w:cs="宋体"/>
          <w:b/>
          <w:color w:val="auto"/>
          <w:sz w:val="24"/>
          <w:highlight w:val="none"/>
        </w:rPr>
      </w:pPr>
    </w:p>
    <w:p w14:paraId="7D44FD62">
      <w:pPr>
        <w:pStyle w:val="8"/>
        <w:rPr>
          <w:rFonts w:ascii="宋体" w:hAnsi="宋体" w:cs="宋体"/>
          <w:b/>
          <w:color w:val="auto"/>
          <w:sz w:val="24"/>
          <w:highlight w:val="none"/>
        </w:rPr>
      </w:pPr>
    </w:p>
    <w:p w14:paraId="4F2E971A">
      <w:pPr>
        <w:pStyle w:val="21"/>
        <w:rPr>
          <w:rFonts w:ascii="宋体" w:hAnsi="宋体" w:cs="宋体"/>
          <w:b/>
          <w:color w:val="auto"/>
          <w:sz w:val="24"/>
          <w:highlight w:val="none"/>
        </w:rPr>
      </w:pPr>
    </w:p>
    <w:p w14:paraId="7A380418">
      <w:pPr>
        <w:rPr>
          <w:color w:val="auto"/>
          <w:highlight w:val="none"/>
        </w:rPr>
      </w:pPr>
    </w:p>
    <w:p w14:paraId="009F8F07">
      <w:pPr>
        <w:snapToGrid w:val="0"/>
        <w:spacing w:before="120" w:beforeLines="50" w:after="50"/>
        <w:rPr>
          <w:rFonts w:ascii="宋体" w:hAnsi="宋体" w:cs="宋体"/>
          <w:b/>
          <w:color w:val="auto"/>
          <w:sz w:val="24"/>
          <w:highlight w:val="none"/>
        </w:rPr>
      </w:pPr>
    </w:p>
    <w:p w14:paraId="641F8273">
      <w:pPr>
        <w:snapToGrid w:val="0"/>
        <w:spacing w:before="120" w:beforeLines="50" w:after="50"/>
        <w:rPr>
          <w:rFonts w:ascii="宋体" w:hAnsi="宋体" w:cs="宋体"/>
          <w:b/>
          <w:color w:val="auto"/>
          <w:sz w:val="24"/>
          <w:highlight w:val="none"/>
        </w:rPr>
      </w:pPr>
    </w:p>
    <w:p w14:paraId="561EF008">
      <w:pPr>
        <w:snapToGrid w:val="0"/>
        <w:spacing w:before="120" w:beforeLines="50" w:after="50"/>
        <w:rPr>
          <w:rFonts w:ascii="宋体" w:hAnsi="宋体" w:cs="宋体"/>
          <w:b/>
          <w:color w:val="auto"/>
          <w:sz w:val="24"/>
          <w:highlight w:val="none"/>
        </w:rPr>
      </w:pPr>
      <w:r>
        <w:rPr>
          <w:rFonts w:hint="eastAsia" w:ascii="宋体" w:hAnsi="宋体" w:cs="宋体"/>
          <w:b/>
          <w:color w:val="auto"/>
          <w:sz w:val="24"/>
          <w:highlight w:val="none"/>
        </w:rPr>
        <w:t>政府采购供应商诚信承诺书：</w:t>
      </w:r>
    </w:p>
    <w:p w14:paraId="72F94EDD">
      <w:pPr>
        <w:widowControl/>
        <w:spacing w:before="100" w:beforeAutospacing="1" w:after="190"/>
        <w:ind w:firstLine="2789" w:firstLineChars="926"/>
        <w:rPr>
          <w:rFonts w:ascii="宋体" w:hAnsi="宋体" w:cs="宋体"/>
          <w:color w:val="auto"/>
          <w:kern w:val="0"/>
          <w:sz w:val="30"/>
          <w:szCs w:val="30"/>
          <w:highlight w:val="none"/>
        </w:rPr>
      </w:pPr>
      <w:r>
        <w:rPr>
          <w:rFonts w:hint="eastAsia" w:ascii="宋体" w:hAnsi="宋体" w:cs="宋体"/>
          <w:b/>
          <w:bCs/>
          <w:color w:val="auto"/>
          <w:kern w:val="0"/>
          <w:sz w:val="30"/>
          <w:szCs w:val="30"/>
          <w:highlight w:val="none"/>
        </w:rPr>
        <w:t>政府采购供应商诚信承诺书</w:t>
      </w:r>
    </w:p>
    <w:p w14:paraId="30CB5EC7">
      <w:pPr>
        <w:widowControl/>
        <w:spacing w:before="100" w:beforeAutospacing="1" w:after="190"/>
        <w:jc w:val="left"/>
        <w:rPr>
          <w:rFonts w:ascii="宋体" w:hAnsi="宋体" w:cs="宋体"/>
          <w:b/>
          <w:color w:val="auto"/>
          <w:kern w:val="0"/>
          <w:sz w:val="24"/>
          <w:highlight w:val="none"/>
          <w:u w:val="single"/>
        </w:rPr>
      </w:pPr>
      <w:r>
        <w:rPr>
          <w:rFonts w:hint="eastAsia" w:ascii="宋体" w:hAnsi="宋体" w:cs="宋体"/>
          <w:b/>
          <w:color w:val="auto"/>
          <w:kern w:val="0"/>
          <w:sz w:val="24"/>
          <w:highlight w:val="none"/>
          <w:u w:val="single"/>
          <w:lang w:eastAsia="zh-CN"/>
        </w:rPr>
        <w:t>杭州建设工程造价咨询有限公司</w:t>
      </w:r>
      <w:r>
        <w:rPr>
          <w:rFonts w:hint="eastAsia" w:ascii="宋体" w:hAnsi="宋体" w:cs="宋体"/>
          <w:b/>
          <w:color w:val="auto"/>
          <w:kern w:val="0"/>
          <w:sz w:val="24"/>
          <w:highlight w:val="none"/>
          <w:u w:val="single"/>
        </w:rPr>
        <w:t>：</w:t>
      </w:r>
    </w:p>
    <w:p w14:paraId="61AB987F">
      <w:pPr>
        <w:spacing w:line="3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我公司自愿参与贵单位组织的</w:t>
      </w:r>
      <w:r>
        <w:rPr>
          <w:rFonts w:hint="eastAsia" w:ascii="宋体" w:hAnsi="宋体" w:cs="宋体"/>
          <w:b/>
          <w:color w:val="auto"/>
          <w:kern w:val="0"/>
          <w:sz w:val="24"/>
          <w:highlight w:val="none"/>
          <w:u w:val="single"/>
        </w:rPr>
        <w:t xml:space="preserve">                   项目（招标编号：     ）</w:t>
      </w:r>
      <w:r>
        <w:rPr>
          <w:rFonts w:hint="eastAsia" w:ascii="宋体" w:hAnsi="宋体" w:cs="宋体"/>
          <w:color w:val="auto"/>
          <w:kern w:val="0"/>
          <w:sz w:val="24"/>
          <w:highlight w:val="none"/>
        </w:rPr>
        <w:t>采购活动，严格遵守《中华人民共和国</w:t>
      </w:r>
      <w:r>
        <w:rPr>
          <w:rFonts w:hint="eastAsia" w:ascii="宋体" w:hAnsi="宋体" w:cs="宋体"/>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59C1E3CE">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（一）提供虚假材料谋取中标的；</w:t>
      </w:r>
    </w:p>
    <w:p w14:paraId="217CC8F0">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（二）采取不正当手段诋毁、排挤</w:t>
      </w:r>
      <w:r>
        <w:rPr>
          <w:color w:val="auto"/>
          <w:highlight w:val="none"/>
        </w:rPr>
        <w:fldChar w:fldCharType="begin"/>
      </w:r>
      <w:r>
        <w:rPr>
          <w:color w:val="auto"/>
          <w:highlight w:val="none"/>
        </w:rPr>
        <w:instrText xml:space="preserve"> HYPERLINK "http://www.oh100.com/qita/" \t "_blank" </w:instrText>
      </w:r>
      <w:r>
        <w:rPr>
          <w:color w:val="auto"/>
          <w:highlight w:val="none"/>
        </w:rPr>
        <w:fldChar w:fldCharType="separate"/>
      </w:r>
      <w:r>
        <w:rPr>
          <w:rStyle w:val="28"/>
          <w:rFonts w:hint="eastAsia" w:ascii="宋体" w:hAnsi="宋体" w:cs="宋体"/>
          <w:color w:val="auto"/>
          <w:sz w:val="24"/>
          <w:highlight w:val="none"/>
        </w:rPr>
        <w:t>其他</w:t>
      </w:r>
      <w:r>
        <w:rPr>
          <w:rStyle w:val="28"/>
          <w:rFonts w:hint="eastAsia" w:ascii="宋体" w:hAnsi="宋体" w:cs="宋体"/>
          <w:color w:val="auto"/>
          <w:sz w:val="24"/>
          <w:highlight w:val="none"/>
        </w:rPr>
        <w:fldChar w:fldCharType="end"/>
      </w:r>
      <w:r>
        <w:rPr>
          <w:rFonts w:hint="eastAsia" w:ascii="宋体" w:hAnsi="宋体" w:cs="宋体"/>
          <w:color w:val="auto"/>
          <w:sz w:val="24"/>
          <w:highlight w:val="none"/>
        </w:rPr>
        <w:t>供应商的；</w:t>
      </w:r>
    </w:p>
    <w:p w14:paraId="2D2E0086">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（三）与招标采购单位、其他投标人恶意串通的；</w:t>
      </w:r>
    </w:p>
    <w:p w14:paraId="1E69AED2">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（四）向招标采购单位行贿或提供其他不正当利益的；</w:t>
      </w:r>
    </w:p>
    <w:p w14:paraId="561254B2">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（五）在招标过程中与招标采购单位进行协商谈判、不按照招标文件和投标文件订立合同，或者与采购人另立背离合同实质性内容协议的；</w:t>
      </w:r>
    </w:p>
    <w:p w14:paraId="712F4293">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（六）开标后擅自撤销投标，影响招标继续进行的或领取招标文件后不投标导致废标的；</w:t>
      </w:r>
    </w:p>
    <w:p w14:paraId="22C05C02">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（七）中标后无正当理由，在规定时间内不与采购单位签订合同的；</w:t>
      </w:r>
    </w:p>
    <w:p w14:paraId="5E01D475">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（八）将中标项目转让给他人或非法分包他人的；</w:t>
      </w:r>
    </w:p>
    <w:p w14:paraId="0C5EA56B">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（九）无正当理由，拒绝履行合同义务的；</w:t>
      </w:r>
    </w:p>
    <w:p w14:paraId="421F5D8D">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（十）无正当理由放弃中标（成交）项目的；</w:t>
      </w:r>
    </w:p>
    <w:p w14:paraId="5A53296B">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3BF380AA">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（十二）与采购人串通，对尚未履约完毕的采购项目出具虚假验收报告的；</w:t>
      </w:r>
    </w:p>
    <w:p w14:paraId="0641C1C6">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（十三）无不可抗力因素，拒绝提供售后服务、售后服务态度恶劣、故意提高维修配件价格（高于市场平均价）的；</w:t>
      </w:r>
    </w:p>
    <w:p w14:paraId="64E5D92F">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（十四）开标后对招标文件的相关内容再进行质疑的；</w:t>
      </w:r>
    </w:p>
    <w:p w14:paraId="621CE4EC">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（十五）恶意投诉的行为：投诉经查无实据的、捏造事实或者提供虚假投诉材料的；</w:t>
      </w:r>
    </w:p>
    <w:p w14:paraId="46C12167">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（十六）拒绝有关部门监督检查或者提供虚假情况的；</w:t>
      </w:r>
    </w:p>
    <w:p w14:paraId="46A44B22">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（十七）财政、监察部门认定的其他不诚信行为。</w:t>
      </w:r>
    </w:p>
    <w:p w14:paraId="19D5C4F9">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（十八）招标文件规定的其他不诚信行为。</w:t>
      </w:r>
    </w:p>
    <w:p w14:paraId="7383E6DC">
      <w:pPr>
        <w:spacing w:line="340" w:lineRule="exact"/>
        <w:ind w:firstLine="5760" w:firstLineChars="2400"/>
        <w:rPr>
          <w:rFonts w:ascii="宋体" w:hAnsi="宋体" w:cs="宋体"/>
          <w:color w:val="auto"/>
          <w:sz w:val="24"/>
          <w:highlight w:val="none"/>
        </w:rPr>
      </w:pPr>
    </w:p>
    <w:p w14:paraId="3394CA2D">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5F29179F">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202784D8">
      <w:pPr>
        <w:pStyle w:val="24"/>
        <w:spacing w:line="240" w:lineRule="auto"/>
        <w:ind w:firstLine="0" w:firstLineChars="0"/>
        <w:rPr>
          <w:rFonts w:hAnsi="宋体" w:cs="宋体"/>
          <w:b/>
          <w:color w:val="auto"/>
          <w:sz w:val="24"/>
          <w:szCs w:val="24"/>
          <w:highlight w:val="none"/>
        </w:rPr>
      </w:pPr>
    </w:p>
    <w:p w14:paraId="315B25BD">
      <w:pPr>
        <w:pStyle w:val="24"/>
        <w:spacing w:line="240" w:lineRule="auto"/>
        <w:ind w:firstLine="0" w:firstLineChars="0"/>
        <w:rPr>
          <w:rFonts w:hAnsi="宋体" w:cs="宋体"/>
          <w:b/>
          <w:color w:val="auto"/>
          <w:sz w:val="24"/>
          <w:szCs w:val="24"/>
          <w:highlight w:val="none"/>
        </w:rPr>
      </w:pPr>
    </w:p>
    <w:p w14:paraId="60A333BD">
      <w:pPr>
        <w:pStyle w:val="24"/>
        <w:spacing w:line="240" w:lineRule="auto"/>
        <w:ind w:firstLine="0" w:firstLineChars="0"/>
        <w:rPr>
          <w:rFonts w:hAnsi="宋体" w:cs="宋体"/>
          <w:b/>
          <w:color w:val="auto"/>
          <w:sz w:val="24"/>
          <w:szCs w:val="24"/>
          <w:highlight w:val="none"/>
        </w:rPr>
      </w:pPr>
    </w:p>
    <w:p w14:paraId="17ED7550">
      <w:pPr>
        <w:pStyle w:val="24"/>
        <w:spacing w:line="240" w:lineRule="auto"/>
        <w:ind w:firstLine="0" w:firstLineChars="0"/>
        <w:rPr>
          <w:rFonts w:hAnsi="宋体" w:cs="宋体"/>
          <w:b/>
          <w:color w:val="auto"/>
          <w:sz w:val="24"/>
          <w:szCs w:val="24"/>
          <w:highlight w:val="none"/>
        </w:rPr>
      </w:pPr>
    </w:p>
    <w:p w14:paraId="70661F24">
      <w:pPr>
        <w:snapToGrid w:val="0"/>
        <w:spacing w:line="300" w:lineRule="exact"/>
        <w:jc w:val="left"/>
        <w:rPr>
          <w:rFonts w:ascii="宋体" w:hAnsi="宋体" w:cs="宋体"/>
          <w:color w:val="auto"/>
          <w:sz w:val="24"/>
          <w:highlight w:val="none"/>
        </w:rPr>
      </w:pPr>
    </w:p>
    <w:p w14:paraId="679AAD70">
      <w:pPr>
        <w:rPr>
          <w:rFonts w:ascii="宋体" w:hAnsi="宋体" w:cs="宋体"/>
          <w:b/>
          <w:color w:val="auto"/>
          <w:sz w:val="24"/>
          <w:highlight w:val="none"/>
        </w:rPr>
      </w:pPr>
    </w:p>
    <w:p w14:paraId="74CEB29D">
      <w:pPr>
        <w:rPr>
          <w:rFonts w:ascii="宋体" w:hAnsi="宋体" w:cs="宋体"/>
          <w:b/>
          <w:color w:val="auto"/>
          <w:sz w:val="24"/>
          <w:highlight w:val="none"/>
        </w:rPr>
      </w:pPr>
    </w:p>
    <w:p w14:paraId="465992F7">
      <w:pPr>
        <w:rPr>
          <w:rFonts w:ascii="宋体" w:hAnsi="宋体" w:cs="宋体"/>
          <w:b/>
          <w:color w:val="auto"/>
          <w:sz w:val="30"/>
          <w:szCs w:val="30"/>
          <w:highlight w:val="none"/>
        </w:rPr>
      </w:pPr>
      <w:r>
        <w:rPr>
          <w:rFonts w:hint="eastAsia" w:ascii="宋体" w:hAnsi="宋体" w:cs="宋体"/>
          <w:b/>
          <w:color w:val="auto"/>
          <w:sz w:val="24"/>
          <w:highlight w:val="none"/>
        </w:rPr>
        <w:t>承诺书：</w:t>
      </w:r>
    </w:p>
    <w:p w14:paraId="6ADEF3CE">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承  诺  书</w:t>
      </w:r>
    </w:p>
    <w:p w14:paraId="4B2011C9">
      <w:pPr>
        <w:widowControl/>
        <w:spacing w:line="360" w:lineRule="auto"/>
        <w:jc w:val="left"/>
        <w:rPr>
          <w:rFonts w:ascii="宋体" w:hAnsi="宋体" w:cs="宋体"/>
          <w:b/>
          <w:color w:val="auto"/>
          <w:sz w:val="28"/>
          <w:szCs w:val="28"/>
          <w:highlight w:val="none"/>
        </w:rPr>
      </w:pPr>
    </w:p>
    <w:p w14:paraId="09233572">
      <w:pPr>
        <w:widowControl/>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u w:val="single"/>
        </w:rPr>
        <w:t>致：</w:t>
      </w:r>
      <w:r>
        <w:rPr>
          <w:rFonts w:hint="eastAsia" w:ascii="宋体" w:hAnsi="宋体" w:cs="宋体"/>
          <w:color w:val="auto"/>
          <w:kern w:val="0"/>
          <w:sz w:val="24"/>
          <w:highlight w:val="none"/>
          <w:u w:val="single"/>
          <w:lang w:eastAsia="zh-CN"/>
        </w:rPr>
        <w:t>杭州建设工程造价咨询有限公司</w:t>
      </w:r>
    </w:p>
    <w:p w14:paraId="7A9403E4">
      <w:pPr>
        <w:widowControl/>
        <w:spacing w:line="360" w:lineRule="auto"/>
        <w:ind w:firstLine="600" w:firstLineChars="250"/>
        <w:jc w:val="left"/>
        <w:rPr>
          <w:rFonts w:ascii="宋体" w:hAnsi="宋体" w:cs="宋体"/>
          <w:color w:val="auto"/>
          <w:kern w:val="0"/>
          <w:sz w:val="24"/>
          <w:highlight w:val="none"/>
        </w:rPr>
      </w:pPr>
    </w:p>
    <w:p w14:paraId="643B78FA">
      <w:pPr>
        <w:widowControl/>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若我公司中标时，愿按招标文件规定的收费标准向</w:t>
      </w:r>
      <w:r>
        <w:rPr>
          <w:rFonts w:hint="eastAsia" w:ascii="宋体" w:hAnsi="宋体" w:cs="宋体"/>
          <w:color w:val="auto"/>
          <w:kern w:val="0"/>
          <w:sz w:val="24"/>
          <w:highlight w:val="none"/>
          <w:lang w:eastAsia="zh-CN"/>
        </w:rPr>
        <w:t>杭州建设工程造价咨询有限公司</w:t>
      </w:r>
      <w:r>
        <w:rPr>
          <w:rFonts w:hint="eastAsia" w:ascii="宋体" w:hAnsi="宋体" w:cs="宋体"/>
          <w:color w:val="auto"/>
          <w:kern w:val="0"/>
          <w:sz w:val="24"/>
          <w:highlight w:val="none"/>
        </w:rPr>
        <w:t>支付中标服务费。</w:t>
      </w:r>
    </w:p>
    <w:p w14:paraId="7643B9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我方如未在规定时间交纳时，愿意凭贵方开出的违约通知，由采购人在本次招标项目的服务款中200%直接扣缴。</w:t>
      </w:r>
    </w:p>
    <w:p w14:paraId="5A325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161A2B4B">
      <w:pPr>
        <w:spacing w:line="360" w:lineRule="auto"/>
        <w:rPr>
          <w:rFonts w:ascii="宋体" w:hAnsi="宋体" w:cs="宋体"/>
          <w:color w:val="auto"/>
          <w:sz w:val="24"/>
          <w:highlight w:val="none"/>
        </w:rPr>
      </w:pPr>
    </w:p>
    <w:p w14:paraId="010F4503">
      <w:pPr>
        <w:spacing w:line="360" w:lineRule="auto"/>
        <w:rPr>
          <w:rFonts w:ascii="宋体" w:hAnsi="宋体" w:cs="宋体"/>
          <w:color w:val="auto"/>
          <w:sz w:val="24"/>
          <w:highlight w:val="none"/>
        </w:rPr>
      </w:pPr>
    </w:p>
    <w:p w14:paraId="3D40C5BE">
      <w:pPr>
        <w:spacing w:line="360" w:lineRule="auto"/>
        <w:rPr>
          <w:rFonts w:ascii="宋体" w:hAnsi="宋体" w:cs="宋体"/>
          <w:color w:val="auto"/>
          <w:sz w:val="24"/>
          <w:highlight w:val="none"/>
        </w:rPr>
      </w:pPr>
    </w:p>
    <w:p w14:paraId="01327956">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13BA64F3">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日期：</w:t>
      </w:r>
    </w:p>
    <w:p w14:paraId="3228D77C">
      <w:pPr>
        <w:snapToGrid w:val="0"/>
        <w:spacing w:line="360" w:lineRule="auto"/>
        <w:jc w:val="left"/>
        <w:rPr>
          <w:rFonts w:ascii="宋体" w:hAnsi="宋体"/>
          <w:color w:val="auto"/>
          <w:spacing w:val="20"/>
          <w:sz w:val="24"/>
          <w:highlight w:val="none"/>
          <w:u w:val="single"/>
        </w:rPr>
      </w:pPr>
    </w:p>
    <w:p w14:paraId="6522884D">
      <w:pPr>
        <w:snapToGrid w:val="0"/>
        <w:spacing w:line="360" w:lineRule="auto"/>
        <w:jc w:val="left"/>
        <w:rPr>
          <w:rFonts w:ascii="宋体" w:hAnsi="宋体"/>
          <w:color w:val="auto"/>
          <w:spacing w:val="20"/>
          <w:sz w:val="24"/>
          <w:highlight w:val="none"/>
          <w:u w:val="single"/>
        </w:rPr>
      </w:pPr>
    </w:p>
    <w:p w14:paraId="50993922">
      <w:pPr>
        <w:snapToGrid w:val="0"/>
        <w:spacing w:line="360" w:lineRule="auto"/>
        <w:jc w:val="left"/>
        <w:rPr>
          <w:rFonts w:ascii="宋体" w:hAnsi="宋体"/>
          <w:color w:val="auto"/>
          <w:spacing w:val="20"/>
          <w:sz w:val="24"/>
          <w:highlight w:val="none"/>
          <w:u w:val="single"/>
        </w:rPr>
      </w:pPr>
    </w:p>
    <w:p w14:paraId="03ED7DCD">
      <w:pPr>
        <w:snapToGrid w:val="0"/>
        <w:spacing w:line="360" w:lineRule="auto"/>
        <w:jc w:val="left"/>
        <w:rPr>
          <w:rFonts w:ascii="宋体" w:hAnsi="宋体"/>
          <w:color w:val="auto"/>
          <w:spacing w:val="20"/>
          <w:sz w:val="24"/>
          <w:highlight w:val="none"/>
          <w:u w:val="single"/>
        </w:rPr>
      </w:pPr>
    </w:p>
    <w:p w14:paraId="19A1BA23">
      <w:pPr>
        <w:snapToGrid w:val="0"/>
        <w:spacing w:line="360" w:lineRule="auto"/>
        <w:jc w:val="left"/>
        <w:rPr>
          <w:rFonts w:ascii="宋体" w:hAnsi="宋体"/>
          <w:color w:val="auto"/>
          <w:spacing w:val="20"/>
          <w:sz w:val="24"/>
          <w:highlight w:val="none"/>
          <w:u w:val="single"/>
        </w:rPr>
      </w:pPr>
    </w:p>
    <w:p w14:paraId="78B09901">
      <w:pPr>
        <w:snapToGrid w:val="0"/>
        <w:spacing w:line="360" w:lineRule="auto"/>
        <w:jc w:val="left"/>
        <w:rPr>
          <w:rFonts w:ascii="宋体" w:hAnsi="宋体"/>
          <w:color w:val="auto"/>
          <w:spacing w:val="20"/>
          <w:sz w:val="24"/>
          <w:highlight w:val="none"/>
          <w:u w:val="single"/>
        </w:rPr>
      </w:pPr>
    </w:p>
    <w:p w14:paraId="17574411">
      <w:pPr>
        <w:snapToGrid w:val="0"/>
        <w:spacing w:line="360" w:lineRule="auto"/>
        <w:jc w:val="left"/>
        <w:rPr>
          <w:rFonts w:ascii="宋体" w:hAnsi="宋体"/>
          <w:color w:val="auto"/>
          <w:spacing w:val="20"/>
          <w:sz w:val="24"/>
          <w:highlight w:val="none"/>
          <w:u w:val="single"/>
        </w:rPr>
      </w:pPr>
    </w:p>
    <w:p w14:paraId="5CB54723">
      <w:pPr>
        <w:snapToGrid w:val="0"/>
        <w:spacing w:line="360" w:lineRule="auto"/>
        <w:jc w:val="left"/>
        <w:rPr>
          <w:rFonts w:ascii="宋体" w:hAnsi="宋体"/>
          <w:color w:val="auto"/>
          <w:spacing w:val="20"/>
          <w:sz w:val="24"/>
          <w:highlight w:val="none"/>
          <w:u w:val="single"/>
        </w:rPr>
      </w:pPr>
    </w:p>
    <w:p w14:paraId="41DE308E">
      <w:pPr>
        <w:snapToGrid w:val="0"/>
        <w:spacing w:line="360" w:lineRule="auto"/>
        <w:jc w:val="left"/>
        <w:rPr>
          <w:rFonts w:ascii="宋体" w:hAnsi="宋体"/>
          <w:color w:val="auto"/>
          <w:spacing w:val="20"/>
          <w:sz w:val="24"/>
          <w:highlight w:val="none"/>
          <w:u w:val="single"/>
        </w:rPr>
      </w:pPr>
    </w:p>
    <w:p w14:paraId="1424ADD3">
      <w:pPr>
        <w:snapToGrid w:val="0"/>
        <w:spacing w:line="360" w:lineRule="auto"/>
        <w:jc w:val="left"/>
        <w:rPr>
          <w:rFonts w:ascii="宋体" w:hAnsi="宋体"/>
          <w:color w:val="auto"/>
          <w:spacing w:val="20"/>
          <w:sz w:val="24"/>
          <w:highlight w:val="none"/>
          <w:u w:val="single"/>
        </w:rPr>
      </w:pPr>
    </w:p>
    <w:p w14:paraId="0623DE68">
      <w:pPr>
        <w:snapToGrid w:val="0"/>
        <w:spacing w:line="360" w:lineRule="auto"/>
        <w:jc w:val="left"/>
        <w:rPr>
          <w:rFonts w:ascii="宋体" w:hAnsi="宋体"/>
          <w:color w:val="auto"/>
          <w:spacing w:val="20"/>
          <w:sz w:val="24"/>
          <w:highlight w:val="none"/>
          <w:u w:val="single"/>
        </w:rPr>
      </w:pPr>
    </w:p>
    <w:p w14:paraId="1D49721A">
      <w:pPr>
        <w:snapToGrid w:val="0"/>
        <w:spacing w:line="360" w:lineRule="auto"/>
        <w:jc w:val="left"/>
        <w:rPr>
          <w:rFonts w:ascii="宋体" w:hAnsi="宋体"/>
          <w:color w:val="auto"/>
          <w:spacing w:val="20"/>
          <w:sz w:val="24"/>
          <w:highlight w:val="none"/>
          <w:u w:val="single"/>
        </w:rPr>
      </w:pPr>
    </w:p>
    <w:p w14:paraId="02120185">
      <w:pPr>
        <w:snapToGrid w:val="0"/>
        <w:spacing w:line="360" w:lineRule="auto"/>
        <w:jc w:val="left"/>
        <w:rPr>
          <w:rFonts w:ascii="宋体" w:hAnsi="宋体"/>
          <w:color w:val="auto"/>
          <w:spacing w:val="20"/>
          <w:sz w:val="24"/>
          <w:highlight w:val="none"/>
          <w:u w:val="single"/>
        </w:rPr>
      </w:pPr>
    </w:p>
    <w:p w14:paraId="24855377">
      <w:pPr>
        <w:snapToGrid w:val="0"/>
        <w:spacing w:line="360" w:lineRule="auto"/>
        <w:jc w:val="left"/>
        <w:rPr>
          <w:rFonts w:ascii="宋体" w:hAnsi="宋体"/>
          <w:color w:val="auto"/>
          <w:spacing w:val="20"/>
          <w:sz w:val="24"/>
          <w:highlight w:val="none"/>
          <w:u w:val="single"/>
        </w:rPr>
      </w:pPr>
    </w:p>
    <w:p w14:paraId="41688BEF">
      <w:pPr>
        <w:snapToGrid w:val="0"/>
        <w:spacing w:line="360" w:lineRule="auto"/>
        <w:jc w:val="left"/>
        <w:rPr>
          <w:rFonts w:ascii="宋体" w:hAnsi="宋体"/>
          <w:color w:val="auto"/>
          <w:spacing w:val="20"/>
          <w:sz w:val="24"/>
          <w:highlight w:val="none"/>
          <w:u w:val="single"/>
        </w:rPr>
      </w:pPr>
    </w:p>
    <w:p w14:paraId="71746A5D">
      <w:pPr>
        <w:snapToGrid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服务的网点：</w:t>
      </w:r>
    </w:p>
    <w:p w14:paraId="017A2D96">
      <w:pPr>
        <w:snapToGrid w:val="0"/>
        <w:spacing w:before="50" w:after="120" w:afterLines="50"/>
        <w:jc w:val="left"/>
        <w:rPr>
          <w:rFonts w:ascii="宋体" w:hAnsi="宋体" w:cs="宋体"/>
          <w:color w:val="auto"/>
          <w:highlight w:val="none"/>
        </w:rPr>
      </w:pPr>
    </w:p>
    <w:p w14:paraId="52110D6C">
      <w:pPr>
        <w:snapToGrid w:val="0"/>
        <w:spacing w:before="50" w:after="120" w:afterLines="50"/>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rPr>
        <w:t>距采购人最近或者能为本项目提供最优服务的网点情况表</w:t>
      </w:r>
    </w:p>
    <w:p w14:paraId="178CD3DD">
      <w:pPr>
        <w:pStyle w:val="19"/>
        <w:snapToGrid w:val="0"/>
        <w:ind w:left="480" w:hanging="480"/>
        <w:rPr>
          <w:rFonts w:ascii="宋体" w:hAnsi="宋体" w:cs="宋体"/>
          <w:color w:val="auto"/>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8"/>
        <w:gridCol w:w="1622"/>
        <w:gridCol w:w="191"/>
        <w:gridCol w:w="1439"/>
        <w:gridCol w:w="888"/>
        <w:gridCol w:w="2171"/>
      </w:tblGrid>
      <w:tr w14:paraId="626B0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tcPr>
          <w:p w14:paraId="16A04E3E">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服务网点名称</w:t>
            </w:r>
          </w:p>
        </w:tc>
        <w:tc>
          <w:tcPr>
            <w:tcW w:w="6311" w:type="dxa"/>
            <w:gridSpan w:val="5"/>
            <w:tcBorders>
              <w:top w:val="single" w:color="auto" w:sz="4" w:space="0"/>
              <w:left w:val="single" w:color="auto" w:sz="4" w:space="0"/>
              <w:bottom w:val="single" w:color="auto" w:sz="4" w:space="0"/>
              <w:right w:val="single" w:color="auto" w:sz="4" w:space="0"/>
            </w:tcBorders>
          </w:tcPr>
          <w:p w14:paraId="4A2AEA04">
            <w:pPr>
              <w:snapToGrid w:val="0"/>
              <w:spacing w:before="50" w:after="120" w:afterLines="50" w:line="400" w:lineRule="exact"/>
              <w:jc w:val="left"/>
              <w:rPr>
                <w:rFonts w:ascii="宋体" w:hAnsi="宋体" w:cs="宋体"/>
                <w:color w:val="auto"/>
                <w:sz w:val="24"/>
                <w:szCs w:val="20"/>
                <w:highlight w:val="none"/>
              </w:rPr>
            </w:pPr>
          </w:p>
        </w:tc>
      </w:tr>
      <w:tr w14:paraId="3C063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tcPr>
          <w:p w14:paraId="7D6CF8C9">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地址</w:t>
            </w:r>
          </w:p>
        </w:tc>
        <w:tc>
          <w:tcPr>
            <w:tcW w:w="6311" w:type="dxa"/>
            <w:gridSpan w:val="5"/>
            <w:tcBorders>
              <w:top w:val="single" w:color="auto" w:sz="4" w:space="0"/>
              <w:left w:val="single" w:color="auto" w:sz="4" w:space="0"/>
              <w:bottom w:val="single" w:color="auto" w:sz="4" w:space="0"/>
              <w:right w:val="single" w:color="auto" w:sz="4" w:space="0"/>
            </w:tcBorders>
          </w:tcPr>
          <w:p w14:paraId="26815C14">
            <w:pPr>
              <w:snapToGrid w:val="0"/>
              <w:spacing w:before="50" w:after="120" w:afterLines="50" w:line="400" w:lineRule="exact"/>
              <w:jc w:val="left"/>
              <w:rPr>
                <w:rFonts w:ascii="宋体" w:hAnsi="宋体" w:cs="宋体"/>
                <w:color w:val="auto"/>
                <w:sz w:val="24"/>
                <w:szCs w:val="20"/>
                <w:highlight w:val="none"/>
              </w:rPr>
            </w:pPr>
          </w:p>
        </w:tc>
      </w:tr>
      <w:tr w14:paraId="6F13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3ACE9545">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721220BF">
            <w:pPr>
              <w:snapToGrid w:val="0"/>
              <w:spacing w:before="50" w:after="120" w:afterLines="50" w:line="400" w:lineRule="exact"/>
              <w:jc w:val="left"/>
              <w:rPr>
                <w:rFonts w:ascii="宋体" w:hAnsi="宋体" w:cs="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2F15F727">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其中：投标人出资比例</w:t>
            </w:r>
          </w:p>
        </w:tc>
        <w:tc>
          <w:tcPr>
            <w:tcW w:w="2171" w:type="dxa"/>
            <w:tcBorders>
              <w:top w:val="single" w:color="auto" w:sz="4" w:space="0"/>
              <w:left w:val="single" w:color="auto" w:sz="4" w:space="0"/>
              <w:bottom w:val="single" w:color="auto" w:sz="4" w:space="0"/>
              <w:right w:val="single" w:color="auto" w:sz="4" w:space="0"/>
            </w:tcBorders>
          </w:tcPr>
          <w:p w14:paraId="1C61AA8A">
            <w:pPr>
              <w:snapToGrid w:val="0"/>
              <w:spacing w:before="50" w:after="120" w:afterLines="50" w:line="400" w:lineRule="exact"/>
              <w:jc w:val="left"/>
              <w:rPr>
                <w:rFonts w:ascii="宋体" w:hAnsi="宋体" w:cs="宋体"/>
                <w:color w:val="auto"/>
                <w:sz w:val="24"/>
                <w:szCs w:val="20"/>
                <w:highlight w:val="none"/>
              </w:rPr>
            </w:pPr>
          </w:p>
        </w:tc>
      </w:tr>
      <w:tr w14:paraId="1A584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38BDB2E0">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48D07E3D">
            <w:pPr>
              <w:snapToGrid w:val="0"/>
              <w:spacing w:before="50" w:after="120" w:afterLines="50" w:line="400" w:lineRule="exact"/>
              <w:jc w:val="left"/>
              <w:rPr>
                <w:rFonts w:ascii="宋体" w:hAnsi="宋体" w:cs="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58D23D46">
            <w:pPr>
              <w:snapToGrid w:val="0"/>
              <w:spacing w:before="50" w:after="120" w:afterLines="50" w:line="400" w:lineRule="exact"/>
              <w:ind w:left="60"/>
              <w:jc w:val="left"/>
              <w:rPr>
                <w:rFonts w:ascii="宋体" w:hAnsi="宋体" w:cs="宋体"/>
                <w:color w:val="auto"/>
                <w:sz w:val="24"/>
                <w:szCs w:val="20"/>
                <w:highlight w:val="none"/>
              </w:rPr>
            </w:pPr>
            <w:r>
              <w:rPr>
                <w:rFonts w:hint="eastAsia" w:ascii="宋体" w:hAnsi="宋体" w:cs="宋体"/>
                <w:color w:val="auto"/>
                <w:sz w:val="24"/>
                <w:highlight w:val="none"/>
              </w:rPr>
              <w:t>其中：技术人员数</w:t>
            </w:r>
          </w:p>
        </w:tc>
        <w:tc>
          <w:tcPr>
            <w:tcW w:w="2171" w:type="dxa"/>
            <w:tcBorders>
              <w:top w:val="single" w:color="auto" w:sz="4" w:space="0"/>
              <w:left w:val="single" w:color="auto" w:sz="4" w:space="0"/>
              <w:bottom w:val="single" w:color="auto" w:sz="4" w:space="0"/>
              <w:right w:val="single" w:color="auto" w:sz="4" w:space="0"/>
            </w:tcBorders>
          </w:tcPr>
          <w:p w14:paraId="12EC1E2F">
            <w:pPr>
              <w:snapToGrid w:val="0"/>
              <w:spacing w:before="50" w:after="120" w:afterLines="50" w:line="400" w:lineRule="exact"/>
              <w:jc w:val="left"/>
              <w:rPr>
                <w:rFonts w:ascii="宋体" w:hAnsi="宋体" w:cs="宋体"/>
                <w:color w:val="auto"/>
                <w:sz w:val="24"/>
                <w:szCs w:val="20"/>
                <w:highlight w:val="none"/>
              </w:rPr>
            </w:pPr>
          </w:p>
        </w:tc>
      </w:tr>
      <w:tr w14:paraId="5EDE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4BB80B19">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经营期限</w:t>
            </w:r>
          </w:p>
        </w:tc>
        <w:tc>
          <w:tcPr>
            <w:tcW w:w="6311" w:type="dxa"/>
            <w:gridSpan w:val="5"/>
            <w:tcBorders>
              <w:top w:val="single" w:color="auto" w:sz="4" w:space="0"/>
              <w:left w:val="single" w:color="auto" w:sz="4" w:space="0"/>
              <w:bottom w:val="single" w:color="auto" w:sz="4" w:space="0"/>
              <w:right w:val="single" w:color="auto" w:sz="4" w:space="0"/>
            </w:tcBorders>
          </w:tcPr>
          <w:p w14:paraId="7067B021">
            <w:pPr>
              <w:snapToGrid w:val="0"/>
              <w:spacing w:before="50" w:after="120" w:afterLines="50" w:line="400" w:lineRule="exact"/>
              <w:jc w:val="left"/>
              <w:rPr>
                <w:rFonts w:ascii="宋体" w:hAnsi="宋体" w:cs="宋体"/>
                <w:color w:val="auto"/>
                <w:sz w:val="24"/>
                <w:szCs w:val="20"/>
                <w:highlight w:val="none"/>
              </w:rPr>
            </w:pPr>
          </w:p>
        </w:tc>
      </w:tr>
      <w:tr w14:paraId="1F42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36D0F895">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售后服务内容</w:t>
            </w:r>
          </w:p>
        </w:tc>
        <w:tc>
          <w:tcPr>
            <w:tcW w:w="6311" w:type="dxa"/>
            <w:gridSpan w:val="5"/>
            <w:tcBorders>
              <w:top w:val="single" w:color="auto" w:sz="4" w:space="0"/>
              <w:left w:val="single" w:color="auto" w:sz="4" w:space="0"/>
              <w:bottom w:val="single" w:color="auto" w:sz="4" w:space="0"/>
              <w:right w:val="single" w:color="auto" w:sz="4" w:space="0"/>
            </w:tcBorders>
          </w:tcPr>
          <w:p w14:paraId="4E1028CD">
            <w:pPr>
              <w:snapToGrid w:val="0"/>
              <w:spacing w:before="50" w:after="120" w:afterLines="50" w:line="400" w:lineRule="exact"/>
              <w:jc w:val="left"/>
              <w:rPr>
                <w:rFonts w:ascii="宋体" w:hAnsi="宋体" w:cs="宋体"/>
                <w:color w:val="auto"/>
                <w:sz w:val="24"/>
                <w:szCs w:val="20"/>
                <w:highlight w:val="none"/>
              </w:rPr>
            </w:pPr>
          </w:p>
        </w:tc>
      </w:tr>
      <w:tr w14:paraId="6BE0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7524863D">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工作业绩</w:t>
            </w:r>
          </w:p>
        </w:tc>
        <w:tc>
          <w:tcPr>
            <w:tcW w:w="6311" w:type="dxa"/>
            <w:gridSpan w:val="5"/>
            <w:tcBorders>
              <w:top w:val="single" w:color="auto" w:sz="4" w:space="0"/>
              <w:left w:val="single" w:color="auto" w:sz="4" w:space="0"/>
              <w:bottom w:val="single" w:color="auto" w:sz="4" w:space="0"/>
              <w:right w:val="single" w:color="auto" w:sz="4" w:space="0"/>
            </w:tcBorders>
          </w:tcPr>
          <w:p w14:paraId="406F0B1F">
            <w:pPr>
              <w:snapToGrid w:val="0"/>
              <w:spacing w:before="50" w:after="120" w:afterLines="50" w:line="400" w:lineRule="exact"/>
              <w:jc w:val="left"/>
              <w:rPr>
                <w:rFonts w:ascii="宋体" w:hAnsi="宋体" w:cs="宋体"/>
                <w:color w:val="auto"/>
                <w:sz w:val="24"/>
                <w:szCs w:val="20"/>
                <w:highlight w:val="none"/>
              </w:rPr>
            </w:pPr>
          </w:p>
        </w:tc>
      </w:tr>
      <w:tr w14:paraId="51AAE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0435D403">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服务承诺</w:t>
            </w:r>
          </w:p>
        </w:tc>
        <w:tc>
          <w:tcPr>
            <w:tcW w:w="6311" w:type="dxa"/>
            <w:gridSpan w:val="5"/>
            <w:tcBorders>
              <w:top w:val="single" w:color="auto" w:sz="4" w:space="0"/>
              <w:left w:val="single" w:color="auto" w:sz="4" w:space="0"/>
              <w:bottom w:val="single" w:color="auto" w:sz="4" w:space="0"/>
              <w:right w:val="single" w:color="auto" w:sz="4" w:space="0"/>
            </w:tcBorders>
          </w:tcPr>
          <w:p w14:paraId="1BF9811D">
            <w:pPr>
              <w:snapToGrid w:val="0"/>
              <w:spacing w:before="50" w:after="120" w:afterLines="50" w:line="400" w:lineRule="exact"/>
              <w:jc w:val="left"/>
              <w:rPr>
                <w:rFonts w:ascii="宋体" w:hAnsi="宋体" w:cs="宋体"/>
                <w:color w:val="auto"/>
                <w:sz w:val="24"/>
                <w:szCs w:val="20"/>
                <w:highlight w:val="none"/>
              </w:rPr>
            </w:pPr>
          </w:p>
        </w:tc>
      </w:tr>
      <w:tr w14:paraId="7039C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5F83410C">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1AEF470A">
            <w:pPr>
              <w:snapToGrid w:val="0"/>
              <w:spacing w:before="50" w:after="120" w:afterLines="50" w:line="400" w:lineRule="exact"/>
              <w:jc w:val="left"/>
              <w:rPr>
                <w:rFonts w:ascii="宋体" w:hAnsi="宋体" w:cs="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23DF75EB">
            <w:pPr>
              <w:snapToGrid w:val="0"/>
              <w:spacing w:before="50" w:after="120" w:afterLines="50" w:line="400" w:lineRule="exact"/>
              <w:ind w:firstLine="240" w:firstLineChars="100"/>
              <w:jc w:val="left"/>
              <w:rPr>
                <w:rFonts w:ascii="宋体" w:hAnsi="宋体" w:cs="宋体"/>
                <w:color w:val="auto"/>
                <w:sz w:val="24"/>
                <w:szCs w:val="20"/>
                <w:highlight w:val="none"/>
              </w:rPr>
            </w:pPr>
            <w:r>
              <w:rPr>
                <w:rFonts w:hint="eastAsia" w:ascii="宋体" w:hAnsi="宋体" w:cs="宋体"/>
                <w:color w:val="auto"/>
                <w:sz w:val="24"/>
                <w:highlight w:val="none"/>
              </w:rPr>
              <w:t>传 真</w:t>
            </w:r>
          </w:p>
        </w:tc>
        <w:tc>
          <w:tcPr>
            <w:tcW w:w="3059" w:type="dxa"/>
            <w:gridSpan w:val="2"/>
            <w:tcBorders>
              <w:top w:val="single" w:color="auto" w:sz="4" w:space="0"/>
              <w:left w:val="single" w:color="auto" w:sz="2" w:space="0"/>
              <w:bottom w:val="single" w:color="auto" w:sz="4" w:space="0"/>
              <w:right w:val="single" w:color="auto" w:sz="2" w:space="0"/>
            </w:tcBorders>
          </w:tcPr>
          <w:p w14:paraId="7ACC7681">
            <w:pPr>
              <w:snapToGrid w:val="0"/>
              <w:spacing w:before="50" w:after="120" w:afterLines="50" w:line="400" w:lineRule="exact"/>
              <w:jc w:val="left"/>
              <w:rPr>
                <w:rFonts w:ascii="宋体" w:hAnsi="宋体" w:cs="宋体"/>
                <w:color w:val="auto"/>
                <w:sz w:val="24"/>
                <w:szCs w:val="20"/>
                <w:highlight w:val="none"/>
              </w:rPr>
            </w:pPr>
          </w:p>
        </w:tc>
      </w:tr>
      <w:tr w14:paraId="712CF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14:paraId="132B1F06">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0AABEBF1">
            <w:pPr>
              <w:snapToGrid w:val="0"/>
              <w:spacing w:before="50" w:after="120" w:afterLines="50" w:line="400" w:lineRule="exact"/>
              <w:jc w:val="left"/>
              <w:rPr>
                <w:rFonts w:ascii="宋体" w:hAnsi="宋体" w:cs="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2A9BA0E6">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联系电话</w:t>
            </w:r>
          </w:p>
        </w:tc>
        <w:tc>
          <w:tcPr>
            <w:tcW w:w="3059" w:type="dxa"/>
            <w:gridSpan w:val="2"/>
            <w:tcBorders>
              <w:top w:val="single" w:color="auto" w:sz="4" w:space="0"/>
              <w:left w:val="single" w:color="auto" w:sz="2" w:space="0"/>
              <w:bottom w:val="single" w:color="auto" w:sz="4" w:space="0"/>
              <w:right w:val="single" w:color="auto" w:sz="4" w:space="0"/>
            </w:tcBorders>
          </w:tcPr>
          <w:p w14:paraId="74F898C0">
            <w:pPr>
              <w:snapToGrid w:val="0"/>
              <w:spacing w:before="50" w:after="120" w:afterLines="50" w:line="400" w:lineRule="exact"/>
              <w:jc w:val="left"/>
              <w:rPr>
                <w:rFonts w:ascii="宋体" w:hAnsi="宋体" w:cs="宋体"/>
                <w:color w:val="auto"/>
                <w:sz w:val="24"/>
                <w:szCs w:val="20"/>
                <w:highlight w:val="none"/>
              </w:rPr>
            </w:pPr>
          </w:p>
        </w:tc>
      </w:tr>
    </w:tbl>
    <w:p w14:paraId="1E6A6D7E">
      <w:pPr>
        <w:pStyle w:val="7"/>
        <w:snapToGrid w:val="0"/>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注：附相关资料。</w:t>
      </w:r>
    </w:p>
    <w:p w14:paraId="45BE6156">
      <w:pPr>
        <w:pStyle w:val="7"/>
        <w:snapToGrid w:val="0"/>
        <w:rPr>
          <w:rFonts w:ascii="宋体" w:hAnsi="宋体" w:eastAsia="宋体" w:cs="宋体"/>
          <w:color w:val="auto"/>
          <w:sz w:val="24"/>
          <w:highlight w:val="none"/>
        </w:rPr>
      </w:pPr>
    </w:p>
    <w:p w14:paraId="14806D71">
      <w:pPr>
        <w:pStyle w:val="7"/>
        <w:snapToGrid w:val="0"/>
        <w:rPr>
          <w:rFonts w:ascii="宋体" w:hAnsi="宋体" w:eastAsia="宋体" w:cs="宋体"/>
          <w:color w:val="auto"/>
          <w:sz w:val="24"/>
          <w:highlight w:val="none"/>
        </w:rPr>
      </w:pPr>
    </w:p>
    <w:p w14:paraId="50FF8AF5">
      <w:pPr>
        <w:snapToGrid w:val="0"/>
        <w:spacing w:line="360" w:lineRule="auto"/>
        <w:ind w:firstLine="840" w:firstLineChars="300"/>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7D65EF9B">
      <w:pPr>
        <w:snapToGrid w:val="0"/>
        <w:spacing w:line="360" w:lineRule="auto"/>
        <w:ind w:firstLine="840" w:firstLineChars="300"/>
        <w:jc w:val="left"/>
        <w:rPr>
          <w:rFonts w:ascii="宋体" w:hAnsi="宋体"/>
          <w:b/>
          <w:bCs/>
          <w:color w:val="auto"/>
          <w:sz w:val="24"/>
          <w:highlight w:val="none"/>
        </w:rPr>
      </w:pPr>
      <w:r>
        <w:rPr>
          <w:rFonts w:hint="eastAsia" w:ascii="宋体" w:hAnsi="宋体"/>
          <w:color w:val="auto"/>
          <w:spacing w:val="20"/>
          <w:sz w:val="24"/>
          <w:highlight w:val="none"/>
        </w:rPr>
        <w:t>日期：</w:t>
      </w:r>
    </w:p>
    <w:p w14:paraId="6DEE642B">
      <w:pPr>
        <w:pStyle w:val="8"/>
        <w:snapToGrid w:val="0"/>
        <w:ind w:firstLine="720" w:firstLineChars="300"/>
        <w:rPr>
          <w:rFonts w:ascii="宋体" w:hAnsi="宋体" w:cs="宋体"/>
          <w:color w:val="auto"/>
          <w:sz w:val="24"/>
          <w:highlight w:val="none"/>
        </w:rPr>
      </w:pPr>
    </w:p>
    <w:p w14:paraId="627C959E">
      <w:pPr>
        <w:snapToGrid w:val="0"/>
        <w:spacing w:before="50" w:after="120" w:afterLines="50"/>
        <w:jc w:val="left"/>
        <w:rPr>
          <w:rFonts w:ascii="宋体" w:hAnsi="宋体" w:cs="宋体"/>
          <w:color w:val="auto"/>
          <w:sz w:val="24"/>
          <w:szCs w:val="20"/>
          <w:highlight w:val="none"/>
        </w:rPr>
      </w:pPr>
    </w:p>
    <w:p w14:paraId="4D0BFDB3">
      <w:pPr>
        <w:snapToGrid w:val="0"/>
        <w:spacing w:before="50"/>
        <w:ind w:firstLine="480" w:firstLineChars="200"/>
        <w:jc w:val="left"/>
        <w:rPr>
          <w:rFonts w:ascii="宋体" w:hAnsi="宋体" w:cs="宋体"/>
          <w:color w:val="auto"/>
          <w:sz w:val="24"/>
          <w:szCs w:val="20"/>
          <w:highlight w:val="none"/>
        </w:rPr>
      </w:pPr>
    </w:p>
    <w:p w14:paraId="76755762">
      <w:pPr>
        <w:snapToGrid w:val="0"/>
        <w:spacing w:before="50" w:after="120" w:afterLines="50"/>
        <w:jc w:val="left"/>
        <w:rPr>
          <w:rFonts w:ascii="宋体" w:hAnsi="宋体" w:cs="宋体"/>
          <w:b/>
          <w:color w:val="auto"/>
          <w:sz w:val="24"/>
          <w:highlight w:val="none"/>
        </w:rPr>
      </w:pPr>
    </w:p>
    <w:p w14:paraId="185293D9">
      <w:pPr>
        <w:snapToGrid w:val="0"/>
        <w:spacing w:before="50" w:after="120" w:afterLines="50"/>
        <w:jc w:val="left"/>
        <w:rPr>
          <w:rFonts w:ascii="宋体" w:hAnsi="宋体" w:cs="宋体"/>
          <w:b/>
          <w:color w:val="auto"/>
          <w:sz w:val="24"/>
          <w:highlight w:val="none"/>
        </w:rPr>
      </w:pPr>
    </w:p>
    <w:p w14:paraId="009F7467">
      <w:pPr>
        <w:snapToGrid w:val="0"/>
        <w:spacing w:before="50" w:after="120" w:afterLines="50"/>
        <w:jc w:val="left"/>
        <w:rPr>
          <w:rFonts w:ascii="宋体" w:hAnsi="宋体" w:cs="宋体"/>
          <w:b/>
          <w:color w:val="auto"/>
          <w:sz w:val="24"/>
          <w:highlight w:val="none"/>
        </w:rPr>
      </w:pPr>
    </w:p>
    <w:p w14:paraId="74D48E53">
      <w:pPr>
        <w:snapToGrid w:val="0"/>
        <w:spacing w:before="50" w:after="120" w:afterLines="50"/>
        <w:jc w:val="left"/>
        <w:rPr>
          <w:rFonts w:ascii="宋体" w:hAnsi="宋体" w:cs="宋体"/>
          <w:b/>
          <w:color w:val="auto"/>
          <w:sz w:val="24"/>
          <w:highlight w:val="none"/>
        </w:rPr>
      </w:pPr>
    </w:p>
    <w:p w14:paraId="4A2C1591">
      <w:pPr>
        <w:snapToGrid w:val="0"/>
        <w:spacing w:before="50" w:after="120" w:afterLines="50"/>
        <w:jc w:val="left"/>
        <w:rPr>
          <w:rFonts w:ascii="宋体" w:hAnsi="宋体" w:cs="宋体"/>
          <w:b/>
          <w:color w:val="auto"/>
          <w:sz w:val="24"/>
          <w:highlight w:val="none"/>
        </w:rPr>
      </w:pPr>
    </w:p>
    <w:p w14:paraId="778B3D81">
      <w:pPr>
        <w:snapToGrid w:val="0"/>
        <w:spacing w:before="50" w:after="120" w:afterLines="50"/>
        <w:jc w:val="left"/>
        <w:rPr>
          <w:rFonts w:ascii="宋体" w:hAnsi="宋体" w:cs="宋体"/>
          <w:b/>
          <w:color w:val="auto"/>
          <w:sz w:val="24"/>
          <w:highlight w:val="none"/>
        </w:rPr>
      </w:pPr>
    </w:p>
    <w:p w14:paraId="100D14B3">
      <w:pPr>
        <w:pStyle w:val="24"/>
        <w:ind w:left="0" w:leftChars="0" w:firstLine="0" w:firstLineChars="0"/>
        <w:rPr>
          <w:rFonts w:hAnsi="宋体" w:cs="宋体"/>
          <w:b/>
          <w:color w:val="auto"/>
          <w:sz w:val="24"/>
          <w:highlight w:val="none"/>
        </w:rPr>
      </w:pPr>
    </w:p>
    <w:p w14:paraId="6900D30C">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同类业绩一览表：</w:t>
      </w:r>
    </w:p>
    <w:p w14:paraId="5BA6C452">
      <w:pPr>
        <w:snapToGrid w:val="0"/>
        <w:spacing w:before="50" w:after="120" w:afterLines="50"/>
        <w:jc w:val="center"/>
        <w:rPr>
          <w:rFonts w:ascii="宋体" w:hAnsi="宋体" w:cs="宋体"/>
          <w:b/>
          <w:color w:val="auto"/>
          <w:sz w:val="30"/>
          <w:szCs w:val="30"/>
          <w:highlight w:val="none"/>
        </w:rPr>
      </w:pPr>
    </w:p>
    <w:p w14:paraId="29CB6E40">
      <w:pPr>
        <w:snapToGrid w:val="0"/>
        <w:spacing w:before="50" w:after="120" w:afterLines="50"/>
        <w:jc w:val="center"/>
        <w:rPr>
          <w:rFonts w:ascii="宋体" w:hAnsi="宋体" w:cs="宋体"/>
          <w:b/>
          <w:color w:val="auto"/>
          <w:sz w:val="30"/>
          <w:szCs w:val="30"/>
          <w:highlight w:val="none"/>
        </w:rPr>
      </w:pPr>
      <w:r>
        <w:rPr>
          <w:rFonts w:hint="eastAsia" w:ascii="宋体" w:hAnsi="宋体" w:cs="宋体"/>
          <w:b/>
          <w:color w:val="auto"/>
          <w:sz w:val="30"/>
          <w:szCs w:val="30"/>
          <w:highlight w:val="none"/>
        </w:rPr>
        <w:t>同类业绩一览表</w:t>
      </w:r>
    </w:p>
    <w:p w14:paraId="6551AACD">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项目名称:__________________</w:t>
      </w:r>
    </w:p>
    <w:tbl>
      <w:tblPr>
        <w:tblStyle w:val="25"/>
        <w:tblW w:w="0" w:type="auto"/>
        <w:tblInd w:w="0" w:type="dxa"/>
        <w:tblLayout w:type="fixed"/>
        <w:tblCellMar>
          <w:top w:w="0" w:type="dxa"/>
          <w:left w:w="108" w:type="dxa"/>
          <w:bottom w:w="0" w:type="dxa"/>
          <w:right w:w="108" w:type="dxa"/>
        </w:tblCellMar>
      </w:tblPr>
      <w:tblGrid>
        <w:gridCol w:w="1741"/>
        <w:gridCol w:w="1797"/>
        <w:gridCol w:w="1825"/>
        <w:gridCol w:w="1614"/>
        <w:gridCol w:w="1438"/>
        <w:gridCol w:w="1437"/>
      </w:tblGrid>
      <w:tr w14:paraId="5E119A52">
        <w:tblPrEx>
          <w:tblCellMar>
            <w:top w:w="0" w:type="dxa"/>
            <w:left w:w="108" w:type="dxa"/>
            <w:bottom w:w="0" w:type="dxa"/>
            <w:right w:w="108" w:type="dxa"/>
          </w:tblCellMar>
        </w:tblPrEx>
        <w:trPr>
          <w:trHeight w:val="1431" w:hRule="atLeast"/>
        </w:trPr>
        <w:tc>
          <w:tcPr>
            <w:tcW w:w="1741" w:type="dxa"/>
            <w:tcBorders>
              <w:top w:val="single" w:color="auto" w:sz="4" w:space="0"/>
              <w:left w:val="single" w:color="auto" w:sz="4" w:space="0"/>
              <w:bottom w:val="single" w:color="auto" w:sz="4" w:space="0"/>
              <w:right w:val="single" w:color="auto" w:sz="4" w:space="0"/>
            </w:tcBorders>
            <w:vAlign w:val="center"/>
          </w:tcPr>
          <w:p w14:paraId="7A6A117A">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w:t>
            </w:r>
          </w:p>
          <w:p w14:paraId="5DDB276A">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797" w:type="dxa"/>
            <w:tcBorders>
              <w:top w:val="single" w:color="auto" w:sz="4" w:space="0"/>
              <w:left w:val="single" w:color="auto" w:sz="4" w:space="0"/>
              <w:bottom w:val="single" w:color="auto" w:sz="4" w:space="0"/>
              <w:right w:val="single" w:color="auto" w:sz="4" w:space="0"/>
            </w:tcBorders>
            <w:vAlign w:val="center"/>
          </w:tcPr>
          <w:p w14:paraId="7A510DDD">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825" w:type="dxa"/>
            <w:tcBorders>
              <w:top w:val="single" w:color="auto" w:sz="4" w:space="0"/>
              <w:left w:val="single" w:color="auto" w:sz="4" w:space="0"/>
              <w:bottom w:val="single" w:color="auto" w:sz="4" w:space="0"/>
              <w:right w:val="single" w:color="auto" w:sz="4" w:space="0"/>
            </w:tcBorders>
            <w:vAlign w:val="center"/>
          </w:tcPr>
          <w:p w14:paraId="7EC20F08">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合同金额</w:t>
            </w:r>
          </w:p>
          <w:p w14:paraId="32E5D6F7">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14" w:type="dxa"/>
            <w:tcBorders>
              <w:top w:val="single" w:color="auto" w:sz="4" w:space="0"/>
              <w:left w:val="single" w:color="auto" w:sz="4" w:space="0"/>
              <w:right w:val="single" w:color="auto" w:sz="4" w:space="0"/>
            </w:tcBorders>
            <w:vAlign w:val="center"/>
          </w:tcPr>
          <w:p w14:paraId="4CA53B5E">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合同日期</w:t>
            </w:r>
          </w:p>
        </w:tc>
        <w:tc>
          <w:tcPr>
            <w:tcW w:w="1438" w:type="dxa"/>
            <w:tcBorders>
              <w:top w:val="single" w:color="auto" w:sz="4" w:space="0"/>
              <w:left w:val="single" w:color="auto" w:sz="4" w:space="0"/>
              <w:right w:val="single" w:color="auto" w:sz="4" w:space="0"/>
            </w:tcBorders>
            <w:vAlign w:val="center"/>
          </w:tcPr>
          <w:p w14:paraId="11315FF1">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采购单位联系人及联系电话</w:t>
            </w:r>
          </w:p>
        </w:tc>
        <w:tc>
          <w:tcPr>
            <w:tcW w:w="1437" w:type="dxa"/>
            <w:tcBorders>
              <w:top w:val="single" w:color="auto" w:sz="4" w:space="0"/>
              <w:left w:val="single" w:color="auto" w:sz="4" w:space="0"/>
              <w:bottom w:val="single" w:color="auto" w:sz="4" w:space="0"/>
              <w:right w:val="single" w:color="auto" w:sz="4" w:space="0"/>
            </w:tcBorders>
            <w:vAlign w:val="center"/>
          </w:tcPr>
          <w:p w14:paraId="01B2B9D8">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附件页码</w:t>
            </w:r>
          </w:p>
        </w:tc>
      </w:tr>
      <w:tr w14:paraId="191EA75C">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59034C0C">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B935455">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457DB9A0">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6A36F1A9">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F9CC485">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5117357E">
            <w:pPr>
              <w:adjustRightInd w:val="0"/>
              <w:snapToGrid w:val="0"/>
              <w:spacing w:before="50" w:after="120" w:afterLines="50"/>
              <w:jc w:val="center"/>
              <w:rPr>
                <w:rFonts w:ascii="宋体" w:hAnsi="宋体" w:cs="宋体"/>
                <w:color w:val="auto"/>
                <w:sz w:val="24"/>
                <w:highlight w:val="none"/>
              </w:rPr>
            </w:pPr>
          </w:p>
        </w:tc>
      </w:tr>
      <w:tr w14:paraId="784CA901">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1B76F98D">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22A5C55">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7574CCFC">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62CD6832">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4041E2D">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4C0D1EC6">
            <w:pPr>
              <w:adjustRightInd w:val="0"/>
              <w:snapToGrid w:val="0"/>
              <w:spacing w:before="50" w:after="120" w:afterLines="50"/>
              <w:jc w:val="center"/>
              <w:rPr>
                <w:rFonts w:ascii="宋体" w:hAnsi="宋体" w:cs="宋体"/>
                <w:color w:val="auto"/>
                <w:sz w:val="24"/>
                <w:highlight w:val="none"/>
              </w:rPr>
            </w:pPr>
          </w:p>
        </w:tc>
      </w:tr>
      <w:tr w14:paraId="1A0E6534">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6761EA0B">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8DDD506">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73611E9D">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5C743D97">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73467FA">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2105DFEC">
            <w:pPr>
              <w:adjustRightInd w:val="0"/>
              <w:snapToGrid w:val="0"/>
              <w:spacing w:before="50" w:after="120" w:afterLines="50"/>
              <w:jc w:val="center"/>
              <w:rPr>
                <w:rFonts w:ascii="宋体" w:hAnsi="宋体" w:cs="宋体"/>
                <w:color w:val="auto"/>
                <w:sz w:val="24"/>
                <w:highlight w:val="none"/>
              </w:rPr>
            </w:pPr>
          </w:p>
        </w:tc>
      </w:tr>
      <w:tr w14:paraId="394C6ECA">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3AA7F339">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D3F7EA4">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4494534B">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7714DD7A">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02A5B323">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59808EBE">
            <w:pPr>
              <w:adjustRightInd w:val="0"/>
              <w:snapToGrid w:val="0"/>
              <w:spacing w:before="50" w:after="120" w:afterLines="50"/>
              <w:jc w:val="center"/>
              <w:rPr>
                <w:rFonts w:ascii="宋体" w:hAnsi="宋体" w:cs="宋体"/>
                <w:color w:val="auto"/>
                <w:sz w:val="24"/>
                <w:highlight w:val="none"/>
              </w:rPr>
            </w:pPr>
          </w:p>
        </w:tc>
      </w:tr>
      <w:tr w14:paraId="6EC6ABC6">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5196221B">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4B8D20FF">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30367DC7">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7C8E2897">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0F8C4AAE">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50C913C3">
            <w:pPr>
              <w:adjustRightInd w:val="0"/>
              <w:snapToGrid w:val="0"/>
              <w:spacing w:before="50" w:after="120" w:afterLines="50"/>
              <w:jc w:val="center"/>
              <w:rPr>
                <w:rFonts w:ascii="宋体" w:hAnsi="宋体" w:cs="宋体"/>
                <w:color w:val="auto"/>
                <w:sz w:val="24"/>
                <w:highlight w:val="none"/>
              </w:rPr>
            </w:pPr>
          </w:p>
        </w:tc>
      </w:tr>
      <w:tr w14:paraId="678B8A47">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0FAFF4A0">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6953E36C">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62A6D1F0">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5BAC957D">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4FE69F7">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0321BD55">
            <w:pPr>
              <w:adjustRightInd w:val="0"/>
              <w:snapToGrid w:val="0"/>
              <w:spacing w:before="50" w:after="120" w:afterLines="50"/>
              <w:jc w:val="center"/>
              <w:rPr>
                <w:rFonts w:ascii="宋体" w:hAnsi="宋体" w:cs="宋体"/>
                <w:color w:val="auto"/>
                <w:sz w:val="24"/>
                <w:highlight w:val="none"/>
              </w:rPr>
            </w:pPr>
          </w:p>
        </w:tc>
      </w:tr>
      <w:tr w14:paraId="6CB61D76">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6484C3B4">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2D891734">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167D9C6C">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06839675">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3B8325A5">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4BA30C8F">
            <w:pPr>
              <w:adjustRightInd w:val="0"/>
              <w:snapToGrid w:val="0"/>
              <w:spacing w:before="50" w:after="120" w:afterLines="50"/>
              <w:jc w:val="center"/>
              <w:rPr>
                <w:rFonts w:ascii="宋体" w:hAnsi="宋体" w:cs="宋体"/>
                <w:color w:val="auto"/>
                <w:sz w:val="24"/>
                <w:highlight w:val="none"/>
              </w:rPr>
            </w:pPr>
          </w:p>
        </w:tc>
      </w:tr>
      <w:tr w14:paraId="27253B0F">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2D513324">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5AC6159">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2858B38A">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4E21147A">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0ED340B">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79AE9661">
            <w:pPr>
              <w:adjustRightInd w:val="0"/>
              <w:snapToGrid w:val="0"/>
              <w:spacing w:before="50" w:after="120" w:afterLines="50"/>
              <w:jc w:val="center"/>
              <w:rPr>
                <w:rFonts w:ascii="宋体" w:hAnsi="宋体" w:cs="宋体"/>
                <w:color w:val="auto"/>
                <w:sz w:val="24"/>
                <w:highlight w:val="none"/>
              </w:rPr>
            </w:pPr>
          </w:p>
        </w:tc>
      </w:tr>
      <w:tr w14:paraId="185A8790">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23EB8DB5">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2C56109">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6E78292D">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3B4A55E0">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246CA6D">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11FF4866">
            <w:pPr>
              <w:adjustRightInd w:val="0"/>
              <w:snapToGrid w:val="0"/>
              <w:spacing w:before="50" w:after="120" w:afterLines="50"/>
              <w:jc w:val="center"/>
              <w:rPr>
                <w:rFonts w:ascii="宋体" w:hAnsi="宋体" w:cs="宋体"/>
                <w:color w:val="auto"/>
                <w:sz w:val="24"/>
                <w:highlight w:val="none"/>
              </w:rPr>
            </w:pPr>
          </w:p>
        </w:tc>
      </w:tr>
      <w:tr w14:paraId="7C43377C">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2BEFDE29">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5596DB54">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7AD23C6F">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6BCB2826">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7F49DA52">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5D6FFE9C">
            <w:pPr>
              <w:adjustRightInd w:val="0"/>
              <w:snapToGrid w:val="0"/>
              <w:spacing w:before="50" w:after="120" w:afterLines="50"/>
              <w:jc w:val="center"/>
              <w:rPr>
                <w:rFonts w:ascii="宋体" w:hAnsi="宋体" w:cs="宋体"/>
                <w:color w:val="auto"/>
                <w:sz w:val="24"/>
                <w:highlight w:val="none"/>
              </w:rPr>
            </w:pPr>
          </w:p>
        </w:tc>
      </w:tr>
      <w:tr w14:paraId="0CE4213E">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7614A3C1">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829295A">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259AF989">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77951E28">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702D4B84">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68FBC222">
            <w:pPr>
              <w:adjustRightInd w:val="0"/>
              <w:snapToGrid w:val="0"/>
              <w:spacing w:before="50" w:after="120" w:afterLines="50"/>
              <w:jc w:val="center"/>
              <w:rPr>
                <w:rFonts w:ascii="宋体" w:hAnsi="宋体" w:cs="宋体"/>
                <w:color w:val="auto"/>
                <w:sz w:val="24"/>
                <w:highlight w:val="none"/>
              </w:rPr>
            </w:pPr>
          </w:p>
        </w:tc>
      </w:tr>
    </w:tbl>
    <w:p w14:paraId="1F7D2218">
      <w:pPr>
        <w:snapToGrid w:val="0"/>
        <w:spacing w:before="50" w:after="120" w:afterLines="50"/>
        <w:jc w:val="left"/>
        <w:rPr>
          <w:rFonts w:ascii="宋体" w:hAnsi="宋体" w:cs="宋体"/>
          <w:b/>
          <w:bCs/>
          <w:color w:val="auto"/>
          <w:sz w:val="24"/>
          <w:highlight w:val="none"/>
        </w:rPr>
      </w:pPr>
      <w:r>
        <w:rPr>
          <w:rFonts w:hint="eastAsia" w:ascii="宋体" w:hAnsi="宋体" w:cs="宋体"/>
          <w:b/>
          <w:bCs/>
          <w:color w:val="auto"/>
          <w:sz w:val="24"/>
          <w:highlight w:val="none"/>
        </w:rPr>
        <w:t>注：需提供相关合同复印件，原件备查。</w:t>
      </w:r>
    </w:p>
    <w:p w14:paraId="73848381">
      <w:pPr>
        <w:snapToGrid w:val="0"/>
        <w:spacing w:before="50" w:after="120" w:afterLines="50"/>
        <w:jc w:val="left"/>
        <w:rPr>
          <w:rFonts w:ascii="宋体" w:hAnsi="宋体" w:cs="宋体"/>
          <w:color w:val="auto"/>
          <w:sz w:val="28"/>
          <w:szCs w:val="28"/>
          <w:highlight w:val="none"/>
        </w:rPr>
      </w:pPr>
    </w:p>
    <w:p w14:paraId="733EBC8B">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69FE0F7B">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55C58F0A">
      <w:pPr>
        <w:snapToGrid w:val="0"/>
        <w:spacing w:before="120" w:beforeLines="50" w:after="50"/>
        <w:ind w:firstLine="720" w:firstLineChars="300"/>
        <w:rPr>
          <w:rFonts w:ascii="宋体" w:hAnsi="宋体" w:cs="宋体"/>
          <w:color w:val="auto"/>
          <w:sz w:val="24"/>
          <w:highlight w:val="none"/>
        </w:rPr>
      </w:pPr>
    </w:p>
    <w:p w14:paraId="4C627488">
      <w:pPr>
        <w:pStyle w:val="24"/>
        <w:ind w:firstLine="466"/>
        <w:rPr>
          <w:rFonts w:hAnsi="宋体" w:cs="宋体"/>
          <w:b/>
          <w:color w:val="auto"/>
          <w:sz w:val="24"/>
          <w:highlight w:val="none"/>
        </w:rPr>
      </w:pPr>
    </w:p>
    <w:p w14:paraId="317DF115">
      <w:pPr>
        <w:pStyle w:val="24"/>
        <w:ind w:firstLine="466"/>
        <w:rPr>
          <w:rFonts w:hAnsi="宋体" w:cs="宋体"/>
          <w:b/>
          <w:color w:val="auto"/>
          <w:sz w:val="24"/>
          <w:highlight w:val="none"/>
        </w:rPr>
      </w:pPr>
    </w:p>
    <w:p w14:paraId="4BE74511">
      <w:pPr>
        <w:pStyle w:val="24"/>
        <w:ind w:firstLine="466"/>
        <w:rPr>
          <w:rFonts w:hAnsi="宋体" w:cs="宋体"/>
          <w:b/>
          <w:color w:val="auto"/>
          <w:sz w:val="24"/>
          <w:highlight w:val="none"/>
        </w:rPr>
      </w:pPr>
    </w:p>
    <w:p w14:paraId="031BBF40">
      <w:pPr>
        <w:snapToGrid w:val="0"/>
        <w:spacing w:line="360" w:lineRule="auto"/>
        <w:ind w:firstLine="482" w:firstLineChars="200"/>
        <w:jc w:val="center"/>
        <w:rPr>
          <w:rFonts w:ascii="宋体" w:hAnsi="宋体" w:cs="宋体"/>
          <w:b/>
          <w:bCs/>
          <w:color w:val="auto"/>
          <w:sz w:val="24"/>
          <w:highlight w:val="none"/>
        </w:rPr>
      </w:pPr>
    </w:p>
    <w:p w14:paraId="76D5217F">
      <w:pPr>
        <w:snapToGrid w:val="0"/>
        <w:spacing w:line="360" w:lineRule="auto"/>
        <w:ind w:firstLine="482" w:firstLineChars="200"/>
        <w:jc w:val="center"/>
        <w:rPr>
          <w:rFonts w:ascii="宋体" w:hAnsi="宋体" w:cs="宋体"/>
          <w:b/>
          <w:bCs/>
          <w:color w:val="auto"/>
          <w:sz w:val="24"/>
          <w:highlight w:val="none"/>
        </w:rPr>
      </w:pPr>
    </w:p>
    <w:p w14:paraId="2D18A7A3">
      <w:pPr>
        <w:pStyle w:val="4"/>
        <w:keepNext w:val="0"/>
        <w:keepLines w:val="0"/>
        <w:pageBreakBefore/>
        <w:spacing w:line="415" w:lineRule="auto"/>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项目实施人员一览表:</w:t>
      </w:r>
    </w:p>
    <w:p w14:paraId="4320F641">
      <w:pPr>
        <w:snapToGrid w:val="0"/>
        <w:spacing w:line="360" w:lineRule="auto"/>
        <w:jc w:val="center"/>
        <w:rPr>
          <w:color w:val="auto"/>
          <w:highlight w:val="none"/>
        </w:rPr>
      </w:pPr>
    </w:p>
    <w:p w14:paraId="595AA430">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项目实施人员一览表</w:t>
      </w:r>
    </w:p>
    <w:p w14:paraId="78F7BF7D">
      <w:pPr>
        <w:snapToGrid w:val="0"/>
        <w:spacing w:line="360" w:lineRule="auto"/>
        <w:rPr>
          <w:rFonts w:ascii="宋体" w:hAnsi="宋体"/>
          <w:color w:val="auto"/>
          <w:sz w:val="24"/>
          <w:highlight w:val="none"/>
          <w:u w:val="single"/>
        </w:rPr>
      </w:pPr>
      <w:r>
        <w:rPr>
          <w:rFonts w:hint="eastAsia" w:ascii="宋体" w:hAnsi="宋体"/>
          <w:color w:val="auto"/>
          <w:sz w:val="24"/>
          <w:highlight w:val="none"/>
        </w:rPr>
        <w:t>项目名称：   招标编号：</w:t>
      </w:r>
    </w:p>
    <w:tbl>
      <w:tblPr>
        <w:tblStyle w:val="25"/>
        <w:tblW w:w="98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233"/>
        <w:gridCol w:w="1290"/>
        <w:gridCol w:w="2025"/>
        <w:gridCol w:w="1560"/>
        <w:gridCol w:w="2610"/>
      </w:tblGrid>
      <w:tr w14:paraId="6FF01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vAlign w:val="center"/>
          </w:tcPr>
          <w:p w14:paraId="0F8BF3C3">
            <w:pPr>
              <w:snapToGrid w:val="0"/>
              <w:jc w:val="center"/>
              <w:rPr>
                <w:rFonts w:ascii="宋体" w:hAnsi="宋体"/>
                <w:color w:val="auto"/>
                <w:sz w:val="24"/>
                <w:highlight w:val="none"/>
              </w:rPr>
            </w:pPr>
            <w:r>
              <w:rPr>
                <w:rFonts w:hint="eastAsia" w:ascii="宋体" w:hAnsi="宋体"/>
                <w:color w:val="auto"/>
                <w:sz w:val="24"/>
                <w:highlight w:val="none"/>
              </w:rPr>
              <w:t>姓名</w:t>
            </w:r>
          </w:p>
        </w:tc>
        <w:tc>
          <w:tcPr>
            <w:tcW w:w="1233" w:type="dxa"/>
            <w:tcBorders>
              <w:top w:val="single" w:color="auto" w:sz="4" w:space="0"/>
              <w:left w:val="single" w:color="auto" w:sz="4" w:space="0"/>
              <w:bottom w:val="single" w:color="auto" w:sz="4" w:space="0"/>
              <w:right w:val="single" w:color="auto" w:sz="4" w:space="0"/>
            </w:tcBorders>
            <w:vAlign w:val="center"/>
          </w:tcPr>
          <w:p w14:paraId="2481661B">
            <w:pPr>
              <w:snapToGrid w:val="0"/>
              <w:jc w:val="center"/>
              <w:rPr>
                <w:rFonts w:ascii="宋体" w:hAnsi="宋体"/>
                <w:color w:val="auto"/>
                <w:sz w:val="24"/>
                <w:highlight w:val="none"/>
              </w:rPr>
            </w:pPr>
            <w:r>
              <w:rPr>
                <w:rFonts w:hint="eastAsia" w:ascii="宋体" w:hAnsi="宋体"/>
                <w:color w:val="auto"/>
                <w:sz w:val="24"/>
                <w:highlight w:val="none"/>
              </w:rPr>
              <w:t>职称</w:t>
            </w:r>
          </w:p>
        </w:tc>
        <w:tc>
          <w:tcPr>
            <w:tcW w:w="1290" w:type="dxa"/>
            <w:tcBorders>
              <w:top w:val="single" w:color="auto" w:sz="4" w:space="0"/>
              <w:left w:val="single" w:color="auto" w:sz="4" w:space="0"/>
              <w:bottom w:val="single" w:color="auto" w:sz="4" w:space="0"/>
              <w:right w:val="single" w:color="auto" w:sz="4" w:space="0"/>
            </w:tcBorders>
            <w:vAlign w:val="center"/>
          </w:tcPr>
          <w:p w14:paraId="261DF0C1">
            <w:pPr>
              <w:snapToGrid w:val="0"/>
              <w:jc w:val="center"/>
              <w:rPr>
                <w:rFonts w:ascii="宋体" w:hAnsi="宋体"/>
                <w:color w:val="auto"/>
                <w:sz w:val="24"/>
                <w:highlight w:val="none"/>
              </w:rPr>
            </w:pPr>
            <w:r>
              <w:rPr>
                <w:rFonts w:hint="eastAsia" w:ascii="宋体" w:hAnsi="宋体"/>
                <w:color w:val="auto"/>
                <w:sz w:val="24"/>
                <w:highlight w:val="none"/>
              </w:rPr>
              <w:t>文化程度</w:t>
            </w:r>
          </w:p>
        </w:tc>
        <w:tc>
          <w:tcPr>
            <w:tcW w:w="2025" w:type="dxa"/>
            <w:tcBorders>
              <w:top w:val="single" w:color="auto" w:sz="4" w:space="0"/>
              <w:left w:val="single" w:color="auto" w:sz="4" w:space="0"/>
              <w:bottom w:val="single" w:color="auto" w:sz="4" w:space="0"/>
              <w:right w:val="single" w:color="auto" w:sz="4" w:space="0"/>
            </w:tcBorders>
            <w:vAlign w:val="center"/>
          </w:tcPr>
          <w:p w14:paraId="78FA6116">
            <w:pPr>
              <w:snapToGrid w:val="0"/>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27F2BD1C">
            <w:pPr>
              <w:snapToGrid w:val="0"/>
              <w:jc w:val="center"/>
              <w:rPr>
                <w:rFonts w:ascii="宋体" w:hAnsi="宋体"/>
                <w:color w:val="auto"/>
                <w:sz w:val="24"/>
                <w:highlight w:val="none"/>
              </w:rPr>
            </w:pPr>
            <w:r>
              <w:rPr>
                <w:rFonts w:hint="eastAsia" w:ascii="宋体" w:hAnsi="宋体"/>
                <w:color w:val="auto"/>
                <w:sz w:val="24"/>
                <w:highlight w:val="none"/>
              </w:rPr>
              <w:t>证书编号</w:t>
            </w:r>
          </w:p>
        </w:tc>
        <w:tc>
          <w:tcPr>
            <w:tcW w:w="2610" w:type="dxa"/>
            <w:tcBorders>
              <w:top w:val="single" w:color="auto" w:sz="4" w:space="0"/>
              <w:left w:val="single" w:color="auto" w:sz="4" w:space="0"/>
              <w:bottom w:val="single" w:color="auto" w:sz="4" w:space="0"/>
              <w:right w:val="single" w:color="auto" w:sz="4" w:space="0"/>
            </w:tcBorders>
            <w:vAlign w:val="center"/>
          </w:tcPr>
          <w:p w14:paraId="076E2F0E">
            <w:pPr>
              <w:snapToGrid w:val="0"/>
              <w:jc w:val="center"/>
              <w:rPr>
                <w:rFonts w:ascii="宋体" w:hAnsi="宋体"/>
                <w:bCs/>
                <w:color w:val="auto"/>
                <w:sz w:val="24"/>
                <w:highlight w:val="none"/>
              </w:rPr>
            </w:pPr>
            <w:r>
              <w:rPr>
                <w:rFonts w:hint="eastAsia" w:ascii="宋体" w:hAnsi="宋体"/>
                <w:bCs/>
                <w:color w:val="auto"/>
                <w:sz w:val="24"/>
                <w:highlight w:val="none"/>
              </w:rPr>
              <w:t>参加本单位工作时间</w:t>
            </w:r>
          </w:p>
        </w:tc>
      </w:tr>
      <w:tr w14:paraId="4550F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14:paraId="74F3B770">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4A370FE5">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04862785">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42081E0C">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E6A12DA">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6DC33BC4">
            <w:pPr>
              <w:snapToGrid w:val="0"/>
              <w:spacing w:line="360" w:lineRule="auto"/>
              <w:rPr>
                <w:rFonts w:ascii="宋体" w:hAnsi="宋体"/>
                <w:color w:val="auto"/>
                <w:sz w:val="24"/>
                <w:highlight w:val="none"/>
              </w:rPr>
            </w:pPr>
          </w:p>
        </w:tc>
      </w:tr>
      <w:tr w14:paraId="72463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14:paraId="5E90B84C">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3666EEC6">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7E0B5E65">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40D2219B">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CE161C">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0A9D5AC5">
            <w:pPr>
              <w:snapToGrid w:val="0"/>
              <w:spacing w:line="360" w:lineRule="auto"/>
              <w:rPr>
                <w:rFonts w:ascii="宋体" w:hAnsi="宋体"/>
                <w:color w:val="auto"/>
                <w:sz w:val="24"/>
                <w:highlight w:val="none"/>
              </w:rPr>
            </w:pPr>
          </w:p>
        </w:tc>
      </w:tr>
      <w:tr w14:paraId="6E7BF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14:paraId="2A0E5372">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501C58FC">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70ECB5FE">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16CDA359">
            <w:pPr>
              <w:snapToGrid w:val="0"/>
              <w:spacing w:line="360" w:lineRule="auto"/>
              <w:ind w:left="5250" w:leftChars="2500"/>
              <w:rPr>
                <w:rFonts w:ascii="宋体" w:hAnsi="宋体" w:eastAsia="楷体_GB2312"/>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560D510">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59917434">
            <w:pPr>
              <w:snapToGrid w:val="0"/>
              <w:spacing w:line="360" w:lineRule="auto"/>
              <w:rPr>
                <w:rFonts w:ascii="宋体" w:hAnsi="宋体"/>
                <w:color w:val="auto"/>
                <w:sz w:val="24"/>
                <w:highlight w:val="none"/>
              </w:rPr>
            </w:pPr>
          </w:p>
        </w:tc>
      </w:tr>
      <w:tr w14:paraId="3C277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14:paraId="24DB04C3">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008F3031">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6002D9B4">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742D15FF">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163397">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0BC2A70B">
            <w:pPr>
              <w:snapToGrid w:val="0"/>
              <w:spacing w:line="360" w:lineRule="auto"/>
              <w:rPr>
                <w:rFonts w:ascii="宋体" w:hAnsi="宋体"/>
                <w:color w:val="auto"/>
                <w:sz w:val="24"/>
                <w:highlight w:val="none"/>
              </w:rPr>
            </w:pPr>
          </w:p>
        </w:tc>
      </w:tr>
      <w:tr w14:paraId="57AC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14:paraId="6E5E83D1">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460EDCFB">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30E4374F">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7CDDB824">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C46E683">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3AE9A1A0">
            <w:pPr>
              <w:snapToGrid w:val="0"/>
              <w:spacing w:line="360" w:lineRule="auto"/>
              <w:rPr>
                <w:rFonts w:ascii="宋体" w:hAnsi="宋体"/>
                <w:color w:val="auto"/>
                <w:sz w:val="24"/>
                <w:highlight w:val="none"/>
              </w:rPr>
            </w:pPr>
          </w:p>
        </w:tc>
      </w:tr>
      <w:tr w14:paraId="6D8F2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14:paraId="4164D318">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2E0430BD">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260CBD21">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20341029">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15BAAEA">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628ABAEF">
            <w:pPr>
              <w:snapToGrid w:val="0"/>
              <w:spacing w:line="360" w:lineRule="auto"/>
              <w:rPr>
                <w:rFonts w:ascii="宋体" w:hAnsi="宋体"/>
                <w:color w:val="auto"/>
                <w:sz w:val="24"/>
                <w:highlight w:val="none"/>
              </w:rPr>
            </w:pPr>
          </w:p>
        </w:tc>
      </w:tr>
      <w:tr w14:paraId="6DDCF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14:paraId="316E1070">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4B5ADA2D">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4821B0A4">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09724C8C">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AACFC03">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70DEE189">
            <w:pPr>
              <w:snapToGrid w:val="0"/>
              <w:spacing w:line="360" w:lineRule="auto"/>
              <w:rPr>
                <w:rFonts w:ascii="宋体" w:hAnsi="宋体"/>
                <w:color w:val="auto"/>
                <w:sz w:val="24"/>
                <w:highlight w:val="none"/>
              </w:rPr>
            </w:pPr>
          </w:p>
        </w:tc>
      </w:tr>
      <w:tr w14:paraId="39F03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14:paraId="0BC61AB9">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71CEFE28">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302C7023">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1C2E800B">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8B7BB10">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231E265B">
            <w:pPr>
              <w:snapToGrid w:val="0"/>
              <w:spacing w:line="360" w:lineRule="auto"/>
              <w:rPr>
                <w:rFonts w:ascii="宋体" w:hAnsi="宋体"/>
                <w:color w:val="auto"/>
                <w:sz w:val="24"/>
                <w:highlight w:val="none"/>
              </w:rPr>
            </w:pPr>
          </w:p>
        </w:tc>
      </w:tr>
      <w:tr w14:paraId="4B421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14:paraId="1BBAA481">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14:paraId="254B87B7">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63AACD86">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14:paraId="7C67366E">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61C95A3">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14:paraId="6C16216C">
            <w:pPr>
              <w:snapToGrid w:val="0"/>
              <w:spacing w:line="360" w:lineRule="auto"/>
              <w:rPr>
                <w:rFonts w:ascii="宋体" w:hAnsi="宋体"/>
                <w:color w:val="auto"/>
                <w:sz w:val="24"/>
                <w:highlight w:val="none"/>
              </w:rPr>
            </w:pPr>
          </w:p>
        </w:tc>
      </w:tr>
    </w:tbl>
    <w:p w14:paraId="59A1A8AC">
      <w:pPr>
        <w:snapToGrid w:val="0"/>
        <w:spacing w:line="360" w:lineRule="auto"/>
        <w:rPr>
          <w:rFonts w:ascii="宋体" w:hAnsi="宋体"/>
          <w:color w:val="auto"/>
          <w:sz w:val="24"/>
          <w:highlight w:val="none"/>
        </w:rPr>
      </w:pPr>
      <w:r>
        <w:rPr>
          <w:rFonts w:hint="eastAsia" w:ascii="宋体" w:hAnsi="宋体"/>
          <w:color w:val="auto"/>
          <w:sz w:val="24"/>
          <w:highlight w:val="none"/>
        </w:rPr>
        <w:t>注：此表后附项目实施人员资格证书等相关资料复印件。</w:t>
      </w:r>
    </w:p>
    <w:p w14:paraId="3533B499">
      <w:pPr>
        <w:snapToGrid w:val="0"/>
        <w:spacing w:line="360" w:lineRule="auto"/>
        <w:rPr>
          <w:rFonts w:ascii="宋体" w:hAnsi="宋体"/>
          <w:color w:val="auto"/>
          <w:sz w:val="24"/>
          <w:highlight w:val="none"/>
        </w:rPr>
      </w:pPr>
    </w:p>
    <w:p w14:paraId="39BF8EBC">
      <w:pPr>
        <w:snapToGrid w:val="0"/>
        <w:spacing w:line="360" w:lineRule="auto"/>
        <w:rPr>
          <w:rFonts w:ascii="宋体" w:hAnsi="宋体"/>
          <w:color w:val="auto"/>
          <w:sz w:val="24"/>
          <w:highlight w:val="none"/>
        </w:rPr>
      </w:pPr>
    </w:p>
    <w:p w14:paraId="0A59C4B0">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0E0D7538">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7E20E42A">
      <w:pPr>
        <w:pStyle w:val="24"/>
        <w:tabs>
          <w:tab w:val="left" w:pos="0"/>
          <w:tab w:val="left" w:pos="993"/>
          <w:tab w:val="left" w:pos="1134"/>
        </w:tabs>
        <w:ind w:firstLine="464"/>
        <w:rPr>
          <w:rFonts w:hAnsi="宋体"/>
          <w:color w:val="auto"/>
          <w:sz w:val="24"/>
          <w:highlight w:val="none"/>
          <w:lang w:val="zh-CN"/>
        </w:rPr>
      </w:pPr>
    </w:p>
    <w:p w14:paraId="4DF1DA83">
      <w:pPr>
        <w:pStyle w:val="24"/>
        <w:tabs>
          <w:tab w:val="left" w:pos="0"/>
          <w:tab w:val="left" w:pos="993"/>
          <w:tab w:val="left" w:pos="1134"/>
        </w:tabs>
        <w:ind w:firstLine="464"/>
        <w:rPr>
          <w:rFonts w:hAnsi="宋体"/>
          <w:color w:val="auto"/>
          <w:sz w:val="24"/>
          <w:highlight w:val="none"/>
          <w:lang w:val="zh-CN"/>
        </w:rPr>
      </w:pPr>
    </w:p>
    <w:p w14:paraId="22C7CD14">
      <w:pPr>
        <w:snapToGrid w:val="0"/>
        <w:spacing w:line="360" w:lineRule="auto"/>
        <w:ind w:firstLine="482" w:firstLineChars="200"/>
        <w:jc w:val="center"/>
        <w:rPr>
          <w:rFonts w:ascii="宋体" w:hAnsi="宋体" w:cs="宋体"/>
          <w:b/>
          <w:bCs/>
          <w:color w:val="auto"/>
          <w:sz w:val="24"/>
          <w:highlight w:val="none"/>
        </w:rPr>
      </w:pPr>
    </w:p>
    <w:p w14:paraId="047EEF0B">
      <w:pPr>
        <w:pStyle w:val="4"/>
        <w:keepNext w:val="0"/>
        <w:keepLines w:val="0"/>
        <w:pageBreakBefore/>
        <w:spacing w:line="276" w:lineRule="auto"/>
        <w:rPr>
          <w:rFonts w:ascii="宋体" w:hAnsi="宋体" w:eastAsia="宋体" w:cs="宋体"/>
          <w:bCs w:val="0"/>
          <w:color w:val="auto"/>
          <w:sz w:val="28"/>
          <w:szCs w:val="28"/>
          <w:highlight w:val="none"/>
        </w:rPr>
      </w:pPr>
      <w:bookmarkStart w:id="5" w:name="_Toc7495"/>
      <w:r>
        <w:rPr>
          <w:rFonts w:hint="eastAsia" w:ascii="宋体" w:hAnsi="宋体" w:eastAsia="宋体" w:cs="宋体"/>
          <w:bCs w:val="0"/>
          <w:color w:val="auto"/>
          <w:sz w:val="24"/>
          <w:szCs w:val="24"/>
          <w:highlight w:val="none"/>
        </w:rPr>
        <w:t xml:space="preserve"> 联合体协议书（联合体投标时提供）</w:t>
      </w:r>
      <w:bookmarkEnd w:id="5"/>
      <w:r>
        <w:rPr>
          <w:rFonts w:hint="eastAsia" w:ascii="宋体" w:hAnsi="宋体" w:eastAsia="宋体" w:cs="宋体"/>
          <w:bCs w:val="0"/>
          <w:color w:val="auto"/>
          <w:sz w:val="24"/>
          <w:szCs w:val="24"/>
          <w:highlight w:val="none"/>
        </w:rPr>
        <w:t>：</w:t>
      </w:r>
    </w:p>
    <w:p w14:paraId="74DF1160">
      <w:pPr>
        <w:pStyle w:val="20"/>
        <w:ind w:firstLine="562"/>
        <w:jc w:val="center"/>
        <w:rPr>
          <w:rFonts w:ascii="宋体" w:eastAsia="宋体" w:cs="宋体"/>
          <w:b/>
          <w:bCs/>
          <w:color w:val="auto"/>
          <w:sz w:val="28"/>
          <w:szCs w:val="28"/>
          <w:highlight w:val="none"/>
        </w:rPr>
      </w:pPr>
      <w:r>
        <w:rPr>
          <w:rFonts w:hint="eastAsia" w:ascii="宋体" w:eastAsia="宋体" w:cs="宋体"/>
          <w:b/>
          <w:bCs/>
          <w:color w:val="auto"/>
          <w:sz w:val="28"/>
          <w:szCs w:val="28"/>
          <w:highlight w:val="none"/>
        </w:rPr>
        <w:t>联合体协议书（联合体投标时提供）</w:t>
      </w:r>
    </w:p>
    <w:p w14:paraId="29F875C1">
      <w:pPr>
        <w:rPr>
          <w:rFonts w:ascii="宋体" w:hAnsi="宋体" w:cs="宋体"/>
          <w:color w:val="auto"/>
          <w:kern w:val="1"/>
          <w:highlight w:val="none"/>
        </w:rPr>
      </w:pPr>
    </w:p>
    <w:p w14:paraId="0E1B4ADA">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（所有成员单位名称）自愿组成联合体，共同参加（项目名称）投标。现就联合体投标事宜订立如下协议。</w:t>
      </w:r>
    </w:p>
    <w:p w14:paraId="0F6ED274">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1.（某成员单位名称）为牵头人。</w:t>
      </w:r>
    </w:p>
    <w:p w14:paraId="2BD5BE1D">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14:paraId="2CB298C4">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3.联合体将严格按照招标文件的各项要求，递交投标文件，履行合同。如果中标并签订合同，则联合投标各方将共同履行对招标方和采购人所负有的全部义务并就采购合同约定的事项对采购人承担连带责任。</w:t>
      </w:r>
    </w:p>
    <w:p w14:paraId="63C2ACD5">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4.联合体牵头人应在取得联合体各成员同意后，代表联合体签署投标文件，联合体牵头人的所有承诺均认为代表了联合体各成员。</w:t>
      </w:r>
    </w:p>
    <w:p w14:paraId="7A6F804E">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5.联合体各成员单位内部的职责分工如下： （牵头人名称）承担；（成员一名称）承担。</w:t>
      </w:r>
    </w:p>
    <w:p w14:paraId="6125E823">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6.依据联合体内部分工安排，联合体收益按照</w:t>
      </w:r>
      <w:r>
        <w:rPr>
          <w:rFonts w:hint="eastAsia" w:ascii="宋体" w:hAnsi="宋体" w:cs="宋体"/>
          <w:color w:val="auto"/>
          <w:sz w:val="24"/>
          <w:highlight w:val="none"/>
          <w:u w:val="single"/>
        </w:rPr>
        <w:t xml:space="preserve">（牵头人名称）：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（成员名称）：      </w:t>
      </w:r>
      <w:r>
        <w:rPr>
          <w:rFonts w:hint="eastAsia" w:ascii="宋体" w:hAnsi="宋体" w:cs="宋体"/>
          <w:color w:val="auto"/>
          <w:sz w:val="24"/>
          <w:highlight w:val="none"/>
        </w:rPr>
        <w:t>%分配。投标工作和联合体在中标后工程实施过程中的有关费用按各自承担的工作量分摊。</w:t>
      </w:r>
    </w:p>
    <w:p w14:paraId="0B01A130">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7.本协议提交招标方后，联合投标各方不得以任何形式对上述实质内容进行修改或撤销。</w:t>
      </w:r>
    </w:p>
    <w:p w14:paraId="65B0AC59">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8.本协议书自签署之日起生效，合同履行完毕后自动失效。</w:t>
      </w:r>
    </w:p>
    <w:p w14:paraId="5662A1E3">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9.本协议书一式份，联合体成员和招标人各执一份。</w:t>
      </w:r>
    </w:p>
    <w:p w14:paraId="5DBC4FE0">
      <w:pPr>
        <w:snapToGrid w:val="0"/>
        <w:spacing w:before="120" w:beforeLines="50" w:after="50" w:line="276" w:lineRule="auto"/>
        <w:ind w:firstLine="720" w:firstLineChars="300"/>
        <w:rPr>
          <w:rFonts w:ascii="宋体" w:hAnsi="宋体" w:cs="宋体"/>
          <w:color w:val="auto"/>
          <w:sz w:val="24"/>
          <w:highlight w:val="none"/>
        </w:rPr>
      </w:pPr>
    </w:p>
    <w:p w14:paraId="35BAC5EC">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牵头人名称：                                  （盖单位章）</w:t>
      </w:r>
    </w:p>
    <w:p w14:paraId="76651F0C">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14:paraId="6E7ADF39">
      <w:pPr>
        <w:snapToGrid w:val="0"/>
        <w:spacing w:before="120" w:beforeLines="50" w:after="50" w:line="276" w:lineRule="auto"/>
        <w:ind w:firstLine="720" w:firstLineChars="300"/>
        <w:rPr>
          <w:rFonts w:ascii="宋体" w:hAnsi="宋体" w:cs="宋体"/>
          <w:color w:val="auto"/>
          <w:sz w:val="24"/>
          <w:highlight w:val="none"/>
        </w:rPr>
      </w:pPr>
    </w:p>
    <w:p w14:paraId="053132F3">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成员一名称：                                  （盖单位章） </w:t>
      </w:r>
    </w:p>
    <w:p w14:paraId="77844CE6">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14:paraId="3B345F7A">
      <w:pPr>
        <w:snapToGrid w:val="0"/>
        <w:spacing w:before="120" w:beforeLines="50" w:after="50" w:line="276" w:lineRule="auto"/>
        <w:ind w:firstLine="720" w:firstLineChars="300"/>
        <w:rPr>
          <w:rFonts w:ascii="宋体" w:hAnsi="宋体" w:cs="宋体"/>
          <w:color w:val="auto"/>
          <w:sz w:val="24"/>
          <w:highlight w:val="none"/>
        </w:rPr>
      </w:pPr>
    </w:p>
    <w:p w14:paraId="7C56CB7F">
      <w:pPr>
        <w:snapToGrid w:val="0"/>
        <w:spacing w:before="120" w:beforeLines="50" w:after="50" w:line="276" w:lineRule="auto"/>
        <w:ind w:firstLine="720" w:firstLineChars="300"/>
        <w:jc w:val="right"/>
        <w:rPr>
          <w:color w:val="auto"/>
          <w:highlight w:val="none"/>
        </w:rPr>
      </w:pPr>
      <w:bookmarkStart w:id="6" w:name="_Toc533947637"/>
      <w:r>
        <w:rPr>
          <w:rFonts w:hint="eastAsia" w:ascii="宋体" w:hAnsi="宋体" w:cs="宋体"/>
          <w:color w:val="auto"/>
          <w:sz w:val="24"/>
          <w:highlight w:val="none"/>
        </w:rPr>
        <w:t>年    月    日</w:t>
      </w:r>
      <w:bookmarkEnd w:id="6"/>
    </w:p>
    <w:p w14:paraId="07796306">
      <w:pPr>
        <w:pStyle w:val="4"/>
        <w:keepNext w:val="0"/>
        <w:keepLines w:val="0"/>
        <w:pageBreakBefore/>
        <w:spacing w:line="276" w:lineRule="auto"/>
        <w:rPr>
          <w:rFonts w:ascii="宋体" w:hAnsi="宋体" w:eastAsia="宋体" w:cs="宋体"/>
          <w:b w:val="0"/>
          <w:color w:val="auto"/>
          <w:sz w:val="28"/>
          <w:szCs w:val="28"/>
          <w:highlight w:val="none"/>
        </w:rPr>
      </w:pPr>
      <w:bookmarkStart w:id="7" w:name="_Toc15059"/>
      <w:r>
        <w:rPr>
          <w:rFonts w:hint="eastAsia" w:ascii="宋体" w:hAnsi="宋体" w:eastAsia="宋体" w:cs="宋体"/>
          <w:bCs w:val="0"/>
          <w:color w:val="auto"/>
          <w:sz w:val="24"/>
          <w:szCs w:val="24"/>
          <w:highlight w:val="none"/>
        </w:rPr>
        <w:t xml:space="preserve"> 分包意向协议</w:t>
      </w:r>
      <w:bookmarkEnd w:id="7"/>
      <w:r>
        <w:rPr>
          <w:rFonts w:hint="eastAsia" w:ascii="宋体" w:hAnsi="宋体" w:eastAsia="宋体" w:cs="宋体"/>
          <w:bCs w:val="0"/>
          <w:color w:val="auto"/>
          <w:sz w:val="24"/>
          <w:szCs w:val="24"/>
          <w:highlight w:val="none"/>
        </w:rPr>
        <w:t>：</w:t>
      </w:r>
    </w:p>
    <w:p w14:paraId="515502FF">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360E4C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14:paraId="50A161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01EB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95F43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22174C3">
      <w:pP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14:paraId="73B193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33BCF253">
      <w:pPr>
        <w:snapToGrid w:val="0"/>
        <w:spacing w:line="360" w:lineRule="auto"/>
        <w:rPr>
          <w:rFonts w:ascii="宋体" w:hAnsi="宋体" w:cs="宋体"/>
          <w:color w:val="auto"/>
          <w:highlight w:val="none"/>
          <w:u w:val="single"/>
        </w:rPr>
      </w:pPr>
    </w:p>
    <w:p w14:paraId="4C5B22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6F9C268A">
      <w:pPr>
        <w:snapToGrid w:val="0"/>
        <w:spacing w:line="360" w:lineRule="auto"/>
        <w:ind w:firstLine="576"/>
        <w:rPr>
          <w:rFonts w:ascii="宋体" w:hAnsi="宋体" w:cs="宋体"/>
          <w:color w:val="auto"/>
          <w:kern w:val="0"/>
          <w:sz w:val="24"/>
          <w:highlight w:val="none"/>
          <w:lang w:val="zh-CN"/>
        </w:rPr>
      </w:pPr>
    </w:p>
    <w:p w14:paraId="5F2655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0A92035">
      <w:pPr>
        <w:snapToGrid w:val="0"/>
        <w:spacing w:line="360" w:lineRule="auto"/>
        <w:ind w:left="573" w:leftChars="273"/>
        <w:rPr>
          <w:rFonts w:ascii="宋体" w:hAnsi="宋体" w:cs="宋体"/>
          <w:color w:val="auto"/>
          <w:kern w:val="0"/>
          <w:sz w:val="24"/>
          <w:highlight w:val="none"/>
          <w:lang w:val="zh-CN"/>
        </w:rPr>
      </w:pPr>
    </w:p>
    <w:p w14:paraId="000D986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5E228D1E">
      <w:pPr>
        <w:snapToGrid w:val="0"/>
        <w:spacing w:line="360" w:lineRule="auto"/>
        <w:ind w:firstLine="576"/>
        <w:rPr>
          <w:rFonts w:ascii="宋体" w:hAnsi="宋体" w:cs="宋体"/>
          <w:color w:val="auto"/>
          <w:kern w:val="0"/>
          <w:sz w:val="24"/>
          <w:highlight w:val="none"/>
          <w:lang w:val="zh-CN"/>
        </w:rPr>
      </w:pPr>
    </w:p>
    <w:p w14:paraId="0BDE87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7ABF516B">
      <w:pPr>
        <w:snapToGrid w:val="0"/>
        <w:spacing w:line="360" w:lineRule="auto"/>
        <w:rPr>
          <w:rFonts w:ascii="宋体" w:hAnsi="宋体" w:cs="宋体"/>
          <w:color w:val="auto"/>
          <w:kern w:val="0"/>
          <w:sz w:val="24"/>
          <w:highlight w:val="none"/>
          <w:lang w:val="zh-CN"/>
        </w:rPr>
      </w:pPr>
    </w:p>
    <w:p w14:paraId="5944B84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0BCEC58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分包合同合同金额达到 % 。                                                </w:t>
      </w:r>
    </w:p>
    <w:p w14:paraId="192FB07C">
      <w:pPr>
        <w:snapToGrid w:val="0"/>
        <w:spacing w:line="360" w:lineRule="auto"/>
        <w:ind w:firstLine="5760" w:firstLineChars="2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投标人名称(签名)：</w:t>
      </w:r>
    </w:p>
    <w:p w14:paraId="2AD8E6C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8246B6F">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2C9CD104">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64FDFF10">
      <w:pPr>
        <w:snapToGrid w:val="0"/>
        <w:spacing w:line="360" w:lineRule="auto"/>
        <w:rPr>
          <w:rFonts w:ascii="宋体" w:hAnsi="宋体" w:cs="宋体"/>
          <w:b/>
          <w:bCs/>
          <w:color w:val="auto"/>
          <w:sz w:val="24"/>
          <w:highlight w:val="none"/>
        </w:rPr>
      </w:pPr>
    </w:p>
    <w:p w14:paraId="3921B38D">
      <w:pPr>
        <w:snapToGrid w:val="0"/>
        <w:spacing w:line="360" w:lineRule="auto"/>
        <w:ind w:firstLine="482" w:firstLineChars="200"/>
        <w:jc w:val="center"/>
        <w:rPr>
          <w:rFonts w:ascii="宋体" w:hAnsi="宋体" w:cs="宋体"/>
          <w:b/>
          <w:bCs/>
          <w:color w:val="auto"/>
          <w:sz w:val="24"/>
          <w:highlight w:val="none"/>
        </w:rPr>
      </w:pPr>
    </w:p>
    <w:p w14:paraId="5D85C2E4">
      <w:pPr>
        <w:snapToGrid w:val="0"/>
        <w:spacing w:line="360" w:lineRule="auto"/>
        <w:ind w:firstLine="482" w:firstLineChars="200"/>
        <w:jc w:val="center"/>
        <w:rPr>
          <w:rFonts w:ascii="宋体" w:hAnsi="宋体" w:cs="宋体"/>
          <w:b/>
          <w:bCs/>
          <w:color w:val="auto"/>
          <w:sz w:val="24"/>
          <w:highlight w:val="none"/>
        </w:rPr>
      </w:pPr>
    </w:p>
    <w:p w14:paraId="5721F6C2">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技术方案（格式自拟）</w:t>
      </w:r>
    </w:p>
    <w:p w14:paraId="45F3B5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至少包括技术方案、服务方案、质量保障措施、合理化建议等内容</w:t>
      </w:r>
    </w:p>
    <w:p w14:paraId="44CEEDE1">
      <w:pPr>
        <w:pStyle w:val="24"/>
        <w:ind w:firstLine="466"/>
        <w:rPr>
          <w:rFonts w:hAnsi="宋体" w:cs="宋体"/>
          <w:b/>
          <w:color w:val="auto"/>
          <w:sz w:val="24"/>
          <w:highlight w:val="none"/>
        </w:rPr>
      </w:pPr>
    </w:p>
    <w:p w14:paraId="4FAE8EC8">
      <w:pPr>
        <w:pStyle w:val="24"/>
        <w:ind w:firstLine="464"/>
        <w:rPr>
          <w:rFonts w:hAnsi="宋体" w:cs="宋体"/>
          <w:color w:val="auto"/>
          <w:sz w:val="24"/>
          <w:szCs w:val="24"/>
          <w:highlight w:val="none"/>
        </w:rPr>
      </w:pPr>
    </w:p>
    <w:p w14:paraId="1AF3D29B">
      <w:pPr>
        <w:pStyle w:val="24"/>
        <w:ind w:firstLine="464"/>
        <w:rPr>
          <w:rFonts w:hAnsi="宋体" w:cs="宋体"/>
          <w:color w:val="auto"/>
          <w:sz w:val="24"/>
          <w:szCs w:val="24"/>
          <w:highlight w:val="none"/>
        </w:rPr>
      </w:pPr>
    </w:p>
    <w:p w14:paraId="0F672BFC">
      <w:pPr>
        <w:pStyle w:val="24"/>
        <w:ind w:firstLine="464"/>
        <w:rPr>
          <w:rFonts w:hAnsi="宋体" w:cs="宋体"/>
          <w:color w:val="auto"/>
          <w:sz w:val="24"/>
          <w:szCs w:val="24"/>
          <w:highlight w:val="none"/>
        </w:rPr>
      </w:pPr>
    </w:p>
    <w:p w14:paraId="3EDEE9A1">
      <w:pPr>
        <w:pStyle w:val="24"/>
        <w:ind w:firstLine="464"/>
        <w:rPr>
          <w:rFonts w:hAnsi="宋体" w:cs="宋体"/>
          <w:color w:val="auto"/>
          <w:sz w:val="24"/>
          <w:szCs w:val="24"/>
          <w:highlight w:val="none"/>
        </w:rPr>
      </w:pPr>
    </w:p>
    <w:p w14:paraId="5F2B21A4">
      <w:pPr>
        <w:pStyle w:val="24"/>
        <w:ind w:firstLine="466"/>
        <w:rPr>
          <w:rFonts w:hAnsi="宋体" w:cs="宋体"/>
          <w:b/>
          <w:color w:val="auto"/>
          <w:sz w:val="24"/>
          <w:highlight w:val="none"/>
        </w:rPr>
      </w:pPr>
    </w:p>
    <w:p w14:paraId="6210FD80">
      <w:pPr>
        <w:pStyle w:val="24"/>
        <w:ind w:firstLine="466"/>
        <w:rPr>
          <w:rFonts w:hAnsi="宋体" w:cs="宋体"/>
          <w:b/>
          <w:color w:val="auto"/>
          <w:sz w:val="24"/>
          <w:highlight w:val="none"/>
        </w:rPr>
      </w:pPr>
    </w:p>
    <w:p w14:paraId="5D38ECB3">
      <w:pPr>
        <w:pStyle w:val="24"/>
        <w:ind w:firstLine="466"/>
        <w:rPr>
          <w:rFonts w:hAnsi="宋体" w:cs="宋体"/>
          <w:b/>
          <w:color w:val="auto"/>
          <w:sz w:val="24"/>
          <w:highlight w:val="none"/>
        </w:rPr>
      </w:pPr>
    </w:p>
    <w:p w14:paraId="7BFDF88E">
      <w:pPr>
        <w:pStyle w:val="24"/>
        <w:ind w:firstLine="466"/>
        <w:rPr>
          <w:rFonts w:hAnsi="宋体" w:cs="宋体"/>
          <w:b/>
          <w:color w:val="auto"/>
          <w:sz w:val="24"/>
          <w:highlight w:val="none"/>
        </w:rPr>
      </w:pPr>
    </w:p>
    <w:p w14:paraId="4A5DF228">
      <w:pPr>
        <w:pStyle w:val="24"/>
        <w:ind w:firstLine="466"/>
        <w:rPr>
          <w:rFonts w:hAnsi="宋体" w:cs="宋体"/>
          <w:b/>
          <w:color w:val="auto"/>
          <w:sz w:val="24"/>
          <w:highlight w:val="none"/>
        </w:rPr>
      </w:pPr>
    </w:p>
    <w:p w14:paraId="38218542">
      <w:pPr>
        <w:pStyle w:val="24"/>
        <w:ind w:firstLine="466"/>
        <w:rPr>
          <w:rFonts w:hAnsi="宋体" w:cs="宋体"/>
          <w:b/>
          <w:color w:val="auto"/>
          <w:sz w:val="24"/>
          <w:highlight w:val="none"/>
        </w:rPr>
      </w:pPr>
    </w:p>
    <w:p w14:paraId="6B1C742A">
      <w:pPr>
        <w:pStyle w:val="24"/>
        <w:ind w:firstLine="466"/>
        <w:rPr>
          <w:rFonts w:hAnsi="宋体" w:cs="宋体"/>
          <w:b/>
          <w:color w:val="auto"/>
          <w:sz w:val="24"/>
          <w:highlight w:val="none"/>
        </w:rPr>
      </w:pPr>
    </w:p>
    <w:p w14:paraId="7BA76DE4">
      <w:pPr>
        <w:pStyle w:val="24"/>
        <w:ind w:firstLine="466"/>
        <w:rPr>
          <w:rFonts w:hAnsi="宋体" w:cs="宋体"/>
          <w:b/>
          <w:color w:val="auto"/>
          <w:sz w:val="24"/>
          <w:highlight w:val="none"/>
        </w:rPr>
      </w:pPr>
    </w:p>
    <w:p w14:paraId="5FDBE213">
      <w:pPr>
        <w:pStyle w:val="24"/>
        <w:ind w:firstLine="466"/>
        <w:rPr>
          <w:rFonts w:hAnsi="宋体" w:cs="宋体"/>
          <w:b/>
          <w:color w:val="auto"/>
          <w:sz w:val="24"/>
          <w:highlight w:val="none"/>
        </w:rPr>
      </w:pPr>
    </w:p>
    <w:p w14:paraId="098890E4">
      <w:pPr>
        <w:pStyle w:val="24"/>
        <w:ind w:firstLine="466"/>
        <w:rPr>
          <w:rFonts w:hAnsi="宋体" w:cs="宋体"/>
          <w:b/>
          <w:color w:val="auto"/>
          <w:sz w:val="24"/>
          <w:highlight w:val="none"/>
        </w:rPr>
      </w:pPr>
    </w:p>
    <w:p w14:paraId="3BAAE557">
      <w:pPr>
        <w:pStyle w:val="24"/>
        <w:ind w:firstLine="466"/>
        <w:rPr>
          <w:rFonts w:hAnsi="宋体" w:cs="宋体"/>
          <w:b/>
          <w:color w:val="auto"/>
          <w:sz w:val="24"/>
          <w:highlight w:val="none"/>
        </w:rPr>
      </w:pPr>
    </w:p>
    <w:p w14:paraId="21093FF1">
      <w:pPr>
        <w:pStyle w:val="24"/>
        <w:ind w:firstLine="466"/>
        <w:rPr>
          <w:rFonts w:hAnsi="宋体" w:cs="宋体"/>
          <w:b/>
          <w:color w:val="auto"/>
          <w:sz w:val="24"/>
          <w:highlight w:val="none"/>
        </w:rPr>
      </w:pPr>
    </w:p>
    <w:p w14:paraId="1BF39322">
      <w:pPr>
        <w:pStyle w:val="24"/>
        <w:ind w:firstLine="466"/>
        <w:rPr>
          <w:rFonts w:hAnsi="宋体" w:cs="宋体"/>
          <w:b/>
          <w:color w:val="auto"/>
          <w:sz w:val="24"/>
          <w:highlight w:val="none"/>
        </w:rPr>
      </w:pPr>
    </w:p>
    <w:p w14:paraId="50CE110A">
      <w:pPr>
        <w:pStyle w:val="24"/>
        <w:ind w:firstLine="466"/>
        <w:rPr>
          <w:rFonts w:hAnsi="宋体" w:cs="宋体"/>
          <w:b/>
          <w:color w:val="auto"/>
          <w:sz w:val="24"/>
          <w:highlight w:val="none"/>
        </w:rPr>
      </w:pPr>
    </w:p>
    <w:p w14:paraId="3BB32C15">
      <w:pPr>
        <w:pStyle w:val="24"/>
        <w:ind w:firstLine="466"/>
        <w:rPr>
          <w:rFonts w:hAnsi="宋体" w:cs="宋体"/>
          <w:b/>
          <w:color w:val="auto"/>
          <w:sz w:val="24"/>
          <w:highlight w:val="none"/>
        </w:rPr>
      </w:pPr>
    </w:p>
    <w:p w14:paraId="251C9D44">
      <w:pPr>
        <w:pStyle w:val="24"/>
        <w:ind w:firstLine="466"/>
        <w:rPr>
          <w:rFonts w:hAnsi="宋体" w:cs="宋体"/>
          <w:b/>
          <w:color w:val="auto"/>
          <w:sz w:val="24"/>
          <w:highlight w:val="none"/>
        </w:rPr>
      </w:pPr>
    </w:p>
    <w:p w14:paraId="52182E85">
      <w:pPr>
        <w:pStyle w:val="24"/>
        <w:ind w:firstLine="466"/>
        <w:rPr>
          <w:rFonts w:hAnsi="宋体" w:cs="宋体"/>
          <w:b/>
          <w:color w:val="auto"/>
          <w:sz w:val="24"/>
          <w:highlight w:val="none"/>
        </w:rPr>
      </w:pPr>
    </w:p>
    <w:p w14:paraId="390A1091">
      <w:pPr>
        <w:pStyle w:val="24"/>
        <w:ind w:firstLine="466"/>
        <w:rPr>
          <w:rFonts w:hAnsi="宋体" w:cs="宋体"/>
          <w:b/>
          <w:color w:val="auto"/>
          <w:sz w:val="24"/>
          <w:highlight w:val="none"/>
        </w:rPr>
      </w:pPr>
    </w:p>
    <w:p w14:paraId="1DE67194">
      <w:pPr>
        <w:pStyle w:val="24"/>
        <w:ind w:firstLine="466"/>
        <w:rPr>
          <w:rFonts w:hAnsi="宋体" w:cs="宋体"/>
          <w:b/>
          <w:color w:val="auto"/>
          <w:sz w:val="24"/>
          <w:highlight w:val="none"/>
        </w:rPr>
      </w:pPr>
    </w:p>
    <w:p w14:paraId="77DA1378">
      <w:pPr>
        <w:pStyle w:val="24"/>
        <w:ind w:firstLine="466"/>
        <w:rPr>
          <w:rFonts w:hAnsi="宋体" w:cs="宋体"/>
          <w:b/>
          <w:color w:val="auto"/>
          <w:sz w:val="24"/>
          <w:highlight w:val="none"/>
        </w:rPr>
      </w:pPr>
    </w:p>
    <w:p w14:paraId="047391F7">
      <w:pPr>
        <w:pStyle w:val="24"/>
        <w:ind w:firstLine="466"/>
        <w:rPr>
          <w:rFonts w:hAnsi="宋体" w:cs="宋体"/>
          <w:b/>
          <w:color w:val="auto"/>
          <w:sz w:val="24"/>
          <w:highlight w:val="none"/>
        </w:rPr>
      </w:pPr>
    </w:p>
    <w:p w14:paraId="387DFE67">
      <w:pPr>
        <w:pStyle w:val="24"/>
        <w:ind w:firstLine="466"/>
        <w:rPr>
          <w:rFonts w:hAnsi="宋体" w:cs="宋体"/>
          <w:b/>
          <w:color w:val="auto"/>
          <w:sz w:val="24"/>
          <w:highlight w:val="none"/>
        </w:rPr>
      </w:pPr>
    </w:p>
    <w:p w14:paraId="4706EB46">
      <w:pPr>
        <w:pStyle w:val="24"/>
        <w:ind w:firstLine="466"/>
        <w:rPr>
          <w:rFonts w:hAnsi="宋体" w:cs="宋体"/>
          <w:b/>
          <w:color w:val="auto"/>
          <w:sz w:val="24"/>
          <w:highlight w:val="none"/>
        </w:rPr>
      </w:pPr>
    </w:p>
    <w:p w14:paraId="0E562286">
      <w:pPr>
        <w:pStyle w:val="24"/>
        <w:ind w:firstLine="466"/>
        <w:rPr>
          <w:rFonts w:hAnsi="宋体" w:cs="宋体"/>
          <w:b/>
          <w:color w:val="auto"/>
          <w:sz w:val="24"/>
          <w:highlight w:val="none"/>
        </w:rPr>
      </w:pPr>
    </w:p>
    <w:p w14:paraId="70C26B62">
      <w:pPr>
        <w:pStyle w:val="24"/>
        <w:ind w:firstLine="466"/>
        <w:rPr>
          <w:rFonts w:hAnsi="宋体" w:cs="宋体"/>
          <w:b/>
          <w:color w:val="auto"/>
          <w:sz w:val="24"/>
          <w:highlight w:val="none"/>
        </w:rPr>
      </w:pPr>
    </w:p>
    <w:p w14:paraId="5C8196A5">
      <w:pPr>
        <w:pStyle w:val="24"/>
        <w:ind w:firstLine="466"/>
        <w:rPr>
          <w:rFonts w:hAnsi="宋体" w:cs="宋体"/>
          <w:b/>
          <w:color w:val="auto"/>
          <w:sz w:val="24"/>
          <w:highlight w:val="none"/>
        </w:rPr>
      </w:pPr>
    </w:p>
    <w:p w14:paraId="441F6760">
      <w:pPr>
        <w:pStyle w:val="24"/>
        <w:ind w:firstLine="466"/>
        <w:rPr>
          <w:rFonts w:hAnsi="宋体" w:cs="宋体"/>
          <w:b/>
          <w:color w:val="auto"/>
          <w:sz w:val="24"/>
          <w:highlight w:val="none"/>
        </w:rPr>
      </w:pPr>
    </w:p>
    <w:p w14:paraId="6F43E354">
      <w:pPr>
        <w:pStyle w:val="24"/>
        <w:ind w:firstLine="466"/>
        <w:rPr>
          <w:rFonts w:hAnsi="宋体" w:cs="宋体"/>
          <w:b/>
          <w:color w:val="auto"/>
          <w:sz w:val="24"/>
          <w:highlight w:val="none"/>
        </w:rPr>
      </w:pPr>
    </w:p>
    <w:p w14:paraId="2B2090F6">
      <w:pPr>
        <w:pStyle w:val="24"/>
        <w:ind w:firstLine="466"/>
        <w:rPr>
          <w:rFonts w:hAnsi="宋体" w:cs="宋体"/>
          <w:b/>
          <w:color w:val="auto"/>
          <w:sz w:val="24"/>
          <w:highlight w:val="none"/>
        </w:rPr>
      </w:pPr>
    </w:p>
    <w:p w14:paraId="6DE38F06">
      <w:pPr>
        <w:pStyle w:val="24"/>
        <w:ind w:firstLine="466"/>
        <w:rPr>
          <w:rFonts w:hAnsi="宋体" w:cs="宋体"/>
          <w:b/>
          <w:color w:val="auto"/>
          <w:sz w:val="24"/>
          <w:highlight w:val="none"/>
        </w:rPr>
      </w:pPr>
    </w:p>
    <w:p w14:paraId="64909273">
      <w:pPr>
        <w:pStyle w:val="24"/>
        <w:ind w:firstLine="466"/>
        <w:rPr>
          <w:rFonts w:hAnsi="宋体" w:cs="宋体"/>
          <w:b/>
          <w:color w:val="auto"/>
          <w:sz w:val="24"/>
          <w:highlight w:val="none"/>
        </w:rPr>
      </w:pPr>
    </w:p>
    <w:p w14:paraId="7DE7E301">
      <w:pPr>
        <w:pStyle w:val="24"/>
        <w:ind w:firstLine="466"/>
        <w:rPr>
          <w:rFonts w:hAnsi="宋体" w:cs="宋体"/>
          <w:b/>
          <w:color w:val="auto"/>
          <w:sz w:val="24"/>
          <w:highlight w:val="none"/>
        </w:rPr>
      </w:pPr>
    </w:p>
    <w:p w14:paraId="71475396">
      <w:pPr>
        <w:pStyle w:val="24"/>
        <w:ind w:firstLine="466"/>
        <w:rPr>
          <w:rFonts w:hAnsi="宋体" w:cs="宋体"/>
          <w:b/>
          <w:color w:val="auto"/>
          <w:sz w:val="24"/>
          <w:highlight w:val="none"/>
        </w:rPr>
      </w:pPr>
    </w:p>
    <w:p w14:paraId="00C90509">
      <w:pPr>
        <w:pStyle w:val="24"/>
        <w:ind w:firstLine="466"/>
        <w:rPr>
          <w:rFonts w:hAnsi="宋体" w:cs="宋体"/>
          <w:b/>
          <w:color w:val="auto"/>
          <w:sz w:val="24"/>
          <w:highlight w:val="none"/>
        </w:rPr>
      </w:pPr>
    </w:p>
    <w:p w14:paraId="5112EE85">
      <w:pPr>
        <w:pStyle w:val="24"/>
        <w:ind w:firstLine="466"/>
        <w:rPr>
          <w:rFonts w:hAnsi="宋体" w:cs="宋体"/>
          <w:b/>
          <w:color w:val="auto"/>
          <w:sz w:val="24"/>
          <w:highlight w:val="none"/>
        </w:rPr>
      </w:pPr>
    </w:p>
    <w:p w14:paraId="79BC4C5A">
      <w:pPr>
        <w:pStyle w:val="24"/>
        <w:ind w:firstLine="466"/>
        <w:rPr>
          <w:rFonts w:hAnsi="宋体" w:cs="宋体"/>
          <w:b/>
          <w:color w:val="auto"/>
          <w:sz w:val="24"/>
          <w:highlight w:val="none"/>
        </w:rPr>
      </w:pPr>
    </w:p>
    <w:p w14:paraId="14225134">
      <w:pPr>
        <w:pStyle w:val="24"/>
        <w:ind w:firstLine="466"/>
        <w:rPr>
          <w:rFonts w:hAnsi="宋体" w:cs="宋体"/>
          <w:b/>
          <w:color w:val="auto"/>
          <w:sz w:val="24"/>
          <w:highlight w:val="none"/>
        </w:rPr>
      </w:pPr>
    </w:p>
    <w:p w14:paraId="492706C1">
      <w:pPr>
        <w:pStyle w:val="24"/>
        <w:ind w:firstLine="466"/>
        <w:rPr>
          <w:rFonts w:hAnsi="宋体" w:cs="宋体"/>
          <w:b/>
          <w:color w:val="auto"/>
          <w:sz w:val="24"/>
          <w:highlight w:val="none"/>
        </w:rPr>
      </w:pPr>
    </w:p>
    <w:p w14:paraId="30773CD8">
      <w:pPr>
        <w:pStyle w:val="24"/>
        <w:ind w:firstLine="466"/>
        <w:rPr>
          <w:rFonts w:hAnsi="宋体" w:cs="宋体"/>
          <w:b/>
          <w:color w:val="auto"/>
          <w:sz w:val="24"/>
          <w:highlight w:val="none"/>
        </w:rPr>
      </w:pPr>
    </w:p>
    <w:p w14:paraId="2E45B035">
      <w:pPr>
        <w:pStyle w:val="24"/>
        <w:ind w:firstLine="466"/>
        <w:rPr>
          <w:rFonts w:hAnsi="宋体" w:cs="宋体"/>
          <w:b/>
          <w:color w:val="auto"/>
          <w:sz w:val="24"/>
          <w:highlight w:val="none"/>
        </w:rPr>
      </w:pPr>
    </w:p>
    <w:p w14:paraId="79BBA15A">
      <w:pPr>
        <w:pStyle w:val="24"/>
        <w:ind w:firstLine="466"/>
        <w:rPr>
          <w:rFonts w:hAnsi="宋体" w:cs="宋体"/>
          <w:b/>
          <w:color w:val="auto"/>
          <w:sz w:val="24"/>
          <w:highlight w:val="none"/>
        </w:rPr>
      </w:pPr>
    </w:p>
    <w:p w14:paraId="543574C0">
      <w:pPr>
        <w:pStyle w:val="24"/>
        <w:ind w:firstLine="466"/>
        <w:rPr>
          <w:rFonts w:hAnsi="宋体" w:cs="宋体"/>
          <w:b/>
          <w:color w:val="auto"/>
          <w:sz w:val="24"/>
          <w:highlight w:val="none"/>
        </w:rPr>
      </w:pPr>
    </w:p>
    <w:p w14:paraId="2EAF27AA">
      <w:pPr>
        <w:pStyle w:val="24"/>
        <w:ind w:firstLine="466"/>
        <w:rPr>
          <w:rFonts w:hAnsi="宋体" w:cs="宋体"/>
          <w:b/>
          <w:color w:val="auto"/>
          <w:sz w:val="24"/>
          <w:highlight w:val="none"/>
        </w:rPr>
      </w:pPr>
    </w:p>
    <w:p w14:paraId="1FF4741E">
      <w:pPr>
        <w:pStyle w:val="24"/>
        <w:ind w:firstLine="466"/>
        <w:rPr>
          <w:rFonts w:hAnsi="宋体" w:cs="宋体"/>
          <w:b/>
          <w:color w:val="auto"/>
          <w:sz w:val="24"/>
          <w:highlight w:val="none"/>
        </w:rPr>
      </w:pPr>
    </w:p>
    <w:p w14:paraId="124A53EC">
      <w:pPr>
        <w:pStyle w:val="24"/>
        <w:ind w:firstLine="466"/>
        <w:rPr>
          <w:rFonts w:hAnsi="宋体" w:cs="宋体"/>
          <w:b/>
          <w:color w:val="auto"/>
          <w:sz w:val="24"/>
          <w:highlight w:val="none"/>
        </w:rPr>
      </w:pPr>
    </w:p>
    <w:p w14:paraId="6AF8081F">
      <w:pPr>
        <w:pStyle w:val="24"/>
        <w:ind w:firstLine="466"/>
        <w:rPr>
          <w:rFonts w:hAnsi="宋体" w:cs="宋体"/>
          <w:b/>
          <w:color w:val="auto"/>
          <w:sz w:val="24"/>
          <w:highlight w:val="none"/>
        </w:rPr>
      </w:pPr>
    </w:p>
    <w:p w14:paraId="11CA3F5B">
      <w:pPr>
        <w:pStyle w:val="24"/>
        <w:ind w:firstLine="466"/>
        <w:rPr>
          <w:rFonts w:hAnsi="宋体" w:cs="宋体"/>
          <w:b/>
          <w:color w:val="auto"/>
          <w:sz w:val="24"/>
          <w:highlight w:val="none"/>
        </w:rPr>
      </w:pPr>
    </w:p>
    <w:p w14:paraId="0607295A">
      <w:pPr>
        <w:pStyle w:val="24"/>
        <w:ind w:firstLine="466"/>
        <w:rPr>
          <w:rFonts w:hAnsi="宋体" w:cs="宋体"/>
          <w:b/>
          <w:color w:val="auto"/>
          <w:sz w:val="24"/>
          <w:highlight w:val="none"/>
        </w:rPr>
      </w:pPr>
    </w:p>
    <w:p w14:paraId="48143FE9">
      <w:pPr>
        <w:pStyle w:val="24"/>
        <w:ind w:firstLine="466"/>
        <w:rPr>
          <w:rFonts w:hAnsi="宋体" w:cs="宋体"/>
          <w:b/>
          <w:color w:val="auto"/>
          <w:sz w:val="24"/>
          <w:highlight w:val="none"/>
        </w:rPr>
      </w:pPr>
    </w:p>
    <w:p w14:paraId="1DA6F38C">
      <w:pPr>
        <w:pStyle w:val="24"/>
        <w:ind w:firstLine="466"/>
        <w:rPr>
          <w:rFonts w:hAnsi="宋体" w:cs="宋体"/>
          <w:b/>
          <w:color w:val="auto"/>
          <w:sz w:val="24"/>
          <w:highlight w:val="none"/>
        </w:rPr>
      </w:pPr>
    </w:p>
    <w:p w14:paraId="0E4428DA">
      <w:pPr>
        <w:pStyle w:val="24"/>
        <w:ind w:firstLine="466"/>
        <w:rPr>
          <w:rFonts w:hAnsi="宋体" w:cs="宋体"/>
          <w:b/>
          <w:color w:val="auto"/>
          <w:sz w:val="24"/>
          <w:highlight w:val="none"/>
        </w:rPr>
      </w:pPr>
    </w:p>
    <w:p w14:paraId="5C65F22A">
      <w:pPr>
        <w:pStyle w:val="24"/>
        <w:ind w:firstLine="466"/>
        <w:rPr>
          <w:rFonts w:hAnsi="宋体" w:cs="宋体"/>
          <w:b/>
          <w:color w:val="auto"/>
          <w:sz w:val="24"/>
          <w:highlight w:val="none"/>
        </w:rPr>
      </w:pPr>
    </w:p>
    <w:p w14:paraId="5D2C08A8">
      <w:pPr>
        <w:pStyle w:val="24"/>
        <w:ind w:firstLine="466"/>
        <w:rPr>
          <w:rFonts w:hAnsi="宋体" w:cs="宋体"/>
          <w:b/>
          <w:color w:val="auto"/>
          <w:sz w:val="24"/>
          <w:highlight w:val="none"/>
        </w:rPr>
      </w:pPr>
    </w:p>
    <w:p w14:paraId="715B9FFD">
      <w:pPr>
        <w:pStyle w:val="24"/>
        <w:ind w:firstLine="466"/>
        <w:rPr>
          <w:rFonts w:hAnsi="宋体" w:cs="宋体"/>
          <w:b/>
          <w:color w:val="auto"/>
          <w:sz w:val="24"/>
          <w:highlight w:val="none"/>
        </w:rPr>
      </w:pPr>
    </w:p>
    <w:p w14:paraId="3144DD89">
      <w:pPr>
        <w:pStyle w:val="24"/>
        <w:ind w:firstLine="466"/>
        <w:rPr>
          <w:rFonts w:hAnsi="宋体" w:cs="宋体"/>
          <w:b/>
          <w:color w:val="auto"/>
          <w:sz w:val="24"/>
          <w:highlight w:val="none"/>
        </w:rPr>
      </w:pPr>
    </w:p>
    <w:p w14:paraId="4ECB8563">
      <w:pPr>
        <w:pStyle w:val="24"/>
        <w:ind w:firstLine="466"/>
        <w:rPr>
          <w:rFonts w:hAnsi="宋体" w:cs="宋体"/>
          <w:b/>
          <w:color w:val="auto"/>
          <w:sz w:val="24"/>
          <w:highlight w:val="none"/>
        </w:rPr>
      </w:pPr>
    </w:p>
    <w:p w14:paraId="265E929F">
      <w:pPr>
        <w:pStyle w:val="24"/>
        <w:ind w:firstLine="466"/>
        <w:rPr>
          <w:rFonts w:hAnsi="宋体" w:cs="宋体"/>
          <w:b/>
          <w:color w:val="auto"/>
          <w:sz w:val="24"/>
          <w:highlight w:val="none"/>
        </w:rPr>
      </w:pPr>
    </w:p>
    <w:p w14:paraId="0B1A3156">
      <w:pPr>
        <w:pStyle w:val="24"/>
        <w:ind w:firstLine="0" w:firstLineChars="0"/>
        <w:rPr>
          <w:rFonts w:hAnsi="宋体" w:cs="宋体"/>
          <w:b/>
          <w:color w:val="auto"/>
          <w:sz w:val="24"/>
          <w:highlight w:val="none"/>
        </w:rPr>
      </w:pPr>
    </w:p>
    <w:p w14:paraId="6CBCFE55">
      <w:pPr>
        <w:pStyle w:val="24"/>
        <w:ind w:firstLine="0" w:firstLineChars="0"/>
        <w:rPr>
          <w:rFonts w:hAnsi="宋体" w:cs="宋体"/>
          <w:b/>
          <w:color w:val="auto"/>
          <w:sz w:val="24"/>
          <w:highlight w:val="none"/>
        </w:rPr>
      </w:pPr>
    </w:p>
    <w:p w14:paraId="1E523EAC">
      <w:pPr>
        <w:snapToGrid w:val="0"/>
        <w:spacing w:after="120" w:afterLines="50" w:line="420" w:lineRule="exact"/>
        <w:jc w:val="left"/>
        <w:rPr>
          <w:rFonts w:ascii="宋体" w:hAnsi="宋体" w:cs="宋体"/>
          <w:b/>
          <w:color w:val="auto"/>
          <w:sz w:val="24"/>
          <w:highlight w:val="none"/>
        </w:rPr>
      </w:pPr>
      <w:r>
        <w:rPr>
          <w:rFonts w:hint="eastAsia" w:ascii="宋体" w:hAnsi="宋体" w:cs="宋体"/>
          <w:b/>
          <w:color w:val="auto"/>
          <w:sz w:val="24"/>
          <w:highlight w:val="none"/>
        </w:rPr>
        <w:t>6.报价文件目录</w:t>
      </w:r>
    </w:p>
    <w:p w14:paraId="2C1764FF">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（1）投标函（格式见附件）；</w:t>
      </w:r>
    </w:p>
    <w:p w14:paraId="037AB699">
      <w:pPr>
        <w:snapToGrid w:val="0"/>
        <w:spacing w:line="360" w:lineRule="auto"/>
        <w:ind w:firstLine="480" w:firstLineChars="200"/>
        <w:jc w:val="left"/>
        <w:rPr>
          <w:rFonts w:hint="default" w:eastAsia="宋体"/>
          <w:lang w:val="en-US" w:eastAsia="zh-CN"/>
        </w:rPr>
      </w:pPr>
      <w:r>
        <w:rPr>
          <w:rFonts w:hint="eastAsia" w:ascii="宋体" w:hAnsi="宋体" w:cs="宋体"/>
          <w:color w:val="auto"/>
          <w:sz w:val="24"/>
          <w:highlight w:val="none"/>
        </w:rPr>
        <w:t>（2）开标一览表（格式见附件）；</w:t>
      </w:r>
    </w:p>
    <w:p w14:paraId="48BF50DE">
      <w:pPr>
        <w:pStyle w:val="14"/>
        <w:snapToGrid w:val="0"/>
        <w:spacing w:line="360" w:lineRule="auto"/>
        <w:ind w:left="0" w:leftChars="0"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（3）中小企业声明函（格式见附件）</w:t>
      </w:r>
    </w:p>
    <w:p w14:paraId="6D049533">
      <w:pPr>
        <w:pStyle w:val="14"/>
        <w:snapToGrid w:val="0"/>
        <w:spacing w:line="360" w:lineRule="auto"/>
        <w:ind w:left="0" w:leftChars="0" w:firstLine="480" w:firstLineChars="200"/>
        <w:rPr>
          <w:rFonts w:ascii="宋体" w:hAnsi="宋体" w:cs="宋体"/>
          <w:b/>
          <w:color w:val="auto"/>
          <w:sz w:val="36"/>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b w:val="0"/>
          <w:bCs/>
          <w:color w:val="auto"/>
          <w:sz w:val="24"/>
          <w:szCs w:val="24"/>
          <w:highlight w:val="none"/>
        </w:rPr>
        <w:t>残疾人福利性单位声明函</w:t>
      </w:r>
      <w:r>
        <w:rPr>
          <w:rFonts w:hint="eastAsia" w:ascii="宋体" w:hAnsi="宋体" w:eastAsia="宋体" w:cs="宋体"/>
          <w:color w:val="auto"/>
          <w:kern w:val="2"/>
          <w:sz w:val="24"/>
          <w:szCs w:val="24"/>
          <w:highlight w:val="none"/>
          <w:lang w:val="en-US" w:eastAsia="zh-CN" w:bidi="ar-SA"/>
        </w:rPr>
        <w:t>（格式见附件）</w:t>
      </w:r>
    </w:p>
    <w:p w14:paraId="430ABD26">
      <w:pPr>
        <w:pStyle w:val="14"/>
        <w:snapToGrid w:val="0"/>
        <w:spacing w:line="360" w:lineRule="auto"/>
        <w:ind w:left="0" w:leftChars="0" w:firstLine="480" w:firstLineChars="200"/>
        <w:rPr>
          <w:rFonts w:hint="default" w:ascii="宋体" w:hAnsi="宋体" w:cs="宋体"/>
          <w:b/>
          <w:color w:val="auto"/>
          <w:sz w:val="24"/>
          <w:highlight w:val="none"/>
          <w:lang w:val="en-US"/>
        </w:rPr>
      </w:pPr>
      <w:r>
        <w:rPr>
          <w:rFonts w:hint="eastAsia" w:ascii="宋体" w:hAnsi="宋体" w:eastAsia="宋体" w:cs="宋体"/>
          <w:color w:val="auto"/>
          <w:kern w:val="2"/>
          <w:sz w:val="24"/>
          <w:szCs w:val="24"/>
          <w:highlight w:val="none"/>
          <w:lang w:val="en-US" w:eastAsia="zh-CN" w:bidi="ar-SA"/>
        </w:rPr>
        <w:t>（5）监狱企业声明函【非监狱企业不用提供】（格式见附件）</w:t>
      </w:r>
    </w:p>
    <w:p w14:paraId="1E0B5407">
      <w:pPr>
        <w:pStyle w:val="14"/>
        <w:snapToGrid w:val="0"/>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（6）东阳市采购项目验收方案（格式见附件）</w:t>
      </w:r>
    </w:p>
    <w:p w14:paraId="52377253">
      <w:pPr>
        <w:pStyle w:val="14"/>
        <w:snapToGrid w:val="0"/>
        <w:spacing w:line="360" w:lineRule="auto"/>
        <w:ind w:left="0" w:leftChars="0" w:firstLine="480" w:firstLineChars="200"/>
        <w:rPr>
          <w:rFonts w:ascii="宋体" w:hAnsi="宋体" w:cs="宋体"/>
          <w:b/>
          <w:color w:val="auto"/>
          <w:sz w:val="24"/>
          <w:highlight w:val="none"/>
        </w:rPr>
      </w:pPr>
      <w:r>
        <w:rPr>
          <w:rFonts w:hint="eastAsia" w:ascii="宋体" w:hAnsi="宋体" w:eastAsia="宋体" w:cs="宋体"/>
          <w:color w:val="auto"/>
          <w:kern w:val="2"/>
          <w:sz w:val="24"/>
          <w:szCs w:val="24"/>
          <w:highlight w:val="none"/>
          <w:lang w:val="en-US" w:eastAsia="zh-CN" w:bidi="ar-SA"/>
        </w:rPr>
        <w:t>（7）政府采购活动现场确认声明书（格式见附件）</w:t>
      </w:r>
    </w:p>
    <w:p w14:paraId="2E28FF50">
      <w:pPr>
        <w:pStyle w:val="14"/>
        <w:snapToGrid w:val="0"/>
        <w:spacing w:line="360" w:lineRule="auto"/>
        <w:ind w:left="0" w:leftChars="0" w:firstLine="480" w:firstLineChars="200"/>
        <w:rPr>
          <w:rFonts w:ascii="宋体" w:hAnsi="宋体" w:cs="宋体"/>
          <w:b/>
          <w:color w:val="auto"/>
          <w:sz w:val="24"/>
          <w:highlight w:val="none"/>
        </w:rPr>
      </w:pPr>
      <w:r>
        <w:rPr>
          <w:rFonts w:hint="eastAsia" w:ascii="宋体" w:hAnsi="宋体" w:eastAsia="宋体" w:cs="宋体"/>
          <w:color w:val="auto"/>
          <w:kern w:val="2"/>
          <w:sz w:val="24"/>
          <w:szCs w:val="24"/>
          <w:highlight w:val="none"/>
          <w:lang w:val="en-US" w:eastAsia="zh-CN" w:bidi="ar-SA"/>
        </w:rPr>
        <w:t>（8）东阳市政府采购代理机构社会评价表（格式见附件）</w:t>
      </w:r>
    </w:p>
    <w:p w14:paraId="35A473DC">
      <w:pPr>
        <w:pStyle w:val="14"/>
        <w:snapToGrid w:val="0"/>
        <w:spacing w:line="360" w:lineRule="auto"/>
        <w:ind w:left="0" w:leftChars="0" w:firstLine="480" w:firstLineChars="200"/>
        <w:rPr>
          <w:rFonts w:ascii="宋体" w:hAnsi="宋体" w:cs="宋体"/>
          <w:b/>
          <w:color w:val="auto"/>
          <w:sz w:val="24"/>
          <w:highlight w:val="none"/>
        </w:rPr>
      </w:pPr>
      <w:r>
        <w:rPr>
          <w:rFonts w:hint="eastAsia" w:ascii="宋体" w:hAnsi="宋体" w:eastAsia="宋体" w:cs="宋体"/>
          <w:color w:val="auto"/>
          <w:kern w:val="2"/>
          <w:sz w:val="24"/>
          <w:szCs w:val="24"/>
          <w:highlight w:val="none"/>
          <w:lang w:val="en-US" w:eastAsia="zh-CN" w:bidi="ar-SA"/>
        </w:rPr>
        <w:t>（9）政府采购支持中小企业信用融资相关事项通知</w:t>
      </w:r>
    </w:p>
    <w:p w14:paraId="1203A7DA">
      <w:pPr>
        <w:pStyle w:val="14"/>
        <w:snapToGrid w:val="0"/>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（10）质疑函房本</w:t>
      </w:r>
    </w:p>
    <w:p w14:paraId="60A4545A">
      <w:pPr>
        <w:pStyle w:val="14"/>
        <w:snapToGrid w:val="0"/>
        <w:spacing w:line="360" w:lineRule="auto"/>
        <w:ind w:left="0" w:leftChars="0" w:firstLine="480" w:firstLineChars="200"/>
      </w:pPr>
      <w:r>
        <w:rPr>
          <w:rFonts w:hint="eastAsia" w:ascii="宋体" w:hAnsi="宋体" w:eastAsia="宋体" w:cs="宋体"/>
          <w:color w:val="auto"/>
          <w:kern w:val="2"/>
          <w:sz w:val="24"/>
          <w:szCs w:val="24"/>
          <w:highlight w:val="none"/>
          <w:lang w:val="en-US" w:eastAsia="zh-CN" w:bidi="ar-SA"/>
        </w:rPr>
        <w:t>（11）投诉书范本</w:t>
      </w:r>
    </w:p>
    <w:p w14:paraId="3EFBA696">
      <w:pPr>
        <w:snapToGrid w:val="0"/>
        <w:spacing w:before="50" w:after="120" w:afterLines="50"/>
        <w:ind w:firstLine="480" w:firstLineChars="200"/>
        <w:jc w:val="left"/>
        <w:rPr>
          <w:rFonts w:ascii="宋体" w:hAnsi="宋体" w:cs="宋体"/>
          <w:b/>
          <w:color w:val="auto"/>
          <w:sz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rPr>
        <w:t>投标人针对报价需要说明的其他文件和说明（不允许含报价）</w:t>
      </w:r>
    </w:p>
    <w:p w14:paraId="42D46DA2">
      <w:pPr>
        <w:snapToGrid w:val="0"/>
        <w:spacing w:before="50" w:after="120" w:afterLines="50"/>
        <w:jc w:val="left"/>
        <w:rPr>
          <w:rFonts w:ascii="宋体" w:hAnsi="宋体" w:cs="宋体"/>
          <w:b/>
          <w:color w:val="auto"/>
          <w:sz w:val="24"/>
          <w:highlight w:val="none"/>
        </w:rPr>
      </w:pPr>
    </w:p>
    <w:p w14:paraId="56677465">
      <w:pPr>
        <w:snapToGrid w:val="0"/>
        <w:spacing w:before="50" w:after="120" w:afterLines="50"/>
        <w:jc w:val="left"/>
        <w:rPr>
          <w:rFonts w:ascii="宋体" w:hAnsi="宋体" w:cs="宋体"/>
          <w:b/>
          <w:color w:val="auto"/>
          <w:sz w:val="24"/>
          <w:highlight w:val="none"/>
        </w:rPr>
      </w:pPr>
    </w:p>
    <w:p w14:paraId="0C23F1E4">
      <w:pPr>
        <w:snapToGrid w:val="0"/>
        <w:spacing w:before="50" w:after="120" w:afterLines="50"/>
        <w:jc w:val="left"/>
        <w:rPr>
          <w:rFonts w:ascii="宋体" w:hAnsi="宋体" w:cs="宋体"/>
          <w:b/>
          <w:color w:val="auto"/>
          <w:sz w:val="24"/>
          <w:highlight w:val="none"/>
        </w:rPr>
      </w:pPr>
    </w:p>
    <w:p w14:paraId="6288C0A5">
      <w:pPr>
        <w:snapToGrid w:val="0"/>
        <w:spacing w:before="50" w:after="120" w:afterLines="50"/>
        <w:jc w:val="left"/>
        <w:rPr>
          <w:rFonts w:ascii="宋体" w:hAnsi="宋体" w:cs="宋体"/>
          <w:b/>
          <w:color w:val="auto"/>
          <w:sz w:val="24"/>
          <w:highlight w:val="none"/>
        </w:rPr>
      </w:pPr>
    </w:p>
    <w:p w14:paraId="4E248778">
      <w:pPr>
        <w:snapToGrid w:val="0"/>
        <w:spacing w:before="50" w:after="120" w:afterLines="50"/>
        <w:jc w:val="left"/>
        <w:rPr>
          <w:rFonts w:ascii="宋体" w:hAnsi="宋体" w:cs="宋体"/>
          <w:b/>
          <w:color w:val="auto"/>
          <w:sz w:val="24"/>
          <w:highlight w:val="none"/>
        </w:rPr>
      </w:pPr>
    </w:p>
    <w:p w14:paraId="35CF0346">
      <w:pPr>
        <w:snapToGrid w:val="0"/>
        <w:spacing w:before="50" w:after="120" w:afterLines="50"/>
        <w:jc w:val="left"/>
        <w:rPr>
          <w:rFonts w:ascii="宋体" w:hAnsi="宋体" w:cs="宋体"/>
          <w:b/>
          <w:color w:val="auto"/>
          <w:sz w:val="24"/>
          <w:highlight w:val="none"/>
        </w:rPr>
      </w:pPr>
    </w:p>
    <w:p w14:paraId="0CA7F743">
      <w:pPr>
        <w:snapToGrid w:val="0"/>
        <w:spacing w:before="50" w:after="120" w:afterLines="50"/>
        <w:jc w:val="left"/>
        <w:rPr>
          <w:rFonts w:ascii="宋体" w:hAnsi="宋体" w:cs="宋体"/>
          <w:b/>
          <w:color w:val="auto"/>
          <w:sz w:val="24"/>
          <w:highlight w:val="none"/>
        </w:rPr>
      </w:pPr>
    </w:p>
    <w:p w14:paraId="0DD7D2CC">
      <w:pPr>
        <w:snapToGrid w:val="0"/>
        <w:spacing w:before="50" w:after="120" w:afterLines="50"/>
        <w:jc w:val="left"/>
        <w:rPr>
          <w:rFonts w:ascii="宋体" w:hAnsi="宋体" w:cs="宋体"/>
          <w:b/>
          <w:color w:val="auto"/>
          <w:sz w:val="24"/>
          <w:highlight w:val="none"/>
        </w:rPr>
      </w:pPr>
    </w:p>
    <w:p w14:paraId="5B5A16E2">
      <w:pPr>
        <w:snapToGrid w:val="0"/>
        <w:spacing w:before="50" w:after="120" w:afterLines="50"/>
        <w:jc w:val="left"/>
        <w:rPr>
          <w:rFonts w:ascii="宋体" w:hAnsi="宋体" w:cs="宋体"/>
          <w:b/>
          <w:color w:val="auto"/>
          <w:sz w:val="24"/>
          <w:highlight w:val="none"/>
        </w:rPr>
      </w:pPr>
    </w:p>
    <w:p w14:paraId="5E27FB4C">
      <w:pPr>
        <w:snapToGrid w:val="0"/>
        <w:spacing w:before="50" w:after="120" w:afterLines="50"/>
        <w:jc w:val="left"/>
        <w:rPr>
          <w:rFonts w:ascii="宋体" w:hAnsi="宋体" w:cs="宋体"/>
          <w:b/>
          <w:color w:val="auto"/>
          <w:sz w:val="24"/>
          <w:highlight w:val="none"/>
        </w:rPr>
      </w:pPr>
    </w:p>
    <w:p w14:paraId="3B184B23">
      <w:pPr>
        <w:snapToGrid w:val="0"/>
        <w:spacing w:before="50" w:after="120" w:afterLines="50"/>
        <w:jc w:val="left"/>
        <w:rPr>
          <w:rFonts w:ascii="宋体" w:hAnsi="宋体" w:cs="宋体"/>
          <w:b/>
          <w:color w:val="auto"/>
          <w:sz w:val="24"/>
          <w:highlight w:val="none"/>
        </w:rPr>
      </w:pPr>
    </w:p>
    <w:p w14:paraId="4EE25785">
      <w:pPr>
        <w:pStyle w:val="32"/>
        <w:ind w:firstLine="466"/>
        <w:rPr>
          <w:rFonts w:hAnsi="宋体" w:cs="宋体"/>
          <w:b/>
          <w:color w:val="auto"/>
          <w:sz w:val="24"/>
          <w:highlight w:val="none"/>
        </w:rPr>
      </w:pPr>
    </w:p>
    <w:p w14:paraId="7385D4A8">
      <w:pPr>
        <w:pStyle w:val="32"/>
        <w:ind w:firstLine="466"/>
        <w:rPr>
          <w:rFonts w:hAnsi="宋体" w:cs="宋体"/>
          <w:b/>
          <w:color w:val="auto"/>
          <w:sz w:val="24"/>
          <w:highlight w:val="none"/>
        </w:rPr>
      </w:pPr>
    </w:p>
    <w:p w14:paraId="5CB4F3AE">
      <w:pPr>
        <w:pStyle w:val="32"/>
        <w:ind w:firstLine="466"/>
        <w:rPr>
          <w:rFonts w:hAnsi="宋体" w:cs="宋体"/>
          <w:b/>
          <w:color w:val="auto"/>
          <w:sz w:val="24"/>
          <w:highlight w:val="none"/>
        </w:rPr>
      </w:pPr>
    </w:p>
    <w:p w14:paraId="0D96C949">
      <w:pPr>
        <w:pStyle w:val="32"/>
        <w:ind w:firstLine="466"/>
        <w:rPr>
          <w:rFonts w:hAnsi="宋体" w:cs="宋体"/>
          <w:b/>
          <w:color w:val="auto"/>
          <w:sz w:val="24"/>
          <w:highlight w:val="none"/>
        </w:rPr>
      </w:pPr>
    </w:p>
    <w:p w14:paraId="1EE8B0BA">
      <w:pPr>
        <w:pStyle w:val="32"/>
        <w:ind w:firstLine="466"/>
        <w:rPr>
          <w:rFonts w:hAnsi="宋体" w:cs="宋体"/>
          <w:b/>
          <w:color w:val="auto"/>
          <w:sz w:val="24"/>
          <w:highlight w:val="none"/>
        </w:rPr>
      </w:pPr>
    </w:p>
    <w:p w14:paraId="168FB156">
      <w:pPr>
        <w:pStyle w:val="32"/>
        <w:ind w:firstLine="466"/>
        <w:rPr>
          <w:rFonts w:hAnsi="宋体" w:cs="宋体"/>
          <w:b/>
          <w:color w:val="auto"/>
          <w:sz w:val="24"/>
          <w:highlight w:val="none"/>
        </w:rPr>
      </w:pPr>
    </w:p>
    <w:p w14:paraId="06237938">
      <w:pPr>
        <w:snapToGrid w:val="0"/>
        <w:spacing w:before="50" w:after="120" w:afterLines="50"/>
        <w:jc w:val="left"/>
        <w:rPr>
          <w:rFonts w:ascii="宋体" w:hAnsi="宋体" w:cs="宋体"/>
          <w:b/>
          <w:color w:val="auto"/>
          <w:sz w:val="24"/>
          <w:highlight w:val="none"/>
        </w:rPr>
      </w:pPr>
    </w:p>
    <w:p w14:paraId="3FA55010">
      <w:pPr>
        <w:snapToGrid w:val="0"/>
        <w:spacing w:before="50" w:after="120" w:afterLines="50"/>
        <w:jc w:val="left"/>
        <w:rPr>
          <w:rFonts w:ascii="宋体" w:hAnsi="宋体" w:cs="宋体"/>
          <w:b/>
          <w:color w:val="auto"/>
          <w:sz w:val="24"/>
          <w:highlight w:val="none"/>
        </w:rPr>
      </w:pPr>
    </w:p>
    <w:p w14:paraId="74EF3032">
      <w:pPr>
        <w:snapToGrid w:val="0"/>
        <w:spacing w:before="50" w:after="120" w:afterLines="50"/>
        <w:jc w:val="left"/>
        <w:rPr>
          <w:rFonts w:ascii="宋体" w:hAnsi="宋体" w:cs="宋体"/>
          <w:b/>
          <w:color w:val="auto"/>
          <w:sz w:val="24"/>
          <w:highlight w:val="none"/>
        </w:rPr>
      </w:pPr>
    </w:p>
    <w:p w14:paraId="61BE624C">
      <w:pPr>
        <w:snapToGrid w:val="0"/>
        <w:spacing w:before="50" w:after="120" w:afterLines="50"/>
        <w:jc w:val="left"/>
        <w:rPr>
          <w:rFonts w:ascii="宋体" w:hAnsi="宋体" w:cs="宋体"/>
          <w:b/>
          <w:color w:val="auto"/>
          <w:sz w:val="24"/>
          <w:highlight w:val="none"/>
        </w:rPr>
      </w:pPr>
    </w:p>
    <w:p w14:paraId="4485CE3F">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投标函格式：</w:t>
      </w:r>
    </w:p>
    <w:p w14:paraId="04AED8C9">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24"/>
          <w:highlight w:val="none"/>
        </w:rPr>
        <w:t>投 标 函</w:t>
      </w:r>
    </w:p>
    <w:p w14:paraId="322A0435">
      <w:pPr>
        <w:snapToGrid w:val="0"/>
        <w:spacing w:line="360" w:lineRule="auto"/>
        <w:rPr>
          <w:rFonts w:hint="eastAsia" w:ascii="宋体" w:hAnsi="宋体" w:eastAsia="宋体" w:cs="宋体"/>
          <w:color w:val="auto"/>
          <w:sz w:val="24"/>
          <w:szCs w:val="20"/>
          <w:highlight w:val="none"/>
          <w:lang w:eastAsia="zh-CN"/>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lang w:eastAsia="zh-CN"/>
        </w:rPr>
        <w:t>杭州建设工程造价咨询有限公司</w:t>
      </w:r>
    </w:p>
    <w:p w14:paraId="78696160">
      <w:pPr>
        <w:snapToGrid w:val="0"/>
        <w:spacing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lang w:val="en-US" w:eastAsia="zh-CN"/>
        </w:rPr>
        <w:t>东阳市</w:t>
      </w:r>
      <w:r>
        <w:rPr>
          <w:rFonts w:hint="eastAsia" w:ascii="宋体" w:hAnsi="宋体" w:cs="宋体"/>
          <w:color w:val="auto"/>
          <w:sz w:val="24"/>
          <w:highlight w:val="none"/>
          <w:u w:val="single"/>
          <w:lang w:eastAsia="zh-CN"/>
        </w:rPr>
        <w:t>2025年度新建房屋白蚁防治服务</w:t>
      </w:r>
      <w:r>
        <w:rPr>
          <w:rFonts w:hint="eastAsia" w:ascii="宋体" w:hAnsi="宋体" w:cs="宋体"/>
          <w:color w:val="auto"/>
          <w:sz w:val="24"/>
          <w:highlight w:val="none"/>
          <w:u w:val="single"/>
          <w:lang w:val="en-US" w:eastAsia="zh-CN"/>
        </w:rPr>
        <w:t>1-3标段</w:t>
      </w:r>
      <w:r>
        <w:rPr>
          <w:rFonts w:hint="eastAsia" w:ascii="宋体" w:hAnsi="宋体" w:cs="宋体"/>
          <w:color w:val="auto"/>
          <w:sz w:val="24"/>
          <w:highlight w:val="none"/>
          <w:u w:val="single"/>
          <w:lang w:eastAsia="zh-CN"/>
        </w:rPr>
        <w:t>采购项目</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），签字代表______（全名）经正式授权并代表投标人（投标人名称）提交资格审查文件、资信商务技术文件、报价文件。</w:t>
      </w:r>
    </w:p>
    <w:p w14:paraId="1CDD50D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171FBB8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7636E2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6B1CC62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______天。</w:t>
      </w:r>
    </w:p>
    <w:p w14:paraId="442851E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6C44E46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32C1657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3FD5480C">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地址：邮编：__________   电话：____________</w:t>
      </w:r>
    </w:p>
    <w:p w14:paraId="1BAA11A1">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传真：______________投标人代表姓名 ___________  职务：____________</w:t>
      </w:r>
    </w:p>
    <w:p w14:paraId="00712F66">
      <w:pPr>
        <w:snapToGrid w:val="0"/>
        <w:spacing w:line="360" w:lineRule="auto"/>
        <w:jc w:val="left"/>
        <w:rPr>
          <w:rFonts w:hint="eastAsia" w:ascii="宋体" w:hAnsi="宋体"/>
          <w:color w:val="auto"/>
          <w:spacing w:val="20"/>
          <w:sz w:val="24"/>
          <w:highlight w:val="none"/>
        </w:rPr>
      </w:pPr>
    </w:p>
    <w:p w14:paraId="69C663BF">
      <w:pPr>
        <w:snapToGrid w:val="0"/>
        <w:spacing w:line="360" w:lineRule="auto"/>
        <w:jc w:val="left"/>
        <w:rPr>
          <w:rFonts w:hint="eastAsia" w:ascii="宋体" w:hAnsi="宋体"/>
          <w:color w:val="auto"/>
          <w:spacing w:val="20"/>
          <w:sz w:val="24"/>
          <w:highlight w:val="none"/>
        </w:rPr>
      </w:pPr>
    </w:p>
    <w:p w14:paraId="0971719D">
      <w:pPr>
        <w:snapToGrid w:val="0"/>
        <w:spacing w:line="360" w:lineRule="auto"/>
        <w:jc w:val="left"/>
        <w:rPr>
          <w:rFonts w:hint="eastAsia" w:ascii="宋体" w:hAnsi="宋体"/>
          <w:color w:val="auto"/>
          <w:spacing w:val="20"/>
          <w:sz w:val="24"/>
          <w:highlight w:val="none"/>
        </w:rPr>
      </w:pPr>
    </w:p>
    <w:p w14:paraId="24CFF181">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0D7790D1">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3F80814A">
      <w:pPr>
        <w:snapToGrid w:val="0"/>
        <w:spacing w:line="360" w:lineRule="auto"/>
        <w:rPr>
          <w:rFonts w:ascii="宋体" w:hAnsi="宋体" w:cs="宋体"/>
          <w:color w:val="auto"/>
          <w:sz w:val="30"/>
          <w:szCs w:val="20"/>
          <w:highlight w:val="none"/>
        </w:rPr>
      </w:pPr>
    </w:p>
    <w:p w14:paraId="1DE09C12">
      <w:pPr>
        <w:pStyle w:val="9"/>
        <w:rPr>
          <w:rFonts w:ascii="宋体" w:hAnsi="宋体" w:cs="宋体"/>
          <w:color w:val="auto"/>
          <w:sz w:val="30"/>
          <w:szCs w:val="20"/>
          <w:highlight w:val="none"/>
        </w:rPr>
      </w:pPr>
    </w:p>
    <w:p w14:paraId="16A9E0DF">
      <w:pPr>
        <w:rPr>
          <w:rFonts w:ascii="宋体" w:hAnsi="宋体" w:cs="宋体"/>
          <w:color w:val="auto"/>
          <w:sz w:val="30"/>
          <w:szCs w:val="20"/>
          <w:highlight w:val="none"/>
        </w:rPr>
      </w:pPr>
    </w:p>
    <w:p w14:paraId="2705BAB2">
      <w:pPr>
        <w:pStyle w:val="9"/>
        <w:rPr>
          <w:rFonts w:ascii="宋体" w:hAnsi="宋体" w:cs="宋体"/>
          <w:color w:val="auto"/>
          <w:sz w:val="30"/>
          <w:szCs w:val="20"/>
          <w:highlight w:val="none"/>
        </w:rPr>
      </w:pPr>
    </w:p>
    <w:p w14:paraId="264DAB67">
      <w:pPr>
        <w:rPr>
          <w:rFonts w:ascii="宋体" w:hAnsi="宋体" w:cs="宋体"/>
          <w:color w:val="auto"/>
          <w:sz w:val="30"/>
          <w:szCs w:val="20"/>
          <w:highlight w:val="none"/>
        </w:rPr>
      </w:pPr>
    </w:p>
    <w:p w14:paraId="3E876AD0">
      <w:pPr>
        <w:pStyle w:val="9"/>
      </w:pPr>
    </w:p>
    <w:p w14:paraId="2724574F">
      <w:pPr>
        <w:snapToGrid w:val="0"/>
        <w:spacing w:before="50" w:after="120" w:afterLines="50"/>
        <w:jc w:val="left"/>
        <w:rPr>
          <w:rFonts w:ascii="宋体" w:hAnsi="宋体" w:cs="宋体"/>
          <w:b/>
          <w:color w:val="auto"/>
          <w:sz w:val="30"/>
          <w:highlight w:val="none"/>
        </w:rPr>
      </w:pPr>
      <w:r>
        <w:rPr>
          <w:rFonts w:hint="eastAsia" w:ascii="宋体" w:hAnsi="宋体" w:cs="宋体"/>
          <w:b/>
          <w:color w:val="auto"/>
          <w:sz w:val="24"/>
          <w:highlight w:val="none"/>
        </w:rPr>
        <w:t>开标一览表</w:t>
      </w:r>
    </w:p>
    <w:p w14:paraId="3B4D41BF">
      <w:pPr>
        <w:snapToGrid w:val="0"/>
        <w:spacing w:before="50" w:after="50"/>
        <w:jc w:val="center"/>
        <w:rPr>
          <w:rFonts w:hint="eastAsia" w:ascii="宋体" w:hAnsi="宋体" w:eastAsia="宋体" w:cs="宋体"/>
          <w:b/>
          <w:color w:val="auto"/>
          <w:sz w:val="30"/>
          <w:szCs w:val="20"/>
          <w:highlight w:val="none"/>
          <w:lang w:eastAsia="zh-CN"/>
        </w:rPr>
      </w:pPr>
      <w:r>
        <w:rPr>
          <w:rFonts w:hint="eastAsia" w:ascii="宋体" w:hAnsi="宋体" w:cs="宋体"/>
          <w:b/>
          <w:color w:val="auto"/>
          <w:sz w:val="30"/>
          <w:highlight w:val="none"/>
        </w:rPr>
        <w:t>开标一览表</w:t>
      </w:r>
      <w:r>
        <w:rPr>
          <w:rFonts w:hint="eastAsia" w:ascii="宋体" w:hAnsi="宋体" w:cs="宋体"/>
          <w:b/>
          <w:color w:val="auto"/>
          <w:sz w:val="30"/>
          <w:highlight w:val="none"/>
          <w:lang w:eastAsia="zh-CN"/>
        </w:rPr>
        <w:t>（</w:t>
      </w:r>
      <w:r>
        <w:rPr>
          <w:rFonts w:hint="eastAsia" w:ascii="宋体" w:hAnsi="宋体" w:cs="宋体"/>
          <w:b/>
          <w:color w:val="auto"/>
          <w:sz w:val="30"/>
          <w:highlight w:val="none"/>
          <w:lang w:val="en-US" w:eastAsia="zh-CN"/>
        </w:rPr>
        <w:t>1标段</w:t>
      </w:r>
      <w:r>
        <w:rPr>
          <w:rFonts w:hint="eastAsia" w:ascii="宋体" w:hAnsi="宋体" w:cs="宋体"/>
          <w:b/>
          <w:color w:val="auto"/>
          <w:sz w:val="30"/>
          <w:highlight w:val="none"/>
          <w:lang w:eastAsia="zh-CN"/>
        </w:rPr>
        <w:t>）</w:t>
      </w:r>
    </w:p>
    <w:p w14:paraId="618DBD59">
      <w:pPr>
        <w:snapToGrid w:val="0"/>
        <w:spacing w:before="50" w:after="50" w:line="340" w:lineRule="exact"/>
        <w:jc w:val="left"/>
        <w:rPr>
          <w:rFonts w:hint="eastAsia" w:ascii="宋体" w:hAnsi="宋体" w:cs="宋体"/>
          <w:color w:val="auto"/>
          <w:sz w:val="24"/>
          <w:highlight w:val="none"/>
        </w:rPr>
      </w:pPr>
      <w:r>
        <w:rPr>
          <w:rFonts w:hint="eastAsia" w:ascii="宋体" w:hAnsi="宋体" w:cs="宋体"/>
          <w:color w:val="auto"/>
          <w:sz w:val="24"/>
          <w:highlight w:val="none"/>
        </w:rPr>
        <w:t>招标项目名称：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招标编号：</w:t>
      </w:r>
    </w:p>
    <w:tbl>
      <w:tblPr>
        <w:tblStyle w:val="25"/>
        <w:tblW w:w="947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137"/>
        <w:gridCol w:w="2185"/>
        <w:gridCol w:w="3107"/>
      </w:tblGrid>
      <w:tr w14:paraId="03B4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43" w:type="dxa"/>
            <w:vAlign w:val="center"/>
          </w:tcPr>
          <w:p w14:paraId="3BE59DC8">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序号</w:t>
            </w:r>
          </w:p>
        </w:tc>
        <w:tc>
          <w:tcPr>
            <w:tcW w:w="3137" w:type="dxa"/>
            <w:vAlign w:val="center"/>
          </w:tcPr>
          <w:p w14:paraId="6F5ED24B">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采购内容</w:t>
            </w:r>
          </w:p>
        </w:tc>
        <w:tc>
          <w:tcPr>
            <w:tcW w:w="2185" w:type="dxa"/>
            <w:vAlign w:val="center"/>
          </w:tcPr>
          <w:p w14:paraId="0E92FFB3">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基准价（单价）</w:t>
            </w:r>
          </w:p>
        </w:tc>
        <w:tc>
          <w:tcPr>
            <w:tcW w:w="3107" w:type="dxa"/>
            <w:vAlign w:val="center"/>
          </w:tcPr>
          <w:p w14:paraId="0647A3F2">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投标报价（</w:t>
            </w:r>
            <w:r>
              <w:rPr>
                <w:rFonts w:hint="eastAsia" w:ascii="宋体" w:hAnsi="宋体" w:cs="宋体"/>
                <w:bCs/>
                <w:color w:val="auto"/>
                <w:kern w:val="0"/>
                <w:sz w:val="24"/>
                <w:highlight w:val="none"/>
                <w:lang w:val="en-US" w:eastAsia="zh-CN"/>
              </w:rPr>
              <w:t>折扣</w:t>
            </w:r>
            <w:r>
              <w:rPr>
                <w:rFonts w:hint="eastAsia" w:ascii="宋体" w:hAnsi="宋体" w:eastAsia="宋体" w:cs="宋体"/>
                <w:bCs/>
                <w:color w:val="auto"/>
                <w:kern w:val="0"/>
                <w:sz w:val="24"/>
                <w:highlight w:val="none"/>
                <w:lang w:eastAsia="zh-CN"/>
              </w:rPr>
              <w:t>）</w:t>
            </w:r>
          </w:p>
        </w:tc>
      </w:tr>
      <w:tr w14:paraId="5068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3" w:type="dxa"/>
            <w:vAlign w:val="center"/>
          </w:tcPr>
          <w:p w14:paraId="51077FC2">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137" w:type="dxa"/>
            <w:vAlign w:val="center"/>
          </w:tcPr>
          <w:p w14:paraId="23CA6872">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蚁情现场调查</w:t>
            </w:r>
          </w:p>
        </w:tc>
        <w:tc>
          <w:tcPr>
            <w:tcW w:w="2185" w:type="dxa"/>
            <w:vAlign w:val="center"/>
          </w:tcPr>
          <w:p w14:paraId="6BD23D72">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7.13元/100㎡</w:t>
            </w:r>
          </w:p>
        </w:tc>
        <w:tc>
          <w:tcPr>
            <w:tcW w:w="3107" w:type="dxa"/>
            <w:vMerge w:val="restart"/>
            <w:vAlign w:val="center"/>
          </w:tcPr>
          <w:p w14:paraId="0B789640">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51E0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43" w:type="dxa"/>
            <w:vAlign w:val="center"/>
          </w:tcPr>
          <w:p w14:paraId="2574EA27">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w:t>
            </w:r>
          </w:p>
        </w:tc>
        <w:tc>
          <w:tcPr>
            <w:tcW w:w="3137" w:type="dxa"/>
            <w:vAlign w:val="center"/>
          </w:tcPr>
          <w:p w14:paraId="59622195">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地下型监测装置安装</w:t>
            </w:r>
          </w:p>
        </w:tc>
        <w:tc>
          <w:tcPr>
            <w:tcW w:w="2185" w:type="dxa"/>
            <w:vAlign w:val="center"/>
          </w:tcPr>
          <w:p w14:paraId="33DEE386">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47.16元/套</w:t>
            </w:r>
          </w:p>
        </w:tc>
        <w:tc>
          <w:tcPr>
            <w:tcW w:w="3107" w:type="dxa"/>
            <w:vMerge w:val="continue"/>
            <w:vAlign w:val="center"/>
          </w:tcPr>
          <w:p w14:paraId="5DDB6061">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4705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6A49EB4E">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p>
        </w:tc>
        <w:tc>
          <w:tcPr>
            <w:tcW w:w="3137" w:type="dxa"/>
            <w:vAlign w:val="center"/>
          </w:tcPr>
          <w:p w14:paraId="1E9CCC44">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监测装置检查维护</w:t>
            </w:r>
          </w:p>
        </w:tc>
        <w:tc>
          <w:tcPr>
            <w:tcW w:w="2185" w:type="dxa"/>
            <w:vAlign w:val="center"/>
          </w:tcPr>
          <w:p w14:paraId="2AB18F7A">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13.42元/套*次</w:t>
            </w:r>
          </w:p>
        </w:tc>
        <w:tc>
          <w:tcPr>
            <w:tcW w:w="3107" w:type="dxa"/>
            <w:vMerge w:val="continue"/>
            <w:vAlign w:val="center"/>
          </w:tcPr>
          <w:p w14:paraId="1BF56412">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478E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02459A11">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3137" w:type="dxa"/>
            <w:vAlign w:val="center"/>
          </w:tcPr>
          <w:p w14:paraId="2F9A44DD">
            <w:pPr>
              <w:spacing w:line="440" w:lineRule="exact"/>
              <w:jc w:val="center"/>
              <w:rPr>
                <w:rFonts w:hint="eastAsia" w:ascii="Times New Roman" w:hAnsi="宋体" w:eastAsia="宋体" w:cs="宋体"/>
                <w:color w:val="auto"/>
                <w:spacing w:val="-4"/>
                <w:kern w:val="2"/>
                <w:sz w:val="24"/>
                <w:szCs w:val="24"/>
                <w:highlight w:val="none"/>
                <w:lang w:val="en-US" w:eastAsia="zh-CN" w:bidi="ar-SA"/>
              </w:rPr>
            </w:pPr>
            <w:r>
              <w:rPr>
                <w:rFonts w:hint="eastAsia" w:hAnsi="宋体" w:cs="宋体"/>
                <w:color w:val="auto"/>
                <w:spacing w:val="-4"/>
                <w:sz w:val="24"/>
                <w:szCs w:val="24"/>
                <w:highlight w:val="none"/>
                <w:lang w:val="en-US" w:eastAsia="zh-CN"/>
              </w:rPr>
              <w:t>药物屏障复查回访</w:t>
            </w:r>
          </w:p>
        </w:tc>
        <w:tc>
          <w:tcPr>
            <w:tcW w:w="2185" w:type="dxa"/>
            <w:vAlign w:val="center"/>
          </w:tcPr>
          <w:p w14:paraId="7E305D93">
            <w:pPr>
              <w:snapToGrid w:val="0"/>
              <w:spacing w:line="440" w:lineRule="exact"/>
              <w:jc w:val="center"/>
              <w:rPr>
                <w:rFonts w:hint="eastAsia" w:ascii="Times New Roman" w:hAnsi="宋体" w:eastAsia="宋体" w:cs="宋体"/>
                <w:spacing w:val="-4"/>
                <w:kern w:val="2"/>
                <w:sz w:val="24"/>
                <w:szCs w:val="24"/>
                <w:highlight w:val="none"/>
                <w:lang w:val="en-US" w:eastAsia="zh-CN" w:bidi="ar-SA"/>
              </w:rPr>
            </w:pPr>
            <w:r>
              <w:rPr>
                <w:rFonts w:hint="eastAsia" w:hAnsi="宋体" w:cs="宋体"/>
                <w:spacing w:val="-4"/>
                <w:sz w:val="24"/>
                <w:szCs w:val="24"/>
                <w:highlight w:val="none"/>
                <w:lang w:val="en-US" w:eastAsia="zh-CN"/>
              </w:rPr>
              <w:t>7.13元/100㎡</w:t>
            </w:r>
            <w:r>
              <w:rPr>
                <w:rFonts w:hint="eastAsia" w:hAnsi="宋体" w:cs="宋体"/>
                <w:spacing w:val="-4"/>
                <w:sz w:val="24"/>
                <w:szCs w:val="24"/>
                <w:highlight w:val="none"/>
              </w:rPr>
              <w:t>*次</w:t>
            </w:r>
          </w:p>
        </w:tc>
        <w:tc>
          <w:tcPr>
            <w:tcW w:w="3107" w:type="dxa"/>
            <w:vMerge w:val="continue"/>
            <w:vAlign w:val="center"/>
          </w:tcPr>
          <w:p w14:paraId="3EB98C4E">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081D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20C5A63C">
            <w:pPr>
              <w:widowControl/>
              <w:overflowPunct w:val="0"/>
              <w:autoSpaceDE w:val="0"/>
              <w:autoSpaceDN w:val="0"/>
              <w:adjustRightInd w:val="0"/>
              <w:spacing w:line="460" w:lineRule="exact"/>
              <w:jc w:val="center"/>
              <w:textAlignment w:val="baseline"/>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p>
        </w:tc>
        <w:tc>
          <w:tcPr>
            <w:tcW w:w="3137" w:type="dxa"/>
            <w:vAlign w:val="center"/>
          </w:tcPr>
          <w:p w14:paraId="7909A86F">
            <w:pPr>
              <w:spacing w:line="440" w:lineRule="exact"/>
              <w:jc w:val="center"/>
              <w:rPr>
                <w:rFonts w:hint="eastAsia" w:hAnsi="宋体" w:cs="宋体"/>
                <w:color w:val="auto"/>
                <w:spacing w:val="-4"/>
                <w:sz w:val="24"/>
                <w:szCs w:val="24"/>
                <w:highlight w:val="none"/>
                <w:lang w:val="en-US" w:eastAsia="zh-CN"/>
              </w:rPr>
            </w:pPr>
            <w:r>
              <w:rPr>
                <w:rFonts w:hint="eastAsia" w:hAnsi="宋体" w:cs="宋体"/>
                <w:color w:val="auto"/>
                <w:spacing w:val="-4"/>
                <w:sz w:val="24"/>
                <w:szCs w:val="24"/>
                <w:highlight w:val="none"/>
                <w:lang w:val="en-US" w:eastAsia="zh-CN"/>
              </w:rPr>
              <w:t>白蚁药杀法灭治</w:t>
            </w:r>
          </w:p>
        </w:tc>
        <w:tc>
          <w:tcPr>
            <w:tcW w:w="2185" w:type="dxa"/>
            <w:vAlign w:val="center"/>
          </w:tcPr>
          <w:p w14:paraId="5059B704">
            <w:pPr>
              <w:spacing w:line="440" w:lineRule="exact"/>
              <w:jc w:val="center"/>
              <w:rPr>
                <w:rFonts w:hint="eastAsia" w:hAnsi="宋体" w:cs="宋体"/>
                <w:spacing w:val="-4"/>
                <w:sz w:val="24"/>
                <w:szCs w:val="24"/>
                <w:highlight w:val="none"/>
                <w:lang w:val="en-US" w:eastAsia="zh-CN"/>
              </w:rPr>
            </w:pPr>
            <w:r>
              <w:rPr>
                <w:rFonts w:hint="eastAsia" w:hAnsi="宋体" w:cs="宋体"/>
                <w:color w:val="auto"/>
                <w:spacing w:val="-4"/>
                <w:sz w:val="24"/>
                <w:szCs w:val="24"/>
                <w:highlight w:val="none"/>
                <w:lang w:val="en-US" w:eastAsia="zh-CN"/>
              </w:rPr>
              <w:t>3.06元/㎡</w:t>
            </w:r>
          </w:p>
        </w:tc>
        <w:tc>
          <w:tcPr>
            <w:tcW w:w="3107" w:type="dxa"/>
            <w:vMerge w:val="continue"/>
            <w:vAlign w:val="center"/>
          </w:tcPr>
          <w:p w14:paraId="15CAA8CB">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6DB9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43" w:type="dxa"/>
            <w:vAlign w:val="center"/>
          </w:tcPr>
          <w:p w14:paraId="215E5D7B">
            <w:pPr>
              <w:snapToGrid w:val="0"/>
              <w:spacing w:before="50" w:after="50"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429" w:type="dxa"/>
            <w:gridSpan w:val="3"/>
            <w:vAlign w:val="center"/>
          </w:tcPr>
          <w:p w14:paraId="32D23E5E">
            <w:pPr>
              <w:snapToGrid w:val="0"/>
              <w:spacing w:before="50" w:after="50" w:line="340" w:lineRule="exact"/>
              <w:jc w:val="left"/>
              <w:rPr>
                <w:rFonts w:hint="eastAsia" w:ascii="宋体" w:hAnsi="宋体" w:cs="宋体"/>
                <w:bCs/>
                <w:color w:val="auto"/>
                <w:sz w:val="24"/>
                <w:highlight w:val="none"/>
              </w:rPr>
            </w:pPr>
            <w:r>
              <w:rPr>
                <w:rFonts w:hint="eastAsia" w:ascii="宋体" w:hAnsi="宋体" w:eastAsia="宋体" w:cs="宋体"/>
                <w:color w:val="auto"/>
                <w:sz w:val="24"/>
                <w:highlight w:val="none"/>
              </w:rPr>
              <w:t>投标报价大写（人民币）：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u w:val="single"/>
              </w:rPr>
              <w:t xml:space="preserve">          </w:t>
            </w:r>
          </w:p>
        </w:tc>
      </w:tr>
      <w:tr w14:paraId="2983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472" w:type="dxa"/>
            <w:gridSpan w:val="4"/>
            <w:vAlign w:val="center"/>
          </w:tcPr>
          <w:p w14:paraId="795441FF">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备注：</w:t>
            </w:r>
            <w:r>
              <w:rPr>
                <w:rFonts w:hint="eastAsia" w:ascii="宋体" w:hAnsi="宋体" w:eastAsia="宋体" w:cs="宋体"/>
                <w:b w:val="0"/>
                <w:bCs w:val="0"/>
                <w:color w:val="auto"/>
                <w:kern w:val="2"/>
                <w:sz w:val="24"/>
                <w:szCs w:val="24"/>
                <w:highlight w:val="none"/>
                <w:lang w:val="en-US" w:eastAsia="zh-CN" w:bidi="ar-SA"/>
              </w:rPr>
              <w:t>本次招标项目的报价内容为</w:t>
            </w:r>
            <w:r>
              <w:rPr>
                <w:rFonts w:hint="eastAsia" w:hAnsi="宋体" w:cs="宋体"/>
                <w:color w:val="auto"/>
                <w:sz w:val="24"/>
                <w:highlight w:val="none"/>
                <w:lang w:val="en-US" w:eastAsia="zh-CN"/>
              </w:rPr>
              <w:t>折扣</w:t>
            </w:r>
            <w:r>
              <w:rPr>
                <w:rFonts w:hint="eastAsia" w:ascii="宋体" w:hAnsi="宋体" w:eastAsia="宋体" w:cs="宋体"/>
                <w:b w:val="0"/>
                <w:bCs w:val="0"/>
                <w:color w:val="auto"/>
                <w:kern w:val="2"/>
                <w:sz w:val="24"/>
                <w:szCs w:val="24"/>
                <w:highlight w:val="none"/>
                <w:lang w:val="en-US" w:eastAsia="zh-CN" w:bidi="ar-SA"/>
              </w:rPr>
              <w:t>，即投标人在招标文件工作内容及收费标准（基准价）中规定的基准价基础上，结合自身企业经营情况填报的折扣幅度。折扣以百分比（%）进行表述，折扣百分比数值越小，则报价越</w:t>
            </w:r>
            <w:r>
              <w:rPr>
                <w:rFonts w:hint="eastAsia" w:hAnsi="宋体" w:cs="宋体"/>
                <w:b w:val="0"/>
                <w:bCs w:val="0"/>
                <w:color w:val="auto"/>
                <w:kern w:val="2"/>
                <w:sz w:val="24"/>
                <w:szCs w:val="24"/>
                <w:highlight w:val="none"/>
                <w:lang w:val="en-US" w:eastAsia="zh-CN" w:bidi="ar-SA"/>
              </w:rPr>
              <w:t>低</w:t>
            </w:r>
            <w:r>
              <w:rPr>
                <w:rFonts w:hint="eastAsia" w:ascii="宋体" w:hAnsi="宋体" w:eastAsia="宋体" w:cs="宋体"/>
                <w:b w:val="0"/>
                <w:bCs w:val="0"/>
                <w:color w:val="auto"/>
                <w:kern w:val="2"/>
                <w:sz w:val="24"/>
                <w:szCs w:val="24"/>
                <w:highlight w:val="none"/>
                <w:lang w:val="en-US" w:eastAsia="zh-CN" w:bidi="ar-SA"/>
              </w:rPr>
              <w:t>。</w:t>
            </w:r>
          </w:p>
          <w:p w14:paraId="3F185760">
            <w:pPr>
              <w:snapToGrid w:val="0"/>
              <w:spacing w:before="50" w:after="50" w:line="3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2"/>
                <w:sz w:val="24"/>
                <w:szCs w:val="24"/>
                <w:highlight w:val="none"/>
                <w:lang w:val="en-US" w:eastAsia="zh-CN" w:bidi="ar-SA"/>
              </w:rPr>
              <w:t>结算时根据中标人完成各项目的完工数量及中标单价结算。中标单价=收费基准价×折扣</w:t>
            </w:r>
          </w:p>
        </w:tc>
      </w:tr>
    </w:tbl>
    <w:p w14:paraId="27683BE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1、投标报价（百分率）必须填写，否则其投标作无效标处理。报价一经涂改，应在涂改处加盖单位公章或者由法定代表人或授权委托人签字或盖章，否则其投标作无效标处理。</w:t>
      </w:r>
    </w:p>
    <w:p w14:paraId="1AFDB22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包括应包括本项目有关的全部费用，报价包括因领取基础资料、现场踏勘等需要产生的食、宿、交通等费用，包括人员费用、器械费用、药物费用、监测控制装置费用、合理利润、税金、政策性文件规定及合同包含的所有风险、责任等各项应有费用。投标报价为投标方所能承受的最低、最终一次性报价，如有漏项，视同已包含在其它项目中，合同价不作调整。</w:t>
      </w:r>
    </w:p>
    <w:p w14:paraId="5EC1A9F9">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3、本表格式不允许修改，表格在格式不改的情况下可以作相应的增减，否则作无效标处理。</w:t>
      </w:r>
    </w:p>
    <w:p w14:paraId="573670E9">
      <w:pPr>
        <w:pStyle w:val="18"/>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4、开标一览表与投标文件不一致的以开标一览表为准</w:t>
      </w:r>
    </w:p>
    <w:p w14:paraId="5CE1A6BC">
      <w:pPr>
        <w:snapToGrid w:val="0"/>
        <w:spacing w:before="50" w:after="50" w:line="340" w:lineRule="exact"/>
        <w:ind w:left="-3" w:leftChars="-72" w:right="-817" w:rightChars="-389" w:hanging="148" w:hangingChars="62"/>
        <w:rPr>
          <w:rFonts w:ascii="宋体" w:hAnsi="宋体" w:cs="宋体"/>
          <w:color w:val="auto"/>
          <w:sz w:val="24"/>
          <w:highlight w:val="none"/>
        </w:rPr>
      </w:pPr>
    </w:p>
    <w:p w14:paraId="1AB20B08">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74F0E334">
      <w:pPr>
        <w:rPr>
          <w:rFonts w:hint="eastAsia" w:hAnsi="宋体"/>
          <w:color w:val="000000"/>
          <w:sz w:val="24"/>
        </w:rPr>
      </w:pPr>
      <w:r>
        <w:rPr>
          <w:rFonts w:hint="eastAsia" w:hAnsi="宋体"/>
          <w:color w:val="000000"/>
          <w:sz w:val="24"/>
        </w:rPr>
        <w:t>法定代表人或其授权代表签字：</w:t>
      </w:r>
    </w:p>
    <w:p w14:paraId="402C59F2">
      <w:pPr>
        <w:snapToGrid w:val="0"/>
        <w:spacing w:line="360" w:lineRule="auto"/>
        <w:jc w:val="left"/>
        <w:rPr>
          <w:rFonts w:hint="eastAsia" w:ascii="宋体" w:hAnsi="宋体"/>
          <w:color w:val="auto"/>
          <w:spacing w:val="20"/>
          <w:sz w:val="24"/>
          <w:highlight w:val="none"/>
        </w:rPr>
      </w:pPr>
    </w:p>
    <w:p w14:paraId="20850878">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47F5BD5F">
      <w:pPr>
        <w:snapToGrid w:val="0"/>
        <w:spacing w:before="50" w:after="120" w:afterLines="50"/>
        <w:jc w:val="left"/>
        <w:rPr>
          <w:rFonts w:hint="eastAsia" w:ascii="宋体" w:hAnsi="宋体" w:cs="宋体"/>
          <w:b/>
          <w:color w:val="auto"/>
          <w:sz w:val="24"/>
          <w:highlight w:val="none"/>
        </w:rPr>
      </w:pPr>
    </w:p>
    <w:p w14:paraId="7DCD243A">
      <w:pPr>
        <w:snapToGrid w:val="0"/>
        <w:spacing w:before="50" w:after="120" w:afterLines="50"/>
        <w:jc w:val="left"/>
        <w:rPr>
          <w:rFonts w:hint="eastAsia" w:ascii="宋体" w:hAnsi="宋体" w:cs="宋体"/>
          <w:b/>
          <w:color w:val="auto"/>
          <w:sz w:val="24"/>
          <w:highlight w:val="none"/>
        </w:rPr>
      </w:pPr>
    </w:p>
    <w:p w14:paraId="0AE308A0">
      <w:pPr>
        <w:snapToGrid w:val="0"/>
        <w:spacing w:before="50" w:after="120" w:afterLines="50"/>
        <w:jc w:val="left"/>
        <w:rPr>
          <w:rFonts w:ascii="宋体" w:hAnsi="宋体" w:cs="宋体"/>
          <w:b/>
          <w:color w:val="auto"/>
          <w:sz w:val="30"/>
          <w:highlight w:val="none"/>
        </w:rPr>
      </w:pPr>
      <w:r>
        <w:rPr>
          <w:rFonts w:hint="eastAsia" w:ascii="宋体" w:hAnsi="宋体" w:cs="宋体"/>
          <w:b/>
          <w:color w:val="auto"/>
          <w:sz w:val="24"/>
          <w:highlight w:val="none"/>
        </w:rPr>
        <w:t>开标一览表</w:t>
      </w:r>
    </w:p>
    <w:p w14:paraId="43F942E6">
      <w:pPr>
        <w:snapToGrid w:val="0"/>
        <w:spacing w:before="50" w:after="50"/>
        <w:jc w:val="center"/>
        <w:rPr>
          <w:rFonts w:hint="eastAsia" w:ascii="宋体" w:hAnsi="宋体" w:eastAsia="宋体" w:cs="宋体"/>
          <w:b/>
          <w:color w:val="auto"/>
          <w:sz w:val="30"/>
          <w:szCs w:val="20"/>
          <w:highlight w:val="none"/>
          <w:lang w:eastAsia="zh-CN"/>
        </w:rPr>
      </w:pPr>
      <w:r>
        <w:rPr>
          <w:rFonts w:hint="eastAsia" w:ascii="宋体" w:hAnsi="宋体" w:cs="宋体"/>
          <w:b/>
          <w:color w:val="auto"/>
          <w:sz w:val="30"/>
          <w:highlight w:val="none"/>
        </w:rPr>
        <w:t>开标一览表</w:t>
      </w:r>
      <w:r>
        <w:rPr>
          <w:rFonts w:hint="eastAsia" w:ascii="宋体" w:hAnsi="宋体" w:cs="宋体"/>
          <w:b/>
          <w:color w:val="auto"/>
          <w:sz w:val="30"/>
          <w:highlight w:val="none"/>
          <w:lang w:eastAsia="zh-CN"/>
        </w:rPr>
        <w:t>（</w:t>
      </w:r>
      <w:r>
        <w:rPr>
          <w:rFonts w:hint="eastAsia" w:ascii="宋体" w:hAnsi="宋体" w:cs="宋体"/>
          <w:b/>
          <w:color w:val="auto"/>
          <w:sz w:val="30"/>
          <w:highlight w:val="none"/>
          <w:lang w:val="en-US" w:eastAsia="zh-CN"/>
        </w:rPr>
        <w:t>2标段</w:t>
      </w:r>
      <w:r>
        <w:rPr>
          <w:rFonts w:hint="eastAsia" w:ascii="宋体" w:hAnsi="宋体" w:cs="宋体"/>
          <w:b/>
          <w:color w:val="auto"/>
          <w:sz w:val="30"/>
          <w:highlight w:val="none"/>
          <w:lang w:eastAsia="zh-CN"/>
        </w:rPr>
        <w:t>）</w:t>
      </w:r>
    </w:p>
    <w:p w14:paraId="150E8240">
      <w:pPr>
        <w:snapToGrid w:val="0"/>
        <w:spacing w:before="50" w:after="50" w:line="340" w:lineRule="exact"/>
        <w:jc w:val="left"/>
        <w:rPr>
          <w:rFonts w:hint="eastAsia" w:ascii="宋体" w:hAnsi="宋体" w:cs="宋体"/>
          <w:color w:val="auto"/>
          <w:sz w:val="24"/>
          <w:highlight w:val="none"/>
        </w:rPr>
      </w:pPr>
      <w:r>
        <w:rPr>
          <w:rFonts w:hint="eastAsia" w:ascii="宋体" w:hAnsi="宋体" w:cs="宋体"/>
          <w:color w:val="auto"/>
          <w:sz w:val="24"/>
          <w:highlight w:val="none"/>
        </w:rPr>
        <w:t>招标项目名称：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招标编号：</w:t>
      </w:r>
    </w:p>
    <w:tbl>
      <w:tblPr>
        <w:tblStyle w:val="25"/>
        <w:tblW w:w="947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137"/>
        <w:gridCol w:w="2185"/>
        <w:gridCol w:w="3107"/>
      </w:tblGrid>
      <w:tr w14:paraId="4092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43" w:type="dxa"/>
            <w:vAlign w:val="center"/>
          </w:tcPr>
          <w:p w14:paraId="26E69679">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序号</w:t>
            </w:r>
          </w:p>
        </w:tc>
        <w:tc>
          <w:tcPr>
            <w:tcW w:w="3137" w:type="dxa"/>
            <w:vAlign w:val="center"/>
          </w:tcPr>
          <w:p w14:paraId="2BA01538">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采购内容</w:t>
            </w:r>
          </w:p>
        </w:tc>
        <w:tc>
          <w:tcPr>
            <w:tcW w:w="2185" w:type="dxa"/>
            <w:vAlign w:val="center"/>
          </w:tcPr>
          <w:p w14:paraId="79A0DE14">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基准价（单价）</w:t>
            </w:r>
          </w:p>
        </w:tc>
        <w:tc>
          <w:tcPr>
            <w:tcW w:w="3107" w:type="dxa"/>
            <w:vAlign w:val="center"/>
          </w:tcPr>
          <w:p w14:paraId="422B76DA">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投标报价（</w:t>
            </w:r>
            <w:r>
              <w:rPr>
                <w:rFonts w:hint="eastAsia" w:ascii="宋体" w:hAnsi="宋体" w:cs="宋体"/>
                <w:bCs/>
                <w:color w:val="auto"/>
                <w:kern w:val="0"/>
                <w:sz w:val="24"/>
                <w:highlight w:val="none"/>
                <w:lang w:val="en-US" w:eastAsia="zh-CN"/>
              </w:rPr>
              <w:t>折扣</w:t>
            </w:r>
            <w:r>
              <w:rPr>
                <w:rFonts w:hint="eastAsia" w:ascii="宋体" w:hAnsi="宋体" w:eastAsia="宋体" w:cs="宋体"/>
                <w:bCs/>
                <w:color w:val="auto"/>
                <w:kern w:val="0"/>
                <w:sz w:val="24"/>
                <w:highlight w:val="none"/>
                <w:lang w:eastAsia="zh-CN"/>
              </w:rPr>
              <w:t>）</w:t>
            </w:r>
          </w:p>
        </w:tc>
      </w:tr>
      <w:tr w14:paraId="0CF6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3" w:type="dxa"/>
            <w:vAlign w:val="center"/>
          </w:tcPr>
          <w:p w14:paraId="5F4E4B58">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137" w:type="dxa"/>
            <w:vAlign w:val="center"/>
          </w:tcPr>
          <w:p w14:paraId="76BBFC1A">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蚁情现场调查</w:t>
            </w:r>
          </w:p>
        </w:tc>
        <w:tc>
          <w:tcPr>
            <w:tcW w:w="2185" w:type="dxa"/>
            <w:vAlign w:val="center"/>
          </w:tcPr>
          <w:p w14:paraId="64B4EAB3">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7.13元/100㎡</w:t>
            </w:r>
          </w:p>
        </w:tc>
        <w:tc>
          <w:tcPr>
            <w:tcW w:w="3107" w:type="dxa"/>
            <w:vMerge w:val="restart"/>
            <w:vAlign w:val="center"/>
          </w:tcPr>
          <w:p w14:paraId="631A851F">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0196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43" w:type="dxa"/>
            <w:vAlign w:val="center"/>
          </w:tcPr>
          <w:p w14:paraId="7A0697E0">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w:t>
            </w:r>
          </w:p>
        </w:tc>
        <w:tc>
          <w:tcPr>
            <w:tcW w:w="3137" w:type="dxa"/>
            <w:vAlign w:val="center"/>
          </w:tcPr>
          <w:p w14:paraId="45910896">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地下型监测装置安装</w:t>
            </w:r>
          </w:p>
        </w:tc>
        <w:tc>
          <w:tcPr>
            <w:tcW w:w="2185" w:type="dxa"/>
            <w:vAlign w:val="center"/>
          </w:tcPr>
          <w:p w14:paraId="0CF592F8">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47.16元/套</w:t>
            </w:r>
          </w:p>
        </w:tc>
        <w:tc>
          <w:tcPr>
            <w:tcW w:w="3107" w:type="dxa"/>
            <w:vMerge w:val="continue"/>
            <w:vAlign w:val="center"/>
          </w:tcPr>
          <w:p w14:paraId="52D10014">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73CE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5067AFC2">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p>
        </w:tc>
        <w:tc>
          <w:tcPr>
            <w:tcW w:w="3137" w:type="dxa"/>
            <w:vAlign w:val="center"/>
          </w:tcPr>
          <w:p w14:paraId="324DCBF4">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监测装置检查维护</w:t>
            </w:r>
          </w:p>
        </w:tc>
        <w:tc>
          <w:tcPr>
            <w:tcW w:w="2185" w:type="dxa"/>
            <w:vAlign w:val="center"/>
          </w:tcPr>
          <w:p w14:paraId="29D1D6E7">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13.42元/套*次</w:t>
            </w:r>
          </w:p>
        </w:tc>
        <w:tc>
          <w:tcPr>
            <w:tcW w:w="3107" w:type="dxa"/>
            <w:vMerge w:val="continue"/>
            <w:vAlign w:val="center"/>
          </w:tcPr>
          <w:p w14:paraId="1C6C913D">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0AA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7317A545">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3137" w:type="dxa"/>
            <w:vAlign w:val="center"/>
          </w:tcPr>
          <w:p w14:paraId="08F1205B">
            <w:pPr>
              <w:spacing w:line="440" w:lineRule="exact"/>
              <w:jc w:val="center"/>
              <w:rPr>
                <w:rFonts w:hint="eastAsia" w:ascii="Times New Roman" w:hAnsi="宋体" w:eastAsia="宋体" w:cs="宋体"/>
                <w:color w:val="auto"/>
                <w:spacing w:val="-4"/>
                <w:kern w:val="2"/>
                <w:sz w:val="24"/>
                <w:szCs w:val="24"/>
                <w:highlight w:val="none"/>
                <w:lang w:val="en-US" w:eastAsia="zh-CN" w:bidi="ar-SA"/>
              </w:rPr>
            </w:pPr>
            <w:r>
              <w:rPr>
                <w:rFonts w:hint="eastAsia" w:hAnsi="宋体" w:cs="宋体"/>
                <w:color w:val="auto"/>
                <w:spacing w:val="-4"/>
                <w:sz w:val="24"/>
                <w:szCs w:val="24"/>
                <w:highlight w:val="none"/>
                <w:lang w:val="en-US" w:eastAsia="zh-CN"/>
              </w:rPr>
              <w:t>药物屏障复查回访</w:t>
            </w:r>
          </w:p>
        </w:tc>
        <w:tc>
          <w:tcPr>
            <w:tcW w:w="2185" w:type="dxa"/>
            <w:vAlign w:val="center"/>
          </w:tcPr>
          <w:p w14:paraId="454B40C0">
            <w:pPr>
              <w:snapToGrid w:val="0"/>
              <w:spacing w:line="440" w:lineRule="exact"/>
              <w:jc w:val="center"/>
              <w:rPr>
                <w:rFonts w:hint="eastAsia" w:ascii="Times New Roman" w:hAnsi="宋体" w:eastAsia="宋体" w:cs="宋体"/>
                <w:spacing w:val="-4"/>
                <w:kern w:val="2"/>
                <w:sz w:val="24"/>
                <w:szCs w:val="24"/>
                <w:highlight w:val="none"/>
                <w:lang w:val="en-US" w:eastAsia="zh-CN" w:bidi="ar-SA"/>
              </w:rPr>
            </w:pPr>
            <w:r>
              <w:rPr>
                <w:rFonts w:hint="eastAsia" w:hAnsi="宋体" w:cs="宋体"/>
                <w:spacing w:val="-4"/>
                <w:sz w:val="24"/>
                <w:szCs w:val="24"/>
                <w:highlight w:val="none"/>
                <w:lang w:val="en-US" w:eastAsia="zh-CN"/>
              </w:rPr>
              <w:t>7.13元/100㎡</w:t>
            </w:r>
            <w:r>
              <w:rPr>
                <w:rFonts w:hint="eastAsia" w:hAnsi="宋体" w:cs="宋体"/>
                <w:spacing w:val="-4"/>
                <w:sz w:val="24"/>
                <w:szCs w:val="24"/>
                <w:highlight w:val="none"/>
              </w:rPr>
              <w:t>*次</w:t>
            </w:r>
          </w:p>
        </w:tc>
        <w:tc>
          <w:tcPr>
            <w:tcW w:w="3107" w:type="dxa"/>
            <w:vMerge w:val="continue"/>
            <w:vAlign w:val="center"/>
          </w:tcPr>
          <w:p w14:paraId="5371C7E6">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58B0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27DE2F00">
            <w:pPr>
              <w:widowControl/>
              <w:overflowPunct w:val="0"/>
              <w:autoSpaceDE w:val="0"/>
              <w:autoSpaceDN w:val="0"/>
              <w:adjustRightInd w:val="0"/>
              <w:spacing w:line="460" w:lineRule="exact"/>
              <w:jc w:val="center"/>
              <w:textAlignment w:val="baseline"/>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p>
        </w:tc>
        <w:tc>
          <w:tcPr>
            <w:tcW w:w="3137" w:type="dxa"/>
            <w:vAlign w:val="center"/>
          </w:tcPr>
          <w:p w14:paraId="55FACF14">
            <w:pPr>
              <w:spacing w:line="440" w:lineRule="exact"/>
              <w:jc w:val="center"/>
              <w:rPr>
                <w:rFonts w:hint="eastAsia" w:hAnsi="宋体" w:cs="宋体"/>
                <w:color w:val="auto"/>
                <w:spacing w:val="-4"/>
                <w:sz w:val="24"/>
                <w:szCs w:val="24"/>
                <w:highlight w:val="none"/>
                <w:lang w:val="en-US" w:eastAsia="zh-CN"/>
              </w:rPr>
            </w:pPr>
            <w:r>
              <w:rPr>
                <w:rFonts w:hint="eastAsia" w:hAnsi="宋体" w:cs="宋体"/>
                <w:color w:val="auto"/>
                <w:spacing w:val="-4"/>
                <w:sz w:val="24"/>
                <w:szCs w:val="24"/>
                <w:highlight w:val="none"/>
                <w:lang w:val="en-US" w:eastAsia="zh-CN"/>
              </w:rPr>
              <w:t>白蚁药杀法灭治</w:t>
            </w:r>
          </w:p>
        </w:tc>
        <w:tc>
          <w:tcPr>
            <w:tcW w:w="2185" w:type="dxa"/>
            <w:vAlign w:val="center"/>
          </w:tcPr>
          <w:p w14:paraId="28E84257">
            <w:pPr>
              <w:spacing w:line="440" w:lineRule="exact"/>
              <w:jc w:val="center"/>
              <w:rPr>
                <w:rFonts w:hint="eastAsia" w:hAnsi="宋体" w:cs="宋体"/>
                <w:spacing w:val="-4"/>
                <w:sz w:val="24"/>
                <w:szCs w:val="24"/>
                <w:highlight w:val="none"/>
                <w:lang w:val="en-US" w:eastAsia="zh-CN"/>
              </w:rPr>
            </w:pPr>
            <w:r>
              <w:rPr>
                <w:rFonts w:hint="eastAsia" w:hAnsi="宋体" w:cs="宋体"/>
                <w:color w:val="auto"/>
                <w:spacing w:val="-4"/>
                <w:sz w:val="24"/>
                <w:szCs w:val="24"/>
                <w:highlight w:val="none"/>
                <w:lang w:val="en-US" w:eastAsia="zh-CN"/>
              </w:rPr>
              <w:t>3.06元/㎡</w:t>
            </w:r>
          </w:p>
        </w:tc>
        <w:tc>
          <w:tcPr>
            <w:tcW w:w="3107" w:type="dxa"/>
            <w:vMerge w:val="continue"/>
            <w:vAlign w:val="center"/>
          </w:tcPr>
          <w:p w14:paraId="42B83076">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6FB8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43" w:type="dxa"/>
            <w:vAlign w:val="center"/>
          </w:tcPr>
          <w:p w14:paraId="3D6729A4">
            <w:pPr>
              <w:snapToGrid w:val="0"/>
              <w:spacing w:before="50" w:after="50"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429" w:type="dxa"/>
            <w:gridSpan w:val="3"/>
            <w:vAlign w:val="center"/>
          </w:tcPr>
          <w:p w14:paraId="45988765">
            <w:pPr>
              <w:snapToGrid w:val="0"/>
              <w:spacing w:before="50" w:after="50" w:line="340" w:lineRule="exact"/>
              <w:jc w:val="left"/>
              <w:rPr>
                <w:rFonts w:hint="eastAsia" w:ascii="宋体" w:hAnsi="宋体" w:cs="宋体"/>
                <w:bCs/>
                <w:color w:val="auto"/>
                <w:sz w:val="24"/>
                <w:highlight w:val="none"/>
              </w:rPr>
            </w:pPr>
            <w:r>
              <w:rPr>
                <w:rFonts w:hint="eastAsia" w:ascii="宋体" w:hAnsi="宋体" w:eastAsia="宋体" w:cs="宋体"/>
                <w:color w:val="auto"/>
                <w:sz w:val="24"/>
                <w:highlight w:val="none"/>
              </w:rPr>
              <w:t>投标报价大写（人民币）：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u w:val="single"/>
              </w:rPr>
              <w:t xml:space="preserve">          </w:t>
            </w:r>
          </w:p>
        </w:tc>
      </w:tr>
      <w:tr w14:paraId="1E93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472" w:type="dxa"/>
            <w:gridSpan w:val="4"/>
            <w:vAlign w:val="center"/>
          </w:tcPr>
          <w:p w14:paraId="55835758">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备注：</w:t>
            </w:r>
            <w:r>
              <w:rPr>
                <w:rFonts w:hint="eastAsia" w:ascii="宋体" w:hAnsi="宋体" w:eastAsia="宋体" w:cs="宋体"/>
                <w:b w:val="0"/>
                <w:bCs w:val="0"/>
                <w:color w:val="auto"/>
                <w:kern w:val="2"/>
                <w:sz w:val="24"/>
                <w:szCs w:val="24"/>
                <w:highlight w:val="none"/>
                <w:lang w:val="en-US" w:eastAsia="zh-CN" w:bidi="ar-SA"/>
              </w:rPr>
              <w:t>本次招标项目的报价内容为</w:t>
            </w:r>
            <w:r>
              <w:rPr>
                <w:rFonts w:hint="eastAsia" w:hAnsi="宋体" w:cs="宋体"/>
                <w:color w:val="auto"/>
                <w:sz w:val="24"/>
                <w:highlight w:val="none"/>
                <w:lang w:val="en-US" w:eastAsia="zh-CN"/>
              </w:rPr>
              <w:t>折扣</w:t>
            </w:r>
            <w:r>
              <w:rPr>
                <w:rFonts w:hint="eastAsia" w:ascii="宋体" w:hAnsi="宋体" w:eastAsia="宋体" w:cs="宋体"/>
                <w:b w:val="0"/>
                <w:bCs w:val="0"/>
                <w:color w:val="auto"/>
                <w:kern w:val="2"/>
                <w:sz w:val="24"/>
                <w:szCs w:val="24"/>
                <w:highlight w:val="none"/>
                <w:lang w:val="en-US" w:eastAsia="zh-CN" w:bidi="ar-SA"/>
              </w:rPr>
              <w:t>，即投标人在招标文件工作内容及收费标准（基准价）中规定的基准价基础上，结合自身企业经营情况填报的折扣幅度。折扣以百分比（%）进行表述，折扣百分比数值越小，则报价越</w:t>
            </w:r>
            <w:r>
              <w:rPr>
                <w:rFonts w:hint="eastAsia" w:hAnsi="宋体" w:cs="宋体"/>
                <w:b w:val="0"/>
                <w:bCs w:val="0"/>
                <w:color w:val="auto"/>
                <w:kern w:val="2"/>
                <w:sz w:val="24"/>
                <w:szCs w:val="24"/>
                <w:highlight w:val="none"/>
                <w:lang w:val="en-US" w:eastAsia="zh-CN" w:bidi="ar-SA"/>
              </w:rPr>
              <w:t>低</w:t>
            </w:r>
            <w:r>
              <w:rPr>
                <w:rFonts w:hint="eastAsia" w:ascii="宋体" w:hAnsi="宋体" w:eastAsia="宋体" w:cs="宋体"/>
                <w:b w:val="0"/>
                <w:bCs w:val="0"/>
                <w:color w:val="auto"/>
                <w:kern w:val="2"/>
                <w:sz w:val="24"/>
                <w:szCs w:val="24"/>
                <w:highlight w:val="none"/>
                <w:lang w:val="en-US" w:eastAsia="zh-CN" w:bidi="ar-SA"/>
              </w:rPr>
              <w:t>。</w:t>
            </w:r>
          </w:p>
          <w:p w14:paraId="59A96957">
            <w:pPr>
              <w:snapToGrid w:val="0"/>
              <w:spacing w:before="50" w:after="50" w:line="3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2"/>
                <w:sz w:val="24"/>
                <w:szCs w:val="24"/>
                <w:highlight w:val="none"/>
                <w:lang w:val="en-US" w:eastAsia="zh-CN" w:bidi="ar-SA"/>
              </w:rPr>
              <w:t>结算时根据中标人完成各项目的完工数量及中标单价结算。中标单价=收费基准价×折扣</w:t>
            </w:r>
          </w:p>
        </w:tc>
      </w:tr>
    </w:tbl>
    <w:p w14:paraId="2059868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1、投标报价（百分率）必须填写，否则其投标作无效标处理。报价一经涂改，应在涂改处加盖单位公章或者由法定代表人或授权委托人签字或盖章，否则其投标作无效标处理。</w:t>
      </w:r>
    </w:p>
    <w:p w14:paraId="0CAA1EE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包括应包括本项目有关的全部费用，报价包括因领取基础资料、现场踏勘等需要产生的食、宿、交通等费用，包括人员费用、器械费用、药物费用、监测控制装置费用、合理利润、税金、政策性文件规定及合同包含的所有风险、责任等各项应有费用。投标报价为投标方所能承受的最低、最终一次性报价，如有漏项，视同已包含在其它项目中，合同价不作调整。</w:t>
      </w:r>
    </w:p>
    <w:p w14:paraId="470F2FAC">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3、本表格式不允许修改，表格在格式不改的情况下可以作相应的增减，否则作无效标处理。</w:t>
      </w:r>
    </w:p>
    <w:p w14:paraId="6B2BC7A1">
      <w:pPr>
        <w:pStyle w:val="18"/>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4、开标一览表与投标文件不一致的以开标一览表为准</w:t>
      </w:r>
    </w:p>
    <w:p w14:paraId="656988AF">
      <w:pPr>
        <w:snapToGrid w:val="0"/>
        <w:spacing w:before="50" w:after="50" w:line="340" w:lineRule="exact"/>
        <w:ind w:left="-3" w:leftChars="-72" w:right="-817" w:rightChars="-389" w:hanging="148" w:hangingChars="62"/>
        <w:rPr>
          <w:rFonts w:ascii="宋体" w:hAnsi="宋体" w:cs="宋体"/>
          <w:color w:val="auto"/>
          <w:sz w:val="24"/>
          <w:highlight w:val="none"/>
        </w:rPr>
      </w:pPr>
    </w:p>
    <w:p w14:paraId="12C22BCA">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56A3F71E">
      <w:pPr>
        <w:rPr>
          <w:rFonts w:hint="eastAsia" w:hAnsi="宋体"/>
          <w:color w:val="000000"/>
          <w:sz w:val="24"/>
        </w:rPr>
      </w:pPr>
      <w:r>
        <w:rPr>
          <w:rFonts w:hint="eastAsia" w:hAnsi="宋体"/>
          <w:color w:val="000000"/>
          <w:sz w:val="24"/>
        </w:rPr>
        <w:t>法定代表人或其授权代表签字：</w:t>
      </w:r>
    </w:p>
    <w:p w14:paraId="1355D68C">
      <w:pPr>
        <w:snapToGrid w:val="0"/>
        <w:spacing w:line="360" w:lineRule="auto"/>
        <w:jc w:val="left"/>
        <w:rPr>
          <w:rFonts w:hint="eastAsia" w:ascii="宋体" w:hAnsi="宋体"/>
          <w:color w:val="auto"/>
          <w:spacing w:val="20"/>
          <w:sz w:val="24"/>
          <w:highlight w:val="none"/>
        </w:rPr>
      </w:pPr>
    </w:p>
    <w:p w14:paraId="4B78EA68">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262640DA">
      <w:pPr>
        <w:snapToGrid w:val="0"/>
        <w:spacing w:before="50" w:after="120" w:afterLines="50"/>
        <w:jc w:val="left"/>
        <w:rPr>
          <w:rFonts w:hint="eastAsia" w:ascii="宋体" w:hAnsi="宋体" w:cs="宋体"/>
          <w:b/>
          <w:color w:val="auto"/>
          <w:sz w:val="24"/>
          <w:highlight w:val="none"/>
        </w:rPr>
      </w:pPr>
    </w:p>
    <w:p w14:paraId="661AAA0C">
      <w:pPr>
        <w:snapToGrid w:val="0"/>
        <w:spacing w:before="50" w:after="120" w:afterLines="50"/>
        <w:jc w:val="left"/>
        <w:rPr>
          <w:rFonts w:hint="eastAsia" w:ascii="宋体" w:hAnsi="宋体" w:cs="宋体"/>
          <w:b/>
          <w:color w:val="auto"/>
          <w:sz w:val="24"/>
          <w:highlight w:val="none"/>
        </w:rPr>
      </w:pPr>
    </w:p>
    <w:p w14:paraId="3B26CE5A">
      <w:pPr>
        <w:snapToGrid w:val="0"/>
        <w:spacing w:before="50" w:after="120" w:afterLines="50"/>
        <w:jc w:val="left"/>
        <w:rPr>
          <w:rFonts w:ascii="宋体" w:hAnsi="宋体" w:cs="宋体"/>
          <w:b/>
          <w:color w:val="auto"/>
          <w:sz w:val="30"/>
          <w:highlight w:val="none"/>
        </w:rPr>
      </w:pPr>
      <w:r>
        <w:rPr>
          <w:rFonts w:hint="eastAsia" w:ascii="宋体" w:hAnsi="宋体" w:cs="宋体"/>
          <w:b/>
          <w:color w:val="auto"/>
          <w:sz w:val="24"/>
          <w:highlight w:val="none"/>
        </w:rPr>
        <w:t>开标一览表</w:t>
      </w:r>
    </w:p>
    <w:p w14:paraId="7E0421FE">
      <w:pPr>
        <w:snapToGrid w:val="0"/>
        <w:spacing w:before="50" w:after="50"/>
        <w:jc w:val="center"/>
        <w:rPr>
          <w:rFonts w:hint="eastAsia" w:ascii="宋体" w:hAnsi="宋体" w:eastAsia="宋体" w:cs="宋体"/>
          <w:b/>
          <w:color w:val="auto"/>
          <w:sz w:val="30"/>
          <w:szCs w:val="20"/>
          <w:highlight w:val="none"/>
          <w:lang w:eastAsia="zh-CN"/>
        </w:rPr>
      </w:pPr>
      <w:r>
        <w:rPr>
          <w:rFonts w:hint="eastAsia" w:ascii="宋体" w:hAnsi="宋体" w:cs="宋体"/>
          <w:b/>
          <w:color w:val="auto"/>
          <w:sz w:val="30"/>
          <w:highlight w:val="none"/>
        </w:rPr>
        <w:t>开标一览表</w:t>
      </w:r>
      <w:r>
        <w:rPr>
          <w:rFonts w:hint="eastAsia" w:ascii="宋体" w:hAnsi="宋体" w:cs="宋体"/>
          <w:b/>
          <w:color w:val="auto"/>
          <w:sz w:val="30"/>
          <w:highlight w:val="none"/>
          <w:lang w:eastAsia="zh-CN"/>
        </w:rPr>
        <w:t>（</w:t>
      </w:r>
      <w:r>
        <w:rPr>
          <w:rFonts w:hint="eastAsia" w:ascii="宋体" w:hAnsi="宋体" w:cs="宋体"/>
          <w:b/>
          <w:color w:val="auto"/>
          <w:sz w:val="30"/>
          <w:highlight w:val="none"/>
          <w:lang w:val="en-US" w:eastAsia="zh-CN"/>
        </w:rPr>
        <w:t>3标段</w:t>
      </w:r>
      <w:r>
        <w:rPr>
          <w:rFonts w:hint="eastAsia" w:ascii="宋体" w:hAnsi="宋体" w:cs="宋体"/>
          <w:b/>
          <w:color w:val="auto"/>
          <w:sz w:val="30"/>
          <w:highlight w:val="none"/>
          <w:lang w:eastAsia="zh-CN"/>
        </w:rPr>
        <w:t>）</w:t>
      </w:r>
    </w:p>
    <w:p w14:paraId="55297BD8">
      <w:pPr>
        <w:snapToGrid w:val="0"/>
        <w:spacing w:before="50" w:after="50" w:line="340" w:lineRule="exact"/>
        <w:jc w:val="left"/>
        <w:rPr>
          <w:rFonts w:hint="eastAsia" w:ascii="宋体" w:hAnsi="宋体" w:cs="宋体"/>
          <w:color w:val="auto"/>
          <w:sz w:val="24"/>
          <w:highlight w:val="none"/>
        </w:rPr>
      </w:pPr>
      <w:r>
        <w:rPr>
          <w:rFonts w:hint="eastAsia" w:ascii="宋体" w:hAnsi="宋体" w:cs="宋体"/>
          <w:color w:val="auto"/>
          <w:sz w:val="24"/>
          <w:highlight w:val="none"/>
        </w:rPr>
        <w:t>招标项目名称：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招标编号：</w:t>
      </w:r>
    </w:p>
    <w:tbl>
      <w:tblPr>
        <w:tblStyle w:val="25"/>
        <w:tblW w:w="947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137"/>
        <w:gridCol w:w="2185"/>
        <w:gridCol w:w="3107"/>
      </w:tblGrid>
      <w:tr w14:paraId="596F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043" w:type="dxa"/>
            <w:vAlign w:val="center"/>
          </w:tcPr>
          <w:p w14:paraId="71DFD79E">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序号</w:t>
            </w:r>
          </w:p>
        </w:tc>
        <w:tc>
          <w:tcPr>
            <w:tcW w:w="3137" w:type="dxa"/>
            <w:vAlign w:val="center"/>
          </w:tcPr>
          <w:p w14:paraId="779CE868">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采购内容</w:t>
            </w:r>
          </w:p>
        </w:tc>
        <w:tc>
          <w:tcPr>
            <w:tcW w:w="2185" w:type="dxa"/>
            <w:vAlign w:val="center"/>
          </w:tcPr>
          <w:p w14:paraId="664DE353">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基准价（单价）</w:t>
            </w:r>
          </w:p>
        </w:tc>
        <w:tc>
          <w:tcPr>
            <w:tcW w:w="3107" w:type="dxa"/>
            <w:vAlign w:val="center"/>
          </w:tcPr>
          <w:p w14:paraId="266706D9">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投标报价（</w:t>
            </w:r>
            <w:r>
              <w:rPr>
                <w:rFonts w:hint="eastAsia" w:ascii="宋体" w:hAnsi="宋体" w:cs="宋体"/>
                <w:bCs/>
                <w:color w:val="auto"/>
                <w:kern w:val="0"/>
                <w:sz w:val="24"/>
                <w:highlight w:val="none"/>
                <w:lang w:val="en-US" w:eastAsia="zh-CN"/>
              </w:rPr>
              <w:t>折扣</w:t>
            </w:r>
            <w:r>
              <w:rPr>
                <w:rFonts w:hint="eastAsia" w:ascii="宋体" w:hAnsi="宋体" w:eastAsia="宋体" w:cs="宋体"/>
                <w:bCs/>
                <w:color w:val="auto"/>
                <w:kern w:val="0"/>
                <w:sz w:val="24"/>
                <w:highlight w:val="none"/>
                <w:lang w:eastAsia="zh-CN"/>
              </w:rPr>
              <w:t>）</w:t>
            </w:r>
          </w:p>
        </w:tc>
      </w:tr>
      <w:tr w14:paraId="0D3D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3" w:type="dxa"/>
            <w:vAlign w:val="center"/>
          </w:tcPr>
          <w:p w14:paraId="7025403E">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137" w:type="dxa"/>
            <w:vAlign w:val="center"/>
          </w:tcPr>
          <w:p w14:paraId="1A02DA1A">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蚁情现场调查</w:t>
            </w:r>
          </w:p>
        </w:tc>
        <w:tc>
          <w:tcPr>
            <w:tcW w:w="2185" w:type="dxa"/>
            <w:vAlign w:val="center"/>
          </w:tcPr>
          <w:p w14:paraId="284A7A73">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7.13元/100㎡</w:t>
            </w:r>
          </w:p>
        </w:tc>
        <w:tc>
          <w:tcPr>
            <w:tcW w:w="3107" w:type="dxa"/>
            <w:vMerge w:val="restart"/>
            <w:vAlign w:val="center"/>
          </w:tcPr>
          <w:p w14:paraId="1F714842">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23A7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43" w:type="dxa"/>
            <w:vAlign w:val="center"/>
          </w:tcPr>
          <w:p w14:paraId="1501A42D">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w:t>
            </w:r>
          </w:p>
        </w:tc>
        <w:tc>
          <w:tcPr>
            <w:tcW w:w="3137" w:type="dxa"/>
            <w:vAlign w:val="center"/>
          </w:tcPr>
          <w:p w14:paraId="1213CC14">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地下型监测装置安装</w:t>
            </w:r>
          </w:p>
        </w:tc>
        <w:tc>
          <w:tcPr>
            <w:tcW w:w="2185" w:type="dxa"/>
            <w:vAlign w:val="center"/>
          </w:tcPr>
          <w:p w14:paraId="1FBADA7E">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47.16元/套</w:t>
            </w:r>
          </w:p>
        </w:tc>
        <w:tc>
          <w:tcPr>
            <w:tcW w:w="3107" w:type="dxa"/>
            <w:vMerge w:val="continue"/>
            <w:vAlign w:val="center"/>
          </w:tcPr>
          <w:p w14:paraId="4BF3EE94">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1209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7639013F">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p>
        </w:tc>
        <w:tc>
          <w:tcPr>
            <w:tcW w:w="3137" w:type="dxa"/>
            <w:vAlign w:val="center"/>
          </w:tcPr>
          <w:p w14:paraId="27EE5030">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监测装置检查维护</w:t>
            </w:r>
          </w:p>
        </w:tc>
        <w:tc>
          <w:tcPr>
            <w:tcW w:w="2185" w:type="dxa"/>
            <w:vAlign w:val="center"/>
          </w:tcPr>
          <w:p w14:paraId="61F07C14">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13.42元/套*次</w:t>
            </w:r>
          </w:p>
        </w:tc>
        <w:tc>
          <w:tcPr>
            <w:tcW w:w="3107" w:type="dxa"/>
            <w:vMerge w:val="continue"/>
            <w:vAlign w:val="center"/>
          </w:tcPr>
          <w:p w14:paraId="3ADDFC0F">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4D68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2E1AD9BB">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3137" w:type="dxa"/>
            <w:vAlign w:val="center"/>
          </w:tcPr>
          <w:p w14:paraId="287F737A">
            <w:pPr>
              <w:spacing w:line="440" w:lineRule="exact"/>
              <w:jc w:val="center"/>
              <w:rPr>
                <w:rFonts w:hint="eastAsia" w:ascii="Times New Roman" w:hAnsi="宋体" w:eastAsia="宋体" w:cs="宋体"/>
                <w:color w:val="auto"/>
                <w:spacing w:val="-4"/>
                <w:kern w:val="2"/>
                <w:sz w:val="24"/>
                <w:szCs w:val="24"/>
                <w:highlight w:val="none"/>
                <w:lang w:val="en-US" w:eastAsia="zh-CN" w:bidi="ar-SA"/>
              </w:rPr>
            </w:pPr>
            <w:r>
              <w:rPr>
                <w:rFonts w:hint="eastAsia" w:hAnsi="宋体" w:cs="宋体"/>
                <w:color w:val="auto"/>
                <w:spacing w:val="-4"/>
                <w:sz w:val="24"/>
                <w:szCs w:val="24"/>
                <w:highlight w:val="none"/>
                <w:lang w:val="en-US" w:eastAsia="zh-CN"/>
              </w:rPr>
              <w:t>药物屏障复查回访</w:t>
            </w:r>
          </w:p>
        </w:tc>
        <w:tc>
          <w:tcPr>
            <w:tcW w:w="2185" w:type="dxa"/>
            <w:vAlign w:val="center"/>
          </w:tcPr>
          <w:p w14:paraId="6D4928A7">
            <w:pPr>
              <w:snapToGrid w:val="0"/>
              <w:spacing w:line="440" w:lineRule="exact"/>
              <w:jc w:val="center"/>
              <w:rPr>
                <w:rFonts w:hint="eastAsia" w:ascii="Times New Roman" w:hAnsi="宋体" w:eastAsia="宋体" w:cs="宋体"/>
                <w:spacing w:val="-4"/>
                <w:kern w:val="2"/>
                <w:sz w:val="24"/>
                <w:szCs w:val="24"/>
                <w:highlight w:val="none"/>
                <w:lang w:val="en-US" w:eastAsia="zh-CN" w:bidi="ar-SA"/>
              </w:rPr>
            </w:pPr>
            <w:r>
              <w:rPr>
                <w:rFonts w:hint="eastAsia" w:hAnsi="宋体" w:cs="宋体"/>
                <w:spacing w:val="-4"/>
                <w:sz w:val="24"/>
                <w:szCs w:val="24"/>
                <w:highlight w:val="none"/>
                <w:lang w:val="en-US" w:eastAsia="zh-CN"/>
              </w:rPr>
              <w:t>7.13元/100㎡</w:t>
            </w:r>
            <w:r>
              <w:rPr>
                <w:rFonts w:hint="eastAsia" w:hAnsi="宋体" w:cs="宋体"/>
                <w:spacing w:val="-4"/>
                <w:sz w:val="24"/>
                <w:szCs w:val="24"/>
                <w:highlight w:val="none"/>
              </w:rPr>
              <w:t>*次</w:t>
            </w:r>
          </w:p>
        </w:tc>
        <w:tc>
          <w:tcPr>
            <w:tcW w:w="3107" w:type="dxa"/>
            <w:vMerge w:val="continue"/>
            <w:vAlign w:val="center"/>
          </w:tcPr>
          <w:p w14:paraId="70D8F946">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154C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41E7A78B">
            <w:pPr>
              <w:widowControl/>
              <w:overflowPunct w:val="0"/>
              <w:autoSpaceDE w:val="0"/>
              <w:autoSpaceDN w:val="0"/>
              <w:adjustRightInd w:val="0"/>
              <w:spacing w:line="460" w:lineRule="exact"/>
              <w:jc w:val="center"/>
              <w:textAlignment w:val="baseline"/>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p>
        </w:tc>
        <w:tc>
          <w:tcPr>
            <w:tcW w:w="3137" w:type="dxa"/>
            <w:vAlign w:val="center"/>
          </w:tcPr>
          <w:p w14:paraId="211244B9">
            <w:pPr>
              <w:spacing w:line="440" w:lineRule="exact"/>
              <w:jc w:val="center"/>
              <w:rPr>
                <w:rFonts w:hint="eastAsia" w:hAnsi="宋体" w:cs="宋体"/>
                <w:color w:val="auto"/>
                <w:spacing w:val="-4"/>
                <w:sz w:val="24"/>
                <w:szCs w:val="24"/>
                <w:highlight w:val="none"/>
                <w:lang w:val="en-US" w:eastAsia="zh-CN"/>
              </w:rPr>
            </w:pPr>
            <w:r>
              <w:rPr>
                <w:rFonts w:hint="eastAsia" w:hAnsi="宋体" w:cs="宋体"/>
                <w:color w:val="auto"/>
                <w:spacing w:val="-4"/>
                <w:sz w:val="24"/>
                <w:szCs w:val="24"/>
                <w:highlight w:val="none"/>
                <w:lang w:val="en-US" w:eastAsia="zh-CN"/>
              </w:rPr>
              <w:t>白蚁药杀法灭治</w:t>
            </w:r>
          </w:p>
        </w:tc>
        <w:tc>
          <w:tcPr>
            <w:tcW w:w="2185" w:type="dxa"/>
            <w:vAlign w:val="center"/>
          </w:tcPr>
          <w:p w14:paraId="57D814F8">
            <w:pPr>
              <w:spacing w:line="440" w:lineRule="exact"/>
              <w:jc w:val="center"/>
              <w:rPr>
                <w:rFonts w:hint="eastAsia" w:hAnsi="宋体" w:cs="宋体"/>
                <w:spacing w:val="-4"/>
                <w:sz w:val="24"/>
                <w:szCs w:val="24"/>
                <w:highlight w:val="none"/>
                <w:lang w:val="en-US" w:eastAsia="zh-CN"/>
              </w:rPr>
            </w:pPr>
            <w:r>
              <w:rPr>
                <w:rFonts w:hint="eastAsia" w:hAnsi="宋体" w:cs="宋体"/>
                <w:color w:val="auto"/>
                <w:spacing w:val="-4"/>
                <w:sz w:val="24"/>
                <w:szCs w:val="24"/>
                <w:highlight w:val="none"/>
                <w:lang w:val="en-US" w:eastAsia="zh-CN"/>
              </w:rPr>
              <w:t>3.06元/㎡</w:t>
            </w:r>
          </w:p>
        </w:tc>
        <w:tc>
          <w:tcPr>
            <w:tcW w:w="3107" w:type="dxa"/>
            <w:vMerge w:val="continue"/>
            <w:vAlign w:val="center"/>
          </w:tcPr>
          <w:p w14:paraId="7FA7B7AD">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14:paraId="615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43" w:type="dxa"/>
            <w:vAlign w:val="center"/>
          </w:tcPr>
          <w:p w14:paraId="5948836A">
            <w:pPr>
              <w:snapToGrid w:val="0"/>
              <w:spacing w:before="50" w:after="50"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429" w:type="dxa"/>
            <w:gridSpan w:val="3"/>
            <w:vAlign w:val="center"/>
          </w:tcPr>
          <w:p w14:paraId="60DD81F9">
            <w:pPr>
              <w:snapToGrid w:val="0"/>
              <w:spacing w:before="50" w:after="50" w:line="340" w:lineRule="exact"/>
              <w:jc w:val="left"/>
              <w:rPr>
                <w:rFonts w:hint="eastAsia" w:ascii="宋体" w:hAnsi="宋体" w:cs="宋体"/>
                <w:bCs/>
                <w:color w:val="auto"/>
                <w:sz w:val="24"/>
                <w:highlight w:val="none"/>
              </w:rPr>
            </w:pPr>
            <w:r>
              <w:rPr>
                <w:rFonts w:hint="eastAsia" w:ascii="宋体" w:hAnsi="宋体" w:eastAsia="宋体" w:cs="宋体"/>
                <w:color w:val="auto"/>
                <w:sz w:val="24"/>
                <w:highlight w:val="none"/>
              </w:rPr>
              <w:t>投标报价大写（人民币）：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u w:val="single"/>
              </w:rPr>
              <w:t xml:space="preserve">          </w:t>
            </w:r>
          </w:p>
        </w:tc>
      </w:tr>
      <w:tr w14:paraId="46A1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472" w:type="dxa"/>
            <w:gridSpan w:val="4"/>
            <w:vAlign w:val="center"/>
          </w:tcPr>
          <w:p w14:paraId="404EF861">
            <w:pPr>
              <w:pStyle w:val="24"/>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备注：</w:t>
            </w:r>
            <w:r>
              <w:rPr>
                <w:rFonts w:hint="eastAsia" w:ascii="宋体" w:hAnsi="宋体" w:eastAsia="宋体" w:cs="宋体"/>
                <w:b w:val="0"/>
                <w:bCs w:val="0"/>
                <w:color w:val="auto"/>
                <w:kern w:val="2"/>
                <w:sz w:val="24"/>
                <w:szCs w:val="24"/>
                <w:highlight w:val="none"/>
                <w:lang w:val="en-US" w:eastAsia="zh-CN" w:bidi="ar-SA"/>
              </w:rPr>
              <w:t>本次招标项目的报价内容为</w:t>
            </w:r>
            <w:r>
              <w:rPr>
                <w:rFonts w:hint="eastAsia" w:hAnsi="宋体" w:cs="宋体"/>
                <w:color w:val="auto"/>
                <w:sz w:val="24"/>
                <w:highlight w:val="none"/>
                <w:lang w:val="en-US" w:eastAsia="zh-CN"/>
              </w:rPr>
              <w:t>折扣</w:t>
            </w:r>
            <w:r>
              <w:rPr>
                <w:rFonts w:hint="eastAsia" w:ascii="宋体" w:hAnsi="宋体" w:eastAsia="宋体" w:cs="宋体"/>
                <w:b w:val="0"/>
                <w:bCs w:val="0"/>
                <w:color w:val="auto"/>
                <w:kern w:val="2"/>
                <w:sz w:val="24"/>
                <w:szCs w:val="24"/>
                <w:highlight w:val="none"/>
                <w:lang w:val="en-US" w:eastAsia="zh-CN" w:bidi="ar-SA"/>
              </w:rPr>
              <w:t>，即投标人在招标文件工作内容及收费标准（基准价）中规定的基准价基础上，结合自身企业经营情况填报的折扣幅度。折扣以百分比（%）进行表述，折扣百分比数值越小，则报价越</w:t>
            </w:r>
            <w:r>
              <w:rPr>
                <w:rFonts w:hint="eastAsia" w:hAnsi="宋体" w:cs="宋体"/>
                <w:b w:val="0"/>
                <w:bCs w:val="0"/>
                <w:color w:val="auto"/>
                <w:kern w:val="2"/>
                <w:sz w:val="24"/>
                <w:szCs w:val="24"/>
                <w:highlight w:val="none"/>
                <w:lang w:val="en-US" w:eastAsia="zh-CN" w:bidi="ar-SA"/>
              </w:rPr>
              <w:t>低</w:t>
            </w:r>
            <w:r>
              <w:rPr>
                <w:rFonts w:hint="eastAsia" w:ascii="宋体" w:hAnsi="宋体" w:eastAsia="宋体" w:cs="宋体"/>
                <w:b w:val="0"/>
                <w:bCs w:val="0"/>
                <w:color w:val="auto"/>
                <w:kern w:val="2"/>
                <w:sz w:val="24"/>
                <w:szCs w:val="24"/>
                <w:highlight w:val="none"/>
                <w:lang w:val="en-US" w:eastAsia="zh-CN" w:bidi="ar-SA"/>
              </w:rPr>
              <w:t>。</w:t>
            </w:r>
          </w:p>
          <w:p w14:paraId="192142EF">
            <w:pPr>
              <w:snapToGrid w:val="0"/>
              <w:spacing w:before="50" w:after="50" w:line="3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2"/>
                <w:sz w:val="24"/>
                <w:szCs w:val="24"/>
                <w:highlight w:val="none"/>
                <w:lang w:val="en-US" w:eastAsia="zh-CN" w:bidi="ar-SA"/>
              </w:rPr>
              <w:t>结算时根据中标人完成各项目的完工数量及中标单价结算。中标单价=收费基准价×折扣</w:t>
            </w:r>
          </w:p>
        </w:tc>
      </w:tr>
    </w:tbl>
    <w:p w14:paraId="531DFA1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1、投标报价（百分率）必须填写，否则其投标作无效标处理。报价一经涂改，应在涂改处加盖单位公章或者由法定代表人或授权委托人签字或盖章，否则其投标作无效标处理。</w:t>
      </w:r>
    </w:p>
    <w:p w14:paraId="5E1D2E1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包括应包括本项目有关的全部费用，报价包括因领取基础资料、现场踏勘等需要产生的食、宿、交通等费用，包括人员费用、器械费用、药物费用、监测控制装置费用、合理利润、税金、政策性文件规定及合同包含的所有风险、责任等各项应有费用。投标报价为投标方所能承受的最低、最终一次性报价，如有漏项，视同已包含在其它项目中，合同价不作调整。</w:t>
      </w:r>
    </w:p>
    <w:p w14:paraId="3EA956F9">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3、本表格式不允许修改，表格在格式不改的情况下可以作相应的增减，否则作无效标处理。</w:t>
      </w:r>
    </w:p>
    <w:p w14:paraId="6662BCB1">
      <w:pPr>
        <w:pStyle w:val="18"/>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4、开标一览表与投标文件不一致的以开标一览表为准</w:t>
      </w:r>
    </w:p>
    <w:p w14:paraId="6D21A93A">
      <w:pPr>
        <w:snapToGrid w:val="0"/>
        <w:spacing w:before="50" w:after="50" w:line="340" w:lineRule="exact"/>
        <w:ind w:left="-3" w:leftChars="-72" w:right="-817" w:rightChars="-389" w:hanging="148" w:hangingChars="62"/>
        <w:rPr>
          <w:rFonts w:ascii="宋体" w:hAnsi="宋体" w:cs="宋体"/>
          <w:color w:val="auto"/>
          <w:sz w:val="24"/>
          <w:highlight w:val="none"/>
        </w:rPr>
      </w:pPr>
    </w:p>
    <w:p w14:paraId="08E5D7BB">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w:t>
      </w:r>
      <w:r>
        <w:rPr>
          <w:rFonts w:hint="eastAsia" w:ascii="宋体" w:hAnsi="宋体"/>
          <w:color w:val="auto"/>
          <w:spacing w:val="20"/>
          <w:sz w:val="24"/>
          <w:highlight w:val="none"/>
        </w:rPr>
        <w:t>：</w:t>
      </w:r>
    </w:p>
    <w:p w14:paraId="132DA751">
      <w:pPr>
        <w:rPr>
          <w:rFonts w:hint="eastAsia" w:hAnsi="宋体"/>
          <w:color w:val="000000"/>
          <w:sz w:val="24"/>
        </w:rPr>
      </w:pPr>
      <w:r>
        <w:rPr>
          <w:rFonts w:hint="eastAsia" w:hAnsi="宋体"/>
          <w:color w:val="000000"/>
          <w:sz w:val="24"/>
        </w:rPr>
        <w:t>法定代表人或其授权代表签字：</w:t>
      </w:r>
    </w:p>
    <w:p w14:paraId="22CAEEA8">
      <w:pPr>
        <w:snapToGrid w:val="0"/>
        <w:spacing w:line="360" w:lineRule="auto"/>
        <w:jc w:val="left"/>
        <w:rPr>
          <w:rFonts w:hint="eastAsia" w:ascii="宋体" w:hAnsi="宋体"/>
          <w:color w:val="auto"/>
          <w:spacing w:val="20"/>
          <w:sz w:val="24"/>
          <w:highlight w:val="none"/>
        </w:rPr>
      </w:pPr>
    </w:p>
    <w:p w14:paraId="0814C187">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3C34BC94">
      <w:pPr>
        <w:tabs>
          <w:tab w:val="left" w:pos="420"/>
        </w:tabs>
        <w:ind w:firstLine="723" w:firstLineChars="200"/>
        <w:jc w:val="center"/>
        <w:rPr>
          <w:rFonts w:ascii="宋体" w:hAnsi="宋体" w:cs="宋体"/>
          <w:b/>
          <w:color w:val="auto"/>
          <w:sz w:val="36"/>
          <w:highlight w:val="none"/>
        </w:rPr>
      </w:pPr>
      <w:r>
        <w:rPr>
          <w:rFonts w:hint="eastAsia" w:ascii="宋体" w:hAnsi="宋体" w:cs="宋体"/>
          <w:b/>
          <w:color w:val="auto"/>
          <w:sz w:val="36"/>
          <w:highlight w:val="none"/>
        </w:rPr>
        <w:br w:type="page"/>
      </w:r>
      <w:r>
        <w:rPr>
          <w:rFonts w:hint="eastAsia" w:ascii="宋体" w:hAnsi="宋体" w:cs="宋体"/>
          <w:b/>
          <w:color w:val="auto"/>
          <w:sz w:val="36"/>
          <w:highlight w:val="none"/>
        </w:rPr>
        <w:t>中小企业声明函（服务）</w:t>
      </w:r>
    </w:p>
    <w:p w14:paraId="3378C51C">
      <w:pPr>
        <w:pStyle w:val="24"/>
        <w:ind w:firstLine="344"/>
        <w:rPr>
          <w:color w:val="auto"/>
          <w:highlight w:val="none"/>
        </w:rPr>
      </w:pPr>
    </w:p>
    <w:p w14:paraId="614FC55F">
      <w:pPr>
        <w:rPr>
          <w:color w:val="auto"/>
          <w:highlight w:val="none"/>
        </w:rPr>
      </w:pPr>
    </w:p>
    <w:p w14:paraId="5483DD86">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7190F4E3">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（标的名称），属于（采购文件中明确的所属行业）行业；承接企业为 （企业名称），从业人员_____人，营业收入为_____万元，资产总额为_____万元，属于（中型企业、小型企业、微型企业）；</w:t>
      </w:r>
    </w:p>
    <w:p w14:paraId="54674294">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本企业对上述声明内容的真实性负责。如有虚假，将依法承担相应责任。</w:t>
      </w:r>
    </w:p>
    <w:p w14:paraId="32EAB8CA">
      <w:pPr>
        <w:tabs>
          <w:tab w:val="left" w:pos="420"/>
        </w:tabs>
        <w:spacing w:line="360" w:lineRule="auto"/>
        <w:ind w:firstLine="480" w:firstLineChars="200"/>
        <w:jc w:val="left"/>
        <w:rPr>
          <w:rFonts w:ascii="宋体" w:hAnsi="宋体" w:cs="Arial"/>
          <w:bCs/>
          <w:color w:val="auto"/>
          <w:kern w:val="0"/>
          <w:sz w:val="24"/>
          <w:highlight w:val="none"/>
        </w:rPr>
      </w:pPr>
    </w:p>
    <w:p w14:paraId="58BECA94">
      <w:pPr>
        <w:tabs>
          <w:tab w:val="left" w:pos="420"/>
        </w:tabs>
        <w:spacing w:line="360" w:lineRule="auto"/>
        <w:ind w:firstLine="480" w:firstLineChars="200"/>
        <w:jc w:val="right"/>
        <w:rPr>
          <w:rFonts w:ascii="宋体" w:hAnsi="宋体" w:cs="Arial"/>
          <w:bCs/>
          <w:color w:val="auto"/>
          <w:kern w:val="0"/>
          <w:sz w:val="24"/>
          <w:highlight w:val="none"/>
        </w:rPr>
      </w:pPr>
      <w:r>
        <w:rPr>
          <w:rFonts w:hint="eastAsia" w:ascii="宋体" w:hAnsi="宋体" w:cs="Arial"/>
          <w:bCs/>
          <w:color w:val="auto"/>
          <w:kern w:val="0"/>
          <w:sz w:val="24"/>
          <w:highlight w:val="none"/>
        </w:rPr>
        <w:t>企业名称（盖章）：</w:t>
      </w:r>
    </w:p>
    <w:p w14:paraId="15BCFAA2">
      <w:pPr>
        <w:tabs>
          <w:tab w:val="left" w:pos="420"/>
        </w:tabs>
        <w:spacing w:before="100" w:beforeAutospacing="1" w:after="100" w:afterAutospacing="1" w:line="360" w:lineRule="auto"/>
        <w:ind w:firstLine="480" w:firstLineChars="200"/>
        <w:jc w:val="center"/>
        <w:rPr>
          <w:rFonts w:ascii="宋体" w:hAnsi="宋体" w:cs="Arial"/>
          <w:bCs/>
          <w:color w:val="auto"/>
          <w:kern w:val="0"/>
          <w:sz w:val="24"/>
          <w:highlight w:val="none"/>
        </w:rPr>
      </w:pPr>
      <w:r>
        <w:rPr>
          <w:rFonts w:hint="eastAsia" w:ascii="宋体" w:hAnsi="宋体" w:cs="Arial"/>
          <w:bCs/>
          <w:color w:val="auto"/>
          <w:kern w:val="0"/>
          <w:sz w:val="24"/>
          <w:highlight w:val="none"/>
        </w:rPr>
        <w:t xml:space="preserve">                                                   日 期：</w:t>
      </w:r>
    </w:p>
    <w:p w14:paraId="32401B55">
      <w:pPr>
        <w:tabs>
          <w:tab w:val="left" w:pos="420"/>
        </w:tabs>
        <w:spacing w:before="100" w:beforeAutospacing="1" w:after="100" w:afterAutospacing="1"/>
        <w:rPr>
          <w:rFonts w:ascii="宋体" w:hAnsi="宋体" w:cs="Arial"/>
          <w:b/>
          <w:bCs/>
          <w:color w:val="auto"/>
          <w:kern w:val="0"/>
          <w:sz w:val="24"/>
          <w:highlight w:val="none"/>
        </w:rPr>
      </w:pPr>
      <w:r>
        <w:rPr>
          <w:rFonts w:hint="eastAsia" w:ascii="宋体" w:hAnsi="宋体" w:cs="Arial"/>
          <w:b/>
          <w:bCs/>
          <w:color w:val="auto"/>
          <w:kern w:val="0"/>
          <w:sz w:val="24"/>
          <w:highlight w:val="none"/>
        </w:rPr>
        <w:t>注：</w:t>
      </w:r>
    </w:p>
    <w:p w14:paraId="1AEDE74F">
      <w:pPr>
        <w:tabs>
          <w:tab w:val="left" w:pos="420"/>
        </w:tabs>
        <w:spacing w:before="100" w:beforeAutospacing="1" w:after="100" w:afterAutospacing="1"/>
        <w:rPr>
          <w:rFonts w:ascii="宋体" w:hAnsi="宋体"/>
          <w:b/>
          <w:color w:val="auto"/>
          <w:highlight w:val="none"/>
        </w:rPr>
      </w:pPr>
      <w:r>
        <w:rPr>
          <w:rFonts w:hint="eastAsia" w:ascii="宋体" w:hAnsi="宋体" w:cs="Arial"/>
          <w:b/>
          <w:bCs/>
          <w:color w:val="auto"/>
          <w:kern w:val="0"/>
          <w:sz w:val="24"/>
          <w:highlight w:val="none"/>
        </w:rPr>
        <w:t>1、</w:t>
      </w:r>
      <w:r>
        <w:rPr>
          <w:rFonts w:hint="eastAsia" w:ascii="宋体" w:hAnsi="宋体"/>
          <w:b/>
          <w:color w:val="auto"/>
          <w:highlight w:val="none"/>
        </w:rPr>
        <w:t>如承接单位为</w:t>
      </w:r>
      <w:r>
        <w:rPr>
          <w:rFonts w:hint="eastAsia" w:ascii="宋体" w:hAnsi="宋体"/>
          <w:b/>
          <w:color w:val="auto"/>
          <w:highlight w:val="none"/>
          <w:lang w:eastAsia="zh-CN"/>
        </w:rPr>
        <w:t>中</w:t>
      </w:r>
      <w:r>
        <w:rPr>
          <w:rFonts w:hint="eastAsia" w:ascii="宋体" w:hAnsi="宋体"/>
          <w:b/>
          <w:color w:val="auto"/>
          <w:highlight w:val="none"/>
        </w:rPr>
        <w:t>小微企业，则需提供中小企业声明函。</w:t>
      </w:r>
    </w:p>
    <w:p w14:paraId="5FA64F51">
      <w:pPr>
        <w:rPr>
          <w:rFonts w:ascii="宋体"/>
          <w:b/>
          <w:color w:val="auto"/>
          <w:sz w:val="24"/>
          <w:highlight w:val="none"/>
        </w:rPr>
      </w:pPr>
      <w:r>
        <w:rPr>
          <w:rFonts w:hint="eastAsia" w:ascii="宋体" w:hAnsi="宋体"/>
          <w:b/>
          <w:color w:val="auto"/>
          <w:highlight w:val="none"/>
        </w:rPr>
        <w:t>2、如中标人声明为小微企业，本声明函将随中标结果同时公告，接受社会监督。</w:t>
      </w:r>
    </w:p>
    <w:p w14:paraId="78ABB6B2">
      <w:pPr>
        <w:pStyle w:val="4"/>
        <w:rPr>
          <w:color w:val="auto"/>
          <w:highlight w:val="none"/>
        </w:rPr>
      </w:pPr>
    </w:p>
    <w:p w14:paraId="7D0A872E">
      <w:pPr>
        <w:pStyle w:val="8"/>
        <w:rPr>
          <w:rFonts w:ascii="宋体" w:hAnsi="宋体" w:cs="宋体"/>
          <w:b/>
          <w:bCs/>
          <w:color w:val="auto"/>
          <w:sz w:val="24"/>
          <w:highlight w:val="none"/>
        </w:rPr>
      </w:pPr>
    </w:p>
    <w:p w14:paraId="21B05A94">
      <w:pPr>
        <w:spacing w:after="120"/>
        <w:ind w:right="960"/>
        <w:jc w:val="center"/>
        <w:rPr>
          <w:rFonts w:ascii="宋体" w:hAnsi="宋体" w:cs="宋体"/>
          <w:b/>
          <w:color w:val="auto"/>
          <w:sz w:val="36"/>
          <w:highlight w:val="none"/>
        </w:rPr>
      </w:pPr>
    </w:p>
    <w:p w14:paraId="3B3D8643">
      <w:pPr>
        <w:pStyle w:val="24"/>
        <w:ind w:firstLine="707"/>
        <w:rPr>
          <w:rFonts w:hAnsi="宋体" w:cs="宋体"/>
          <w:b/>
          <w:color w:val="auto"/>
          <w:sz w:val="36"/>
          <w:highlight w:val="none"/>
        </w:rPr>
      </w:pPr>
    </w:p>
    <w:p w14:paraId="143EB059">
      <w:pPr>
        <w:rPr>
          <w:rFonts w:ascii="宋体" w:hAnsi="宋体" w:cs="宋体"/>
          <w:b/>
          <w:color w:val="auto"/>
          <w:sz w:val="36"/>
          <w:highlight w:val="none"/>
        </w:rPr>
      </w:pPr>
    </w:p>
    <w:p w14:paraId="0A048F87">
      <w:pPr>
        <w:pStyle w:val="24"/>
        <w:ind w:firstLine="344"/>
        <w:rPr>
          <w:color w:val="auto"/>
          <w:highlight w:val="none"/>
        </w:rPr>
      </w:pPr>
    </w:p>
    <w:p w14:paraId="775D7534">
      <w:pPr>
        <w:spacing w:after="120"/>
        <w:ind w:right="960"/>
        <w:rPr>
          <w:rFonts w:ascii="宋体" w:hAnsi="宋体" w:cs="宋体"/>
          <w:b/>
          <w:color w:val="auto"/>
          <w:sz w:val="36"/>
          <w:highlight w:val="none"/>
        </w:rPr>
      </w:pPr>
    </w:p>
    <w:p w14:paraId="287493E5">
      <w:pPr>
        <w:spacing w:after="120"/>
        <w:ind w:right="960"/>
        <w:rPr>
          <w:rFonts w:ascii="宋体" w:hAnsi="宋体" w:cs="宋体"/>
          <w:b/>
          <w:color w:val="auto"/>
          <w:sz w:val="36"/>
          <w:highlight w:val="none"/>
        </w:rPr>
      </w:pPr>
    </w:p>
    <w:p w14:paraId="1E9981DF">
      <w:pPr>
        <w:spacing w:after="120"/>
        <w:ind w:right="960"/>
        <w:jc w:val="center"/>
        <w:rPr>
          <w:rFonts w:ascii="宋体" w:hAnsi="宋体" w:cs="宋体"/>
          <w:b/>
          <w:color w:val="auto"/>
          <w:sz w:val="36"/>
          <w:highlight w:val="none"/>
        </w:rPr>
      </w:pPr>
    </w:p>
    <w:p w14:paraId="46F7A88D">
      <w:pPr>
        <w:spacing w:after="120"/>
        <w:ind w:right="960"/>
        <w:jc w:val="center"/>
        <w:rPr>
          <w:rFonts w:ascii="宋体" w:hAnsi="宋体" w:cs="宋体"/>
          <w:b/>
          <w:color w:val="auto"/>
          <w:sz w:val="36"/>
          <w:highlight w:val="none"/>
        </w:rPr>
      </w:pPr>
    </w:p>
    <w:p w14:paraId="0A13EEA2">
      <w:pPr>
        <w:spacing w:after="120"/>
        <w:ind w:right="960"/>
        <w:jc w:val="center"/>
        <w:rPr>
          <w:rFonts w:ascii="宋体" w:hAnsi="宋体" w:cs="宋体"/>
          <w:b/>
          <w:color w:val="auto"/>
          <w:sz w:val="36"/>
          <w:highlight w:val="none"/>
        </w:rPr>
      </w:pPr>
    </w:p>
    <w:p w14:paraId="70316404">
      <w:pPr>
        <w:spacing w:after="120"/>
        <w:ind w:right="960"/>
        <w:jc w:val="center"/>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2AC50280">
      <w:pPr>
        <w:widowControl/>
        <w:snapToGrid w:val="0"/>
        <w:spacing w:line="300" w:lineRule="auto"/>
        <w:jc w:val="center"/>
        <w:rPr>
          <w:rFonts w:ascii="宋体" w:hAnsi="宋体" w:cs="宋体"/>
          <w:b/>
          <w:color w:val="auto"/>
          <w:sz w:val="36"/>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非残疾人福利性单位不用提供</w:t>
      </w:r>
      <w:r>
        <w:rPr>
          <w:rFonts w:hint="eastAsia" w:ascii="宋体" w:hAnsi="宋体" w:cs="宋体"/>
          <w:b/>
          <w:color w:val="auto"/>
          <w:sz w:val="24"/>
          <w:highlight w:val="none"/>
        </w:rPr>
        <w:t>】</w:t>
      </w:r>
    </w:p>
    <w:p w14:paraId="412700A5">
      <w:pPr>
        <w:spacing w:line="480" w:lineRule="auto"/>
        <w:ind w:right="6"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390183">
      <w:pPr>
        <w:spacing w:line="480" w:lineRule="auto"/>
        <w:ind w:right="6"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4F313A7">
      <w:pPr>
        <w:spacing w:after="120"/>
        <w:ind w:right="960"/>
        <w:jc w:val="left"/>
        <w:rPr>
          <w:rFonts w:ascii="宋体" w:hAnsi="宋体" w:cs="宋体"/>
          <w:color w:val="auto"/>
          <w:sz w:val="28"/>
          <w:szCs w:val="28"/>
          <w:highlight w:val="none"/>
        </w:rPr>
      </w:pPr>
    </w:p>
    <w:p w14:paraId="3E56E8F5">
      <w:pPr>
        <w:spacing w:after="120"/>
        <w:ind w:right="960" w:firstLine="3600" w:firstLineChars="1500"/>
        <w:jc w:val="left"/>
        <w:rPr>
          <w:rFonts w:ascii="宋体" w:hAnsi="宋体" w:cs="宋体"/>
          <w:color w:val="auto"/>
          <w:sz w:val="24"/>
          <w:highlight w:val="none"/>
        </w:rPr>
      </w:pPr>
      <w:r>
        <w:rPr>
          <w:rFonts w:hint="eastAsia" w:ascii="宋体" w:hAnsi="宋体" w:cs="宋体"/>
          <w:color w:val="auto"/>
          <w:sz w:val="24"/>
          <w:highlight w:val="none"/>
        </w:rPr>
        <w:t>单位名称（盖章）:</w:t>
      </w:r>
    </w:p>
    <w:p w14:paraId="2B48CC73">
      <w:pPr>
        <w:widowControl/>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日  期：</w:t>
      </w:r>
    </w:p>
    <w:p w14:paraId="78E9CF9D">
      <w:pPr>
        <w:ind w:hanging="28"/>
        <w:rPr>
          <w:rFonts w:ascii="宋体" w:hAnsi="宋体" w:cs="宋体"/>
          <w:b/>
          <w:color w:val="auto"/>
          <w:sz w:val="24"/>
          <w:highlight w:val="none"/>
        </w:rPr>
      </w:pPr>
    </w:p>
    <w:p w14:paraId="01C2C99A">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残疾人福利性单位视同小型、微型企业，享受价格扣除。</w:t>
      </w:r>
    </w:p>
    <w:p w14:paraId="363D58AC">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残疾人福利性单位属于小型、微型企业的，不重复享受政策。</w:t>
      </w:r>
    </w:p>
    <w:p w14:paraId="5ABBF53D">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如中标人声明为残疾人福利性单位，本声明函将随中标结果同时公告，接受社会监督。</w:t>
      </w:r>
    </w:p>
    <w:p w14:paraId="5D006711">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后附残疾人福利性单位残疾人聘用情况表</w:t>
      </w:r>
    </w:p>
    <w:p w14:paraId="360F8CD8">
      <w:pPr>
        <w:snapToGrid w:val="0"/>
        <w:spacing w:before="120" w:beforeLines="50" w:after="50"/>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残疾人福利性单位残疾人聘用情况表（格式可扩展）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52"/>
        <w:gridCol w:w="2589"/>
        <w:gridCol w:w="2247"/>
      </w:tblGrid>
      <w:tr w14:paraId="4275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14:paraId="7A822FE4">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752" w:type="dxa"/>
            <w:tcBorders>
              <w:top w:val="single" w:color="auto" w:sz="4" w:space="0"/>
              <w:left w:val="single" w:color="auto" w:sz="4" w:space="0"/>
              <w:bottom w:val="single" w:color="auto" w:sz="4" w:space="0"/>
              <w:right w:val="single" w:color="auto" w:sz="4" w:space="0"/>
            </w:tcBorders>
          </w:tcPr>
          <w:p w14:paraId="4DCAF641">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2589" w:type="dxa"/>
            <w:tcBorders>
              <w:top w:val="single" w:color="auto" w:sz="4" w:space="0"/>
              <w:left w:val="single" w:color="auto" w:sz="4" w:space="0"/>
              <w:bottom w:val="single" w:color="auto" w:sz="4" w:space="0"/>
              <w:right w:val="single" w:color="auto" w:sz="4" w:space="0"/>
            </w:tcBorders>
          </w:tcPr>
          <w:p w14:paraId="71BCC66B">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残疾人证号</w:t>
            </w:r>
          </w:p>
        </w:tc>
        <w:tc>
          <w:tcPr>
            <w:tcW w:w="2247" w:type="dxa"/>
            <w:tcBorders>
              <w:top w:val="single" w:color="auto" w:sz="4" w:space="0"/>
              <w:left w:val="single" w:color="auto" w:sz="4" w:space="0"/>
              <w:bottom w:val="single" w:color="auto" w:sz="4" w:space="0"/>
              <w:right w:val="single" w:color="auto" w:sz="4" w:space="0"/>
            </w:tcBorders>
          </w:tcPr>
          <w:p w14:paraId="65974CA6">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聘用时间</w:t>
            </w:r>
          </w:p>
        </w:tc>
      </w:tr>
      <w:tr w14:paraId="65E2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14:paraId="65CC5D56">
            <w:pPr>
              <w:snapToGrid w:val="0"/>
              <w:spacing w:before="120" w:beforeLines="50" w:after="50"/>
              <w:jc w:val="center"/>
              <w:rPr>
                <w:rFonts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tcPr>
          <w:p w14:paraId="445378C9">
            <w:pPr>
              <w:snapToGrid w:val="0"/>
              <w:spacing w:before="120" w:beforeLines="50" w:after="50"/>
              <w:jc w:val="center"/>
              <w:rPr>
                <w:rFonts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tcPr>
          <w:p w14:paraId="1294690B">
            <w:pPr>
              <w:snapToGrid w:val="0"/>
              <w:spacing w:before="120" w:beforeLines="50" w:after="50"/>
              <w:jc w:val="center"/>
              <w:rPr>
                <w:rFonts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tcPr>
          <w:p w14:paraId="42C7246C">
            <w:pPr>
              <w:snapToGrid w:val="0"/>
              <w:spacing w:before="120" w:beforeLines="50" w:after="50"/>
              <w:jc w:val="center"/>
              <w:rPr>
                <w:rFonts w:ascii="宋体" w:hAnsi="宋体" w:cs="宋体"/>
                <w:b/>
                <w:color w:val="auto"/>
                <w:sz w:val="24"/>
                <w:highlight w:val="none"/>
              </w:rPr>
            </w:pPr>
          </w:p>
        </w:tc>
      </w:tr>
      <w:tr w14:paraId="7F5B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14:paraId="74CCD7BD">
            <w:pPr>
              <w:snapToGrid w:val="0"/>
              <w:spacing w:before="120" w:beforeLines="50" w:after="50"/>
              <w:jc w:val="center"/>
              <w:rPr>
                <w:rFonts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tcPr>
          <w:p w14:paraId="25CE3C72">
            <w:pPr>
              <w:snapToGrid w:val="0"/>
              <w:spacing w:before="120" w:beforeLines="50" w:after="50"/>
              <w:jc w:val="center"/>
              <w:rPr>
                <w:rFonts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tcPr>
          <w:p w14:paraId="618E125D">
            <w:pPr>
              <w:snapToGrid w:val="0"/>
              <w:spacing w:before="120" w:beforeLines="50" w:after="50"/>
              <w:jc w:val="center"/>
              <w:rPr>
                <w:rFonts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tcPr>
          <w:p w14:paraId="37991427">
            <w:pPr>
              <w:snapToGrid w:val="0"/>
              <w:spacing w:before="120" w:beforeLines="50" w:after="50"/>
              <w:jc w:val="center"/>
              <w:rPr>
                <w:rFonts w:ascii="宋体" w:hAnsi="宋体" w:cs="宋体"/>
                <w:b/>
                <w:color w:val="auto"/>
                <w:sz w:val="24"/>
                <w:highlight w:val="none"/>
              </w:rPr>
            </w:pPr>
          </w:p>
        </w:tc>
      </w:tr>
    </w:tbl>
    <w:p w14:paraId="641B2CD9">
      <w:pPr>
        <w:widowControl/>
        <w:jc w:val="left"/>
        <w:rPr>
          <w:rFonts w:ascii="宋体" w:hAnsi="宋体" w:cs="宋体"/>
          <w:color w:val="auto"/>
          <w:highlight w:val="none"/>
        </w:rPr>
      </w:pPr>
      <w:r>
        <w:rPr>
          <w:rFonts w:hint="eastAsia" w:ascii="宋体" w:hAnsi="宋体" w:cs="宋体"/>
          <w:b/>
          <w:color w:val="auto"/>
          <w:sz w:val="24"/>
          <w:highlight w:val="none"/>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14:paraId="63474F7F">
      <w:pPr>
        <w:ind w:hanging="28"/>
        <w:rPr>
          <w:rFonts w:ascii="宋体" w:hAnsi="宋体" w:cs="宋体"/>
          <w:b/>
          <w:color w:val="auto"/>
          <w:sz w:val="24"/>
          <w:highlight w:val="none"/>
        </w:rPr>
      </w:pPr>
    </w:p>
    <w:p w14:paraId="72A89AF3">
      <w:pPr>
        <w:pStyle w:val="4"/>
        <w:rPr>
          <w:rFonts w:ascii="宋体" w:hAnsi="宋体" w:eastAsia="宋体" w:cs="宋体"/>
          <w:color w:val="auto"/>
          <w:highlight w:val="none"/>
        </w:rPr>
      </w:pPr>
    </w:p>
    <w:p w14:paraId="56CE4B96">
      <w:pPr>
        <w:rPr>
          <w:rFonts w:ascii="宋体" w:hAnsi="宋体" w:cs="宋体"/>
          <w:color w:val="auto"/>
          <w:highlight w:val="none"/>
        </w:rPr>
      </w:pPr>
    </w:p>
    <w:p w14:paraId="57D62163">
      <w:pPr>
        <w:pStyle w:val="24"/>
        <w:ind w:firstLine="344"/>
        <w:rPr>
          <w:rFonts w:hAnsi="宋体" w:cs="宋体"/>
          <w:color w:val="auto"/>
          <w:highlight w:val="none"/>
        </w:rPr>
      </w:pPr>
    </w:p>
    <w:p w14:paraId="6824F566">
      <w:pPr>
        <w:rPr>
          <w:rFonts w:ascii="宋体" w:hAnsi="宋体" w:cs="宋体"/>
          <w:color w:val="auto"/>
          <w:highlight w:val="none"/>
        </w:rPr>
      </w:pPr>
    </w:p>
    <w:p w14:paraId="083C2629">
      <w:pPr>
        <w:spacing w:line="30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14:paraId="728FC3E0">
      <w:pPr>
        <w:adjustRightInd w:val="0"/>
        <w:snapToGrid w:val="0"/>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非监狱企业不用提供</w:t>
      </w:r>
      <w:r>
        <w:rPr>
          <w:rFonts w:hint="eastAsia" w:ascii="宋体" w:hAnsi="宋体" w:cs="宋体"/>
          <w:b/>
          <w:color w:val="auto"/>
          <w:sz w:val="24"/>
          <w:highlight w:val="none"/>
        </w:rPr>
        <w:t>】</w:t>
      </w:r>
    </w:p>
    <w:p w14:paraId="10C33341">
      <w:pPr>
        <w:widowControl/>
        <w:adjustRightInd w:val="0"/>
        <w:snapToGrid w:val="0"/>
        <w:spacing w:line="300" w:lineRule="auto"/>
        <w:ind w:firstLine="480" w:firstLineChars="200"/>
        <w:rPr>
          <w:rFonts w:ascii="宋体" w:hAnsi="宋体" w:cs="宋体"/>
          <w:color w:val="auto"/>
          <w:sz w:val="24"/>
          <w:highlight w:val="none"/>
        </w:rPr>
      </w:pPr>
    </w:p>
    <w:p w14:paraId="2E4140EE">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w:t>
      </w:r>
      <w:r>
        <w:rPr>
          <w:rFonts w:hint="eastAsia" w:ascii="宋体" w:hAnsi="宋体" w:cs="宋体"/>
          <w:color w:val="auto"/>
          <w:sz w:val="24"/>
          <w:highlight w:val="none"/>
          <w:u w:val="single"/>
        </w:rPr>
        <w:t>监狱企业</w:t>
      </w:r>
      <w:r>
        <w:rPr>
          <w:rFonts w:hint="eastAsia" w:ascii="宋体" w:hAnsi="宋体" w:cs="宋体"/>
          <w:color w:val="auto"/>
          <w:sz w:val="24"/>
          <w:highlight w:val="none"/>
        </w:rPr>
        <w:t>。</w:t>
      </w:r>
    </w:p>
    <w:p w14:paraId="2945B295">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根据上述标准，我企业属于</w:t>
      </w:r>
      <w:r>
        <w:rPr>
          <w:rFonts w:hint="eastAsia" w:ascii="宋体" w:hAnsi="宋体" w:cs="宋体"/>
          <w:color w:val="auto"/>
          <w:sz w:val="24"/>
          <w:highlight w:val="none"/>
          <w:u w:val="single"/>
        </w:rPr>
        <w:t>监狱企业</w:t>
      </w:r>
      <w:r>
        <w:rPr>
          <w:rFonts w:hint="eastAsia" w:ascii="宋体" w:hAnsi="宋体" w:cs="宋体"/>
          <w:color w:val="auto"/>
          <w:sz w:val="24"/>
          <w:highlight w:val="none"/>
        </w:rPr>
        <w:t>的理由为： 。</w:t>
      </w:r>
    </w:p>
    <w:p w14:paraId="1F0932A8">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本企业为参加（项目名称：）（项目编号：）采购活动提供本企业</w:t>
      </w:r>
      <w:r>
        <w:rPr>
          <w:rFonts w:hint="eastAsia" w:ascii="宋体" w:hAnsi="宋体" w:cs="宋体"/>
          <w:color w:val="auto"/>
          <w:sz w:val="24"/>
          <w:highlight w:val="none"/>
          <w:u w:val="single"/>
        </w:rPr>
        <w:t>的服务</w:t>
      </w:r>
      <w:r>
        <w:rPr>
          <w:rFonts w:hint="eastAsia" w:ascii="宋体" w:hAnsi="宋体" w:cs="宋体"/>
          <w:color w:val="auto"/>
          <w:sz w:val="24"/>
          <w:highlight w:val="none"/>
        </w:rPr>
        <w:t>。</w:t>
      </w:r>
    </w:p>
    <w:p w14:paraId="430C3C14">
      <w:pPr>
        <w:widowControl/>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本企业对上述声明的真实性负责。如有虚假，将依法承担相应责任</w:t>
      </w:r>
      <w:r>
        <w:rPr>
          <w:rFonts w:hint="eastAsia" w:ascii="宋体" w:hAnsi="宋体" w:cs="宋体"/>
          <w:color w:val="auto"/>
          <w:sz w:val="24"/>
          <w:highlight w:val="none"/>
        </w:rPr>
        <w:t>。</w:t>
      </w:r>
    </w:p>
    <w:p w14:paraId="158F2A61">
      <w:pPr>
        <w:adjustRightInd w:val="0"/>
        <w:snapToGrid w:val="0"/>
        <w:spacing w:line="360" w:lineRule="auto"/>
        <w:ind w:firstLine="480" w:firstLineChars="200"/>
        <w:jc w:val="center"/>
        <w:rPr>
          <w:rFonts w:ascii="宋体" w:hAnsi="宋体" w:cs="宋体"/>
          <w:color w:val="auto"/>
          <w:sz w:val="24"/>
          <w:highlight w:val="none"/>
        </w:rPr>
      </w:pPr>
    </w:p>
    <w:p w14:paraId="0A5F4CED">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供应商名称（盖章）：</w:t>
      </w:r>
    </w:p>
    <w:p w14:paraId="227B20D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14:paraId="2923A8B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133D85C5">
      <w:pPr>
        <w:widowControl/>
        <w:snapToGrid w:val="0"/>
        <w:spacing w:line="360" w:lineRule="auto"/>
        <w:ind w:firstLine="480" w:firstLineChars="200"/>
        <w:rPr>
          <w:rFonts w:ascii="宋体" w:hAnsi="宋体" w:cs="宋体"/>
          <w:color w:val="auto"/>
          <w:sz w:val="24"/>
          <w:highlight w:val="none"/>
        </w:rPr>
      </w:pPr>
    </w:p>
    <w:p w14:paraId="5EA2FBBE">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6BE500F3">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F3E997">
      <w:pPr>
        <w:pStyle w:val="2"/>
        <w:adjustRightInd w:val="0"/>
        <w:snapToGrid w:val="0"/>
        <w:spacing w:beforeLines="0" w:afterLines="0" w:line="300" w:lineRule="auto"/>
        <w:ind w:firstLine="480" w:firstLineChars="200"/>
        <w:rPr>
          <w:rFonts w:hAnsi="宋体" w:cs="宋体"/>
          <w:color w:val="auto"/>
          <w:highlight w:val="none"/>
        </w:rPr>
      </w:pPr>
    </w:p>
    <w:p w14:paraId="118D1548">
      <w:pPr>
        <w:ind w:hanging="28"/>
        <w:rPr>
          <w:rFonts w:ascii="宋体" w:hAnsi="宋体" w:cs="宋体"/>
          <w:b/>
          <w:color w:val="auto"/>
          <w:sz w:val="24"/>
          <w:highlight w:val="none"/>
        </w:rPr>
      </w:pPr>
    </w:p>
    <w:p w14:paraId="520925BD">
      <w:pPr>
        <w:rPr>
          <w:rFonts w:ascii="宋体" w:hAnsi="宋体" w:cs="宋体"/>
          <w:color w:val="auto"/>
          <w:sz w:val="44"/>
          <w:szCs w:val="44"/>
          <w:highlight w:val="none"/>
        </w:rPr>
      </w:pPr>
    </w:p>
    <w:p w14:paraId="5D7140A0">
      <w:pPr>
        <w:rPr>
          <w:rFonts w:ascii="宋体" w:hAnsi="宋体" w:cs="宋体"/>
          <w:color w:val="auto"/>
          <w:sz w:val="44"/>
          <w:szCs w:val="44"/>
          <w:highlight w:val="none"/>
        </w:rPr>
      </w:pPr>
    </w:p>
    <w:p w14:paraId="3DF297A9">
      <w:pPr>
        <w:rPr>
          <w:rFonts w:ascii="宋体" w:hAnsi="宋体" w:cs="宋体"/>
          <w:color w:val="auto"/>
          <w:sz w:val="44"/>
          <w:szCs w:val="44"/>
          <w:highlight w:val="none"/>
        </w:rPr>
      </w:pPr>
    </w:p>
    <w:p w14:paraId="18731754">
      <w:pPr>
        <w:rPr>
          <w:rFonts w:ascii="宋体" w:hAnsi="宋体" w:cs="宋体"/>
          <w:color w:val="auto"/>
          <w:sz w:val="44"/>
          <w:szCs w:val="44"/>
          <w:highlight w:val="none"/>
        </w:rPr>
      </w:pPr>
    </w:p>
    <w:p w14:paraId="5ED4F2E9">
      <w:pPr>
        <w:rPr>
          <w:rFonts w:ascii="宋体" w:hAnsi="宋体" w:cs="宋体"/>
          <w:color w:val="auto"/>
          <w:sz w:val="44"/>
          <w:szCs w:val="44"/>
          <w:highlight w:val="none"/>
        </w:rPr>
      </w:pPr>
    </w:p>
    <w:p w14:paraId="2973C5FA">
      <w:pPr>
        <w:spacing w:after="120"/>
        <w:rPr>
          <w:rFonts w:ascii="宋体" w:hAnsi="宋体" w:cs="宋体"/>
          <w:b/>
          <w:color w:val="auto"/>
          <w:sz w:val="36"/>
          <w:szCs w:val="36"/>
          <w:highlight w:val="none"/>
        </w:rPr>
      </w:pPr>
    </w:p>
    <w:p w14:paraId="4C894A57">
      <w:pPr>
        <w:pStyle w:val="24"/>
        <w:ind w:firstLine="707"/>
        <w:rPr>
          <w:rFonts w:hAnsi="宋体" w:cs="宋体"/>
          <w:b/>
          <w:color w:val="auto"/>
          <w:sz w:val="36"/>
          <w:szCs w:val="36"/>
          <w:highlight w:val="none"/>
        </w:rPr>
      </w:pPr>
    </w:p>
    <w:p w14:paraId="005285E8">
      <w:pPr>
        <w:spacing w:after="120"/>
        <w:rPr>
          <w:rFonts w:ascii="宋体" w:hAnsi="宋体" w:cs="宋体"/>
          <w:b/>
          <w:color w:val="auto"/>
          <w:sz w:val="36"/>
          <w:szCs w:val="36"/>
          <w:highlight w:val="none"/>
        </w:rPr>
      </w:pPr>
    </w:p>
    <w:p w14:paraId="1BB6B36C">
      <w:pPr>
        <w:spacing w:after="120"/>
        <w:jc w:val="center"/>
        <w:rPr>
          <w:rFonts w:ascii="宋体" w:hAnsi="宋体" w:cs="宋体"/>
          <w:b/>
          <w:color w:val="auto"/>
          <w:sz w:val="36"/>
          <w:szCs w:val="36"/>
          <w:highlight w:val="none"/>
        </w:rPr>
      </w:pPr>
      <w:r>
        <w:rPr>
          <w:rFonts w:hint="eastAsia" w:ascii="宋体" w:hAnsi="宋体" w:cs="宋体"/>
          <w:b/>
          <w:color w:val="auto"/>
          <w:sz w:val="36"/>
          <w:szCs w:val="36"/>
          <w:highlight w:val="none"/>
        </w:rPr>
        <w:t>东阳市采购项目验收方案</w:t>
      </w:r>
    </w:p>
    <w:p w14:paraId="43102D5D">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根据《政府采购法》及东阳市政府采购办东财预〔2009〕98号《关于加强政府采购管理工作的补充规定》等有关文件规定，为做好采购项目的验收管理工作，特制定本项目验收方案，具体如下。</w:t>
      </w:r>
    </w:p>
    <w:p w14:paraId="2589183C">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610CD54A">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1、招标编号：</w:t>
      </w:r>
    </w:p>
    <w:p w14:paraId="58B0604C">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1209CD01">
      <w:pPr>
        <w:spacing w:after="120"/>
        <w:rPr>
          <w:rFonts w:ascii="宋体" w:hAnsi="宋体" w:cs="宋体"/>
          <w:b/>
          <w:color w:val="auto"/>
          <w:sz w:val="24"/>
          <w:highlight w:val="none"/>
        </w:rPr>
      </w:pPr>
    </w:p>
    <w:p w14:paraId="73A41C21">
      <w:pPr>
        <w:spacing w:after="120"/>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1D197E12">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1、本次验收由组织。</w:t>
      </w:r>
    </w:p>
    <w:p w14:paraId="3C56F36E">
      <w:pPr>
        <w:spacing w:after="120"/>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p>
    <w:p w14:paraId="521505E4">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p>
    <w:p w14:paraId="4DF31C56">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1CBC2937">
      <w:pPr>
        <w:spacing w:after="120"/>
        <w:rPr>
          <w:rFonts w:ascii="宋体" w:hAnsi="宋体" w:cs="宋体"/>
          <w:b/>
          <w:color w:val="auto"/>
          <w:sz w:val="24"/>
          <w:highlight w:val="none"/>
        </w:rPr>
      </w:pPr>
    </w:p>
    <w:p w14:paraId="75D8337F">
      <w:pPr>
        <w:spacing w:after="120"/>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0EF24869">
      <w:pPr>
        <w:spacing w:after="120"/>
        <w:rPr>
          <w:rFonts w:ascii="宋体" w:hAnsi="宋体" w:cs="宋体"/>
          <w:b/>
          <w:color w:val="auto"/>
          <w:sz w:val="24"/>
          <w:highlight w:val="none"/>
        </w:rPr>
      </w:pPr>
    </w:p>
    <w:p w14:paraId="23ABDDE0">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74D4B21E">
      <w:pPr>
        <w:spacing w:after="120"/>
        <w:rPr>
          <w:rFonts w:ascii="宋体" w:hAnsi="宋体" w:cs="宋体"/>
          <w:b/>
          <w:color w:val="auto"/>
          <w:sz w:val="24"/>
          <w:highlight w:val="none"/>
        </w:rPr>
      </w:pPr>
    </w:p>
    <w:p w14:paraId="35FFFF74">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4CB8E519">
      <w:pPr>
        <w:spacing w:after="120"/>
        <w:ind w:left="479" w:leftChars="228" w:firstLine="470" w:firstLineChars="195"/>
        <w:rPr>
          <w:rFonts w:ascii="宋体" w:hAnsi="宋体" w:cs="宋体"/>
          <w:b/>
          <w:color w:val="auto"/>
          <w:sz w:val="24"/>
          <w:highlight w:val="none"/>
        </w:rPr>
      </w:pPr>
    </w:p>
    <w:p w14:paraId="0657F822">
      <w:pPr>
        <w:spacing w:after="120"/>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47D97D39">
      <w:pPr>
        <w:wordWrap w:val="0"/>
        <w:spacing w:after="120"/>
        <w:ind w:right="960" w:firstLine="548" w:firstLineChars="196"/>
        <w:jc w:val="right"/>
        <w:rPr>
          <w:rFonts w:ascii="宋体" w:hAnsi="宋体" w:cs="宋体"/>
          <w:color w:val="auto"/>
          <w:sz w:val="28"/>
          <w:highlight w:val="none"/>
        </w:rPr>
      </w:pPr>
      <w:r>
        <w:rPr>
          <w:rFonts w:hint="eastAsia" w:ascii="宋体" w:hAnsi="宋体" w:cs="宋体"/>
          <w:color w:val="auto"/>
          <w:sz w:val="28"/>
          <w:highlight w:val="none"/>
        </w:rPr>
        <w:t>年  月  日</w:t>
      </w:r>
    </w:p>
    <w:p w14:paraId="75F0DCBB">
      <w:pPr>
        <w:rPr>
          <w:rFonts w:ascii="宋体" w:hAnsi="宋体" w:cs="宋体"/>
          <w:b/>
          <w:color w:val="auto"/>
          <w:sz w:val="44"/>
          <w:highlight w:val="none"/>
        </w:rPr>
      </w:pPr>
    </w:p>
    <w:p w14:paraId="622C5908">
      <w:pPr>
        <w:rPr>
          <w:rFonts w:ascii="宋体" w:hAnsi="宋体" w:cs="宋体"/>
          <w:b/>
          <w:color w:val="auto"/>
          <w:sz w:val="44"/>
          <w:highlight w:val="none"/>
        </w:rPr>
      </w:pPr>
    </w:p>
    <w:p w14:paraId="3F3B93E4">
      <w:pPr>
        <w:rPr>
          <w:rFonts w:ascii="宋体" w:hAnsi="宋体" w:cs="宋体"/>
          <w:b/>
          <w:color w:val="auto"/>
          <w:sz w:val="44"/>
          <w:highlight w:val="none"/>
        </w:rPr>
      </w:pPr>
    </w:p>
    <w:p w14:paraId="7C5AEEE2">
      <w:pPr>
        <w:rPr>
          <w:rFonts w:ascii="宋体" w:hAnsi="宋体" w:cs="宋体"/>
          <w:b/>
          <w:color w:val="auto"/>
          <w:sz w:val="44"/>
          <w:highlight w:val="none"/>
        </w:rPr>
      </w:pPr>
    </w:p>
    <w:p w14:paraId="0E149AAC">
      <w:pPr>
        <w:rPr>
          <w:rFonts w:ascii="宋体" w:hAnsi="宋体" w:cs="宋体"/>
          <w:color w:val="auto"/>
          <w:sz w:val="44"/>
          <w:szCs w:val="44"/>
          <w:highlight w:val="none"/>
        </w:rPr>
      </w:pPr>
    </w:p>
    <w:p w14:paraId="3CBFBF1A">
      <w:pPr>
        <w:pStyle w:val="24"/>
        <w:ind w:firstLine="864"/>
        <w:rPr>
          <w:rFonts w:hAnsi="宋体" w:cs="宋体"/>
          <w:color w:val="auto"/>
          <w:sz w:val="44"/>
          <w:szCs w:val="44"/>
          <w:highlight w:val="none"/>
        </w:rPr>
      </w:pPr>
    </w:p>
    <w:p w14:paraId="2EA666EA">
      <w:pPr>
        <w:pStyle w:val="24"/>
        <w:ind w:firstLine="864"/>
        <w:rPr>
          <w:rFonts w:hAnsi="宋体" w:cs="宋体"/>
          <w:color w:val="auto"/>
          <w:sz w:val="44"/>
          <w:szCs w:val="44"/>
          <w:highlight w:val="none"/>
        </w:rPr>
      </w:pPr>
    </w:p>
    <w:p w14:paraId="3D56A069">
      <w:pPr>
        <w:pStyle w:val="24"/>
        <w:ind w:firstLine="864"/>
        <w:rPr>
          <w:rFonts w:hAnsi="宋体" w:cs="宋体"/>
          <w:color w:val="auto"/>
          <w:sz w:val="44"/>
          <w:szCs w:val="44"/>
          <w:highlight w:val="none"/>
        </w:rPr>
      </w:pPr>
    </w:p>
    <w:p w14:paraId="7CDDC2A6">
      <w:pPr>
        <w:pStyle w:val="24"/>
        <w:ind w:firstLine="864"/>
        <w:rPr>
          <w:rFonts w:hAnsi="宋体" w:cs="宋体"/>
          <w:color w:val="auto"/>
          <w:sz w:val="44"/>
          <w:szCs w:val="44"/>
          <w:highlight w:val="none"/>
        </w:rPr>
      </w:pPr>
    </w:p>
    <w:p w14:paraId="52AB6D5F">
      <w:pPr>
        <w:pStyle w:val="24"/>
        <w:ind w:firstLine="864"/>
        <w:rPr>
          <w:rFonts w:hAnsi="宋体" w:cs="宋体"/>
          <w:color w:val="auto"/>
          <w:sz w:val="44"/>
          <w:szCs w:val="44"/>
          <w:highlight w:val="none"/>
        </w:rPr>
      </w:pPr>
    </w:p>
    <w:p w14:paraId="1727EB2A">
      <w:pPr>
        <w:pStyle w:val="24"/>
        <w:ind w:firstLine="0" w:firstLineChars="0"/>
        <w:rPr>
          <w:rFonts w:hAnsi="宋体" w:cs="宋体"/>
          <w:color w:val="auto"/>
          <w:sz w:val="44"/>
          <w:szCs w:val="44"/>
          <w:highlight w:val="none"/>
        </w:rPr>
      </w:pPr>
    </w:p>
    <w:p w14:paraId="59197E1B">
      <w:pPr>
        <w:pStyle w:val="4"/>
        <w:keepNext w:val="0"/>
        <w:keepLines w:val="0"/>
        <w:pageBreakBefore/>
        <w:spacing w:line="360" w:lineRule="auto"/>
        <w:rPr>
          <w:rFonts w:ascii="宋体" w:hAnsi="宋体" w:eastAsia="宋体" w:cs="宋体"/>
          <w:bCs w:val="0"/>
          <w:color w:val="auto"/>
          <w:highlight w:val="none"/>
        </w:rPr>
      </w:pPr>
      <w:r>
        <w:rPr>
          <w:rFonts w:hint="eastAsia" w:ascii="宋体" w:hAnsi="宋体" w:eastAsia="宋体" w:cs="宋体"/>
          <w:bCs w:val="0"/>
          <w:color w:val="auto"/>
          <w:sz w:val="24"/>
          <w:szCs w:val="24"/>
          <w:highlight w:val="none"/>
        </w:rPr>
        <w:t>政府采购活动现场确认声明书</w:t>
      </w:r>
    </w:p>
    <w:p w14:paraId="36B67E14">
      <w:pPr>
        <w:pStyle w:val="39"/>
        <w:widowControl w:val="0"/>
        <w:snapToGrid w:val="0"/>
        <w:spacing w:line="500" w:lineRule="exact"/>
        <w:ind w:firstLine="2811" w:firstLineChars="1000"/>
        <w:jc w:val="both"/>
        <w:rPr>
          <w:rFonts w:hAnsi="宋体" w:eastAsia="宋体"/>
          <w:b/>
          <w:i w:val="0"/>
          <w:iCs w:val="0"/>
          <w:color w:val="auto"/>
          <w:sz w:val="28"/>
          <w:szCs w:val="28"/>
          <w:highlight w:val="none"/>
        </w:rPr>
      </w:pPr>
      <w:r>
        <w:rPr>
          <w:rFonts w:hint="eastAsia" w:hAnsi="宋体" w:eastAsia="宋体"/>
          <w:b/>
          <w:i w:val="0"/>
          <w:iCs w:val="0"/>
          <w:color w:val="auto"/>
          <w:sz w:val="28"/>
          <w:szCs w:val="28"/>
          <w:highlight w:val="none"/>
        </w:rPr>
        <w:t>政府采购活动现场确认声明书</w:t>
      </w:r>
    </w:p>
    <w:p w14:paraId="579B69D4">
      <w:pPr>
        <w:pStyle w:val="39"/>
        <w:widowControl w:val="0"/>
        <w:snapToGrid w:val="0"/>
        <w:spacing w:line="440" w:lineRule="exact"/>
        <w:jc w:val="both"/>
        <w:rPr>
          <w:rFonts w:hAnsi="宋体" w:eastAsia="宋体"/>
          <w:bCs/>
          <w:i w:val="0"/>
          <w:iCs w:val="0"/>
          <w:color w:val="auto"/>
          <w:szCs w:val="24"/>
          <w:highlight w:val="none"/>
        </w:rPr>
      </w:pPr>
      <w:r>
        <w:rPr>
          <w:rFonts w:hint="eastAsia" w:hAnsi="宋体" w:eastAsia="宋体"/>
          <w:i w:val="0"/>
          <w:iCs w:val="0"/>
          <w:color w:val="auto"/>
          <w:szCs w:val="24"/>
          <w:highlight w:val="none"/>
        </w:rPr>
        <w:t xml:space="preserve"> </w:t>
      </w:r>
      <w:r>
        <w:rPr>
          <w:rFonts w:hint="eastAsia" w:hAnsi="宋体" w:eastAsia="宋体"/>
          <w:i w:val="0"/>
          <w:iCs w:val="0"/>
          <w:color w:val="auto"/>
          <w:szCs w:val="24"/>
          <w:highlight w:val="none"/>
          <w:lang w:eastAsia="zh-CN"/>
        </w:rPr>
        <w:t>杭州建设工程造价咨询有限公司</w:t>
      </w:r>
      <w:r>
        <w:rPr>
          <w:rFonts w:hint="eastAsia" w:hAnsi="宋体" w:eastAsia="宋体"/>
          <w:i w:val="0"/>
          <w:iCs w:val="0"/>
          <w:color w:val="auto"/>
          <w:szCs w:val="24"/>
          <w:highlight w:val="none"/>
        </w:rPr>
        <w:t>：</w:t>
      </w:r>
    </w:p>
    <w:p w14:paraId="74E93812">
      <w:pPr>
        <w:pStyle w:val="39"/>
        <w:widowControl w:val="0"/>
        <w:snapToGrid w:val="0"/>
        <w:spacing w:line="440" w:lineRule="exact"/>
        <w:ind w:firstLine="504"/>
        <w:jc w:val="both"/>
        <w:rPr>
          <w:rFonts w:hAnsi="宋体" w:eastAsia="宋体"/>
          <w:i w:val="0"/>
          <w:iCs w:val="0"/>
          <w:color w:val="auto"/>
          <w:spacing w:val="6"/>
          <w:szCs w:val="24"/>
          <w:highlight w:val="none"/>
        </w:rPr>
      </w:pPr>
      <w:r>
        <w:rPr>
          <w:rFonts w:hint="eastAsia" w:hAnsi="宋体" w:eastAsia="宋体"/>
          <w:i w:val="0"/>
          <w:iCs w:val="0"/>
          <w:color w:val="auto"/>
          <w:spacing w:val="6"/>
          <w:szCs w:val="24"/>
          <w:highlight w:val="none"/>
        </w:rPr>
        <w:t>本人（授权代表姓名），经由（单位）</w:t>
      </w:r>
    </w:p>
    <w:p w14:paraId="321BE46A">
      <w:pPr>
        <w:pStyle w:val="39"/>
        <w:widowControl w:val="0"/>
        <w:snapToGrid w:val="0"/>
        <w:spacing w:line="440" w:lineRule="exact"/>
        <w:ind w:firstLine="504"/>
        <w:jc w:val="both"/>
        <w:rPr>
          <w:rFonts w:hAnsi="宋体" w:eastAsia="宋体"/>
          <w:i w:val="0"/>
          <w:iCs w:val="0"/>
          <w:color w:val="auto"/>
          <w:spacing w:val="6"/>
          <w:szCs w:val="24"/>
          <w:highlight w:val="none"/>
        </w:rPr>
      </w:pPr>
      <w:r>
        <w:rPr>
          <w:rFonts w:hint="eastAsia" w:hAnsi="宋体" w:eastAsia="宋体"/>
          <w:i w:val="0"/>
          <w:iCs w:val="0"/>
          <w:color w:val="auto"/>
          <w:spacing w:val="6"/>
          <w:szCs w:val="24"/>
          <w:highlight w:val="none"/>
        </w:rPr>
        <w:t>（法定代表人姓名）合法授权参加（编号：</w:t>
      </w:r>
      <w:r>
        <w:rPr>
          <w:rFonts w:hint="eastAsia" w:hAnsi="宋体" w:eastAsia="宋体"/>
          <w:i w:val="0"/>
          <w:iCs w:val="0"/>
          <w:color w:val="auto"/>
          <w:spacing w:val="6"/>
          <w:szCs w:val="24"/>
          <w:highlight w:val="none"/>
          <w:u w:val="single"/>
        </w:rPr>
        <w:t>）</w:t>
      </w:r>
      <w:r>
        <w:rPr>
          <w:rFonts w:hint="eastAsia" w:hAnsi="宋体" w:eastAsia="宋体"/>
          <w:i w:val="0"/>
          <w:iCs w:val="0"/>
          <w:color w:val="auto"/>
          <w:spacing w:val="6"/>
          <w:szCs w:val="24"/>
          <w:highlight w:val="none"/>
        </w:rPr>
        <w:t xml:space="preserve">政府采购活动，经与本单位法人代表（负责人）联系确认，现就有关公平竞争事项郑重声明如下： </w:t>
      </w:r>
    </w:p>
    <w:p w14:paraId="33EB7667">
      <w:pPr>
        <w:pStyle w:val="40"/>
        <w:numPr>
          <w:ilvl w:val="0"/>
          <w:numId w:val="5"/>
        </w:numPr>
        <w:snapToGrid w:val="0"/>
        <w:spacing w:line="440" w:lineRule="exact"/>
        <w:ind w:firstLine="453" w:firstLineChars="189"/>
        <w:rPr>
          <w:rFonts w:ascii="宋体" w:hAnsi="宋体" w:eastAsia="宋体"/>
          <w:i w:val="0"/>
          <w:iCs w:val="0"/>
          <w:color w:val="auto"/>
          <w:szCs w:val="24"/>
          <w:highlight w:val="none"/>
        </w:rPr>
      </w:pPr>
      <w:r>
        <w:rPr>
          <w:rFonts w:hint="eastAsia" w:ascii="宋体" w:hAnsi="宋体" w:eastAsia="宋体"/>
          <w:i w:val="0"/>
          <w:iCs w:val="0"/>
          <w:color w:val="auto"/>
          <w:szCs w:val="24"/>
          <w:highlight w:val="none"/>
        </w:rPr>
        <w:t>本单位与采购人之间 □不存在利害关系 □存在下列利害关系：</w:t>
      </w:r>
    </w:p>
    <w:p w14:paraId="249256C6">
      <w:pPr>
        <w:pStyle w:val="40"/>
        <w:snapToGrid w:val="0"/>
        <w:spacing w:line="440" w:lineRule="exact"/>
        <w:rPr>
          <w:rFonts w:ascii="宋体" w:hAnsi="宋体" w:eastAsia="宋体"/>
          <w:i w:val="0"/>
          <w:iCs w:val="0"/>
          <w:color w:val="auto"/>
          <w:szCs w:val="24"/>
          <w:highlight w:val="none"/>
        </w:rPr>
      </w:pPr>
      <w:r>
        <w:rPr>
          <w:rFonts w:hint="eastAsia" w:ascii="宋体" w:hAnsi="宋体" w:eastAsia="宋体"/>
          <w:i w:val="0"/>
          <w:iCs w:val="0"/>
          <w:color w:val="auto"/>
          <w:szCs w:val="24"/>
          <w:highlight w:val="none"/>
        </w:rPr>
        <w:t xml:space="preserve">  A.投资关系    B.行政隶属关系    C.业务指导关系</w:t>
      </w:r>
    </w:p>
    <w:p w14:paraId="16099154">
      <w:pPr>
        <w:pStyle w:val="40"/>
        <w:snapToGrid w:val="0"/>
        <w:spacing w:line="440" w:lineRule="exact"/>
        <w:rPr>
          <w:rFonts w:ascii="宋体" w:hAnsi="宋体" w:eastAsia="宋体"/>
          <w:i w:val="0"/>
          <w:iCs w:val="0"/>
          <w:color w:val="auto"/>
          <w:szCs w:val="24"/>
          <w:highlight w:val="none"/>
        </w:rPr>
      </w:pPr>
      <w:r>
        <w:rPr>
          <w:rFonts w:hint="eastAsia" w:ascii="宋体" w:hAnsi="宋体" w:eastAsia="宋体"/>
          <w:i w:val="0"/>
          <w:iCs w:val="0"/>
          <w:color w:val="auto"/>
          <w:szCs w:val="24"/>
          <w:highlight w:val="none"/>
        </w:rPr>
        <w:t xml:space="preserve">  D.其他可能影响采购公正的利害关系（如有，请如实说明） 。</w:t>
      </w:r>
    </w:p>
    <w:p w14:paraId="0A6A7416">
      <w:pPr>
        <w:pStyle w:val="40"/>
        <w:numPr>
          <w:ilvl w:val="0"/>
          <w:numId w:val="5"/>
        </w:numPr>
        <w:snapToGrid w:val="0"/>
        <w:spacing w:line="440" w:lineRule="exact"/>
        <w:ind w:firstLine="453" w:firstLineChars="189"/>
        <w:rPr>
          <w:rFonts w:ascii="宋体" w:hAnsi="宋体" w:eastAsia="宋体"/>
          <w:i w:val="0"/>
          <w:iCs w:val="0"/>
          <w:color w:val="auto"/>
          <w:szCs w:val="24"/>
          <w:highlight w:val="none"/>
        </w:rPr>
      </w:pPr>
      <w:r>
        <w:rPr>
          <w:rFonts w:hint="eastAsia" w:ascii="宋体" w:hAnsi="宋体" w:eastAsia="宋体"/>
          <w:i w:val="0"/>
          <w:iCs w:val="0"/>
          <w:color w:val="auto"/>
          <w:szCs w:val="24"/>
          <w:highlight w:val="none"/>
        </w:rPr>
        <w:t>现已清楚知道参加本项目采购活动的其他所有供应商名称，本单位 □与其他所有供应商之间均不存在利害关系 □与 （供应商名称）之间存在下列利害关系：</w:t>
      </w:r>
    </w:p>
    <w:p w14:paraId="1125D300">
      <w:pPr>
        <w:pStyle w:val="39"/>
        <w:widowControl w:val="0"/>
        <w:snapToGrid w:val="0"/>
        <w:spacing w:line="440" w:lineRule="exact"/>
        <w:jc w:val="both"/>
        <w:rPr>
          <w:rFonts w:hAnsi="宋体" w:eastAsia="宋体"/>
          <w:i w:val="0"/>
          <w:iCs w:val="0"/>
          <w:color w:val="auto"/>
          <w:szCs w:val="24"/>
          <w:highlight w:val="none"/>
        </w:rPr>
      </w:pPr>
      <w:r>
        <w:rPr>
          <w:rFonts w:hint="eastAsia" w:hAnsi="宋体" w:eastAsia="宋体"/>
          <w:i w:val="0"/>
          <w:iCs w:val="0"/>
          <w:color w:val="auto"/>
          <w:szCs w:val="24"/>
          <w:highlight w:val="none"/>
        </w:rPr>
        <w:t xml:space="preserve">  A.法定代表人或负责人或实际控制人是同一人</w:t>
      </w:r>
    </w:p>
    <w:p w14:paraId="6D89D5A2">
      <w:pPr>
        <w:pStyle w:val="39"/>
        <w:widowControl w:val="0"/>
        <w:snapToGrid w:val="0"/>
        <w:spacing w:line="440" w:lineRule="exact"/>
        <w:jc w:val="both"/>
        <w:rPr>
          <w:rFonts w:hAnsi="宋体" w:eastAsia="宋体"/>
          <w:i w:val="0"/>
          <w:iCs w:val="0"/>
          <w:color w:val="auto"/>
          <w:spacing w:val="6"/>
          <w:szCs w:val="24"/>
          <w:highlight w:val="none"/>
        </w:rPr>
      </w:pPr>
      <w:r>
        <w:rPr>
          <w:rFonts w:hint="eastAsia" w:hAnsi="宋体" w:eastAsia="宋体"/>
          <w:i w:val="0"/>
          <w:iCs w:val="0"/>
          <w:color w:val="auto"/>
          <w:szCs w:val="24"/>
          <w:highlight w:val="none"/>
        </w:rPr>
        <w:t xml:space="preserve">  B.法定代表人或负责人或实际控制人是夫妻关系</w:t>
      </w:r>
    </w:p>
    <w:p w14:paraId="1C78B65F">
      <w:pPr>
        <w:pStyle w:val="39"/>
        <w:widowControl w:val="0"/>
        <w:snapToGrid w:val="0"/>
        <w:spacing w:line="440" w:lineRule="exact"/>
        <w:jc w:val="both"/>
        <w:rPr>
          <w:rFonts w:hAnsi="宋体" w:eastAsia="宋体"/>
          <w:i w:val="0"/>
          <w:iCs w:val="0"/>
          <w:color w:val="auto"/>
          <w:spacing w:val="6"/>
          <w:szCs w:val="24"/>
          <w:highlight w:val="none"/>
        </w:rPr>
      </w:pPr>
      <w:r>
        <w:rPr>
          <w:rFonts w:hint="eastAsia" w:hAnsi="宋体" w:eastAsia="宋体"/>
          <w:i w:val="0"/>
          <w:iCs w:val="0"/>
          <w:color w:val="auto"/>
          <w:szCs w:val="24"/>
          <w:highlight w:val="none"/>
        </w:rPr>
        <w:t xml:space="preserve">  C.法定代表人或负责人或实际控制人是直系血亲关系</w:t>
      </w:r>
    </w:p>
    <w:p w14:paraId="57323CCB">
      <w:pPr>
        <w:pStyle w:val="39"/>
        <w:widowControl w:val="0"/>
        <w:snapToGrid w:val="0"/>
        <w:spacing w:line="440" w:lineRule="exact"/>
        <w:jc w:val="both"/>
        <w:rPr>
          <w:rFonts w:hAnsi="宋体" w:eastAsia="宋体"/>
          <w:i w:val="0"/>
          <w:iCs w:val="0"/>
          <w:color w:val="auto"/>
          <w:spacing w:val="6"/>
          <w:szCs w:val="24"/>
          <w:highlight w:val="none"/>
        </w:rPr>
      </w:pPr>
      <w:r>
        <w:rPr>
          <w:rFonts w:hint="eastAsia" w:hAnsi="宋体" w:eastAsia="宋体"/>
          <w:i w:val="0"/>
          <w:iCs w:val="0"/>
          <w:color w:val="auto"/>
          <w:szCs w:val="24"/>
          <w:highlight w:val="none"/>
        </w:rPr>
        <w:t xml:space="preserve">  D.法定代表人或负责人或实际控制人存在三代以内旁系血亲关系</w:t>
      </w:r>
    </w:p>
    <w:p w14:paraId="7DA60C63">
      <w:pPr>
        <w:pStyle w:val="39"/>
        <w:widowControl w:val="0"/>
        <w:snapToGrid w:val="0"/>
        <w:spacing w:line="440" w:lineRule="exact"/>
        <w:jc w:val="both"/>
        <w:rPr>
          <w:rFonts w:hAnsi="宋体" w:eastAsia="宋体"/>
          <w:i w:val="0"/>
          <w:iCs w:val="0"/>
          <w:color w:val="auto"/>
          <w:szCs w:val="24"/>
          <w:highlight w:val="none"/>
        </w:rPr>
      </w:pPr>
      <w:r>
        <w:rPr>
          <w:rFonts w:hint="eastAsia" w:hAnsi="宋体" w:eastAsia="宋体"/>
          <w:i w:val="0"/>
          <w:iCs w:val="0"/>
          <w:color w:val="auto"/>
          <w:szCs w:val="24"/>
          <w:highlight w:val="none"/>
        </w:rPr>
        <w:t xml:space="preserve">  E.法定代表人或负责人或实际控制人存在近姻亲关系</w:t>
      </w:r>
    </w:p>
    <w:p w14:paraId="721381A8">
      <w:pPr>
        <w:pStyle w:val="39"/>
        <w:widowControl w:val="0"/>
        <w:snapToGrid w:val="0"/>
        <w:spacing w:line="440" w:lineRule="exact"/>
        <w:jc w:val="both"/>
        <w:rPr>
          <w:rFonts w:hAnsi="宋体" w:eastAsia="宋体"/>
          <w:i w:val="0"/>
          <w:iCs w:val="0"/>
          <w:color w:val="auto"/>
          <w:szCs w:val="24"/>
          <w:highlight w:val="none"/>
        </w:rPr>
      </w:pPr>
      <w:r>
        <w:rPr>
          <w:rFonts w:hint="eastAsia" w:hAnsi="宋体" w:eastAsia="宋体"/>
          <w:i w:val="0"/>
          <w:iCs w:val="0"/>
          <w:color w:val="auto"/>
          <w:szCs w:val="24"/>
          <w:highlight w:val="none"/>
        </w:rPr>
        <w:t xml:space="preserve">  F.法定代表人或负责人或实际控制人存在股份控制或实际控制关系</w:t>
      </w:r>
    </w:p>
    <w:p w14:paraId="46C50085">
      <w:pPr>
        <w:pStyle w:val="39"/>
        <w:widowControl w:val="0"/>
        <w:snapToGrid w:val="0"/>
        <w:spacing w:line="440" w:lineRule="exact"/>
        <w:jc w:val="both"/>
        <w:rPr>
          <w:rFonts w:hAnsi="宋体" w:eastAsia="宋体"/>
          <w:i w:val="0"/>
          <w:iCs w:val="0"/>
          <w:color w:val="auto"/>
          <w:szCs w:val="24"/>
          <w:highlight w:val="none"/>
        </w:rPr>
      </w:pPr>
      <w:r>
        <w:rPr>
          <w:rFonts w:hint="eastAsia" w:hAnsi="宋体" w:eastAsia="宋体"/>
          <w:i w:val="0"/>
          <w:iCs w:val="0"/>
          <w:color w:val="auto"/>
          <w:szCs w:val="24"/>
          <w:highlight w:val="none"/>
        </w:rPr>
        <w:t xml:space="preserve">  G.存在共同直接或间接投资设立子公司、联营企业和合营企业情况</w:t>
      </w:r>
    </w:p>
    <w:p w14:paraId="507F12C5">
      <w:pPr>
        <w:pStyle w:val="39"/>
        <w:widowControl w:val="0"/>
        <w:snapToGrid w:val="0"/>
        <w:spacing w:line="440" w:lineRule="exact"/>
        <w:jc w:val="both"/>
        <w:rPr>
          <w:rFonts w:hAnsi="宋体" w:eastAsia="宋体"/>
          <w:i w:val="0"/>
          <w:iCs w:val="0"/>
          <w:color w:val="auto"/>
          <w:szCs w:val="24"/>
          <w:highlight w:val="none"/>
        </w:rPr>
      </w:pPr>
      <w:r>
        <w:rPr>
          <w:rFonts w:hint="eastAsia" w:hAnsi="宋体" w:eastAsia="宋体"/>
          <w:i w:val="0"/>
          <w:iCs w:val="0"/>
          <w:color w:val="auto"/>
          <w:szCs w:val="24"/>
          <w:highlight w:val="none"/>
        </w:rPr>
        <w:t xml:space="preserve">  H.存在分级代理或代销关系、同一生产制造商关系、管理关系、重要业务（占主营业务收入50%以上）或重要财务往来关系（如融资）等其他实质性控制关系</w:t>
      </w:r>
    </w:p>
    <w:p w14:paraId="230042EB">
      <w:pPr>
        <w:pStyle w:val="39"/>
        <w:widowControl w:val="0"/>
        <w:snapToGrid w:val="0"/>
        <w:spacing w:line="440" w:lineRule="exact"/>
        <w:jc w:val="both"/>
        <w:rPr>
          <w:rFonts w:hAnsi="宋体" w:eastAsia="宋体"/>
          <w:i w:val="0"/>
          <w:iCs w:val="0"/>
          <w:color w:val="auto"/>
          <w:spacing w:val="6"/>
          <w:szCs w:val="24"/>
          <w:highlight w:val="none"/>
        </w:rPr>
      </w:pPr>
      <w:r>
        <w:rPr>
          <w:rFonts w:hint="eastAsia" w:hAnsi="宋体" w:eastAsia="宋体"/>
          <w:i w:val="0"/>
          <w:iCs w:val="0"/>
          <w:color w:val="auto"/>
          <w:szCs w:val="24"/>
          <w:highlight w:val="none"/>
        </w:rPr>
        <w:t xml:space="preserve">  I.其他利害关系情况。</w:t>
      </w:r>
    </w:p>
    <w:p w14:paraId="194CFCA3">
      <w:pPr>
        <w:pStyle w:val="40"/>
        <w:numPr>
          <w:ilvl w:val="0"/>
          <w:numId w:val="6"/>
        </w:numPr>
        <w:snapToGrid w:val="0"/>
        <w:spacing w:line="440" w:lineRule="exact"/>
        <w:ind w:firstLine="453" w:firstLineChars="189"/>
        <w:rPr>
          <w:rFonts w:ascii="宋体" w:hAnsi="宋体" w:eastAsia="宋体"/>
          <w:i w:val="0"/>
          <w:iCs w:val="0"/>
          <w:color w:val="auto"/>
          <w:szCs w:val="24"/>
          <w:highlight w:val="none"/>
        </w:rPr>
      </w:pPr>
      <w:r>
        <w:rPr>
          <w:rFonts w:hint="eastAsia" w:ascii="宋体" w:hAnsi="宋体" w:eastAsia="宋体"/>
          <w:i w:val="0"/>
          <w:iCs w:val="0"/>
          <w:color w:val="auto"/>
          <w:szCs w:val="24"/>
          <w:highlight w:val="none"/>
        </w:rPr>
        <w:t>现已清楚知道并严格遵守政府采购法律法规和现场纪律。</w:t>
      </w:r>
    </w:p>
    <w:p w14:paraId="0C05211E">
      <w:pPr>
        <w:pStyle w:val="40"/>
        <w:numPr>
          <w:ilvl w:val="0"/>
          <w:numId w:val="6"/>
        </w:numPr>
        <w:snapToGrid w:val="0"/>
        <w:spacing w:line="440" w:lineRule="exact"/>
        <w:ind w:firstLine="453" w:firstLineChars="189"/>
        <w:rPr>
          <w:rFonts w:ascii="宋体" w:hAnsi="宋体" w:eastAsia="宋体"/>
          <w:i w:val="0"/>
          <w:iCs w:val="0"/>
          <w:color w:val="auto"/>
          <w:szCs w:val="24"/>
          <w:highlight w:val="none"/>
        </w:rPr>
      </w:pPr>
      <w:r>
        <w:rPr>
          <w:rFonts w:hint="eastAsia" w:ascii="宋体" w:hAnsi="宋体" w:eastAsia="宋体"/>
          <w:i w:val="0"/>
          <w:iCs w:val="0"/>
          <w:color w:val="auto"/>
          <w:szCs w:val="24"/>
          <w:highlight w:val="none"/>
        </w:rPr>
        <w:t>我发现供应商之间存在或可能存在上述第二条第项利害关系。</w:t>
      </w:r>
    </w:p>
    <w:p w14:paraId="0ADB5C99">
      <w:pPr>
        <w:pStyle w:val="39"/>
        <w:widowControl w:val="0"/>
        <w:snapToGrid w:val="0"/>
        <w:spacing w:line="440" w:lineRule="exact"/>
        <w:jc w:val="both"/>
        <w:rPr>
          <w:rFonts w:hAnsi="宋体" w:eastAsia="宋体"/>
          <w:color w:val="auto"/>
          <w:szCs w:val="24"/>
          <w:highlight w:val="none"/>
        </w:rPr>
      </w:pPr>
    </w:p>
    <w:p w14:paraId="60AFB7A4">
      <w:pPr>
        <w:pStyle w:val="39"/>
        <w:widowControl w:val="0"/>
        <w:snapToGrid w:val="0"/>
        <w:spacing w:line="440" w:lineRule="exact"/>
        <w:jc w:val="both"/>
        <w:rPr>
          <w:rFonts w:hAnsi="宋体" w:eastAsia="宋体"/>
          <w:color w:val="auto"/>
          <w:szCs w:val="24"/>
          <w:highlight w:val="none"/>
        </w:rPr>
      </w:pPr>
    </w:p>
    <w:p w14:paraId="6DE04381">
      <w:pPr>
        <w:pStyle w:val="39"/>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（供应商代表签名）：                </w:t>
      </w:r>
      <w:r>
        <w:rPr>
          <w:rFonts w:hint="eastAsia" w:hAnsi="宋体" w:eastAsia="宋体"/>
          <w:color w:val="auto"/>
          <w:szCs w:val="24"/>
          <w:highlight w:val="none"/>
          <w:lang w:eastAsia="zh-CN"/>
        </w:rPr>
        <w:t>2025</w:t>
      </w:r>
      <w:r>
        <w:rPr>
          <w:rFonts w:hint="eastAsia" w:hAnsi="宋体" w:eastAsia="宋体"/>
          <w:color w:val="auto"/>
          <w:szCs w:val="24"/>
          <w:highlight w:val="none"/>
        </w:rPr>
        <w:t>年  月   日</w:t>
      </w:r>
    </w:p>
    <w:p w14:paraId="21B5F6EF">
      <w:pPr>
        <w:pStyle w:val="39"/>
        <w:widowControl w:val="0"/>
        <w:snapToGrid w:val="0"/>
        <w:spacing w:line="440" w:lineRule="exact"/>
        <w:jc w:val="both"/>
        <w:rPr>
          <w:rFonts w:hAnsi="宋体" w:eastAsia="宋体"/>
          <w:color w:val="auto"/>
          <w:szCs w:val="24"/>
          <w:highlight w:val="none"/>
        </w:rPr>
      </w:pPr>
    </w:p>
    <w:p w14:paraId="14E4466D">
      <w:pPr>
        <w:ind w:firstLine="880" w:firstLineChars="200"/>
        <w:rPr>
          <w:rFonts w:ascii="宋体" w:hAnsi="宋体" w:cs="宋体"/>
          <w:color w:val="auto"/>
          <w:sz w:val="44"/>
          <w:szCs w:val="44"/>
          <w:highlight w:val="none"/>
        </w:rPr>
      </w:pPr>
    </w:p>
    <w:p w14:paraId="01660B6B">
      <w:pPr>
        <w:ind w:firstLine="880" w:firstLineChars="200"/>
        <w:rPr>
          <w:rFonts w:ascii="宋体" w:hAnsi="宋体" w:cs="宋体"/>
          <w:color w:val="auto"/>
          <w:sz w:val="44"/>
          <w:szCs w:val="44"/>
          <w:highlight w:val="none"/>
        </w:rPr>
      </w:pPr>
    </w:p>
    <w:p w14:paraId="0D0FAAD2">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7ED4CE87">
      <w:pPr>
        <w:rPr>
          <w:rFonts w:ascii="宋体" w:hAnsi="宋体" w:cs="宋体"/>
          <w:color w:val="auto"/>
          <w:sz w:val="28"/>
          <w:szCs w:val="28"/>
          <w:highlight w:val="non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lang w:eastAsia="zh-CN"/>
        </w:rPr>
        <w:t>杭州建设工程造价咨询有限公司</w:t>
      </w:r>
      <w:r>
        <w:rPr>
          <w:rFonts w:hint="eastAsia" w:ascii="宋体" w:hAnsi="宋体" w:cs="宋体"/>
          <w:color w:val="auto"/>
          <w:sz w:val="28"/>
          <w:szCs w:val="28"/>
          <w:highlight w:val="none"/>
        </w:rPr>
        <w:t xml:space="preserve"> </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086D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529AE61D">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7"/>
            <w:tcBorders>
              <w:top w:val="single" w:color="auto" w:sz="4" w:space="0"/>
              <w:left w:val="nil"/>
              <w:bottom w:val="single" w:color="auto" w:sz="4" w:space="0"/>
              <w:right w:val="single" w:color="auto" w:sz="4" w:space="0"/>
            </w:tcBorders>
            <w:vAlign w:val="center"/>
          </w:tcPr>
          <w:p w14:paraId="0539C222">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3FF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09EAEA9E">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15B3F314">
            <w:pPr>
              <w:jc w:val="center"/>
              <w:rPr>
                <w:rFonts w:ascii="宋体" w:hAnsi="宋体" w:cs="宋体"/>
                <w:color w:val="auto"/>
                <w:sz w:val="24"/>
                <w:highlight w:val="none"/>
              </w:rPr>
            </w:pPr>
          </w:p>
        </w:tc>
        <w:tc>
          <w:tcPr>
            <w:tcW w:w="900" w:type="dxa"/>
            <w:tcBorders>
              <w:top w:val="single" w:color="auto" w:sz="4" w:space="0"/>
              <w:left w:val="nil"/>
              <w:bottom w:val="single" w:color="auto" w:sz="4" w:space="0"/>
              <w:right w:val="single" w:color="auto" w:sz="4" w:space="0"/>
            </w:tcBorders>
            <w:vAlign w:val="center"/>
          </w:tcPr>
          <w:p w14:paraId="783F5F57">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672" w:type="dxa"/>
            <w:gridSpan w:val="2"/>
            <w:tcBorders>
              <w:top w:val="single" w:color="auto" w:sz="4" w:space="0"/>
              <w:left w:val="nil"/>
              <w:bottom w:val="single" w:color="auto" w:sz="4" w:space="0"/>
              <w:right w:val="single" w:color="auto" w:sz="4" w:space="0"/>
            </w:tcBorders>
            <w:vAlign w:val="center"/>
          </w:tcPr>
          <w:p w14:paraId="30CFB4AC">
            <w:pPr>
              <w:jc w:val="center"/>
              <w:rPr>
                <w:rFonts w:ascii="宋体" w:hAnsi="宋体" w:cs="宋体"/>
                <w:color w:val="auto"/>
                <w:sz w:val="24"/>
                <w:highlight w:val="none"/>
              </w:rPr>
            </w:pPr>
          </w:p>
        </w:tc>
      </w:tr>
      <w:tr w14:paraId="2C8E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1008D2F">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387E9DB8">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F2B7F1C">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3"/>
            <w:tcBorders>
              <w:top w:val="single" w:color="auto" w:sz="4" w:space="0"/>
              <w:left w:val="nil"/>
              <w:bottom w:val="single" w:color="auto" w:sz="4" w:space="0"/>
              <w:right w:val="single" w:color="auto" w:sz="4" w:space="0"/>
            </w:tcBorders>
            <w:vAlign w:val="center"/>
          </w:tcPr>
          <w:p w14:paraId="2923648A">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4E5F50ED">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nil"/>
              <w:bottom w:val="single" w:color="auto" w:sz="4" w:space="0"/>
              <w:right w:val="single" w:color="auto" w:sz="4" w:space="0"/>
            </w:tcBorders>
            <w:vAlign w:val="center"/>
          </w:tcPr>
          <w:p w14:paraId="2E49E59E">
            <w:pPr>
              <w:jc w:val="center"/>
              <w:rPr>
                <w:rFonts w:ascii="宋体" w:hAnsi="宋体" w:cs="宋体"/>
                <w:color w:val="auto"/>
                <w:sz w:val="24"/>
                <w:highlight w:val="none"/>
              </w:rPr>
            </w:pPr>
          </w:p>
        </w:tc>
      </w:tr>
      <w:tr w14:paraId="0DF6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1B16D9E">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89A3A14">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4"/>
            <w:tcBorders>
              <w:top w:val="single" w:color="auto" w:sz="4" w:space="0"/>
              <w:left w:val="nil"/>
              <w:bottom w:val="single" w:color="auto" w:sz="4" w:space="0"/>
              <w:right w:val="single" w:color="auto" w:sz="4" w:space="0"/>
            </w:tcBorders>
            <w:vAlign w:val="center"/>
          </w:tcPr>
          <w:p w14:paraId="02B9DDCC">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2F22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1F32CBF">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81CFC7A">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14:paraId="15528A76">
            <w:pPr>
              <w:spacing w:line="500" w:lineRule="exact"/>
              <w:jc w:val="center"/>
              <w:rPr>
                <w:rFonts w:ascii="宋体" w:hAnsi="宋体" w:cs="宋体"/>
                <w:color w:val="auto"/>
                <w:sz w:val="24"/>
                <w:highlight w:val="none"/>
              </w:rPr>
            </w:pPr>
          </w:p>
        </w:tc>
      </w:tr>
      <w:tr w14:paraId="54EA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8C4EBD6">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E796B5A">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14:paraId="234F58E9">
            <w:pPr>
              <w:spacing w:line="500" w:lineRule="exact"/>
              <w:jc w:val="center"/>
              <w:rPr>
                <w:rFonts w:ascii="宋体" w:hAnsi="宋体" w:cs="宋体"/>
                <w:color w:val="auto"/>
                <w:sz w:val="24"/>
                <w:highlight w:val="none"/>
              </w:rPr>
            </w:pPr>
          </w:p>
        </w:tc>
      </w:tr>
      <w:tr w14:paraId="3F84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7B063C9">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A79F782">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14:paraId="2108D581">
            <w:pPr>
              <w:spacing w:line="500" w:lineRule="exact"/>
              <w:jc w:val="center"/>
              <w:rPr>
                <w:rFonts w:ascii="宋体" w:hAnsi="宋体" w:cs="宋体"/>
                <w:color w:val="auto"/>
                <w:sz w:val="24"/>
                <w:highlight w:val="none"/>
              </w:rPr>
            </w:pPr>
          </w:p>
        </w:tc>
      </w:tr>
      <w:tr w14:paraId="4CF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A68EF0E">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7498719">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14:paraId="0A296822">
            <w:pPr>
              <w:spacing w:line="500" w:lineRule="exact"/>
              <w:jc w:val="center"/>
              <w:rPr>
                <w:rFonts w:ascii="宋体" w:hAnsi="宋体" w:cs="宋体"/>
                <w:color w:val="auto"/>
                <w:sz w:val="24"/>
                <w:highlight w:val="none"/>
              </w:rPr>
            </w:pPr>
          </w:p>
        </w:tc>
      </w:tr>
      <w:tr w14:paraId="1ACB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01FA315">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8C2432C">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14:paraId="193D4635">
            <w:pPr>
              <w:spacing w:line="500" w:lineRule="exact"/>
              <w:jc w:val="center"/>
              <w:rPr>
                <w:rFonts w:ascii="宋体" w:hAnsi="宋体" w:cs="宋体"/>
                <w:color w:val="auto"/>
                <w:sz w:val="24"/>
                <w:highlight w:val="none"/>
              </w:rPr>
            </w:pPr>
          </w:p>
        </w:tc>
      </w:tr>
      <w:tr w14:paraId="03E0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72F21FA">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0D07FFB">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4"/>
            <w:tcBorders>
              <w:top w:val="single" w:color="auto" w:sz="4" w:space="0"/>
              <w:left w:val="nil"/>
              <w:bottom w:val="single" w:color="auto" w:sz="4" w:space="0"/>
              <w:right w:val="single" w:color="auto" w:sz="4" w:space="0"/>
            </w:tcBorders>
            <w:vAlign w:val="center"/>
          </w:tcPr>
          <w:p w14:paraId="2582180B">
            <w:pPr>
              <w:spacing w:line="500" w:lineRule="exact"/>
              <w:jc w:val="center"/>
              <w:rPr>
                <w:rFonts w:ascii="宋体" w:hAnsi="宋体" w:cs="宋体"/>
                <w:color w:val="auto"/>
                <w:sz w:val="24"/>
                <w:highlight w:val="none"/>
              </w:rPr>
            </w:pPr>
          </w:p>
        </w:tc>
      </w:tr>
      <w:tr w14:paraId="0D11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DF44D28">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14:paraId="1C1F3E11">
            <w:pPr>
              <w:jc w:val="center"/>
              <w:rPr>
                <w:rFonts w:ascii="宋体" w:hAnsi="宋体" w:cs="宋体"/>
                <w:color w:val="auto"/>
                <w:sz w:val="24"/>
                <w:highlight w:val="none"/>
              </w:rPr>
            </w:pPr>
          </w:p>
        </w:tc>
      </w:tr>
      <w:tr w14:paraId="5859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4BD4F946">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7"/>
            <w:tcBorders>
              <w:top w:val="single" w:color="auto" w:sz="4" w:space="0"/>
              <w:left w:val="nil"/>
              <w:bottom w:val="single" w:color="auto" w:sz="4" w:space="0"/>
              <w:right w:val="single" w:color="auto" w:sz="4" w:space="0"/>
            </w:tcBorders>
            <w:vAlign w:val="center"/>
          </w:tcPr>
          <w:p w14:paraId="22266B86">
            <w:pPr>
              <w:jc w:val="center"/>
              <w:rPr>
                <w:rFonts w:ascii="宋体" w:hAnsi="宋体" w:cs="宋体"/>
                <w:color w:val="auto"/>
                <w:sz w:val="24"/>
                <w:highlight w:val="none"/>
              </w:rPr>
            </w:pPr>
          </w:p>
        </w:tc>
      </w:tr>
    </w:tbl>
    <w:p w14:paraId="5D72EB38">
      <w:pPr>
        <w:spacing w:line="500" w:lineRule="exact"/>
        <w:rPr>
          <w:rFonts w:ascii="宋体" w:hAnsi="宋体" w:cs="宋体"/>
          <w:color w:val="auto"/>
          <w:sz w:val="24"/>
          <w:highlight w:val="none"/>
        </w:rPr>
      </w:pPr>
      <w:r>
        <w:rPr>
          <w:rFonts w:hint="eastAsia" w:ascii="宋体" w:hAnsi="宋体" w:cs="宋体"/>
          <w:color w:val="auto"/>
          <w:sz w:val="24"/>
          <w:highlight w:val="none"/>
        </w:rPr>
        <w:t>填表人签字盖章：                    日期</w:t>
      </w:r>
    </w:p>
    <w:p w14:paraId="51B52877">
      <w:pPr>
        <w:spacing w:before="100" w:beforeAutospacing="1" w:after="120"/>
        <w:ind w:right="-154"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rPr>
        <w:t>注：此表须盖投标单位公章</w:t>
      </w:r>
    </w:p>
    <w:p w14:paraId="1B554574">
      <w:pPr>
        <w:spacing w:line="360" w:lineRule="auto"/>
        <w:rPr>
          <w:rFonts w:ascii="宋体" w:hAnsi="宋体" w:cs="宋体"/>
          <w:b/>
          <w:color w:val="auto"/>
          <w:sz w:val="28"/>
          <w:szCs w:val="28"/>
          <w:highlight w:val="none"/>
        </w:rPr>
      </w:pPr>
    </w:p>
    <w:p w14:paraId="1D4CA78E">
      <w:pPr>
        <w:spacing w:line="360" w:lineRule="auto"/>
        <w:rPr>
          <w:rFonts w:ascii="宋体" w:hAnsi="宋体" w:cs="宋体"/>
          <w:b/>
          <w:color w:val="auto"/>
          <w:sz w:val="28"/>
          <w:szCs w:val="28"/>
          <w:highlight w:val="none"/>
        </w:rPr>
      </w:pPr>
    </w:p>
    <w:p w14:paraId="3BE0D7CD">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政府采购支持中小企业信用融资相关事项通知</w:t>
      </w:r>
    </w:p>
    <w:p w14:paraId="325B47F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为支持和促进中小企业发展，进一步发挥政府采购政策功能，现将相关事项通知如下：</w:t>
      </w:r>
    </w:p>
    <w:p w14:paraId="74B745CB">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14:paraId="79581F2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在浙江政府采购网注册入库，并取得东阳市政府采购合同的中小企业供应商。</w:t>
      </w:r>
    </w:p>
    <w:p w14:paraId="2039BBAB">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14:paraId="2A8508D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请登录浙江省政府采购网“融资贷款”模块，查看信用融资政策文件及各相关银行服务方案。</w:t>
      </w:r>
    </w:p>
    <w:p w14:paraId="20AB188D">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三、申请方式和步骤</w:t>
      </w:r>
    </w:p>
    <w:p w14:paraId="51983108">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（一）采购合同贷</w:t>
      </w:r>
    </w:p>
    <w:p w14:paraId="0985DE57">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1、采购单位在政采云完成中标通知书及公告发布后，政采云根据该供应商资信向供应商发送推介合适的融资产品方案(展示多家银行---满足贷款银行条件的银行产品,对供应商进行展示)；</w:t>
      </w:r>
    </w:p>
    <w:p w14:paraId="4DDC6D36">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2、供应商在收到中标通知的同时会收到可申请融资服务邀请，有意向的供应商选择满足条件的银行产品,并补充填写相关资料,向满足条件的融资产品发起申请；</w:t>
      </w:r>
    </w:p>
    <w:p w14:paraId="72C76BED">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3、政采云将供应商的申请传递给银行,并将供应商相关信息给银行:供应商信息、订单(合同)信息、融资申请等数据用于贷款审批；</w:t>
      </w:r>
    </w:p>
    <w:p w14:paraId="54D59661">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4、银行进行融资审批并返回审批结果至政采云（审批通过的等待政采云放款通知，订单合同签署生效后通知）,政采云将银行反馈信息同步展示给对应供应商；</w:t>
      </w:r>
    </w:p>
    <w:p w14:paraId="37D6F052">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5、采购单位与供应商在线下签订完成合同签署后（将贷款银行的账号协调采购合同中去,贷款账号作为采购合同的收款账户），政采云向银行发送确认指令；</w:t>
      </w:r>
    </w:p>
    <w:p w14:paraId="53E67FDE">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6、项目履约完成，采购单位完成验收后发起结算，国库完成支付；</w:t>
      </w:r>
    </w:p>
    <w:p w14:paraId="4E014C86">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7、银行对其本行借款账户进行资金监控，有入账即可进行本金提前还款操作，银行返回还款信息“提前还款本金、更新还款计划”。</w:t>
      </w:r>
    </w:p>
    <w:p w14:paraId="30B0948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（二）流水贷流程</w:t>
      </w:r>
    </w:p>
    <w:p w14:paraId="5289331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1、政采云通过规则向符合该产品的供应商发出邀约；</w:t>
      </w:r>
    </w:p>
    <w:p w14:paraId="2B99E7E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2、供应商授权后向银行发送历史流水数据进行授信；</w:t>
      </w:r>
    </w:p>
    <w:p w14:paraId="22356AE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3、银行根据风控模型出具最终授信结果并通知政采云；</w:t>
      </w:r>
    </w:p>
    <w:p w14:paraId="40759AC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4、供应商用款时进行在线提款签约；</w:t>
      </w:r>
    </w:p>
    <w:p w14:paraId="504D713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5、银行放款并返回放款结果，流程完成。</w:t>
      </w:r>
    </w:p>
    <w:p w14:paraId="3203A4CA">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14:paraId="2A584A08">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1、供应商需确保政府采购合同的收款银行与融资银行一致。</w:t>
      </w:r>
    </w:p>
    <w:p w14:paraId="11DAB0B4">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2、请各采购单位积极支持和配合政府采购信用融资工作，在合同备案环节仔细核对收款银行、账号信息等内容，一旦录入将无法修改。</w:t>
      </w:r>
    </w:p>
    <w:p w14:paraId="381C834F">
      <w:pPr>
        <w:spacing w:line="3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3、为扩大政府采购金融服务面，除政采云网上金融服务合作银行外，东阳市范围内增加浙商银行金华分行东阳支行作为线下合作银行。   </w:t>
      </w:r>
      <w:r>
        <w:rPr>
          <w:rFonts w:hint="eastAsia" w:ascii="宋体" w:hAnsi="宋体" w:cs="宋体"/>
          <w:color w:val="auto"/>
          <w:sz w:val="24"/>
          <w:highlight w:val="none"/>
          <w:lang w:eastAsia="zh-CN"/>
        </w:rPr>
        <w:t>浙商银行金华东阳支行联系人：许燕  联系电话：13967983441  0579-86222992</w:t>
      </w:r>
    </w:p>
    <w:p w14:paraId="645EB90D">
      <w:pPr>
        <w:pStyle w:val="6"/>
        <w:ind w:firstLine="0"/>
        <w:rPr>
          <w:color w:val="auto"/>
          <w:highlight w:val="none"/>
        </w:rPr>
      </w:pPr>
    </w:p>
    <w:p w14:paraId="0D2F5419">
      <w:pPr>
        <w:snapToGrid w:val="0"/>
        <w:spacing w:before="50" w:after="50"/>
        <w:ind w:right="-817" w:rightChars="-38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质疑函范本</w:t>
      </w:r>
    </w:p>
    <w:p w14:paraId="5106DB33">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质疑函范本</w:t>
      </w:r>
    </w:p>
    <w:p w14:paraId="75384EF6">
      <w:pPr>
        <w:adjustRightInd w:val="0"/>
        <w:snapToGrid w:val="0"/>
        <w:spacing w:before="240" w:beforeLines="100"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一、质疑供应商基本信息</w:t>
      </w:r>
    </w:p>
    <w:p w14:paraId="2244E4D7">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质疑供应商：</w:t>
      </w:r>
    </w:p>
    <w:p w14:paraId="27248344">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地址：邮编：</w:t>
      </w:r>
    </w:p>
    <w:p w14:paraId="4E67B1D0">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联系人：联系电话：</w:t>
      </w:r>
    </w:p>
    <w:p w14:paraId="7EBCA006">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授权代表：</w:t>
      </w:r>
    </w:p>
    <w:p w14:paraId="4FD318FE">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w:t>
      </w:r>
    </w:p>
    <w:p w14:paraId="513C2F3D">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地址： 邮编：</w:t>
      </w:r>
    </w:p>
    <w:p w14:paraId="10076497">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二、质疑项目基本情况</w:t>
      </w:r>
    </w:p>
    <w:p w14:paraId="00C8F564">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质疑项目的名称：</w:t>
      </w:r>
    </w:p>
    <w:p w14:paraId="71C50F75">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质疑项目的编号：包号：</w:t>
      </w:r>
    </w:p>
    <w:p w14:paraId="406CB467">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采购人名称：</w:t>
      </w:r>
    </w:p>
    <w:p w14:paraId="12A5D5A0">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采购文件获取日期：</w:t>
      </w:r>
    </w:p>
    <w:p w14:paraId="183156B8">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三、质疑事项具体内容</w:t>
      </w:r>
    </w:p>
    <w:p w14:paraId="545AB5D1">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质疑事项1：</w:t>
      </w:r>
    </w:p>
    <w:p w14:paraId="2552C4EA">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事实依据：</w:t>
      </w:r>
    </w:p>
    <w:p w14:paraId="54BFC724">
      <w:pPr>
        <w:adjustRightInd w:val="0"/>
        <w:snapToGrid w:val="0"/>
        <w:spacing w:line="320" w:lineRule="exact"/>
        <w:rPr>
          <w:rFonts w:hint="eastAsia" w:ascii="宋体" w:hAnsi="宋体" w:eastAsia="宋体" w:cs="宋体"/>
          <w:b w:val="0"/>
          <w:bCs/>
          <w:color w:val="auto"/>
          <w:sz w:val="24"/>
          <w:szCs w:val="24"/>
          <w:highlight w:val="none"/>
        </w:rPr>
      </w:pPr>
    </w:p>
    <w:p w14:paraId="4A841D5A">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法律依据：</w:t>
      </w:r>
    </w:p>
    <w:p w14:paraId="47DADAD2">
      <w:pPr>
        <w:adjustRightInd w:val="0"/>
        <w:snapToGrid w:val="0"/>
        <w:spacing w:line="320" w:lineRule="exact"/>
        <w:rPr>
          <w:rFonts w:hint="eastAsia" w:ascii="宋体" w:hAnsi="宋体" w:eastAsia="宋体" w:cs="宋体"/>
          <w:b w:val="0"/>
          <w:bCs/>
          <w:color w:val="auto"/>
          <w:sz w:val="24"/>
          <w:szCs w:val="24"/>
          <w:highlight w:val="none"/>
          <w:u w:val="dotted"/>
        </w:rPr>
      </w:pPr>
    </w:p>
    <w:p w14:paraId="794A9AA4">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质疑事项2</w:t>
      </w:r>
    </w:p>
    <w:p w14:paraId="39605BBA">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p w14:paraId="43983F49">
      <w:pPr>
        <w:adjustRightInd w:val="0"/>
        <w:snapToGrid w:val="0"/>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四、与质疑事项相关的质疑请求</w:t>
      </w:r>
    </w:p>
    <w:p w14:paraId="1F77C427">
      <w:pPr>
        <w:adjustRightInd w:val="0"/>
        <w:snapToGrid w:val="0"/>
        <w:spacing w:line="32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请求：</w:t>
      </w:r>
    </w:p>
    <w:p w14:paraId="2D0A5106">
      <w:pPr>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签字(签章)：                   公章：                      </w:t>
      </w:r>
    </w:p>
    <w:p w14:paraId="40B3C8B3">
      <w:pPr>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日期：    </w:t>
      </w:r>
    </w:p>
    <w:p w14:paraId="0EB5F03E">
      <w:pPr>
        <w:adjustRightInd w:val="0"/>
        <w:snapToGrid w:val="0"/>
        <w:spacing w:line="320" w:lineRule="exact"/>
        <w:rPr>
          <w:rFonts w:hint="eastAsia" w:ascii="宋体" w:hAnsi="宋体" w:eastAsia="宋体" w:cs="宋体"/>
          <w:b w:val="0"/>
          <w:bCs/>
          <w:color w:val="auto"/>
          <w:sz w:val="24"/>
          <w:szCs w:val="24"/>
          <w:highlight w:val="none"/>
        </w:rPr>
      </w:pPr>
    </w:p>
    <w:p w14:paraId="58916C94">
      <w:pPr>
        <w:spacing w:line="320" w:lineRule="exact"/>
        <w:rPr>
          <w:rFonts w:hint="eastAsia" w:ascii="宋体" w:hAnsi="宋体" w:eastAsia="宋体" w:cs="宋体"/>
          <w:b w:val="0"/>
          <w:bCs/>
          <w:color w:val="auto"/>
          <w:sz w:val="24"/>
          <w:szCs w:val="24"/>
          <w:highlight w:val="none"/>
        </w:rPr>
      </w:pPr>
    </w:p>
    <w:p w14:paraId="20A43F7A">
      <w:pPr>
        <w:spacing w:line="32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质疑函制作说明：</w:t>
      </w:r>
    </w:p>
    <w:p w14:paraId="0B3C29A5">
      <w:pPr>
        <w:widowControl/>
        <w:spacing w:line="3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1.供应商提出质疑时，应提交质疑函和必要的证明材料。</w:t>
      </w:r>
    </w:p>
    <w:p w14:paraId="3BDC811D">
      <w:pPr>
        <w:widowControl/>
        <w:spacing w:line="3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b w:val="0"/>
          <w:bCs/>
          <w:color w:val="auto"/>
          <w:kern w:val="0"/>
          <w:sz w:val="24"/>
          <w:szCs w:val="24"/>
          <w:highlight w:val="none"/>
        </w:rPr>
        <w:t>供应商签署的授权委托书。授权委托书应载明代理人的姓名或者名称、代理事项、具体权限、期限和相关事项。</w:t>
      </w:r>
    </w:p>
    <w:p w14:paraId="3E3F5946">
      <w:pPr>
        <w:widowControl/>
        <w:spacing w:line="3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3.质疑供应商若对项目的某一分包进行质疑，质疑函中应列明具体分包号。</w:t>
      </w:r>
    </w:p>
    <w:p w14:paraId="38F26CE7">
      <w:pPr>
        <w:widowControl/>
        <w:spacing w:line="3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4.质疑函的质疑事项应具体、明确，并有必要的事实依据和法律依据。</w:t>
      </w:r>
    </w:p>
    <w:p w14:paraId="598FD1DF">
      <w:pPr>
        <w:widowControl/>
        <w:spacing w:line="3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5.质疑函的质疑请求应与质疑事项相关。</w:t>
      </w:r>
    </w:p>
    <w:p w14:paraId="2B115DF9">
      <w:pPr>
        <w:widowControl/>
        <w:spacing w:line="32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1A2B7A0">
      <w:pPr>
        <w:snapToGrid w:val="0"/>
        <w:spacing w:before="50" w:after="50"/>
        <w:ind w:right="-817" w:rightChars="-389"/>
        <w:rPr>
          <w:rFonts w:hint="eastAsia" w:ascii="宋体" w:hAnsi="宋体" w:eastAsia="宋体" w:cs="宋体"/>
          <w:b w:val="0"/>
          <w:bCs/>
          <w:color w:val="auto"/>
          <w:sz w:val="24"/>
          <w:szCs w:val="24"/>
          <w:highlight w:val="none"/>
        </w:rPr>
      </w:pPr>
    </w:p>
    <w:p w14:paraId="04278B80">
      <w:pPr>
        <w:snapToGrid w:val="0"/>
        <w:spacing w:before="50" w:after="50"/>
        <w:ind w:right="-817" w:rightChars="-389"/>
        <w:rPr>
          <w:rFonts w:hint="eastAsia" w:ascii="宋体" w:hAnsi="宋体" w:eastAsia="宋体" w:cs="宋体"/>
          <w:b w:val="0"/>
          <w:bCs/>
          <w:color w:val="auto"/>
          <w:sz w:val="24"/>
          <w:szCs w:val="24"/>
          <w:highlight w:val="none"/>
        </w:rPr>
      </w:pPr>
    </w:p>
    <w:p w14:paraId="5101D6AF">
      <w:pPr>
        <w:snapToGrid w:val="0"/>
        <w:spacing w:before="50" w:after="50"/>
        <w:ind w:right="-817" w:rightChars="-389"/>
        <w:rPr>
          <w:rFonts w:hint="eastAsia" w:ascii="宋体" w:hAnsi="宋体" w:eastAsia="宋体" w:cs="宋体"/>
          <w:b w:val="0"/>
          <w:bCs/>
          <w:color w:val="auto"/>
          <w:sz w:val="24"/>
          <w:szCs w:val="24"/>
          <w:highlight w:val="none"/>
        </w:rPr>
      </w:pPr>
    </w:p>
    <w:p w14:paraId="3866C85B">
      <w:pPr>
        <w:snapToGrid w:val="0"/>
        <w:spacing w:before="50" w:after="50"/>
        <w:ind w:right="-817" w:rightChars="-389"/>
        <w:rPr>
          <w:rFonts w:hint="eastAsia" w:ascii="宋体" w:hAnsi="宋体" w:eastAsia="宋体" w:cs="宋体"/>
          <w:b w:val="0"/>
          <w:bCs/>
          <w:color w:val="auto"/>
          <w:sz w:val="24"/>
          <w:szCs w:val="24"/>
          <w:highlight w:val="none"/>
        </w:rPr>
      </w:pPr>
    </w:p>
    <w:p w14:paraId="5F666838">
      <w:pPr>
        <w:snapToGrid w:val="0"/>
        <w:spacing w:before="50" w:after="50"/>
        <w:ind w:right="-817" w:rightChars="-38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投诉书范本</w:t>
      </w:r>
    </w:p>
    <w:p w14:paraId="54C7843F">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投诉书范本</w:t>
      </w:r>
    </w:p>
    <w:p w14:paraId="73996738">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一、投诉相关主体基本情况</w:t>
      </w:r>
    </w:p>
    <w:p w14:paraId="0745350B">
      <w:pPr>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投诉人：</w:t>
      </w:r>
    </w:p>
    <w:p w14:paraId="266A2849">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地     址：邮编：</w:t>
      </w:r>
    </w:p>
    <w:p w14:paraId="5BFF9D3D">
      <w:pPr>
        <w:tabs>
          <w:tab w:val="left" w:pos="6510"/>
        </w:tabs>
        <w:spacing w:line="38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法定代表人/主要负责人：</w:t>
      </w:r>
    </w:p>
    <w:p w14:paraId="0297BA65">
      <w:pPr>
        <w:tabs>
          <w:tab w:val="left" w:pos="6510"/>
        </w:tabs>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联系电话：</w:t>
      </w:r>
    </w:p>
    <w:p w14:paraId="66A9B81E">
      <w:pPr>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授权代表：联系电话</w:t>
      </w:r>
      <w:r>
        <w:rPr>
          <w:rFonts w:hint="eastAsia" w:ascii="宋体" w:hAnsi="宋体" w:eastAsia="宋体" w:cs="宋体"/>
          <w:b w:val="0"/>
          <w:bCs/>
          <w:color w:val="auto"/>
          <w:sz w:val="24"/>
          <w:szCs w:val="24"/>
          <w:highlight w:val="none"/>
          <w:u w:val="dotted"/>
        </w:rPr>
        <w:t xml:space="preserve">：                  </w:t>
      </w:r>
    </w:p>
    <w:p w14:paraId="56594FAD">
      <w:pPr>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地     址：邮编：</w:t>
      </w:r>
    </w:p>
    <w:p w14:paraId="0DC09ABB">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被投诉人1：</w:t>
      </w:r>
    </w:p>
    <w:p w14:paraId="4A74F52A">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地     址：邮编：</w:t>
      </w:r>
    </w:p>
    <w:p w14:paraId="0B73F95D">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联系人：联系电话：</w:t>
      </w:r>
    </w:p>
    <w:p w14:paraId="61EC2CB4">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被投诉人2</w:t>
      </w:r>
    </w:p>
    <w:p w14:paraId="744A5678">
      <w:pPr>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w:t>
      </w:r>
    </w:p>
    <w:p w14:paraId="2A25AE88">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相关供应商：</w:t>
      </w:r>
    </w:p>
    <w:p w14:paraId="611372CA">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地     址：邮编：</w:t>
      </w:r>
    </w:p>
    <w:p w14:paraId="36FA0781">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联系人：联系电话：</w:t>
      </w:r>
    </w:p>
    <w:p w14:paraId="7B0BFAAF">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二、投诉项目基本情况</w:t>
      </w:r>
    </w:p>
    <w:p w14:paraId="545D8DAC">
      <w:pPr>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采购项目名称：</w:t>
      </w:r>
    </w:p>
    <w:p w14:paraId="26E23E91">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采购项目编号：包号：</w:t>
      </w:r>
    </w:p>
    <w:p w14:paraId="140BAA12">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采购人名称：</w:t>
      </w:r>
    </w:p>
    <w:p w14:paraId="4E6B724B">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代理机构名称：</w:t>
      </w:r>
    </w:p>
    <w:p w14:paraId="02D9461A">
      <w:pPr>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采购文件公告:</w:t>
      </w:r>
      <w:r>
        <w:rPr>
          <w:rFonts w:hint="eastAsia" w:ascii="宋体" w:hAnsi="宋体" w:eastAsia="宋体" w:cs="宋体"/>
          <w:b w:val="0"/>
          <w:bCs/>
          <w:color w:val="auto"/>
          <w:sz w:val="24"/>
          <w:szCs w:val="24"/>
          <w:highlight w:val="none"/>
          <w:u w:val="dotted"/>
        </w:rPr>
        <w:t xml:space="preserve">是/否 </w:t>
      </w:r>
      <w:r>
        <w:rPr>
          <w:rFonts w:hint="eastAsia" w:ascii="宋体" w:hAnsi="宋体" w:eastAsia="宋体" w:cs="宋体"/>
          <w:b w:val="0"/>
          <w:bCs/>
          <w:color w:val="auto"/>
          <w:sz w:val="24"/>
          <w:szCs w:val="24"/>
          <w:highlight w:val="none"/>
        </w:rPr>
        <w:t>公告期限：</w:t>
      </w:r>
    </w:p>
    <w:p w14:paraId="0AEF5DC5">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采购结果公告:</w:t>
      </w:r>
      <w:r>
        <w:rPr>
          <w:rFonts w:hint="eastAsia" w:ascii="宋体" w:hAnsi="宋体" w:eastAsia="宋体" w:cs="宋体"/>
          <w:b w:val="0"/>
          <w:bCs/>
          <w:color w:val="auto"/>
          <w:sz w:val="24"/>
          <w:szCs w:val="24"/>
          <w:highlight w:val="none"/>
          <w:u w:val="dotted"/>
        </w:rPr>
        <w:t xml:space="preserve">是/否 </w:t>
      </w:r>
      <w:r>
        <w:rPr>
          <w:rFonts w:hint="eastAsia" w:ascii="宋体" w:hAnsi="宋体" w:eastAsia="宋体" w:cs="宋体"/>
          <w:b w:val="0"/>
          <w:bCs/>
          <w:color w:val="auto"/>
          <w:sz w:val="24"/>
          <w:szCs w:val="24"/>
          <w:highlight w:val="none"/>
        </w:rPr>
        <w:t>公告期限：</w:t>
      </w:r>
    </w:p>
    <w:p w14:paraId="2EB6C03F">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三、质疑基本情况</w:t>
      </w:r>
    </w:p>
    <w:p w14:paraId="2693F032">
      <w:pPr>
        <w:spacing w:line="380" w:lineRule="exact"/>
        <w:ind w:firstLine="480" w:firstLineChars="200"/>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投诉人于年月日,向提出质疑，质疑事项为：</w:t>
      </w:r>
    </w:p>
    <w:p w14:paraId="6A070795">
      <w:pPr>
        <w:spacing w:line="380" w:lineRule="exact"/>
        <w:rPr>
          <w:rFonts w:hint="eastAsia" w:ascii="宋体" w:hAnsi="宋体" w:eastAsia="宋体" w:cs="宋体"/>
          <w:b w:val="0"/>
          <w:bCs/>
          <w:color w:val="auto"/>
          <w:sz w:val="24"/>
          <w:szCs w:val="24"/>
          <w:highlight w:val="none"/>
          <w:u w:val="dotted"/>
        </w:rPr>
      </w:pPr>
    </w:p>
    <w:p w14:paraId="70EDB806">
      <w:pPr>
        <w:spacing w:line="380" w:lineRule="exact"/>
        <w:ind w:firstLine="360" w:firstLineChars="15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dotted"/>
        </w:rPr>
        <w:t>采购人/代理机构</w:t>
      </w:r>
      <w:r>
        <w:rPr>
          <w:rFonts w:hint="eastAsia" w:ascii="宋体" w:hAnsi="宋体" w:eastAsia="宋体" w:cs="宋体"/>
          <w:b w:val="0"/>
          <w:bCs/>
          <w:color w:val="auto"/>
          <w:sz w:val="24"/>
          <w:szCs w:val="24"/>
          <w:highlight w:val="none"/>
        </w:rPr>
        <w:t>于年月日,就质疑事项作出了答复/没有在法定期限内作出答复。</w:t>
      </w:r>
    </w:p>
    <w:p w14:paraId="69580113">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四、投诉事项具体内容</w:t>
      </w:r>
    </w:p>
    <w:p w14:paraId="1BF425FF">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投诉事项 1：</w:t>
      </w:r>
    </w:p>
    <w:p w14:paraId="0D781EFC">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事实依据：</w:t>
      </w:r>
    </w:p>
    <w:p w14:paraId="417576D2">
      <w:pPr>
        <w:spacing w:line="380" w:lineRule="exact"/>
        <w:rPr>
          <w:rFonts w:hint="eastAsia" w:ascii="宋体" w:hAnsi="宋体" w:eastAsia="宋体" w:cs="宋体"/>
          <w:b w:val="0"/>
          <w:bCs/>
          <w:color w:val="auto"/>
          <w:sz w:val="24"/>
          <w:szCs w:val="24"/>
          <w:highlight w:val="none"/>
          <w:u w:val="dotted"/>
        </w:rPr>
      </w:pPr>
    </w:p>
    <w:p w14:paraId="0181D353">
      <w:pPr>
        <w:spacing w:line="380" w:lineRule="exac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法律依据：</w:t>
      </w:r>
    </w:p>
    <w:p w14:paraId="0B42DC1C">
      <w:pPr>
        <w:spacing w:line="380" w:lineRule="exact"/>
        <w:rPr>
          <w:rFonts w:hint="eastAsia" w:ascii="宋体" w:hAnsi="宋体" w:eastAsia="宋体" w:cs="宋体"/>
          <w:b w:val="0"/>
          <w:bCs/>
          <w:color w:val="auto"/>
          <w:sz w:val="24"/>
          <w:szCs w:val="24"/>
          <w:highlight w:val="none"/>
          <w:u w:val="dotted"/>
        </w:rPr>
      </w:pPr>
    </w:p>
    <w:p w14:paraId="758DDCEF">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投诉事项2</w:t>
      </w:r>
    </w:p>
    <w:p w14:paraId="012C1F23">
      <w:pPr>
        <w:spacing w:line="380" w:lineRule="exact"/>
        <w:rPr>
          <w:rFonts w:hint="eastAsia" w:ascii="宋体" w:hAnsi="宋体" w:eastAsia="宋体" w:cs="宋体"/>
          <w:b w:val="0"/>
          <w:bCs/>
          <w:color w:val="auto"/>
          <w:sz w:val="24"/>
          <w:szCs w:val="24"/>
          <w:highlight w:val="none"/>
          <w:u w:val="dotted"/>
        </w:rPr>
      </w:pPr>
      <w:r>
        <w:rPr>
          <w:rFonts w:hint="eastAsia" w:ascii="宋体" w:hAnsi="宋体" w:eastAsia="宋体" w:cs="宋体"/>
          <w:b w:val="0"/>
          <w:bCs/>
          <w:color w:val="auto"/>
          <w:sz w:val="24"/>
          <w:szCs w:val="24"/>
          <w:highlight w:val="none"/>
        </w:rPr>
        <w:t>……</w:t>
      </w:r>
    </w:p>
    <w:p w14:paraId="093EC025">
      <w:pPr>
        <w:spacing w:line="380" w:lineRule="exact"/>
        <w:rPr>
          <w:rFonts w:hint="eastAsia" w:ascii="宋体" w:hAnsi="宋体" w:eastAsia="宋体" w:cs="宋体"/>
          <w:b w:val="0"/>
          <w:bCs/>
          <w:color w:val="auto"/>
          <w:sz w:val="24"/>
          <w:szCs w:val="24"/>
          <w:highlight w:val="none"/>
        </w:rPr>
      </w:pPr>
    </w:p>
    <w:p w14:paraId="335CAAC5">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五、与投诉事项相关的投诉请求</w:t>
      </w:r>
    </w:p>
    <w:p w14:paraId="4D36561E">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请求：</w:t>
      </w:r>
    </w:p>
    <w:p w14:paraId="1067E70B">
      <w:pPr>
        <w:spacing w:line="380" w:lineRule="exact"/>
        <w:rPr>
          <w:rFonts w:hint="eastAsia" w:ascii="宋体" w:hAnsi="宋体" w:eastAsia="宋体" w:cs="宋体"/>
          <w:b w:val="0"/>
          <w:bCs/>
          <w:color w:val="auto"/>
          <w:sz w:val="24"/>
          <w:szCs w:val="24"/>
          <w:highlight w:val="none"/>
          <w:u w:val="single"/>
        </w:rPr>
      </w:pPr>
    </w:p>
    <w:p w14:paraId="17AA4B2A">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签字(签章)：                   公章：                      </w:t>
      </w:r>
    </w:p>
    <w:p w14:paraId="6915AE05">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日期：    </w:t>
      </w:r>
    </w:p>
    <w:p w14:paraId="6B060B64">
      <w:pPr>
        <w:spacing w:line="380" w:lineRule="exact"/>
        <w:rPr>
          <w:rFonts w:hint="eastAsia" w:ascii="宋体" w:hAnsi="宋体" w:eastAsia="宋体" w:cs="宋体"/>
          <w:b w:val="0"/>
          <w:bCs/>
          <w:color w:val="auto"/>
          <w:sz w:val="24"/>
          <w:szCs w:val="24"/>
          <w:highlight w:val="none"/>
        </w:rPr>
      </w:pPr>
    </w:p>
    <w:p w14:paraId="7F197409">
      <w:pPr>
        <w:spacing w:line="38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投诉书制作说明：</w:t>
      </w:r>
    </w:p>
    <w:p w14:paraId="6D2A29D6">
      <w:pPr>
        <w:widowControl/>
        <w:spacing w:line="380" w:lineRule="exact"/>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1.投诉人提起投诉时，应当提交投诉书和必要的证明材料，并按照被投诉人和与投诉事项有关的供应商数量提供投诉书副本。</w:t>
      </w:r>
    </w:p>
    <w:p w14:paraId="7E04A8D8">
      <w:pPr>
        <w:widowControl/>
        <w:spacing w:line="380" w:lineRule="exact"/>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b w:val="0"/>
          <w:bCs/>
          <w:color w:val="auto"/>
          <w:kern w:val="0"/>
          <w:sz w:val="24"/>
          <w:szCs w:val="24"/>
          <w:highlight w:val="none"/>
        </w:rPr>
        <w:t>投诉人签署的授权委托书。授权委托书应当载明代理人的姓名或者名称、代理事项、具体权限、期限和相关事项。</w:t>
      </w:r>
    </w:p>
    <w:p w14:paraId="0D9BBA90">
      <w:pPr>
        <w:widowControl/>
        <w:spacing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3.投诉人若对项目的某一分包进行投诉，投诉书应列明具体分包号。</w:t>
      </w:r>
    </w:p>
    <w:p w14:paraId="46E32008">
      <w:pPr>
        <w:widowControl/>
        <w:spacing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4.投诉书应简要列明质疑事项，质疑函、质疑答复等作为附件材料提供。</w:t>
      </w:r>
    </w:p>
    <w:p w14:paraId="0D435FDC">
      <w:pPr>
        <w:widowControl/>
        <w:spacing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5.投诉书的投诉事项应具体、明确，并有必要的事实依据和法律依据。</w:t>
      </w:r>
    </w:p>
    <w:p w14:paraId="38A3536B">
      <w:pPr>
        <w:widowControl/>
        <w:spacing w:line="38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6.投诉书的投诉请求应与投诉事项相关。</w:t>
      </w:r>
    </w:p>
    <w:p w14:paraId="1E41F03E">
      <w:pPr>
        <w:widowControl/>
        <w:spacing w:line="380" w:lineRule="exact"/>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77CA289E">
      <w:pPr>
        <w:jc w:val="left"/>
        <w:rPr>
          <w:rFonts w:hint="eastAsia" w:ascii="宋体" w:hAnsi="宋体" w:eastAsia="宋体" w:cs="宋体"/>
          <w:b w:val="0"/>
          <w:bCs/>
          <w:color w:val="auto"/>
          <w:sz w:val="24"/>
          <w:szCs w:val="24"/>
          <w:highlight w:val="none"/>
        </w:rPr>
      </w:pPr>
    </w:p>
    <w:p w14:paraId="60F51E5D">
      <w:pPr>
        <w:pStyle w:val="24"/>
        <w:ind w:firstLine="544"/>
        <w:rPr>
          <w:rFonts w:hint="eastAsia" w:ascii="宋体" w:hAnsi="宋体" w:eastAsia="宋体" w:cs="宋体"/>
          <w:b w:val="0"/>
          <w:bCs/>
          <w:color w:val="auto"/>
          <w:sz w:val="24"/>
          <w:szCs w:val="24"/>
          <w:highlight w:val="none"/>
        </w:rPr>
      </w:pPr>
    </w:p>
    <w:p w14:paraId="2E2141F1">
      <w:pPr>
        <w:pStyle w:val="24"/>
        <w:ind w:firstLine="344"/>
        <w:rPr>
          <w:rFonts w:hint="eastAsia" w:ascii="宋体" w:hAnsi="宋体" w:eastAsia="宋体" w:cs="宋体"/>
          <w:b w:val="0"/>
          <w:bCs/>
          <w:color w:val="auto"/>
          <w:sz w:val="24"/>
          <w:szCs w:val="24"/>
          <w:highlight w:val="none"/>
        </w:rPr>
      </w:pPr>
    </w:p>
    <w:p w14:paraId="5D866984">
      <w:pPr>
        <w:pStyle w:val="6"/>
        <w:rPr>
          <w:rFonts w:hint="eastAsia" w:ascii="宋体" w:hAnsi="宋体" w:eastAsia="宋体" w:cs="宋体"/>
          <w:b w:val="0"/>
          <w:bCs/>
          <w:color w:val="auto"/>
          <w:sz w:val="24"/>
          <w:szCs w:val="24"/>
          <w:highlight w:val="none"/>
        </w:rPr>
      </w:pPr>
    </w:p>
    <w:sectPr>
      <w:headerReference r:id="rId9" w:type="first"/>
      <w:footerReference r:id="rId12" w:type="first"/>
      <w:headerReference r:id="rId8" w:type="default"/>
      <w:footerReference r:id="rId10" w:type="default"/>
      <w:footerReference r:id="rId11" w:type="even"/>
      <w:pgSz w:w="11906" w:h="16838"/>
      <w:pgMar w:top="1440" w:right="1080" w:bottom="1276" w:left="1080"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1B05">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E58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9BC7">
    <w:pPr>
      <w:pStyle w:val="16"/>
      <w:ind w:right="360"/>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58FDE2E">
                <w:pPr>
                  <w:pStyle w:val="16"/>
                </w:pPr>
                <w:r>
                  <w:fldChar w:fldCharType="begin"/>
                </w:r>
                <w:r>
                  <w:instrText xml:space="preserve"> PAGE  \* MERGEFORMAT </w:instrText>
                </w:r>
                <w:r>
                  <w:fldChar w:fldCharType="separate"/>
                </w:r>
                <w:r>
                  <w:t>2</w:t>
                </w:r>
                <w:r>
                  <w:fldChar w:fldCharType="end"/>
                </w:r>
              </w:p>
              <w:p w14:paraId="28FC2624">
                <w:pPr>
                  <w:pStyle w:val="16"/>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201F9">
    <w:pPr>
      <w:pStyle w:val="16"/>
    </w:pPr>
    <w:r>
      <w:rPr>
        <w:sz w:val="18"/>
      </w:rP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64B4C4">
                <w:pPr>
                  <w:pStyle w:val="16"/>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E53C">
    <w:pPr>
      <w:ind w:right="720"/>
    </w:pPr>
    <w:r>
      <w:rPr>
        <w:sz w:val="21"/>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BDA1E4B">
                <w:pPr>
                  <w:pStyle w:val="16"/>
                </w:pPr>
                <w:r>
                  <w:fldChar w:fldCharType="begin"/>
                </w:r>
                <w:r>
                  <w:instrText xml:space="preserve"> PAGE  \* MERGEFORMAT </w:instrText>
                </w:r>
                <w:r>
                  <w:fldChar w:fldCharType="separate"/>
                </w:r>
                <w:r>
                  <w:t>44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52A7">
    <w:pPr>
      <w:framePr w:wrap="around" w:vAnchor="text" w:hAnchor="margin" w:xAlign="center" w:y="1"/>
    </w:pPr>
    <w:r>
      <w:fldChar w:fldCharType="begin"/>
    </w:r>
    <w:r>
      <w:instrText xml:space="preserve">PAGE  </w:instrText>
    </w:r>
    <w:r>
      <w:fldChar w:fldCharType="separate"/>
    </w:r>
    <w:r>
      <w:t>3</w:t>
    </w:r>
    <w:r>
      <w:fldChar w:fldCharType="end"/>
    </w:r>
  </w:p>
  <w:p w14:paraId="3487A412">
    <w:pP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1DCF">
    <w:pPr>
      <w:ind w:right="720"/>
    </w:pPr>
    <w:r>
      <w:rPr>
        <w:sz w:val="21"/>
      </w:rP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21E1FC6">
                <w:pPr>
                  <w:pStyle w:val="16"/>
                </w:pPr>
                <w:r>
                  <w:fldChar w:fldCharType="begin"/>
                </w:r>
                <w:r>
                  <w:instrText xml:space="preserve"> PAGE  \* MERGEFORMAT </w:instrText>
                </w:r>
                <w:r>
                  <w:fldChar w:fldCharType="separate"/>
                </w:r>
                <w:r>
                  <w:t>43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B924">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4D8C">
    <w:pPr>
      <w:pStyle w:val="2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73D4">
    <w:pPr>
      <w:pStyle w:val="20"/>
      <w:jc w:val="both"/>
      <w:rPr>
        <w:u w:val="single"/>
      </w:rPr>
    </w:pPr>
  </w:p>
  <w:p w14:paraId="5FFF54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0E368"/>
    <w:multiLevelType w:val="singleLevel"/>
    <w:tmpl w:val="9F10E368"/>
    <w:lvl w:ilvl="0" w:tentative="0">
      <w:start w:val="1"/>
      <w:numFmt w:val="decimal"/>
      <w:suff w:val="nothing"/>
      <w:lvlText w:val="%1、"/>
      <w:lvlJc w:val="left"/>
    </w:lvl>
  </w:abstractNum>
  <w:abstractNum w:abstractNumId="1">
    <w:nsid w:val="CED7CFA1"/>
    <w:multiLevelType w:val="singleLevel"/>
    <w:tmpl w:val="CED7CFA1"/>
    <w:lvl w:ilvl="0" w:tentative="0">
      <w:start w:val="1"/>
      <w:numFmt w:val="decimal"/>
      <w:suff w:val="nothing"/>
      <w:lvlText w:val="%1、"/>
      <w:lvlJc w:val="left"/>
    </w:lvl>
  </w:abstractNum>
  <w:abstractNum w:abstractNumId="2">
    <w:nsid w:val="D3EF05D8"/>
    <w:multiLevelType w:val="multilevel"/>
    <w:tmpl w:val="D3EF05D8"/>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6ECF507"/>
    <w:multiLevelType w:val="singleLevel"/>
    <w:tmpl w:val="56ECF507"/>
    <w:lvl w:ilvl="0" w:tentative="0">
      <w:start w:val="1"/>
      <w:numFmt w:val="decimal"/>
      <w:suff w:val="nothing"/>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1140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FiZjNiYjhiOGYzNzY1NGM3YmJkM2E4YWY2ODNiNzEifQ=="/>
  </w:docVars>
  <w:rsids>
    <w:rsidRoot w:val="00AD4A20"/>
    <w:rsid w:val="000C4A09"/>
    <w:rsid w:val="0029032D"/>
    <w:rsid w:val="00332B63"/>
    <w:rsid w:val="0033501E"/>
    <w:rsid w:val="003A7FFD"/>
    <w:rsid w:val="003C1069"/>
    <w:rsid w:val="003D6088"/>
    <w:rsid w:val="003F0C32"/>
    <w:rsid w:val="003F6618"/>
    <w:rsid w:val="003F67ED"/>
    <w:rsid w:val="00427A6A"/>
    <w:rsid w:val="0045147A"/>
    <w:rsid w:val="004C547F"/>
    <w:rsid w:val="00506A2F"/>
    <w:rsid w:val="00551C43"/>
    <w:rsid w:val="005712D8"/>
    <w:rsid w:val="005C1DB7"/>
    <w:rsid w:val="005F1D5D"/>
    <w:rsid w:val="00616A1D"/>
    <w:rsid w:val="006A4ACD"/>
    <w:rsid w:val="007A73FA"/>
    <w:rsid w:val="007D3AFB"/>
    <w:rsid w:val="00802BCC"/>
    <w:rsid w:val="00806420"/>
    <w:rsid w:val="00841D47"/>
    <w:rsid w:val="0087035D"/>
    <w:rsid w:val="00887DAB"/>
    <w:rsid w:val="008F34F1"/>
    <w:rsid w:val="00925F55"/>
    <w:rsid w:val="009302AD"/>
    <w:rsid w:val="00997E0B"/>
    <w:rsid w:val="00A0073E"/>
    <w:rsid w:val="00A17A7A"/>
    <w:rsid w:val="00AD4A20"/>
    <w:rsid w:val="00AE3A59"/>
    <w:rsid w:val="00BA7D80"/>
    <w:rsid w:val="00BB3C10"/>
    <w:rsid w:val="00C417C9"/>
    <w:rsid w:val="00CA69B2"/>
    <w:rsid w:val="00D3523F"/>
    <w:rsid w:val="00D91A7C"/>
    <w:rsid w:val="00DC6493"/>
    <w:rsid w:val="00ED3725"/>
    <w:rsid w:val="00EE0125"/>
    <w:rsid w:val="00EF3609"/>
    <w:rsid w:val="00F134E0"/>
    <w:rsid w:val="00F54016"/>
    <w:rsid w:val="00FC78EE"/>
    <w:rsid w:val="010525D0"/>
    <w:rsid w:val="014001AC"/>
    <w:rsid w:val="019B6D8B"/>
    <w:rsid w:val="019F25D1"/>
    <w:rsid w:val="01E356AA"/>
    <w:rsid w:val="01EE084F"/>
    <w:rsid w:val="01F84779"/>
    <w:rsid w:val="02700360"/>
    <w:rsid w:val="027E0CEF"/>
    <w:rsid w:val="02B15638"/>
    <w:rsid w:val="03032B7A"/>
    <w:rsid w:val="030E1788"/>
    <w:rsid w:val="031511C4"/>
    <w:rsid w:val="03347552"/>
    <w:rsid w:val="03916DD0"/>
    <w:rsid w:val="03DB141E"/>
    <w:rsid w:val="03FA3F76"/>
    <w:rsid w:val="042C0F82"/>
    <w:rsid w:val="04600F0D"/>
    <w:rsid w:val="04732647"/>
    <w:rsid w:val="048935D8"/>
    <w:rsid w:val="04E24D03"/>
    <w:rsid w:val="05C100B2"/>
    <w:rsid w:val="05CC2E62"/>
    <w:rsid w:val="05FD48BE"/>
    <w:rsid w:val="060776D3"/>
    <w:rsid w:val="064C7E1C"/>
    <w:rsid w:val="066509BD"/>
    <w:rsid w:val="069845E6"/>
    <w:rsid w:val="0716125B"/>
    <w:rsid w:val="07C35693"/>
    <w:rsid w:val="08017F69"/>
    <w:rsid w:val="082D0D5E"/>
    <w:rsid w:val="083E6C17"/>
    <w:rsid w:val="08517143"/>
    <w:rsid w:val="08DF1EE9"/>
    <w:rsid w:val="09092403"/>
    <w:rsid w:val="09205EC7"/>
    <w:rsid w:val="09516F98"/>
    <w:rsid w:val="096B2396"/>
    <w:rsid w:val="097C0E7B"/>
    <w:rsid w:val="09B6176E"/>
    <w:rsid w:val="09EA6F7F"/>
    <w:rsid w:val="0A1517E6"/>
    <w:rsid w:val="0A59408D"/>
    <w:rsid w:val="0A7A12CA"/>
    <w:rsid w:val="0AC36256"/>
    <w:rsid w:val="0B477944"/>
    <w:rsid w:val="0B7A4FB2"/>
    <w:rsid w:val="0BE04F3A"/>
    <w:rsid w:val="0BF25F1E"/>
    <w:rsid w:val="0C257E8A"/>
    <w:rsid w:val="0C497085"/>
    <w:rsid w:val="0D51466C"/>
    <w:rsid w:val="0D6F5E32"/>
    <w:rsid w:val="0D810FC2"/>
    <w:rsid w:val="0DCD5C58"/>
    <w:rsid w:val="0E2C6F15"/>
    <w:rsid w:val="0E5C7CD8"/>
    <w:rsid w:val="0EC51CF1"/>
    <w:rsid w:val="0ED5460A"/>
    <w:rsid w:val="0F444FA8"/>
    <w:rsid w:val="101E076F"/>
    <w:rsid w:val="10250800"/>
    <w:rsid w:val="110F33C7"/>
    <w:rsid w:val="11867E5D"/>
    <w:rsid w:val="11AB2B90"/>
    <w:rsid w:val="12146661"/>
    <w:rsid w:val="12335555"/>
    <w:rsid w:val="12EC6328"/>
    <w:rsid w:val="13487972"/>
    <w:rsid w:val="134933C7"/>
    <w:rsid w:val="135E2352"/>
    <w:rsid w:val="13607206"/>
    <w:rsid w:val="136217C5"/>
    <w:rsid w:val="13D365BB"/>
    <w:rsid w:val="140C5755"/>
    <w:rsid w:val="14184F5A"/>
    <w:rsid w:val="14300689"/>
    <w:rsid w:val="14495172"/>
    <w:rsid w:val="14644356"/>
    <w:rsid w:val="14AE099A"/>
    <w:rsid w:val="14AF517F"/>
    <w:rsid w:val="14B56BB9"/>
    <w:rsid w:val="15846D77"/>
    <w:rsid w:val="158B1599"/>
    <w:rsid w:val="15BD35B6"/>
    <w:rsid w:val="15CD4529"/>
    <w:rsid w:val="15D32F45"/>
    <w:rsid w:val="15E3282C"/>
    <w:rsid w:val="15FB61F2"/>
    <w:rsid w:val="16154FCB"/>
    <w:rsid w:val="166B13D0"/>
    <w:rsid w:val="1687051F"/>
    <w:rsid w:val="16D90A2F"/>
    <w:rsid w:val="17076648"/>
    <w:rsid w:val="17141584"/>
    <w:rsid w:val="17C95EF6"/>
    <w:rsid w:val="17F13B56"/>
    <w:rsid w:val="18060934"/>
    <w:rsid w:val="183C2926"/>
    <w:rsid w:val="18911DA2"/>
    <w:rsid w:val="19403C9B"/>
    <w:rsid w:val="19762565"/>
    <w:rsid w:val="198213D7"/>
    <w:rsid w:val="19EA4D01"/>
    <w:rsid w:val="1A396A4E"/>
    <w:rsid w:val="1A703458"/>
    <w:rsid w:val="1B311218"/>
    <w:rsid w:val="1B4B51B0"/>
    <w:rsid w:val="1B816790"/>
    <w:rsid w:val="1BD6342B"/>
    <w:rsid w:val="1BE30F81"/>
    <w:rsid w:val="1BFE56F4"/>
    <w:rsid w:val="1C026332"/>
    <w:rsid w:val="1C080649"/>
    <w:rsid w:val="1C3D5FE4"/>
    <w:rsid w:val="1CE43C8A"/>
    <w:rsid w:val="1CF6794B"/>
    <w:rsid w:val="1D3679E0"/>
    <w:rsid w:val="1D6C612A"/>
    <w:rsid w:val="1D75047C"/>
    <w:rsid w:val="1DA80110"/>
    <w:rsid w:val="1DE03535"/>
    <w:rsid w:val="1EDD24CE"/>
    <w:rsid w:val="1EFB350D"/>
    <w:rsid w:val="1EFC1375"/>
    <w:rsid w:val="1F301408"/>
    <w:rsid w:val="1F7C373E"/>
    <w:rsid w:val="1FFA0AFD"/>
    <w:rsid w:val="20166850"/>
    <w:rsid w:val="20831A0C"/>
    <w:rsid w:val="20912804"/>
    <w:rsid w:val="20BF581D"/>
    <w:rsid w:val="214A44F4"/>
    <w:rsid w:val="217B3CC2"/>
    <w:rsid w:val="219E6AFD"/>
    <w:rsid w:val="21AE2A52"/>
    <w:rsid w:val="21B96836"/>
    <w:rsid w:val="21F56E91"/>
    <w:rsid w:val="22316F25"/>
    <w:rsid w:val="22332E51"/>
    <w:rsid w:val="223F017A"/>
    <w:rsid w:val="227C4396"/>
    <w:rsid w:val="22AA4354"/>
    <w:rsid w:val="23132B49"/>
    <w:rsid w:val="23651827"/>
    <w:rsid w:val="23BF0FAD"/>
    <w:rsid w:val="23C75E58"/>
    <w:rsid w:val="241C214F"/>
    <w:rsid w:val="242F47ED"/>
    <w:rsid w:val="248F6252"/>
    <w:rsid w:val="24AB66C6"/>
    <w:rsid w:val="24F74539"/>
    <w:rsid w:val="258B383C"/>
    <w:rsid w:val="25AF6016"/>
    <w:rsid w:val="263D4DA0"/>
    <w:rsid w:val="265F53DE"/>
    <w:rsid w:val="269E37F0"/>
    <w:rsid w:val="26FD18BE"/>
    <w:rsid w:val="271A1136"/>
    <w:rsid w:val="273677D8"/>
    <w:rsid w:val="27405CED"/>
    <w:rsid w:val="274F678B"/>
    <w:rsid w:val="2750198D"/>
    <w:rsid w:val="275130DD"/>
    <w:rsid w:val="27624129"/>
    <w:rsid w:val="27661DCE"/>
    <w:rsid w:val="276E3A7D"/>
    <w:rsid w:val="2778477A"/>
    <w:rsid w:val="277A4A7E"/>
    <w:rsid w:val="28264779"/>
    <w:rsid w:val="28831186"/>
    <w:rsid w:val="29BC2AE8"/>
    <w:rsid w:val="29FE4975"/>
    <w:rsid w:val="2A646C7F"/>
    <w:rsid w:val="2A8343FF"/>
    <w:rsid w:val="2A8E7E79"/>
    <w:rsid w:val="2AB97A5B"/>
    <w:rsid w:val="2AD026FF"/>
    <w:rsid w:val="2AE7592A"/>
    <w:rsid w:val="2AE97BF9"/>
    <w:rsid w:val="2B1F0321"/>
    <w:rsid w:val="2B634B68"/>
    <w:rsid w:val="2B642686"/>
    <w:rsid w:val="2B756437"/>
    <w:rsid w:val="2B8D7DD3"/>
    <w:rsid w:val="2BED5FB9"/>
    <w:rsid w:val="2C114D76"/>
    <w:rsid w:val="2C270936"/>
    <w:rsid w:val="2C8C3FE4"/>
    <w:rsid w:val="2CA376BD"/>
    <w:rsid w:val="2CF44F3A"/>
    <w:rsid w:val="2D0A71DE"/>
    <w:rsid w:val="2D141AD4"/>
    <w:rsid w:val="2D8111E2"/>
    <w:rsid w:val="2DFA2D34"/>
    <w:rsid w:val="2DFE269A"/>
    <w:rsid w:val="2E3D7FF8"/>
    <w:rsid w:val="2E4B21AA"/>
    <w:rsid w:val="2E561F69"/>
    <w:rsid w:val="2E581DFF"/>
    <w:rsid w:val="2E765758"/>
    <w:rsid w:val="2E7E732B"/>
    <w:rsid w:val="2EDD1304"/>
    <w:rsid w:val="2EFD118D"/>
    <w:rsid w:val="2F4A44E3"/>
    <w:rsid w:val="2FAC12B5"/>
    <w:rsid w:val="2FE30285"/>
    <w:rsid w:val="2FEE1F30"/>
    <w:rsid w:val="30087DB9"/>
    <w:rsid w:val="30241CE1"/>
    <w:rsid w:val="303F2F96"/>
    <w:rsid w:val="304D175C"/>
    <w:rsid w:val="30890978"/>
    <w:rsid w:val="3095731D"/>
    <w:rsid w:val="30A368D3"/>
    <w:rsid w:val="30EB0020"/>
    <w:rsid w:val="30F576D1"/>
    <w:rsid w:val="311A3303"/>
    <w:rsid w:val="3170211C"/>
    <w:rsid w:val="317A00B8"/>
    <w:rsid w:val="319C7755"/>
    <w:rsid w:val="31C6680B"/>
    <w:rsid w:val="31D32994"/>
    <w:rsid w:val="31F04A12"/>
    <w:rsid w:val="32786EF6"/>
    <w:rsid w:val="339B1EE2"/>
    <w:rsid w:val="33B318A1"/>
    <w:rsid w:val="33DC08A6"/>
    <w:rsid w:val="340D366E"/>
    <w:rsid w:val="34332FC6"/>
    <w:rsid w:val="346A5636"/>
    <w:rsid w:val="34763909"/>
    <w:rsid w:val="348214A9"/>
    <w:rsid w:val="34EB1585"/>
    <w:rsid w:val="34F31669"/>
    <w:rsid w:val="350E58F0"/>
    <w:rsid w:val="35523A2F"/>
    <w:rsid w:val="3590384B"/>
    <w:rsid w:val="36141A1C"/>
    <w:rsid w:val="3634348A"/>
    <w:rsid w:val="368F480F"/>
    <w:rsid w:val="36CA1CC0"/>
    <w:rsid w:val="36CD5B2A"/>
    <w:rsid w:val="37516216"/>
    <w:rsid w:val="375409A2"/>
    <w:rsid w:val="37611CB8"/>
    <w:rsid w:val="37A367C3"/>
    <w:rsid w:val="37E63A0B"/>
    <w:rsid w:val="37F6496C"/>
    <w:rsid w:val="37FD7805"/>
    <w:rsid w:val="37FE10F8"/>
    <w:rsid w:val="38065E5D"/>
    <w:rsid w:val="38184F51"/>
    <w:rsid w:val="382A157F"/>
    <w:rsid w:val="382F7F59"/>
    <w:rsid w:val="3838397B"/>
    <w:rsid w:val="390419C8"/>
    <w:rsid w:val="395D6E46"/>
    <w:rsid w:val="396A2B55"/>
    <w:rsid w:val="3A4875D7"/>
    <w:rsid w:val="3A4B11DD"/>
    <w:rsid w:val="3A4E46A8"/>
    <w:rsid w:val="3A725D00"/>
    <w:rsid w:val="3A872C19"/>
    <w:rsid w:val="3A8A5B01"/>
    <w:rsid w:val="3AE63B58"/>
    <w:rsid w:val="3B857F39"/>
    <w:rsid w:val="3C1063F2"/>
    <w:rsid w:val="3C17152E"/>
    <w:rsid w:val="3C5F777A"/>
    <w:rsid w:val="3C8D6797"/>
    <w:rsid w:val="3CE67422"/>
    <w:rsid w:val="3CE974E1"/>
    <w:rsid w:val="3D1D0AEF"/>
    <w:rsid w:val="3D960B78"/>
    <w:rsid w:val="3DCC6ADF"/>
    <w:rsid w:val="3E045DA4"/>
    <w:rsid w:val="3E8D647F"/>
    <w:rsid w:val="3E9055C8"/>
    <w:rsid w:val="3EC87970"/>
    <w:rsid w:val="3EE64DBE"/>
    <w:rsid w:val="3EEC6E47"/>
    <w:rsid w:val="3EF15665"/>
    <w:rsid w:val="3F307442"/>
    <w:rsid w:val="3FA63159"/>
    <w:rsid w:val="4027133C"/>
    <w:rsid w:val="40791582"/>
    <w:rsid w:val="40C77CB7"/>
    <w:rsid w:val="40E60A77"/>
    <w:rsid w:val="412546ED"/>
    <w:rsid w:val="413900AD"/>
    <w:rsid w:val="415C577B"/>
    <w:rsid w:val="416401CE"/>
    <w:rsid w:val="41FA1DC3"/>
    <w:rsid w:val="422C5FC8"/>
    <w:rsid w:val="4242142F"/>
    <w:rsid w:val="42580FE6"/>
    <w:rsid w:val="426C1EA8"/>
    <w:rsid w:val="42752198"/>
    <w:rsid w:val="42892443"/>
    <w:rsid w:val="431C567C"/>
    <w:rsid w:val="432A6C49"/>
    <w:rsid w:val="43505326"/>
    <w:rsid w:val="43921709"/>
    <w:rsid w:val="43CF682D"/>
    <w:rsid w:val="4453331F"/>
    <w:rsid w:val="44B86AD4"/>
    <w:rsid w:val="44D06ECD"/>
    <w:rsid w:val="450B53CB"/>
    <w:rsid w:val="451A5BF4"/>
    <w:rsid w:val="453749EF"/>
    <w:rsid w:val="4549008C"/>
    <w:rsid w:val="45950705"/>
    <w:rsid w:val="45A36974"/>
    <w:rsid w:val="45EC1C63"/>
    <w:rsid w:val="45F823D0"/>
    <w:rsid w:val="45FB6FA0"/>
    <w:rsid w:val="463F05A3"/>
    <w:rsid w:val="46B33EB8"/>
    <w:rsid w:val="47121270"/>
    <w:rsid w:val="471F71C7"/>
    <w:rsid w:val="47272B68"/>
    <w:rsid w:val="47783926"/>
    <w:rsid w:val="47B01CE2"/>
    <w:rsid w:val="47FE1787"/>
    <w:rsid w:val="48C50FA4"/>
    <w:rsid w:val="49356D39"/>
    <w:rsid w:val="493A5478"/>
    <w:rsid w:val="49757894"/>
    <w:rsid w:val="49A613D1"/>
    <w:rsid w:val="49D942C7"/>
    <w:rsid w:val="4A0D080F"/>
    <w:rsid w:val="4A3258F2"/>
    <w:rsid w:val="4A355F6D"/>
    <w:rsid w:val="4A680ECE"/>
    <w:rsid w:val="4A716D7A"/>
    <w:rsid w:val="4AA46683"/>
    <w:rsid w:val="4B667DDC"/>
    <w:rsid w:val="4BB02E05"/>
    <w:rsid w:val="4C00409E"/>
    <w:rsid w:val="4C027856"/>
    <w:rsid w:val="4C0569BE"/>
    <w:rsid w:val="4C515898"/>
    <w:rsid w:val="4D283B3A"/>
    <w:rsid w:val="4D2E66D8"/>
    <w:rsid w:val="4D7D0540"/>
    <w:rsid w:val="4D827C24"/>
    <w:rsid w:val="4D990E39"/>
    <w:rsid w:val="4DA92202"/>
    <w:rsid w:val="4E224547"/>
    <w:rsid w:val="4E8830AE"/>
    <w:rsid w:val="4EDB0250"/>
    <w:rsid w:val="4F3E275B"/>
    <w:rsid w:val="4F8143C9"/>
    <w:rsid w:val="4FF73E0F"/>
    <w:rsid w:val="50226E53"/>
    <w:rsid w:val="50483BED"/>
    <w:rsid w:val="51182EF0"/>
    <w:rsid w:val="515E1DC1"/>
    <w:rsid w:val="516B1EB5"/>
    <w:rsid w:val="517843C5"/>
    <w:rsid w:val="51804470"/>
    <w:rsid w:val="51856AE2"/>
    <w:rsid w:val="518D70DF"/>
    <w:rsid w:val="51A3231D"/>
    <w:rsid w:val="51C329D0"/>
    <w:rsid w:val="51D027F3"/>
    <w:rsid w:val="520D6D9A"/>
    <w:rsid w:val="5265030F"/>
    <w:rsid w:val="52A7651D"/>
    <w:rsid w:val="52C91D86"/>
    <w:rsid w:val="52D77EFC"/>
    <w:rsid w:val="52DD0CCB"/>
    <w:rsid w:val="52EE7713"/>
    <w:rsid w:val="532C712A"/>
    <w:rsid w:val="5335321D"/>
    <w:rsid w:val="537A2677"/>
    <w:rsid w:val="537E4726"/>
    <w:rsid w:val="5449333E"/>
    <w:rsid w:val="54997F1A"/>
    <w:rsid w:val="551828FB"/>
    <w:rsid w:val="559C03CB"/>
    <w:rsid w:val="55CE63D3"/>
    <w:rsid w:val="560E7CEF"/>
    <w:rsid w:val="56552F27"/>
    <w:rsid w:val="568630E0"/>
    <w:rsid w:val="56CA060B"/>
    <w:rsid w:val="56EB5639"/>
    <w:rsid w:val="5708500E"/>
    <w:rsid w:val="574147DA"/>
    <w:rsid w:val="57870900"/>
    <w:rsid w:val="57A2007B"/>
    <w:rsid w:val="57D112A0"/>
    <w:rsid w:val="57D440A7"/>
    <w:rsid w:val="57EF5C5B"/>
    <w:rsid w:val="58490B56"/>
    <w:rsid w:val="58603ED0"/>
    <w:rsid w:val="58BC103B"/>
    <w:rsid w:val="592A2449"/>
    <w:rsid w:val="594D6137"/>
    <w:rsid w:val="597840AB"/>
    <w:rsid w:val="59C12C44"/>
    <w:rsid w:val="5A3640E2"/>
    <w:rsid w:val="5AE34FA5"/>
    <w:rsid w:val="5B156FBD"/>
    <w:rsid w:val="5B2267D9"/>
    <w:rsid w:val="5B9333DB"/>
    <w:rsid w:val="5BBE331C"/>
    <w:rsid w:val="5BD17243"/>
    <w:rsid w:val="5C050F4B"/>
    <w:rsid w:val="5CCB5D4A"/>
    <w:rsid w:val="5CD534DB"/>
    <w:rsid w:val="5D060FB5"/>
    <w:rsid w:val="5D1F6922"/>
    <w:rsid w:val="5D663C84"/>
    <w:rsid w:val="5DC019A6"/>
    <w:rsid w:val="5E04292F"/>
    <w:rsid w:val="5E215748"/>
    <w:rsid w:val="5E64502A"/>
    <w:rsid w:val="5E841B9F"/>
    <w:rsid w:val="5EBA43D8"/>
    <w:rsid w:val="5EBF08B8"/>
    <w:rsid w:val="5EDD4A44"/>
    <w:rsid w:val="5EFA4034"/>
    <w:rsid w:val="5F0A0E0B"/>
    <w:rsid w:val="5F49002B"/>
    <w:rsid w:val="5F5E109E"/>
    <w:rsid w:val="5F826D54"/>
    <w:rsid w:val="5FDB76BB"/>
    <w:rsid w:val="600B0107"/>
    <w:rsid w:val="60242559"/>
    <w:rsid w:val="602867A0"/>
    <w:rsid w:val="605E3790"/>
    <w:rsid w:val="60B45C27"/>
    <w:rsid w:val="6237471A"/>
    <w:rsid w:val="6249419E"/>
    <w:rsid w:val="624F2F20"/>
    <w:rsid w:val="627A3207"/>
    <w:rsid w:val="62DD2053"/>
    <w:rsid w:val="62DD6037"/>
    <w:rsid w:val="63021D41"/>
    <w:rsid w:val="634520A2"/>
    <w:rsid w:val="638F3720"/>
    <w:rsid w:val="63D00091"/>
    <w:rsid w:val="63FF1C7A"/>
    <w:rsid w:val="644A28BF"/>
    <w:rsid w:val="647747B7"/>
    <w:rsid w:val="647C637A"/>
    <w:rsid w:val="66401736"/>
    <w:rsid w:val="66564551"/>
    <w:rsid w:val="6672542F"/>
    <w:rsid w:val="667A3E60"/>
    <w:rsid w:val="66D71736"/>
    <w:rsid w:val="67095D94"/>
    <w:rsid w:val="67B4081D"/>
    <w:rsid w:val="67DC234C"/>
    <w:rsid w:val="68211CB0"/>
    <w:rsid w:val="688D6550"/>
    <w:rsid w:val="68A71E97"/>
    <w:rsid w:val="68E57FB7"/>
    <w:rsid w:val="69640752"/>
    <w:rsid w:val="69754B58"/>
    <w:rsid w:val="699D27C3"/>
    <w:rsid w:val="69AF1068"/>
    <w:rsid w:val="69AF50D8"/>
    <w:rsid w:val="69BE5210"/>
    <w:rsid w:val="69FD013D"/>
    <w:rsid w:val="6A3A7FD0"/>
    <w:rsid w:val="6A6B47A3"/>
    <w:rsid w:val="6A8715FD"/>
    <w:rsid w:val="6AA75244"/>
    <w:rsid w:val="6B1A35C7"/>
    <w:rsid w:val="6B9E0A74"/>
    <w:rsid w:val="6BAC51E5"/>
    <w:rsid w:val="6BB63E9E"/>
    <w:rsid w:val="6BD4393C"/>
    <w:rsid w:val="6C262882"/>
    <w:rsid w:val="6C283C40"/>
    <w:rsid w:val="6C8A38DA"/>
    <w:rsid w:val="6CC13AC1"/>
    <w:rsid w:val="6DBD639D"/>
    <w:rsid w:val="6DCF155B"/>
    <w:rsid w:val="6E2B712E"/>
    <w:rsid w:val="6EAA3DB3"/>
    <w:rsid w:val="6EAD3051"/>
    <w:rsid w:val="6ECB1B80"/>
    <w:rsid w:val="6F0A40EE"/>
    <w:rsid w:val="6F1F2E2D"/>
    <w:rsid w:val="6F3040D9"/>
    <w:rsid w:val="6FA7614A"/>
    <w:rsid w:val="70125AFF"/>
    <w:rsid w:val="70AC05B5"/>
    <w:rsid w:val="71366B91"/>
    <w:rsid w:val="7195364F"/>
    <w:rsid w:val="71B1675B"/>
    <w:rsid w:val="725D6F93"/>
    <w:rsid w:val="726D05CC"/>
    <w:rsid w:val="72CB4D05"/>
    <w:rsid w:val="72D137AD"/>
    <w:rsid w:val="730D7EC7"/>
    <w:rsid w:val="730F0F45"/>
    <w:rsid w:val="73225512"/>
    <w:rsid w:val="734D6DCE"/>
    <w:rsid w:val="73A30837"/>
    <w:rsid w:val="73F1658D"/>
    <w:rsid w:val="73FC458A"/>
    <w:rsid w:val="748F37D4"/>
    <w:rsid w:val="749E1661"/>
    <w:rsid w:val="74A91B05"/>
    <w:rsid w:val="74AB1B77"/>
    <w:rsid w:val="74E70391"/>
    <w:rsid w:val="751A43B7"/>
    <w:rsid w:val="759025D7"/>
    <w:rsid w:val="75BB246A"/>
    <w:rsid w:val="75DC637B"/>
    <w:rsid w:val="75DF5F11"/>
    <w:rsid w:val="761C112D"/>
    <w:rsid w:val="769503F0"/>
    <w:rsid w:val="76FB4FCD"/>
    <w:rsid w:val="7709223F"/>
    <w:rsid w:val="779546A4"/>
    <w:rsid w:val="77D47489"/>
    <w:rsid w:val="77E85551"/>
    <w:rsid w:val="787212BF"/>
    <w:rsid w:val="789D17CE"/>
    <w:rsid w:val="78AA2807"/>
    <w:rsid w:val="78F41CD4"/>
    <w:rsid w:val="78FB73F4"/>
    <w:rsid w:val="79000696"/>
    <w:rsid w:val="79234DFF"/>
    <w:rsid w:val="7969171C"/>
    <w:rsid w:val="799A0ACD"/>
    <w:rsid w:val="79B94BC0"/>
    <w:rsid w:val="79B97F31"/>
    <w:rsid w:val="79D17234"/>
    <w:rsid w:val="7A061458"/>
    <w:rsid w:val="7A6864F9"/>
    <w:rsid w:val="7A9F497D"/>
    <w:rsid w:val="7AC24458"/>
    <w:rsid w:val="7AE9204D"/>
    <w:rsid w:val="7B736775"/>
    <w:rsid w:val="7BB84DE0"/>
    <w:rsid w:val="7BE11DDC"/>
    <w:rsid w:val="7BFD3595"/>
    <w:rsid w:val="7C922486"/>
    <w:rsid w:val="7CA90DE3"/>
    <w:rsid w:val="7CD05934"/>
    <w:rsid w:val="7D1A7956"/>
    <w:rsid w:val="7D4E1445"/>
    <w:rsid w:val="7D9341B1"/>
    <w:rsid w:val="7DCD73FA"/>
    <w:rsid w:val="7DFA57CB"/>
    <w:rsid w:val="7DFC2925"/>
    <w:rsid w:val="7E071003"/>
    <w:rsid w:val="7E1E0015"/>
    <w:rsid w:val="7E4E1E86"/>
    <w:rsid w:val="7EC1784E"/>
    <w:rsid w:val="7F04385E"/>
    <w:rsid w:val="7F0E2CCF"/>
    <w:rsid w:val="7F3660BC"/>
    <w:rsid w:val="7F497F59"/>
    <w:rsid w:val="7F8D3BD6"/>
    <w:rsid w:val="7FB779A9"/>
    <w:rsid w:val="7FD36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312" w:lineRule="auto"/>
      <w:outlineLvl w:val="2"/>
    </w:pPr>
    <w:rPr>
      <w:rFonts w:ascii="Calibri" w:hAnsi="Calibri"/>
      <w:b/>
      <w:bCs/>
      <w:sz w:val="30"/>
      <w:szCs w:val="32"/>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spacing w:beforeLines="50" w:afterLines="50" w:line="400" w:lineRule="exact"/>
    </w:pPr>
    <w:rPr>
      <w:rFonts w:ascii="宋体" w:hAnsi="Courier New"/>
      <w:sz w:val="24"/>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Body Text"/>
    <w:basedOn w:val="1"/>
    <w:next w:val="9"/>
    <w:qFormat/>
    <w:uiPriority w:val="0"/>
    <w:pPr>
      <w:spacing w:after="120"/>
    </w:pPr>
    <w:rPr>
      <w:sz w:val="28"/>
    </w:rPr>
  </w:style>
  <w:style w:type="paragraph" w:styleId="9">
    <w:name w:val="Body Text First Indent"/>
    <w:basedOn w:val="8"/>
    <w:next w:val="10"/>
    <w:qFormat/>
    <w:uiPriority w:val="0"/>
    <w:pPr>
      <w:tabs>
        <w:tab w:val="left" w:pos="208"/>
      </w:tabs>
      <w:ind w:firstLine="420"/>
    </w:pPr>
    <w:rPr>
      <w:rFonts w:ascii="Calibri" w:hAnsi="Calibri"/>
      <w:sz w:val="24"/>
      <w:lang w:val="zh-CN"/>
    </w:rPr>
  </w:style>
  <w:style w:type="paragraph" w:styleId="10">
    <w:name w:val="toc 6"/>
    <w:basedOn w:val="1"/>
    <w:next w:val="1"/>
    <w:qFormat/>
    <w:uiPriority w:val="99"/>
    <w:pPr>
      <w:ind w:left="2100" w:leftChars="1000"/>
    </w:pPr>
  </w:style>
  <w:style w:type="paragraph" w:styleId="11">
    <w:name w:val="Body Text Indent"/>
    <w:basedOn w:val="1"/>
    <w:next w:val="1"/>
    <w:qFormat/>
    <w:uiPriority w:val="0"/>
    <w:pPr>
      <w:spacing w:line="200" w:lineRule="exact"/>
      <w:ind w:firstLine="301"/>
    </w:pPr>
    <w:rPr>
      <w:rFonts w:ascii="宋体" w:hAnsi="Courier New"/>
      <w:spacing w:val="-4"/>
      <w:sz w:val="18"/>
      <w:szCs w:val="20"/>
    </w:rPr>
  </w:style>
  <w:style w:type="paragraph" w:styleId="12">
    <w:name w:val="List 2"/>
    <w:basedOn w:val="1"/>
    <w:qFormat/>
    <w:uiPriority w:val="0"/>
    <w:pPr>
      <w:ind w:left="100" w:leftChars="200" w:hanging="200" w:hangingChars="200"/>
    </w:pPr>
    <w:rPr>
      <w:sz w:val="28"/>
    </w:rPr>
  </w:style>
  <w:style w:type="paragraph" w:styleId="13">
    <w:name w:val="toc 3"/>
    <w:basedOn w:val="1"/>
    <w:next w:val="1"/>
    <w:qFormat/>
    <w:uiPriority w:val="0"/>
    <w:pPr>
      <w:ind w:left="480"/>
      <w:jc w:val="left"/>
    </w:pPr>
    <w:rPr>
      <w:rFonts w:ascii="Calibri" w:eastAsia="Calibri"/>
      <w:i/>
      <w:iCs/>
      <w:sz w:val="20"/>
      <w:szCs w:val="20"/>
    </w:rPr>
  </w:style>
  <w:style w:type="paragraph" w:styleId="14">
    <w:name w:val="Date"/>
    <w:basedOn w:val="1"/>
    <w:next w:val="1"/>
    <w:qFormat/>
    <w:uiPriority w:val="0"/>
    <w:pPr>
      <w:ind w:left="2500" w:leftChars="2500"/>
    </w:pPr>
    <w:rPr>
      <w:rFonts w:eastAsia="楷体_GB2312"/>
      <w:sz w:val="32"/>
      <w:szCs w:val="20"/>
    </w:rPr>
  </w:style>
  <w:style w:type="paragraph" w:styleId="15">
    <w:name w:val="Body Text Indent 2"/>
    <w:basedOn w:val="1"/>
    <w:qFormat/>
    <w:uiPriority w:val="0"/>
    <w:pPr>
      <w:snapToGrid w:val="0"/>
      <w:ind w:firstLine="542" w:firstLineChars="225"/>
    </w:pPr>
    <w:rPr>
      <w:rFonts w:ascii="仿宋_GB2312" w:hAnsi="宋体" w:cs="Arial"/>
      <w:b/>
      <w:bCs/>
      <w:color w:val="000000"/>
      <w:sz w:val="24"/>
    </w:rPr>
  </w:style>
  <w:style w:type="paragraph" w:styleId="1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7">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1">
    <w:name w:val="toc 2"/>
    <w:basedOn w:val="1"/>
    <w:next w:val="1"/>
    <w:qFormat/>
    <w:uiPriority w:val="0"/>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3">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4">
    <w:name w:val="Body Text First Indent 2"/>
    <w:basedOn w:val="11"/>
    <w:next w:val="9"/>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0"/>
    <w:rPr>
      <w:color w:val="0000FF"/>
      <w:szCs w:val="20"/>
      <w:u w:val="single"/>
    </w:rPr>
  </w:style>
  <w:style w:type="paragraph" w:customStyle="1" w:styleId="2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0">
    <w:name w:val="样式 标题 1 + 四号 加粗"/>
    <w:basedOn w:val="3"/>
    <w:qFormat/>
    <w:uiPriority w:val="0"/>
    <w:rPr>
      <w:rFonts w:eastAsia="黑体"/>
    </w:rPr>
  </w:style>
  <w:style w:type="paragraph" w:customStyle="1" w:styleId="31">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2">
    <w:name w:val="BodyText1I2"/>
    <w:basedOn w:val="33"/>
    <w:qFormat/>
    <w:uiPriority w:val="0"/>
    <w:pPr>
      <w:ind w:firstLine="420" w:firstLineChars="200"/>
    </w:pPr>
  </w:style>
  <w:style w:type="paragraph" w:customStyle="1" w:styleId="33">
    <w:name w:val="BodyTextIndent"/>
    <w:basedOn w:val="1"/>
    <w:next w:val="34"/>
    <w:qFormat/>
    <w:uiPriority w:val="0"/>
    <w:pPr>
      <w:spacing w:line="200" w:lineRule="exact"/>
      <w:ind w:firstLine="301"/>
      <w:textAlignment w:val="baseline"/>
    </w:pPr>
    <w:rPr>
      <w:rFonts w:ascii="宋体" w:hAnsi="Courier New"/>
      <w:spacing w:val="-4"/>
      <w:sz w:val="18"/>
      <w:szCs w:val="20"/>
    </w:rPr>
  </w:style>
  <w:style w:type="paragraph" w:customStyle="1" w:styleId="34">
    <w:name w:val="NormalIndent"/>
    <w:basedOn w:val="1"/>
    <w:next w:val="33"/>
    <w:qFormat/>
    <w:uiPriority w:val="0"/>
    <w:pPr>
      <w:ind w:firstLine="420"/>
      <w:textAlignment w:val="baseline"/>
    </w:pPr>
    <w:rPr>
      <w:szCs w:val="20"/>
    </w:rPr>
  </w:style>
  <w:style w:type="paragraph" w:customStyle="1" w:styleId="35">
    <w:name w:val="章正文"/>
    <w:basedOn w:val="1"/>
    <w:qFormat/>
    <w:uiPriority w:val="99"/>
    <w:pPr>
      <w:spacing w:beforeLines="50" w:after="120" w:line="300" w:lineRule="auto"/>
      <w:ind w:firstLine="480"/>
    </w:pPr>
    <w:rPr>
      <w:rFonts w:ascii="Helvetica" w:hAnsi="Helvetica"/>
      <w:kern w:val="0"/>
      <w:sz w:val="24"/>
    </w:rPr>
  </w:style>
  <w:style w:type="paragraph" w:customStyle="1" w:styleId="36">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7">
    <w:name w:val="无"/>
    <w:qFormat/>
    <w:uiPriority w:val="99"/>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paragraph" w:customStyle="1" w:styleId="39">
    <w:name w:val="纯文本1"/>
    <w:basedOn w:val="40"/>
    <w:qFormat/>
    <w:uiPriority w:val="99"/>
    <w:pPr>
      <w:widowControl/>
      <w:jc w:val="left"/>
    </w:pPr>
    <w:rPr>
      <w:rFonts w:ascii="宋体" w:hAnsi="Courier New"/>
    </w:rPr>
  </w:style>
  <w:style w:type="paragraph" w:customStyle="1" w:styleId="40">
    <w:name w:val="正文1"/>
    <w:basedOn w:val="13"/>
    <w:next w:val="41"/>
    <w:qFormat/>
    <w:uiPriority w:val="0"/>
    <w:pPr>
      <w:spacing w:line="360" w:lineRule="auto"/>
      <w:ind w:firstLine="480" w:firstLineChars="200"/>
    </w:pPr>
    <w:rPr>
      <w:rFonts w:ascii="等线" w:hAnsi="等线" w:eastAsia="等线" w:cs="宋体"/>
      <w:sz w:val="24"/>
      <w:szCs w:val="22"/>
    </w:rPr>
  </w:style>
  <w:style w:type="paragraph" w:customStyle="1" w:styleId="41">
    <w:name w:val="自动更正"/>
    <w:next w:val="42"/>
    <w:qFormat/>
    <w:uiPriority w:val="0"/>
    <w:pPr>
      <w:widowControl w:val="0"/>
      <w:jc w:val="both"/>
    </w:pPr>
    <w:rPr>
      <w:rFonts w:ascii="黑体" w:hAnsi="黑体" w:eastAsia="微软雅黑" w:cs="黑体"/>
      <w:kern w:val="2"/>
      <w:sz w:val="21"/>
      <w:szCs w:val="24"/>
      <w:lang w:val="en-US" w:eastAsia="zh-CN" w:bidi="ar-SA"/>
    </w:rPr>
  </w:style>
  <w:style w:type="paragraph" w:customStyle="1" w:styleId="42">
    <w:name w:val="xl39"/>
    <w:basedOn w:val="1"/>
    <w:next w:val="43"/>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paragraph" w:styleId="44">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5">
    <w:name w:val="列出段落1"/>
    <w:basedOn w:val="1"/>
    <w:qFormat/>
    <w:uiPriority w:val="34"/>
    <w:pPr>
      <w:ind w:firstLine="420" w:firstLineChars="200"/>
    </w:pPr>
    <w:rPr>
      <w:rFonts w:ascii="Calibri" w:hAnsi="Calibri"/>
      <w:szCs w:val="22"/>
    </w:rPr>
  </w:style>
  <w:style w:type="paragraph" w:customStyle="1" w:styleId="46">
    <w:name w:val="样式 标题 31.1.1标题 333rd levelBOD 0Bold HeadCTH3H31Heading ...1"/>
    <w:basedOn w:val="5"/>
    <w:qFormat/>
    <w:uiPriority w:val="0"/>
    <w:pPr>
      <w:spacing w:before="0" w:after="0"/>
    </w:pPr>
    <w:rPr>
      <w:rFonts w:hAnsi="宋体" w:cs="宋体"/>
      <w:sz w:val="24"/>
    </w:rPr>
  </w:style>
  <w:style w:type="paragraph" w:styleId="47">
    <w:name w:val="List Paragraph"/>
    <w:basedOn w:val="1"/>
    <w:qFormat/>
    <w:uiPriority w:val="34"/>
    <w:pPr>
      <w:ind w:firstLine="420" w:firstLineChars="200"/>
    </w:pPr>
    <w:rPr>
      <w:rFonts w:ascii="Calibri" w:hAnsi="Calibri"/>
    </w:rPr>
  </w:style>
  <w:style w:type="paragraph" w:customStyle="1" w:styleId="48">
    <w:name w:val="列表段落1"/>
    <w:basedOn w:val="1"/>
    <w:qFormat/>
    <w:uiPriority w:val="0"/>
    <w:pPr>
      <w:ind w:firstLine="420" w:firstLineChars="200"/>
    </w:pPr>
  </w:style>
  <w:style w:type="paragraph" w:customStyle="1" w:styleId="49">
    <w:name w:val="表格内容"/>
    <w:basedOn w:val="1"/>
    <w:qFormat/>
    <w:uiPriority w:val="0"/>
    <w:pPr>
      <w:jc w:val="center"/>
    </w:pPr>
    <w:rPr>
      <w:sz w:val="24"/>
    </w:rPr>
  </w:style>
  <w:style w:type="paragraph" w:customStyle="1" w:styleId="5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1">
    <w:name w:val="页眉 字符"/>
    <w:basedOn w:val="27"/>
    <w:link w:val="17"/>
    <w:qFormat/>
    <w:uiPriority w:val="0"/>
    <w:rPr>
      <w:kern w:val="2"/>
      <w:sz w:val="18"/>
      <w:szCs w:val="18"/>
    </w:rPr>
  </w:style>
  <w:style w:type="paragraph" w:customStyle="1" w:styleId="52">
    <w:name w:val="A_正文_两端"/>
    <w:basedOn w:val="1"/>
    <w:unhideWhenUsed/>
    <w:qFormat/>
    <w:uiPriority w:val="0"/>
    <w:pPr>
      <w:spacing w:line="360" w:lineRule="auto"/>
      <w:ind w:firstLine="200" w:firstLineChars="200"/>
    </w:pPr>
    <w:rPr>
      <w:rFonts w:ascii="Times New Roman" w:hAnsi="Times New Roman" w:eastAsia="仿宋"/>
    </w:rPr>
  </w:style>
  <w:style w:type="paragraph" w:customStyle="1" w:styleId="53">
    <w:name w:val="[Normal]"/>
    <w:qFormat/>
    <w:uiPriority w:val="0"/>
    <w:rPr>
      <w:rFonts w:ascii="宋体" w:hAnsi="宋体" w:eastAsia="宋体" w:cs="Times New Roman"/>
      <w:sz w:val="24"/>
      <w:szCs w:val="22"/>
      <w:lang w:val="zh-CN" w:eastAsia="zh-CN" w:bidi="ar-SA"/>
    </w:rPr>
  </w:style>
  <w:style w:type="character" w:customStyle="1" w:styleId="54">
    <w:name w:val="标题 1 Char"/>
    <w:qFormat/>
    <w:uiPriority w:val="0"/>
    <w:rPr>
      <w:rFonts w:ascii="Times New Roman" w:hAnsi="Times New Roman" w:eastAsia="宋体"/>
      <w:b/>
      <w:bCs/>
      <w:kern w:val="44"/>
      <w:sz w:val="44"/>
      <w:szCs w:val="44"/>
      <w:lang w:val="en-US" w:eastAsia="zh-CN" w:bidi="ar-SA"/>
    </w:rPr>
  </w:style>
  <w:style w:type="paragraph" w:customStyle="1" w:styleId="55">
    <w:name w:val="正文2"/>
    <w:basedOn w:val="1"/>
    <w:qFormat/>
    <w:uiPriority w:val="0"/>
    <w:pPr>
      <w:spacing w:before="156" w:line="360" w:lineRule="auto"/>
      <w:ind w:firstLine="510" w:firstLineChars="200"/>
    </w:pPr>
    <w:rPr>
      <w:sz w:val="24"/>
      <w:szCs w:val="20"/>
    </w:rPr>
  </w:style>
  <w:style w:type="paragraph" w:customStyle="1" w:styleId="56">
    <w:name w:val="p0"/>
    <w:basedOn w:val="1"/>
    <w:qFormat/>
    <w:uiPriority w:val="0"/>
    <w:pPr>
      <w:widowControl/>
      <w:adjustRightInd/>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Info spid="_x0000_s1031" textRotate="1"/>
    <customShpInfo spid="_x0000_s1032" textRotate="1"/>
    <customShpInfo spid="_x0000_s103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22671</Words>
  <Characters>23834</Characters>
  <Lines>284</Lines>
  <Paragraphs>80</Paragraphs>
  <TotalTime>13</TotalTime>
  <ScaleCrop>false</ScaleCrop>
  <LinksUpToDate>false</LinksUpToDate>
  <CharactersWithSpaces>24685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2021-08-16T02:07:00Z</dcterms:created>
  <dc:creator>许文辉</dc:creator>
  <cp:lastModifiedBy>&amp;涵&amp;</cp:lastModifiedBy>
  <cp:lastPrinted>2025-08-25T06:01:00Z</cp:lastPrinted>
  <dcterms:modified xsi:type="dcterms:W3CDTF">2025-08-27T08:24:41Z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EDA4696BB28940979456E5F71998E20E</vt:lpwstr>
  </property>
  <property fmtid="{D5CDD505-2E9C-101B-9397-08002B2CF9AE}" pid="4" name="KSOTemplateDocerSaveRecord">
    <vt:lpwstr>eyJoZGlkIjoiMWNmMGM2OGJjODVhZDMxOWNjNTkyZDEwOTNmOTI2OGIiLCJ1c2VySWQiOiIxMjg5MjkyODM5In0=</vt:lpwstr>
  </property>
</Properties>
</file>