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ACE17">
      <w:pPr>
        <w:pStyle w:val="10"/>
        <w:spacing w:before="0" w:after="0"/>
        <w:ind w:firstLine="0"/>
        <w:jc w:val="center"/>
        <w:rPr>
          <w:rFonts w:hint="eastAsia" w:ascii="宋体" w:hAnsi="宋体" w:cs="宋体"/>
          <w:color w:val="000000" w:themeColor="text1"/>
          <w:sz w:val="32"/>
          <w:szCs w:val="32"/>
          <w:highlight w:val="none"/>
          <w14:textFill>
            <w14:solidFill>
              <w14:schemeClr w14:val="tx1"/>
            </w14:solidFill>
          </w14:textFill>
        </w:rPr>
      </w:pPr>
    </w:p>
    <w:p w14:paraId="58FD82DB">
      <w:pPr>
        <w:pStyle w:val="10"/>
        <w:spacing w:before="0" w:after="0"/>
        <w:ind w:firstLine="0"/>
        <w:jc w:val="center"/>
        <w:rPr>
          <w:rFonts w:hint="eastAsia" w:ascii="宋体" w:hAnsi="宋体" w:cs="宋体"/>
          <w:color w:val="000000" w:themeColor="text1"/>
          <w:sz w:val="32"/>
          <w:szCs w:val="32"/>
          <w:highlight w:val="none"/>
          <w14:textFill>
            <w14:solidFill>
              <w14:schemeClr w14:val="tx1"/>
            </w14:solidFill>
          </w14:textFill>
        </w:rPr>
      </w:pPr>
    </w:p>
    <w:p w14:paraId="66634985">
      <w:pPr>
        <w:pStyle w:val="10"/>
        <w:ind w:firstLine="0"/>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招</w:t>
      </w:r>
      <w:r>
        <w:rPr>
          <w:rFonts w:hint="eastAsia" w:ascii="宋体" w:hAnsi="宋体" w:cs="宋体"/>
          <w:b/>
          <w:bCs/>
          <w:color w:val="000000" w:themeColor="text1"/>
          <w:sz w:val="72"/>
          <w:szCs w:val="72"/>
          <w:highlight w:val="none"/>
          <w:lang w:val="en-US" w:eastAsia="zh-CN"/>
          <w14:textFill>
            <w14:solidFill>
              <w14:schemeClr w14:val="tx1"/>
            </w14:solidFill>
          </w14:textFill>
        </w:rPr>
        <w:t xml:space="preserve">  </w:t>
      </w:r>
      <w:r>
        <w:rPr>
          <w:rFonts w:hint="eastAsia" w:ascii="宋体" w:hAnsi="宋体" w:cs="宋体"/>
          <w:b/>
          <w:bCs/>
          <w:color w:val="000000" w:themeColor="text1"/>
          <w:sz w:val="72"/>
          <w:szCs w:val="72"/>
          <w:highlight w:val="none"/>
          <w14:textFill>
            <w14:solidFill>
              <w14:schemeClr w14:val="tx1"/>
            </w14:solidFill>
          </w14:textFill>
        </w:rPr>
        <w:t>标</w:t>
      </w:r>
      <w:r>
        <w:rPr>
          <w:rFonts w:hint="eastAsia" w:ascii="宋体" w:hAnsi="宋体" w:cs="宋体"/>
          <w:b/>
          <w:bCs/>
          <w:color w:val="000000" w:themeColor="text1"/>
          <w:sz w:val="72"/>
          <w:szCs w:val="72"/>
          <w:highlight w:val="none"/>
          <w:lang w:val="en-US" w:eastAsia="zh-CN"/>
          <w14:textFill>
            <w14:solidFill>
              <w14:schemeClr w14:val="tx1"/>
            </w14:solidFill>
          </w14:textFill>
        </w:rPr>
        <w:t xml:space="preserve">  </w:t>
      </w:r>
      <w:r>
        <w:rPr>
          <w:rFonts w:hint="eastAsia" w:ascii="宋体" w:hAnsi="宋体" w:cs="宋体"/>
          <w:b/>
          <w:bCs/>
          <w:color w:val="000000" w:themeColor="text1"/>
          <w:sz w:val="72"/>
          <w:szCs w:val="72"/>
          <w:highlight w:val="none"/>
          <w14:textFill>
            <w14:solidFill>
              <w14:schemeClr w14:val="tx1"/>
            </w14:solidFill>
          </w14:textFill>
        </w:rPr>
        <w:t>文</w:t>
      </w:r>
      <w:r>
        <w:rPr>
          <w:rFonts w:hint="eastAsia" w:ascii="宋体" w:hAnsi="宋体" w:cs="宋体"/>
          <w:b/>
          <w:bCs/>
          <w:color w:val="000000" w:themeColor="text1"/>
          <w:sz w:val="72"/>
          <w:szCs w:val="72"/>
          <w:highlight w:val="none"/>
          <w:lang w:val="en-US" w:eastAsia="zh-CN"/>
          <w14:textFill>
            <w14:solidFill>
              <w14:schemeClr w14:val="tx1"/>
            </w14:solidFill>
          </w14:textFill>
        </w:rPr>
        <w:t xml:space="preserve">  </w:t>
      </w:r>
      <w:r>
        <w:rPr>
          <w:rFonts w:hint="eastAsia" w:ascii="宋体" w:hAnsi="宋体" w:cs="宋体"/>
          <w:b/>
          <w:bCs/>
          <w:color w:val="000000" w:themeColor="text1"/>
          <w:sz w:val="72"/>
          <w:szCs w:val="72"/>
          <w:highlight w:val="none"/>
          <w14:textFill>
            <w14:solidFill>
              <w14:schemeClr w14:val="tx1"/>
            </w14:solidFill>
          </w14:textFill>
        </w:rPr>
        <w:t>件</w:t>
      </w:r>
    </w:p>
    <w:p w14:paraId="5968D658">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p>
    <w:p w14:paraId="7389F8C4">
      <w:pPr>
        <w:pStyle w:val="10"/>
        <w:spacing w:before="0" w:after="0"/>
        <w:ind w:firstLine="0"/>
        <w:jc w:val="center"/>
        <w:rPr>
          <w:rFonts w:hint="eastAsia" w:ascii="宋体" w:hAnsi="宋体" w:cs="宋体"/>
          <w:color w:val="000000" w:themeColor="text1"/>
          <w:sz w:val="32"/>
          <w:szCs w:val="32"/>
          <w:highlight w:val="none"/>
          <w14:textFill>
            <w14:solidFill>
              <w14:schemeClr w14:val="tx1"/>
            </w14:solidFill>
          </w14:textFill>
        </w:rPr>
      </w:pPr>
    </w:p>
    <w:p w14:paraId="4D2DF746">
      <w:pPr>
        <w:pStyle w:val="10"/>
        <w:spacing w:before="0" w:after="0"/>
        <w:ind w:firstLine="0"/>
        <w:jc w:val="center"/>
        <w:rPr>
          <w:rFonts w:hint="eastAsia" w:ascii="宋体" w:hAnsi="宋体" w:cs="宋体"/>
          <w:color w:val="000000" w:themeColor="text1"/>
          <w:sz w:val="32"/>
          <w:szCs w:val="32"/>
          <w:highlight w:val="none"/>
          <w14:textFill>
            <w14:solidFill>
              <w14:schemeClr w14:val="tx1"/>
            </w14:solidFill>
          </w14:textFill>
        </w:rPr>
      </w:pPr>
    </w:p>
    <w:p w14:paraId="26F17538">
      <w:pPr>
        <w:pStyle w:val="10"/>
        <w:ind w:firstLine="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项目名称：</w:t>
      </w:r>
      <w:r>
        <w:rPr>
          <w:rFonts w:hint="eastAsia" w:ascii="宋体" w:hAnsi="宋体" w:cs="宋体"/>
          <w:b/>
          <w:bCs/>
          <w:color w:val="000000" w:themeColor="text1"/>
          <w:sz w:val="32"/>
          <w:szCs w:val="32"/>
          <w:highlight w:val="none"/>
          <w:lang w:eastAsia="zh-CN"/>
          <w14:textFill>
            <w14:solidFill>
              <w14:schemeClr w14:val="tx1"/>
            </w14:solidFill>
          </w14:textFill>
        </w:rPr>
        <w:t>2025年度白蚁等害堤动物普查及治理项目</w:t>
      </w:r>
    </w:p>
    <w:p w14:paraId="23B5D5E7">
      <w:pPr>
        <w:pStyle w:val="10"/>
        <w:ind w:firstLine="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标书编号：</w:t>
      </w:r>
      <w:r>
        <w:rPr>
          <w:rFonts w:hint="eastAsia" w:ascii="宋体" w:hAnsi="宋体" w:cs="宋体"/>
          <w:b/>
          <w:color w:val="000000" w:themeColor="text1"/>
          <w:sz w:val="32"/>
          <w:szCs w:val="32"/>
          <w:highlight w:val="none"/>
          <w:lang w:eastAsia="zh-CN"/>
          <w14:textFill>
            <w14:solidFill>
              <w14:schemeClr w14:val="tx1"/>
            </w14:solidFill>
          </w14:textFill>
        </w:rPr>
        <w:t>JSZC-320582-SZRY-G2025-0012</w:t>
      </w:r>
    </w:p>
    <w:p w14:paraId="50690DFA">
      <w:pPr>
        <w:pStyle w:val="10"/>
        <w:spacing w:before="0" w:after="0"/>
        <w:ind w:firstLine="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项目属性：服务类</w:t>
      </w:r>
    </w:p>
    <w:p w14:paraId="48454D1E">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p>
    <w:p w14:paraId="1580CA7C">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p>
    <w:p w14:paraId="76614275">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p>
    <w:p w14:paraId="1DAEA0CA">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p>
    <w:p w14:paraId="50DE5B01">
      <w:pPr>
        <w:pStyle w:val="10"/>
        <w:spacing w:before="0" w:after="0"/>
        <w:ind w:firstLine="0"/>
        <w:jc w:val="center"/>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821690" cy="875665"/>
            <wp:effectExtent l="0" t="0" r="16510" b="6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31"/>
                    <a:stretch>
                      <a:fillRect/>
                    </a:stretch>
                  </pic:blipFill>
                  <pic:spPr>
                    <a:xfrm>
                      <a:off x="0" y="0"/>
                      <a:ext cx="821689" cy="875665"/>
                    </a:xfrm>
                    <a:prstGeom prst="rect">
                      <a:avLst/>
                    </a:prstGeom>
                    <a:noFill/>
                    <a:ln>
                      <a:noFill/>
                    </a:ln>
                  </pic:spPr>
                </pic:pic>
              </a:graphicData>
            </a:graphic>
          </wp:inline>
        </w:drawing>
      </w:r>
    </w:p>
    <w:p w14:paraId="03ED8C44">
      <w:pPr>
        <w:pStyle w:val="11"/>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苏州润禹工程咨询管理有限公司</w:t>
      </w:r>
    </w:p>
    <w:p w14:paraId="505CACB6">
      <w:pPr>
        <w:pStyle w:val="10"/>
        <w:ind w:firstLine="0"/>
        <w:jc w:val="center"/>
        <w:rPr>
          <w:rFonts w:ascii="宋体" w:hAnsi="宋体" w:cs="宋体"/>
          <w:b/>
          <w:bCs/>
          <w:color w:val="000000" w:themeColor="text1"/>
          <w:sz w:val="32"/>
          <w:highlight w:val="none"/>
          <w14:textFill>
            <w14:solidFill>
              <w14:schemeClr w14:val="tx1"/>
            </w14:solidFill>
          </w14:textFill>
        </w:rPr>
      </w:pPr>
      <w:bookmarkStart w:id="0" w:name="EB52307051e0d04806912e5842f73c8551"/>
      <w:r>
        <w:rPr>
          <w:rFonts w:hint="eastAsia" w:ascii="宋体" w:hAnsi="宋体" w:cs="宋体"/>
          <w:b/>
          <w:bCs/>
          <w:color w:val="000000" w:themeColor="text1"/>
          <w:sz w:val="32"/>
          <w:highlight w:val="none"/>
          <w14:textFill>
            <w14:solidFill>
              <w14:schemeClr w14:val="tx1"/>
            </w14:solidFill>
          </w14:textFill>
        </w:rPr>
        <w:t>202</w:t>
      </w:r>
      <w:r>
        <w:rPr>
          <w:rFonts w:hint="eastAsia" w:ascii="宋体" w:hAnsi="宋体" w:cs="宋体"/>
          <w:b/>
          <w:bCs/>
          <w:color w:val="000000" w:themeColor="text1"/>
          <w:sz w:val="32"/>
          <w:highlight w:val="none"/>
          <w:lang w:val="en-US" w:eastAsia="zh-CN"/>
          <w14:textFill>
            <w14:solidFill>
              <w14:schemeClr w14:val="tx1"/>
            </w14:solidFill>
          </w14:textFill>
        </w:rPr>
        <w:t>5</w:t>
      </w:r>
      <w:r>
        <w:rPr>
          <w:rFonts w:hint="eastAsia" w:ascii="宋体" w:hAnsi="宋体" w:cs="宋体"/>
          <w:b/>
          <w:bCs/>
          <w:color w:val="000000" w:themeColor="text1"/>
          <w:sz w:val="32"/>
          <w:highlight w:val="none"/>
          <w14:textFill>
            <w14:solidFill>
              <w14:schemeClr w14:val="tx1"/>
            </w14:solidFill>
          </w14:textFill>
        </w:rPr>
        <w:t>年</w:t>
      </w:r>
      <w:r>
        <w:rPr>
          <w:rFonts w:hint="eastAsia" w:ascii="宋体" w:hAnsi="宋体" w:cs="宋体"/>
          <w:b/>
          <w:bCs/>
          <w:color w:val="000000" w:themeColor="text1"/>
          <w:sz w:val="32"/>
          <w:highlight w:val="none"/>
          <w:lang w:val="en-US" w:eastAsia="zh-CN"/>
          <w14:textFill>
            <w14:solidFill>
              <w14:schemeClr w14:val="tx1"/>
            </w14:solidFill>
          </w14:textFill>
        </w:rPr>
        <w:t>8</w:t>
      </w:r>
      <w:r>
        <w:rPr>
          <w:rFonts w:hint="eastAsia" w:ascii="宋体" w:hAnsi="宋体" w:cs="宋体"/>
          <w:b/>
          <w:bCs/>
          <w:color w:val="000000" w:themeColor="text1"/>
          <w:sz w:val="32"/>
          <w:highlight w:val="none"/>
          <w14:textFill>
            <w14:solidFill>
              <w14:schemeClr w14:val="tx1"/>
            </w14:solidFill>
          </w14:textFill>
        </w:rPr>
        <w:t>月</w:t>
      </w:r>
      <w:r>
        <w:rPr>
          <w:rFonts w:hint="eastAsia" w:ascii="宋体" w:hAnsi="宋体" w:cs="宋体"/>
          <w:b/>
          <w:bCs/>
          <w:color w:val="000000" w:themeColor="text1"/>
          <w:sz w:val="32"/>
          <w:highlight w:val="none"/>
          <w:lang w:val="en-US" w:eastAsia="zh-CN"/>
          <w14:textFill>
            <w14:solidFill>
              <w14:schemeClr w14:val="tx1"/>
            </w14:solidFill>
          </w14:textFill>
        </w:rPr>
        <w:t>26</w:t>
      </w:r>
      <w:r>
        <w:rPr>
          <w:rFonts w:hint="eastAsia" w:ascii="宋体" w:hAnsi="宋体" w:cs="宋体"/>
          <w:b/>
          <w:bCs/>
          <w:color w:val="000000" w:themeColor="text1"/>
          <w:sz w:val="32"/>
          <w:highlight w:val="none"/>
          <w14:textFill>
            <w14:solidFill>
              <w14:schemeClr w14:val="tx1"/>
            </w14:solidFill>
          </w14:textFill>
        </w:rPr>
        <w:t>日</w:t>
      </w:r>
      <w:bookmarkEnd w:id="0"/>
    </w:p>
    <w:p w14:paraId="4909DB9A">
      <w:pPr>
        <w:spacing w:before="120" w:after="120" w:line="360" w:lineRule="auto"/>
        <w:rPr>
          <w:rFonts w:ascii="宋体" w:hAnsi="宋体" w:cs="宋体"/>
          <w:color w:val="000000" w:themeColor="text1"/>
          <w:sz w:val="24"/>
          <w:highlight w:val="none"/>
          <w14:textFill>
            <w14:solidFill>
              <w14:schemeClr w14:val="tx1"/>
            </w14:solidFill>
          </w14:textFill>
        </w:rPr>
      </w:pPr>
    </w:p>
    <w:p w14:paraId="4AD381F6">
      <w:pPr>
        <w:pStyle w:val="12"/>
        <w:rPr>
          <w:rFonts w:ascii="宋体" w:eastAsia="宋体" w:cs="宋体"/>
          <w:color w:val="000000" w:themeColor="text1"/>
          <w:highlight w:val="none"/>
          <w14:textFill>
            <w14:solidFill>
              <w14:schemeClr w14:val="tx1"/>
            </w14:solidFill>
          </w14:textFill>
        </w:rPr>
        <w:sectPr>
          <w:headerReference r:id="rId3" w:type="default"/>
          <w:footerReference r:id="rId4" w:type="even"/>
          <w:pgSz w:w="11906" w:h="16838"/>
          <w:pgMar w:top="1440" w:right="1080" w:bottom="1440" w:left="1080" w:header="851" w:footer="992" w:gutter="0"/>
          <w:pgNumType w:start="0"/>
          <w:cols w:space="1701" w:num="1"/>
          <w:titlePg/>
          <w:docGrid w:linePitch="360" w:charSpace="0"/>
        </w:sectPr>
      </w:pPr>
    </w:p>
    <w:p w14:paraId="0D2CF4A8">
      <w:pPr>
        <w:spacing w:before="361" w:after="361"/>
        <w:jc w:val="center"/>
        <w:rPr>
          <w:rFonts w:ascii="宋体" w:hAnsi="宋体" w:cs="宋体"/>
          <w:b/>
          <w:bCs/>
          <w:color w:val="000000" w:themeColor="text1"/>
          <w:sz w:val="44"/>
          <w:szCs w:val="44"/>
          <w:highlight w:val="none"/>
          <w14:textFill>
            <w14:solidFill>
              <w14:schemeClr w14:val="tx1"/>
            </w14:solidFill>
          </w14:textFill>
        </w:rPr>
      </w:pPr>
      <w:bookmarkStart w:id="1" w:name="_Toc120614210"/>
      <w:bookmarkStart w:id="2" w:name="_Toc20823272"/>
      <w:bookmarkStart w:id="3" w:name="_Toc523127445"/>
      <w:bookmarkStart w:id="4" w:name="_Toc16938516"/>
      <w:bookmarkStart w:id="5" w:name="_Toc479757206"/>
      <w:bookmarkStart w:id="6" w:name="_Toc513029200"/>
      <w:r>
        <w:rPr>
          <w:rFonts w:hint="eastAsia" w:ascii="宋体" w:hAnsi="宋体" w:cs="宋体"/>
          <w:b/>
          <w:bCs/>
          <w:color w:val="000000" w:themeColor="text1"/>
          <w:sz w:val="44"/>
          <w:szCs w:val="44"/>
          <w:highlight w:val="none"/>
          <w14:textFill>
            <w14:solidFill>
              <w14:schemeClr w14:val="tx1"/>
            </w14:solidFill>
          </w14:textFill>
        </w:rPr>
        <w:t>总  目  录</w:t>
      </w:r>
    </w:p>
    <w:p w14:paraId="575D614E">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"1-2"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_Toc10560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第一章  投标邀请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_Toc10560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14:paraId="4892B9D1">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_Toc20167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第二章  投标人须知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_Toc20167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196F1E40">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_Toc3250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一、总则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_Toc3250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484F9AB1">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_Toc2910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二、招标文件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_Toc2910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5AC8990E">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_Toc23101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三、投标文件的编制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_Toc23101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3B4394DC">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_Toc28778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四、投标文件的制作、上传、递交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_Toc28778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73F78E9B">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_Toc15158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五、开标与评标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_Toc15158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06129C22">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_Toc12744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六、定标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_Toc12744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0B9DF697">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_Toc3165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val="0"/>
          <w:color w:val="000000" w:themeColor="text1"/>
          <w:sz w:val="28"/>
          <w:szCs w:val="28"/>
          <w:highlight w:val="none"/>
          <w14:textFill>
            <w14:solidFill>
              <w14:schemeClr w14:val="tx1"/>
            </w14:solidFill>
          </w14:textFill>
        </w:rPr>
        <w:t>七、授予合同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_Toc3165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54ED03B4">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_Toc14382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第三章 合同条款及格式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_Toc14382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7312F545">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_Toc24253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第四章 项目需求</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_Toc24253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75B6BFF3">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_Toc5882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第五章 评标方法与评标标准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_Toc5882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3FA07568">
      <w:pPr>
        <w:pStyle w:val="5"/>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_Toc11445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第六章 投标文件格式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_Toc11445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21D29013">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_Toc10661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一、封面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_Toc10661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62177672">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_Toc19488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二、投标函格式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_Toc19488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4E028637">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_Toc23994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三、开标一览表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_Toc23994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30424192">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_Toc12028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lang w:val="en-US" w:eastAsia="zh-CN"/>
          <w14:textFill>
            <w14:solidFill>
              <w14:schemeClr w14:val="tx1"/>
            </w14:solidFill>
          </w14:textFill>
        </w:rPr>
        <w:t>四</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、经费测算明细表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_Toc12028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5E4F90E7">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_Toc5493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lang w:val="en-US" w:eastAsia="zh-CN"/>
          <w14:textFill>
            <w14:solidFill>
              <w14:schemeClr w14:val="tx1"/>
            </w14:solidFill>
          </w14:textFill>
        </w:rPr>
        <w:t>五</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、第四章项目需求中实质性要求响应对照表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_Toc5493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75094FA3">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_Toc19964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lang w:val="en-US" w:eastAsia="zh-CN"/>
          <w14:textFill>
            <w14:solidFill>
              <w14:schemeClr w14:val="tx1"/>
            </w14:solidFill>
          </w14:textFill>
        </w:rPr>
        <w:t>六</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、服务方案</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_Toc19964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554C7F45">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_Toc12415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lang w:val="en-US" w:eastAsia="zh-CN"/>
          <w14:textFill>
            <w14:solidFill>
              <w14:schemeClr w14:val="tx1"/>
            </w14:solidFill>
          </w14:textFill>
        </w:rPr>
        <w:t>七</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、投标人情况介绍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_Toc12415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0E7369BB">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_Toc29532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八</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、技术</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lang w:val="en-US" w:eastAsia="zh-CN"/>
          <w14:textFill>
            <w14:solidFill>
              <w14:schemeClr w14:val="tx1"/>
            </w14:solidFill>
          </w14:textFill>
        </w:rPr>
        <w:t>要求</w:t>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响应及偏离表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_Toc29532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1B188766">
      <w:pPr>
        <w:pStyle w:val="6"/>
        <w:keepNext w:val="0"/>
        <w:keepLines w:val="0"/>
        <w:pageBreakBefore w:val="0"/>
        <w:widowControl w:val="0"/>
        <w:tabs>
          <w:tab w:val="right" w:leader="dot" w:pos="9746"/>
        </w:tabs>
        <w:spacing w:before="181" w:after="181" w:line="360" w:lineRule="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九、商务条款响应及偏离表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_Toc29532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14:paraId="2AAE7C01">
      <w:pPr>
        <w:pStyle w:val="6"/>
        <w:keepNext w:val="0"/>
        <w:keepLines w:val="0"/>
        <w:pageBreakBefore w:val="0"/>
        <w:widowControl w:val="0"/>
        <w:tabs>
          <w:tab w:val="right" w:leader="dot" w:pos="9746"/>
        </w:tabs>
        <w:spacing w:before="181" w:after="181" w:line="360" w:lineRule="auto"/>
        <w:rPr>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instrText xml:space="preserve"> HYPERLINK \l _Toc9898 </w:instrTex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color w:val="000000" w:themeColor="text1"/>
          <w:spacing w:val="0"/>
          <w:sz w:val="28"/>
          <w:szCs w:val="28"/>
          <w:highlight w:val="none"/>
          <w:shd w:val="clear" w:color="auto" w:fill="auto"/>
          <w14:textFill>
            <w14:solidFill>
              <w14:schemeClr w14:val="tx1"/>
            </w14:solidFill>
          </w14:textFill>
        </w:rPr>
        <w:t>十、其他材料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_Toc9898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p>
    <w:p w14:paraId="3FD4FE98">
      <w:pPr>
        <w:keepNext w:val="0"/>
        <w:keepLines w:val="0"/>
        <w:pageBreakBefore w:val="0"/>
        <w:widowControl w:val="0"/>
        <w:tabs>
          <w:tab w:val="left" w:pos="1440"/>
        </w:tabs>
        <w:spacing w:line="400" w:lineRule="exact"/>
        <w:rPr>
          <w:rFonts w:asciiTheme="minorEastAsia" w:hAnsiTheme="minorEastAsia" w:eastAsiaTheme="minorEastAsia" w:cstheme="minorEastAsia"/>
          <w:b/>
          <w:bCs/>
          <w:color w:val="000000" w:themeColor="text1"/>
          <w:sz w:val="22"/>
          <w:highlight w:val="none"/>
          <w14:textFill>
            <w14:solidFill>
              <w14:schemeClr w14:val="tx1"/>
            </w14:solidFill>
          </w14:textFill>
        </w:rPr>
        <w:sectPr>
          <w:headerReference r:id="rId5" w:type="first"/>
          <w:pgSz w:w="11906" w:h="16838"/>
          <w:pgMar w:top="1440" w:right="1080" w:bottom="1440" w:left="1080" w:header="851" w:footer="992" w:gutter="0"/>
          <w:pgNumType w:start="0"/>
          <w:cols w:space="1701" w:num="1"/>
          <w:titlePg/>
          <w:docGrid w:linePitch="360" w:charSpace="0"/>
        </w:sect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fldChar w:fldCharType="end"/>
      </w:r>
      <w:bookmarkEnd w:id="1"/>
    </w:p>
    <w:p w14:paraId="7712F906">
      <w:pPr>
        <w:pStyle w:val="13"/>
        <w:spacing w:before="313" w:after="313"/>
        <w:rPr>
          <w:rFonts w:ascii="宋体" w:hAnsi="宋体" w:eastAsia="宋体" w:cs="宋体"/>
          <w:color w:val="000000" w:themeColor="text1"/>
          <w:highlight w:val="none"/>
          <w14:textFill>
            <w14:solidFill>
              <w14:schemeClr w14:val="tx1"/>
            </w14:solidFill>
          </w14:textFill>
        </w:rPr>
      </w:pPr>
      <w:bookmarkStart w:id="7" w:name="_Toc35266018"/>
      <w:bookmarkStart w:id="8" w:name="_Toc10560"/>
      <w:bookmarkStart w:id="9" w:name="_Toc54615237"/>
      <w:bookmarkStart w:id="10" w:name="_Toc38368118"/>
      <w:r>
        <w:rPr>
          <w:rFonts w:hint="eastAsia" w:ascii="宋体" w:hAnsi="宋体" w:eastAsia="宋体" w:cs="宋体"/>
          <w:color w:val="000000" w:themeColor="text1"/>
          <w:highlight w:val="none"/>
          <w14:textFill>
            <w14:solidFill>
              <w14:schemeClr w14:val="tx1"/>
            </w14:solidFill>
          </w14:textFill>
        </w:rPr>
        <w:t>第一章  投标邀请</w:t>
      </w:r>
      <w:bookmarkEnd w:id="7"/>
      <w:bookmarkEnd w:id="8"/>
      <w:bookmarkEnd w:id="9"/>
      <w:bookmarkEnd w:id="10"/>
      <w:bookmarkStart w:id="11" w:name="_Toc120614211"/>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14:paraId="2432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noWrap/>
          </w:tcPr>
          <w:p w14:paraId="40720024">
            <w:pPr>
              <w:widowControl/>
              <w:spacing w:line="5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14:paraId="60779F1A">
            <w:pPr>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2025年度白蚁等害堤动物普查及治理项目JSZC-320582-SZRY-G2025-0012</w:t>
            </w:r>
            <w:r>
              <w:rPr>
                <w:rFonts w:hint="eastAsia" w:ascii="宋体" w:hAnsi="宋体" w:cs="宋体"/>
                <w:color w:val="000000" w:themeColor="text1"/>
                <w:sz w:val="24"/>
                <w:szCs w:val="24"/>
                <w:highlight w:val="none"/>
                <w14:textFill>
                  <w14:solidFill>
                    <w14:schemeClr w14:val="tx1"/>
                  </w14:solidFill>
                </w14:textFill>
              </w:rPr>
              <w:t>招标项目的潜在投标人应在苏采云政府采购一体化平台（网址：http://jszfcg.jsczt.cn/）获取招标文件，并于20</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14:00</w:t>
            </w:r>
            <w:r>
              <w:rPr>
                <w:rFonts w:hint="eastAsia" w:ascii="宋体" w:hAnsi="宋体" w:cs="宋体"/>
                <w:color w:val="000000" w:themeColor="text1"/>
                <w:sz w:val="24"/>
                <w:szCs w:val="24"/>
                <w:highlight w:val="none"/>
                <w14:textFill>
                  <w14:solidFill>
                    <w14:schemeClr w14:val="tx1"/>
                  </w14:solidFill>
                </w14:textFill>
              </w:rPr>
              <w:t>（北京时间）前递交投标文件。</w:t>
            </w:r>
          </w:p>
        </w:tc>
      </w:tr>
    </w:tbl>
    <w:p w14:paraId="13710B8C">
      <w:pPr>
        <w:keepNext w:val="0"/>
        <w:keepLines w:val="0"/>
        <w:pageBreakBefore w:val="0"/>
        <w:widowControl/>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一、项目基本情况</w:t>
      </w:r>
    </w:p>
    <w:p w14:paraId="61657735">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JSZC-320582-SZRY-G2025-0012</w:t>
      </w:r>
    </w:p>
    <w:p w14:paraId="1DC70045">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2025年度白蚁等害堤动物普查及治理项目</w:t>
      </w:r>
    </w:p>
    <w:p w14:paraId="6065DEDC">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bookmarkStart w:id="12" w:name="EB1a0e1eba70434d918dcf5b8e03079bcd"/>
      <w:r>
        <w:rPr>
          <w:rFonts w:hint="eastAsia" w:ascii="宋体" w:hAnsi="宋体" w:cs="宋体"/>
          <w:color w:val="000000" w:themeColor="text1"/>
          <w:sz w:val="24"/>
          <w:szCs w:val="24"/>
          <w:highlight w:val="none"/>
          <w:lang w:val="en-US" w:eastAsia="zh-CN"/>
          <w14:textFill>
            <w14:solidFill>
              <w14:schemeClr w14:val="tx1"/>
            </w14:solidFill>
          </w14:textFill>
        </w:rPr>
        <w:t>247</w:t>
      </w:r>
      <w:r>
        <w:rPr>
          <w:rFonts w:hint="eastAsia" w:ascii="宋体" w:hAnsi="宋体" w:cs="宋体"/>
          <w:color w:val="000000" w:themeColor="text1"/>
          <w:sz w:val="24"/>
          <w:szCs w:val="24"/>
          <w:highlight w:val="none"/>
          <w14:textFill>
            <w14:solidFill>
              <w14:schemeClr w14:val="tx1"/>
            </w14:solidFill>
          </w14:textFill>
        </w:rPr>
        <w:t>0000.00元</w:t>
      </w:r>
      <w:bookmarkEnd w:id="12"/>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采购包1:1170000.00元；采购包2：1300000.00元</w:t>
      </w:r>
      <w:r>
        <w:rPr>
          <w:rFonts w:hint="eastAsia" w:ascii="宋体" w:hAnsi="宋体" w:cs="宋体"/>
          <w:color w:val="000000" w:themeColor="text1"/>
          <w:sz w:val="24"/>
          <w:szCs w:val="24"/>
          <w:highlight w:val="none"/>
          <w:lang w:eastAsia="zh-CN"/>
          <w14:textFill>
            <w14:solidFill>
              <w14:schemeClr w14:val="tx1"/>
            </w14:solidFill>
          </w14:textFill>
        </w:rPr>
        <w:t>）</w:t>
      </w:r>
    </w:p>
    <w:p w14:paraId="57D2D61E">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bookmarkStart w:id="13" w:name="EB974fe10e1b834f1ab596364ccab62ca9"/>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247</w:t>
      </w:r>
      <w:r>
        <w:rPr>
          <w:rFonts w:hint="eastAsia" w:ascii="宋体" w:hAnsi="宋体" w:cs="宋体"/>
          <w:color w:val="000000" w:themeColor="text1"/>
          <w:sz w:val="24"/>
          <w:szCs w:val="24"/>
          <w:highlight w:val="none"/>
          <w14:textFill>
            <w14:solidFill>
              <w14:schemeClr w14:val="tx1"/>
            </w14:solidFill>
          </w14:textFill>
        </w:rPr>
        <w:t>0000.0元</w:t>
      </w:r>
      <w:bookmarkEnd w:id="13"/>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采购包1:1170000.00元；采购包2：1300000.00元</w:t>
      </w:r>
      <w:r>
        <w:rPr>
          <w:rFonts w:hint="eastAsia" w:ascii="宋体" w:hAnsi="宋体" w:cs="宋体"/>
          <w:color w:val="000000" w:themeColor="text1"/>
          <w:sz w:val="24"/>
          <w:szCs w:val="24"/>
          <w:highlight w:val="none"/>
          <w:lang w:eastAsia="zh-CN"/>
          <w14:textFill>
            <w14:solidFill>
              <w14:schemeClr w14:val="tx1"/>
            </w14:solidFill>
          </w14:textFill>
        </w:rPr>
        <w:t>）</w:t>
      </w:r>
    </w:p>
    <w:p w14:paraId="1AF84C57">
      <w:pPr>
        <w:keepNext w:val="0"/>
        <w:keepLines w:val="0"/>
        <w:pageBreakBefore w:val="0"/>
        <w:widowControl/>
        <w:spacing w:line="520" w:lineRule="exact"/>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采购方式：公开招标</w:t>
      </w:r>
    </w:p>
    <w:p w14:paraId="5A862F27">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w:t>
      </w:r>
      <w:r>
        <w:rPr>
          <w:rFonts w:hint="eastAsia" w:ascii="宋体" w:hAnsi="宋体" w:cs="宋体"/>
          <w:color w:val="000000" w:themeColor="text1"/>
          <w:sz w:val="24"/>
          <w:szCs w:val="24"/>
          <w:highlight w:val="none"/>
          <w:lang w:val="en-US" w:eastAsia="zh-CN"/>
          <w14:textFill>
            <w14:solidFill>
              <w14:schemeClr w14:val="tx1"/>
            </w14:solidFill>
          </w14:textFill>
        </w:rPr>
        <w:t>采购包1：</w:t>
      </w:r>
      <w:r>
        <w:rPr>
          <w:rFonts w:hint="eastAsia" w:ascii="宋体" w:hAnsi="宋体" w:cs="宋体"/>
          <w:color w:val="000000" w:themeColor="text1"/>
          <w:sz w:val="24"/>
          <w:szCs w:val="24"/>
          <w:highlight w:val="none"/>
          <w14:textFill>
            <w14:solidFill>
              <w14:schemeClr w14:val="tx1"/>
            </w14:solidFill>
          </w14:textFill>
        </w:rPr>
        <w:t>张家港市水务局就全市堤防开展</w:t>
      </w:r>
      <w:r>
        <w:rPr>
          <w:rFonts w:hint="eastAsia" w:ascii="宋体" w:hAnsi="宋体" w:cs="宋体"/>
          <w:color w:val="000000" w:themeColor="text1"/>
          <w:sz w:val="24"/>
          <w:szCs w:val="24"/>
          <w:highlight w:val="none"/>
          <w:lang w:val="en-US" w:eastAsia="zh-CN"/>
          <w14:textFill>
            <w14:solidFill>
              <w14:schemeClr w14:val="tx1"/>
            </w14:solidFill>
          </w14:textFill>
        </w:rPr>
        <w:t>白蚁等</w:t>
      </w:r>
      <w:r>
        <w:rPr>
          <w:rFonts w:hint="eastAsia" w:ascii="宋体" w:hAnsi="宋体" w:cs="宋体"/>
          <w:color w:val="000000" w:themeColor="text1"/>
          <w:sz w:val="24"/>
          <w:szCs w:val="24"/>
          <w:highlight w:val="none"/>
          <w14:textFill>
            <w14:solidFill>
              <w14:schemeClr w14:val="tx1"/>
            </w14:solidFill>
          </w14:textFill>
        </w:rPr>
        <w:t>害堤动物普查及治理工作</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拟采取公开招标的形式确定服务外包单位，根据采购人委托的内容和要求，对堤防进行</w:t>
      </w:r>
      <w:r>
        <w:rPr>
          <w:rFonts w:hint="eastAsia" w:ascii="宋体" w:hAnsi="宋体" w:cs="宋体"/>
          <w:color w:val="000000" w:themeColor="text1"/>
          <w:sz w:val="24"/>
          <w:szCs w:val="24"/>
          <w:highlight w:val="none"/>
          <w:lang w:val="en-US" w:eastAsia="zh-CN"/>
          <w14:textFill>
            <w14:solidFill>
              <w14:schemeClr w14:val="tx1"/>
            </w14:solidFill>
          </w14:textFill>
        </w:rPr>
        <w:t>白蚁等</w:t>
      </w:r>
      <w:r>
        <w:rPr>
          <w:rFonts w:hint="eastAsia" w:ascii="宋体" w:hAnsi="宋体" w:cs="宋体"/>
          <w:color w:val="000000" w:themeColor="text1"/>
          <w:sz w:val="24"/>
          <w:szCs w:val="24"/>
          <w:highlight w:val="none"/>
          <w14:textFill>
            <w14:solidFill>
              <w14:schemeClr w14:val="tx1"/>
            </w14:solidFill>
          </w14:textFill>
        </w:rPr>
        <w:t>害堤动物普查及治理</w:t>
      </w:r>
      <w:r>
        <w:rPr>
          <w:rFonts w:hint="eastAsia" w:ascii="宋体" w:hAnsi="宋体" w:cs="宋体"/>
          <w:color w:val="000000" w:themeColor="text1"/>
          <w:sz w:val="24"/>
          <w:szCs w:val="24"/>
          <w:highlight w:val="none"/>
          <w:lang w:val="en-US" w:eastAsia="zh-CN"/>
          <w14:textFill>
            <w14:solidFill>
              <w14:schemeClr w14:val="tx1"/>
            </w14:solidFill>
          </w14:textFill>
        </w:rPr>
        <w:t>并对长江重点堤防进行安全健康评估</w:t>
      </w:r>
      <w:r>
        <w:rPr>
          <w:rFonts w:hint="eastAsia" w:ascii="宋体" w:hAnsi="宋体" w:cs="宋体"/>
          <w:color w:val="000000" w:themeColor="text1"/>
          <w:sz w:val="24"/>
          <w:szCs w:val="24"/>
          <w:highlight w:val="none"/>
          <w14:textFill>
            <w14:solidFill>
              <w14:schemeClr w14:val="tx1"/>
            </w14:solidFill>
          </w14:textFill>
        </w:rPr>
        <w:t>。</w:t>
      </w:r>
    </w:p>
    <w:p w14:paraId="5120816E">
      <w:pPr>
        <w:keepNext w:val="0"/>
        <w:keepLines w:val="0"/>
        <w:pageBreakBefore w:val="0"/>
        <w:widowControl/>
        <w:spacing w:line="520" w:lineRule="exact"/>
        <w:ind w:firstLine="1502"/>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采购包2：张家港市水务局就全市堤防开展白蚁等害堤动物普查及治理工作，拟采取公开招标的形式确定服务外包单位，根据采购人委托的内容和要求，对堤防进行白蚁等害堤动物普查及治理。</w:t>
      </w:r>
    </w:p>
    <w:p w14:paraId="71C2464E">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合同履行期限</w:t>
      </w:r>
      <w:bookmarkStart w:id="14" w:name="EBc1f6639250fe4c2294880160fa37a7de"/>
      <w:r>
        <w:rPr>
          <w:rFonts w:hint="eastAsia" w:ascii="宋体" w:hAnsi="宋体" w:cs="宋体"/>
          <w:color w:val="000000" w:themeColor="text1"/>
          <w:sz w:val="24"/>
          <w:szCs w:val="24"/>
          <w:highlight w:val="none"/>
          <w14:textFill>
            <w14:solidFill>
              <w14:schemeClr w14:val="tx1"/>
            </w14:solidFill>
          </w14:textFill>
        </w:rPr>
        <w:t>：</w:t>
      </w:r>
    </w:p>
    <w:p w14:paraId="055AFB8E">
      <w:pPr>
        <w:keepNext w:val="0"/>
        <w:keepLines w:val="0"/>
        <w:pageBreakBefore w:val="0"/>
        <w:widowControl/>
        <w:spacing w:line="520" w:lineRule="exact"/>
        <w:ind w:firstLine="48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采购包1：</w:t>
      </w:r>
      <w:r>
        <w:rPr>
          <w:rFonts w:hint="eastAsia" w:ascii="宋体" w:hAnsi="宋体" w:cs="宋体"/>
          <w:color w:val="000000" w:themeColor="text1"/>
          <w:sz w:val="24"/>
          <w:szCs w:val="24"/>
          <w:highlight w:val="none"/>
          <w14:textFill>
            <w14:solidFill>
              <w14:schemeClr w14:val="tx1"/>
            </w14:solidFill>
          </w14:textFill>
        </w:rPr>
        <w:t>合同签订之日起至202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日止（202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底前完成对《2024年度白蚁等害堤动物普查及治理项目》中已普查到的受害堤防的治理并出具报告。</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底前完本标段堤防的普查并出具报告，同时完成对长江重点堤防进行安全健康评估。</w:t>
      </w:r>
      <w:r>
        <w:rPr>
          <w:rFonts w:hint="eastAsia" w:ascii="宋体" w:hAnsi="宋体" w:cs="宋体"/>
          <w:color w:val="000000" w:themeColor="text1"/>
          <w:sz w:val="24"/>
          <w:szCs w:val="24"/>
          <w:highlight w:val="none"/>
          <w14:textFill>
            <w14:solidFill>
              <w14:schemeClr w14:val="tx1"/>
            </w14:solidFill>
          </w14:textFill>
        </w:rPr>
        <w:t>）</w:t>
      </w:r>
      <w:bookmarkEnd w:id="14"/>
      <w:r>
        <w:rPr>
          <w:rFonts w:hint="eastAsia" w:ascii="宋体" w:hAnsi="宋体" w:cs="宋体"/>
          <w:color w:val="000000" w:themeColor="text1"/>
          <w:sz w:val="24"/>
          <w:szCs w:val="24"/>
          <w:highlight w:val="none"/>
          <w:lang w:val="en-US" w:eastAsia="zh-CN"/>
          <w14:textFill>
            <w14:solidFill>
              <w14:schemeClr w14:val="tx1"/>
            </w14:solidFill>
          </w14:textFill>
        </w:rPr>
        <w:t>采购包2：合同签订之日起至2026年4月30日止（2025年10月底前完成对《2024年度白蚁等害堤动物普查及治理项目》中已普查到的受害堤防的治理并出具报告。2026年4月底前完成本标段堤防的普查并出具报告）。</w:t>
      </w:r>
    </w:p>
    <w:p w14:paraId="4B320F7A">
      <w:pPr>
        <w:keepNext w:val="0"/>
        <w:keepLines w:val="0"/>
        <w:pageBreakBefore w:val="0"/>
        <w:widowControl/>
        <w:spacing w:line="520" w:lineRule="exact"/>
        <w:ind w:firstLine="48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本项目（是/否）接受联合体投标：不接受联合体。</w:t>
      </w:r>
    </w:p>
    <w:p w14:paraId="0278C13F">
      <w:pPr>
        <w:keepNext w:val="0"/>
        <w:keepLines w:val="0"/>
        <w:pageBreakBefore w:val="0"/>
        <w:widowControl/>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二、申请人的资格要求</w:t>
      </w:r>
    </w:p>
    <w:p w14:paraId="300F2525">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满足《中华人民共和国政府采购法》第二十二条规定；</w:t>
      </w:r>
    </w:p>
    <w:p w14:paraId="1B2C7D08">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自然人的身份证明（注：若供应商为分公司，则还须提供总公司同意其独立开展业务的授权，其中银行、保险、石油石化、电力、电信、邮政、铁路等特殊行业，可提供总公司有关文件或制度等能够证明总公司授权其独立开展业务的证明材料）</w:t>
      </w:r>
      <w:r>
        <w:rPr>
          <w:rFonts w:hint="eastAsia" w:ascii="宋体" w:hAnsi="宋体" w:cs="宋体"/>
          <w:color w:val="000000" w:themeColor="text1"/>
          <w:sz w:val="24"/>
          <w:szCs w:val="24"/>
          <w:highlight w:val="none"/>
          <w:lang w:eastAsia="zh-CN"/>
          <w14:textFill>
            <w14:solidFill>
              <w14:schemeClr w14:val="tx1"/>
            </w14:solidFill>
          </w14:textFill>
        </w:rPr>
        <w:t>。</w:t>
      </w:r>
    </w:p>
    <w:p w14:paraId="54CF703B">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2.财务状况报告（成立不满一年不需提供）。</w:t>
      </w:r>
    </w:p>
    <w:p w14:paraId="26E826DB">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3.依法缴纳税收和社会保障资金的相关材料。</w:t>
      </w:r>
    </w:p>
    <w:p w14:paraId="26C0B882">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4.具备履行合同所必需的设备和专业技术能力的书面声明。</w:t>
      </w:r>
    </w:p>
    <w:p w14:paraId="45D1C38F">
      <w:pPr>
        <w:keepNext w:val="0"/>
        <w:keepLines w:val="0"/>
        <w:pageBreakBefore w:val="0"/>
        <w:widowControl/>
        <w:spacing w:line="52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5.参加政府采购活动前3年内在经营活动中没有重大违法记录的书面声明。</w:t>
      </w:r>
    </w:p>
    <w:p w14:paraId="259C5033">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6.提供授权委托书</w:t>
      </w:r>
      <w:r>
        <w:rPr>
          <w:rFonts w:hint="eastAsia" w:ascii="宋体" w:hAnsi="宋体" w:cs="宋体"/>
          <w:color w:val="000000" w:themeColor="text1"/>
          <w:sz w:val="24"/>
          <w:szCs w:val="24"/>
          <w:highlight w:val="none"/>
          <w:lang w:eastAsia="zh-CN"/>
          <w14:textFill>
            <w14:solidFill>
              <w14:schemeClr w14:val="tx1"/>
            </w14:solidFill>
          </w14:textFill>
        </w:rPr>
        <w:t>。</w:t>
      </w:r>
    </w:p>
    <w:p w14:paraId="0A1CCE77">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7.关于资格证明文件的书面承诺</w:t>
      </w:r>
      <w:r>
        <w:rPr>
          <w:rFonts w:hint="eastAsia" w:ascii="宋体" w:hAnsi="宋体" w:cs="宋体"/>
          <w:color w:val="000000" w:themeColor="text1"/>
          <w:sz w:val="24"/>
          <w:szCs w:val="24"/>
          <w:highlight w:val="none"/>
          <w:lang w:eastAsia="zh-CN"/>
          <w14:textFill>
            <w14:solidFill>
              <w14:schemeClr w14:val="tx1"/>
            </w14:solidFill>
          </w14:textFill>
        </w:rPr>
        <w:t>。</w:t>
      </w:r>
    </w:p>
    <w:p w14:paraId="25A0B53F">
      <w:pPr>
        <w:keepNext w:val="0"/>
        <w:keepLines w:val="0"/>
        <w:pageBreakBefore w:val="0"/>
        <w:widowControl/>
        <w:spacing w:line="520" w:lineRule="exact"/>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8.中小企业声明函等。</w:t>
      </w:r>
    </w:p>
    <w:p w14:paraId="41398085">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落实政府采购政策需满足的资格要求：</w:t>
      </w:r>
    </w:p>
    <w:p w14:paraId="49978DE4">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本项目专门面向中小企业采购</w:t>
      </w:r>
    </w:p>
    <w:p w14:paraId="1C321DD0">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14:paraId="45683C44">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（1）根据《关于促进残疾人就业政府采购政策的通知》（财库〔2017〕141号）的通知规定，在政府采购活动中，残疾人福利性单位视同小型、微型企业。</w:t>
      </w:r>
    </w:p>
    <w:p w14:paraId="0228D2E3">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（2）根据《关于政府采购支持监狱企业发展有关问题的通知》（财库〔2014〕68号）的通知规定，在政府采购活动中，监狱企业视同小型、微型企业。</w:t>
      </w:r>
    </w:p>
    <w:p w14:paraId="66F9B227">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本项目的特定资格要求：</w:t>
      </w:r>
    </w:p>
    <w:p w14:paraId="1360ABE9">
      <w:pPr>
        <w:keepNext w:val="0"/>
        <w:keepLines w:val="0"/>
        <w:pageBreakBefore w:val="0"/>
        <w:widowControl/>
        <w:spacing w:line="520" w:lineRule="exact"/>
        <w:ind w:firstLine="48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w:t>
      </w:r>
      <w:bookmarkStart w:id="15" w:name="EB2e222552591745cd9af6e9d18c1a40c7"/>
      <w:bookmarkEnd w:id="15"/>
      <w:r>
        <w:rPr>
          <w:rFonts w:hint="eastAsia" w:ascii="宋体" w:hAnsi="宋体" w:cs="宋体"/>
          <w:color w:val="000000" w:themeColor="text1"/>
          <w:sz w:val="24"/>
          <w:szCs w:val="24"/>
          <w:highlight w:val="none"/>
          <w14:textFill>
            <w14:solidFill>
              <w14:schemeClr w14:val="tx1"/>
            </w14:solidFill>
          </w14:textFill>
        </w:rPr>
        <w:t>。</w:t>
      </w:r>
    </w:p>
    <w:p w14:paraId="7DD5978F">
      <w:pPr>
        <w:keepNext w:val="0"/>
        <w:keepLines w:val="0"/>
        <w:pageBreakBefore w:val="0"/>
        <w:widowControl/>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三、获取招标文件</w:t>
      </w:r>
    </w:p>
    <w:p w14:paraId="7EA11FD5">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时间：自公告发布之日起 5 个工作日。</w:t>
      </w:r>
    </w:p>
    <w:p w14:paraId="0D37F615">
      <w:pPr>
        <w:keepNext w:val="0"/>
        <w:keepLines w:val="0"/>
        <w:pageBreakBefore w:val="0"/>
        <w:widowControl/>
        <w:spacing w:line="520" w:lineRule="exact"/>
        <w:ind w:firstLine="480"/>
        <w:rPr>
          <w:rFonts w:hint="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地点：苏采云政府采购一体化平台（网址：http://jszfcg.jsczt.cn/）。</w:t>
      </w:r>
    </w:p>
    <w:p w14:paraId="653E2544">
      <w:pPr>
        <w:keepNext w:val="0"/>
        <w:keepLines w:val="0"/>
        <w:pageBreakBefore w:val="0"/>
        <w:widowControl/>
        <w:spacing w:line="520" w:lineRule="exact"/>
        <w:ind w:firstLine="48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方式：供应商插入CA证书登陆“苏采云”系统后选择具体项目，点击“我要参与”并签章提交《投标供应商确认函》，提交《投标供应商确认函》日期视同为依法获取招标文件日期。未依照招标公告要求提交《投标供应商确认函》的供应商，视为未参与该项政府采购活动。</w:t>
      </w:r>
    </w:p>
    <w:p w14:paraId="0657AFF6">
      <w:pPr>
        <w:keepNext w:val="0"/>
        <w:keepLines w:val="0"/>
        <w:pageBreakBefore w:val="0"/>
        <w:widowControl/>
        <w:spacing w:line="520" w:lineRule="exact"/>
        <w:ind w:firstLine="48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售价：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0.00</w:t>
      </w:r>
      <w:r>
        <w:rPr>
          <w:rFonts w:hint="eastAsia"/>
          <w:color w:val="000000" w:themeColor="text1"/>
          <w:sz w:val="24"/>
          <w:szCs w:val="24"/>
          <w:highlight w:val="none"/>
          <w:lang w:val="en-US" w:eastAsia="zh-CN"/>
          <w14:textFill>
            <w14:solidFill>
              <w14:schemeClr w14:val="tx1"/>
            </w14:solidFill>
          </w14:textFill>
        </w:rPr>
        <w:t>元。</w:t>
      </w:r>
    </w:p>
    <w:p w14:paraId="5E8F0A44">
      <w:pPr>
        <w:keepNext w:val="0"/>
        <w:keepLines w:val="0"/>
        <w:pageBreakBefore w:val="0"/>
        <w:widowControl/>
        <w:shd w:val="clear" w:color="auto"/>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四、提交投标文件截止时间、开标时间和地点</w:t>
      </w:r>
    </w:p>
    <w:p w14:paraId="4810A9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20" w:lineRule="exact"/>
        <w:ind w:left="0" w:right="0" w:firstLine="508"/>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pP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时间：202</w:t>
      </w:r>
      <w:r>
        <w:rPr>
          <w:rFonts w:hint="eastAsia" w:ascii="宋体" w:hAnsi="宋体" w:cs="宋体"/>
          <w:i w:val="0"/>
          <w:iCs w:val="0"/>
          <w:caps w:val="0"/>
          <w:color w:val="000000" w:themeColor="text1"/>
          <w:spacing w:val="7"/>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年</w:t>
      </w:r>
      <w:r>
        <w:rPr>
          <w:rFonts w:hint="eastAsia" w:ascii="宋体" w:hAnsi="宋体" w:cs="宋体"/>
          <w:i w:val="0"/>
          <w:iCs w:val="0"/>
          <w:caps w:val="0"/>
          <w:color w:val="000000" w:themeColor="text1"/>
          <w:spacing w:val="7"/>
          <w:sz w:val="24"/>
          <w:szCs w:val="24"/>
          <w:highlight w:val="none"/>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月</w:t>
      </w:r>
      <w:r>
        <w:rPr>
          <w:rFonts w:hint="eastAsia" w:ascii="宋体" w:hAnsi="宋体" w:cs="宋体"/>
          <w:i w:val="0"/>
          <w:iCs w:val="0"/>
          <w:caps w:val="0"/>
          <w:color w:val="000000" w:themeColor="text1"/>
          <w:spacing w:val="7"/>
          <w:sz w:val="24"/>
          <w:szCs w:val="24"/>
          <w:highlight w:val="none"/>
          <w:shd w:val="clear" w:color="auto"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日1</w:t>
      </w:r>
      <w:r>
        <w:rPr>
          <w:rFonts w:hint="eastAsia" w:ascii="宋体" w:hAnsi="宋体" w:eastAsia="宋体" w:cs="宋体"/>
          <w:i w:val="0"/>
          <w:iCs w:val="0"/>
          <w:caps w:val="0"/>
          <w:color w:val="000000" w:themeColor="text1"/>
          <w:spacing w:val="7"/>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w:t>
      </w:r>
      <w:r>
        <w:rPr>
          <w:rFonts w:hint="eastAsia" w:ascii="宋体" w:hAnsi="宋体" w:eastAsia="宋体" w:cs="宋体"/>
          <w:i w:val="0"/>
          <w:iCs w:val="0"/>
          <w:caps w:val="0"/>
          <w:color w:val="000000" w:themeColor="text1"/>
          <w:spacing w:val="7"/>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（北京时间）</w:t>
      </w:r>
    </w:p>
    <w:p w14:paraId="503A21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20" w:lineRule="exact"/>
        <w:ind w:left="0" w:right="0" w:firstLine="508"/>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pPr>
      <w:r>
        <w:rPr>
          <w:rFonts w:hint="eastAsia" w:ascii="宋体" w:hAnsi="宋体" w:eastAsia="宋体" w:cs="宋体"/>
          <w:i w:val="0"/>
          <w:iCs w:val="0"/>
          <w:caps w:val="0"/>
          <w:color w:val="000000" w:themeColor="text1"/>
          <w:spacing w:val="7"/>
          <w:sz w:val="24"/>
          <w:szCs w:val="24"/>
          <w:highlight w:val="none"/>
          <w:shd w:val="clear" w:color="auto" w:fill="FFFFFF"/>
          <w:lang w:val="en-US"/>
          <w14:textFill>
            <w14:solidFill>
              <w14:schemeClr w14:val="tx1"/>
            </w14:solidFill>
          </w14:textFill>
        </w:rPr>
        <w:t>地点：苏采云政府采购一体化平台（网址：http://jszfcg.jsczt.cn/）</w:t>
      </w:r>
    </w:p>
    <w:p w14:paraId="704A25A4">
      <w:pPr>
        <w:keepNext w:val="0"/>
        <w:keepLines w:val="0"/>
        <w:pageBreakBefore w:val="0"/>
        <w:widowControl/>
        <w:shd w:val="clear" w:color="auto"/>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五、公告期限</w:t>
      </w:r>
    </w:p>
    <w:p w14:paraId="355671B8">
      <w:pPr>
        <w:keepNext w:val="0"/>
        <w:keepLines w:val="0"/>
        <w:pageBreakBefore w:val="0"/>
        <w:widowControl/>
        <w:spacing w:line="520" w:lineRule="exact"/>
        <w:ind w:firstLine="55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自本公告发布之日起5个工作日。</w:t>
      </w:r>
    </w:p>
    <w:p w14:paraId="229C9DC3">
      <w:pPr>
        <w:keepNext w:val="0"/>
        <w:keepLines w:val="0"/>
        <w:pageBreakBefore w:val="0"/>
        <w:widowControl/>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六、其他补充事宜</w:t>
      </w:r>
    </w:p>
    <w:p w14:paraId="44B342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1.CA证书办理</w:t>
      </w:r>
    </w:p>
    <w:p w14:paraId="0FD6E6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供应商参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苏州现场办理地址：苏州市姑苏区平泷路251号政务服务中心4楼公共交易中心窗口，咨询电话：0512-69820834。</w:t>
      </w:r>
    </w:p>
    <w:p w14:paraId="560A77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2.参与采购活动</w:t>
      </w:r>
    </w:p>
    <w:p w14:paraId="182C56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供应商插入CA证书登陆“苏采云”系统后选择具体项目，点击“我要参与”并签章提交《投标供应商确认函》，提交《投标供应商确认函》日期视同为依法获取招标文件日期。未依照招标公告要求提交《投标供应商确认函》的供应商，视为未参与该项政府采购活动。</w:t>
      </w:r>
    </w:p>
    <w:p w14:paraId="0133DE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3.电子投标准备</w:t>
      </w:r>
    </w:p>
    <w:p w14:paraId="3723C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供应商在“苏采云”系统中操作成功参与项目后，必须在“已参与项目”界面中下载电子招标文件（后缀名为“.kedt”）并导入政府采购客户端工具后方可进行投标文件制作和提交（具体详见《苏采云系统供应商操作手册》，网址链接https://czju.suzhou.gov.cn/zfcg/html/content/20231220161910031.shtml）。</w:t>
      </w:r>
    </w:p>
    <w:p w14:paraId="44B393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在系统操作过程中如有疑问，请按以下方式联系：</w:t>
      </w:r>
    </w:p>
    <w:p w14:paraId="485BF4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注册咨询：18261002950；</w:t>
      </w:r>
    </w:p>
    <w:p w14:paraId="76AA32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CA技术咨询电话：400-608-6099；</w:t>
      </w:r>
    </w:p>
    <w:p w14:paraId="467DD3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签章使用问题：025-83633811、025-83633812、15380932027、15371015030；</w:t>
      </w:r>
    </w:p>
    <w:p w14:paraId="5C92D4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系统使用指导与咨询：18261002950、0512-69820854；QQ：3048755361、1315179389、895706745。</w:t>
      </w:r>
    </w:p>
    <w:p w14:paraId="3011D7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4.本项目采用电子招投标形式，请供应商按照《苏采云系统供应商操作手册》进行制作、上传电子投标文件。电子投标文件制作完成后请于投标文件递交截止时间前成功上传至“苏采云”系统，否则视为放弃参加该采购项目。供应商应充分考虑到网络环境、网络带宽等风险因素，如因供应商自身原因造成的电子投标文件上传不成功由供应商自行承担全部责任。</w:t>
      </w:r>
    </w:p>
    <w:p w14:paraId="001D35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5.线上参加开标（开启）会方式：供应商登录“苏采云”系统在平台首页点击“开标大厅”，进入江苏省政府采购一体化不见面开标（采购）大厅，在今日项目列表，点击项目，进入不见面开标系统。本项目为不见面开标项目，开标阶段供应商在【供应商解密】环节必须使用 CA证书解密电子投标文件，如在系统规定的解密时间内未能完成解密的视为放弃投标。</w:t>
      </w:r>
    </w:p>
    <w:p w14:paraId="0A7D59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请供应商确保电脑、系统及其他设备（视频输入输出设备等）无误，且开标直至项目结束始终保持系统在线状态。</w:t>
      </w:r>
    </w:p>
    <w:p w14:paraId="56A3F7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6.拒绝下述供应商参加本次采购活动：</w:t>
      </w:r>
    </w:p>
    <w:p w14:paraId="3D78CB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iCs/>
          <w:caps w:val="0"/>
          <w:color w:val="000000" w:themeColor="text1"/>
          <w:spacing w:val="0"/>
          <w:sz w:val="24"/>
          <w:szCs w:val="24"/>
          <w:highlight w:val="none"/>
          <w14:textFill>
            <w14:solidFill>
              <w14:schemeClr w14:val="tx1"/>
            </w14:solidFill>
          </w14:textFill>
        </w:rPr>
      </w:pPr>
      <w:r>
        <w:rPr>
          <w:rFonts w:hint="eastAsia" w:ascii="宋体" w:hAnsi="宋体" w:eastAsia="宋体" w:cs="宋体"/>
          <w:i/>
          <w:iCs/>
          <w:caps w:val="0"/>
          <w:color w:val="000000" w:themeColor="text1"/>
          <w:spacing w:val="0"/>
          <w:sz w:val="24"/>
          <w:szCs w:val="24"/>
          <w:highlight w:val="none"/>
          <w:u w:val="single"/>
          <w:shd w:val="clear" w:color="auto" w:fill="FFFFFF"/>
          <w:lang w:val="en-US" w:eastAsia="zh-CN" w:bidi="ar"/>
          <w14:textFill>
            <w14:solidFill>
              <w14:schemeClr w14:val="tx1"/>
            </w14:solidFill>
          </w14:textFill>
        </w:rPr>
        <w:t>6.1 单位负责人为同一人或者存在直接控股、管理关系的不同供应商，不得参加同一合同下的政府采购活动；</w:t>
      </w:r>
    </w:p>
    <w:p w14:paraId="77B59D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iCs/>
          <w:caps w:val="0"/>
          <w:color w:val="000000" w:themeColor="text1"/>
          <w:spacing w:val="0"/>
          <w:sz w:val="24"/>
          <w:szCs w:val="24"/>
          <w:highlight w:val="none"/>
          <w:u w:val="single"/>
          <w:shd w:val="clear" w:color="auto" w:fill="FFFFFF"/>
          <w:lang w:val="en-US" w:eastAsia="zh-CN" w:bidi="ar"/>
          <w14:textFill>
            <w14:solidFill>
              <w14:schemeClr w14:val="tx1"/>
            </w14:solidFill>
          </w14:textFill>
        </w:rPr>
        <w:t>6.2 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以及其他不符合《中华人民共和国政府采购法》第二十二条规定条件的信用记录的供应商，拒绝其参与政府采购活动。</w:t>
      </w:r>
    </w:p>
    <w:p w14:paraId="16D1A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7.招标文件澄清或者修改内容的告知方式：招标文件的实质性变动或修改将在政府采购公告媒体网通知，投标人可自行下载。</w:t>
      </w:r>
    </w:p>
    <w:p w14:paraId="1576D2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8.本次招标不收取投标保证金。</w:t>
      </w:r>
    </w:p>
    <w:p w14:paraId="2E624C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bidi="ar"/>
          <w14:textFill>
            <w14:solidFill>
              <w14:schemeClr w14:val="tx1"/>
            </w14:solidFill>
          </w14:textFill>
        </w:rPr>
        <w:t>9.本项目不允许进口产品投标。</w:t>
      </w:r>
    </w:p>
    <w:p w14:paraId="4F08BEE7">
      <w:pPr>
        <w:keepNext w:val="0"/>
        <w:keepLines w:val="0"/>
        <w:pageBreakBefore w:val="0"/>
        <w:widowControl/>
        <w:spacing w:line="52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七、对本次招标提出询问，请按以下方式联系</w:t>
      </w:r>
    </w:p>
    <w:p w14:paraId="4884C44A">
      <w:pPr>
        <w:keepNext w:val="0"/>
        <w:keepLines w:val="0"/>
        <w:pageBreakBefore w:val="0"/>
        <w:widowControl/>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采购人信息</w:t>
      </w:r>
    </w:p>
    <w:p w14:paraId="233DEAA6">
      <w:pPr>
        <w:keepNext w:val="0"/>
        <w:keepLines w:val="0"/>
        <w:pageBreakBefore w:val="0"/>
        <w:widowControl/>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r>
        <w:rPr>
          <w:rFonts w:hint="eastAsia" w:ascii="宋体" w:hAnsi="宋体" w:cs="宋体"/>
          <w:color w:val="000000" w:themeColor="text1"/>
          <w:sz w:val="24"/>
          <w:szCs w:val="24"/>
          <w:highlight w:val="none"/>
          <w14:textFill>
            <w14:solidFill>
              <w14:schemeClr w14:val="tx1"/>
            </w14:solidFill>
          </w14:textFill>
        </w:rPr>
        <w:t>名称：张家港市水务局</w:t>
      </w:r>
    </w:p>
    <w:p w14:paraId="150B31DB">
      <w:pPr>
        <w:keepNext w:val="0"/>
        <w:keepLines w:val="0"/>
        <w:pageBreakBefore w:val="0"/>
        <w:widowControl/>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r>
        <w:rPr>
          <w:rFonts w:hint="eastAsia" w:ascii="宋体" w:hAnsi="宋体" w:cs="宋体"/>
          <w:color w:val="000000" w:themeColor="text1"/>
          <w:sz w:val="24"/>
          <w:szCs w:val="24"/>
          <w:highlight w:val="none"/>
          <w14:textFill>
            <w14:solidFill>
              <w14:schemeClr w14:val="tx1"/>
            </w14:solidFill>
          </w14:textFill>
        </w:rPr>
        <w:t>地址：张家港市人民中路60号国脉大厦</w:t>
      </w:r>
    </w:p>
    <w:p w14:paraId="1F98DCB1">
      <w:pPr>
        <w:keepNext w:val="0"/>
        <w:keepLines w:val="0"/>
        <w:pageBreakBefore w:val="0"/>
        <w:widowControl/>
        <w:spacing w:line="520" w:lineRule="exact"/>
        <w:ind w:firstLine="480"/>
        <w:jc w:val="left"/>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王冰桐</w:t>
      </w:r>
    </w:p>
    <w:p w14:paraId="63B1C021">
      <w:pPr>
        <w:keepNext w:val="0"/>
        <w:keepLines w:val="0"/>
        <w:pageBreakBefore w:val="0"/>
        <w:widowControl/>
        <w:spacing w:line="520" w:lineRule="exact"/>
        <w:ind w:firstLine="48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cs="宋体"/>
          <w:color w:val="000000" w:themeColor="text1"/>
          <w:sz w:val="24"/>
          <w:szCs w:val="24"/>
          <w:highlight w:val="none"/>
          <w14:textFill>
            <w14:solidFill>
              <w14:schemeClr w14:val="tx1"/>
            </w14:solidFill>
          </w14:textFill>
        </w:rPr>
        <w:t>0512-</w:t>
      </w:r>
      <w:r>
        <w:rPr>
          <w:rFonts w:hint="eastAsia" w:ascii="宋体" w:hAnsi="宋体" w:cs="宋体"/>
          <w:color w:val="000000" w:themeColor="text1"/>
          <w:sz w:val="24"/>
          <w:szCs w:val="24"/>
          <w:highlight w:val="none"/>
          <w:lang w:val="en-US" w:eastAsia="zh-CN"/>
          <w14:textFill>
            <w14:solidFill>
              <w14:schemeClr w14:val="tx1"/>
            </w14:solidFill>
          </w14:textFill>
        </w:rPr>
        <w:t>56992608</w:t>
      </w:r>
    </w:p>
    <w:p w14:paraId="72CABADB">
      <w:pPr>
        <w:keepNext w:val="0"/>
        <w:keepLines w:val="0"/>
        <w:pageBreakBefore w:val="0"/>
        <w:widowControl/>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采购代理机构信息</w:t>
      </w:r>
    </w:p>
    <w:p w14:paraId="14AE61EE">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r>
        <w:rPr>
          <w:rFonts w:hint="eastAsia" w:ascii="宋体" w:hAnsi="宋体" w:cs="宋体"/>
          <w:color w:val="000000" w:themeColor="text1"/>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p>
    <w:p w14:paraId="3A8662EE">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lang w:eastAsia="zh-CN"/>
          <w14:textFill>
            <w14:solidFill>
              <w14:schemeClr w14:val="tx1"/>
            </w14:solidFill>
          </w14:textFill>
        </w:rPr>
        <w:t>吴中区重楼路9号</w:t>
      </w:r>
    </w:p>
    <w:p w14:paraId="4AD0A24F">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孙佳</w:t>
      </w:r>
    </w:p>
    <w:p w14:paraId="11A36539">
      <w:pPr>
        <w:keepNext w:val="0"/>
        <w:keepLines w:val="0"/>
        <w:pageBreakBefore w:val="0"/>
        <w:widowControl/>
        <w:spacing w:line="520" w:lineRule="exact"/>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联系电话：0512-65857193、15195644812</w:t>
      </w:r>
    </w:p>
    <w:p w14:paraId="516FDAC6">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项目联系方式</w:t>
      </w:r>
    </w:p>
    <w:p w14:paraId="30559BB5">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lang w:val="en-US" w:eastAsia="zh-CN"/>
          <w14:textFill>
            <w14:solidFill>
              <w14:schemeClr w14:val="tx1"/>
            </w14:solidFill>
          </w14:textFill>
        </w:rPr>
        <w:t>孙佳</w:t>
      </w:r>
    </w:p>
    <w:p w14:paraId="45EBCA22">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lang w:val="en-US" w:eastAsia="zh-CN"/>
          <w14:textFill>
            <w14:solidFill>
              <w14:schemeClr w14:val="tx1"/>
            </w14:solidFill>
          </w14:textFill>
        </w:rPr>
        <w:t>0512-65857193、15195644812</w:t>
      </w:r>
    </w:p>
    <w:p w14:paraId="7AE60B23">
      <w:pPr>
        <w:keepNext w:val="0"/>
        <w:keepLines w:val="0"/>
        <w:pageBreakBefore w:val="0"/>
        <w:widowControl/>
        <w:spacing w:line="520" w:lineRule="exact"/>
        <w:jc w:val="right"/>
        <w:rPr>
          <w:rFonts w:hint="eastAsia" w:ascii="宋体" w:hAnsi="宋体" w:eastAsia="宋体" w:cs="宋体"/>
          <w:color w:val="000000" w:themeColor="text1"/>
          <w:sz w:val="24"/>
          <w:szCs w:val="24"/>
          <w:highlight w:val="none"/>
          <w14:textFill>
            <w14:solidFill>
              <w14:schemeClr w14:val="tx1"/>
            </w14:solidFill>
          </w14:textFill>
        </w:rPr>
      </w:pPr>
    </w:p>
    <w:p w14:paraId="613C506A">
      <w:pPr>
        <w:keepNext w:val="0"/>
        <w:keepLines w:val="0"/>
        <w:pageBreakBefore w:val="0"/>
        <w:widowControl/>
        <w:spacing w:line="520" w:lineRule="exact"/>
        <w:jc w:val="right"/>
        <w:rPr>
          <w:rFonts w:hint="eastAsia" w:ascii="宋体" w:hAnsi="宋体" w:eastAsia="宋体" w:cs="宋体"/>
          <w:color w:val="000000" w:themeColor="text1"/>
          <w:sz w:val="24"/>
          <w:szCs w:val="24"/>
          <w:highlight w:val="none"/>
          <w14:textFill>
            <w14:solidFill>
              <w14:schemeClr w14:val="tx1"/>
            </w14:solidFill>
          </w14:textFill>
        </w:rPr>
      </w:pPr>
    </w:p>
    <w:p w14:paraId="0E5FB63C">
      <w:pPr>
        <w:keepNext w:val="0"/>
        <w:keepLines w:val="0"/>
        <w:pageBreakBefore w:val="0"/>
        <w:widowControl/>
        <w:spacing w:line="520" w:lineRule="exact"/>
        <w:ind w:firstLine="480"/>
        <w:rPr>
          <w:rFonts w:hint="eastAsia" w:ascii="宋体" w:hAnsi="宋体" w:eastAsia="宋体" w:cs="宋体"/>
          <w:color w:val="000000" w:themeColor="text1"/>
          <w:sz w:val="24"/>
          <w:szCs w:val="24"/>
          <w:highlight w:val="none"/>
          <w14:textFill>
            <w14:solidFill>
              <w14:schemeClr w14:val="tx1"/>
            </w14:solidFill>
          </w14:textFill>
        </w:rPr>
      </w:pPr>
    </w:p>
    <w:p w14:paraId="73CFA7B0">
      <w:pPr>
        <w:pStyle w:val="16"/>
        <w:rPr>
          <w:rFonts w:hint="eastAsia"/>
          <w:color w:val="000000" w:themeColor="text1"/>
          <w:highlight w:val="none"/>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92" w:gutter="0"/>
          <w:pgNumType w:start="1"/>
          <w:cols w:space="1701" w:num="1"/>
          <w:docGrid w:linePitch="360" w:charSpace="0"/>
        </w:sectPr>
      </w:pPr>
    </w:p>
    <w:p w14:paraId="162BD6BB">
      <w:pPr>
        <w:pStyle w:val="13"/>
        <w:spacing w:before="313" w:after="313"/>
        <w:rPr>
          <w:rFonts w:ascii="宋体" w:hAnsi="宋体" w:eastAsia="宋体" w:cs="宋体"/>
          <w:color w:val="000000" w:themeColor="text1"/>
          <w:highlight w:val="none"/>
          <w14:textFill>
            <w14:solidFill>
              <w14:schemeClr w14:val="tx1"/>
            </w14:solidFill>
          </w14:textFill>
        </w:rPr>
      </w:pPr>
      <w:bookmarkStart w:id="16" w:name="_Toc54615238"/>
      <w:bookmarkStart w:id="17" w:name="_Toc20167"/>
      <w:bookmarkStart w:id="18" w:name="_Toc38368119"/>
      <w:bookmarkStart w:id="19" w:name="_Toc35266019"/>
      <w:r>
        <w:rPr>
          <w:rFonts w:hint="eastAsia" w:ascii="宋体" w:hAnsi="宋体" w:eastAsia="宋体" w:cs="宋体"/>
          <w:color w:val="000000" w:themeColor="text1"/>
          <w:highlight w:val="none"/>
          <w14:textFill>
            <w14:solidFill>
              <w14:schemeClr w14:val="tx1"/>
            </w14:solidFill>
          </w14:textFill>
        </w:rPr>
        <w:t xml:space="preserve">第二章  </w:t>
      </w:r>
      <w:bookmarkEnd w:id="2"/>
      <w:bookmarkEnd w:id="3"/>
      <w:bookmarkEnd w:id="4"/>
      <w:bookmarkEnd w:id="5"/>
      <w:bookmarkEnd w:id="6"/>
      <w:bookmarkEnd w:id="11"/>
      <w:bookmarkStart w:id="20" w:name="_Toc513029202"/>
      <w:bookmarkStart w:id="21" w:name="_Toc16938518"/>
      <w:bookmarkStart w:id="22" w:name="_Toc120614213"/>
      <w:bookmarkStart w:id="23" w:name="_Toc20823274"/>
      <w:r>
        <w:rPr>
          <w:rFonts w:hint="eastAsia" w:ascii="宋体" w:hAnsi="宋体" w:eastAsia="宋体" w:cs="宋体"/>
          <w:color w:val="000000" w:themeColor="text1"/>
          <w:highlight w:val="none"/>
          <w14:textFill>
            <w14:solidFill>
              <w14:schemeClr w14:val="tx1"/>
            </w14:solidFill>
          </w14:textFill>
        </w:rPr>
        <w:t>投标人须知</w:t>
      </w:r>
      <w:bookmarkEnd w:id="16"/>
      <w:bookmarkEnd w:id="17"/>
      <w:bookmarkEnd w:id="18"/>
      <w:bookmarkEnd w:id="19"/>
      <w:bookmarkEnd w:id="20"/>
      <w:bookmarkEnd w:id="21"/>
      <w:bookmarkEnd w:id="22"/>
      <w:bookmarkEnd w:id="23"/>
    </w:p>
    <w:p w14:paraId="7CCAEF81">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4" w:name="_Toc54615239"/>
      <w:bookmarkStart w:id="25" w:name="_Toc120614214"/>
      <w:bookmarkStart w:id="26" w:name="_Toc20823275"/>
      <w:bookmarkStart w:id="27" w:name="_Toc35266020"/>
      <w:bookmarkStart w:id="28" w:name="_Toc38368120"/>
      <w:bookmarkStart w:id="29" w:name="_Toc513029203"/>
      <w:bookmarkStart w:id="30" w:name="_Toc16938519"/>
      <w:bookmarkStart w:id="31" w:name="_Toc3250"/>
      <w:bookmarkStart w:id="32" w:name="_Toc513029242"/>
      <w:bookmarkStart w:id="33" w:name="_Toc120614221"/>
      <w:bookmarkStart w:id="34" w:name="_Toc20823314"/>
      <w:bookmarkStart w:id="35" w:name="_Toc16938558"/>
      <w:bookmarkStart w:id="36" w:name="_Toc479757207"/>
      <w:r>
        <w:rPr>
          <w:rFonts w:hint="eastAsia" w:ascii="宋体" w:hAnsi="宋体" w:eastAsia="宋体" w:cs="宋体"/>
          <w:b/>
          <w:bCs/>
          <w:color w:val="000000" w:themeColor="text1"/>
          <w:sz w:val="28"/>
          <w:szCs w:val="28"/>
          <w:highlight w:val="none"/>
          <w14:textFill>
            <w14:solidFill>
              <w14:schemeClr w14:val="tx1"/>
            </w14:solidFill>
          </w14:textFill>
        </w:rPr>
        <w:t>一、总则</w:t>
      </w:r>
      <w:bookmarkEnd w:id="24"/>
      <w:bookmarkEnd w:id="25"/>
      <w:bookmarkEnd w:id="26"/>
      <w:bookmarkEnd w:id="27"/>
      <w:bookmarkEnd w:id="28"/>
      <w:bookmarkEnd w:id="29"/>
      <w:bookmarkEnd w:id="30"/>
      <w:bookmarkEnd w:id="31"/>
    </w:p>
    <w:p w14:paraId="549C05FA">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37" w:name="_Hlt16619475"/>
      <w:bookmarkEnd w:id="37"/>
      <w:bookmarkStart w:id="38" w:name="_Toc458694821"/>
      <w:bookmarkStart w:id="39" w:name="_Toc513029204"/>
      <w:bookmarkStart w:id="40" w:name="_Toc20823276"/>
      <w:bookmarkStart w:id="41" w:name="_Toc16938520"/>
      <w:r>
        <w:rPr>
          <w:rFonts w:hint="eastAsia" w:ascii="宋体" w:hAnsi="宋体" w:eastAsia="宋体" w:cs="宋体"/>
          <w:b w:val="0"/>
          <w:bCs w:val="0"/>
          <w:color w:val="000000" w:themeColor="text1"/>
          <w:sz w:val="24"/>
          <w:szCs w:val="24"/>
          <w:highlight w:val="none"/>
          <w14:textFill>
            <w14:solidFill>
              <w14:schemeClr w14:val="tx1"/>
            </w14:solidFill>
          </w14:textFill>
        </w:rPr>
        <w:t>1</w:t>
      </w:r>
      <w:bookmarkEnd w:id="38"/>
      <w:r>
        <w:rPr>
          <w:rFonts w:hint="eastAsia" w:ascii="宋体" w:hAnsi="宋体" w:eastAsia="宋体" w:cs="宋体"/>
          <w:b w:val="0"/>
          <w:bCs w:val="0"/>
          <w:color w:val="000000" w:themeColor="text1"/>
          <w:sz w:val="24"/>
          <w:szCs w:val="24"/>
          <w:highlight w:val="none"/>
          <w14:textFill>
            <w14:solidFill>
              <w14:schemeClr w14:val="tx1"/>
            </w14:solidFill>
          </w14:textFill>
        </w:rPr>
        <w:t>．招标方式</w:t>
      </w:r>
      <w:bookmarkEnd w:id="39"/>
      <w:bookmarkEnd w:id="40"/>
      <w:bookmarkEnd w:id="41"/>
    </w:p>
    <w:p w14:paraId="1740C550">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本次招标采取公开招标方式，本招标文件仅适用于招标公告中所述项目。</w:t>
      </w:r>
    </w:p>
    <w:p w14:paraId="21F416C4">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2" w:name="_Toc20823277"/>
      <w:bookmarkStart w:id="43" w:name="_Toc513029205"/>
      <w:bookmarkStart w:id="44" w:name="_Toc16938521"/>
      <w:r>
        <w:rPr>
          <w:rFonts w:hint="eastAsia" w:ascii="宋体" w:hAnsi="宋体" w:eastAsia="宋体" w:cs="宋体"/>
          <w:b w:val="0"/>
          <w:bCs w:val="0"/>
          <w:color w:val="000000" w:themeColor="text1"/>
          <w:sz w:val="24"/>
          <w:szCs w:val="24"/>
          <w:highlight w:val="none"/>
          <w14:textFill>
            <w14:solidFill>
              <w14:schemeClr w14:val="tx1"/>
            </w14:solidFill>
          </w14:textFill>
        </w:rPr>
        <w:t>2．合格的投标人</w:t>
      </w:r>
      <w:bookmarkEnd w:id="42"/>
      <w:bookmarkEnd w:id="43"/>
      <w:bookmarkEnd w:id="44"/>
    </w:p>
    <w:p w14:paraId="5708DD1E">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满足招标公告中投标人的资格要求的规定。</w:t>
      </w:r>
    </w:p>
    <w:p w14:paraId="01BE8083">
      <w:pPr>
        <w:keepNext w:val="0"/>
        <w:keepLines w:val="0"/>
        <w:pageBreakBefore w:val="0"/>
        <w:spacing w:line="52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满足本文件实质性要求的规定</w:t>
      </w:r>
      <w:r>
        <w:rPr>
          <w:rFonts w:hint="eastAsia" w:ascii="宋体" w:hAnsi="宋体" w:cs="宋体"/>
          <w:b/>
          <w:bCs/>
          <w:color w:val="000000" w:themeColor="text1"/>
          <w:sz w:val="24"/>
          <w:szCs w:val="24"/>
          <w:highlight w:val="none"/>
          <w14:textFill>
            <w14:solidFill>
              <w14:schemeClr w14:val="tx1"/>
            </w14:solidFill>
          </w14:textFill>
        </w:rPr>
        <w:t>（本招标文件中斜体且有下划线部分为实质性要求）。</w:t>
      </w:r>
    </w:p>
    <w:p w14:paraId="70F9FF25">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5" w:name="_Toc513029206"/>
      <w:bookmarkStart w:id="46" w:name="_Toc20823278"/>
      <w:bookmarkStart w:id="47" w:name="_Toc16938522"/>
      <w:r>
        <w:rPr>
          <w:rFonts w:hint="eastAsia" w:ascii="宋体" w:hAnsi="宋体" w:eastAsia="宋体" w:cs="宋体"/>
          <w:b w:val="0"/>
          <w:bCs w:val="0"/>
          <w:color w:val="000000" w:themeColor="text1"/>
          <w:sz w:val="24"/>
          <w:szCs w:val="24"/>
          <w:highlight w:val="none"/>
          <w14:textFill>
            <w14:solidFill>
              <w14:schemeClr w14:val="tx1"/>
            </w14:solidFill>
          </w14:textFill>
        </w:rPr>
        <w:t>3．适用法律</w:t>
      </w:r>
      <w:bookmarkEnd w:id="45"/>
      <w:bookmarkEnd w:id="46"/>
      <w:bookmarkEnd w:id="47"/>
    </w:p>
    <w:p w14:paraId="5A5CC2F8">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本次招标及由此产生的合同受中华人民共和国有关的法律法规制约和保护。</w:t>
      </w:r>
    </w:p>
    <w:p w14:paraId="403DC63C">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8" w:name="_Toc513029207"/>
      <w:bookmarkStart w:id="49" w:name="_Toc16938523"/>
      <w:bookmarkStart w:id="50" w:name="_Toc20823279"/>
      <w:bookmarkStart w:id="51" w:name="_Toc462564067"/>
      <w:r>
        <w:rPr>
          <w:rFonts w:hint="eastAsia" w:ascii="宋体" w:hAnsi="宋体" w:eastAsia="宋体" w:cs="宋体"/>
          <w:b w:val="0"/>
          <w:bCs w:val="0"/>
          <w:color w:val="000000" w:themeColor="text1"/>
          <w:sz w:val="24"/>
          <w:szCs w:val="24"/>
          <w:highlight w:val="none"/>
          <w14:textFill>
            <w14:solidFill>
              <w14:schemeClr w14:val="tx1"/>
            </w14:solidFill>
          </w14:textFill>
        </w:rPr>
        <w:t>4．投标费用</w:t>
      </w:r>
      <w:bookmarkEnd w:id="48"/>
      <w:bookmarkEnd w:id="49"/>
      <w:bookmarkEnd w:id="50"/>
      <w:bookmarkEnd w:id="51"/>
    </w:p>
    <w:p w14:paraId="7E339105">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4.1</w:t>
      </w:r>
      <w:r>
        <w:rPr>
          <w:rFonts w:hint="eastAsia" w:ascii="宋体" w:hAnsi="宋体" w:cs="宋体"/>
          <w:color w:val="000000" w:themeColor="text1"/>
          <w:sz w:val="24"/>
          <w:szCs w:val="24"/>
          <w:highlight w:val="none"/>
          <w14:textFill>
            <w14:solidFill>
              <w14:schemeClr w14:val="tx1"/>
            </w14:solidFill>
          </w14:textFill>
        </w:rPr>
        <w:t xml:space="preserve"> 投标人应自行承担所有与参加投标有关的费用，无论投标过程中的做法和结果如何，</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在任何情况下均无义务和责任承担这些费用。</w:t>
      </w:r>
    </w:p>
    <w:p w14:paraId="05496132">
      <w:pPr>
        <w:pStyle w:val="17"/>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4.2 本次招标采购代理机构收取代理服务费。</w:t>
      </w:r>
    </w:p>
    <w:p w14:paraId="712DB4BE">
      <w:pPr>
        <w:pStyle w:val="17"/>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4.2.1 本项目采购代理服务费由中标（成交）供应商支付。</w:t>
      </w:r>
    </w:p>
    <w:p w14:paraId="10415649">
      <w:pPr>
        <w:pStyle w:val="17"/>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4.2.2 代理费用收取方式：公对公转账。</w:t>
      </w:r>
    </w:p>
    <w:p w14:paraId="3F7D09BA">
      <w:pPr>
        <w:pStyle w:val="17"/>
        <w:keepNext w:val="0"/>
        <w:keepLines w:val="0"/>
        <w:pageBreakBefore w:val="0"/>
        <w:spacing w:line="520" w:lineRule="exact"/>
        <w:ind w:firstLine="480"/>
        <w:rPr>
          <w:rStyle w:val="18"/>
          <w:rFonts w:hint="eastAsia" w:ascii="宋体" w:hAnsi="宋体" w:eastAsia="宋体" w:cs="宋体"/>
          <w:color w:val="000000" w:themeColor="text1"/>
          <w:sz w:val="24"/>
          <w:szCs w:val="24"/>
          <w:highlight w:val="none"/>
          <w:lang w:eastAsia="zh-CN"/>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4.2.3 收费金额：预算金额的1.5%</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的</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七折计取</w:t>
      </w:r>
      <w:r>
        <w:rPr>
          <w:rStyle w:val="18"/>
          <w:rFonts w:hint="eastAsia" w:ascii="宋体" w:hAnsi="宋体" w:eastAsia="宋体" w:cs="宋体"/>
          <w:color w:val="000000" w:themeColor="text1"/>
          <w:sz w:val="24"/>
          <w:szCs w:val="24"/>
          <w:highlight w:val="none"/>
          <w14:textFill>
            <w14:solidFill>
              <w14:schemeClr w14:val="tx1"/>
            </w14:solidFill>
          </w14:textFill>
        </w:rPr>
        <w:t>,也</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即</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12285</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元</w:t>
      </w:r>
      <w:bookmarkStart w:id="52" w:name="EB4bef91ec166246f78c716ddc8194a87a"/>
      <w:bookmarkEnd w:id="52"/>
      <w:r>
        <w:rPr>
          <w:rStyle w:val="18"/>
          <w:rFonts w:hint="eastAsia" w:ascii="宋体" w:hAnsi="宋体" w:eastAsia="宋体" w:cs="宋体"/>
          <w:color w:val="000000" w:themeColor="text1"/>
          <w:sz w:val="24"/>
          <w:szCs w:val="24"/>
          <w:highlight w:val="none"/>
          <w:lang w:eastAsia="zh-CN"/>
          <w14:textFill>
            <w14:solidFill>
              <w14:schemeClr w14:val="tx1"/>
            </w14:solidFill>
          </w14:textFill>
        </w:rPr>
        <w:t>（</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一标段</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w:t>
      </w:r>
    </w:p>
    <w:p w14:paraId="465BFECC">
      <w:pPr>
        <w:pStyle w:val="17"/>
        <w:keepNext w:val="0"/>
        <w:keepLines w:val="0"/>
        <w:pageBreakBefore w:val="0"/>
        <w:spacing w:line="520" w:lineRule="exact"/>
        <w:ind w:firstLine="2462"/>
        <w:rPr>
          <w:rStyle w:val="18"/>
          <w:rFonts w:hint="eastAsia" w:ascii="宋体" w:hAnsi="宋体" w:eastAsia="宋体" w:cs="宋体"/>
          <w:color w:val="000000" w:themeColor="text1"/>
          <w:sz w:val="24"/>
          <w:szCs w:val="24"/>
          <w:highlight w:val="none"/>
          <w:lang w:eastAsia="zh-CN"/>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预算金额的1.5%</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的</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七折计取</w:t>
      </w:r>
      <w:r>
        <w:rPr>
          <w:rStyle w:val="18"/>
          <w:rFonts w:hint="eastAsia" w:ascii="宋体" w:hAnsi="宋体" w:eastAsia="宋体" w:cs="宋体"/>
          <w:color w:val="000000" w:themeColor="text1"/>
          <w:sz w:val="24"/>
          <w:szCs w:val="24"/>
          <w:highlight w:val="none"/>
          <w14:textFill>
            <w14:solidFill>
              <w14:schemeClr w14:val="tx1"/>
            </w14:solidFill>
          </w14:textFill>
        </w:rPr>
        <w:t>,也</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即</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13650</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元（</w:t>
      </w:r>
      <w:r>
        <w:rPr>
          <w:rStyle w:val="18"/>
          <w:rFonts w:hint="eastAsia" w:ascii="宋体" w:hAnsi="宋体" w:eastAsia="宋体" w:cs="宋体"/>
          <w:color w:val="000000" w:themeColor="text1"/>
          <w:sz w:val="24"/>
          <w:szCs w:val="24"/>
          <w:highlight w:val="none"/>
          <w:lang w:val="en-US" w:eastAsia="zh-CN"/>
          <w14:textFill>
            <w14:solidFill>
              <w14:schemeClr w14:val="tx1"/>
            </w14:solidFill>
          </w14:textFill>
        </w:rPr>
        <w:t>二标段</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w:t>
      </w:r>
    </w:p>
    <w:p w14:paraId="4FFA375F">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5．招标文件的约束力</w:t>
      </w:r>
    </w:p>
    <w:p w14:paraId="59551045">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 xml:space="preserve"> 投标人一旦在苏采云政府采购一体化平台下载本招标文件决定参加投标，即被认为接受了本招标文件的规定和约束，并且视为已经知道或应当知道自身权益是否受到了损害。</w:t>
      </w:r>
    </w:p>
    <w:p w14:paraId="0E156A0C">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53" w:name="_Toc38368121"/>
      <w:bookmarkStart w:id="54" w:name="_Toc16938525"/>
      <w:bookmarkStart w:id="55" w:name="_Toc54615240"/>
      <w:bookmarkStart w:id="56" w:name="_Toc2910"/>
      <w:bookmarkStart w:id="57" w:name="_Toc35266021"/>
      <w:bookmarkStart w:id="58" w:name="_Toc513029209"/>
      <w:bookmarkStart w:id="59" w:name="_Toc120614215"/>
      <w:bookmarkStart w:id="60" w:name="_Toc20823281"/>
      <w:r>
        <w:rPr>
          <w:rFonts w:hint="eastAsia" w:ascii="宋体" w:hAnsi="宋体" w:eastAsia="宋体" w:cs="宋体"/>
          <w:b/>
          <w:bCs/>
          <w:color w:val="000000" w:themeColor="text1"/>
          <w:sz w:val="28"/>
          <w:szCs w:val="28"/>
          <w:highlight w:val="none"/>
          <w14:textFill>
            <w14:solidFill>
              <w14:schemeClr w14:val="tx1"/>
            </w14:solidFill>
          </w14:textFill>
        </w:rPr>
        <w:t>二、招标文件</w:t>
      </w:r>
      <w:bookmarkEnd w:id="53"/>
      <w:bookmarkEnd w:id="54"/>
      <w:bookmarkEnd w:id="55"/>
      <w:bookmarkEnd w:id="56"/>
      <w:bookmarkEnd w:id="57"/>
      <w:bookmarkEnd w:id="58"/>
      <w:bookmarkEnd w:id="59"/>
      <w:bookmarkEnd w:id="60"/>
    </w:p>
    <w:p w14:paraId="7927A9D9">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61" w:name="_Toc513029210"/>
      <w:bookmarkStart w:id="62" w:name="_Toc20823282"/>
      <w:bookmarkStart w:id="63" w:name="_Toc16938526"/>
      <w:r>
        <w:rPr>
          <w:rFonts w:hint="eastAsia" w:ascii="宋体" w:hAnsi="宋体" w:eastAsia="宋体" w:cs="宋体"/>
          <w:b w:val="0"/>
          <w:bCs w:val="0"/>
          <w:color w:val="000000" w:themeColor="text1"/>
          <w:sz w:val="24"/>
          <w:szCs w:val="24"/>
          <w:highlight w:val="none"/>
          <w14:textFill>
            <w14:solidFill>
              <w14:schemeClr w14:val="tx1"/>
            </w14:solidFill>
          </w14:textFill>
        </w:rPr>
        <w:t>6．招标文件构成</w:t>
      </w:r>
      <w:bookmarkEnd w:id="61"/>
      <w:bookmarkEnd w:id="62"/>
      <w:bookmarkEnd w:id="63"/>
    </w:p>
    <w:p w14:paraId="5D378A9F">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w:t>
      </w:r>
      <w:r>
        <w:rPr>
          <w:rFonts w:hint="eastAsia" w:ascii="宋体" w:hAnsi="宋体" w:cs="宋体"/>
          <w:color w:val="000000" w:themeColor="text1"/>
          <w:sz w:val="24"/>
          <w:szCs w:val="24"/>
          <w:highlight w:val="none"/>
          <w14:textFill>
            <w14:solidFill>
              <w14:schemeClr w14:val="tx1"/>
            </w14:solidFill>
          </w14:textFill>
        </w:rPr>
        <w:t xml:space="preserve"> 招标文件有以下部分组成：</w:t>
      </w:r>
    </w:p>
    <w:p w14:paraId="20C7851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（1）投标邀请</w:t>
      </w:r>
    </w:p>
    <w:p w14:paraId="0B71E7EB">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（2）投标人须知</w:t>
      </w:r>
    </w:p>
    <w:p w14:paraId="4F3DF405">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（3）合同条款及格式</w:t>
      </w:r>
    </w:p>
    <w:p w14:paraId="1BF17BAE">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（4）项目需求</w:t>
      </w:r>
    </w:p>
    <w:p w14:paraId="59F24716">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（5）评标方法与评标标准</w:t>
      </w:r>
    </w:p>
    <w:p w14:paraId="276778B6">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（6）投标文件格式</w:t>
      </w:r>
    </w:p>
    <w:p w14:paraId="16B71858">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请仔细检查招标文件是否齐全，如有缺漏请立即与</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联系解决。</w:t>
      </w:r>
    </w:p>
    <w:p w14:paraId="6919BC6E">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w:t>
      </w:r>
      <w:r>
        <w:rPr>
          <w:rFonts w:hint="eastAsia" w:ascii="宋体" w:hAnsi="宋体" w:cs="宋体"/>
          <w:color w:val="000000" w:themeColor="text1"/>
          <w:sz w:val="24"/>
          <w:szCs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980727C">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64" w:name="_Toc20823284"/>
      <w:bookmarkStart w:id="65" w:name="_Toc462564071"/>
      <w:bookmarkStart w:id="66" w:name="_Toc513029212"/>
      <w:bookmarkStart w:id="67" w:name="_Toc16938528"/>
      <w:r>
        <w:rPr>
          <w:rFonts w:hint="eastAsia" w:ascii="宋体" w:hAnsi="宋体" w:eastAsia="宋体" w:cs="宋体"/>
          <w:b w:val="0"/>
          <w:bCs w:val="0"/>
          <w:color w:val="000000" w:themeColor="text1"/>
          <w:sz w:val="24"/>
          <w:szCs w:val="24"/>
          <w:highlight w:val="none"/>
          <w14:textFill>
            <w14:solidFill>
              <w14:schemeClr w14:val="tx1"/>
            </w14:solidFill>
          </w14:textFill>
        </w:rPr>
        <w:t>7．招标文件的澄清或修改</w:t>
      </w:r>
      <w:bookmarkEnd w:id="64"/>
      <w:bookmarkEnd w:id="65"/>
      <w:bookmarkEnd w:id="66"/>
      <w:bookmarkEnd w:id="67"/>
    </w:p>
    <w:p w14:paraId="2C04B18B">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7.1</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在投标截止时间前。</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可以对招标文件进行澄清或修改。</w:t>
      </w:r>
    </w:p>
    <w:p w14:paraId="3D86E805">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7.2</w:t>
      </w:r>
      <w:bookmarkStart w:id="68" w:name="EB14f04c7329d342c2b5d53bfcbbeaa167"/>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bookmarkEnd w:id="68"/>
      <w:r>
        <w:rPr>
          <w:rFonts w:hint="eastAsia" w:ascii="宋体" w:hAnsi="宋体" w:cs="宋体"/>
          <w:bCs/>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有权按照法定的要求推迟投标截止日期和开标日期。</w:t>
      </w:r>
    </w:p>
    <w:p w14:paraId="2F178761">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7.3</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招标文件的实质性变动或修改将在政府采购公告媒体网通知，投标人可自行下载。补充文件将作为招标文件的组成部分，并对投标人具有约束力。</w:t>
      </w:r>
    </w:p>
    <w:p w14:paraId="07E37FF1">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69" w:name="_Toc16938529"/>
      <w:bookmarkStart w:id="70" w:name="_Toc38368122"/>
      <w:bookmarkStart w:id="71" w:name="_Toc20823285"/>
      <w:bookmarkStart w:id="72" w:name="_Toc462564072"/>
      <w:bookmarkStart w:id="73" w:name="_Toc120614216"/>
      <w:bookmarkStart w:id="74" w:name="_Toc54615241"/>
      <w:bookmarkStart w:id="75" w:name="_Toc513029213"/>
      <w:bookmarkStart w:id="76" w:name="_Toc23101"/>
      <w:bookmarkStart w:id="77" w:name="_Toc35266022"/>
      <w:r>
        <w:rPr>
          <w:rFonts w:hint="eastAsia" w:ascii="宋体" w:hAnsi="宋体" w:eastAsia="宋体" w:cs="宋体"/>
          <w:b/>
          <w:bCs/>
          <w:color w:val="000000" w:themeColor="text1"/>
          <w:sz w:val="28"/>
          <w:szCs w:val="28"/>
          <w:highlight w:val="none"/>
          <w14:textFill>
            <w14:solidFill>
              <w14:schemeClr w14:val="tx1"/>
            </w14:solidFill>
          </w14:textFill>
        </w:rPr>
        <w:t>三、投标文件的编制</w:t>
      </w:r>
      <w:bookmarkEnd w:id="69"/>
      <w:bookmarkEnd w:id="70"/>
      <w:bookmarkEnd w:id="71"/>
      <w:bookmarkEnd w:id="72"/>
      <w:bookmarkEnd w:id="73"/>
      <w:bookmarkEnd w:id="74"/>
      <w:bookmarkEnd w:id="75"/>
      <w:bookmarkEnd w:id="76"/>
      <w:bookmarkEnd w:id="77"/>
    </w:p>
    <w:p w14:paraId="149D81E6">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78" w:name="_Toc16938530"/>
      <w:bookmarkStart w:id="79" w:name="_Toc513029214"/>
      <w:bookmarkStart w:id="80" w:name="_Toc462564073"/>
      <w:bookmarkStart w:id="81" w:name="_Toc20823286"/>
      <w:r>
        <w:rPr>
          <w:rFonts w:hint="eastAsia" w:ascii="宋体" w:hAnsi="宋体" w:eastAsia="宋体" w:cs="宋体"/>
          <w:b w:val="0"/>
          <w:bCs w:val="0"/>
          <w:color w:val="000000" w:themeColor="text1"/>
          <w:sz w:val="24"/>
          <w:szCs w:val="24"/>
          <w:highlight w:val="none"/>
          <w14:textFill>
            <w14:solidFill>
              <w14:schemeClr w14:val="tx1"/>
            </w14:solidFill>
          </w14:textFill>
        </w:rPr>
        <w:t>8．投标文件的语言及度量衡单位</w:t>
      </w:r>
      <w:bookmarkEnd w:id="78"/>
      <w:bookmarkEnd w:id="79"/>
      <w:bookmarkEnd w:id="80"/>
      <w:bookmarkEnd w:id="81"/>
    </w:p>
    <w:p w14:paraId="12E27E23">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8.1</w:t>
      </w:r>
      <w:r>
        <w:rPr>
          <w:rFonts w:hint="eastAsia" w:ascii="宋体" w:hAnsi="宋体" w:cs="宋体"/>
          <w:color w:val="000000" w:themeColor="text1"/>
          <w:sz w:val="24"/>
          <w:szCs w:val="24"/>
          <w:highlight w:val="none"/>
          <w14:textFill>
            <w14:solidFill>
              <w14:schemeClr w14:val="tx1"/>
            </w14:solidFill>
          </w14:textFill>
        </w:rPr>
        <w:t xml:space="preserve"> 投标人提交的投标文件以及投标人与</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就有关投标的所有来往通知、函件和文件均应使用</w:t>
      </w:r>
      <w:r>
        <w:rPr>
          <w:rFonts w:hint="eastAsia" w:ascii="宋体" w:hAnsi="宋体" w:cs="宋体"/>
          <w:b/>
          <w:bCs/>
          <w:color w:val="000000" w:themeColor="text1"/>
          <w:sz w:val="24"/>
          <w:szCs w:val="24"/>
          <w:highlight w:val="none"/>
          <w14:textFill>
            <w14:solidFill>
              <w14:schemeClr w14:val="tx1"/>
            </w14:solidFill>
          </w14:textFill>
        </w:rPr>
        <w:t>简体中文</w:t>
      </w:r>
      <w:r>
        <w:rPr>
          <w:rFonts w:hint="eastAsia" w:ascii="宋体" w:hAnsi="宋体" w:cs="宋体"/>
          <w:color w:val="000000" w:themeColor="text1"/>
          <w:sz w:val="24"/>
          <w:szCs w:val="24"/>
          <w:highlight w:val="none"/>
          <w14:textFill>
            <w14:solidFill>
              <w14:schemeClr w14:val="tx1"/>
            </w14:solidFill>
          </w14:textFill>
        </w:rPr>
        <w:t>。</w:t>
      </w:r>
    </w:p>
    <w:p w14:paraId="4BAC8A66">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8.2</w:t>
      </w:r>
      <w:r>
        <w:rPr>
          <w:rFonts w:hint="eastAsia" w:ascii="宋体" w:hAnsi="宋体" w:cs="宋体"/>
          <w:color w:val="000000" w:themeColor="text1"/>
          <w:sz w:val="24"/>
          <w:szCs w:val="24"/>
          <w:highlight w:val="none"/>
          <w14:textFill>
            <w14:solidFill>
              <w14:schemeClr w14:val="tx1"/>
            </w14:solidFill>
          </w14:textFill>
        </w:rPr>
        <w:t xml:space="preserve"> 除技术性能另有规定外，投标文件所使用的度量衡单位，均须采用国家法定计量单位。</w:t>
      </w:r>
    </w:p>
    <w:p w14:paraId="1C122624">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82" w:name="_Toc513029215"/>
      <w:bookmarkStart w:id="83" w:name="_Toc462564074"/>
      <w:bookmarkStart w:id="84" w:name="_Toc20823287"/>
      <w:bookmarkStart w:id="85" w:name="_Toc16938531"/>
      <w:r>
        <w:rPr>
          <w:rFonts w:hint="eastAsia" w:ascii="宋体" w:hAnsi="宋体" w:eastAsia="宋体" w:cs="宋体"/>
          <w:b w:val="0"/>
          <w:bCs w:val="0"/>
          <w:color w:val="000000" w:themeColor="text1"/>
          <w:sz w:val="24"/>
          <w:szCs w:val="24"/>
          <w:highlight w:val="none"/>
          <w14:textFill>
            <w14:solidFill>
              <w14:schemeClr w14:val="tx1"/>
            </w14:solidFill>
          </w14:textFill>
        </w:rPr>
        <w:t>9．投标文件构成</w:t>
      </w:r>
      <w:bookmarkEnd w:id="82"/>
      <w:bookmarkEnd w:id="83"/>
      <w:bookmarkEnd w:id="84"/>
      <w:bookmarkEnd w:id="85"/>
    </w:p>
    <w:p w14:paraId="0768A79C">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9.1</w:t>
      </w:r>
      <w:r>
        <w:rPr>
          <w:rFonts w:hint="eastAsia" w:ascii="宋体" w:hAnsi="宋体" w:cs="宋体"/>
          <w:color w:val="000000" w:themeColor="text1"/>
          <w:sz w:val="24"/>
          <w:szCs w:val="24"/>
          <w:highlight w:val="none"/>
          <w14:textFill>
            <w14:solidFill>
              <w14:schemeClr w14:val="tx1"/>
            </w14:solidFill>
          </w14:textFill>
        </w:rPr>
        <w:t xml:space="preserve"> 投标人编写的投标文件应包括投标函、开标一览表、资格证明文件、技术人员介绍、第四章项目需求中实质性要求响应对照表、技术及服务方案、技术要求响应及偏离表、商务</w:t>
      </w:r>
      <w:r>
        <w:rPr>
          <w:rStyle w:val="18"/>
          <w:rFonts w:hint="eastAsia" w:ascii="宋体" w:hAnsi="宋体" w:cs="宋体"/>
          <w:color w:val="000000" w:themeColor="text1"/>
          <w:sz w:val="24"/>
          <w:szCs w:val="24"/>
          <w:highlight w:val="none"/>
          <w14:textFill>
            <w14:solidFill>
              <w14:schemeClr w14:val="tx1"/>
            </w14:solidFill>
          </w14:textFill>
        </w:rPr>
        <w:t>条款</w:t>
      </w:r>
      <w:r>
        <w:rPr>
          <w:rFonts w:hint="eastAsia" w:ascii="宋体" w:hAnsi="宋体" w:cs="宋体"/>
          <w:color w:val="000000" w:themeColor="text1"/>
          <w:sz w:val="24"/>
          <w:szCs w:val="24"/>
          <w:highlight w:val="none"/>
          <w14:textFill>
            <w14:solidFill>
              <w14:schemeClr w14:val="tx1"/>
            </w14:solidFill>
          </w14:textFill>
        </w:rPr>
        <w:t>响应及偏离表投标人情况介绍等部分。</w:t>
      </w:r>
    </w:p>
    <w:p w14:paraId="33DC839C">
      <w:pPr>
        <w:keepNext w:val="0"/>
        <w:keepLines w:val="0"/>
        <w:pageBreakBefore w:val="0"/>
        <w:spacing w:line="52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w:t>
      </w:r>
      <w:r>
        <w:rPr>
          <w:rFonts w:hint="eastAsia" w:ascii="宋体" w:hAnsi="宋体" w:cs="宋体"/>
          <w:b/>
          <w:bCs/>
          <w:color w:val="000000" w:themeColor="text1"/>
          <w:sz w:val="24"/>
          <w:szCs w:val="24"/>
          <w:highlight w:val="none"/>
          <w14:textFill>
            <w14:solidFill>
              <w14:schemeClr w14:val="tx1"/>
            </w14:solidFill>
          </w14:textFill>
        </w:rPr>
        <w:t xml:space="preserve"> 特别提醒：投标人必须在投标文件接收截止时间之前在系统中提交所有与开评标相关的资料。开评标现场不接收任何资料。</w:t>
      </w:r>
    </w:p>
    <w:p w14:paraId="23B211D0">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86" w:name="_Hlt26954838"/>
      <w:bookmarkEnd w:id="86"/>
      <w:bookmarkStart w:id="87" w:name="_Hlt26668975"/>
      <w:bookmarkEnd w:id="87"/>
      <w:bookmarkStart w:id="88" w:name="_Hlt26670360"/>
      <w:bookmarkEnd w:id="88"/>
      <w:bookmarkStart w:id="89" w:name="_Toc14577357"/>
      <w:bookmarkStart w:id="90" w:name="_Toc513029219"/>
      <w:bookmarkStart w:id="91" w:name="_Toc49090509"/>
      <w:bookmarkStart w:id="92" w:name="_Toc49090507"/>
      <w:bookmarkStart w:id="93" w:name="_Toc513029216"/>
      <w:bookmarkStart w:id="94" w:name="_Toc14577354"/>
      <w:r>
        <w:rPr>
          <w:rFonts w:hint="eastAsia" w:ascii="宋体" w:hAnsi="宋体" w:eastAsia="宋体" w:cs="宋体"/>
          <w:b w:val="0"/>
          <w:bCs w:val="0"/>
          <w:color w:val="000000" w:themeColor="text1"/>
          <w:sz w:val="24"/>
          <w:szCs w:val="24"/>
          <w:highlight w:val="none"/>
          <w14:textFill>
            <w14:solidFill>
              <w14:schemeClr w14:val="tx1"/>
            </w14:solidFill>
          </w14:textFill>
        </w:rPr>
        <w:t>10．投标函和开标一览表</w:t>
      </w:r>
    </w:p>
    <w:p w14:paraId="54DFEB09">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10.1</w:t>
      </w:r>
      <w:r>
        <w:rPr>
          <w:rFonts w:hint="eastAsia" w:ascii="宋体" w:hAnsi="宋体" w:cs="宋体"/>
          <w:color w:val="000000" w:themeColor="text1"/>
          <w:sz w:val="24"/>
          <w:szCs w:val="24"/>
          <w:highlight w:val="none"/>
          <w14:textFill>
            <w14:solidFill>
              <w14:schemeClr w14:val="tx1"/>
            </w14:solidFill>
          </w14:textFill>
        </w:rPr>
        <w:t xml:space="preserve"> 投标人应按照招标文件中提供的格式完整、正确填写投标函、开标一览表。</w:t>
      </w:r>
    </w:p>
    <w:p w14:paraId="1DFBD9DD">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10.2</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开标一览表中的价格应与投标文件中投标配置与分项报价表（或经费测算表）中的价格一致，若出现价格不一致的情况，评标时一律按开标一览表中价格为准</w:t>
      </w:r>
      <w:r>
        <w:rPr>
          <w:rFonts w:hint="eastAsia" w:ascii="宋体" w:hAnsi="宋体" w:cs="宋体"/>
          <w:b/>
          <w:bCs/>
          <w:color w:val="000000" w:themeColor="text1"/>
          <w:sz w:val="24"/>
          <w:szCs w:val="24"/>
          <w:highlight w:val="none"/>
          <w14:textFill>
            <w14:solidFill>
              <w14:schemeClr w14:val="tx1"/>
            </w14:solidFill>
          </w14:textFill>
        </w:rPr>
        <w:t>。</w:t>
      </w:r>
    </w:p>
    <w:p w14:paraId="22A96E02">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11．投标人资格证明文件</w:t>
      </w:r>
      <w:bookmarkEnd w:id="89"/>
      <w:bookmarkEnd w:id="90"/>
      <w:bookmarkEnd w:id="91"/>
    </w:p>
    <w:p w14:paraId="2C53994C">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bookmarkStart w:id="95" w:name="_Hlt26668999"/>
      <w:bookmarkEnd w:id="95"/>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投标人应按招标文件的要求提交资格证明文件。</w:t>
      </w:r>
      <w:bookmarkEnd w:id="92"/>
      <w:bookmarkEnd w:id="93"/>
      <w:bookmarkEnd w:id="94"/>
    </w:p>
    <w:p w14:paraId="2A350641">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96" w:name="_Toc49090508"/>
      <w:bookmarkStart w:id="97" w:name="_Toc14577355"/>
      <w:r>
        <w:rPr>
          <w:rFonts w:hint="eastAsia" w:ascii="宋体" w:hAnsi="宋体" w:eastAsia="宋体" w:cs="宋体"/>
          <w:b w:val="0"/>
          <w:bCs w:val="0"/>
          <w:color w:val="000000" w:themeColor="text1"/>
          <w:sz w:val="24"/>
          <w:szCs w:val="24"/>
          <w:highlight w:val="none"/>
          <w14:textFill>
            <w14:solidFill>
              <w14:schemeClr w14:val="tx1"/>
            </w14:solidFill>
          </w14:textFill>
        </w:rPr>
        <w:t>12</w:t>
      </w:r>
      <w:bookmarkEnd w:id="96"/>
      <w:bookmarkEnd w:id="97"/>
      <w:r>
        <w:rPr>
          <w:rFonts w:hint="eastAsia" w:ascii="宋体" w:hAnsi="宋体" w:eastAsia="宋体" w:cs="宋体"/>
          <w:b w:val="0"/>
          <w:bCs w:val="0"/>
          <w:color w:val="000000" w:themeColor="text1"/>
          <w:sz w:val="24"/>
          <w:szCs w:val="24"/>
          <w:highlight w:val="none"/>
          <w14:textFill>
            <w14:solidFill>
              <w14:schemeClr w14:val="tx1"/>
            </w14:solidFill>
          </w14:textFill>
        </w:rPr>
        <w:t>．投标配置与分项报价表（或经费测算表）</w:t>
      </w:r>
    </w:p>
    <w:p w14:paraId="02B7B505">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12.1</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投标人应按照招标文件规定格式填报。每项货物和服务等只允许有一个报价。</w:t>
      </w:r>
    </w:p>
    <w:p w14:paraId="105C8470">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标的物</w:t>
      </w:r>
    </w:p>
    <w:p w14:paraId="3AA9102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采购人需求的有关服务等。</w:t>
      </w:r>
    </w:p>
    <w:p w14:paraId="1B0927FC">
      <w:pPr>
        <w:pStyle w:val="12"/>
        <w:keepNext w:val="0"/>
        <w:keepLines w:val="0"/>
        <w:pageBreakBefore w:val="0"/>
        <w:spacing w:line="520" w:lineRule="exact"/>
        <w:ind w:firstLine="480"/>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sz w:val="24"/>
          <w:szCs w:val="24"/>
          <w:highlight w:val="none"/>
          <w14:textFill>
            <w14:solidFill>
              <w14:schemeClr w14:val="tx1"/>
            </w14:solidFill>
          </w14:textFill>
        </w:rPr>
        <w:t>12.2.2</w:t>
      </w:r>
      <w:r>
        <w:rPr>
          <w:rFonts w:hint="eastAsia" w:asci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若采购需求中对采购标的的质量明确执行标准的，按采购需求明确的标准执行。若采购需求中对采购标的的质量没有明确执行标准的，但有国家标准、或行业标准、或地方标准、或企业标准的，则按排列在前的等级高的标准执行，但执行地方标准、企业标准的，地方标准、企业标准必须符合保障人体健康和人身、财产安全的要求。另外，若采购需求中确定的采购标的的质量要求高于国家标准、行业标准的，则以需求中确定的质量要求为准。</w:t>
      </w:r>
    </w:p>
    <w:p w14:paraId="6FB7E3E3">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投标货币</w:t>
      </w:r>
    </w:p>
    <w:p w14:paraId="6E3AE88A">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投标文件中的货物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14:textFill>
            <w14:solidFill>
              <w14:schemeClr w14:val="tx1"/>
            </w14:solidFill>
          </w14:textFill>
        </w:rPr>
        <w:t>服务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单价和总价无特殊规定的采用人民币报价，以元为</w:t>
      </w:r>
      <w:r>
        <w:rPr>
          <w:rFonts w:hint="eastAsia" w:ascii="宋体" w:hAnsi="宋体" w:cs="宋体"/>
          <w:bCs/>
          <w:color w:val="000000" w:themeColor="text1"/>
          <w:sz w:val="24"/>
          <w:szCs w:val="24"/>
          <w:highlight w:val="none"/>
          <w14:textFill>
            <w14:solidFill>
              <w14:schemeClr w14:val="tx1"/>
            </w14:solidFill>
          </w14:textFill>
        </w:rPr>
        <w:t>单位标注。招标文件中另有规定的按规定执行。</w:t>
      </w:r>
    </w:p>
    <w:p w14:paraId="5A2109C3">
      <w:pPr>
        <w:pStyle w:val="19"/>
        <w:keepNext w:val="0"/>
        <w:keepLines w:val="0"/>
        <w:pageBreakBefore w:val="0"/>
        <w:spacing w:line="520" w:lineRule="exact"/>
        <w:ind w:firstLine="508"/>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12.4 项目总价应包括但不限于人员费用（工资、福利、培训、社会保险等）、服务所用设备工具购置及维修费用、服务所用材料消耗费用、管理费用、利润、税金、政策性文件规定及合同包含的所有风险、责任等各项应有费用。</w:t>
      </w:r>
    </w:p>
    <w:p w14:paraId="389CF7D2">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bookmarkStart w:id="98" w:name="EB8486dd9157984dc9aa62437fb6aa6f0f"/>
      <w:bookmarkEnd w:id="98"/>
      <w:r>
        <w:rPr>
          <w:rFonts w:hint="eastAsia" w:ascii="宋体" w:hAnsi="宋体" w:cs="宋体"/>
          <w:bCs/>
          <w:color w:val="000000" w:themeColor="text1"/>
          <w:sz w:val="24"/>
          <w:szCs w:val="24"/>
          <w:highlight w:val="none"/>
          <w14:textFill>
            <w14:solidFill>
              <w14:schemeClr w14:val="tx1"/>
            </w14:solidFill>
          </w14:textFill>
        </w:rPr>
        <w:t>12.5 本报价必须充分考虑所有可能影响到报价的价格因素，一旦投标结束最终成交，如发生漏、缺、少项，都将被认为是中标人的报价让利行为。</w:t>
      </w:r>
      <w:bookmarkStart w:id="99" w:name="_Hlt26670482"/>
      <w:bookmarkEnd w:id="99"/>
      <w:bookmarkStart w:id="100" w:name="_Hlt26954846"/>
      <w:bookmarkEnd w:id="100"/>
      <w:bookmarkStart w:id="101" w:name="_Hlt26954731"/>
      <w:bookmarkEnd w:id="101"/>
      <w:bookmarkStart w:id="102" w:name="_Hlt26670486"/>
      <w:bookmarkEnd w:id="102"/>
      <w:bookmarkStart w:id="103" w:name="_Hlt26954848"/>
      <w:bookmarkEnd w:id="103"/>
    </w:p>
    <w:p w14:paraId="3E215AA9">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04" w:name="_Toc49090510"/>
      <w:bookmarkStart w:id="105" w:name="_Toc14577359"/>
      <w:r>
        <w:rPr>
          <w:rFonts w:hint="eastAsia" w:ascii="宋体" w:hAnsi="宋体" w:eastAsia="宋体" w:cs="宋体"/>
          <w:b w:val="0"/>
          <w:bCs w:val="0"/>
          <w:color w:val="000000" w:themeColor="text1"/>
          <w:sz w:val="24"/>
          <w:szCs w:val="24"/>
          <w:highlight w:val="none"/>
          <w14:textFill>
            <w14:solidFill>
              <w14:schemeClr w14:val="tx1"/>
            </w14:solidFill>
          </w14:textFill>
        </w:rPr>
        <w:t>13．技术及服务方案</w:t>
      </w:r>
    </w:p>
    <w:p w14:paraId="09FA9E9C">
      <w:pPr>
        <w:pStyle w:val="20"/>
        <w:keepNext w:val="0"/>
        <w:keepLines w:val="0"/>
        <w:pageBreakBefore w:val="0"/>
        <w:spacing w:line="52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13.1</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根据自己对需求的理解撰写需求分析和服务方案。</w:t>
      </w:r>
    </w:p>
    <w:p w14:paraId="11E53A1D">
      <w:pPr>
        <w:pStyle w:val="20"/>
        <w:keepNext w:val="0"/>
        <w:keepLines w:val="0"/>
        <w:pageBreakBefore w:val="0"/>
        <w:widowControl/>
        <w:spacing w:line="52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13.2</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根据自己对项目需求的分析，提出人员配备方案，并详细介绍拟参加本项目服务的人员的资历和持有相关证书情况，特别要详细介绍该项目负责人的学历、资质和所从事过类似案例管理情况。</w:t>
      </w:r>
    </w:p>
    <w:p w14:paraId="444F10E1">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14．技术要求响应及偏离表、商务条款响应及偏离表</w:t>
      </w:r>
    </w:p>
    <w:p w14:paraId="6FAB3094">
      <w:pPr>
        <w:pStyle w:val="21"/>
        <w:keepNext w:val="0"/>
        <w:keepLines w:val="0"/>
        <w:pageBreakBefore w:val="0"/>
        <w:widowControl/>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14.1 投标人需对招标文件中的技术要求与商务条款逐项作出响应或偏离，并说明原因。</w:t>
      </w:r>
    </w:p>
    <w:p w14:paraId="66D44E9C">
      <w:pPr>
        <w:pStyle w:val="21"/>
        <w:keepNext w:val="0"/>
        <w:keepLines w:val="0"/>
        <w:pageBreakBefore w:val="0"/>
        <w:widowControl/>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14.2 投标人可在电子投标文件中提供认为需要的其他技术文件或说明。</w:t>
      </w:r>
    </w:p>
    <w:p w14:paraId="3AA42D48">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15．投标人情况介绍</w:t>
      </w:r>
    </w:p>
    <w:p w14:paraId="60DB8C45">
      <w:pPr>
        <w:pStyle w:val="21"/>
        <w:keepNext w:val="0"/>
        <w:keepLines w:val="0"/>
        <w:pageBreakBefore w:val="0"/>
        <w:widowControl/>
        <w:spacing w:line="520" w:lineRule="exact"/>
        <w:ind w:firstLine="480"/>
        <w:rPr>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15.1 投标人的总体情况应在电子投标文件中作出说明。</w:t>
      </w:r>
      <w:bookmarkEnd w:id="104"/>
      <w:bookmarkEnd w:id="105"/>
      <w:bookmarkStart w:id="106" w:name="EBf6e5e332cb7245ab8f3a9801503c122b"/>
      <w:bookmarkEnd w:id="106"/>
    </w:p>
    <w:p w14:paraId="365F4240">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07" w:name="_Hlt26954850"/>
      <w:bookmarkEnd w:id="107"/>
      <w:bookmarkStart w:id="108" w:name="_Hlt26954734"/>
      <w:bookmarkEnd w:id="108"/>
      <w:bookmarkStart w:id="109" w:name="_Hlt26670489"/>
      <w:bookmarkEnd w:id="109"/>
      <w:bookmarkStart w:id="110" w:name="_Toc49090511"/>
      <w:bookmarkStart w:id="111" w:name="_Toc14577360"/>
      <w:r>
        <w:rPr>
          <w:rFonts w:hint="eastAsia" w:ascii="宋体" w:hAnsi="宋体" w:eastAsia="宋体" w:cs="宋体"/>
          <w:b w:val="0"/>
          <w:bCs w:val="0"/>
          <w:color w:val="000000" w:themeColor="text1"/>
          <w:sz w:val="24"/>
          <w:szCs w:val="24"/>
          <w:highlight w:val="none"/>
          <w14:textFill>
            <w14:solidFill>
              <w14:schemeClr w14:val="tx1"/>
            </w14:solidFill>
          </w14:textFill>
        </w:rPr>
        <w:t>16．投标保证金</w:t>
      </w:r>
    </w:p>
    <w:p w14:paraId="291E0394">
      <w:pPr>
        <w:pStyle w:val="20"/>
        <w:keepNext w:val="0"/>
        <w:keepLines w:val="0"/>
        <w:pageBreakBefore w:val="0"/>
        <w:widowControl/>
        <w:spacing w:line="52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15.1</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本次招标不收取投标保证金。</w:t>
      </w:r>
    </w:p>
    <w:p w14:paraId="65A5BE98">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17．投标有效期</w:t>
      </w:r>
      <w:bookmarkEnd w:id="110"/>
      <w:bookmarkEnd w:id="111"/>
    </w:p>
    <w:p w14:paraId="783EF2AE">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w:t>
      </w:r>
      <w:r>
        <w:rPr>
          <w:rFonts w:hint="eastAsia" w:ascii="宋体" w:hAnsi="宋体" w:cs="宋体"/>
          <w:bCs/>
          <w:color w:val="000000" w:themeColor="text1"/>
          <w:sz w:val="24"/>
          <w:szCs w:val="24"/>
          <w:highlight w:val="none"/>
          <w14:textFill>
            <w14:solidFill>
              <w14:schemeClr w14:val="tx1"/>
            </w14:solidFill>
          </w14:textFill>
        </w:rPr>
        <w:t xml:space="preserve"> 投标有效期为</w:t>
      </w:r>
      <w:r>
        <w:rPr>
          <w:rFonts w:hint="eastAsia" w:ascii="宋体" w:hAnsi="宋体" w:cs="宋体"/>
          <w:bCs/>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bCs/>
          <w:color w:val="000000" w:themeColor="text1"/>
          <w:sz w:val="24"/>
          <w:szCs w:val="24"/>
          <w:highlight w:val="none"/>
          <w14:textFill>
            <w14:solidFill>
              <w14:schemeClr w14:val="tx1"/>
            </w14:solidFill>
          </w14:textFill>
        </w:rPr>
        <w:t>规定的开标之日后</w:t>
      </w:r>
      <w:r>
        <w:rPr>
          <w:rFonts w:hint="eastAsia" w:ascii="宋体" w:hAnsi="宋体" w:cs="宋体"/>
          <w:b/>
          <w:bCs/>
          <w:color w:val="000000" w:themeColor="text1"/>
          <w:sz w:val="24"/>
          <w:szCs w:val="24"/>
          <w:highlight w:val="none"/>
          <w14:textFill>
            <w14:solidFill>
              <w14:schemeClr w14:val="tx1"/>
            </w14:solidFill>
          </w14:textFill>
        </w:rPr>
        <w:t>九十（90）天</w:t>
      </w:r>
      <w:r>
        <w:rPr>
          <w:rFonts w:hint="eastAsia" w:ascii="宋体" w:hAnsi="宋体" w:cs="宋体"/>
          <w:bCs/>
          <w:color w:val="000000" w:themeColor="text1"/>
          <w:sz w:val="24"/>
          <w:szCs w:val="24"/>
          <w:highlight w:val="none"/>
          <w14:textFill>
            <w14:solidFill>
              <w14:schemeClr w14:val="tx1"/>
            </w14:solidFill>
          </w14:textFill>
        </w:rPr>
        <w:t>。投标有效期比规定短的将被视为非响应性投标而予以拒绝。</w:t>
      </w:r>
    </w:p>
    <w:p w14:paraId="1996656C">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w:t>
      </w:r>
      <w:r>
        <w:rPr>
          <w:rFonts w:hint="eastAsia" w:ascii="宋体" w:hAnsi="宋体" w:cs="宋体"/>
          <w:bCs/>
          <w:color w:val="000000" w:themeColor="text1"/>
          <w:sz w:val="24"/>
          <w:szCs w:val="24"/>
          <w:highlight w:val="none"/>
          <w14:textFill>
            <w14:solidFill>
              <w14:schemeClr w14:val="tx1"/>
            </w14:solidFill>
          </w14:textFill>
        </w:rPr>
        <w:t xml:space="preserve"> 在特殊情况下，</w:t>
      </w:r>
      <w:r>
        <w:rPr>
          <w:rFonts w:hint="eastAsia" w:ascii="宋体" w:hAnsi="宋体" w:cs="宋体"/>
          <w:bCs/>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bCs/>
          <w:color w:val="000000" w:themeColor="text1"/>
          <w:sz w:val="24"/>
          <w:szCs w:val="24"/>
          <w:highlight w:val="none"/>
          <w14:textFill>
            <w14:solidFill>
              <w14:schemeClr w14:val="tx1"/>
            </w14:solidFill>
          </w14:textFill>
        </w:rPr>
        <w:t>于原投标有效期满之前，可向投标人提出延长投标有效期的要求。这种要求与答复均应采用书面形式。投标人可以拒绝</w:t>
      </w:r>
      <w:r>
        <w:rPr>
          <w:rFonts w:hint="eastAsia" w:ascii="宋体" w:hAnsi="宋体" w:cs="宋体"/>
          <w:bCs/>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bCs/>
          <w:color w:val="000000" w:themeColor="text1"/>
          <w:sz w:val="24"/>
          <w:szCs w:val="24"/>
          <w:highlight w:val="none"/>
          <w14:textFill>
            <w14:solidFill>
              <w14:schemeClr w14:val="tx1"/>
            </w14:solidFill>
          </w14:textFill>
        </w:rPr>
        <w:t>的这一要求而放弃投标</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同意延长投标有效期的投标人既不能要求也不允许修改其投标文件。</w:t>
      </w:r>
    </w:p>
    <w:p w14:paraId="01399F61">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18．投标文件的签署</w:t>
      </w:r>
    </w:p>
    <w:p w14:paraId="679994F2">
      <w:pPr>
        <w:pStyle w:val="22"/>
        <w:keepNext w:val="0"/>
        <w:keepLines w:val="0"/>
        <w:pageBreakBefore w:val="0"/>
        <w:spacing w:line="520" w:lineRule="exact"/>
        <w:ind w:firstLine="508"/>
        <w:rPr>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18.1 本招标文件所表述（指定）的公章是指法定名称章，不包括合同专用章、业务专用章等印章。</w:t>
      </w:r>
      <w:bookmarkStart w:id="112" w:name="_Hlt26954739"/>
      <w:bookmarkEnd w:id="112"/>
      <w:bookmarkStart w:id="113" w:name="_Hlt26954852"/>
      <w:bookmarkEnd w:id="113"/>
      <w:bookmarkStart w:id="114" w:name="EBfdb2e00cf1ee477a9cdb47d13b603829"/>
      <w:bookmarkEnd w:id="114"/>
    </w:p>
    <w:p w14:paraId="21A30CD1">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115" w:name="_Toc35266023"/>
      <w:bookmarkStart w:id="116" w:name="_Toc6388848"/>
      <w:bookmarkStart w:id="117" w:name="_Toc28778"/>
      <w:bookmarkStart w:id="118" w:name="_Toc54615242"/>
      <w:bookmarkStart w:id="119" w:name="_Toc6389296"/>
      <w:bookmarkStart w:id="120" w:name="_Toc38368123"/>
      <w:bookmarkStart w:id="121" w:name="_Toc513029224"/>
      <w:bookmarkStart w:id="122" w:name="_Toc120614217"/>
      <w:bookmarkStart w:id="123" w:name="_Toc16938540"/>
      <w:bookmarkStart w:id="124" w:name="_Toc20823296"/>
      <w:r>
        <w:rPr>
          <w:rFonts w:hint="eastAsia" w:ascii="宋体" w:hAnsi="宋体" w:eastAsia="宋体" w:cs="宋体"/>
          <w:b/>
          <w:bCs/>
          <w:color w:val="000000" w:themeColor="text1"/>
          <w:sz w:val="28"/>
          <w:szCs w:val="28"/>
          <w:highlight w:val="none"/>
          <w14:textFill>
            <w14:solidFill>
              <w14:schemeClr w14:val="tx1"/>
            </w14:solidFill>
          </w14:textFill>
        </w:rPr>
        <w:t>四、投标文件的制作、上传、递交</w:t>
      </w:r>
      <w:bookmarkEnd w:id="115"/>
      <w:bookmarkEnd w:id="116"/>
      <w:bookmarkEnd w:id="117"/>
      <w:bookmarkEnd w:id="118"/>
      <w:bookmarkEnd w:id="119"/>
      <w:bookmarkEnd w:id="120"/>
    </w:p>
    <w:p w14:paraId="216DA632">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19．投标文件的递交</w:t>
      </w:r>
    </w:p>
    <w:p w14:paraId="0A7EB742">
      <w:pPr>
        <w:pStyle w:val="23"/>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19.1 电子投标文件的递交</w:t>
      </w:r>
    </w:p>
    <w:p w14:paraId="2CF987DF">
      <w:pPr>
        <w:pStyle w:val="23"/>
        <w:keepNext w:val="0"/>
        <w:keepLines w:val="0"/>
        <w:pageBreakBefore w:val="0"/>
        <w:spacing w:line="520" w:lineRule="exact"/>
        <w:ind w:firstLine="480"/>
        <w:rPr>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投标人应当按照《操作手册》规定，在投标截止时间前制作并上传电子投标文件。</w:t>
      </w:r>
      <w:bookmarkStart w:id="125" w:name="EB5e78b12e89984a20ab881c475623475b"/>
      <w:bookmarkEnd w:id="125"/>
    </w:p>
    <w:p w14:paraId="5862D589">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26" w:name="_Toc6389298"/>
      <w:bookmarkStart w:id="127" w:name="_Toc6388850"/>
      <w:r>
        <w:rPr>
          <w:rFonts w:hint="eastAsia" w:ascii="宋体" w:hAnsi="宋体" w:eastAsia="宋体" w:cs="宋体"/>
          <w:b w:val="0"/>
          <w:bCs w:val="0"/>
          <w:color w:val="000000" w:themeColor="text1"/>
          <w:sz w:val="24"/>
          <w:szCs w:val="24"/>
          <w:highlight w:val="none"/>
          <w14:textFill>
            <w14:solidFill>
              <w14:schemeClr w14:val="tx1"/>
            </w14:solidFill>
          </w14:textFill>
        </w:rPr>
        <w:t>20．投标截止</w:t>
      </w:r>
      <w:bookmarkEnd w:id="126"/>
      <w:bookmarkEnd w:id="127"/>
      <w:r>
        <w:rPr>
          <w:rFonts w:hint="eastAsia" w:ascii="宋体" w:hAnsi="宋体" w:eastAsia="宋体" w:cs="宋体"/>
          <w:b w:val="0"/>
          <w:bCs w:val="0"/>
          <w:color w:val="000000" w:themeColor="text1"/>
          <w:sz w:val="24"/>
          <w:szCs w:val="24"/>
          <w:highlight w:val="none"/>
          <w14:textFill>
            <w14:solidFill>
              <w14:schemeClr w14:val="tx1"/>
            </w14:solidFill>
          </w14:textFill>
        </w:rPr>
        <w:t>时间</w:t>
      </w:r>
    </w:p>
    <w:p w14:paraId="4B3402F6">
      <w:pPr>
        <w:pStyle w:val="24"/>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20.1 投标人上传电子投标文件的时间不得迟于招标公告中规定的投标截止时间。</w:t>
      </w:r>
    </w:p>
    <w:p w14:paraId="1D653896">
      <w:pPr>
        <w:pStyle w:val="24"/>
        <w:keepNext w:val="0"/>
        <w:keepLines w:val="0"/>
        <w:pageBreakBefore w:val="0"/>
        <w:spacing w:line="520" w:lineRule="exact"/>
        <w:ind w:firstLine="480"/>
        <w:rPr>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投标人应充分考虑到网络环境、网络带宽等风险因素，如因投标人自身原因造成的电子投标文件上传不成功由投标人自行承担全部责任。</w:t>
      </w:r>
      <w:bookmarkStart w:id="128" w:name="EB4c6421107b4c4e38bf2769d0237905a7"/>
      <w:bookmarkEnd w:id="128"/>
    </w:p>
    <w:p w14:paraId="76633207">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29" w:name="_Toc6389299"/>
      <w:bookmarkStart w:id="130" w:name="_Toc6388851"/>
      <w:r>
        <w:rPr>
          <w:rFonts w:hint="eastAsia" w:ascii="宋体" w:hAnsi="宋体" w:eastAsia="宋体" w:cs="宋体"/>
          <w:b w:val="0"/>
          <w:bCs w:val="0"/>
          <w:color w:val="000000" w:themeColor="text1"/>
          <w:sz w:val="24"/>
          <w:szCs w:val="24"/>
          <w:highlight w:val="none"/>
          <w14:textFill>
            <w14:solidFill>
              <w14:schemeClr w14:val="tx1"/>
            </w14:solidFill>
          </w14:textFill>
        </w:rPr>
        <w:t>21</w:t>
      </w:r>
      <w:bookmarkEnd w:id="129"/>
      <w:bookmarkEnd w:id="130"/>
      <w:r>
        <w:rPr>
          <w:rFonts w:hint="eastAsia" w:ascii="宋体" w:hAnsi="宋体" w:eastAsia="宋体" w:cs="宋体"/>
          <w:b w:val="0"/>
          <w:bCs w:val="0"/>
          <w:color w:val="000000" w:themeColor="text1"/>
          <w:sz w:val="24"/>
          <w:szCs w:val="24"/>
          <w:highlight w:val="none"/>
          <w14:textFill>
            <w14:solidFill>
              <w14:schemeClr w14:val="tx1"/>
            </w14:solidFill>
          </w14:textFill>
        </w:rPr>
        <w:t>．投标文件的拒收</w:t>
      </w:r>
    </w:p>
    <w:p w14:paraId="00A1B86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w:t>
      </w:r>
      <w:bookmarkStart w:id="131" w:name="EBfffe463a2deb4e7cad93cb8e37ffda5e"/>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bookmarkEnd w:id="131"/>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拒绝接收在其规定的投标截止时间后递交的任何投标文件。</w:t>
      </w:r>
    </w:p>
    <w:p w14:paraId="26B4BC7A">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32" w:name="_Toc6389300"/>
      <w:bookmarkStart w:id="133" w:name="_Toc6388852"/>
      <w:r>
        <w:rPr>
          <w:rFonts w:hint="eastAsia" w:ascii="宋体" w:hAnsi="宋体" w:eastAsia="宋体" w:cs="宋体"/>
          <w:b w:val="0"/>
          <w:bCs w:val="0"/>
          <w:color w:val="000000" w:themeColor="text1"/>
          <w:sz w:val="24"/>
          <w:szCs w:val="24"/>
          <w:highlight w:val="none"/>
          <w14:textFill>
            <w14:solidFill>
              <w14:schemeClr w14:val="tx1"/>
            </w14:solidFill>
          </w14:textFill>
        </w:rPr>
        <w:t>22．投标文件的修改和撤回</w:t>
      </w:r>
      <w:bookmarkEnd w:id="132"/>
      <w:bookmarkEnd w:id="133"/>
    </w:p>
    <w:p w14:paraId="54F94954">
      <w:pPr>
        <w:pStyle w:val="25"/>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22.1 投标人在递交投标文件后，可以修改或撤回其投标文件，但这种修改和撤回，必须在规定的投标截止时间前，具体操作方法见《操作手册》。</w:t>
      </w:r>
    </w:p>
    <w:p w14:paraId="6CBC4A4A">
      <w:pPr>
        <w:pStyle w:val="25"/>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22.2 投标人撤回电子投标文件，则认为其不再参与本项目投标活动。</w:t>
      </w:r>
    </w:p>
    <w:p w14:paraId="08934F43">
      <w:pPr>
        <w:pStyle w:val="25"/>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22.3 在投标截止时间之后，投标人不得对其电子投标文件作任何修改。</w:t>
      </w:r>
    </w:p>
    <w:p w14:paraId="401AC6AD">
      <w:pPr>
        <w:pStyle w:val="25"/>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22.4 在投标截止时间至招标文件中规定的投标有效期满之间的这段时间内，投标人不得撤销其投标。</w:t>
      </w:r>
    </w:p>
    <w:p w14:paraId="409849DE">
      <w:pPr>
        <w:pStyle w:val="25"/>
        <w:keepNext w:val="0"/>
        <w:keepLines w:val="0"/>
        <w:pageBreakBefore w:val="0"/>
        <w:spacing w:line="520" w:lineRule="exact"/>
        <w:ind w:firstLine="480"/>
        <w:rPr>
          <w:rFonts w:ascii="宋体" w:hAnsi="宋体" w:eastAsia="宋体" w:cs="宋体"/>
          <w:bCs/>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22.5 不论投标人中标与否，投标文件均不退回。</w:t>
      </w:r>
      <w:bookmarkEnd w:id="121"/>
      <w:bookmarkEnd w:id="122"/>
      <w:bookmarkEnd w:id="123"/>
      <w:bookmarkEnd w:id="124"/>
      <w:bookmarkStart w:id="134" w:name="EB7c302f080cf342679641097daf23b42b"/>
      <w:bookmarkEnd w:id="134"/>
    </w:p>
    <w:p w14:paraId="31315A93">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135" w:name="_Toc120614218"/>
      <w:bookmarkStart w:id="136" w:name="_Toc38368124"/>
      <w:bookmarkStart w:id="137" w:name="_Toc20823301"/>
      <w:bookmarkStart w:id="138" w:name="_Toc15158"/>
      <w:bookmarkStart w:id="139" w:name="_Toc16938545"/>
      <w:bookmarkStart w:id="140" w:name="_Toc54615243"/>
      <w:bookmarkStart w:id="141" w:name="_Toc513029229"/>
      <w:bookmarkStart w:id="142" w:name="_Toc35266024"/>
      <w:r>
        <w:rPr>
          <w:rFonts w:hint="eastAsia" w:ascii="宋体" w:hAnsi="宋体" w:eastAsia="宋体" w:cs="宋体"/>
          <w:b/>
          <w:bCs/>
          <w:color w:val="000000" w:themeColor="text1"/>
          <w:sz w:val="28"/>
          <w:szCs w:val="28"/>
          <w:highlight w:val="none"/>
          <w14:textFill>
            <w14:solidFill>
              <w14:schemeClr w14:val="tx1"/>
            </w14:solidFill>
          </w14:textFill>
        </w:rPr>
        <w:t>五、开标与评标</w:t>
      </w:r>
      <w:bookmarkEnd w:id="135"/>
      <w:bookmarkEnd w:id="136"/>
      <w:bookmarkEnd w:id="137"/>
      <w:bookmarkEnd w:id="138"/>
      <w:bookmarkEnd w:id="139"/>
      <w:bookmarkEnd w:id="140"/>
      <w:bookmarkEnd w:id="141"/>
      <w:bookmarkEnd w:id="142"/>
    </w:p>
    <w:p w14:paraId="5BB100E3">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43" w:name="_Toc513029230"/>
      <w:bookmarkStart w:id="144" w:name="_Toc16938546"/>
      <w:bookmarkStart w:id="145" w:name="_Toc20823302"/>
      <w:r>
        <w:rPr>
          <w:rFonts w:hint="eastAsia" w:ascii="宋体" w:hAnsi="宋体" w:eastAsia="宋体" w:cs="宋体"/>
          <w:b w:val="0"/>
          <w:bCs w:val="0"/>
          <w:color w:val="000000" w:themeColor="text1"/>
          <w:sz w:val="24"/>
          <w:szCs w:val="24"/>
          <w:highlight w:val="none"/>
          <w14:textFill>
            <w14:solidFill>
              <w14:schemeClr w14:val="tx1"/>
            </w14:solidFill>
          </w14:textFill>
        </w:rPr>
        <w:t>23．开标</w:t>
      </w:r>
      <w:bookmarkEnd w:id="143"/>
      <w:bookmarkEnd w:id="144"/>
      <w:bookmarkEnd w:id="145"/>
    </w:p>
    <w:p w14:paraId="249E8547">
      <w:pPr>
        <w:pStyle w:val="26"/>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 xml:space="preserve">23.1 </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苏州润禹工程咨询管理有限公司</w:t>
      </w:r>
      <w:r>
        <w:rPr>
          <w:rStyle w:val="18"/>
          <w:rFonts w:hint="eastAsia" w:ascii="宋体" w:hAnsi="宋体" w:eastAsia="宋体" w:cs="宋体"/>
          <w:color w:val="000000" w:themeColor="text1"/>
          <w:sz w:val="24"/>
          <w:szCs w:val="24"/>
          <w:highlight w:val="none"/>
          <w14:textFill>
            <w14:solidFill>
              <w14:schemeClr w14:val="tx1"/>
            </w14:solidFill>
          </w14:textFill>
        </w:rPr>
        <w:t>将在招标公告中规定的时间和地点组织公开开标。投标人应当按照《操作手册》规定，参加开标活动和</w:t>
      </w:r>
      <w:r>
        <w:rPr>
          <w:rFonts w:hint="eastAsia" w:ascii="宋体" w:hAnsi="宋体" w:eastAsia="宋体" w:cs="宋体"/>
          <w:color w:val="000000" w:themeColor="text1"/>
          <w:sz w:val="24"/>
          <w:szCs w:val="24"/>
          <w:highlight w:val="none"/>
          <w14:textFill>
            <w14:solidFill>
              <w14:schemeClr w14:val="tx1"/>
            </w14:solidFill>
          </w14:textFill>
        </w:rPr>
        <w:t>“苏采云”系统</w:t>
      </w:r>
      <w:r>
        <w:rPr>
          <w:rStyle w:val="18"/>
          <w:rFonts w:hint="eastAsia" w:ascii="宋体" w:hAnsi="宋体" w:eastAsia="宋体" w:cs="宋体"/>
          <w:color w:val="000000" w:themeColor="text1"/>
          <w:sz w:val="24"/>
          <w:szCs w:val="24"/>
          <w:highlight w:val="none"/>
          <w14:textFill>
            <w14:solidFill>
              <w14:schemeClr w14:val="tx1"/>
            </w14:solidFill>
          </w14:textFill>
        </w:rPr>
        <w:t>规定的时间内对投标文件进行解密。</w:t>
      </w:r>
    </w:p>
    <w:p w14:paraId="69C9FFE2">
      <w:pPr>
        <w:pStyle w:val="26"/>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23.2 开标仪式由</w:t>
      </w:r>
      <w:r>
        <w:rPr>
          <w:rStyle w:val="18"/>
          <w:rFonts w:hint="eastAsia" w:ascii="宋体" w:hAnsi="宋体" w:eastAsia="宋体" w:cs="宋体"/>
          <w:color w:val="000000" w:themeColor="text1"/>
          <w:sz w:val="24"/>
          <w:szCs w:val="24"/>
          <w:highlight w:val="none"/>
          <w:lang w:eastAsia="zh-CN"/>
          <w14:textFill>
            <w14:solidFill>
              <w14:schemeClr w14:val="tx1"/>
            </w14:solidFill>
          </w14:textFill>
        </w:rPr>
        <w:t>苏州润禹工程咨询管理有限公司</w:t>
      </w:r>
      <w:r>
        <w:rPr>
          <w:rStyle w:val="18"/>
          <w:rFonts w:hint="eastAsia" w:ascii="宋体" w:hAnsi="宋体" w:eastAsia="宋体" w:cs="宋体"/>
          <w:color w:val="000000" w:themeColor="text1"/>
          <w:sz w:val="24"/>
          <w:szCs w:val="24"/>
          <w:highlight w:val="none"/>
          <w14:textFill>
            <w14:solidFill>
              <w14:schemeClr w14:val="tx1"/>
            </w14:solidFill>
          </w14:textFill>
        </w:rPr>
        <w:t>主持，</w:t>
      </w:r>
      <w:r>
        <w:rPr>
          <w:rFonts w:hint="eastAsia" w:ascii="宋体" w:hAnsi="宋体" w:eastAsia="宋体" w:cs="宋体"/>
          <w:color w:val="000000" w:themeColor="text1"/>
          <w:sz w:val="24"/>
          <w:szCs w:val="24"/>
          <w:highlight w:val="none"/>
          <w14:textFill>
            <w14:solidFill>
              <w14:schemeClr w14:val="tx1"/>
            </w14:solidFill>
          </w14:textFill>
        </w:rPr>
        <w:t>“苏采云”系统</w:t>
      </w:r>
      <w:r>
        <w:rPr>
          <w:rStyle w:val="18"/>
          <w:rFonts w:hint="eastAsia" w:ascii="宋体" w:hAnsi="宋体" w:eastAsia="宋体" w:cs="宋体"/>
          <w:color w:val="000000" w:themeColor="text1"/>
          <w:sz w:val="24"/>
          <w:szCs w:val="24"/>
          <w:highlight w:val="none"/>
          <w14:textFill>
            <w14:solidFill>
              <w14:schemeClr w14:val="tx1"/>
            </w14:solidFill>
          </w14:textFill>
        </w:rPr>
        <w:t>将自动对项目进行开标，宣布投标人名称、投标价格和招标文件规定的需要宣布的其他内容。</w:t>
      </w:r>
    </w:p>
    <w:p w14:paraId="24FA96DC">
      <w:pPr>
        <w:pStyle w:val="26"/>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23.3 投标人在开标过程中涉及到的投标文件解密等工作，应按照《操作手册》规定执行。</w:t>
      </w:r>
      <w:bookmarkStart w:id="146" w:name="EB45a41a7a147945c0bb92535f2d40058d"/>
      <w:bookmarkEnd w:id="146"/>
      <w:bookmarkStart w:id="147" w:name="_Toc20823303"/>
      <w:bookmarkStart w:id="148" w:name="_Toc16938547"/>
      <w:bookmarkStart w:id="149" w:name="_Toc513029231"/>
    </w:p>
    <w:p w14:paraId="1908A427">
      <w:pPr>
        <w:pStyle w:val="26"/>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23.4 投标人如果对开标过程和开标记录有疑义，应当根据《操作手册》规定提出。</w:t>
      </w:r>
    </w:p>
    <w:p w14:paraId="328A91EF">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24．评标委员会</w:t>
      </w:r>
    </w:p>
    <w:p w14:paraId="6487756B">
      <w:pPr>
        <w:keepNext w:val="0"/>
        <w:keepLines w:val="0"/>
        <w:pageBreakBefore w:val="0"/>
        <w:spacing w:line="520" w:lineRule="exact"/>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开标后，</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将立即组织评标委员会（以下简称评委会）进行评标。</w:t>
      </w:r>
    </w:p>
    <w:p w14:paraId="3DA598E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24.2 评委会由评审专家、采购人代表组成，且人员构成符合政府采购有关规定。</w:t>
      </w:r>
    </w:p>
    <w:p w14:paraId="7EF37B21">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评委会应以科学、公正的态度参加评审工作并推荐中标候选人。评审专家和采购人代表在评审过程中不受任何干扰，独立、负责地提出评审意见，并对自己的评审意见承担责任。</w:t>
      </w:r>
    </w:p>
    <w:p w14:paraId="2258A55B">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24.4</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评委会将对投标人的商业、技术秘密予以保密。</w:t>
      </w:r>
    </w:p>
    <w:p w14:paraId="4A2D58A1">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25．评标过程的保密</w:t>
      </w:r>
      <w:bookmarkEnd w:id="147"/>
      <w:bookmarkEnd w:id="148"/>
      <w:bookmarkEnd w:id="149"/>
      <w:r>
        <w:rPr>
          <w:rFonts w:hint="eastAsia" w:ascii="宋体" w:hAnsi="宋体" w:eastAsia="宋体" w:cs="宋体"/>
          <w:b w:val="0"/>
          <w:bCs w:val="0"/>
          <w:color w:val="000000" w:themeColor="text1"/>
          <w:sz w:val="24"/>
          <w:szCs w:val="24"/>
          <w:highlight w:val="none"/>
          <w14:textFill>
            <w14:solidFill>
              <w14:schemeClr w14:val="tx1"/>
            </w14:solidFill>
          </w14:textFill>
        </w:rPr>
        <w:t>与公正</w:t>
      </w:r>
    </w:p>
    <w:p w14:paraId="7F86C2BC">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公开开标后，直至向中标的投标人授予合同时止，凡是与审查、澄清、评价和比较投标的有关资料以及授标建议等，均不得向投标人或与评标无关的其他人员透露。</w:t>
      </w:r>
    </w:p>
    <w:p w14:paraId="5A20996C">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25.2</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在评标过程中，如果投标人试图向</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和参与评标的人员施加任何影响，都将会导致其投标被拒绝。</w:t>
      </w:r>
    </w:p>
    <w:p w14:paraId="7EB968BF">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0" w:name="_Toc513029232"/>
      <w:bookmarkStart w:id="151" w:name="_Toc16938548"/>
      <w:bookmarkStart w:id="152" w:name="_Toc20823304"/>
      <w:r>
        <w:rPr>
          <w:rFonts w:hint="eastAsia" w:ascii="宋体" w:hAnsi="宋体" w:eastAsia="宋体" w:cs="宋体"/>
          <w:b w:val="0"/>
          <w:bCs w:val="0"/>
          <w:color w:val="000000" w:themeColor="text1"/>
          <w:sz w:val="24"/>
          <w:szCs w:val="24"/>
          <w:highlight w:val="none"/>
          <w14:textFill>
            <w14:solidFill>
              <w14:schemeClr w14:val="tx1"/>
            </w14:solidFill>
          </w14:textFill>
        </w:rPr>
        <w:t>26．投标的澄清</w:t>
      </w:r>
      <w:bookmarkEnd w:id="150"/>
      <w:bookmarkEnd w:id="151"/>
      <w:bookmarkEnd w:id="152"/>
    </w:p>
    <w:p w14:paraId="4B11EEF9">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26.1 评标期间，评委会对投标文件中含义不明确、同类问题表述不一致或者有明显文字和计算错误的内容等，有权要求投标人作出必要的澄清、说明或者更正。</w:t>
      </w:r>
    </w:p>
    <w:p w14:paraId="5EF2D5E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投标人的澄清、说明或者更正不得超出投标文件的范围或者改变投标文件的实质性内容。</w:t>
      </w:r>
    </w:p>
    <w:p w14:paraId="28B89FB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评委会并非对每个供应商都作澄清要求。</w:t>
      </w:r>
    </w:p>
    <w:p w14:paraId="61916DBB">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26.2</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需要投标人进行澄清、说明和更正的，评委会将通过“苏采云”系统向投标人发布“澄清要求函”，接到“澄清要求函”的投标人应当按照要求在“苏采云”系统中提交“澄清响应函”并加盖CA电子公章。澄清、说明和更正的内容作为投标文件的补充部分，具体操作方式见《操作手册》。</w:t>
      </w:r>
    </w:p>
    <w:p w14:paraId="62148B02">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接到评委会澄清要求的投标人如未按规定做出澄清，其风险由投标人自行承担。</w:t>
      </w:r>
    </w:p>
    <w:p w14:paraId="01E16EFA">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3" w:name="_Toc20823305"/>
      <w:bookmarkStart w:id="154" w:name="_Toc16938549"/>
      <w:bookmarkStart w:id="155" w:name="_Toc513029233"/>
      <w:r>
        <w:rPr>
          <w:rFonts w:hint="eastAsia" w:ascii="宋体" w:hAnsi="宋体" w:eastAsia="宋体" w:cs="宋体"/>
          <w:b w:val="0"/>
          <w:bCs w:val="0"/>
          <w:color w:val="000000" w:themeColor="text1"/>
          <w:sz w:val="24"/>
          <w:szCs w:val="24"/>
          <w:highlight w:val="none"/>
          <w14:textFill>
            <w14:solidFill>
              <w14:schemeClr w14:val="tx1"/>
            </w14:solidFill>
          </w14:textFill>
        </w:rPr>
        <w:t>27</w:t>
      </w:r>
      <w:bookmarkEnd w:id="153"/>
      <w:bookmarkEnd w:id="154"/>
      <w:bookmarkEnd w:id="155"/>
      <w:r>
        <w:rPr>
          <w:rFonts w:hint="eastAsia" w:ascii="宋体" w:hAnsi="宋体" w:eastAsia="宋体" w:cs="宋体"/>
          <w:b w:val="0"/>
          <w:bCs w:val="0"/>
          <w:color w:val="000000" w:themeColor="text1"/>
          <w:sz w:val="24"/>
          <w:szCs w:val="24"/>
          <w:highlight w:val="none"/>
          <w14:textFill>
            <w14:solidFill>
              <w14:schemeClr w14:val="tx1"/>
            </w14:solidFill>
          </w14:textFill>
        </w:rPr>
        <w:t>．对投标文件的初审</w:t>
      </w:r>
    </w:p>
    <w:p w14:paraId="322D85B0">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投标文件初审分为资格审查和符合性审查。</w:t>
      </w:r>
    </w:p>
    <w:p w14:paraId="330FDFF4">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27.1.1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资格性审查</w:t>
      </w:r>
    </w:p>
    <w:p w14:paraId="73805314">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采购人或者采购代理机构依法对投标人的资格进行审查。</w:t>
      </w:r>
    </w:p>
    <w:p w14:paraId="7D7E5E34">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关于信用查询：</w:t>
      </w:r>
    </w:p>
    <w:p w14:paraId="611A7E84">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.1.1.1.1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根据政府采购法及相关法规，以及苏州市财政局《关于印发苏州市市级政府采购信用记录查询和使用工作试行办法的通知》（苏财购（2017）11号）文件的规定，将对供应商进行信用查询。</w:t>
      </w:r>
    </w:p>
    <w:p w14:paraId="39504FD4">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查询时间：投标文件递交截止时间。</w:t>
      </w:r>
    </w:p>
    <w:p w14:paraId="2A34445F">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.1.1.1.</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查询渠道：将在“信用中国”网站（www.creditchina.gov.cn）查询</w:t>
      </w: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lang w:val="zh-CN"/>
          <w14:textFill>
            <w14:solidFill>
              <w14:schemeClr w14:val="tx1"/>
            </w14:solidFill>
          </w14:textFill>
        </w:rPr>
        <w:t>的信用记录，以确定</w:t>
      </w: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lang w:val="zh-CN"/>
          <w14:textFill>
            <w14:solidFill>
              <w14:schemeClr w14:val="tx1"/>
            </w14:solidFill>
          </w14:textFill>
        </w:rPr>
        <w:t>是否具备</w:t>
      </w: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zh-CN"/>
          <w14:textFill>
            <w14:solidFill>
              <w14:schemeClr w14:val="tx1"/>
            </w14:solidFill>
          </w14:textFill>
        </w:rPr>
        <w:t>资格，查询结果留存并归档。</w:t>
      </w:r>
    </w:p>
    <w:p w14:paraId="5167F20C">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27.1.2</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符合性审查：</w:t>
      </w:r>
    </w:p>
    <w:p w14:paraId="7C47E71D">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依据招标文件的规定，由评委会对投标文件进行审查，以确定是否对招标文件的实质性要求作出响应。</w:t>
      </w:r>
    </w:p>
    <w:p w14:paraId="31F58FEF">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27.1.3 未通过资格审查或符合性审查的投标人，采购代理机构将在“苏采云”系统中告知未通过资格审查或符合性审查的原因，评审结束后，采购代理机构将不再告知未通过资格审查或符合性审查的原因。</w:t>
      </w:r>
    </w:p>
    <w:p w14:paraId="75DCC9DB">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27.2 在详细评标之前，评委会将首先审查每份投标文件是否实质性响应了招标文件的要求。实质性响应的投标应该是与招标文件要求的全部条款、条件和规格相符，没有重大偏离或保留的投标。</w:t>
      </w:r>
    </w:p>
    <w:p w14:paraId="1A8A25F4">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之二及以上成员的认定。</w:t>
      </w:r>
      <w:r>
        <w:rPr>
          <w:rFonts w:hint="eastAsia" w:ascii="宋体" w:hAnsi="宋体" w:cs="宋体"/>
          <w:bCs/>
          <w:color w:val="000000" w:themeColor="text1"/>
          <w:sz w:val="24"/>
          <w:szCs w:val="24"/>
          <w:highlight w:val="none"/>
          <w14:textFill>
            <w14:solidFill>
              <w14:schemeClr w14:val="tx1"/>
            </w14:solidFill>
          </w14:textFill>
        </w:rPr>
        <w:t>评委会决定投标文件的响应性只根据投标文件本身的内容，而不寻求外部的证据。</w:t>
      </w:r>
    </w:p>
    <w:p w14:paraId="6AE01298">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27.3 </w:t>
      </w:r>
      <w:r>
        <w:rPr>
          <w:rFonts w:hint="eastAsia" w:ascii="宋体" w:hAnsi="宋体" w:cs="宋体"/>
          <w:bCs/>
          <w:color w:val="000000" w:themeColor="text1"/>
          <w:sz w:val="24"/>
          <w:szCs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14:paraId="4B6CBB95">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27.4 投标文件报价出现前后不一致的，按下列规定修正：</w:t>
      </w:r>
    </w:p>
    <w:p w14:paraId="6CDB0C7E">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（1）投标文件中开标一览表（报价表）内容与投标文件中相应内容不一致的，以开标一览表（报价表）为准；</w:t>
      </w:r>
    </w:p>
    <w:p w14:paraId="7163E0FD">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（2）大写金额和小写金额不一致的，以大写金额为准；</w:t>
      </w:r>
    </w:p>
    <w:p w14:paraId="74CFE9B4">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（3）单价金额小数点或者百分比有明显错位的，以开标一览表的总价为准，并修改单价；</w:t>
      </w:r>
    </w:p>
    <w:p w14:paraId="6DED4125">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（4）总价金额与按单价汇总金额不一致的，以单价金额计算结果为准。</w:t>
      </w:r>
    </w:p>
    <w:p w14:paraId="3ABC91EA">
      <w:pPr>
        <w:keepNext w:val="0"/>
        <w:keepLines w:val="0"/>
        <w:pageBreakBefore w:val="0"/>
        <w:spacing w:line="520" w:lineRule="exact"/>
        <w:ind w:firstLine="48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同时出现两种以上不一致的，按照前款规定的顺序修正。修正后的报价按照财政部87号令第五十一条第二款的规定经投标人确认后产生约束力。</w:t>
      </w:r>
    </w:p>
    <w:p w14:paraId="14C9D2C4">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27.5 评委会将允许修正投标文件中不构成重大偏离的、微小的、非正规的、不一致的或不规则的地方，但这些修改不能影响任何投标人相应的名次排列。</w:t>
      </w:r>
    </w:p>
    <w:p w14:paraId="2A8C2781">
      <w:pPr>
        <w:pStyle w:val="27"/>
        <w:keepNext w:val="0"/>
        <w:keepLines w:val="0"/>
        <w:pageBreakBefore w:val="0"/>
        <w:spacing w:line="520" w:lineRule="exact"/>
        <w:ind w:firstLine="480"/>
        <w:rPr>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27.6 投标人在开、评标全过程中应保持通讯畅通，并安排专人与采购代理机构及评标委员会联系。</w:t>
      </w:r>
      <w:bookmarkStart w:id="156" w:name="EB8e3ec86c09a94dac9cc9034e6027ee19"/>
      <w:bookmarkEnd w:id="156"/>
    </w:p>
    <w:p w14:paraId="74DE5ACE">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7" w:name="_Toc16938550"/>
      <w:bookmarkStart w:id="158" w:name="_Toc513029234"/>
      <w:bookmarkStart w:id="159" w:name="_Toc20823306"/>
      <w:bookmarkStart w:id="160" w:name="_Toc200451960"/>
      <w:r>
        <w:rPr>
          <w:rFonts w:hint="eastAsia" w:ascii="宋体" w:hAnsi="宋体" w:eastAsia="宋体" w:cs="宋体"/>
          <w:b w:val="0"/>
          <w:bCs w:val="0"/>
          <w:color w:val="000000" w:themeColor="text1"/>
          <w:sz w:val="24"/>
          <w:szCs w:val="24"/>
          <w:highlight w:val="none"/>
          <w14:textFill>
            <w14:solidFill>
              <w14:schemeClr w14:val="tx1"/>
            </w14:solidFill>
          </w14:textFill>
        </w:rPr>
        <w:t>28</w:t>
      </w:r>
      <w:bookmarkEnd w:id="157"/>
      <w:bookmarkEnd w:id="158"/>
      <w:bookmarkEnd w:id="159"/>
      <w:r>
        <w:rPr>
          <w:rFonts w:hint="eastAsia" w:ascii="宋体" w:hAnsi="宋体" w:eastAsia="宋体" w:cs="宋体"/>
          <w:b w:val="0"/>
          <w:bCs w:val="0"/>
          <w:color w:val="000000" w:themeColor="text1"/>
          <w:sz w:val="24"/>
          <w:szCs w:val="24"/>
          <w:highlight w:val="none"/>
          <w14:textFill>
            <w14:solidFill>
              <w14:schemeClr w14:val="tx1"/>
            </w14:solidFill>
          </w14:textFill>
        </w:rPr>
        <w:t>．无效投标条款和废标条款</w:t>
      </w:r>
    </w:p>
    <w:p w14:paraId="25D14E47">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 无效投标条款</w:t>
      </w:r>
    </w:p>
    <w:p w14:paraId="39CFB20A">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 投标人未按照招标文件要求上传电子投标文件的；</w:t>
      </w:r>
    </w:p>
    <w:p w14:paraId="0E3C9C01">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28.1.2 投标人在规定时间内不解密投标文件或未成功解密投标文件的（因系统原因导致的除外)；</w:t>
      </w:r>
    </w:p>
    <w:p w14:paraId="29DA3EBF">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28.1.3 投标文件中没有《开标一览表》或《开标一览表》未加盖投标人公章的；</w:t>
      </w:r>
    </w:p>
    <w:p w14:paraId="38CDE613">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28.1.4 投标文件中任何有选择的报价；</w:t>
      </w:r>
    </w:p>
    <w:p w14:paraId="0E03999F">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28.1.5 投标文件报价出现前后不一致的，按招标文件规定修正后投标人不确认的；</w:t>
      </w:r>
    </w:p>
    <w:p w14:paraId="0FBF4FE0">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28.1.6 不同投标人的投标文件由同一单位或者个人编制；</w:t>
      </w:r>
    </w:p>
    <w:p w14:paraId="59975381">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28.1.7 不同投标人委托同一单位或者个人办理投标事宜；</w:t>
      </w:r>
    </w:p>
    <w:p w14:paraId="45BB26EB">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28.1.8 不同投标人的投标文件载明的项目管理成员或者联系人员为同一人；</w:t>
      </w:r>
    </w:p>
    <w:p w14:paraId="7530CAE3">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28.1.9 不同投标人的投标文件异常一致或者投标报价呈规律性差异；</w:t>
      </w:r>
    </w:p>
    <w:p w14:paraId="1D206276">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28.1.10 不同投标人的投标文件制作机器码一致的；</w:t>
      </w:r>
    </w:p>
    <w:p w14:paraId="31A1115F">
      <w:pPr>
        <w:pStyle w:val="28"/>
        <w:keepNext w:val="0"/>
        <w:keepLines w:val="0"/>
        <w:pageBreakBefore w:val="0"/>
        <w:spacing w:line="520" w:lineRule="exact"/>
        <w:ind w:firstLine="480"/>
        <w:rPr>
          <w:rStyle w:val="18"/>
          <w:rFonts w:hint="eastAsia"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28.1.11 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120F9841">
      <w:pPr>
        <w:pStyle w:val="28"/>
        <w:keepNext w:val="0"/>
        <w:keepLines w:val="0"/>
        <w:pageBreakBefore w:val="0"/>
        <w:spacing w:line="520" w:lineRule="exact"/>
        <w:ind w:firstLine="480"/>
        <w:rPr>
          <w:rStyle w:val="18"/>
          <w:rFonts w:hint="eastAsia"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28.1.12 凡“节能产品政府采购品目清单”中以★标注的政府强制采购产品，投标文件中未提供国家确定的认证机构出具的、处于有效期之内的节能产品认证证书的（若证书有附件（附录）的，附件（附录）须随证书一起提供)；</w:t>
      </w:r>
    </w:p>
    <w:p w14:paraId="4F5EDE56">
      <w:pPr>
        <w:pStyle w:val="28"/>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28.1.13 供应商被列入失信被执行人名单、重大税收违法案件当事人名单、政府采购严重违法失信行为记录名单以及其他不符合《中华人民共和国政府采购法》第二十二条规定条件的信用记录的；</w:t>
      </w:r>
    </w:p>
    <w:p w14:paraId="35FF8857">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28.1.14 不同供应商的单位负责人为同一人或者存在直接控股、管理关系的；</w:t>
      </w:r>
    </w:p>
    <w:p w14:paraId="10D036A0">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28.1.15 为采购项目提供整体设计、规范编制或者项目管理、监理、检测等服务的；</w:t>
      </w:r>
    </w:p>
    <w:p w14:paraId="7AF3BD9F">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28.1.16 资格证明文件中要求加盖公章而未加盖公章的；</w:t>
      </w:r>
    </w:p>
    <w:p w14:paraId="68A79FF7">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28.1.17 投标文件未按招标文件要求签署、盖章的；</w:t>
      </w:r>
    </w:p>
    <w:p w14:paraId="192C0543">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28.1.18 不具备招标文件中规定的资格要求或未按招标文件规定的要求提供资格证明文件的；</w:t>
      </w:r>
    </w:p>
    <w:p w14:paraId="763C6984">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28.1.19 报价超过招标文件中规定的预算金额或者最高限价的；</w:t>
      </w:r>
    </w:p>
    <w:p w14:paraId="0B6CEB0B">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28.1.20 投标文件含有采购人不能接受的附加条件的；</w:t>
      </w:r>
    </w:p>
    <w:p w14:paraId="72F68F92">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28.1.21 不响应招标文件中规定的实质性要求的（本招标文件中斜体且有下划线部分为实质性要求）；</w:t>
      </w:r>
    </w:p>
    <w:p w14:paraId="176170C1">
      <w:pPr>
        <w:pStyle w:val="29"/>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28.1.22 法律、法规和采购文件规定的其他无效情形；</w:t>
      </w:r>
    </w:p>
    <w:p w14:paraId="68A27429">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28.2 废标条款：</w:t>
      </w:r>
    </w:p>
    <w:p w14:paraId="374E5178">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 xml:space="preserve">(1)符合专业条件的供应商或者对招标文件作实质响应的供应商不足三家的； </w:t>
      </w:r>
    </w:p>
    <w:p w14:paraId="31396DB3">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14:paraId="16B70419">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(3)投标人的报价均超过了采购预算，采购人不能支付的；</w:t>
      </w:r>
    </w:p>
    <w:p w14:paraId="4D19592F">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(4)因重大变故，采购任务取消的。</w:t>
      </w:r>
    </w:p>
    <w:p w14:paraId="78663BBA">
      <w:pPr>
        <w:pStyle w:val="30"/>
        <w:keepNext w:val="0"/>
        <w:keepLines w:val="0"/>
        <w:pageBreakBefore w:val="0"/>
        <w:spacing w:line="520" w:lineRule="exact"/>
        <w:ind w:firstLine="480"/>
        <w:rPr>
          <w:rStyle w:val="18"/>
          <w:rFonts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28.3 投标截止时间结束后参加投标的供应商不足三家的处理：</w:t>
      </w:r>
    </w:p>
    <w:p w14:paraId="7C026C4D">
      <w:pPr>
        <w:pStyle w:val="30"/>
        <w:keepNext w:val="0"/>
        <w:keepLines w:val="0"/>
        <w:pageBreakBefore w:val="0"/>
        <w:spacing w:line="520" w:lineRule="exact"/>
        <w:ind w:firstLine="480"/>
        <w:rPr>
          <w:rFonts w:ascii="宋体" w:hAnsi="宋体" w:eastAsia="宋体" w:cs="宋体"/>
          <w:bCs/>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28.3.1 如出现投标截止时间结束后参加投标的供应商或者在评标期间对招标文件做出实质响应的供应商不足三家情况，按财政部第87号令第四十三条的规定执行。</w:t>
      </w:r>
      <w:bookmarkStart w:id="161" w:name="EB369a3ca3706348fd9a6451dab4968a5b"/>
      <w:bookmarkEnd w:id="161"/>
    </w:p>
    <w:p w14:paraId="67D2C2D2">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162" w:name="_Toc16938551"/>
      <w:bookmarkStart w:id="163" w:name="_Toc20823307"/>
      <w:bookmarkStart w:id="164" w:name="_Toc513029235"/>
      <w:bookmarkStart w:id="165" w:name="_Toc120614219"/>
      <w:bookmarkStart w:id="166" w:name="_Toc54615244"/>
      <w:bookmarkStart w:id="167" w:name="_Toc35266025"/>
      <w:bookmarkStart w:id="168" w:name="_Toc38368125"/>
      <w:bookmarkStart w:id="169" w:name="_Toc12744"/>
      <w:r>
        <w:rPr>
          <w:rFonts w:hint="eastAsia" w:ascii="宋体" w:hAnsi="宋体" w:eastAsia="宋体" w:cs="宋体"/>
          <w:b/>
          <w:bCs/>
          <w:color w:val="000000" w:themeColor="text1"/>
          <w:sz w:val="28"/>
          <w:szCs w:val="28"/>
          <w:highlight w:val="none"/>
          <w14:textFill>
            <w14:solidFill>
              <w14:schemeClr w14:val="tx1"/>
            </w14:solidFill>
          </w14:textFill>
        </w:rPr>
        <w:t>六、</w:t>
      </w:r>
      <w:bookmarkEnd w:id="162"/>
      <w:bookmarkEnd w:id="163"/>
      <w:bookmarkEnd w:id="164"/>
      <w:r>
        <w:rPr>
          <w:rFonts w:hint="eastAsia" w:ascii="宋体" w:hAnsi="宋体" w:eastAsia="宋体" w:cs="宋体"/>
          <w:b/>
          <w:bCs/>
          <w:color w:val="000000" w:themeColor="text1"/>
          <w:sz w:val="28"/>
          <w:szCs w:val="28"/>
          <w:highlight w:val="none"/>
          <w14:textFill>
            <w14:solidFill>
              <w14:schemeClr w14:val="tx1"/>
            </w14:solidFill>
          </w14:textFill>
        </w:rPr>
        <w:t>定标</w:t>
      </w:r>
      <w:bookmarkEnd w:id="165"/>
      <w:bookmarkEnd w:id="166"/>
      <w:bookmarkEnd w:id="167"/>
      <w:bookmarkEnd w:id="168"/>
      <w:bookmarkEnd w:id="169"/>
    </w:p>
    <w:p w14:paraId="75B246A5">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70" w:name="_Toc513029238"/>
      <w:bookmarkStart w:id="171" w:name="_Toc20823310"/>
      <w:bookmarkStart w:id="172" w:name="_Toc16938554"/>
      <w:r>
        <w:rPr>
          <w:rFonts w:hint="eastAsia" w:ascii="宋体" w:hAnsi="宋体" w:eastAsia="宋体" w:cs="宋体"/>
          <w:b w:val="0"/>
          <w:bCs w:val="0"/>
          <w:color w:val="000000" w:themeColor="text1"/>
          <w:sz w:val="24"/>
          <w:szCs w:val="24"/>
          <w:highlight w:val="none"/>
          <w14:textFill>
            <w14:solidFill>
              <w14:schemeClr w14:val="tx1"/>
            </w14:solidFill>
          </w14:textFill>
        </w:rPr>
        <w:t>29</w:t>
      </w:r>
      <w:bookmarkEnd w:id="170"/>
      <w:r>
        <w:rPr>
          <w:rFonts w:hint="eastAsia" w:ascii="宋体" w:hAnsi="宋体" w:eastAsia="宋体" w:cs="宋体"/>
          <w:b w:val="0"/>
          <w:bCs w:val="0"/>
          <w:color w:val="000000" w:themeColor="text1"/>
          <w:sz w:val="24"/>
          <w:szCs w:val="24"/>
          <w:highlight w:val="none"/>
          <w14:textFill>
            <w14:solidFill>
              <w14:schemeClr w14:val="tx1"/>
            </w14:solidFill>
          </w14:textFill>
        </w:rPr>
        <w:t>．确定</w:t>
      </w:r>
      <w:bookmarkEnd w:id="171"/>
      <w:bookmarkEnd w:id="172"/>
      <w:r>
        <w:rPr>
          <w:rFonts w:hint="eastAsia" w:ascii="宋体" w:hAnsi="宋体" w:eastAsia="宋体" w:cs="宋体"/>
          <w:b w:val="0"/>
          <w:bCs w:val="0"/>
          <w:color w:val="000000" w:themeColor="text1"/>
          <w:sz w:val="24"/>
          <w:szCs w:val="24"/>
          <w:highlight w:val="none"/>
          <w14:textFill>
            <w14:solidFill>
              <w14:schemeClr w14:val="tx1"/>
            </w14:solidFill>
          </w14:textFill>
        </w:rPr>
        <w:t>中标单位</w:t>
      </w:r>
    </w:p>
    <w:p w14:paraId="0282AD00">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29.1</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评委会根据本招标文件规定评标办法与评标标准向采购人推荐出3名中标候选人。</w:t>
      </w:r>
    </w:p>
    <w:p w14:paraId="4CABFEFC">
      <w:pPr>
        <w:pStyle w:val="31"/>
        <w:keepNext w:val="0"/>
        <w:keepLines w:val="0"/>
        <w:pageBreakBefore w:val="0"/>
        <w:spacing w:line="520" w:lineRule="exact"/>
        <w:ind w:firstLine="508"/>
        <w:rPr>
          <w:rFonts w:ascii="宋体" w:hAnsi="宋体" w:eastAsia="宋体" w:cs="宋体"/>
          <w:bCs/>
          <w:color w:val="000000" w:themeColor="text1"/>
          <w:sz w:val="24"/>
          <w:szCs w:val="24"/>
          <w:highlight w:val="none"/>
          <w14:textFill>
            <w14:solidFill>
              <w14:schemeClr w14:val="tx1"/>
            </w14:solidFill>
          </w14:textFill>
        </w:rPr>
      </w:pPr>
      <w:r>
        <w:rPr>
          <w:rStyle w:val="18"/>
          <w:rFonts w:hint="eastAsia" w:ascii="宋体" w:hAnsi="宋体" w:eastAsia="宋体" w:cs="宋体"/>
          <w:color w:val="000000" w:themeColor="text1"/>
          <w:sz w:val="24"/>
          <w:szCs w:val="24"/>
          <w:highlight w:val="none"/>
          <w14:textFill>
            <w14:solidFill>
              <w14:schemeClr w14:val="tx1"/>
            </w14:solidFill>
          </w14:textFill>
        </w:rPr>
        <w:t>29.2 中标候选人依据得分由高到低进行排名。评委会根据《委托代理协议书》中的授权，直接确定排名第一的中标候选人为中标人。依据财政部94号令第十六条第（二）项规定，如果中标人的中标资格因故被取消的，新的中标人按相关规定确定。</w:t>
      </w:r>
      <w:bookmarkEnd w:id="160"/>
      <w:bookmarkStart w:id="173" w:name="EBfa38c9fe4db84c47a946c1558a3ddb8f"/>
      <w:bookmarkEnd w:id="173"/>
    </w:p>
    <w:p w14:paraId="7B2D8F0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29.3</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自中标人确定之日起2个工作日内，中标结果将在省级以上财政部门指定的媒体上进行公告，公告期限为1个工作日。</w:t>
      </w:r>
    </w:p>
    <w:p w14:paraId="526B33E7">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若有充分证据证明，中标人出现下列情况之一的，一经查实，中标无效：</w:t>
      </w:r>
    </w:p>
    <w:p w14:paraId="6DAABFF4">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（1）提供虚假材料谋取中标的；</w:t>
      </w:r>
    </w:p>
    <w:p w14:paraId="430A784F">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（2）采取不正当手段诋毁、排挤其他供应商的；</w:t>
      </w:r>
    </w:p>
    <w:p w14:paraId="7ACAF6A1">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（3）与采购人、其他供应商或者采购代理机构恶意串通的；</w:t>
      </w:r>
    </w:p>
    <w:p w14:paraId="3DEF2A7D">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（4）向采购人、采购代理机构行贿或者提供其他不正当利益的；</w:t>
      </w:r>
    </w:p>
    <w:p w14:paraId="3ADDDB09">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（5）在招标采购过程中与采购人进行协商谈判的；</w:t>
      </w:r>
    </w:p>
    <w:p w14:paraId="6CF6BA07">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（6）向评标委员会行贿或者提供其他不正当利益。</w:t>
      </w:r>
    </w:p>
    <w:p w14:paraId="51DD2357">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质疑</w:t>
      </w:r>
    </w:p>
    <w:p w14:paraId="5E140E9C">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供应商认为招标文件、采购过程或中标、成交结果使自己的权益受到损害的，可以在知道或者应知其权益受到损害之日起7个工作日内，以书面形式向采购人、采购代理机构提出质疑。采购代理机构应当在收到投标人书面质疑后7个工作日内作出答复。</w:t>
      </w:r>
    </w:p>
    <w:p w14:paraId="63587537">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30.2</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本次招标文件要求供应商在法定质疑期内一次性提出针对同一采购程序环节的质疑，否则不予受理。</w:t>
      </w:r>
    </w:p>
    <w:p w14:paraId="698ABC7A">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供应商提出质疑应当提交质疑函和必要的证明材料，质疑函应当包括下列内容：</w:t>
      </w:r>
    </w:p>
    <w:p w14:paraId="5B3F1395">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（1）供应商的姓名或者名称（以提供的营业执照副本复印件为准）、地址、邮编、联系人及联系电话；</w:t>
      </w:r>
    </w:p>
    <w:p w14:paraId="75C971D2">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（2）质疑项目的名称、编号；</w:t>
      </w:r>
    </w:p>
    <w:p w14:paraId="5AE5DC67">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（3）具体、明确的质疑事项和与质疑事项相关的请求；</w:t>
      </w:r>
    </w:p>
    <w:p w14:paraId="1051A966">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（4）事实依据；</w:t>
      </w:r>
    </w:p>
    <w:p w14:paraId="43A584FD">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（5）必要的法律依据；</w:t>
      </w:r>
    </w:p>
    <w:p w14:paraId="0ED8F866">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（6）提出质疑的日期。</w:t>
      </w:r>
    </w:p>
    <w:p w14:paraId="294ADC8A">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供应商为自然人的，应当由本人签字；供应商为法人或者其他组织的，应当由法定代表人、主要负责人，或者其授权代表签字或者盖章，并加盖公章。供应商委托代理进行质疑的，其授权委托书上应当载明代理人的姓名或者名称、代理事项、具体权限、期限和相关事项。</w:t>
      </w:r>
    </w:p>
    <w:p w14:paraId="66A37523">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供应商提交的质疑函必须按照《政府采购供应商质疑函范本》要求的格式和内容进行填写。</w:t>
      </w:r>
    </w:p>
    <w:p w14:paraId="65067AE4">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30.4</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根据《政府采购质疑和投诉办法》（财政部第94号令）第十一条规定，提出质疑的供应商应当是参与所质疑项目采购活动的供应商。因此凡是对招标文件提出质疑的供应商，必须是依法获取招标文件，请将合法获取招标文件的证明材料（即《投标供应商确认函》）与质疑函一起递交，否则不予受理。</w:t>
      </w:r>
    </w:p>
    <w:p w14:paraId="09C152CE">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30.5</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接收质疑函的方式：书面形式（当场送达或邮寄方式），具体联系方式祥见招标公告。</w:t>
      </w:r>
    </w:p>
    <w:p w14:paraId="6611BF77">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 以下情形的质疑不予受理：</w:t>
      </w:r>
    </w:p>
    <w:p w14:paraId="3784275C">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30.6.1 内容不符合《政府采购质疑和投诉办法》第十二条规定的质疑。</w:t>
      </w:r>
    </w:p>
    <w:p w14:paraId="0EDAB9DE">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30.6.2 超出政府采购法定期限的质疑。</w:t>
      </w:r>
    </w:p>
    <w:p w14:paraId="30E886B2">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30.6.3 以传真、电子邮件等方式递交的非原件形式的质疑。</w:t>
      </w:r>
    </w:p>
    <w:p w14:paraId="440E9530">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30.6.4 未参加投标活动的供应商或在投标活动中自身权益未受到损害的供应商所提出的质疑。</w:t>
      </w:r>
    </w:p>
    <w:p w14:paraId="35CA4AB0">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30.6.5</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供应商组成联合体参加投标，联合体中任何一方或多方未按要求签字、盖章、加盖公章的质疑。</w:t>
      </w:r>
    </w:p>
    <w:p w14:paraId="6B5DE746">
      <w:pPr>
        <w:keepNext w:val="0"/>
        <w:keepLines w:val="0"/>
        <w:pageBreakBefore w:val="0"/>
        <w:spacing w:line="520" w:lineRule="exact"/>
        <w:ind w:firstLine="48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30.7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5E71A83E">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31．中标通知书</w:t>
      </w:r>
    </w:p>
    <w:p w14:paraId="6DB98E6F">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31.l</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在中标结果确定后2个工作日内，</w:t>
      </w:r>
      <w:r>
        <w:rPr>
          <w:rFonts w:hint="eastAsia" w:ascii="宋体" w:hAnsi="宋体" w:cs="宋体"/>
          <w:color w:val="000000" w:themeColor="text1"/>
          <w:sz w:val="24"/>
          <w:szCs w:val="24"/>
          <w:highlight w:val="none"/>
          <w:lang w:eastAsia="zh-CN"/>
          <w14:textFill>
            <w14:solidFill>
              <w14:schemeClr w14:val="tx1"/>
            </w14:solidFill>
          </w14:textFill>
        </w:rPr>
        <w:t>苏州润禹工程咨询管理有限公司</w:t>
      </w:r>
      <w:r>
        <w:rPr>
          <w:rFonts w:hint="eastAsia" w:ascii="宋体" w:hAnsi="宋体" w:cs="宋体"/>
          <w:color w:val="000000" w:themeColor="text1"/>
          <w:sz w:val="24"/>
          <w:szCs w:val="24"/>
          <w:highlight w:val="none"/>
          <w14:textFill>
            <w14:solidFill>
              <w14:schemeClr w14:val="tx1"/>
            </w14:solidFill>
          </w14:textFill>
        </w:rPr>
        <w:t>向中标供应商发出中标通知书。</w:t>
      </w:r>
    </w:p>
    <w:p w14:paraId="563594CE">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 中标通知书将是合同的一个组成部分。对采购人和中标供应商均具有法律效力。中标通知书发出后，采购人改变中标结果的，或者中标供应商放弃中标项目的，应当依法承担法律责任。</w:t>
      </w:r>
    </w:p>
    <w:p w14:paraId="50E2F6B6">
      <w:pPr>
        <w:keepNext w:val="0"/>
        <w:keepLines w:val="0"/>
        <w:pageBreakBefore w:val="0"/>
        <w:widowControl/>
        <w:spacing w:line="52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174" w:name="_Toc3165"/>
      <w:r>
        <w:rPr>
          <w:rFonts w:hint="eastAsia" w:ascii="宋体" w:hAnsi="宋体" w:eastAsia="宋体" w:cs="宋体"/>
          <w:b/>
          <w:bCs/>
          <w:color w:val="000000" w:themeColor="text1"/>
          <w:sz w:val="28"/>
          <w:szCs w:val="28"/>
          <w:highlight w:val="none"/>
          <w14:textFill>
            <w14:solidFill>
              <w14:schemeClr w14:val="tx1"/>
            </w14:solidFill>
          </w14:textFill>
        </w:rPr>
        <w:t>七、授予合同</w:t>
      </w:r>
      <w:bookmarkEnd w:id="174"/>
    </w:p>
    <w:p w14:paraId="42B48332">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32．签订合同</w:t>
      </w:r>
    </w:p>
    <w:p w14:paraId="09E0672C">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32.l</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中标人应按中标通知书规定的时间、地点,按照招标文件确定的事项与采购人签订政府采购合同，且原则上不得迟于中标通知书发出之日起十五日，否则给采购人造成损失的，中标人应承担赔偿责任。</w:t>
      </w:r>
    </w:p>
    <w:p w14:paraId="6E42229A">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32.2 招标文件、中标人的投标文件及招标过程中有关澄清、承诺文件均应作为合同附件。</w:t>
      </w:r>
    </w:p>
    <w:p w14:paraId="4E3A4A49">
      <w:pPr>
        <w:keepNext w:val="0"/>
        <w:keepLines w:val="0"/>
        <w:pageBreakBefore w:val="0"/>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32.3 签订合同后，中标人不得将合同标的进行转包和分包</w:t>
      </w:r>
      <w:r>
        <w:rPr>
          <w:rFonts w:hint="eastAsia" w:ascii="宋体" w:hAnsi="宋体" w:cs="宋体"/>
          <w:color w:val="000000" w:themeColor="text1"/>
          <w:sz w:val="24"/>
          <w:szCs w:val="24"/>
          <w:highlight w:val="none"/>
          <w14:textFill>
            <w14:solidFill>
              <w14:schemeClr w14:val="tx1"/>
            </w14:solidFill>
          </w14:textFill>
        </w:rPr>
        <w:t>。</w:t>
      </w:r>
    </w:p>
    <w:p w14:paraId="3B3668D4">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33．履约保证金</w:t>
      </w:r>
    </w:p>
    <w:p w14:paraId="0337CD08">
      <w:pPr>
        <w:keepNext w:val="0"/>
        <w:keepLines w:val="0"/>
        <w:pageBreakBefore w:val="0"/>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33.1 </w:t>
      </w:r>
      <w:r>
        <w:rPr>
          <w:rFonts w:hint="eastAsia" w:ascii="宋体" w:hAnsi="宋体" w:cs="宋体"/>
          <w:color w:val="000000" w:themeColor="text1"/>
          <w:sz w:val="24"/>
          <w:szCs w:val="24"/>
          <w:highlight w:val="none"/>
          <w:lang w:val="en-US" w:eastAsia="zh-CN"/>
          <w14:textFill>
            <w14:solidFill>
              <w14:schemeClr w14:val="tx1"/>
            </w14:solidFill>
          </w14:textFill>
        </w:rPr>
        <w:t>本项目不收取履约保证金</w:t>
      </w:r>
      <w:r>
        <w:rPr>
          <w:rFonts w:hint="eastAsia" w:ascii="宋体" w:hAnsi="宋体" w:cs="宋体"/>
          <w:color w:val="000000" w:themeColor="text1"/>
          <w:sz w:val="24"/>
          <w:szCs w:val="24"/>
          <w:highlight w:val="none"/>
          <w14:textFill>
            <w14:solidFill>
              <w14:schemeClr w14:val="tx1"/>
            </w14:solidFill>
          </w14:textFill>
        </w:rPr>
        <w:t>。</w:t>
      </w:r>
    </w:p>
    <w:p w14:paraId="3F251E10">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34．货物和服务的追加、减少和添购</w:t>
      </w:r>
    </w:p>
    <w:p w14:paraId="387FEB2A">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34.1</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政府采购合同履行中，采购人需追加与合同标的相同的货物和服务的，在不改变合同其他条款的前提下，可以与中标人协商签订补充合同，但所有补充合同的采购金额不超过原合同金额10%。</w:t>
      </w:r>
    </w:p>
    <w:p w14:paraId="3DF6E466">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34.2</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采购结束后，采购人若由于各种客观原因，必须对采购项目所牵涉的货物和服务进行适当的减少时，在双方协商一致的前提下，可以按照招标采购时的价格水平做相应的调减，并据此签订补充合同。</w:t>
      </w:r>
    </w:p>
    <w:p w14:paraId="4EFD2738">
      <w:pPr>
        <w:keepNext w:val="0"/>
        <w:keepLines w:val="0"/>
        <w:pageBreakBefore w:val="0"/>
        <w:widowControl/>
        <w:spacing w:line="520" w:lineRule="exact"/>
        <w:ind w:firstLine="48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35．监督</w:t>
      </w:r>
    </w:p>
    <w:p w14:paraId="2319834C">
      <w:pPr>
        <w:keepNext w:val="0"/>
        <w:keepLines w:val="0"/>
        <w:pageBreakBefore w:val="0"/>
        <w:spacing w:line="520" w:lineRule="exact"/>
        <w:ind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35.1</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政府有关监督部门将对投标全过程进行监督。</w:t>
      </w:r>
    </w:p>
    <w:p w14:paraId="1935B51F">
      <w:pPr>
        <w:pStyle w:val="16"/>
        <w:keepNext w:val="0"/>
        <w:keepLines w:val="0"/>
        <w:pageBreakBefore w:val="0"/>
        <w:spacing w:line="520" w:lineRule="exact"/>
        <w:rPr>
          <w:color w:val="000000" w:themeColor="text1"/>
          <w:highlight w:val="none"/>
          <w14:textFill>
            <w14:solidFill>
              <w14:schemeClr w14:val="tx1"/>
            </w14:solidFill>
          </w14:textFill>
        </w:rPr>
      </w:pPr>
    </w:p>
    <w:p w14:paraId="48B26592">
      <w:pPr>
        <w:keepNext w:val="0"/>
        <w:keepLines w:val="0"/>
        <w:pageBreakBefore w:val="0"/>
        <w:spacing w:line="520" w:lineRule="exact"/>
        <w:ind w:firstLine="544"/>
        <w:rPr>
          <w:rFonts w:ascii="宋体" w:hAnsi="宋体" w:cs="宋体"/>
          <w:color w:val="000000" w:themeColor="text1"/>
          <w:sz w:val="24"/>
          <w:szCs w:val="24"/>
          <w:highlight w:val="none"/>
          <w14:textFill>
            <w14:solidFill>
              <w14:schemeClr w14:val="tx1"/>
            </w14:solidFill>
          </w14:textFill>
        </w:rPr>
        <w:sectPr>
          <w:headerReference r:id="rId11" w:type="default"/>
          <w:pgSz w:w="11906" w:h="16838"/>
          <w:pgMar w:top="1440" w:right="1083" w:bottom="1440" w:left="1083" w:header="851" w:footer="992" w:gutter="0"/>
          <w:cols w:space="1701" w:num="1"/>
          <w:titlePg/>
          <w:docGrid w:linePitch="360" w:charSpace="0"/>
        </w:sectPr>
      </w:pPr>
      <w:bookmarkStart w:id="175" w:name="EB0f9f45dd5e234a13a81c333deb906690"/>
      <w:bookmarkEnd w:id="175"/>
    </w:p>
    <w:p w14:paraId="38345F4E">
      <w:pPr>
        <w:pStyle w:val="13"/>
        <w:spacing w:before="313" w:after="313"/>
        <w:rPr>
          <w:rFonts w:ascii="宋体" w:hAnsi="宋体" w:eastAsia="宋体" w:cs="宋体"/>
          <w:color w:val="000000" w:themeColor="text1"/>
          <w:highlight w:val="none"/>
          <w14:textFill>
            <w14:solidFill>
              <w14:schemeClr w14:val="tx1"/>
            </w14:solidFill>
          </w14:textFill>
        </w:rPr>
      </w:pPr>
      <w:bookmarkStart w:id="176" w:name="_Toc14382"/>
      <w:bookmarkStart w:id="177" w:name="_Toc38368127"/>
      <w:bookmarkStart w:id="178" w:name="_Toc35266027"/>
      <w:bookmarkStart w:id="179" w:name="_Toc54615245"/>
      <w:r>
        <w:rPr>
          <w:rFonts w:hint="eastAsia" w:ascii="宋体" w:hAnsi="宋体" w:eastAsia="宋体" w:cs="宋体"/>
          <w:color w:val="000000" w:themeColor="text1"/>
          <w:highlight w:val="none"/>
          <w14:textFill>
            <w14:solidFill>
              <w14:schemeClr w14:val="tx1"/>
            </w14:solidFill>
          </w14:textFill>
        </w:rPr>
        <w:t>第三章 合同条款及</w:t>
      </w:r>
      <w:bookmarkEnd w:id="32"/>
      <w:bookmarkEnd w:id="33"/>
      <w:bookmarkEnd w:id="34"/>
      <w:bookmarkEnd w:id="35"/>
      <w:bookmarkEnd w:id="36"/>
      <w:r>
        <w:rPr>
          <w:rFonts w:hint="eastAsia" w:ascii="宋体" w:hAnsi="宋体" w:eastAsia="宋体" w:cs="宋体"/>
          <w:color w:val="000000" w:themeColor="text1"/>
          <w:highlight w:val="none"/>
          <w14:textFill>
            <w14:solidFill>
              <w14:schemeClr w14:val="tx1"/>
            </w14:solidFill>
          </w14:textFill>
        </w:rPr>
        <w:t>格式</w:t>
      </w:r>
      <w:bookmarkEnd w:id="176"/>
      <w:bookmarkEnd w:id="177"/>
      <w:bookmarkEnd w:id="178"/>
      <w:bookmarkEnd w:id="179"/>
    </w:p>
    <w:p w14:paraId="4DF72A5A">
      <w:pPr>
        <w:pStyle w:val="32"/>
        <w:spacing w:line="520" w:lineRule="exact"/>
        <w:ind w:firstLine="0"/>
        <w:jc w:val="center"/>
        <w:rPr>
          <w:rStyle w:val="18"/>
          <w:rFonts w:ascii="宋体" w:hAnsi="宋体" w:cs="宋体"/>
          <w:bCs/>
          <w:color w:val="000000" w:themeColor="text1"/>
          <w:sz w:val="24"/>
          <w:highlight w:val="none"/>
          <w14:textFill>
            <w14:solidFill>
              <w14:schemeClr w14:val="tx1"/>
            </w14:solidFill>
          </w14:textFill>
        </w:rPr>
      </w:pPr>
      <w:bookmarkStart w:id="180" w:name="EB445c3bd035294764b52dfc379b7b9568"/>
      <w:r>
        <w:rPr>
          <w:rStyle w:val="18"/>
          <w:rFonts w:hint="eastAsia" w:ascii="宋体" w:hAnsi="宋体" w:cs="宋体"/>
          <w:bCs/>
          <w:color w:val="000000" w:themeColor="text1"/>
          <w:sz w:val="24"/>
          <w:highlight w:val="none"/>
          <w14:textFill>
            <w14:solidFill>
              <w14:schemeClr w14:val="tx1"/>
            </w14:solidFill>
          </w14:textFill>
        </w:rPr>
        <w:t>以下为中标(成交)后签定本项目合同的通用条款，中标(成交)供应商不得提出实质性的修改。</w:t>
      </w:r>
    </w:p>
    <w:p w14:paraId="57254B75">
      <w:pPr>
        <w:pStyle w:val="32"/>
        <w:spacing w:before="181" w:after="181" w:line="240" w:lineRule="auto"/>
        <w:ind w:firstLine="0"/>
        <w:jc w:val="center"/>
        <w:rPr>
          <w:rStyle w:val="18"/>
          <w:rFonts w:ascii="宋体" w:hAnsi="宋体" w:cs="宋体"/>
          <w:b/>
          <w:bCs/>
          <w:color w:val="000000" w:themeColor="text1"/>
          <w:sz w:val="32"/>
          <w:szCs w:val="32"/>
          <w:highlight w:val="none"/>
          <w14:textFill>
            <w14:solidFill>
              <w14:schemeClr w14:val="tx1"/>
            </w14:solidFill>
          </w14:textFill>
        </w:rPr>
      </w:pPr>
      <w:r>
        <w:rPr>
          <w:rStyle w:val="18"/>
          <w:rFonts w:hint="eastAsia" w:ascii="宋体" w:hAnsi="宋体" w:cs="宋体"/>
          <w:b/>
          <w:bCs/>
          <w:color w:val="000000" w:themeColor="text1"/>
          <w:sz w:val="32"/>
          <w:szCs w:val="32"/>
          <w:highlight w:val="none"/>
          <w14:textFill>
            <w14:solidFill>
              <w14:schemeClr w14:val="tx1"/>
            </w14:solidFill>
          </w14:textFill>
        </w:rPr>
        <w:t>张家港市政府采购合同</w:t>
      </w:r>
    </w:p>
    <w:p w14:paraId="7C1E4C7B">
      <w:pPr>
        <w:pStyle w:val="32"/>
        <w:spacing w:line="520" w:lineRule="exac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项目名称：</w:t>
      </w:r>
      <w:bookmarkStart w:id="181" w:name="biaoduanname_1"/>
      <w:bookmarkEnd w:id="181"/>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p>
    <w:p w14:paraId="490EBFFB">
      <w:pPr>
        <w:pStyle w:val="32"/>
        <w:spacing w:line="520" w:lineRule="atLeast"/>
        <w:ind w:firstLine="480"/>
        <w:rPr>
          <w:rStyle w:val="18"/>
          <w:rFonts w:ascii="宋体" w:hAnsi="宋体" w:cs="宋体"/>
          <w:color w:val="000000" w:themeColor="text1"/>
          <w:sz w:val="24"/>
          <w:highlight w:val="none"/>
          <w:u w:val="singl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项目编号：</w:t>
      </w:r>
      <w:bookmarkStart w:id="182" w:name="projectno"/>
      <w:bookmarkEnd w:id="182"/>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p>
    <w:p w14:paraId="3F01F008">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甲方：（买方）</w:t>
      </w:r>
      <w:bookmarkStart w:id="183" w:name="jianshedanwei_1"/>
      <w:bookmarkEnd w:id="183"/>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p>
    <w:p w14:paraId="478A3332">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乙方：（卖方）</w:t>
      </w:r>
      <w:bookmarkStart w:id="184" w:name="zhongbiaodanweiname_1"/>
      <w:bookmarkEnd w:id="184"/>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p>
    <w:p w14:paraId="67867CDE">
      <w:pPr>
        <w:pStyle w:val="32"/>
        <w:spacing w:line="520" w:lineRule="atLeast"/>
        <w:ind w:firstLine="480"/>
        <w:rPr>
          <w:rStyle w:val="18"/>
          <w:rFonts w:ascii="宋体" w:hAnsi="宋体" w:cs="宋体"/>
          <w:b/>
          <w:bCs/>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甲、乙双方根据</w:t>
      </w:r>
      <w:bookmarkStart w:id="185" w:name="biaoduanname_2"/>
      <w:bookmarkEnd w:id="185"/>
      <w:r>
        <w:rPr>
          <w:rStyle w:val="18"/>
          <w:rFonts w:hint="eastAsia" w:ascii="宋体" w:hAnsi="宋体" w:cs="宋体"/>
          <w:color w:val="000000" w:themeColor="text1"/>
          <w:sz w:val="24"/>
          <w:highlight w:val="none"/>
          <w:lang w:eastAsia="zh-CN"/>
          <w14:textFill>
            <w14:solidFill>
              <w14:schemeClr w14:val="tx1"/>
            </w14:solidFill>
          </w14:textFill>
        </w:rPr>
        <w:t>苏州润禹工程咨询管理有限公司</w:t>
      </w:r>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项目公开招标的结果，签署本合同。</w:t>
      </w:r>
    </w:p>
    <w:p w14:paraId="5CF28395">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一、服务内容</w:t>
      </w:r>
    </w:p>
    <w:tbl>
      <w:tblPr>
        <w:tblStyle w:val="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6"/>
        <w:gridCol w:w="3374"/>
        <w:gridCol w:w="3068"/>
      </w:tblGrid>
      <w:tr w14:paraId="222C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76" w:type="dxa"/>
            <w:noWrap/>
            <w:vAlign w:val="center"/>
          </w:tcPr>
          <w:p w14:paraId="41324B9F">
            <w:pPr>
              <w:pStyle w:val="32"/>
              <w:ind w:firstLine="0"/>
              <w:jc w:val="center"/>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项目名称</w:t>
            </w:r>
          </w:p>
        </w:tc>
        <w:tc>
          <w:tcPr>
            <w:tcW w:w="3374" w:type="dxa"/>
            <w:noWrap/>
            <w:vAlign w:val="center"/>
          </w:tcPr>
          <w:p w14:paraId="46423903">
            <w:pPr>
              <w:pStyle w:val="32"/>
              <w:ind w:firstLine="480"/>
              <w:jc w:val="center"/>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总价（元）</w:t>
            </w:r>
          </w:p>
        </w:tc>
        <w:tc>
          <w:tcPr>
            <w:tcW w:w="3068" w:type="dxa"/>
            <w:noWrap/>
            <w:vAlign w:val="center"/>
          </w:tcPr>
          <w:p w14:paraId="46C954C0">
            <w:pPr>
              <w:pStyle w:val="32"/>
              <w:ind w:firstLine="240"/>
              <w:jc w:val="center"/>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服务内容</w:t>
            </w:r>
          </w:p>
        </w:tc>
      </w:tr>
      <w:tr w14:paraId="4A3E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76" w:type="dxa"/>
            <w:noWrap/>
            <w:vAlign w:val="center"/>
          </w:tcPr>
          <w:p w14:paraId="3C44456E">
            <w:pPr>
              <w:pStyle w:val="32"/>
              <w:ind w:firstLine="0"/>
              <w:jc w:val="center"/>
              <w:rPr>
                <w:rStyle w:val="18"/>
                <w:rFonts w:ascii="宋体" w:hAnsi="宋体" w:cs="宋体"/>
                <w:color w:val="000000" w:themeColor="text1"/>
                <w:sz w:val="24"/>
                <w:highlight w:val="none"/>
                <w14:textFill>
                  <w14:solidFill>
                    <w14:schemeClr w14:val="tx1"/>
                  </w14:solidFill>
                </w14:textFill>
              </w:rPr>
            </w:pPr>
            <w:bookmarkStart w:id="186" w:name="biaoduanname_3"/>
            <w:bookmarkEnd w:id="186"/>
          </w:p>
        </w:tc>
        <w:tc>
          <w:tcPr>
            <w:tcW w:w="3374" w:type="dxa"/>
            <w:noWrap/>
            <w:vAlign w:val="center"/>
          </w:tcPr>
          <w:p w14:paraId="6FA11399">
            <w:pPr>
              <w:pStyle w:val="32"/>
              <w:ind w:firstLine="0"/>
              <w:jc w:val="center"/>
              <w:rPr>
                <w:rStyle w:val="18"/>
                <w:rFonts w:ascii="宋体" w:hAnsi="宋体" w:cs="宋体"/>
                <w:color w:val="000000" w:themeColor="text1"/>
                <w:sz w:val="24"/>
                <w:highlight w:val="none"/>
                <w14:textFill>
                  <w14:solidFill>
                    <w14:schemeClr w14:val="tx1"/>
                  </w14:solidFill>
                </w14:textFill>
              </w:rPr>
            </w:pPr>
            <w:bookmarkStart w:id="187" w:name="zhongbiaopricelow_1"/>
            <w:bookmarkEnd w:id="187"/>
          </w:p>
        </w:tc>
        <w:tc>
          <w:tcPr>
            <w:tcW w:w="3068" w:type="dxa"/>
            <w:noWrap/>
            <w:vAlign w:val="center"/>
          </w:tcPr>
          <w:p w14:paraId="2AFC2CAC">
            <w:pPr>
              <w:pStyle w:val="32"/>
              <w:ind w:firstLine="0"/>
              <w:jc w:val="center"/>
              <w:rPr>
                <w:rStyle w:val="18"/>
                <w:rFonts w:ascii="宋体" w:hAnsi="宋体" w:cs="宋体"/>
                <w:color w:val="000000" w:themeColor="text1"/>
                <w:sz w:val="24"/>
                <w:highlight w:val="none"/>
                <w14:textFill>
                  <w14:solidFill>
                    <w14:schemeClr w14:val="tx1"/>
                  </w14:solidFill>
                </w14:textFill>
              </w:rPr>
            </w:pPr>
            <w:bookmarkStart w:id="188" w:name="fuwuneirong"/>
            <w:bookmarkEnd w:id="188"/>
          </w:p>
        </w:tc>
      </w:tr>
    </w:tbl>
    <w:p w14:paraId="7F1D574A">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二、合同金额</w:t>
      </w:r>
    </w:p>
    <w:p w14:paraId="7B927AD7">
      <w:pPr>
        <w:pStyle w:val="32"/>
        <w:spacing w:line="520" w:lineRule="atLeast"/>
        <w:ind w:firstLine="480"/>
        <w:jc w:val="left"/>
        <w:rPr>
          <w:rStyle w:val="18"/>
          <w:rFonts w:ascii="宋体" w:hAnsi="宋体" w:cs="宋体"/>
          <w:b/>
          <w:bCs/>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2.1 本合同金额为（大写）：</w:t>
      </w:r>
      <w:bookmarkStart w:id="189" w:name="zhongbiaopriceup"/>
      <w:bookmarkEnd w:id="189"/>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w:t>
      </w:r>
      <w:bookmarkStart w:id="190" w:name="zhongbiaopricelow_2"/>
      <w:bookmarkEnd w:id="190"/>
      <w:r>
        <w:rPr>
          <w:rStyle w:val="18"/>
          <w:rFonts w:hint="eastAsia" w:ascii="宋体" w:hAnsi="宋体" w:eastAsia="宋体" w:cs="宋体"/>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元）人民币。</w:t>
      </w:r>
    </w:p>
    <w:p w14:paraId="55691BE4">
      <w:pPr>
        <w:pStyle w:val="32"/>
        <w:spacing w:line="520" w:lineRule="atLeast"/>
        <w:ind w:firstLine="480"/>
        <w:jc w:val="left"/>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总价为综合报价，应包括但不限于人员费用（工资、福利、培训、社会保险等）、服务所用设备工具购置及维修费用、服务所用材料消耗费用、管理费用、利润、税金、政策性文件规定及合同包含的所有风险、责任等各项应有费用。</w:t>
      </w:r>
    </w:p>
    <w:p w14:paraId="52BFA130">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三、履约保证金</w:t>
      </w:r>
    </w:p>
    <w:p w14:paraId="284EE93C">
      <w:pPr>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合同签订前，乙方向采购单位交纳人民币</w:t>
      </w:r>
      <w:bookmarkStart w:id="191" w:name="lvbzj"/>
      <w:bookmarkEnd w:id="191"/>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元作为本合同的履约保证金。履约保证金应当以支票、汇票、本票或者金融机构、担保机构出具的保函等非现金形式提交。</w:t>
      </w:r>
    </w:p>
    <w:p w14:paraId="0605F83D">
      <w:pPr>
        <w:widowControl/>
        <w:spacing w:line="52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合同履行完毕退还履约保证金。</w:t>
      </w:r>
    </w:p>
    <w:p w14:paraId="1BAD4460">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3.3</w:t>
      </w:r>
      <w:r>
        <w:rPr>
          <w:rStyle w:val="18"/>
          <w:rFonts w:hint="eastAsia" w:ascii="宋体" w:hAnsi="宋体" w:cs="宋体"/>
          <w:color w:val="000000" w:themeColor="text1"/>
          <w:sz w:val="24"/>
          <w:highlight w:val="none"/>
          <w:lang w:val="en-US" w:eastAsia="zh-CN"/>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乙方不履行与甲方订立的合同的，履约保证金不予退还。</w:t>
      </w:r>
    </w:p>
    <w:p w14:paraId="13812023">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四、转包或分包</w:t>
      </w:r>
    </w:p>
    <w:p w14:paraId="16E148C7">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4.1 本合同范围的服务，应由乙方直接提供，不得转让他人提供；</w:t>
      </w:r>
    </w:p>
    <w:p w14:paraId="44D6F913">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4.2 如有转包和分包行为，甲方有权给予终止合同。</w:t>
      </w:r>
    </w:p>
    <w:p w14:paraId="3FCD8F13">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五、服务期限</w:t>
      </w:r>
    </w:p>
    <w:p w14:paraId="2D5564F8">
      <w:pPr>
        <w:pStyle w:val="32"/>
        <w:spacing w:line="520" w:lineRule="atLeast"/>
        <w:ind w:firstLine="480"/>
        <w:rPr>
          <w:rStyle w:val="18"/>
          <w:rFonts w:ascii="宋体" w:hAnsi="宋体" w:cs="宋体"/>
          <w:bCs/>
          <w:color w:val="000000" w:themeColor="text1"/>
          <w:sz w:val="24"/>
          <w:highlight w:val="none"/>
          <w14:textFill>
            <w14:solidFill>
              <w14:schemeClr w14:val="tx1"/>
            </w14:solidFill>
          </w14:textFill>
        </w:rPr>
      </w:pPr>
      <w:r>
        <w:rPr>
          <w:rStyle w:val="18"/>
          <w:rFonts w:hint="eastAsia" w:ascii="宋体" w:hAnsi="宋体" w:cs="宋体"/>
          <w:bCs/>
          <w:color w:val="000000" w:themeColor="text1"/>
          <w:sz w:val="24"/>
          <w:highlight w:val="none"/>
          <w14:textFill>
            <w14:solidFill>
              <w14:schemeClr w14:val="tx1"/>
            </w14:solidFill>
          </w14:textFill>
        </w:rPr>
        <w:t>5.1 服务期限：</w:t>
      </w:r>
      <w:bookmarkStart w:id="192" w:name="fuwuqixian"/>
      <w:bookmarkEnd w:id="192"/>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shd w:val="clear" w:color="auto" w:fill="auto"/>
          <w:lang w:val="en-US" w:eastAsia="zh-CN"/>
          <w14:textFill>
            <w14:solidFill>
              <w14:schemeClr w14:val="tx1"/>
            </w14:solidFill>
          </w14:textFill>
        </w:rPr>
        <w:t>。</w:t>
      </w:r>
    </w:p>
    <w:p w14:paraId="195D1DE1">
      <w:pPr>
        <w:pStyle w:val="32"/>
        <w:spacing w:line="520" w:lineRule="atLeast"/>
        <w:ind w:firstLine="480"/>
        <w:rPr>
          <w:rStyle w:val="18"/>
          <w:rFonts w:ascii="宋体" w:hAnsi="宋体" w:cs="宋体"/>
          <w:bCs/>
          <w:color w:val="000000" w:themeColor="text1"/>
          <w:sz w:val="24"/>
          <w:highlight w:val="none"/>
          <w14:textFill>
            <w14:solidFill>
              <w14:schemeClr w14:val="tx1"/>
            </w14:solidFill>
          </w14:textFill>
        </w:rPr>
      </w:pPr>
      <w:r>
        <w:rPr>
          <w:rStyle w:val="18"/>
          <w:rFonts w:hint="eastAsia" w:ascii="宋体" w:hAnsi="宋体" w:cs="宋体"/>
          <w:bCs/>
          <w:color w:val="000000" w:themeColor="text1"/>
          <w:sz w:val="24"/>
          <w:highlight w:val="none"/>
          <w14:textFill>
            <w14:solidFill>
              <w14:schemeClr w14:val="tx1"/>
            </w14:solidFill>
          </w14:textFill>
        </w:rPr>
        <w:t>5.2 服务响应：</w:t>
      </w:r>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shd w:val="clear" w:color="auto" w:fill="auto"/>
          <w:lang w:val="en-US" w:eastAsia="zh-CN"/>
          <w14:textFill>
            <w14:solidFill>
              <w14:schemeClr w14:val="tx1"/>
            </w14:solidFill>
          </w14:textFill>
        </w:rPr>
        <w:t>。</w:t>
      </w:r>
    </w:p>
    <w:p w14:paraId="0759B37E">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六、货款支付</w:t>
      </w:r>
    </w:p>
    <w:p w14:paraId="3F00759D">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bCs/>
          <w:color w:val="000000" w:themeColor="text1"/>
          <w:sz w:val="24"/>
          <w:highlight w:val="none"/>
          <w14:textFill>
            <w14:solidFill>
              <w14:schemeClr w14:val="tx1"/>
            </w14:solidFill>
          </w14:textFill>
        </w:rPr>
        <w:t xml:space="preserve">6.1 </w:t>
      </w:r>
      <w:r>
        <w:rPr>
          <w:rStyle w:val="18"/>
          <w:rFonts w:hint="eastAsia" w:ascii="宋体" w:hAnsi="宋体" w:cs="宋体"/>
          <w:color w:val="000000" w:themeColor="text1"/>
          <w:sz w:val="24"/>
          <w:highlight w:val="none"/>
          <w14:textFill>
            <w14:solidFill>
              <w14:schemeClr w14:val="tx1"/>
            </w14:solidFill>
          </w14:textFill>
        </w:rPr>
        <w:t>结付程序：</w:t>
      </w:r>
      <w:bookmarkStart w:id="193" w:name="jiefuchengxu"/>
      <w:bookmarkEnd w:id="193"/>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shd w:val="clear" w:color="auto" w:fill="auto"/>
          <w:lang w:val="en-US" w:eastAsia="zh-CN"/>
          <w14:textFill>
            <w14:solidFill>
              <w14:schemeClr w14:val="tx1"/>
            </w14:solidFill>
          </w14:textFill>
        </w:rPr>
        <w:t>。</w:t>
      </w:r>
    </w:p>
    <w:p w14:paraId="66E57A3A">
      <w:pPr>
        <w:pStyle w:val="32"/>
        <w:spacing w:line="520" w:lineRule="atLeast"/>
        <w:ind w:firstLine="480"/>
        <w:rPr>
          <w:rStyle w:val="18"/>
          <w:rFonts w:ascii="宋体" w:hAnsi="宋体" w:cs="宋体"/>
          <w:bCs/>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6.2结付期限：</w:t>
      </w:r>
      <w:bookmarkStart w:id="194" w:name="jiefuqixian"/>
      <w:bookmarkEnd w:id="194"/>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shd w:val="clear" w:color="auto" w:fill="auto"/>
          <w:lang w:val="en-US" w:eastAsia="zh-CN"/>
          <w14:textFill>
            <w14:solidFill>
              <w14:schemeClr w14:val="tx1"/>
            </w14:solidFill>
          </w14:textFill>
        </w:rPr>
        <w:t>。</w:t>
      </w:r>
    </w:p>
    <w:p w14:paraId="2FFC44D4">
      <w:pPr>
        <w:pStyle w:val="32"/>
        <w:spacing w:line="520" w:lineRule="atLeast"/>
        <w:ind w:firstLine="47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6.3乙方收款账户：</w:t>
      </w:r>
      <w:bookmarkStart w:id="195" w:name="yifangzhanghao"/>
      <w:bookmarkEnd w:id="195"/>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w:t>
      </w:r>
    </w:p>
    <w:p w14:paraId="66FFAF17">
      <w:pPr>
        <w:pStyle w:val="33"/>
        <w:spacing w:line="520" w:lineRule="atLeast"/>
        <w:rPr>
          <w:rStyle w:val="18"/>
          <w:rFonts w:cs="宋体"/>
          <w:color w:val="000000" w:themeColor="text1"/>
          <w:highlight w:val="none"/>
          <w14:textFill>
            <w14:solidFill>
              <w14:schemeClr w14:val="tx1"/>
            </w14:solidFill>
          </w14:textFill>
        </w:rPr>
      </w:pPr>
      <w:r>
        <w:rPr>
          <w:rStyle w:val="18"/>
          <w:rFonts w:hint="eastAsia" w:cs="宋体"/>
          <w:color w:val="000000" w:themeColor="text1"/>
          <w:highlight w:val="none"/>
          <w14:textFill>
            <w14:solidFill>
              <w14:schemeClr w14:val="tx1"/>
            </w14:solidFill>
          </w14:textFill>
        </w:rPr>
        <w:t>6.4甲方合同款支付方式：</w:t>
      </w:r>
      <w:bookmarkStart w:id="196" w:name="hetongzhifutype"/>
      <w:bookmarkEnd w:id="196"/>
      <w:r>
        <w:rPr>
          <w:rStyle w:val="18"/>
          <w:rFonts w:hint="eastAsia" w:ascii="宋体" w:hAnsi="宋体" w:eastAsia="宋体" w:cs="宋体"/>
          <w:bCs/>
          <w:caps w:val="0"/>
          <w:smallCaps w:val="0"/>
          <w:color w:val="000000" w:themeColor="text1"/>
          <w:spacing w:val="0"/>
          <w:sz w:val="24"/>
          <w:highlight w:val="none"/>
          <w:u w:val="single"/>
          <w:shd w:val="clear" w:color="auto" w:fill="auto"/>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Cs/>
          <w:caps w:val="0"/>
          <w:smallCaps w:val="0"/>
          <w:color w:val="000000" w:themeColor="text1"/>
          <w:spacing w:val="0"/>
          <w:sz w:val="24"/>
          <w:highlight w:val="none"/>
          <w:shd w:val="clear" w:color="auto" w:fill="auto"/>
          <w:lang w:val="en-US" w:eastAsia="zh-CN"/>
          <w14:textFill>
            <w14:solidFill>
              <w14:schemeClr w14:val="tx1"/>
            </w14:solidFill>
          </w14:textFill>
        </w:rPr>
        <w:t>。</w:t>
      </w:r>
      <w:r>
        <w:rPr>
          <w:rStyle w:val="18"/>
          <w:rFonts w:hint="eastAsia" w:cs="宋体"/>
          <w:color w:val="000000" w:themeColor="text1"/>
          <w:highlight w:val="none"/>
          <w14:textFill>
            <w14:solidFill>
              <w14:schemeClr w14:val="tx1"/>
            </w14:solidFill>
          </w14:textFill>
        </w:rPr>
        <w:t>（若乙方为中小企业，不得强制其接受非现金支付方式）。</w:t>
      </w:r>
    </w:p>
    <w:p w14:paraId="3E745381">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七、税</w:t>
      </w:r>
    </w:p>
    <w:p w14:paraId="1512EFB1">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7.1 本合同执行中相关的一切税费均由乙方负担。</w:t>
      </w:r>
    </w:p>
    <w:p w14:paraId="3BDC33E1">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八、管理事项</w:t>
      </w:r>
    </w:p>
    <w:p w14:paraId="60B1CFD1">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8.1 按招标内容要求以及响应单位的承诺项目阐述。</w:t>
      </w:r>
    </w:p>
    <w:p w14:paraId="7C14C60F">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九、双方权利义务</w:t>
      </w:r>
    </w:p>
    <w:p w14:paraId="63FDA829">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9.1 甲方的权利和义务</w:t>
      </w:r>
    </w:p>
    <w:p w14:paraId="6FC2031D">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(1)甲方制定的委托乙方承担的项目管理内容（详见项目需求）。</w:t>
      </w:r>
    </w:p>
    <w:p w14:paraId="1ED56DA2">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(2)检查监督乙方管理工作的实施及制度的执行情况，并进行考核。</w:t>
      </w:r>
    </w:p>
    <w:p w14:paraId="3B2450FC">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(3)审定乙方提出的项目管理计划。</w:t>
      </w:r>
    </w:p>
    <w:p w14:paraId="3A219D56">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(4)协调处理本合同生效前发生的管理遗留问题。</w:t>
      </w:r>
    </w:p>
    <w:p w14:paraId="2FC6A689">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(5)协助乙方做好项目管理工作的宣传教育。</w:t>
      </w:r>
    </w:p>
    <w:p w14:paraId="3A4954CD">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(6)乙方有违约行为的，甲方有权解除合同并没收履约保证金及向乙方支付实际合同期内扣除考核扣款后的全部余款。</w:t>
      </w:r>
    </w:p>
    <w:p w14:paraId="1F6F2280">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(7)甲方有权对中标后再转包或分包的乙方终止承包合同。</w:t>
      </w:r>
    </w:p>
    <w:p w14:paraId="601ED819">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(8)甲方有权在服务期内根据实际情况提出修改考核细则，并经与乙方协商确认后，按新的考核细则执行考核。</w:t>
      </w:r>
    </w:p>
    <w:p w14:paraId="6B563067">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9.2 乙方的权利和义务</w:t>
      </w:r>
    </w:p>
    <w:p w14:paraId="040FB95B">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(1)根据有关法律、法规及本合同的约定，制订项目管理制度。</w:t>
      </w:r>
    </w:p>
    <w:p w14:paraId="7FEB3294">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(2)按合同约定，履行项目管理职责。</w:t>
      </w:r>
    </w:p>
    <w:p w14:paraId="251CBA45">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(3)负责编制项目管理年度管理计划。</w:t>
      </w:r>
    </w:p>
    <w:p w14:paraId="76B0FCA5">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(4)工作人员统一着装，并作好相关劳动安全防护工作，严格遵守各项管理规定。</w:t>
      </w:r>
    </w:p>
    <w:p w14:paraId="127E030A">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(5)乙方必须规范用工，签订用工合同。</w:t>
      </w:r>
    </w:p>
    <w:p w14:paraId="203371F0">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(6)本合同终止时，乙方须向甲方移交项目管理全部档案资料。</w:t>
      </w:r>
    </w:p>
    <w:p w14:paraId="2C59A54D">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十、服务质量</w:t>
      </w:r>
    </w:p>
    <w:p w14:paraId="24701006">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10.1 乙方提供的管理服务应达到投标文件所约定的目标。对达标的理解有异议的，由双方共同认可的第三方予以评定。</w:t>
      </w:r>
    </w:p>
    <w:p w14:paraId="77A80C66">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十一、违约责任</w:t>
      </w:r>
    </w:p>
    <w:p w14:paraId="0053F6D6">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11.1</w:t>
      </w:r>
      <w:r>
        <w:rPr>
          <w:rStyle w:val="18"/>
          <w:rFonts w:hint="eastAsia" w:ascii="宋体" w:hAnsi="宋体" w:cs="宋体"/>
          <w:color w:val="000000" w:themeColor="text1"/>
          <w:sz w:val="24"/>
          <w:highlight w:val="none"/>
          <w:lang w:val="en-US" w:eastAsia="zh-CN"/>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甲方违反合同的约定，使乙方未完成规定管理目标，乙方有权要求甲方在一定期限内解决，逾期未解决的，乙方有权终止合同，造成乙方经济损失的，甲方给予乙方经济赔偿。</w:t>
      </w:r>
    </w:p>
    <w:p w14:paraId="1AE3F537">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11.2</w:t>
      </w:r>
      <w:r>
        <w:rPr>
          <w:rStyle w:val="18"/>
          <w:rFonts w:hint="eastAsia" w:ascii="宋体" w:hAnsi="宋体" w:cs="宋体"/>
          <w:color w:val="000000" w:themeColor="text1"/>
          <w:sz w:val="24"/>
          <w:highlight w:val="none"/>
          <w:lang w:val="en-US" w:eastAsia="zh-CN"/>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甲方对乙方进行考核</w:t>
      </w:r>
      <w:r>
        <w:rPr>
          <w:rStyle w:val="18"/>
          <w:rFonts w:hint="eastAsia" w:ascii="宋体" w:hAnsi="宋体" w:cs="宋体"/>
          <w:b/>
          <w:color w:val="000000" w:themeColor="text1"/>
          <w:sz w:val="24"/>
          <w:highlight w:val="none"/>
          <w14:textFill>
            <w14:solidFill>
              <w14:schemeClr w14:val="tx1"/>
            </w14:solidFill>
          </w14:textFill>
        </w:rPr>
        <w:t>，</w:t>
      </w:r>
      <w:r>
        <w:rPr>
          <w:rStyle w:val="18"/>
          <w:rFonts w:hint="eastAsia" w:ascii="宋体" w:hAnsi="宋体" w:cs="宋体"/>
          <w:bCs/>
          <w:color w:val="000000" w:themeColor="text1"/>
          <w:sz w:val="24"/>
          <w:highlight w:val="none"/>
          <w14:textFill>
            <w14:solidFill>
              <w14:schemeClr w14:val="tx1"/>
            </w14:solidFill>
          </w14:textFill>
        </w:rPr>
        <w:t>按考核结果给付费用。</w:t>
      </w:r>
      <w:r>
        <w:rPr>
          <w:rStyle w:val="18"/>
          <w:rFonts w:hint="eastAsia" w:ascii="宋体" w:hAnsi="宋体" w:cs="宋体"/>
          <w:color w:val="000000" w:themeColor="text1"/>
          <w:sz w:val="24"/>
          <w:highlight w:val="none"/>
          <w14:textFill>
            <w14:solidFill>
              <w14:schemeClr w14:val="tx1"/>
            </w14:solidFill>
          </w14:textFill>
        </w:rPr>
        <w:t>甲方逾期办理合同款支付的</w:t>
      </w:r>
      <w:r>
        <w:rPr>
          <w:rStyle w:val="18"/>
          <w:rFonts w:hint="eastAsia" w:ascii="宋体" w:hAnsi="宋体" w:cs="宋体"/>
          <w:color w:val="000000" w:themeColor="text1"/>
          <w:sz w:val="24"/>
          <w:highlight w:val="none"/>
          <w:lang w:eastAsia="zh-CN"/>
          <w14:textFill>
            <w14:solidFill>
              <w14:schemeClr w14:val="tx1"/>
            </w14:solidFill>
          </w14:textFill>
        </w:rPr>
        <w:t>，</w:t>
      </w:r>
      <w:r>
        <w:rPr>
          <w:rStyle w:val="18"/>
          <w:rFonts w:hint="eastAsia" w:ascii="宋体" w:hAnsi="宋体" w:cs="宋体"/>
          <w:color w:val="000000" w:themeColor="text1"/>
          <w:sz w:val="24"/>
          <w:highlight w:val="none"/>
          <w14:textFill>
            <w14:solidFill>
              <w14:schemeClr w14:val="tx1"/>
            </w14:solidFill>
          </w14:textFill>
        </w:rPr>
        <w:t>应当支付逾期利息，且逾期利息的利率不得低于合同订立时1年期贷款市场报价利率。</w:t>
      </w:r>
    </w:p>
    <w:p w14:paraId="201C0D61">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11.3</w:t>
      </w:r>
      <w:r>
        <w:rPr>
          <w:rStyle w:val="18"/>
          <w:rFonts w:hint="eastAsia" w:ascii="宋体" w:hAnsi="宋体" w:cs="宋体"/>
          <w:color w:val="000000" w:themeColor="text1"/>
          <w:sz w:val="24"/>
          <w:highlight w:val="none"/>
          <w:lang w:val="en-US" w:eastAsia="zh-CN"/>
          <w14:textFill>
            <w14:solidFill>
              <w14:schemeClr w14:val="tx1"/>
            </w14:solidFill>
          </w14:textFill>
        </w:rPr>
        <w:t xml:space="preserve"> </w:t>
      </w:r>
      <w:r>
        <w:rPr>
          <w:rStyle w:val="18"/>
          <w:rFonts w:hint="eastAsia" w:ascii="宋体" w:hAnsi="宋体" w:cs="宋体"/>
          <w:color w:val="000000" w:themeColor="text1"/>
          <w:sz w:val="24"/>
          <w:highlight w:val="none"/>
          <w14:textFill>
            <w14:solidFill>
              <w14:schemeClr w14:val="tx1"/>
            </w14:solidFill>
          </w14:textFill>
        </w:rPr>
        <w:t>乙方违反合同的约定，未能达到约定的管理目标，甲方有权要求乙方限期整改，逾期未整改的，甲方有权终止合同，造成甲方经济损失的，乙方给予甲方赔偿。</w:t>
      </w:r>
    </w:p>
    <w:p w14:paraId="593835D0">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11.4 本合同生效后，甲乙双方任何一方无正当理由要求终止合同的，除双方签订补充协议外，责任方须按本合同及其补充协议的有关条款之规定承担违约责任，并应向对方支付合同金额10%的违约金。</w:t>
      </w:r>
    </w:p>
    <w:p w14:paraId="1D14374B">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十二、不可抗力事件处理</w:t>
      </w:r>
    </w:p>
    <w:p w14:paraId="14EF6884">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12.1 在合同有效期内，任何一方因不可抗力事件导致不能履行合同，则合同履行期可延长，其延长期与不可抗力影响期相同。</w:t>
      </w:r>
    </w:p>
    <w:p w14:paraId="3B1B6E08">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12.2 不可抗力事件发生后，应立即通知对方，并寄送有关权威机构出具的证明。</w:t>
      </w:r>
    </w:p>
    <w:p w14:paraId="79E2EA59">
      <w:pPr>
        <w:pStyle w:val="32"/>
        <w:spacing w:line="520" w:lineRule="atLeast"/>
        <w:ind w:firstLine="47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12.3 不可抗力事件延续120天以上，双方应通过友好协商，确定是否继续履行合同。</w:t>
      </w:r>
    </w:p>
    <w:p w14:paraId="3A2725C1">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十三、诉讼</w:t>
      </w:r>
    </w:p>
    <w:p w14:paraId="525F9AEE">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13.1 双方在执行合同中所发生的一切争议，应通过协商解决。如协商不成，可向合同签订地法院起诉，合同签订地在此约定为张家港市。</w:t>
      </w:r>
    </w:p>
    <w:p w14:paraId="19E8752F">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十四、合同其他文件</w:t>
      </w:r>
    </w:p>
    <w:p w14:paraId="567AC61F">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14.1下列文件为本合同不可分割部份，与本合同具有同等效力。</w:t>
      </w:r>
    </w:p>
    <w:p w14:paraId="448D638B">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(1)中标通知书；</w:t>
      </w:r>
    </w:p>
    <w:p w14:paraId="7EEC00A0">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(2)乙方中标的投标文件；</w:t>
      </w:r>
    </w:p>
    <w:p w14:paraId="26C47AB4">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(3)招标文件；</w:t>
      </w:r>
    </w:p>
    <w:p w14:paraId="7435A1A6">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(4)乙方在招投标过程中所作的其他承诺、声明、书面澄清等。</w:t>
      </w:r>
    </w:p>
    <w:p w14:paraId="3D1F0156">
      <w:pPr>
        <w:spacing w:line="520" w:lineRule="atLeas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十五、合同生效及其它</w:t>
      </w:r>
    </w:p>
    <w:p w14:paraId="0A02BD73">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15.1合同经双方法定代表人</w:t>
      </w:r>
      <w:r>
        <w:rPr>
          <w:rStyle w:val="18"/>
          <w:rFonts w:hint="eastAsia" w:ascii="宋体" w:hAnsi="宋体" w:cs="宋体"/>
          <w:bCs/>
          <w:color w:val="000000" w:themeColor="text1"/>
          <w:sz w:val="24"/>
          <w:highlight w:val="none"/>
          <w14:textFill>
            <w14:solidFill>
              <w14:schemeClr w14:val="tx1"/>
            </w14:solidFill>
          </w14:textFill>
        </w:rPr>
        <w:t>（或负责人）</w:t>
      </w:r>
      <w:r>
        <w:rPr>
          <w:rStyle w:val="18"/>
          <w:rFonts w:hint="eastAsia" w:ascii="宋体" w:hAnsi="宋体" w:cs="宋体"/>
          <w:color w:val="000000" w:themeColor="text1"/>
          <w:sz w:val="24"/>
          <w:highlight w:val="none"/>
          <w14:textFill>
            <w14:solidFill>
              <w14:schemeClr w14:val="tx1"/>
            </w14:solidFill>
          </w14:textFill>
        </w:rPr>
        <w:t>或授权委托代表人签字并加盖单位公章后生效,生效后至张家港市政府采购管理中心备案。</w:t>
      </w:r>
    </w:p>
    <w:p w14:paraId="6BB6F8BB">
      <w:pPr>
        <w:pStyle w:val="32"/>
        <w:spacing w:line="520" w:lineRule="atLeast"/>
        <w:ind w:firstLine="48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15.2 本合同未尽事宜，遵照《民法典》合同编经甲乙双方协商一致可签订补充协议。</w:t>
      </w:r>
    </w:p>
    <w:p w14:paraId="4D891B5A">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甲方：</w:t>
      </w:r>
      <w:bookmarkStart w:id="197" w:name="jianshedanwei_2"/>
      <w:bookmarkEnd w:id="197"/>
    </w:p>
    <w:p w14:paraId="08EB5C34">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地址：</w:t>
      </w:r>
      <w:bookmarkStart w:id="198" w:name="jianshedanweiaddress"/>
      <w:bookmarkEnd w:id="198"/>
    </w:p>
    <w:p w14:paraId="11AB1A35">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法定代表人或授权代表：</w:t>
      </w:r>
      <w:bookmarkStart w:id="199" w:name="jianshedanweifaren"/>
      <w:bookmarkEnd w:id="199"/>
    </w:p>
    <w:p w14:paraId="59FB07FE">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联系电话：</w:t>
      </w:r>
      <w:bookmarkStart w:id="200" w:name="jianshedanweifarentel"/>
      <w:bookmarkEnd w:id="200"/>
    </w:p>
    <w:p w14:paraId="3CFDDF57">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签订日期：</w:t>
      </w:r>
      <w:bookmarkStart w:id="201" w:name="jiafangqiandingdate"/>
      <w:r>
        <w:rPr>
          <w:rStyle w:val="18"/>
          <w:rFonts w:hint="eastAsia" w:ascii="宋体" w:hAnsi="宋体" w:cs="宋体"/>
          <w:color w:val="000000" w:themeColor="text1"/>
          <w:sz w:val="24"/>
          <w:highlight w:val="none"/>
          <w14:textFill>
            <w14:solidFill>
              <w14:schemeClr w14:val="tx1"/>
            </w14:solidFill>
          </w14:textFill>
        </w:rPr>
        <w:t xml:space="preserve">      年    月  日</w:t>
      </w:r>
      <w:bookmarkEnd w:id="201"/>
    </w:p>
    <w:p w14:paraId="30521964">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p>
    <w:p w14:paraId="3AB07B38">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乙方：</w:t>
      </w:r>
      <w:bookmarkStart w:id="202" w:name="zhongbiaodanweiname_2"/>
      <w:bookmarkEnd w:id="202"/>
    </w:p>
    <w:p w14:paraId="0AB00E35">
      <w:pPr>
        <w:pStyle w:val="33"/>
        <w:spacing w:line="520" w:lineRule="atLeast"/>
        <w:ind w:firstLine="0"/>
        <w:rPr>
          <w:rStyle w:val="18"/>
          <w:rFonts w:cs="宋体"/>
          <w:color w:val="000000" w:themeColor="text1"/>
          <w:highlight w:val="none"/>
          <w14:textFill>
            <w14:solidFill>
              <w14:schemeClr w14:val="tx1"/>
            </w14:solidFill>
          </w14:textFill>
        </w:rPr>
      </w:pPr>
      <w:r>
        <w:rPr>
          <w:rStyle w:val="18"/>
          <w:rFonts w:hint="eastAsia" w:cs="宋体"/>
          <w:color w:val="000000" w:themeColor="text1"/>
          <w:highlight w:val="none"/>
          <w14:textFill>
            <w14:solidFill>
              <w14:schemeClr w14:val="tx1"/>
            </w14:solidFill>
          </w14:textFill>
        </w:rPr>
        <w:t>地址：</w:t>
      </w:r>
      <w:bookmarkStart w:id="203" w:name="zhongbiaodanweiaddress"/>
      <w:bookmarkEnd w:id="203"/>
    </w:p>
    <w:p w14:paraId="7EBAE435">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法定代表人</w:t>
      </w:r>
      <w:r>
        <w:rPr>
          <w:rStyle w:val="18"/>
          <w:rFonts w:hint="eastAsia" w:ascii="宋体" w:hAnsi="宋体" w:cs="宋体"/>
          <w:bCs/>
          <w:color w:val="000000" w:themeColor="text1"/>
          <w:sz w:val="24"/>
          <w:highlight w:val="none"/>
          <w14:textFill>
            <w14:solidFill>
              <w14:schemeClr w14:val="tx1"/>
            </w14:solidFill>
          </w14:textFill>
        </w:rPr>
        <w:t>（或负责人）</w:t>
      </w:r>
      <w:r>
        <w:rPr>
          <w:rStyle w:val="18"/>
          <w:rFonts w:hint="eastAsia" w:ascii="宋体" w:hAnsi="宋体" w:cs="宋体"/>
          <w:color w:val="000000" w:themeColor="text1"/>
          <w:sz w:val="24"/>
          <w:highlight w:val="none"/>
          <w14:textFill>
            <w14:solidFill>
              <w14:schemeClr w14:val="tx1"/>
            </w14:solidFill>
          </w14:textFill>
        </w:rPr>
        <w:t>或授权代表：</w:t>
      </w:r>
      <w:bookmarkStart w:id="204" w:name="zhongbiaodanweifaren"/>
      <w:bookmarkEnd w:id="204"/>
    </w:p>
    <w:p w14:paraId="2FC024A5">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联系电话：</w:t>
      </w:r>
      <w:bookmarkStart w:id="205" w:name="zhongbiaodanweifarentel"/>
      <w:bookmarkEnd w:id="205"/>
    </w:p>
    <w:p w14:paraId="7B629B74">
      <w:pPr>
        <w:pStyle w:val="32"/>
        <w:spacing w:line="520" w:lineRule="atLeast"/>
        <w:ind w:firstLine="0"/>
        <w:rPr>
          <w:rStyle w:val="18"/>
          <w:rFonts w:ascii="宋体" w:hAnsi="宋体" w:cs="宋体"/>
          <w:color w:val="000000" w:themeColor="text1"/>
          <w:sz w:val="24"/>
          <w:highlight w:val="none"/>
          <w14:textFill>
            <w14:solidFill>
              <w14:schemeClr w14:val="tx1"/>
            </w14:solidFill>
          </w14:textFill>
        </w:rPr>
      </w:pPr>
      <w:r>
        <w:rPr>
          <w:rStyle w:val="18"/>
          <w:rFonts w:hint="eastAsia" w:ascii="宋体" w:hAnsi="宋体" w:cs="宋体"/>
          <w:color w:val="000000" w:themeColor="text1"/>
          <w:sz w:val="24"/>
          <w:highlight w:val="none"/>
          <w14:textFill>
            <w14:solidFill>
              <w14:schemeClr w14:val="tx1"/>
            </w14:solidFill>
          </w14:textFill>
        </w:rPr>
        <w:t xml:space="preserve">签订日期： </w:t>
      </w:r>
      <w:bookmarkStart w:id="206" w:name="yifangqiandingdate"/>
      <w:r>
        <w:rPr>
          <w:rStyle w:val="18"/>
          <w:rFonts w:hint="eastAsia" w:ascii="宋体" w:hAnsi="宋体" w:cs="宋体"/>
          <w:color w:val="000000" w:themeColor="text1"/>
          <w:sz w:val="24"/>
          <w:highlight w:val="none"/>
          <w14:textFill>
            <w14:solidFill>
              <w14:schemeClr w14:val="tx1"/>
            </w14:solidFill>
          </w14:textFill>
        </w:rPr>
        <w:t xml:space="preserve">     年    月  日</w:t>
      </w:r>
      <w:bookmarkEnd w:id="180"/>
      <w:bookmarkEnd w:id="206"/>
    </w:p>
    <w:p w14:paraId="6EDB8F38">
      <w:pPr>
        <w:pStyle w:val="33"/>
        <w:ind w:firstLine="0"/>
        <w:rPr>
          <w:rStyle w:val="18"/>
          <w:rFonts w:cs="宋体"/>
          <w:color w:val="000000" w:themeColor="text1"/>
          <w:highlight w:val="none"/>
          <w14:textFill>
            <w14:solidFill>
              <w14:schemeClr w14:val="tx1"/>
            </w14:solidFill>
          </w14:textFill>
        </w:rPr>
      </w:pPr>
    </w:p>
    <w:p w14:paraId="118940C8">
      <w:pPr>
        <w:spacing w:line="520" w:lineRule="atLeast"/>
        <w:rPr>
          <w:rFonts w:ascii="宋体" w:hAnsi="宋体" w:cs="宋体"/>
          <w:color w:val="000000" w:themeColor="text1"/>
          <w:sz w:val="20"/>
          <w:highlight w:val="none"/>
          <w14:textFill>
            <w14:solidFill>
              <w14:schemeClr w14:val="tx1"/>
            </w14:solidFill>
          </w14:textFill>
        </w:rPr>
        <w:sectPr>
          <w:headerReference r:id="rId13" w:type="first"/>
          <w:headerReference r:id="rId12" w:type="default"/>
          <w:pgSz w:w="11906" w:h="16838"/>
          <w:pgMar w:top="1440" w:right="1083" w:bottom="1440" w:left="1083" w:header="851" w:footer="992" w:gutter="0"/>
          <w:cols w:space="1701" w:num="1"/>
          <w:titlePg/>
          <w:docGrid w:linePitch="360" w:charSpace="0"/>
        </w:sectPr>
      </w:pPr>
    </w:p>
    <w:p w14:paraId="18F3293F">
      <w:pPr>
        <w:pStyle w:val="13"/>
        <w:spacing w:before="313" w:after="313"/>
        <w:rPr>
          <w:rFonts w:ascii="宋体" w:hAnsi="宋体" w:eastAsia="宋体" w:cs="宋体"/>
          <w:color w:val="000000" w:themeColor="text1"/>
          <w:highlight w:val="none"/>
          <w14:textFill>
            <w14:solidFill>
              <w14:schemeClr w14:val="tx1"/>
            </w14:solidFill>
          </w14:textFill>
        </w:rPr>
      </w:pPr>
      <w:bookmarkStart w:id="207" w:name="_Hlt16619350"/>
      <w:bookmarkStart w:id="208" w:name="_Toc24253"/>
      <w:bookmarkStart w:id="209" w:name="_Toc38368128"/>
      <w:bookmarkStart w:id="210" w:name="_Toc54615246"/>
      <w:bookmarkStart w:id="211" w:name="_Toc16938590"/>
      <w:bookmarkStart w:id="212" w:name="_Toc35266028"/>
      <w:bookmarkStart w:id="213" w:name="_Toc120614244"/>
      <w:bookmarkStart w:id="214" w:name="_Toc20823346"/>
      <w:r>
        <w:rPr>
          <w:rFonts w:hint="eastAsia" w:ascii="宋体" w:hAnsi="宋体" w:eastAsia="宋体" w:cs="宋体"/>
          <w:color w:val="000000" w:themeColor="text1"/>
          <w:highlight w:val="none"/>
          <w14:textFill>
            <w14:solidFill>
              <w14:schemeClr w14:val="tx1"/>
            </w14:solidFill>
          </w14:textFill>
        </w:rPr>
        <w:t>第</w:t>
      </w:r>
      <w:bookmarkEnd w:id="207"/>
      <w:r>
        <w:rPr>
          <w:rFonts w:hint="eastAsia" w:ascii="宋体" w:hAnsi="宋体" w:eastAsia="宋体" w:cs="宋体"/>
          <w:color w:val="000000" w:themeColor="text1"/>
          <w:highlight w:val="none"/>
          <w14:textFill>
            <w14:solidFill>
              <w14:schemeClr w14:val="tx1"/>
            </w14:solidFill>
          </w14:textFill>
        </w:rPr>
        <w:t>四章 项目需求</w:t>
      </w:r>
      <w:bookmarkEnd w:id="208"/>
      <w:bookmarkEnd w:id="209"/>
      <w:bookmarkEnd w:id="210"/>
      <w:bookmarkEnd w:id="211"/>
      <w:bookmarkEnd w:id="212"/>
      <w:bookmarkEnd w:id="213"/>
      <w:bookmarkEnd w:id="214"/>
      <w:bookmarkStart w:id="215" w:name="_Toc350255489"/>
      <w:bookmarkEnd w:id="215"/>
      <w:bookmarkStart w:id="216" w:name="_Toc319429198"/>
      <w:bookmarkEnd w:id="216"/>
      <w:bookmarkStart w:id="217" w:name="_Toc274321794"/>
      <w:bookmarkEnd w:id="217"/>
      <w:bookmarkStart w:id="218" w:name="_Toc483515625"/>
      <w:bookmarkEnd w:id="218"/>
      <w:bookmarkStart w:id="219" w:name="_Toc26554093"/>
      <w:bookmarkStart w:id="220" w:name="_Toc49090575"/>
    </w:p>
    <w:p w14:paraId="588BB6DF">
      <w:pPr>
        <w:spacing w:line="360" w:lineRule="auto"/>
        <w:rPr>
          <w:rFonts w:ascii="宋体" w:hAnsi="宋体" w:cs="宋体"/>
          <w:b/>
          <w:color w:val="000000" w:themeColor="text1"/>
          <w:sz w:val="28"/>
          <w:szCs w:val="28"/>
          <w:highlight w:val="none"/>
          <w14:textFill>
            <w14:solidFill>
              <w14:schemeClr w14:val="tx1"/>
            </w14:solidFill>
          </w14:textFill>
        </w:rPr>
      </w:pPr>
      <w:bookmarkStart w:id="221" w:name="_Toc120614281"/>
      <w:r>
        <w:rPr>
          <w:rFonts w:hint="eastAsia" w:ascii="宋体" w:hAnsi="宋体" w:cs="宋体"/>
          <w:b/>
          <w:color w:val="000000" w:themeColor="text1"/>
          <w:sz w:val="28"/>
          <w:szCs w:val="28"/>
          <w:highlight w:val="none"/>
          <w14:textFill>
            <w14:solidFill>
              <w14:schemeClr w14:val="tx1"/>
            </w14:solidFill>
          </w14:textFill>
        </w:rPr>
        <w:t>一、清单</w:t>
      </w:r>
    </w:p>
    <w:p w14:paraId="4F2015FC">
      <w:pPr>
        <w:pStyle w:val="34"/>
        <w:spacing w:line="440" w:lineRule="exact"/>
        <w:ind w:firstLine="500"/>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1.清单</w:t>
      </w:r>
    </w:p>
    <w:tbl>
      <w:tblPr>
        <w:tblStyle w:val="8"/>
        <w:tblW w:w="49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8" w:type="dxa"/>
          <w:bottom w:w="100" w:type="dxa"/>
          <w:right w:w="108" w:type="dxa"/>
        </w:tblCellMar>
      </w:tblPr>
      <w:tblGrid>
        <w:gridCol w:w="514"/>
        <w:gridCol w:w="1432"/>
        <w:gridCol w:w="795"/>
        <w:gridCol w:w="555"/>
        <w:gridCol w:w="525"/>
        <w:gridCol w:w="4515"/>
        <w:gridCol w:w="788"/>
        <w:gridCol w:w="653"/>
      </w:tblGrid>
      <w:tr w14:paraId="1913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14" w:type="dxa"/>
            <w:noWrap/>
            <w:tcMar>
              <w:top w:w="100" w:type="dxa"/>
              <w:bottom w:w="100" w:type="dxa"/>
            </w:tcMar>
            <w:vAlign w:val="center"/>
          </w:tcPr>
          <w:p w14:paraId="1F90D42F">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序号</w:t>
            </w:r>
          </w:p>
        </w:tc>
        <w:tc>
          <w:tcPr>
            <w:tcW w:w="1432" w:type="dxa"/>
            <w:noWrap/>
            <w:tcMar>
              <w:top w:w="100" w:type="dxa"/>
              <w:bottom w:w="100" w:type="dxa"/>
            </w:tcMar>
            <w:vAlign w:val="center"/>
          </w:tcPr>
          <w:p w14:paraId="082320D5">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名称</w:t>
            </w:r>
          </w:p>
        </w:tc>
        <w:tc>
          <w:tcPr>
            <w:tcW w:w="795" w:type="dxa"/>
            <w:noWrap/>
            <w:tcMar>
              <w:top w:w="100" w:type="dxa"/>
              <w:bottom w:w="100" w:type="dxa"/>
            </w:tcMar>
            <w:vAlign w:val="center"/>
          </w:tcPr>
          <w:p w14:paraId="74DAE821">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数量</w:t>
            </w:r>
          </w:p>
        </w:tc>
        <w:tc>
          <w:tcPr>
            <w:tcW w:w="555" w:type="dxa"/>
            <w:noWrap/>
            <w:tcMar>
              <w:top w:w="100" w:type="dxa"/>
              <w:bottom w:w="100" w:type="dxa"/>
            </w:tcMar>
            <w:vAlign w:val="center"/>
          </w:tcPr>
          <w:p w14:paraId="40B1531E">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单位</w:t>
            </w:r>
          </w:p>
        </w:tc>
        <w:tc>
          <w:tcPr>
            <w:tcW w:w="525" w:type="dxa"/>
            <w:noWrap/>
            <w:tcMar>
              <w:top w:w="100" w:type="dxa"/>
              <w:bottom w:w="100" w:type="dxa"/>
            </w:tcMar>
            <w:vAlign w:val="center"/>
          </w:tcPr>
          <w:p w14:paraId="655B9E18">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图片</w:t>
            </w:r>
          </w:p>
        </w:tc>
        <w:tc>
          <w:tcPr>
            <w:tcW w:w="4515" w:type="dxa"/>
            <w:noWrap/>
            <w:tcMar>
              <w:top w:w="100" w:type="dxa"/>
              <w:bottom w:w="100" w:type="dxa"/>
            </w:tcMar>
            <w:vAlign w:val="center"/>
          </w:tcPr>
          <w:p w14:paraId="752D12F9">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所属行业</w:t>
            </w:r>
          </w:p>
        </w:tc>
        <w:tc>
          <w:tcPr>
            <w:tcW w:w="788" w:type="dxa"/>
            <w:noWrap/>
            <w:tcMar>
              <w:top w:w="100" w:type="dxa"/>
              <w:bottom w:w="100" w:type="dxa"/>
            </w:tcMar>
            <w:vAlign w:val="center"/>
          </w:tcPr>
          <w:p w14:paraId="137CDE26">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标的类型</w:t>
            </w:r>
          </w:p>
        </w:tc>
        <w:tc>
          <w:tcPr>
            <w:tcW w:w="653" w:type="dxa"/>
            <w:noWrap/>
            <w:tcMar>
              <w:top w:w="100" w:type="dxa"/>
              <w:bottom w:w="100" w:type="dxa"/>
            </w:tcMar>
            <w:vAlign w:val="center"/>
          </w:tcPr>
          <w:p w14:paraId="26535C40">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标的属性</w:t>
            </w:r>
          </w:p>
        </w:tc>
      </w:tr>
      <w:tr w14:paraId="5CFE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14" w:type="dxa"/>
            <w:noWrap/>
            <w:tcMar>
              <w:top w:w="100" w:type="dxa"/>
              <w:bottom w:w="100" w:type="dxa"/>
            </w:tcMar>
            <w:vAlign w:val="center"/>
          </w:tcPr>
          <w:p w14:paraId="5346F556">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1</w:t>
            </w:r>
          </w:p>
        </w:tc>
        <w:tc>
          <w:tcPr>
            <w:tcW w:w="1432" w:type="dxa"/>
            <w:noWrap/>
            <w:tcMar>
              <w:top w:w="100" w:type="dxa"/>
              <w:bottom w:w="100" w:type="dxa"/>
            </w:tcMar>
            <w:vAlign w:val="center"/>
          </w:tcPr>
          <w:p w14:paraId="4C915613">
            <w:pPr>
              <w:pStyle w:val="35"/>
              <w:jc w:val="center"/>
              <w:rPr>
                <w:rStyle w:val="18"/>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2025年度白蚁等害堤动物普查及治理项目</w:t>
            </w:r>
          </w:p>
        </w:tc>
        <w:tc>
          <w:tcPr>
            <w:tcW w:w="795" w:type="dxa"/>
            <w:noWrap/>
            <w:tcMar>
              <w:top w:w="100" w:type="dxa"/>
              <w:bottom w:w="100" w:type="dxa"/>
            </w:tcMar>
            <w:vAlign w:val="center"/>
          </w:tcPr>
          <w:p w14:paraId="5D7F89B9">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1.00</w:t>
            </w:r>
          </w:p>
        </w:tc>
        <w:tc>
          <w:tcPr>
            <w:tcW w:w="555" w:type="dxa"/>
            <w:noWrap/>
            <w:tcMar>
              <w:top w:w="100" w:type="dxa"/>
              <w:bottom w:w="100" w:type="dxa"/>
            </w:tcMar>
            <w:vAlign w:val="center"/>
          </w:tcPr>
          <w:p w14:paraId="4326802B">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项</w:t>
            </w:r>
          </w:p>
        </w:tc>
        <w:tc>
          <w:tcPr>
            <w:tcW w:w="525" w:type="dxa"/>
            <w:noWrap/>
            <w:tcMar>
              <w:top w:w="100" w:type="dxa"/>
              <w:bottom w:w="100" w:type="dxa"/>
            </w:tcMar>
            <w:vAlign w:val="center"/>
          </w:tcPr>
          <w:p w14:paraId="1A05FFB5">
            <w:pPr>
              <w:pStyle w:val="35"/>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无</w:t>
            </w:r>
          </w:p>
        </w:tc>
        <w:tc>
          <w:tcPr>
            <w:tcW w:w="4515" w:type="dxa"/>
            <w:noWrap/>
            <w:tcMar>
              <w:top w:w="100" w:type="dxa"/>
              <w:bottom w:w="100" w:type="dxa"/>
            </w:tcMar>
            <w:vAlign w:val="center"/>
          </w:tcPr>
          <w:p w14:paraId="569E2D9F">
            <w:pPr>
              <w:pStyle w:val="35"/>
              <w:jc w:val="center"/>
              <w:rPr>
                <w:rStyle w:val="18"/>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其他未列明行业（包括科学研究和技术服务业，水利、环境和公共设施管理业，居民服务、修理和其他服务业，社会工作，文化、体育和娱乐业等）</w:t>
            </w:r>
          </w:p>
        </w:tc>
        <w:tc>
          <w:tcPr>
            <w:tcW w:w="788" w:type="dxa"/>
            <w:noWrap/>
            <w:tcMar>
              <w:top w:w="100" w:type="dxa"/>
              <w:bottom w:w="100" w:type="dxa"/>
            </w:tcMar>
            <w:vAlign w:val="center"/>
          </w:tcPr>
          <w:p w14:paraId="31727663">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主要采购标的</w:t>
            </w:r>
          </w:p>
        </w:tc>
        <w:tc>
          <w:tcPr>
            <w:tcW w:w="653" w:type="dxa"/>
            <w:noWrap/>
            <w:tcMar>
              <w:top w:w="100" w:type="dxa"/>
              <w:bottom w:w="100" w:type="dxa"/>
            </w:tcMar>
            <w:vAlign w:val="center"/>
          </w:tcPr>
          <w:p w14:paraId="34BD00D5">
            <w:pPr>
              <w:pStyle w:val="35"/>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服务类</w:t>
            </w:r>
          </w:p>
        </w:tc>
      </w:tr>
    </w:tbl>
    <w:p w14:paraId="32EEA6CB">
      <w:pPr>
        <w:pStyle w:val="36"/>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注：根据《关于印发中小企业划型标准规定的通知》（工信部联企业〔2011〕300号）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ascii="宋体" w:hAnsi="宋体" w:eastAsia="宋体" w:cs="宋体"/>
          <w:color w:val="000000" w:themeColor="text1"/>
          <w:highlight w:val="none"/>
          <w14:textFill>
            <w14:solidFill>
              <w14:schemeClr w14:val="tx1"/>
            </w14:solidFill>
          </w14:textFill>
        </w:rPr>
        <w:t>其他未列明行业（包括科学研究和技术服务业，水利、环境和公共设施管理业，居民服务、修理和其他服务业，社会工作，文化、体育和娱乐业等）</w:t>
      </w:r>
      <w:r>
        <w:rPr>
          <w:rStyle w:val="18"/>
          <w:rFonts w:hint="eastAsia" w:ascii="宋体" w:hAnsi="宋体" w:eastAsia="宋体" w:cs="宋体"/>
          <w:color w:val="000000" w:themeColor="text1"/>
          <w:highlight w:val="none"/>
          <w14:textFill>
            <w14:solidFill>
              <w14:schemeClr w14:val="tx1"/>
            </w14:solidFill>
          </w14:textFill>
        </w:rPr>
        <w:t>。</w:t>
      </w:r>
    </w:p>
    <w:p w14:paraId="563D8A75">
      <w:pPr>
        <w:pStyle w:val="37"/>
        <w:keepNext w:val="0"/>
        <w:keepLines w:val="0"/>
        <w:pageBreakBefore w:val="0"/>
        <w:spacing w:line="520" w:lineRule="exact"/>
        <w:ind w:firstLine="500"/>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2.核心产品清单</w:t>
      </w:r>
    </w:p>
    <w:p w14:paraId="2831E664">
      <w:pPr>
        <w:pStyle w:val="37"/>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无</w:t>
      </w:r>
    </w:p>
    <w:p w14:paraId="6A366561">
      <w:pPr>
        <w:pStyle w:val="38"/>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3.节能、环境标志产品清单(请提供国家确定的认证机构出具的、处于有效期之内的节能产品、环境标志产品认证证书（若证书有附件（附录）的，附件（附录）须随证书一起提供）</w:t>
      </w:r>
    </w:p>
    <w:p w14:paraId="5AA74991">
      <w:pPr>
        <w:pStyle w:val="38"/>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节能产品政府采购品目清单：</w:t>
      </w:r>
    </w:p>
    <w:p w14:paraId="57A574DB">
      <w:pPr>
        <w:pStyle w:val="38"/>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无</w:t>
      </w:r>
    </w:p>
    <w:p w14:paraId="299C7987">
      <w:pPr>
        <w:pStyle w:val="39"/>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环境标志产品政府采购品目清单：</w:t>
      </w:r>
    </w:p>
    <w:p w14:paraId="3FCD83C3">
      <w:pPr>
        <w:pStyle w:val="38"/>
        <w:keepNext w:val="0"/>
        <w:keepLines w:val="0"/>
        <w:pageBreakBefore w:val="0"/>
        <w:spacing w:line="520" w:lineRule="exact"/>
        <w:ind w:firstLine="500"/>
        <w:rPr>
          <w:rStyle w:val="18"/>
          <w:rFonts w:ascii="宋体" w:hAnsi="宋体" w:eastAsia="宋体" w:cs="宋体"/>
          <w:color w:val="000000" w:themeColor="text1"/>
          <w:highlight w:val="none"/>
          <w14:textFill>
            <w14:solidFill>
              <w14:schemeClr w14:val="tx1"/>
            </w14:solidFill>
          </w14:textFill>
        </w:rPr>
      </w:pPr>
      <w:bookmarkStart w:id="222" w:name="EB408f2104b2e44804a6615a1921eee37c"/>
      <w:bookmarkEnd w:id="222"/>
      <w:r>
        <w:rPr>
          <w:rStyle w:val="18"/>
          <w:rFonts w:hint="eastAsia" w:ascii="宋体" w:hAnsi="宋体" w:eastAsia="宋体" w:cs="宋体"/>
          <w:color w:val="000000" w:themeColor="text1"/>
          <w:highlight w:val="none"/>
          <w14:textFill>
            <w14:solidFill>
              <w14:schemeClr w14:val="tx1"/>
            </w14:solidFill>
          </w14:textFill>
        </w:rPr>
        <w:t>无</w:t>
      </w:r>
    </w:p>
    <w:p w14:paraId="4E88DD29">
      <w:pPr>
        <w:spacing w:before="120" w:after="120" w:line="440" w:lineRule="exact"/>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二、技术要求</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采购包1</w:t>
      </w:r>
      <w:r>
        <w:rPr>
          <w:rFonts w:hint="eastAsia" w:ascii="宋体" w:hAnsi="宋体" w:cs="宋体"/>
          <w:b/>
          <w:color w:val="000000" w:themeColor="text1"/>
          <w:sz w:val="28"/>
          <w:szCs w:val="28"/>
          <w:highlight w:val="none"/>
          <w:lang w:eastAsia="zh-CN"/>
          <w14:textFill>
            <w14:solidFill>
              <w14:schemeClr w14:val="tx1"/>
            </w14:solidFill>
          </w14:textFill>
        </w:rPr>
        <w:t>）</w:t>
      </w:r>
    </w:p>
    <w:tbl>
      <w:tblPr>
        <w:tblStyle w:val="8"/>
        <w:tblW w:w="50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8" w:type="dxa"/>
          <w:bottom w:w="100" w:type="dxa"/>
          <w:right w:w="108" w:type="dxa"/>
        </w:tblCellMar>
      </w:tblPr>
      <w:tblGrid>
        <w:gridCol w:w="577"/>
        <w:gridCol w:w="1300"/>
        <w:gridCol w:w="8261"/>
      </w:tblGrid>
      <w:tr w14:paraId="3414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shd w:val="clear" w:color="auto" w:fill="B5C7EA" w:themeFill="accent1" w:themeFillTint="66"/>
            <w:noWrap/>
            <w:tcMar>
              <w:top w:w="100" w:type="dxa"/>
              <w:bottom w:w="100" w:type="dxa"/>
            </w:tcMar>
            <w:vAlign w:val="center"/>
          </w:tcPr>
          <w:p w14:paraId="2E6EF26A">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序号</w:t>
            </w:r>
          </w:p>
        </w:tc>
        <w:tc>
          <w:tcPr>
            <w:tcW w:w="1300" w:type="dxa"/>
            <w:shd w:val="clear" w:color="auto" w:fill="B5C7EA" w:themeFill="accent1" w:themeFillTint="66"/>
            <w:noWrap/>
            <w:tcMar>
              <w:top w:w="100" w:type="dxa"/>
              <w:bottom w:w="100" w:type="dxa"/>
            </w:tcMar>
            <w:vAlign w:val="center"/>
          </w:tcPr>
          <w:p w14:paraId="221E7ABC">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名称</w:t>
            </w:r>
          </w:p>
        </w:tc>
        <w:tc>
          <w:tcPr>
            <w:tcW w:w="8261" w:type="dxa"/>
            <w:shd w:val="clear" w:color="auto" w:fill="B5C7EA" w:themeFill="accent1" w:themeFillTint="66"/>
            <w:noWrap/>
            <w:tcMar>
              <w:top w:w="100" w:type="dxa"/>
              <w:bottom w:w="100" w:type="dxa"/>
            </w:tcMar>
            <w:vAlign w:val="center"/>
          </w:tcPr>
          <w:p w14:paraId="076D4B3A">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内容</w:t>
            </w:r>
          </w:p>
        </w:tc>
      </w:tr>
      <w:tr w14:paraId="3B35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noWrap/>
            <w:tcMar>
              <w:top w:w="100" w:type="dxa"/>
              <w:bottom w:w="100" w:type="dxa"/>
            </w:tcMar>
            <w:vAlign w:val="center"/>
          </w:tcPr>
          <w:p w14:paraId="3DCD0428">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1</w:t>
            </w:r>
          </w:p>
        </w:tc>
        <w:tc>
          <w:tcPr>
            <w:tcW w:w="1300" w:type="dxa"/>
            <w:noWrap/>
            <w:tcMar>
              <w:top w:w="100" w:type="dxa"/>
              <w:bottom w:w="100" w:type="dxa"/>
            </w:tcMar>
            <w:vAlign w:val="center"/>
          </w:tcPr>
          <w:p w14:paraId="026CD795">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项目概况</w:t>
            </w:r>
          </w:p>
        </w:tc>
        <w:tc>
          <w:tcPr>
            <w:tcW w:w="8261" w:type="dxa"/>
            <w:noWrap/>
            <w:tcMar>
              <w:top w:w="100" w:type="dxa"/>
              <w:bottom w:w="100" w:type="dxa"/>
            </w:tcMar>
            <w:vAlign w:val="center"/>
          </w:tcPr>
          <w:p w14:paraId="603BDA82">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对本</w:t>
            </w:r>
            <w:r>
              <w:rPr>
                <w:rStyle w:val="18"/>
                <w:rFonts w:hint="eastAsia" w:ascii="宋体" w:hAnsi="宋体" w:eastAsia="宋体" w:cs="宋体"/>
                <w:color w:val="000000" w:themeColor="text1"/>
                <w:highlight w:val="none"/>
                <w14:textFill>
                  <w14:solidFill>
                    <w14:schemeClr w14:val="tx1"/>
                  </w14:solidFill>
                </w14:textFill>
              </w:rPr>
              <w:t>标段的</w:t>
            </w:r>
            <w:r>
              <w:rPr>
                <w:rStyle w:val="18"/>
                <w:rFonts w:hint="eastAsia" w:ascii="宋体" w:hAnsi="宋体" w:eastAsia="宋体" w:cs="宋体"/>
                <w:color w:val="000000" w:themeColor="text1"/>
                <w:highlight w:val="none"/>
                <w:lang w:val="en-US" w:eastAsia="zh-CN"/>
                <w14:textFill>
                  <w14:solidFill>
                    <w14:schemeClr w14:val="tx1"/>
                  </w14:solidFill>
                </w14:textFill>
              </w:rPr>
              <w:t>张家港市长江及市级河道各级别水利堤防进行白蚁等害堤动物普查及治理。对项目范围内的沿线堤防进行拉网式普查，在白蚁等害堤动物危害区域设置标记牌，详细记录普查区域段的白蚁与其他害堤动物危害等级情况，制定出目前整个白蚁与其他害堤动物危害等级</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的</w:t>
            </w:r>
            <w:r>
              <w:rPr>
                <w:rStyle w:val="18"/>
                <w:rFonts w:hint="eastAsia" w:ascii="宋体" w:hAnsi="宋体" w:eastAsia="宋体" w:cs="宋体"/>
                <w:color w:val="000000" w:themeColor="text1"/>
                <w:highlight w:val="none"/>
                <w:lang w:val="en-US" w:eastAsia="zh-CN"/>
                <w14:textFill>
                  <w14:solidFill>
                    <w14:schemeClr w14:val="tx1"/>
                  </w14:solidFill>
                </w14:textFill>
              </w:rPr>
              <w:t>详细报告，并对堤防内存在的白蚁等害堤动物进行防治处理，编写害堤动物防治报告，</w:t>
            </w:r>
            <w:r>
              <w:rPr>
                <w:rFonts w:hint="eastAsia" w:ascii="宋体" w:hAnsi="宋体" w:cs="宋体"/>
                <w:color w:val="000000" w:themeColor="text1"/>
                <w:sz w:val="24"/>
                <w:szCs w:val="24"/>
                <w:highlight w:val="none"/>
                <w:lang w:val="en-US" w:eastAsia="zh-CN"/>
                <w14:textFill>
                  <w14:solidFill>
                    <w14:schemeClr w14:val="tx1"/>
                  </w14:solidFill>
                </w14:textFill>
              </w:rPr>
              <w:t>同时完成对长江重点堤防进行安全健康评估。</w:t>
            </w:r>
          </w:p>
        </w:tc>
      </w:tr>
      <w:tr w14:paraId="2A6A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restart"/>
            <w:noWrap/>
            <w:tcMar>
              <w:top w:w="100" w:type="dxa"/>
              <w:bottom w:w="100" w:type="dxa"/>
            </w:tcMar>
            <w:vAlign w:val="center"/>
          </w:tcPr>
          <w:p w14:paraId="044386B7">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2</w:t>
            </w:r>
          </w:p>
        </w:tc>
        <w:tc>
          <w:tcPr>
            <w:tcW w:w="1300" w:type="dxa"/>
            <w:vMerge w:val="restart"/>
            <w:noWrap/>
            <w:tcMar>
              <w:top w:w="100" w:type="dxa"/>
              <w:bottom w:w="100" w:type="dxa"/>
            </w:tcMar>
            <w:vAlign w:val="center"/>
          </w:tcPr>
          <w:p w14:paraId="20302B01">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ascii="宋体" w:hAnsi="宋体" w:eastAsia="宋体" w:cs="宋体"/>
                <w:color w:val="000000" w:themeColor="text1"/>
                <w:highlight w:val="none"/>
                <w14:textFill>
                  <w14:solidFill>
                    <w14:schemeClr w14:val="tx1"/>
                  </w14:solidFill>
                </w14:textFill>
              </w:rPr>
              <w:t>实施</w:t>
            </w:r>
            <w:r>
              <w:rPr>
                <w:rStyle w:val="18"/>
                <w:rFonts w:hint="eastAsia" w:ascii="宋体" w:hAnsi="宋体" w:eastAsia="宋体" w:cs="宋体"/>
                <w:color w:val="000000" w:themeColor="text1"/>
                <w:highlight w:val="none"/>
                <w14:textFill>
                  <w14:solidFill>
                    <w14:schemeClr w14:val="tx1"/>
                  </w14:solidFill>
                </w14:textFill>
              </w:rPr>
              <w:t>要求</w:t>
            </w:r>
          </w:p>
        </w:tc>
        <w:tc>
          <w:tcPr>
            <w:tcW w:w="8261" w:type="dxa"/>
            <w:noWrap/>
            <w:tcMar>
              <w:top w:w="100" w:type="dxa"/>
              <w:bottom w:w="100" w:type="dxa"/>
            </w:tcMar>
            <w:vAlign w:val="center"/>
          </w:tcPr>
          <w:p w14:paraId="0D0F17BF">
            <w:pPr>
              <w:pStyle w:val="40"/>
              <w:keepNext w:val="0"/>
              <w:keepLines w:val="0"/>
              <w:pageBreakBefore w:val="0"/>
              <w:widowControl/>
              <w:numPr>
                <w:ilvl w:val="0"/>
                <w:numId w:val="1"/>
              </w:numPr>
              <w:rPr>
                <w:rStyle w:val="18"/>
                <w:rFonts w:hint="eastAsia"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按照《江苏省堤坝白蚁防治办法》、《堤坝白蚁防治技术规程》和《水利工程白蚁防治技术指南（试行）》开展</w:t>
            </w:r>
            <w:r>
              <w:rPr>
                <w:rStyle w:val="18"/>
                <w:rFonts w:hint="eastAsia" w:ascii="宋体" w:hAnsi="宋体" w:eastAsia="宋体" w:cs="宋体"/>
                <w:color w:val="000000" w:themeColor="text1"/>
                <w:highlight w:val="none"/>
                <w:lang w:val="en-US" w:eastAsia="zh-CN"/>
                <w14:textFill>
                  <w14:solidFill>
                    <w14:schemeClr w14:val="tx1"/>
                  </w14:solidFill>
                </w14:textFill>
              </w:rPr>
              <w:t>项目范围</w:t>
            </w:r>
            <w:r>
              <w:rPr>
                <w:rStyle w:val="18"/>
                <w:rFonts w:hint="eastAsia" w:ascii="宋体" w:hAnsi="宋体" w:eastAsia="宋体" w:cs="宋体"/>
                <w:color w:val="000000" w:themeColor="text1"/>
                <w:highlight w:val="none"/>
                <w14:textFill>
                  <w14:solidFill>
                    <w14:schemeClr w14:val="tx1"/>
                  </w14:solidFill>
                </w14:textFill>
              </w:rPr>
              <w:t>内堤防白蚁等害堤动物普查及防治处理，内容包括：对白蚁外露特征、白蚁活动痕迹查找、判断分布范围及深度、确定白蚁等害堤动物危害等级、对普查发现白蚁危害严重区域进行诱杀、埋设引诱〈堆〉桩、埋设部分信息化智能监测装置、诱杀剂投放、蚁道灌浆、机械打孔灌浆、巢位确定、破巢开挖、蚁患处土方夯实回填、獾等害堤动物普查及治理等相关工作；中标人须提供白蚁等害堤动物普查及防治台账（日常工作检查记录、采食检查记录、图纸图片资料汇总、总结、验收报告等）。</w:t>
            </w:r>
          </w:p>
        </w:tc>
      </w:tr>
      <w:tr w14:paraId="3B81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1114" w:hRule="atLeast"/>
          <w:jc w:val="center"/>
        </w:trPr>
        <w:tc>
          <w:tcPr>
            <w:tcW w:w="577" w:type="dxa"/>
            <w:vMerge w:val="continue"/>
            <w:noWrap/>
            <w:tcMar>
              <w:top w:w="100" w:type="dxa"/>
              <w:bottom w:w="100" w:type="dxa"/>
            </w:tcMar>
            <w:vAlign w:val="center"/>
          </w:tcPr>
          <w:p w14:paraId="5B26DE40">
            <w:pPr>
              <w:pStyle w:val="40"/>
              <w:keepNext w:val="0"/>
              <w:keepLines w:val="0"/>
              <w:pageBreakBefore w:val="0"/>
              <w:widowControl/>
              <w:jc w:val="center"/>
              <w:rPr>
                <w:rStyle w:val="18"/>
                <w:rFonts w:hint="eastAsia"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93ED05A">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296C3311">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val="en-US" w:eastAsia="zh-CN"/>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（2）中标人须对《2024年度白蚁等害堤动物普查及治理项目》中已普查到的受害堤防实施治理，并开展白蚁等害堤动物普查工作，</w:t>
            </w:r>
            <w:r>
              <w:rPr>
                <w:rFonts w:hint="eastAsia" w:ascii="宋体" w:hAnsi="宋体" w:cs="宋体"/>
                <w:color w:val="000000" w:themeColor="text1"/>
                <w:sz w:val="24"/>
                <w:szCs w:val="24"/>
                <w:highlight w:val="none"/>
                <w:lang w:val="en-US" w:eastAsia="zh-CN"/>
                <w14:textFill>
                  <w14:solidFill>
                    <w14:schemeClr w14:val="tx1"/>
                  </w14:solidFill>
                </w14:textFill>
              </w:rPr>
              <w:t>同时完成对长江重点堤防进行安全健康评估。</w:t>
            </w:r>
            <w:r>
              <w:rPr>
                <w:rStyle w:val="18"/>
                <w:rFonts w:hint="eastAsia" w:ascii="宋体" w:hAnsi="宋体" w:eastAsia="宋体" w:cs="宋体"/>
                <w:color w:val="000000" w:themeColor="text1"/>
                <w:highlight w:val="none"/>
                <w:lang w:val="en-US" w:eastAsia="zh-CN"/>
                <w14:textFill>
                  <w14:solidFill>
                    <w14:schemeClr w14:val="tx1"/>
                  </w14:solidFill>
                </w14:textFill>
              </w:rPr>
              <w:t>具体工作量如下：</w:t>
            </w:r>
          </w:p>
          <w:tbl>
            <w:tblPr>
              <w:tblStyle w:val="8"/>
              <w:tblW w:w="794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1516"/>
              <w:gridCol w:w="1117"/>
              <w:gridCol w:w="1167"/>
              <w:gridCol w:w="1483"/>
              <w:gridCol w:w="2095"/>
            </w:tblGrid>
            <w:tr w14:paraId="2C90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2334">
                  <w:pPr>
                    <w:keepNext w:val="0"/>
                    <w:keepLines w:val="0"/>
                    <w:widowControl/>
                    <w:suppressLineNumbers w:val="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bidi="ar"/>
                      <w14:textFill>
                        <w14:solidFill>
                          <w14:schemeClr w14:val="tx1"/>
                        </w14:solidFill>
                      </w14:textFill>
                    </w:rPr>
                    <w:t>一标段</w:t>
                  </w:r>
                </w:p>
              </w:tc>
            </w:tr>
            <w:tr w14:paraId="6DD6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1098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5F8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河流名称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9F03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堤防等级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1814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对</w:t>
                  </w: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20</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24年</w:t>
                  </w: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受害堤防</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治理工作量/km</w:t>
                  </w:r>
                </w:p>
              </w:tc>
              <w:tc>
                <w:tcPr>
                  <w:tcW w:w="1483" w:type="dxa"/>
                  <w:tcBorders>
                    <w:top w:val="single" w:color="000000" w:sz="4" w:space="0"/>
                    <w:left w:val="nil"/>
                    <w:bottom w:val="single" w:color="000000" w:sz="4" w:space="0"/>
                    <w:right w:val="single" w:color="000000" w:sz="4" w:space="0"/>
                  </w:tcBorders>
                  <w:shd w:val="clear" w:color="auto" w:fill="auto"/>
                  <w:noWrap w:val="0"/>
                  <w:vAlign w:val="center"/>
                </w:tcPr>
                <w:p w14:paraId="466C6462">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白蚁等害堤动物</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普查工作量/km</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30F2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备注</w:t>
                  </w:r>
                </w:p>
              </w:tc>
            </w:tr>
            <w:tr w14:paraId="06D8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9C2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810F">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北中心河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F19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A95A">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D49A">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36.2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087E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至七干河止</w:t>
                  </w:r>
                </w:p>
              </w:tc>
            </w:tr>
            <w:tr w14:paraId="0546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864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99D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盐铁塘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D2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DF9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F21A">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26.4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9B4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A9F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07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945C">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华妙河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229F">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52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D859">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19.6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6A594">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自二干河始，至西旸塘止</w:t>
                  </w:r>
                </w:p>
              </w:tc>
            </w:tr>
            <w:tr w14:paraId="5877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1F5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F66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三丈浦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10D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C7EC">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BD6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24.8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EDFA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1F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F472">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1D3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七干河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29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A9B1">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 xml:space="preserve">1 </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B00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13.2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CFF5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自六干河始，至走马塘止</w:t>
                  </w:r>
                </w:p>
              </w:tc>
            </w:tr>
            <w:tr w14:paraId="610D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77C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5B9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六干河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4FA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5081">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C1D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21.4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9781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1B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48C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A72F">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四干河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35A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E5C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FCC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32.2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9423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4E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C6C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44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五干河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E76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3532">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07D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EEC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A6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D2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356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走马塘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216">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DA9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E6B4">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37.8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095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34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E4E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EB8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永南河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0D0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D6F6">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1D36">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14.86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B9B39">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自四干河始，至六干河止</w:t>
                  </w:r>
                </w:p>
              </w:tc>
            </w:tr>
            <w:tr w14:paraId="1993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89FF">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32E9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新奚浦塘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AC81">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7666">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20D9">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23.4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50D2F">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自沙漕交界河始，至张家港止</w:t>
                  </w:r>
                </w:p>
              </w:tc>
            </w:tr>
            <w:tr w14:paraId="17BC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0E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A64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三干河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FA4E">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F63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5CE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62.6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1A1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6C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E2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966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农场河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278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28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9F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14.8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F2A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3C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A6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43F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常沙河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A4C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1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F89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12.24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8B53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53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81D6">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C91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西旸塘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BD4">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938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D695">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64C7">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自华妙河始，至七干河止</w:t>
                  </w:r>
                </w:p>
              </w:tc>
            </w:tr>
            <w:tr w14:paraId="785B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60A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7678">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张家港河（凤凰段）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91DD">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5D3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2EB">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15.5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2576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0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E17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81A9">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长江（一干河东面）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D12">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2级</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11C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39.11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7F40">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39.11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AC31A">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自一干河始，至三干河止，包含港堤</w:t>
                  </w:r>
                </w:p>
              </w:tc>
            </w:tr>
            <w:tr w14:paraId="18BD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2143">
                  <w:pPr>
                    <w:keepNext w:val="0"/>
                    <w:keepLines w:val="0"/>
                    <w:widowControl/>
                    <w:suppressLineNumbers w:val="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18</w:t>
                  </w:r>
                </w:p>
              </w:tc>
              <w:tc>
                <w:tcPr>
                  <w:tcW w:w="737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34667">
                  <w:pPr>
                    <w:keepNext w:val="0"/>
                    <w:keepLines w:val="0"/>
                    <w:widowControl/>
                    <w:suppressLineNumbers w:val="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长江健康普查（沙洲电厂至三干河），江堤长度5km</w:t>
                  </w:r>
                </w:p>
              </w:tc>
            </w:tr>
          </w:tbl>
          <w:p w14:paraId="3366B178">
            <w:pPr>
              <w:pStyle w:val="40"/>
              <w:keepNext w:val="0"/>
              <w:keepLines w:val="0"/>
              <w:pageBreakBefore w:val="0"/>
              <w:widowControl/>
              <w:numPr>
                <w:ilvl w:val="0"/>
                <w:numId w:val="0"/>
              </w:numPr>
              <w:rPr>
                <w:rStyle w:val="18"/>
                <w:rFonts w:hint="default" w:ascii="宋体" w:hAnsi="宋体" w:eastAsia="宋体" w:cs="宋体"/>
                <w:color w:val="000000" w:themeColor="text1"/>
                <w:highlight w:val="none"/>
                <w:lang w:val="en-US" w:eastAsia="zh-CN"/>
                <w14:textFill>
                  <w14:solidFill>
                    <w14:schemeClr w14:val="tx1"/>
                  </w14:solidFill>
                </w14:textFill>
              </w:rPr>
            </w:pPr>
          </w:p>
        </w:tc>
      </w:tr>
      <w:tr w14:paraId="1676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7C0AF950">
            <w:pPr>
              <w:pStyle w:val="40"/>
              <w:keepNext w:val="0"/>
              <w:keepLines w:val="0"/>
              <w:pageBreakBefore w:val="0"/>
              <w:widowControl/>
              <w:jc w:val="center"/>
              <w:rPr>
                <w:rStyle w:val="18"/>
                <w:rFonts w:hint="eastAsia"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5C1739B">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50363121">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合同签订之日起至202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日止（202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底前完成对《2024年度白蚁等害堤动物普查及治理项目》中已普查到的受害堤防的治理并出具报告。</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底前完成本标段堤防的普查并出具报告，同时完成对长江重点堤防进行安全健康评估。</w:t>
            </w:r>
            <w:r>
              <w:rPr>
                <w:rFonts w:hint="eastAsia" w:ascii="宋体" w:hAnsi="宋体" w:cs="宋体"/>
                <w:color w:val="000000" w:themeColor="text1"/>
                <w:sz w:val="24"/>
                <w:szCs w:val="24"/>
                <w:highlight w:val="none"/>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对确定有白蚁等害堤动物活动区域设置引诱桩、埋设地下引诱装置、安装地下型信息化智能预警监测装置；并提供诱杀剂投放、蚁道灌浆、机械打孔灌浆、巢位确定、破巢开挖、蚁患处土方夯实回填、安装地下型信息化智能预警监测装置。</w:t>
            </w:r>
          </w:p>
        </w:tc>
      </w:tr>
      <w:tr w14:paraId="76D9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1940C062">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1804A42A">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11306C3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4</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投标人拟投入本项目</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的项目负责人</w:t>
            </w:r>
            <w:r>
              <w:rPr>
                <w:rStyle w:val="18"/>
                <w:rFonts w:hint="eastAsia" w:ascii="宋体" w:hAnsi="宋体" w:eastAsia="宋体" w:cs="宋体"/>
                <w:i/>
                <w:iCs/>
                <w:color w:val="000000" w:themeColor="text1"/>
                <w:highlight w:val="none"/>
                <w:u w:val="single"/>
                <w14:textFill>
                  <w14:solidFill>
                    <w14:schemeClr w14:val="tx1"/>
                  </w14:solidFill>
                </w14:textFill>
              </w:rPr>
              <w:t>负责人必须为投标人正式员工，具有负责或参与过类似项目的经验</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请在投标文件中提供验收报告原件扫描件</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，具有省级（含）以上白蚁防治中心培训的从业人员证或相关</w:t>
            </w:r>
            <w:r>
              <w:rPr>
                <w:rStyle w:val="18"/>
                <w:rFonts w:hint="eastAsia" w:ascii="宋体" w:hAnsi="宋体" w:eastAsia="宋体" w:cs="宋体"/>
                <w:color w:val="000000" w:themeColor="text1"/>
                <w:highlight w:val="none"/>
                <w:lang w:val="en-US" w:eastAsia="zh-CN"/>
                <w14:textFill>
                  <w14:solidFill>
                    <w14:schemeClr w14:val="tx1"/>
                  </w14:solidFill>
                </w14:textFill>
              </w:rPr>
              <w:t>机构颁发的白蚁防治能力证书</w:t>
            </w:r>
            <w:r>
              <w:rPr>
                <w:rStyle w:val="18"/>
                <w:rFonts w:hint="eastAsia" w:ascii="宋体" w:hAnsi="宋体" w:eastAsia="宋体" w:cs="宋体"/>
                <w:color w:val="000000" w:themeColor="text1"/>
                <w:highlight w:val="none"/>
                <w14:textFill>
                  <w14:solidFill>
                    <w14:schemeClr w14:val="tx1"/>
                  </w14:solidFill>
                </w14:textFill>
              </w:rPr>
              <w:t>，担任本项目负责人工作期间，必须每天到达现场打卡，在服务合同约定期间，采购人根据项目需要有权要求项目负责人随时到达项目现场配合采购人完成项目工作。</w:t>
            </w:r>
          </w:p>
        </w:tc>
      </w:tr>
      <w:tr w14:paraId="0B7B4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50C657F2">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29F4B214">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5C5F8954">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5</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对《2024年度害堤动物普查及治理项目》中已普查到的受害堤防</w:t>
            </w:r>
            <w:r>
              <w:rPr>
                <w:rStyle w:val="18"/>
                <w:rFonts w:hint="eastAsia" w:ascii="宋体" w:hAnsi="宋体" w:eastAsia="宋体" w:cs="宋体"/>
                <w:color w:val="000000" w:themeColor="text1"/>
                <w:highlight w:val="none"/>
                <w:lang w:eastAsia="zh-CN"/>
                <w14:textFill>
                  <w14:solidFill>
                    <w14:schemeClr w14:val="tx1"/>
                  </w14:solidFill>
                </w14:textFill>
              </w:rPr>
              <w:t>实施系统性治理</w:t>
            </w:r>
            <w:r>
              <w:rPr>
                <w:rStyle w:val="18"/>
                <w:rFonts w:hint="eastAsia" w:ascii="宋体" w:hAnsi="宋体" w:eastAsia="宋体" w:cs="宋体"/>
                <w:color w:val="000000" w:themeColor="text1"/>
                <w:highlight w:val="none"/>
                <w:lang w:val="en-US" w:eastAsia="zh-CN"/>
                <w14:textFill>
                  <w14:solidFill>
                    <w14:schemeClr w14:val="tx1"/>
                  </w14:solidFill>
                </w14:textFill>
              </w:rPr>
              <w:t>，</w:t>
            </w:r>
            <w:r>
              <w:rPr>
                <w:rStyle w:val="18"/>
                <w:rFonts w:hint="eastAsia" w:ascii="宋体" w:hAnsi="宋体" w:eastAsia="宋体" w:cs="宋体"/>
                <w:color w:val="000000" w:themeColor="text1"/>
                <w:highlight w:val="none"/>
                <w:lang w:eastAsia="zh-CN"/>
                <w14:textFill>
                  <w14:solidFill>
                    <w14:schemeClr w14:val="tx1"/>
                  </w14:solidFill>
                </w14:textFill>
              </w:rPr>
              <w:t>具体包括以下工作内容：</w:t>
            </w:r>
            <w:r>
              <w:rPr>
                <w:rStyle w:val="18"/>
                <w:rFonts w:hint="eastAsia" w:ascii="宋体" w:hAnsi="宋体" w:eastAsia="宋体" w:cs="宋体"/>
                <w:color w:val="000000" w:themeColor="text1"/>
                <w:highlight w:val="none"/>
                <w:lang w:val="en-US" w:eastAsia="zh-CN"/>
                <w14:textFill>
                  <w14:solidFill>
                    <w14:schemeClr w14:val="tx1"/>
                  </w14:solidFill>
                </w14:textFill>
              </w:rPr>
              <w:t>1、</w:t>
            </w:r>
            <w:r>
              <w:rPr>
                <w:rStyle w:val="18"/>
                <w:rFonts w:hint="eastAsia" w:ascii="宋体" w:hAnsi="宋体" w:eastAsia="宋体" w:cs="宋体"/>
                <w:color w:val="000000" w:themeColor="text1"/>
                <w:highlight w:val="none"/>
                <w:lang w:eastAsia="zh-CN"/>
                <w14:textFill>
                  <w14:solidFill>
                    <w14:schemeClr w14:val="tx1"/>
                  </w14:solidFill>
                </w14:textFill>
              </w:rPr>
              <w:t>‌复查</w:t>
            </w:r>
            <w:r>
              <w:rPr>
                <w:rStyle w:val="18"/>
                <w:rFonts w:hint="eastAsia" w:ascii="宋体" w:hAnsi="宋体" w:eastAsia="宋体" w:cs="宋体"/>
                <w:color w:val="000000" w:themeColor="text1"/>
                <w:highlight w:val="none"/>
                <w:lang w:val="en-US" w:eastAsia="zh-CN"/>
                <w14:textFill>
                  <w14:solidFill>
                    <w14:schemeClr w14:val="tx1"/>
                  </w14:solidFill>
                </w14:textFill>
              </w:rPr>
              <w:t>核查</w:t>
            </w:r>
            <w:r>
              <w:rPr>
                <w:rStyle w:val="18"/>
                <w:rFonts w:hint="eastAsia" w:ascii="宋体" w:hAnsi="宋体" w:eastAsia="宋体" w:cs="宋体"/>
                <w:color w:val="000000" w:themeColor="text1"/>
                <w:highlight w:val="none"/>
                <w:lang w:eastAsia="zh-CN"/>
                <w14:textFill>
                  <w14:solidFill>
                    <w14:schemeClr w14:val="tx1"/>
                  </w14:solidFill>
                </w14:textFill>
              </w:rPr>
              <w:t>工作：沿着堤防一字行排开，运用人工普查法、引诱法、仪器探测法等方式，对临、背河两侧、背河堤脚外 20m 采用拉网式检查，</w:t>
            </w:r>
            <w:r>
              <w:rPr>
                <w:rStyle w:val="18"/>
                <w:rFonts w:hint="eastAsia" w:ascii="宋体" w:hAnsi="宋体" w:eastAsia="宋体" w:cs="宋体"/>
                <w:color w:val="000000" w:themeColor="text1"/>
                <w:highlight w:val="none"/>
                <w14:textFill>
                  <w14:solidFill>
                    <w14:schemeClr w14:val="tx1"/>
                  </w14:solidFill>
                </w14:textFill>
              </w:rPr>
              <w:t>查清各危害堤防的白蚁</w:t>
            </w:r>
            <w:r>
              <w:rPr>
                <w:rStyle w:val="18"/>
                <w:rFonts w:hint="eastAsia" w:ascii="宋体" w:hAnsi="宋体" w:eastAsia="宋体" w:cs="宋体"/>
                <w:color w:val="000000" w:themeColor="text1"/>
                <w:highlight w:val="none"/>
                <w:lang w:val="en-US" w:eastAsia="zh-CN"/>
                <w14:textFill>
                  <w14:solidFill>
                    <w14:schemeClr w14:val="tx1"/>
                  </w14:solidFill>
                </w14:textFill>
              </w:rPr>
              <w:t>等害堤动物</w:t>
            </w:r>
            <w:r>
              <w:rPr>
                <w:rStyle w:val="18"/>
                <w:rFonts w:hint="eastAsia" w:ascii="宋体" w:hAnsi="宋体" w:eastAsia="宋体" w:cs="宋体"/>
                <w:color w:val="000000" w:themeColor="text1"/>
                <w:highlight w:val="none"/>
                <w14:textFill>
                  <w14:solidFill>
                    <w14:schemeClr w14:val="tx1"/>
                  </w14:solidFill>
                </w14:textFill>
              </w:rPr>
              <w:t>种类、位置及危害等级</w:t>
            </w:r>
            <w:r>
              <w:rPr>
                <w:rStyle w:val="18"/>
                <w:rFonts w:hint="eastAsia" w:ascii="宋体" w:hAnsi="宋体" w:eastAsia="宋体" w:cs="宋体"/>
                <w:color w:val="000000" w:themeColor="text1"/>
                <w:highlight w:val="none"/>
                <w:lang w:val="en-US" w:eastAsia="zh-CN"/>
                <w14:textFill>
                  <w14:solidFill>
                    <w14:schemeClr w14:val="tx1"/>
                  </w14:solidFill>
                </w14:textFill>
              </w:rPr>
              <w:t>情况</w:t>
            </w:r>
            <w:r>
              <w:rPr>
                <w:rStyle w:val="18"/>
                <w:rFonts w:hint="eastAsia" w:ascii="宋体" w:hAnsi="宋体" w:eastAsia="宋体" w:cs="宋体"/>
                <w:color w:val="000000" w:themeColor="text1"/>
                <w:highlight w:val="none"/>
                <w14:textFill>
                  <w14:solidFill>
                    <w14:schemeClr w14:val="tx1"/>
                  </w14:solidFill>
                </w14:textFill>
              </w:rPr>
              <w:t>，做好标示记录，</w:t>
            </w:r>
            <w:r>
              <w:rPr>
                <w:rStyle w:val="18"/>
                <w:rFonts w:hint="eastAsia" w:ascii="宋体" w:hAnsi="宋体" w:eastAsia="宋体" w:cs="宋体"/>
                <w:color w:val="000000" w:themeColor="text1"/>
                <w:highlight w:val="none"/>
                <w:lang w:eastAsia="zh-CN"/>
                <w14:textFill>
                  <w14:solidFill>
                    <w14:schemeClr w14:val="tx1"/>
                  </w14:solidFill>
                </w14:textFill>
              </w:rPr>
              <w:t>同时检查獾、鼠、蛇等害堤动物，</w:t>
            </w:r>
            <w:r>
              <w:rPr>
                <w:rStyle w:val="18"/>
                <w:rFonts w:hint="eastAsia" w:ascii="宋体" w:hAnsi="宋体" w:eastAsia="宋体" w:cs="宋体"/>
                <w:color w:val="000000" w:themeColor="text1"/>
                <w:highlight w:val="none"/>
                <w:lang w:val="en-US" w:eastAsia="zh-CN"/>
                <w14:textFill>
                  <w14:solidFill>
                    <w14:schemeClr w14:val="tx1"/>
                  </w14:solidFill>
                </w14:textFill>
              </w:rPr>
              <w:t>并</w:t>
            </w:r>
            <w:r>
              <w:rPr>
                <w:rStyle w:val="18"/>
                <w:rFonts w:hint="eastAsia" w:ascii="宋体" w:hAnsi="宋体" w:eastAsia="宋体" w:cs="宋体"/>
                <w:color w:val="000000" w:themeColor="text1"/>
                <w:highlight w:val="none"/>
                <w:lang w:eastAsia="zh-CN"/>
                <w14:textFill>
                  <w14:solidFill>
                    <w14:schemeClr w14:val="tx1"/>
                  </w14:solidFill>
                </w14:textFill>
              </w:rPr>
              <w:t>对新发现区域进行</w:t>
            </w:r>
            <w:r>
              <w:rPr>
                <w:rStyle w:val="18"/>
                <w:rFonts w:hint="eastAsia" w:ascii="宋体" w:hAnsi="宋体" w:eastAsia="宋体" w:cs="宋体"/>
                <w:color w:val="000000" w:themeColor="text1"/>
                <w:highlight w:val="none"/>
                <w:lang w:val="en-US" w:eastAsia="zh-CN"/>
                <w14:textFill>
                  <w14:solidFill>
                    <w14:schemeClr w14:val="tx1"/>
                  </w14:solidFill>
                </w14:textFill>
              </w:rPr>
              <w:t>害堤动物的</w:t>
            </w:r>
            <w:r>
              <w:rPr>
                <w:rStyle w:val="18"/>
                <w:rFonts w:hint="eastAsia" w:ascii="宋体" w:hAnsi="宋体" w:eastAsia="宋体" w:cs="宋体"/>
                <w:color w:val="000000" w:themeColor="text1"/>
                <w:highlight w:val="none"/>
                <w:lang w:eastAsia="zh-CN"/>
                <w14:textFill>
                  <w14:solidFill>
                    <w14:schemeClr w14:val="tx1"/>
                  </w14:solidFill>
                </w14:textFill>
              </w:rPr>
              <w:t>种类分析、记录并做综合灭治投药处理。</w:t>
            </w:r>
            <w:r>
              <w:rPr>
                <w:rStyle w:val="18"/>
                <w:rFonts w:hint="eastAsia" w:ascii="宋体" w:hAnsi="宋体" w:eastAsia="宋体" w:cs="宋体"/>
                <w:color w:val="000000" w:themeColor="text1"/>
                <w:highlight w:val="none"/>
                <w:lang w:val="en-US" w:eastAsia="zh-CN"/>
                <w14:textFill>
                  <w14:solidFill>
                    <w14:schemeClr w14:val="tx1"/>
                  </w14:solidFill>
                </w14:textFill>
              </w:rPr>
              <w:t>2、治理工作：</w:t>
            </w:r>
            <w:r>
              <w:rPr>
                <w:rStyle w:val="18"/>
                <w:rFonts w:hint="eastAsia" w:ascii="宋体" w:hAnsi="宋体" w:eastAsia="宋体" w:cs="宋体"/>
                <w:color w:val="000000" w:themeColor="text1"/>
                <w:highlight w:val="none"/>
                <w:lang w:eastAsia="zh-CN"/>
                <w14:textFill>
                  <w14:solidFill>
                    <w14:schemeClr w14:val="tx1"/>
                  </w14:solidFill>
                </w14:textFill>
              </w:rPr>
              <w:t>据</w:t>
            </w:r>
            <w:r>
              <w:rPr>
                <w:rStyle w:val="18"/>
                <w:rFonts w:hint="eastAsia" w:ascii="宋体" w:hAnsi="宋体" w:eastAsia="宋体" w:cs="宋体"/>
                <w:color w:val="000000" w:themeColor="text1"/>
                <w:highlight w:val="none"/>
                <w:lang w:val="en-US" w:eastAsia="zh-CN"/>
                <w14:textFill>
                  <w14:solidFill>
                    <w14:schemeClr w14:val="tx1"/>
                  </w14:solidFill>
                </w14:textFill>
              </w:rPr>
              <w:t>复查核查</w:t>
            </w:r>
            <w:r>
              <w:rPr>
                <w:rStyle w:val="18"/>
                <w:rFonts w:hint="eastAsia" w:ascii="宋体" w:hAnsi="宋体" w:eastAsia="宋体" w:cs="宋体"/>
                <w:color w:val="000000" w:themeColor="text1"/>
                <w:highlight w:val="none"/>
                <w:lang w:eastAsia="zh-CN"/>
                <w14:textFill>
                  <w14:solidFill>
                    <w14:schemeClr w14:val="tx1"/>
                  </w14:solidFill>
                </w14:textFill>
              </w:rPr>
              <w:t>情况确定白蚁等害堤动物种类、危害等级后对白蚁进行诱杀剂投放、蚁道灌浆、机械打孔灌浆、巢位确定、破巢开挖、蚁患处土方夯实回填等综合治理，对獾、鼠、蛇等害堤动物进行捕捉、投药、巢穴开挖、巢穴封堵等综合治理。</w:t>
            </w:r>
          </w:p>
        </w:tc>
      </w:tr>
      <w:tr w14:paraId="347FC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783E97B9">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7945CBB9">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32386DA9">
            <w:pPr>
              <w:pStyle w:val="40"/>
              <w:keepNext w:val="0"/>
              <w:keepLines w:val="0"/>
              <w:pageBreakBefore w:val="0"/>
              <w:widowControl/>
              <w:rPr>
                <w:rStyle w:val="18"/>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对2025年白蚁等害堤动物的普查工作，投标人应组织专业防治人员，沿着堤防一字行排开，运用人工普查法、引诱法、仪器探测法等方式，对临、背河两侧、背河堤脚外 20m 采用拉网式检查，查清危害各堤防的白蚁等害堤动物种类、位置及危害等级情况，做好标示记录，结合人工普查运用白蚁隐患探测仪，对堤防进行详细探测，确定白蚁巢位等隐患情况。</w:t>
            </w:r>
          </w:p>
        </w:tc>
      </w:tr>
      <w:tr w14:paraId="13B3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0BF0A0B">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0F3D0E4C">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0EBB784B">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w:t>
            </w:r>
            <w:r>
              <w:rPr>
                <w:rStyle w:val="18"/>
                <w:rFonts w:hint="eastAsia" w:ascii="宋体" w:hAnsi="宋体" w:eastAsia="宋体" w:cs="宋体"/>
                <w:color w:val="000000" w:themeColor="text1"/>
                <w:highlight w:val="none"/>
                <w14:textFill>
                  <w14:solidFill>
                    <w14:schemeClr w14:val="tx1"/>
                  </w14:solidFill>
                </w14:textFill>
              </w:rPr>
              <w:t>根据各堤防段现场环境情况设置松木监测引诱桩（地下深度50cm，地面高度</w:t>
            </w:r>
            <w:r>
              <w:rPr>
                <w:rStyle w:val="18"/>
                <w:rFonts w:hint="eastAsia" w:ascii="宋体" w:hAnsi="宋体" w:eastAsia="宋体" w:cs="宋体"/>
                <w:color w:val="000000" w:themeColor="text1"/>
                <w:highlight w:val="none"/>
                <w:lang w:val="en-US" w:eastAsia="zh-CN"/>
                <w14:textFill>
                  <w14:solidFill>
                    <w14:schemeClr w14:val="tx1"/>
                  </w14:solidFill>
                </w14:textFill>
              </w:rPr>
              <w:t>50</w:t>
            </w:r>
            <w:r>
              <w:rPr>
                <w:rStyle w:val="18"/>
                <w:rFonts w:hint="eastAsia" w:ascii="宋体" w:hAnsi="宋体" w:eastAsia="宋体" w:cs="宋体"/>
                <w:color w:val="000000" w:themeColor="text1"/>
                <w:highlight w:val="none"/>
                <w14:textFill>
                  <w14:solidFill>
                    <w14:schemeClr w14:val="tx1"/>
                  </w14:solidFill>
                </w14:textFill>
              </w:rPr>
              <w:t>cm），每根引诱桩做好警示提醒标识标牌，引诱桩设置</w:t>
            </w:r>
            <w:r>
              <w:rPr>
                <w:rStyle w:val="18"/>
                <w:rFonts w:hint="eastAsia" w:ascii="宋体" w:hAnsi="宋体" w:eastAsia="宋体" w:cs="宋体"/>
                <w:color w:val="000000" w:themeColor="text1"/>
                <w:highlight w:val="none"/>
                <w:lang w:val="en-US" w:eastAsia="zh-CN"/>
                <w14:textFill>
                  <w14:solidFill>
                    <w14:schemeClr w14:val="tx1"/>
                  </w14:solidFill>
                </w14:textFill>
              </w:rPr>
              <w:t>根据现场情况，发现有白蚁痕迹的设置一根，无白蚁痕迹的200m一根</w:t>
            </w:r>
            <w:r>
              <w:rPr>
                <w:rStyle w:val="18"/>
                <w:rFonts w:hint="eastAsia" w:ascii="宋体" w:hAnsi="宋体" w:eastAsia="宋体" w:cs="宋体"/>
                <w:color w:val="000000" w:themeColor="text1"/>
                <w:highlight w:val="none"/>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设置引诱桩不低于2100个，</w:t>
            </w:r>
            <w:r>
              <w:rPr>
                <w:rStyle w:val="18"/>
                <w:rFonts w:hint="eastAsia" w:ascii="宋体" w:hAnsi="宋体" w:eastAsia="宋体" w:cs="宋体"/>
                <w:color w:val="000000" w:themeColor="text1"/>
                <w:highlight w:val="none"/>
                <w14:textFill>
                  <w14:solidFill>
                    <w14:schemeClr w14:val="tx1"/>
                  </w14:solidFill>
                </w14:textFill>
              </w:rPr>
              <w:t>每根点位水印相机记录。</w:t>
            </w:r>
          </w:p>
        </w:tc>
      </w:tr>
      <w:tr w14:paraId="6FC6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673A956">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28BEE95">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5FA07680">
            <w:pPr>
              <w:pStyle w:val="40"/>
              <w:keepNext w:val="0"/>
              <w:keepLines w:val="0"/>
              <w:pageBreakBefore w:val="0"/>
              <w:widowControl/>
              <w:rPr>
                <w:rStyle w:val="18"/>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沿着堤防一字行排开，运用人工普查法、引诱法、仪器探测法等方式，对临、背河两侧、背河堤脚外20m采用拉网式检查外，重点要对引诱到白蚁的引诱桩要进行白蚁种类分析、记录，并做灭治处理；</w:t>
            </w:r>
            <w:r>
              <w:rPr>
                <w:rStyle w:val="18"/>
                <w:rFonts w:hint="eastAsia" w:ascii="宋体" w:hAnsi="宋体" w:eastAsia="宋体" w:cs="宋体"/>
                <w:color w:val="000000" w:themeColor="text1"/>
                <w:highlight w:val="none"/>
                <w14:textFill>
                  <w14:solidFill>
                    <w14:schemeClr w14:val="tx1"/>
                  </w14:solidFill>
                </w14:textFill>
              </w:rPr>
              <w:t>根据各堤防现场环境情况</w:t>
            </w:r>
            <w:r>
              <w:rPr>
                <w:rStyle w:val="18"/>
                <w:rFonts w:hint="eastAsia" w:ascii="宋体" w:hAnsi="宋体" w:eastAsia="宋体" w:cs="宋体"/>
                <w:color w:val="000000" w:themeColor="text1"/>
                <w:highlight w:val="none"/>
                <w:lang w:val="en-US" w:eastAsia="zh-CN"/>
                <w14:textFill>
                  <w14:solidFill>
                    <w14:schemeClr w14:val="tx1"/>
                  </w14:solidFill>
                </w14:textFill>
              </w:rPr>
              <w:t>合理规划</w:t>
            </w:r>
            <w:r>
              <w:rPr>
                <w:rStyle w:val="18"/>
                <w:rFonts w:hint="eastAsia" w:ascii="宋体" w:hAnsi="宋体" w:eastAsia="宋体" w:cs="宋体"/>
                <w:color w:val="000000" w:themeColor="text1"/>
                <w:highlight w:val="none"/>
                <w14:textFill>
                  <w14:solidFill>
                    <w14:schemeClr w14:val="tx1"/>
                  </w14:solidFill>
                </w14:textFill>
              </w:rPr>
              <w:t>埋设规格不低于25*13*8cm地下引诱装置，装置内放置引诱块不低于3块，引诱棒2根，每个引诱装置点做好警示提醒标识标牌，</w:t>
            </w:r>
            <w:r>
              <w:rPr>
                <w:rStyle w:val="18"/>
                <w:rFonts w:hint="eastAsia" w:ascii="宋体" w:hAnsi="宋体" w:eastAsia="宋体" w:cs="宋体"/>
                <w:color w:val="000000" w:themeColor="text1"/>
                <w:highlight w:val="none"/>
                <w:lang w:val="en-US" w:eastAsia="zh-CN"/>
                <w14:textFill>
                  <w14:solidFill>
                    <w14:schemeClr w14:val="tx1"/>
                  </w14:solidFill>
                </w14:textFill>
              </w:rPr>
              <w:t>发现有白蚁痕迹的设置一个，无白蚁痕迹的500m一个，设置</w:t>
            </w:r>
            <w:r>
              <w:rPr>
                <w:rStyle w:val="18"/>
                <w:rFonts w:hint="eastAsia" w:ascii="宋体" w:hAnsi="宋体" w:eastAsia="宋体" w:cs="宋体"/>
                <w:color w:val="000000" w:themeColor="text1"/>
                <w:highlight w:val="none"/>
                <w14:textFill>
                  <w14:solidFill>
                    <w14:schemeClr w14:val="tx1"/>
                  </w14:solidFill>
                </w14:textFill>
              </w:rPr>
              <w:t>地下引诱装置</w:t>
            </w:r>
            <w:r>
              <w:rPr>
                <w:rStyle w:val="18"/>
                <w:rFonts w:hint="eastAsia" w:ascii="宋体" w:hAnsi="宋体" w:eastAsia="宋体" w:cs="宋体"/>
                <w:color w:val="000000" w:themeColor="text1"/>
                <w:highlight w:val="none"/>
                <w:lang w:val="en-US" w:eastAsia="zh-CN"/>
                <w14:textFill>
                  <w14:solidFill>
                    <w14:schemeClr w14:val="tx1"/>
                  </w14:solidFill>
                </w14:textFill>
              </w:rPr>
              <w:t>不低于800个，</w:t>
            </w:r>
            <w:r>
              <w:rPr>
                <w:rStyle w:val="18"/>
                <w:rFonts w:hint="eastAsia" w:ascii="宋体" w:hAnsi="宋体" w:eastAsia="宋体" w:cs="宋体"/>
                <w:color w:val="000000" w:themeColor="text1"/>
                <w:highlight w:val="none"/>
                <w14:textFill>
                  <w14:solidFill>
                    <w14:schemeClr w14:val="tx1"/>
                  </w14:solidFill>
                </w14:textFill>
              </w:rPr>
              <w:t>每个点位水印相机记录</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根据普查情况确定白蚁等害堤动物种类、危害等级后对白蚁进行诱杀剂投放、蚁道灌浆、机械打孔灌浆、巢位确定、破巢开挖、蚁患处土方夯实回填等综合治理，对獾、鼠、蛇等害堤动物进行捕捉、投药、巢穴开挖、巢穴封堵等综合治理。</w:t>
            </w:r>
          </w:p>
        </w:tc>
      </w:tr>
      <w:tr w14:paraId="6E4D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26AC0EA0">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4F507092">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47A9E664">
            <w:pPr>
              <w:pStyle w:val="40"/>
              <w:keepNext w:val="0"/>
              <w:keepLines w:val="0"/>
              <w:pageBreakBefore w:val="0"/>
              <w:widowControl/>
              <w:rPr>
                <w:rStyle w:val="18"/>
                <w:rFonts w:hint="default" w:ascii="宋体" w:hAnsi="宋体" w:eastAsia="宋体" w:cs="宋体"/>
                <w:color w:val="000000" w:themeColor="text1"/>
                <w:highlight w:val="none"/>
                <w:lang w:val="en-US" w:eastAsia="zh-CN"/>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（9）对2025白蚁等年害堤动物的普查工作，治理后监控各点位，</w:t>
            </w:r>
            <w:r>
              <w:rPr>
                <w:rStyle w:val="18"/>
                <w:rFonts w:hint="eastAsia" w:ascii="宋体" w:hAnsi="宋体" w:eastAsia="宋体" w:cs="宋体"/>
                <w:color w:val="000000" w:themeColor="text1"/>
                <w:highlight w:val="none"/>
                <w14:textFill>
                  <w14:solidFill>
                    <w14:schemeClr w14:val="tx1"/>
                  </w14:solidFill>
                </w14:textFill>
              </w:rPr>
              <w:t>根据各堤防现场环境情况以及普查到的害堤动物危害情况等级，埋设地下型信息化智能预警监测装置，装置内放置监测料棒不低于</w:t>
            </w:r>
            <w:r>
              <w:rPr>
                <w:rStyle w:val="18"/>
                <w:rFonts w:hint="eastAsia" w:ascii="宋体" w:hAnsi="宋体" w:eastAsia="宋体" w:cs="宋体"/>
                <w:color w:val="000000" w:themeColor="text1"/>
                <w:highlight w:val="none"/>
                <w:lang w:val="en-US" w:eastAsia="zh-CN"/>
                <w14:textFill>
                  <w14:solidFill>
                    <w14:schemeClr w14:val="tx1"/>
                  </w14:solidFill>
                </w14:textFill>
              </w:rPr>
              <w:t>3</w:t>
            </w:r>
            <w:r>
              <w:rPr>
                <w:rStyle w:val="18"/>
                <w:rFonts w:hint="eastAsia" w:ascii="宋体" w:hAnsi="宋体" w:eastAsia="宋体" w:cs="宋体"/>
                <w:color w:val="000000" w:themeColor="text1"/>
                <w:highlight w:val="none"/>
                <w14:textFill>
                  <w14:solidFill>
                    <w14:schemeClr w14:val="tx1"/>
                  </w14:solidFill>
                </w14:textFill>
              </w:rPr>
              <w:t>块，引诱料棒不低于2根，信息化智能预警监测装置是基于物联网云端平台通过移动通信网络进行数据上传，每个预警监测装置内传感器探测到白蚁进入，会自动上传数据到系统平台报警，每个预警监测装置点做好警示提醒标识标牌，每台点位水印相机记录。</w:t>
            </w:r>
          </w:p>
        </w:tc>
      </w:tr>
      <w:tr w14:paraId="76D3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544898B4">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ED1901D">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3C43E2E6">
            <w:pPr>
              <w:pStyle w:val="40"/>
              <w:keepNext w:val="0"/>
              <w:keepLines w:val="0"/>
              <w:pageBreakBefore w:val="0"/>
              <w:widowControl/>
              <w:rPr>
                <w:rStyle w:val="18"/>
                <w:rFonts w:hint="eastAsia" w:ascii="宋体" w:hAnsi="宋体" w:eastAsia="宋体" w:cs="宋体"/>
                <w:color w:val="000000" w:themeColor="text1"/>
                <w:highlight w:val="none"/>
                <w:lang w:eastAsia="zh-CN"/>
                <w14:textFill>
                  <w14:solidFill>
                    <w14:schemeClr w14:val="tx1"/>
                  </w14:solidFill>
                </w14:textFill>
              </w:rPr>
            </w:pP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10</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合同周期内中标人应提供24小时服务热线，在信息化智能预警监测装置系统报警后，要在</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24</w:t>
            </w:r>
            <w:r>
              <w:rPr>
                <w:rStyle w:val="18"/>
                <w:rFonts w:hint="eastAsia" w:ascii="宋体" w:hAnsi="宋体" w:eastAsia="宋体" w:cs="宋体"/>
                <w:i/>
                <w:iCs/>
                <w:color w:val="000000" w:themeColor="text1"/>
                <w:highlight w:val="none"/>
                <w:u w:val="single"/>
                <w14:textFill>
                  <w14:solidFill>
                    <w14:schemeClr w14:val="tx1"/>
                  </w14:solidFill>
                </w14:textFill>
              </w:rPr>
              <w:t>小时内到达报警点，对监测装置内引诱的白蚁进行投放药物灭治处理；监测系统出现故障问题，中标人要在</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24</w:t>
            </w:r>
            <w:r>
              <w:rPr>
                <w:rStyle w:val="18"/>
                <w:rFonts w:hint="eastAsia" w:ascii="宋体" w:hAnsi="宋体" w:eastAsia="宋体" w:cs="宋体"/>
                <w:i/>
                <w:iCs/>
                <w:color w:val="000000" w:themeColor="text1"/>
                <w:highlight w:val="none"/>
                <w:u w:val="single"/>
                <w14:textFill>
                  <w14:solidFill>
                    <w14:schemeClr w14:val="tx1"/>
                  </w14:solidFill>
                </w14:textFill>
              </w:rPr>
              <w:t>小时内安排技术人员到达现场进行维护解决，当场解决不了的技术故障要在12小时内给予解决。</w:t>
            </w:r>
          </w:p>
        </w:tc>
      </w:tr>
      <w:tr w14:paraId="4E9E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DA1EE88">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C3B295C">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115413F9">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11</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14:textFill>
                  <w14:solidFill>
                    <w14:schemeClr w14:val="tx1"/>
                  </w14:solidFill>
                </w14:textFill>
              </w:rPr>
              <w:t>信息化智能预警监测装置系统要提供给采购人独立的存储平台、独立显示</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平台</w:t>
            </w:r>
            <w:r>
              <w:rPr>
                <w:rStyle w:val="18"/>
                <w:rFonts w:hint="eastAsia" w:ascii="宋体" w:hAnsi="宋体" w:eastAsia="宋体" w:cs="宋体"/>
                <w:i w:val="0"/>
                <w:iCs w:val="0"/>
                <w:color w:val="000000" w:themeColor="text1"/>
                <w:highlight w:val="none"/>
                <w:u w:val="none"/>
                <w14:textFill>
                  <w14:solidFill>
                    <w14:schemeClr w14:val="tx1"/>
                  </w14:solidFill>
                </w14:textFill>
              </w:rPr>
              <w:t>、独立账号提供一年使用期，要包括流量传输、系统</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升级</w:t>
            </w:r>
            <w:r>
              <w:rPr>
                <w:rStyle w:val="18"/>
                <w:rFonts w:hint="eastAsia" w:ascii="宋体" w:hAnsi="宋体" w:eastAsia="宋体" w:cs="宋体"/>
                <w:i w:val="0"/>
                <w:iCs w:val="0"/>
                <w:color w:val="000000" w:themeColor="text1"/>
                <w:highlight w:val="none"/>
                <w:u w:val="none"/>
                <w14:textFill>
                  <w14:solidFill>
                    <w14:schemeClr w14:val="tx1"/>
                  </w14:solidFill>
                </w14:textFill>
              </w:rPr>
              <w:t>维护提供等</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具有</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升级与维护的工程师人员</w:t>
            </w:r>
            <w:r>
              <w:rPr>
                <w:rStyle w:val="18"/>
                <w:rFonts w:hint="eastAsia" w:ascii="宋体" w:hAnsi="宋体" w:eastAsia="宋体" w:cs="宋体"/>
                <w:i w:val="0"/>
                <w:iCs w:val="0"/>
                <w:color w:val="000000" w:themeColor="text1"/>
                <w:highlight w:val="none"/>
                <w:u w:val="none"/>
                <w14:textFill>
                  <w14:solidFill>
                    <w14:schemeClr w14:val="tx1"/>
                  </w14:solidFill>
                </w14:textFill>
              </w:rPr>
              <w:t>；信息化智能预警监测装置设备提供三年免费质保。信息化智能预警监测参数要求详见四、其他部分 附件1。</w:t>
            </w:r>
          </w:p>
        </w:tc>
      </w:tr>
      <w:tr w14:paraId="1A7C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609EA1CE">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17CB41E">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558C5DB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12</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14:textFill>
                  <w14:solidFill>
                    <w14:schemeClr w14:val="tx1"/>
                  </w14:solidFill>
                </w14:textFill>
              </w:rPr>
              <w:t>基本仪器设备（含履行应急任务设备）</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及作业车辆要求</w:t>
            </w:r>
            <w:r>
              <w:rPr>
                <w:rStyle w:val="18"/>
                <w:rFonts w:hint="eastAsia" w:ascii="宋体" w:hAnsi="宋体" w:eastAsia="宋体" w:cs="宋体"/>
                <w:i w:val="0"/>
                <w:iCs w:val="0"/>
                <w:color w:val="000000" w:themeColor="text1"/>
                <w:highlight w:val="none"/>
                <w:u w:val="none"/>
                <w14:textFill>
                  <w14:solidFill>
                    <w14:schemeClr w14:val="tx1"/>
                  </w14:solidFill>
                </w14:textFill>
              </w:rPr>
              <w:t>：为满足本项目基本工作需求，投标人</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应</w:t>
            </w:r>
            <w:r>
              <w:rPr>
                <w:rStyle w:val="18"/>
                <w:rFonts w:hint="eastAsia" w:ascii="宋体" w:hAnsi="宋体" w:eastAsia="宋体" w:cs="宋体"/>
                <w:i w:val="0"/>
                <w:iCs w:val="0"/>
                <w:color w:val="000000" w:themeColor="text1"/>
                <w:highlight w:val="none"/>
                <w:u w:val="none"/>
                <w14:textFill>
                  <w14:solidFill>
                    <w14:schemeClr w14:val="tx1"/>
                  </w14:solidFill>
                </w14:textFill>
              </w:rPr>
              <w:t>投入白蚁防治专用工具、钻孔机、车载喷药车、手电筒等基本仪器设备</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应</w:t>
            </w:r>
            <w:r>
              <w:rPr>
                <w:rStyle w:val="18"/>
                <w:rFonts w:hint="eastAsia" w:ascii="宋体" w:hAnsi="宋体" w:eastAsia="宋体" w:cs="宋体"/>
                <w:i w:val="0"/>
                <w:iCs w:val="0"/>
                <w:color w:val="000000" w:themeColor="text1"/>
                <w:highlight w:val="none"/>
                <w:u w:val="none"/>
                <w14:textFill>
                  <w14:solidFill>
                    <w14:schemeClr w14:val="tx1"/>
                  </w14:solidFill>
                </w14:textFill>
              </w:rPr>
              <w:t>投入</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不少于2辆</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施工作业车辆。</w:t>
            </w:r>
          </w:p>
        </w:tc>
      </w:tr>
      <w:tr w14:paraId="39FD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7BA8D576">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27C67DB0">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11B68101">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（13）受害江堤安全健康评估</w:t>
            </w:r>
            <w:r>
              <w:rPr>
                <w:rStyle w:val="18"/>
                <w:rFonts w:hint="eastAsia" w:ascii="宋体" w:hAnsi="宋体" w:eastAsia="宋体" w:cs="宋体"/>
                <w:color w:val="000000" w:themeColor="text1"/>
                <w:highlight w:val="none"/>
                <w:lang w:val="en-US" w:eastAsia="zh-CN"/>
                <w14:textFill>
                  <w14:solidFill>
                    <w14:schemeClr w14:val="tx1"/>
                  </w14:solidFill>
                </w14:textFill>
              </w:rPr>
              <w:t>工作内容：</w:t>
            </w:r>
          </w:p>
          <w:p w14:paraId="5092572E">
            <w:pPr>
              <w:pStyle w:val="40"/>
              <w:keepNext w:val="0"/>
              <w:keepLines w:val="0"/>
              <w:pageBreakBefore w:val="0"/>
              <w:widowControl/>
              <w:numPr>
                <w:ilvl w:val="0"/>
                <w:numId w:val="0"/>
              </w:numPr>
              <w:ind w:firstLine="420"/>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根据《堤防工程安全评价导则》（SL/Z679-2015），堤防安全评价进行现状调查分析、复核计算、综合评价工作，编制“堤防安全现状调查分析报告”、“堤防安全复核计算分析报告”、“堤防安全综合评价报告”。根据导则要求工作内容如下：</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851"/>
              <w:gridCol w:w="5276"/>
            </w:tblGrid>
            <w:tr w14:paraId="4751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blHeader/>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9081F">
                  <w:pPr>
                    <w:keepNext w:val="0"/>
                    <w:keepLines w:val="0"/>
                    <w:pageBreakBefore w:val="0"/>
                    <w:widowControl/>
                    <w:suppressLineNumbers w:val="0"/>
                    <w:spacing w:line="24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bidi="ar"/>
                      <w14:textFill>
                        <w14:solidFill>
                          <w14:schemeClr w14:val="tx1"/>
                        </w14:solidFill>
                      </w14:textFill>
                    </w:rPr>
                    <w:t>序号</w:t>
                  </w:r>
                </w:p>
              </w:tc>
              <w:tc>
                <w:tcPr>
                  <w:tcW w:w="1851" w:type="dxa"/>
                  <w:tcBorders>
                    <w:top w:val="single" w:color="auto" w:sz="4" w:space="0"/>
                    <w:left w:val="nil"/>
                    <w:bottom w:val="single" w:color="auto" w:sz="4" w:space="0"/>
                    <w:right w:val="single" w:color="auto" w:sz="4" w:space="0"/>
                  </w:tcBorders>
                  <w:shd w:val="clear" w:color="auto" w:fill="auto"/>
                  <w:noWrap w:val="0"/>
                  <w:vAlign w:val="center"/>
                </w:tcPr>
                <w:p w14:paraId="13BE877A">
                  <w:pPr>
                    <w:keepNext w:val="0"/>
                    <w:keepLines w:val="0"/>
                    <w:pageBreakBefore w:val="0"/>
                    <w:widowControl/>
                    <w:suppressLineNumbers w:val="0"/>
                    <w:spacing w:line="24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bidi="ar"/>
                      <w14:textFill>
                        <w14:solidFill>
                          <w14:schemeClr w14:val="tx1"/>
                        </w14:solidFill>
                      </w14:textFill>
                    </w:rPr>
                    <w:t>工作内容</w:t>
                  </w:r>
                </w:p>
              </w:tc>
              <w:tc>
                <w:tcPr>
                  <w:tcW w:w="5276" w:type="dxa"/>
                  <w:tcBorders>
                    <w:top w:val="single" w:color="auto" w:sz="4" w:space="0"/>
                    <w:left w:val="nil"/>
                    <w:bottom w:val="single" w:color="auto" w:sz="4" w:space="0"/>
                    <w:right w:val="single" w:color="auto" w:sz="4" w:space="0"/>
                  </w:tcBorders>
                  <w:shd w:val="clear" w:color="auto" w:fill="auto"/>
                  <w:noWrap w:val="0"/>
                  <w:vAlign w:val="center"/>
                </w:tcPr>
                <w:p w14:paraId="6F0347CB">
                  <w:pPr>
                    <w:keepNext w:val="0"/>
                    <w:keepLines w:val="0"/>
                    <w:pageBreakBefore w:val="0"/>
                    <w:widowControl/>
                    <w:suppressLineNumbers w:val="0"/>
                    <w:spacing w:line="24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bidi="ar"/>
                      <w14:textFill>
                        <w14:solidFill>
                          <w14:schemeClr w14:val="tx1"/>
                        </w14:solidFill>
                      </w14:textFill>
                    </w:rPr>
                    <w:t>备注</w:t>
                  </w:r>
                </w:p>
              </w:tc>
            </w:tr>
            <w:tr w14:paraId="22CB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69836A02">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1</w:t>
                  </w:r>
                </w:p>
              </w:tc>
              <w:tc>
                <w:tcPr>
                  <w:tcW w:w="1851" w:type="dxa"/>
                  <w:tcBorders>
                    <w:top w:val="nil"/>
                    <w:left w:val="nil"/>
                    <w:bottom w:val="single" w:color="auto" w:sz="4" w:space="0"/>
                    <w:right w:val="single" w:color="auto" w:sz="4" w:space="0"/>
                  </w:tcBorders>
                  <w:shd w:val="clear" w:color="auto" w:fill="auto"/>
                  <w:noWrap w:val="0"/>
                  <w:vAlign w:val="center"/>
                </w:tcPr>
                <w:p w14:paraId="5ACEDB23">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基础资料收集工作</w:t>
                  </w:r>
                </w:p>
              </w:tc>
              <w:tc>
                <w:tcPr>
                  <w:tcW w:w="5276" w:type="dxa"/>
                  <w:tcBorders>
                    <w:top w:val="nil"/>
                    <w:left w:val="nil"/>
                    <w:bottom w:val="single" w:color="auto" w:sz="4" w:space="0"/>
                    <w:right w:val="single" w:color="auto" w:sz="4" w:space="0"/>
                  </w:tcBorders>
                  <w:shd w:val="clear" w:color="auto" w:fill="auto"/>
                  <w:noWrap w:val="0"/>
                  <w:vAlign w:val="center"/>
                </w:tcPr>
                <w:p w14:paraId="590067EE">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需要地勘报告、历年加固大修记录、沉降记录、设计资料、竣工图、历年鉴定报告、管理资料等。</w:t>
                  </w:r>
                </w:p>
              </w:tc>
            </w:tr>
            <w:tr w14:paraId="0C95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682A4C26">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2</w:t>
                  </w:r>
                </w:p>
              </w:tc>
              <w:tc>
                <w:tcPr>
                  <w:tcW w:w="1851" w:type="dxa"/>
                  <w:tcBorders>
                    <w:top w:val="nil"/>
                    <w:left w:val="nil"/>
                    <w:bottom w:val="single" w:color="auto" w:sz="4" w:space="0"/>
                    <w:right w:val="single" w:color="auto" w:sz="4" w:space="0"/>
                  </w:tcBorders>
                  <w:shd w:val="clear" w:color="auto" w:fill="auto"/>
                  <w:noWrap w:val="0"/>
                  <w:vAlign w:val="center"/>
                </w:tcPr>
                <w:p w14:paraId="1759818A">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外观质量调查、测量工作</w:t>
                  </w:r>
                </w:p>
              </w:tc>
              <w:tc>
                <w:tcPr>
                  <w:tcW w:w="5276" w:type="dxa"/>
                  <w:tcBorders>
                    <w:top w:val="nil"/>
                    <w:left w:val="nil"/>
                    <w:bottom w:val="single" w:color="auto" w:sz="4" w:space="0"/>
                    <w:right w:val="single" w:color="auto" w:sz="4" w:space="0"/>
                  </w:tcBorders>
                  <w:shd w:val="clear" w:color="auto" w:fill="auto"/>
                  <w:noWrap w:val="0"/>
                  <w:vAlign w:val="center"/>
                </w:tcPr>
                <w:p w14:paraId="2E94C119">
                  <w:pPr>
                    <w:keepNext w:val="0"/>
                    <w:keepLines w:val="0"/>
                    <w:pageBreakBefore w:val="0"/>
                    <w:widowControl/>
                    <w:suppressLineNumbers w:val="0"/>
                    <w:spacing w:line="240" w:lineRule="exact"/>
                    <w:jc w:val="left"/>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对堤防外观进行调查，主要调查</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调查堤防断面尺寸、堤防裂缝、渗漏、冻融剥蚀、钢筋锈蚀、混凝土碳化以及沉降缝止水完好情况，</w:t>
                  </w: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测绘堤防断面及堤顶高程，按100m/断面进行测绘。</w:t>
                  </w:r>
                </w:p>
              </w:tc>
            </w:tr>
            <w:tr w14:paraId="6EA5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0286FEF0">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3</w:t>
                  </w:r>
                </w:p>
              </w:tc>
              <w:tc>
                <w:tcPr>
                  <w:tcW w:w="1851" w:type="dxa"/>
                  <w:tcBorders>
                    <w:top w:val="nil"/>
                    <w:left w:val="nil"/>
                    <w:bottom w:val="single" w:color="auto" w:sz="4" w:space="0"/>
                    <w:right w:val="single" w:color="auto" w:sz="4" w:space="0"/>
                  </w:tcBorders>
                  <w:shd w:val="clear" w:color="auto" w:fill="auto"/>
                  <w:noWrap w:val="0"/>
                  <w:vAlign w:val="center"/>
                </w:tcPr>
                <w:p w14:paraId="3B6AC42C">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探测堤身内部隐患情况</w:t>
                  </w:r>
                </w:p>
              </w:tc>
              <w:tc>
                <w:tcPr>
                  <w:tcW w:w="5276" w:type="dxa"/>
                  <w:tcBorders>
                    <w:top w:val="nil"/>
                    <w:left w:val="nil"/>
                    <w:bottom w:val="single" w:color="auto" w:sz="4" w:space="0"/>
                    <w:right w:val="single" w:color="auto" w:sz="4" w:space="0"/>
                  </w:tcBorders>
                  <w:shd w:val="clear" w:color="auto" w:fill="auto"/>
                  <w:noWrap w:val="0"/>
                  <w:vAlign w:val="center"/>
                </w:tcPr>
                <w:p w14:paraId="7A86AD8E">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结合防治措施，对防治完成后的点位进行堤身内部隐患探测，确认防治效果</w:t>
                  </w:r>
                </w:p>
              </w:tc>
            </w:tr>
            <w:tr w14:paraId="0ADA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559F7BAF">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4</w:t>
                  </w:r>
                </w:p>
              </w:tc>
              <w:tc>
                <w:tcPr>
                  <w:tcW w:w="1851" w:type="dxa"/>
                  <w:tcBorders>
                    <w:top w:val="nil"/>
                    <w:left w:val="nil"/>
                    <w:bottom w:val="single" w:color="auto" w:sz="4" w:space="0"/>
                    <w:right w:val="single" w:color="auto" w:sz="4" w:space="0"/>
                  </w:tcBorders>
                  <w:shd w:val="clear" w:color="auto" w:fill="auto"/>
                  <w:noWrap w:val="0"/>
                  <w:vAlign w:val="center"/>
                </w:tcPr>
                <w:p w14:paraId="6C881909">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勘探工作</w:t>
                  </w:r>
                </w:p>
              </w:tc>
              <w:tc>
                <w:tcPr>
                  <w:tcW w:w="5276" w:type="dxa"/>
                  <w:tcBorders>
                    <w:top w:val="nil"/>
                    <w:left w:val="nil"/>
                    <w:bottom w:val="single" w:color="auto" w:sz="4" w:space="0"/>
                    <w:right w:val="single" w:color="auto" w:sz="4" w:space="0"/>
                  </w:tcBorders>
                  <w:shd w:val="clear" w:color="auto" w:fill="auto"/>
                  <w:noWrap w:val="0"/>
                  <w:vAlign w:val="center"/>
                </w:tcPr>
                <w:p w14:paraId="3F55D852">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根据导则要求，对于资料缺失的需补充勘探</w:t>
                  </w:r>
                </w:p>
              </w:tc>
            </w:tr>
            <w:tr w14:paraId="5D5A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2486718D">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5</w:t>
                  </w:r>
                </w:p>
              </w:tc>
              <w:tc>
                <w:tcPr>
                  <w:tcW w:w="1851" w:type="dxa"/>
                  <w:tcBorders>
                    <w:top w:val="nil"/>
                    <w:left w:val="nil"/>
                    <w:bottom w:val="single" w:color="auto" w:sz="4" w:space="0"/>
                    <w:right w:val="single" w:color="auto" w:sz="4" w:space="0"/>
                  </w:tcBorders>
                  <w:shd w:val="clear" w:color="auto" w:fill="auto"/>
                  <w:noWrap w:val="0"/>
                  <w:vAlign w:val="center"/>
                </w:tcPr>
                <w:p w14:paraId="5A275579">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交叉建筑物分析评价</w:t>
                  </w:r>
                </w:p>
              </w:tc>
              <w:tc>
                <w:tcPr>
                  <w:tcW w:w="5276" w:type="dxa"/>
                  <w:tcBorders>
                    <w:top w:val="nil"/>
                    <w:left w:val="nil"/>
                    <w:bottom w:val="single" w:color="auto" w:sz="4" w:space="0"/>
                    <w:right w:val="single" w:color="auto" w:sz="4" w:space="0"/>
                  </w:tcBorders>
                  <w:shd w:val="clear" w:color="auto" w:fill="auto"/>
                  <w:noWrap w:val="0"/>
                  <w:vAlign w:val="center"/>
                </w:tcPr>
                <w:p w14:paraId="1DC201C7">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外观调查及现状调查分析</w:t>
                  </w:r>
                </w:p>
              </w:tc>
            </w:tr>
            <w:tr w14:paraId="5AD0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5044DD84">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6</w:t>
                  </w:r>
                </w:p>
              </w:tc>
              <w:tc>
                <w:tcPr>
                  <w:tcW w:w="1851" w:type="dxa"/>
                  <w:tcBorders>
                    <w:top w:val="nil"/>
                    <w:left w:val="nil"/>
                    <w:bottom w:val="single" w:color="auto" w:sz="4" w:space="0"/>
                    <w:right w:val="single" w:color="auto" w:sz="4" w:space="0"/>
                  </w:tcBorders>
                  <w:shd w:val="clear" w:color="auto" w:fill="auto"/>
                  <w:noWrap w:val="0"/>
                  <w:vAlign w:val="center"/>
                </w:tcPr>
                <w:p w14:paraId="2CE1A43D">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安全复核专题报告</w:t>
                  </w:r>
                </w:p>
              </w:tc>
              <w:tc>
                <w:tcPr>
                  <w:tcW w:w="5276" w:type="dxa"/>
                  <w:tcBorders>
                    <w:top w:val="nil"/>
                    <w:left w:val="nil"/>
                    <w:bottom w:val="single" w:color="auto" w:sz="4" w:space="0"/>
                    <w:right w:val="single" w:color="auto" w:sz="4" w:space="0"/>
                  </w:tcBorders>
                  <w:shd w:val="clear" w:color="auto" w:fill="auto"/>
                  <w:noWrap w:val="0"/>
                  <w:vAlign w:val="center"/>
                </w:tcPr>
                <w:p w14:paraId="0AC35222">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防洪标准、渗流安全、结构安全复核计算</w:t>
                  </w:r>
                </w:p>
              </w:tc>
            </w:tr>
            <w:tr w14:paraId="3424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92" w:type="dxa"/>
                  <w:tcBorders>
                    <w:top w:val="nil"/>
                    <w:left w:val="single" w:color="auto" w:sz="4" w:space="0"/>
                    <w:bottom w:val="single" w:color="auto" w:sz="4" w:space="0"/>
                    <w:right w:val="single" w:color="auto" w:sz="4" w:space="0"/>
                  </w:tcBorders>
                  <w:shd w:val="clear" w:color="auto" w:fill="auto"/>
                  <w:noWrap w:val="0"/>
                  <w:vAlign w:val="center"/>
                </w:tcPr>
                <w:p w14:paraId="7A245296">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7</w:t>
                  </w:r>
                </w:p>
              </w:tc>
              <w:tc>
                <w:tcPr>
                  <w:tcW w:w="1851" w:type="dxa"/>
                  <w:tcBorders>
                    <w:top w:val="nil"/>
                    <w:left w:val="nil"/>
                    <w:bottom w:val="single" w:color="auto" w:sz="4" w:space="0"/>
                    <w:right w:val="single" w:color="auto" w:sz="4" w:space="0"/>
                  </w:tcBorders>
                  <w:shd w:val="clear" w:color="auto" w:fill="auto"/>
                  <w:noWrap w:val="0"/>
                  <w:vAlign w:val="center"/>
                </w:tcPr>
                <w:p w14:paraId="38A1741E">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安全评价报告统稿汇编及评审汇报工作</w:t>
                  </w:r>
                </w:p>
              </w:tc>
              <w:tc>
                <w:tcPr>
                  <w:tcW w:w="5276" w:type="dxa"/>
                  <w:tcBorders>
                    <w:top w:val="nil"/>
                    <w:left w:val="nil"/>
                    <w:bottom w:val="single" w:color="auto" w:sz="4" w:space="0"/>
                    <w:right w:val="single" w:color="auto" w:sz="4" w:space="0"/>
                  </w:tcBorders>
                  <w:shd w:val="clear" w:color="auto" w:fill="auto"/>
                  <w:noWrap w:val="0"/>
                  <w:vAlign w:val="center"/>
                </w:tcPr>
                <w:p w14:paraId="3C3C4BDE">
                  <w:pPr>
                    <w:keepNext w:val="0"/>
                    <w:keepLines w:val="0"/>
                    <w:pageBreakBefore w:val="0"/>
                    <w:widowControl/>
                    <w:suppressLineNumbers w:val="0"/>
                    <w:spacing w:line="24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根据完成工作内容，进行安全评价报告统稿编制，并完成评审</w:t>
                  </w:r>
                </w:p>
              </w:tc>
            </w:tr>
          </w:tbl>
          <w:p w14:paraId="0ED5E9B6">
            <w:pPr>
              <w:pStyle w:val="40"/>
              <w:keepNext w:val="0"/>
              <w:keepLines w:val="0"/>
              <w:pageBreakBefore w:val="0"/>
              <w:widowControl/>
              <w:numPr>
                <w:ilvl w:val="0"/>
                <w:numId w:val="0"/>
              </w:numP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工程量清单：</w:t>
            </w:r>
          </w:p>
          <w:tbl>
            <w:tblPr>
              <w:tblStyle w:val="8"/>
              <w:tblW w:w="8463" w:type="dxa"/>
              <w:jc w:val="center"/>
              <w:tblLayout w:type="fixed"/>
              <w:tblCellMar>
                <w:top w:w="0" w:type="dxa"/>
                <w:left w:w="108" w:type="dxa"/>
                <w:bottom w:w="0" w:type="dxa"/>
                <w:right w:w="108" w:type="dxa"/>
              </w:tblCellMar>
            </w:tblPr>
            <w:tblGrid>
              <w:gridCol w:w="936"/>
              <w:gridCol w:w="5629"/>
              <w:gridCol w:w="6"/>
              <w:gridCol w:w="80"/>
              <w:gridCol w:w="654"/>
              <w:gridCol w:w="740"/>
            </w:tblGrid>
            <w:tr w14:paraId="56A1D3FF">
              <w:tblPrEx>
                <w:tblCellMar>
                  <w:top w:w="0" w:type="dxa"/>
                  <w:left w:w="108" w:type="dxa"/>
                  <w:bottom w:w="0" w:type="dxa"/>
                  <w:right w:w="108" w:type="dxa"/>
                </w:tblCellMar>
              </w:tblPrEx>
              <w:trPr>
                <w:trHeight w:val="300" w:hRule="atLeast"/>
                <w:tblHeader/>
                <w:jc w:val="center"/>
              </w:trPr>
              <w:tc>
                <w:tcPr>
                  <w:tcW w:w="979" w:type="dxa"/>
                  <w:tcBorders>
                    <w:top w:val="single" w:color="auto" w:sz="4" w:space="0"/>
                    <w:left w:val="single" w:color="auto" w:sz="4" w:space="0"/>
                    <w:bottom w:val="single" w:color="auto" w:sz="4" w:space="0"/>
                    <w:right w:val="single" w:color="auto" w:sz="4" w:space="0"/>
                  </w:tcBorders>
                  <w:shd w:val="clear" w:color="auto" w:fill="C0C0C0"/>
                  <w:noWrap/>
                  <w:vAlign w:val="center"/>
                </w:tcPr>
                <w:p w14:paraId="3992499B">
                  <w:pPr>
                    <w:pStyle w:val="40"/>
                    <w:keepNext w:val="0"/>
                    <w:keepLines w:val="0"/>
                    <w:pageBreakBefore w:val="0"/>
                    <w:widowControl/>
                    <w:numPr>
                      <w:ilvl w:val="0"/>
                      <w:numId w:val="0"/>
                    </w:numP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5944" w:type="dxa"/>
                  <w:tcBorders>
                    <w:top w:val="single" w:color="auto" w:sz="4" w:space="0"/>
                    <w:left w:val="nil"/>
                    <w:bottom w:val="single" w:color="auto" w:sz="4" w:space="0"/>
                    <w:right w:val="single" w:color="auto" w:sz="4" w:space="0"/>
                  </w:tcBorders>
                  <w:shd w:val="clear" w:color="auto" w:fill="C0C0C0"/>
                  <w:noWrap/>
                  <w:vAlign w:val="center"/>
                </w:tcPr>
                <w:p w14:paraId="5DBFECD3">
                  <w:pPr>
                    <w:pStyle w:val="40"/>
                    <w:keepNext w:val="0"/>
                    <w:keepLines w:val="0"/>
                    <w:pageBreakBefore w:val="0"/>
                    <w:widowControl/>
                    <w:numPr>
                      <w:ilvl w:val="0"/>
                      <w:numId w:val="0"/>
                    </w:numPr>
                    <w:ind w:firstLine="420"/>
                    <w:jc w:val="cente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项目</w:t>
                  </w:r>
                </w:p>
              </w:tc>
              <w:tc>
                <w:tcPr>
                  <w:tcW w:w="1540" w:type="dxa"/>
                  <w:gridSpan w:val="4"/>
                  <w:tcBorders>
                    <w:top w:val="single" w:color="auto" w:sz="4" w:space="0"/>
                    <w:left w:val="nil"/>
                    <w:bottom w:val="single" w:color="auto" w:sz="4" w:space="0"/>
                    <w:right w:val="single" w:color="auto" w:sz="4" w:space="0"/>
                  </w:tcBorders>
                  <w:shd w:val="clear" w:color="auto" w:fill="C0C0C0"/>
                  <w:noWrap w:val="0"/>
                  <w:vAlign w:val="center"/>
                </w:tcPr>
                <w:p w14:paraId="3CCA13BF">
                  <w:pPr>
                    <w:pStyle w:val="40"/>
                    <w:keepNext w:val="0"/>
                    <w:keepLines w:val="0"/>
                    <w:pageBreakBefore w:val="0"/>
                    <w:widowControl/>
                    <w:numPr>
                      <w:ilvl w:val="0"/>
                      <w:numId w:val="0"/>
                    </w:numPr>
                    <w:ind w:firstLine="420"/>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数量</w:t>
                  </w:r>
                </w:p>
              </w:tc>
            </w:tr>
            <w:tr w14:paraId="37E60911">
              <w:tblPrEx>
                <w:tblCellMar>
                  <w:top w:w="0" w:type="dxa"/>
                  <w:left w:w="108" w:type="dxa"/>
                  <w:bottom w:w="0" w:type="dxa"/>
                  <w:right w:w="108" w:type="dxa"/>
                </w:tblCellMar>
              </w:tblPrEx>
              <w:trPr>
                <w:trHeight w:val="405" w:hRule="atLeast"/>
                <w:jc w:val="center"/>
              </w:trPr>
              <w:tc>
                <w:tcPr>
                  <w:tcW w:w="979" w:type="dxa"/>
                  <w:tcBorders>
                    <w:top w:val="nil"/>
                    <w:left w:val="single" w:color="auto" w:sz="4" w:space="0"/>
                    <w:bottom w:val="single" w:color="auto" w:sz="4" w:space="0"/>
                    <w:right w:val="single" w:color="auto" w:sz="4" w:space="0"/>
                  </w:tcBorders>
                  <w:shd w:val="clear" w:color="auto" w:fill="CCCCCC"/>
                  <w:noWrap/>
                  <w:vAlign w:val="center"/>
                </w:tcPr>
                <w:p w14:paraId="6009E628">
                  <w:pPr>
                    <w:pStyle w:val="40"/>
                    <w:keepNext w:val="0"/>
                    <w:keepLines w:val="0"/>
                    <w:pageBreakBefore w:val="0"/>
                    <w:widowControl/>
                    <w:numPr>
                      <w:ilvl w:val="0"/>
                      <w:numId w:val="0"/>
                    </w:numP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一</w:t>
                  </w:r>
                </w:p>
              </w:tc>
              <w:tc>
                <w:tcPr>
                  <w:tcW w:w="7484" w:type="dxa"/>
                  <w:gridSpan w:val="5"/>
                  <w:tcBorders>
                    <w:top w:val="single" w:color="auto" w:sz="4" w:space="0"/>
                    <w:left w:val="nil"/>
                    <w:bottom w:val="single" w:color="auto" w:sz="4" w:space="0"/>
                    <w:right w:val="single" w:color="auto" w:sz="4" w:space="0"/>
                  </w:tcBorders>
                  <w:shd w:val="clear" w:color="auto" w:fill="CCCCCC"/>
                  <w:noWrap/>
                  <w:vAlign w:val="center"/>
                </w:tcPr>
                <w:p w14:paraId="7F334651">
                  <w:pPr>
                    <w:pStyle w:val="40"/>
                    <w:keepNext w:val="0"/>
                    <w:keepLines w:val="0"/>
                    <w:pageBreakBefore w:val="0"/>
                    <w:widowControl/>
                    <w:numPr>
                      <w:ilvl w:val="0"/>
                      <w:numId w:val="0"/>
                    </w:numPr>
                    <w:ind w:firstLine="420"/>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堤防工程现状调查</w:t>
                  </w:r>
                </w:p>
              </w:tc>
            </w:tr>
            <w:tr w14:paraId="412A503A">
              <w:tblPrEx>
                <w:tblCellMar>
                  <w:top w:w="0" w:type="dxa"/>
                  <w:left w:w="108" w:type="dxa"/>
                  <w:bottom w:w="0" w:type="dxa"/>
                  <w:right w:w="108" w:type="dxa"/>
                </w:tblCellMar>
              </w:tblPrEx>
              <w:trPr>
                <w:trHeight w:val="1740"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779A85F7">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5944" w:type="dxa"/>
                  <w:tcBorders>
                    <w:top w:val="nil"/>
                    <w:left w:val="nil"/>
                    <w:bottom w:val="single" w:color="auto" w:sz="4" w:space="0"/>
                    <w:right w:val="single" w:color="auto" w:sz="4" w:space="0"/>
                  </w:tcBorders>
                  <w:shd w:val="clear" w:color="auto" w:fill="auto"/>
                  <w:noWrap w:val="0"/>
                  <w:vAlign w:val="center"/>
                </w:tcPr>
                <w:p w14:paraId="24A2489C">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相关档案资料查阅和现场检查。现场检查应抓住影响工程安全的重点关键部位，对可能存在质量缺陷的部位应反复检查。现场踏勘的重点部位是：（1）防冲设施；（2）迎水面、堤顶、背水坡等护面结构；（3）镇压层、护堤地等护堤设施；（4）堤身填料、防渗土体等主要材料； （5）交叉建筑物与堤防结合部位；（6）对以空箱、框架等混凝土结构为主的堤防工程，着重调查地基处理方式、堤前护堤设施，混凝土的冲蚀、变形及结构止水等。</w:t>
                  </w:r>
                </w:p>
              </w:tc>
              <w:tc>
                <w:tcPr>
                  <w:tcW w:w="1540" w:type="dxa"/>
                  <w:gridSpan w:val="4"/>
                  <w:tcBorders>
                    <w:top w:val="single" w:color="auto" w:sz="4" w:space="0"/>
                    <w:left w:val="nil"/>
                    <w:bottom w:val="single" w:color="auto" w:sz="4" w:space="0"/>
                    <w:right w:val="single" w:color="auto" w:sz="4" w:space="0"/>
                  </w:tcBorders>
                  <w:shd w:val="clear" w:color="auto" w:fill="auto"/>
                  <w:noWrap/>
                  <w:vAlign w:val="center"/>
                </w:tcPr>
                <w:p w14:paraId="0EFC3096">
                  <w:pPr>
                    <w:widowControl/>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2F57E8D6">
              <w:tblPrEx>
                <w:tblCellMar>
                  <w:top w:w="0" w:type="dxa"/>
                  <w:left w:w="108" w:type="dxa"/>
                  <w:bottom w:w="0" w:type="dxa"/>
                  <w:right w:w="108" w:type="dxa"/>
                </w:tblCellMar>
              </w:tblPrEx>
              <w:trPr>
                <w:trHeight w:val="375" w:hRule="atLeast"/>
                <w:jc w:val="center"/>
              </w:trPr>
              <w:tc>
                <w:tcPr>
                  <w:tcW w:w="979" w:type="dxa"/>
                  <w:tcBorders>
                    <w:top w:val="nil"/>
                    <w:left w:val="single" w:color="auto" w:sz="4" w:space="0"/>
                    <w:bottom w:val="single" w:color="auto" w:sz="4" w:space="0"/>
                    <w:right w:val="single" w:color="auto" w:sz="4" w:space="0"/>
                  </w:tcBorders>
                  <w:shd w:val="clear" w:color="auto" w:fill="CCCCCC"/>
                  <w:noWrap/>
                  <w:vAlign w:val="center"/>
                </w:tcPr>
                <w:p w14:paraId="3F934833">
                  <w:pPr>
                    <w:pStyle w:val="40"/>
                    <w:keepNext w:val="0"/>
                    <w:keepLines w:val="0"/>
                    <w:pageBreakBefore w:val="0"/>
                    <w:widowControl/>
                    <w:numPr>
                      <w:ilvl w:val="0"/>
                      <w:numId w:val="0"/>
                    </w:numP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二</w:t>
                  </w:r>
                </w:p>
              </w:tc>
              <w:tc>
                <w:tcPr>
                  <w:tcW w:w="7484" w:type="dxa"/>
                  <w:gridSpan w:val="5"/>
                  <w:tcBorders>
                    <w:top w:val="single" w:color="auto" w:sz="4" w:space="0"/>
                    <w:left w:val="nil"/>
                    <w:bottom w:val="single" w:color="auto" w:sz="4" w:space="0"/>
                    <w:right w:val="single" w:color="auto" w:sz="4" w:space="0"/>
                  </w:tcBorders>
                  <w:shd w:val="clear" w:color="auto" w:fill="CCCCCC"/>
                  <w:noWrap/>
                  <w:vAlign w:val="center"/>
                </w:tcPr>
                <w:p w14:paraId="54C59323">
                  <w:pPr>
                    <w:pStyle w:val="40"/>
                    <w:keepNext w:val="0"/>
                    <w:keepLines w:val="0"/>
                    <w:pageBreakBefore w:val="0"/>
                    <w:widowControl/>
                    <w:numPr>
                      <w:ilvl w:val="0"/>
                      <w:numId w:val="0"/>
                    </w:numPr>
                    <w:ind w:firstLine="420"/>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18"/>
                      <w:rFonts w:hint="eastAsia" w:ascii="宋体" w:hAnsi="宋体" w:eastAsia="宋体" w:cs="宋体"/>
                      <w:color w:val="000000" w:themeColor="text1"/>
                      <w:sz w:val="21"/>
                      <w:szCs w:val="21"/>
                      <w:highlight w:val="none"/>
                      <w:lang w:val="en-US" w:eastAsia="zh-CN"/>
                      <w14:textFill>
                        <w14:solidFill>
                          <w14:schemeClr w14:val="tx1"/>
                        </w14:solidFill>
                      </w14:textFill>
                    </w:rPr>
                    <w:t>分项复核评价</w:t>
                  </w:r>
                </w:p>
              </w:tc>
            </w:tr>
            <w:tr w14:paraId="693AEB9F">
              <w:tblPrEx>
                <w:tblCellMar>
                  <w:top w:w="0" w:type="dxa"/>
                  <w:left w:w="108" w:type="dxa"/>
                  <w:bottom w:w="0" w:type="dxa"/>
                  <w:right w:w="108" w:type="dxa"/>
                </w:tblCellMar>
              </w:tblPrEx>
              <w:trPr>
                <w:trHeight w:val="345"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06AD119C">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p>
              </w:tc>
              <w:tc>
                <w:tcPr>
                  <w:tcW w:w="7484" w:type="dxa"/>
                  <w:gridSpan w:val="5"/>
                  <w:tcBorders>
                    <w:top w:val="single" w:color="auto" w:sz="4" w:space="0"/>
                    <w:left w:val="nil"/>
                    <w:bottom w:val="single" w:color="auto" w:sz="4" w:space="0"/>
                    <w:right w:val="single" w:color="auto" w:sz="4" w:space="0"/>
                  </w:tcBorders>
                  <w:shd w:val="clear" w:color="auto" w:fill="auto"/>
                  <w:noWrap w:val="0"/>
                  <w:vAlign w:val="center"/>
                </w:tcPr>
                <w:p w14:paraId="13960B69">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工程质量评价</w:t>
                  </w:r>
                </w:p>
              </w:tc>
            </w:tr>
            <w:tr w14:paraId="65B5748F">
              <w:tblPrEx>
                <w:tblCellMar>
                  <w:top w:w="0" w:type="dxa"/>
                  <w:left w:w="108" w:type="dxa"/>
                  <w:bottom w:w="0" w:type="dxa"/>
                  <w:right w:w="108" w:type="dxa"/>
                </w:tblCellMar>
              </w:tblPrEx>
              <w:trPr>
                <w:trHeight w:val="391"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2E679AB1">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944" w:type="dxa"/>
                  <w:tcBorders>
                    <w:top w:val="nil"/>
                    <w:left w:val="nil"/>
                    <w:bottom w:val="single" w:color="auto" w:sz="4" w:space="0"/>
                    <w:right w:val="single" w:color="auto" w:sz="4" w:space="0"/>
                  </w:tcBorders>
                  <w:shd w:val="clear" w:color="auto" w:fill="auto"/>
                  <w:noWrap w:val="0"/>
                  <w:vAlign w:val="center"/>
                </w:tcPr>
                <w:p w14:paraId="69BE0DF0">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尺寸测量，包括断面轮廓尺寸、坝顶高程等（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按100米一个断面</w:t>
                  </w:r>
                  <w:r>
                    <w:rPr>
                      <w:rFonts w:hint="eastAsia" w:ascii="宋体" w:hAnsi="宋体" w:eastAsia="宋体" w:cs="宋体"/>
                      <w:color w:val="000000" w:themeColor="text1"/>
                      <w:sz w:val="21"/>
                      <w:szCs w:val="21"/>
                      <w:highlight w:val="none"/>
                      <w14:textFill>
                        <w14:solidFill>
                          <w14:schemeClr w14:val="tx1"/>
                        </w14:solidFill>
                      </w14:textFill>
                    </w:rPr>
                    <w:t>）</w:t>
                  </w:r>
                </w:p>
              </w:tc>
              <w:tc>
                <w:tcPr>
                  <w:tcW w:w="770" w:type="dxa"/>
                  <w:gridSpan w:val="3"/>
                  <w:tcBorders>
                    <w:top w:val="nil"/>
                    <w:left w:val="nil"/>
                    <w:bottom w:val="single" w:color="auto" w:sz="4" w:space="0"/>
                    <w:right w:val="single" w:color="auto" w:sz="4" w:space="0"/>
                  </w:tcBorders>
                  <w:shd w:val="clear" w:color="auto" w:fill="auto"/>
                  <w:noWrap/>
                  <w:vAlign w:val="center"/>
                </w:tcPr>
                <w:p w14:paraId="0CFF8BCA">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w:t>
                  </w:r>
                </w:p>
              </w:tc>
              <w:tc>
                <w:tcPr>
                  <w:tcW w:w="770" w:type="dxa"/>
                  <w:tcBorders>
                    <w:top w:val="nil"/>
                    <w:left w:val="nil"/>
                    <w:bottom w:val="single" w:color="auto" w:sz="4" w:space="0"/>
                    <w:right w:val="single" w:color="auto" w:sz="4" w:space="0"/>
                  </w:tcBorders>
                  <w:shd w:val="clear" w:color="auto" w:fill="auto"/>
                  <w:noWrap/>
                  <w:vAlign w:val="center"/>
                </w:tcPr>
                <w:p w14:paraId="6A3B5D63">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33860F1B">
              <w:tblPrEx>
                <w:tblCellMar>
                  <w:top w:w="0" w:type="dxa"/>
                  <w:left w:w="108" w:type="dxa"/>
                  <w:bottom w:w="0" w:type="dxa"/>
                  <w:right w:w="108" w:type="dxa"/>
                </w:tblCellMar>
              </w:tblPrEx>
              <w:trPr>
                <w:trHeight w:val="594"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723B130D">
                  <w:pPr>
                    <w:widowControl/>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944" w:type="dxa"/>
                  <w:tcBorders>
                    <w:top w:val="nil"/>
                    <w:left w:val="nil"/>
                    <w:bottom w:val="single" w:color="auto" w:sz="4" w:space="0"/>
                    <w:right w:val="single" w:color="auto" w:sz="4" w:space="0"/>
                  </w:tcBorders>
                  <w:shd w:val="clear" w:color="auto" w:fill="auto"/>
                  <w:noWrap w:val="0"/>
                  <w:vAlign w:val="center"/>
                </w:tcPr>
                <w:p w14:paraId="426B91FB">
                  <w:pPr>
                    <w:widowControl/>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探测堤身内部隐患情况，结合白蚁防治工程，对防治结束后的堤防进行内部隐患探查并对防治效果进行评价分析</w:t>
                  </w:r>
                </w:p>
              </w:tc>
              <w:tc>
                <w:tcPr>
                  <w:tcW w:w="1540" w:type="dxa"/>
                  <w:gridSpan w:val="4"/>
                  <w:tcBorders>
                    <w:top w:val="nil"/>
                    <w:left w:val="nil"/>
                    <w:bottom w:val="single" w:color="auto" w:sz="4" w:space="0"/>
                    <w:right w:val="single" w:color="auto" w:sz="4" w:space="0"/>
                  </w:tcBorders>
                  <w:shd w:val="clear" w:color="auto" w:fill="auto"/>
                  <w:noWrap/>
                  <w:vAlign w:val="center"/>
                </w:tcPr>
                <w:p w14:paraId="57C69EB9">
                  <w:pPr>
                    <w:widowControl/>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48F6FAD7">
              <w:tblPrEx>
                <w:tblCellMar>
                  <w:top w:w="0" w:type="dxa"/>
                  <w:left w:w="108" w:type="dxa"/>
                  <w:bottom w:w="0" w:type="dxa"/>
                  <w:right w:w="108" w:type="dxa"/>
                </w:tblCellMar>
              </w:tblPrEx>
              <w:trPr>
                <w:trHeight w:val="378"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4DDCC4FC">
                  <w:pPr>
                    <w:widowControl/>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944" w:type="dxa"/>
                  <w:tcBorders>
                    <w:top w:val="nil"/>
                    <w:left w:val="nil"/>
                    <w:bottom w:val="single" w:color="auto" w:sz="4" w:space="0"/>
                    <w:right w:val="single" w:color="auto" w:sz="4" w:space="0"/>
                  </w:tcBorders>
                  <w:shd w:val="clear" w:color="auto" w:fill="auto"/>
                  <w:noWrap w:val="0"/>
                  <w:vAlign w:val="center"/>
                </w:tcPr>
                <w:p w14:paraId="598A3939">
                  <w:pPr>
                    <w:widowControl/>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对堤防范围到的交叉建筑物分析评价，进行外观调查及现状调查分析</w:t>
                  </w:r>
                </w:p>
              </w:tc>
              <w:tc>
                <w:tcPr>
                  <w:tcW w:w="1540" w:type="dxa"/>
                  <w:gridSpan w:val="4"/>
                  <w:tcBorders>
                    <w:top w:val="nil"/>
                    <w:left w:val="nil"/>
                    <w:bottom w:val="single" w:color="auto" w:sz="4" w:space="0"/>
                    <w:right w:val="single" w:color="auto" w:sz="4" w:space="0"/>
                  </w:tcBorders>
                  <w:shd w:val="clear" w:color="auto" w:fill="auto"/>
                  <w:noWrap/>
                  <w:vAlign w:val="center"/>
                </w:tcPr>
                <w:p w14:paraId="54A5D1A4">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79B1F29D">
              <w:tblPrEx>
                <w:tblCellMar>
                  <w:top w:w="0" w:type="dxa"/>
                  <w:left w:w="108" w:type="dxa"/>
                  <w:bottom w:w="0" w:type="dxa"/>
                  <w:right w:w="108" w:type="dxa"/>
                </w:tblCellMar>
              </w:tblPrEx>
              <w:trPr>
                <w:trHeight w:val="1420"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5C0D403C">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p>
              </w:tc>
              <w:tc>
                <w:tcPr>
                  <w:tcW w:w="5944" w:type="dxa"/>
                  <w:tcBorders>
                    <w:top w:val="nil"/>
                    <w:left w:val="nil"/>
                    <w:bottom w:val="single" w:color="auto" w:sz="4" w:space="0"/>
                    <w:right w:val="single" w:color="auto" w:sz="4" w:space="0"/>
                  </w:tcBorders>
                  <w:shd w:val="clear" w:color="auto" w:fill="auto"/>
                  <w:noWrap w:val="0"/>
                  <w:vAlign w:val="center"/>
                </w:tcPr>
                <w:p w14:paraId="28EF63B2">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地质勘察，对堤基处理、堤身填筑、堤岸防护等现状质量进行评价，并提供各项复核或评价所需要的工程现状参数；对工程存在的结构变形和渗漏等质量缺陷进行分析、评价。</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选取</w:t>
                  </w:r>
                  <w:r>
                    <w:rPr>
                      <w:rFonts w:hint="eastAsia" w:ascii="宋体" w:hAnsi="宋体" w:eastAsia="宋体" w:cs="宋体"/>
                      <w:color w:val="000000" w:themeColor="text1"/>
                      <w:sz w:val="21"/>
                      <w:szCs w:val="21"/>
                      <w:highlight w:val="none"/>
                      <w:lang w:val="en-US" w:eastAsia="zh-CN"/>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t>个断面，间隔</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km，每个断面布设3个孔，钻孔深度一般为堤基以下堤身高度的1.5～2.0倍，当相对透水层较深或软土层较厚时，孔深应满足渗流及稳定分析的要求；基岩出露或浅埋段钻孔宜揭穿强风化层。</w:t>
                  </w:r>
                </w:p>
              </w:tc>
              <w:tc>
                <w:tcPr>
                  <w:tcW w:w="770" w:type="dxa"/>
                  <w:gridSpan w:val="3"/>
                  <w:tcBorders>
                    <w:top w:val="nil"/>
                    <w:left w:val="nil"/>
                    <w:bottom w:val="single" w:color="auto" w:sz="4" w:space="0"/>
                    <w:right w:val="single" w:color="auto" w:sz="4" w:space="0"/>
                  </w:tcBorders>
                  <w:shd w:val="clear" w:color="auto" w:fill="auto"/>
                  <w:noWrap/>
                  <w:vAlign w:val="center"/>
                </w:tcPr>
                <w:p w14:paraId="376D9342">
                  <w:pPr>
                    <w:widowControl/>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770" w:type="dxa"/>
                  <w:tcBorders>
                    <w:top w:val="nil"/>
                    <w:left w:val="nil"/>
                    <w:bottom w:val="single" w:color="auto" w:sz="4" w:space="0"/>
                    <w:right w:val="single" w:color="auto" w:sz="4" w:space="0"/>
                  </w:tcBorders>
                  <w:shd w:val="clear" w:color="auto" w:fill="auto"/>
                  <w:noWrap/>
                  <w:vAlign w:val="center"/>
                </w:tcPr>
                <w:p w14:paraId="13498224">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孔</w:t>
                  </w:r>
                </w:p>
              </w:tc>
            </w:tr>
            <w:tr w14:paraId="2655DD5F">
              <w:tblPrEx>
                <w:tblCellMar>
                  <w:top w:w="0" w:type="dxa"/>
                  <w:left w:w="108" w:type="dxa"/>
                  <w:bottom w:w="0" w:type="dxa"/>
                  <w:right w:w="108" w:type="dxa"/>
                </w:tblCellMar>
              </w:tblPrEx>
              <w:trPr>
                <w:trHeight w:val="315"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091418BC">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p>
              </w:tc>
              <w:tc>
                <w:tcPr>
                  <w:tcW w:w="5950" w:type="dxa"/>
                  <w:gridSpan w:val="2"/>
                  <w:tcBorders>
                    <w:top w:val="single" w:color="auto" w:sz="4" w:space="0"/>
                    <w:left w:val="nil"/>
                    <w:bottom w:val="single" w:color="auto" w:sz="4" w:space="0"/>
                    <w:right w:val="single" w:color="auto" w:sz="4" w:space="0"/>
                  </w:tcBorders>
                  <w:shd w:val="clear" w:color="auto" w:fill="auto"/>
                  <w:noWrap w:val="0"/>
                  <w:vAlign w:val="center"/>
                </w:tcPr>
                <w:p w14:paraId="13EE8BAF">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防洪标准复核</w:t>
                  </w:r>
                </w:p>
              </w:tc>
              <w:tc>
                <w:tcPr>
                  <w:tcW w:w="15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39E8A9F">
                  <w:pPr>
                    <w:widowControl/>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26BFBA22">
              <w:tblPrEx>
                <w:tblCellMar>
                  <w:top w:w="0" w:type="dxa"/>
                  <w:left w:w="108" w:type="dxa"/>
                  <w:bottom w:w="0" w:type="dxa"/>
                  <w:right w:w="108" w:type="dxa"/>
                </w:tblCellMar>
              </w:tblPrEx>
              <w:trPr>
                <w:trHeight w:val="315"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1EB7E32C">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p>
              </w:tc>
              <w:tc>
                <w:tcPr>
                  <w:tcW w:w="5950" w:type="dxa"/>
                  <w:gridSpan w:val="2"/>
                  <w:tcBorders>
                    <w:top w:val="single" w:color="auto" w:sz="4" w:space="0"/>
                    <w:left w:val="nil"/>
                    <w:bottom w:val="single" w:color="auto" w:sz="4" w:space="0"/>
                    <w:right w:val="single" w:color="auto" w:sz="4" w:space="0"/>
                  </w:tcBorders>
                  <w:shd w:val="clear" w:color="auto" w:fill="auto"/>
                  <w:noWrap w:val="0"/>
                  <w:vAlign w:val="center"/>
                </w:tcPr>
                <w:p w14:paraId="540A2F70">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渗流安全性复核</w:t>
                  </w:r>
                </w:p>
              </w:tc>
              <w:tc>
                <w:tcPr>
                  <w:tcW w:w="15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1DF6D98">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447B1435">
              <w:tblPrEx>
                <w:tblCellMar>
                  <w:top w:w="0" w:type="dxa"/>
                  <w:left w:w="108" w:type="dxa"/>
                  <w:bottom w:w="0" w:type="dxa"/>
                  <w:right w:w="108" w:type="dxa"/>
                </w:tblCellMar>
              </w:tblPrEx>
              <w:trPr>
                <w:trHeight w:val="315"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5609FF3B">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w:t>
                  </w:r>
                </w:p>
              </w:tc>
              <w:tc>
                <w:tcPr>
                  <w:tcW w:w="5950" w:type="dxa"/>
                  <w:gridSpan w:val="2"/>
                  <w:tcBorders>
                    <w:top w:val="single" w:color="auto" w:sz="4" w:space="0"/>
                    <w:left w:val="nil"/>
                    <w:bottom w:val="single" w:color="auto" w:sz="4" w:space="0"/>
                    <w:right w:val="single" w:color="auto" w:sz="4" w:space="0"/>
                  </w:tcBorders>
                  <w:shd w:val="clear" w:color="auto" w:fill="auto"/>
                  <w:noWrap w:val="0"/>
                  <w:vAlign w:val="center"/>
                </w:tcPr>
                <w:p w14:paraId="2B1FAB12">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结构安全性复核</w:t>
                  </w:r>
                </w:p>
              </w:tc>
              <w:tc>
                <w:tcPr>
                  <w:tcW w:w="15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7B6BEB">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7D614A58">
              <w:tblPrEx>
                <w:tblCellMar>
                  <w:top w:w="0" w:type="dxa"/>
                  <w:left w:w="108" w:type="dxa"/>
                  <w:bottom w:w="0" w:type="dxa"/>
                  <w:right w:w="108" w:type="dxa"/>
                </w:tblCellMar>
              </w:tblPrEx>
              <w:trPr>
                <w:trHeight w:val="315" w:hRule="atLeast"/>
                <w:jc w:val="center"/>
              </w:trPr>
              <w:tc>
                <w:tcPr>
                  <w:tcW w:w="979" w:type="dxa"/>
                  <w:tcBorders>
                    <w:top w:val="nil"/>
                    <w:left w:val="single" w:color="auto" w:sz="4" w:space="0"/>
                    <w:bottom w:val="single" w:color="auto" w:sz="4" w:space="0"/>
                    <w:right w:val="single" w:color="auto" w:sz="4" w:space="0"/>
                  </w:tcBorders>
                  <w:shd w:val="clear" w:color="auto" w:fill="auto"/>
                  <w:noWrap/>
                  <w:vAlign w:val="center"/>
                </w:tcPr>
                <w:p w14:paraId="39BC6C25">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w:t>
                  </w:r>
                </w:p>
              </w:tc>
              <w:tc>
                <w:tcPr>
                  <w:tcW w:w="5950" w:type="dxa"/>
                  <w:gridSpan w:val="2"/>
                  <w:tcBorders>
                    <w:top w:val="single" w:color="auto" w:sz="4" w:space="0"/>
                    <w:left w:val="nil"/>
                    <w:bottom w:val="single" w:color="auto" w:sz="4" w:space="0"/>
                    <w:right w:val="single" w:color="auto" w:sz="4" w:space="0"/>
                  </w:tcBorders>
                  <w:shd w:val="clear" w:color="auto" w:fill="auto"/>
                  <w:noWrap w:val="0"/>
                  <w:vAlign w:val="center"/>
                </w:tcPr>
                <w:p w14:paraId="47BEA921">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运行管理评价</w:t>
                  </w:r>
                </w:p>
              </w:tc>
              <w:tc>
                <w:tcPr>
                  <w:tcW w:w="15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F7357CF">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5km</w:t>
                  </w:r>
                </w:p>
              </w:tc>
            </w:tr>
            <w:tr w14:paraId="425E67F8">
              <w:tblPrEx>
                <w:tblCellMar>
                  <w:top w:w="0" w:type="dxa"/>
                  <w:left w:w="108" w:type="dxa"/>
                  <w:bottom w:w="0" w:type="dxa"/>
                  <w:right w:w="108" w:type="dxa"/>
                </w:tblCellMar>
              </w:tblPrEx>
              <w:trPr>
                <w:trHeight w:val="375"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CCCCCC"/>
                  <w:noWrap/>
                  <w:vAlign w:val="center"/>
                </w:tcPr>
                <w:p w14:paraId="4F1E676A">
                  <w:pPr>
                    <w:widowControl/>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w:t>
                  </w:r>
                </w:p>
              </w:tc>
              <w:tc>
                <w:tcPr>
                  <w:tcW w:w="7484" w:type="dxa"/>
                  <w:gridSpan w:val="5"/>
                  <w:tcBorders>
                    <w:top w:val="single" w:color="auto" w:sz="4" w:space="0"/>
                    <w:left w:val="nil"/>
                    <w:bottom w:val="single" w:color="auto" w:sz="4" w:space="0"/>
                    <w:right w:val="single" w:color="auto" w:sz="4" w:space="0"/>
                  </w:tcBorders>
                  <w:shd w:val="clear" w:color="auto" w:fill="CCCCCC"/>
                  <w:noWrap/>
                  <w:vAlign w:val="center"/>
                </w:tcPr>
                <w:p w14:paraId="5E633A8F">
                  <w:pPr>
                    <w:widowControl/>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工程安全综合评价</w:t>
                  </w:r>
                </w:p>
              </w:tc>
            </w:tr>
            <w:tr w14:paraId="1CD7EFF8">
              <w:tblPrEx>
                <w:tblCellMar>
                  <w:top w:w="0" w:type="dxa"/>
                  <w:left w:w="108" w:type="dxa"/>
                  <w:bottom w:w="0" w:type="dxa"/>
                  <w:right w:w="108" w:type="dxa"/>
                </w:tblCellMar>
              </w:tblPrEx>
              <w:trPr>
                <w:trHeight w:val="375"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40008">
                  <w:pPr>
                    <w:widowControl/>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p>
              </w:tc>
              <w:tc>
                <w:tcPr>
                  <w:tcW w:w="6033" w:type="dxa"/>
                  <w:gridSpan w:val="3"/>
                  <w:tcBorders>
                    <w:top w:val="single" w:color="auto" w:sz="4" w:space="0"/>
                    <w:left w:val="nil"/>
                    <w:bottom w:val="single" w:color="auto" w:sz="4" w:space="0"/>
                    <w:right w:val="single" w:color="auto" w:sz="4" w:space="0"/>
                  </w:tcBorders>
                  <w:shd w:val="clear" w:color="auto" w:fill="FFFFFF" w:themeFill="background1"/>
                  <w:noWrap/>
                  <w:vAlign w:val="center"/>
                </w:tcPr>
                <w:p w14:paraId="56C9A42C">
                  <w:pPr>
                    <w:widowControl/>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bidi="ar"/>
                      <w14:textFill>
                        <w14:solidFill>
                          <w14:schemeClr w14:val="tx1"/>
                        </w14:solidFill>
                      </w14:textFill>
                    </w:rPr>
                    <w:t>安全评价报告统稿汇编及评审汇报</w:t>
                  </w:r>
                </w:p>
              </w:tc>
              <w:tc>
                <w:tcPr>
                  <w:tcW w:w="1451"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132E4E">
                  <w:pPr>
                    <w:widowControl/>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1项</w:t>
                  </w:r>
                </w:p>
              </w:tc>
            </w:tr>
          </w:tbl>
          <w:p w14:paraId="2496C8AD">
            <w:pPr>
              <w:pStyle w:val="40"/>
              <w:keepNext w:val="0"/>
              <w:keepLines w:val="0"/>
              <w:pageBreakBefore w:val="0"/>
              <w:widowControl/>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pPr>
          </w:p>
        </w:tc>
      </w:tr>
      <w:tr w14:paraId="2941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59DB08C8">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0A236ED">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3ABD388C">
            <w:pPr>
              <w:pStyle w:val="40"/>
              <w:keepNext w:val="0"/>
              <w:keepLines w:val="0"/>
              <w:pageBreakBefore w:val="0"/>
              <w:widowControl/>
              <w:rPr>
                <w:rStyle w:val="18"/>
                <w:rFonts w:hint="eastAsia" w:ascii="宋体" w:hAnsi="宋体" w:eastAsia="宋体" w:cs="宋体"/>
                <w:i/>
                <w:iCs/>
                <w:color w:val="000000" w:themeColor="text1"/>
                <w:highlight w:val="none"/>
                <w:u w:val="single"/>
                <w:lang w:eastAsia="zh-CN"/>
                <w14:textFill>
                  <w14:solidFill>
                    <w14:schemeClr w14:val="tx1"/>
                  </w14:solidFill>
                </w14:textFill>
              </w:rPr>
            </w:pP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13</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普查结束</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后</w:t>
            </w:r>
            <w:r>
              <w:rPr>
                <w:rStyle w:val="18"/>
                <w:rFonts w:hint="eastAsia" w:ascii="宋体" w:hAnsi="宋体" w:eastAsia="宋体" w:cs="宋体"/>
                <w:i/>
                <w:iCs/>
                <w:color w:val="000000" w:themeColor="text1"/>
                <w:highlight w:val="none"/>
                <w:u w:val="single"/>
                <w14:textFill>
                  <w14:solidFill>
                    <w14:schemeClr w14:val="tx1"/>
                  </w14:solidFill>
                </w14:textFill>
              </w:rPr>
              <w:t>中标人</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按采购人指定时间要求</w:t>
            </w:r>
            <w:r>
              <w:rPr>
                <w:rStyle w:val="18"/>
                <w:rFonts w:hint="eastAsia" w:ascii="宋体" w:hAnsi="宋体" w:eastAsia="宋体" w:cs="宋体"/>
                <w:i/>
                <w:iCs/>
                <w:color w:val="000000" w:themeColor="text1"/>
                <w:highlight w:val="none"/>
                <w:u w:val="single"/>
                <w14:textFill>
                  <w14:solidFill>
                    <w14:schemeClr w14:val="tx1"/>
                  </w14:solidFill>
                </w14:textFill>
              </w:rPr>
              <w:t>提交符合各级检查单位检查要求的普查报告，报告要详细列明堤防白蚁等害堤动物种类、危害等级、现场记录的数据、照片、文字资料等，对报告内容真实性负责。</w:t>
            </w:r>
          </w:p>
        </w:tc>
      </w:tr>
      <w:tr w14:paraId="3B75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restart"/>
            <w:noWrap/>
            <w:tcMar>
              <w:top w:w="100" w:type="dxa"/>
              <w:bottom w:w="100" w:type="dxa"/>
            </w:tcMar>
            <w:vAlign w:val="center"/>
          </w:tcPr>
          <w:p w14:paraId="347ECEC0">
            <w:pPr>
              <w:pStyle w:val="40"/>
              <w:keepNext w:val="0"/>
              <w:keepLines w:val="0"/>
              <w:pageBreakBefore w:val="0"/>
              <w:widowControl/>
              <w:jc w:val="center"/>
              <w:rPr>
                <w:rStyle w:val="18"/>
                <w:rFonts w:hint="eastAsia" w:ascii="宋体" w:hAnsi="宋体" w:eastAsia="宋体" w:cs="宋体"/>
                <w:color w:val="000000" w:themeColor="text1"/>
                <w:highlight w:val="none"/>
                <w:lang w:eastAsia="zh-CN"/>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3</w:t>
            </w:r>
          </w:p>
        </w:tc>
        <w:tc>
          <w:tcPr>
            <w:tcW w:w="1300" w:type="dxa"/>
            <w:vMerge w:val="restart"/>
            <w:noWrap/>
            <w:tcMar>
              <w:top w:w="100" w:type="dxa"/>
              <w:bottom w:w="100" w:type="dxa"/>
            </w:tcMar>
            <w:vAlign w:val="center"/>
          </w:tcPr>
          <w:p w14:paraId="269CB27D">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其他要求</w:t>
            </w:r>
          </w:p>
        </w:tc>
        <w:tc>
          <w:tcPr>
            <w:tcW w:w="8261" w:type="dxa"/>
            <w:noWrap/>
            <w:tcMar>
              <w:top w:w="100" w:type="dxa"/>
              <w:bottom w:w="100" w:type="dxa"/>
            </w:tcMar>
            <w:vAlign w:val="center"/>
          </w:tcPr>
          <w:p w14:paraId="29FAAABC">
            <w:pPr>
              <w:pStyle w:val="40"/>
              <w:keepNext w:val="0"/>
              <w:keepLines w:val="0"/>
              <w:pageBreakBefore w:val="0"/>
              <w:widowControl/>
              <w:rPr>
                <w:rStyle w:val="18"/>
                <w:rFonts w:ascii="宋体" w:hAnsi="宋体" w:eastAsia="宋体" w:cs="宋体"/>
                <w:i/>
                <w:iCs/>
                <w:color w:val="000000" w:themeColor="text1"/>
                <w:highlight w:val="none"/>
                <w:u w:val="single"/>
                <w14:textFill>
                  <w14:solidFill>
                    <w14:schemeClr w14:val="tx1"/>
                  </w14:solidFill>
                </w14:textFill>
              </w:rPr>
            </w:pP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（1</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签订合同前置条件：</w:t>
            </w:r>
          </w:p>
          <w:p w14:paraId="3A179C1A">
            <w:pPr>
              <w:pStyle w:val="40"/>
              <w:keepNext w:val="0"/>
              <w:keepLines w:val="0"/>
              <w:pageBreakBefore w:val="0"/>
              <w:widowControl/>
              <w:rPr>
                <w:rStyle w:val="18"/>
                <w:rFonts w:ascii="宋体" w:hAnsi="宋体" w:eastAsia="宋体" w:cs="宋体"/>
                <w:i/>
                <w:iCs/>
                <w:strike/>
                <w:color w:val="000000" w:themeColor="text1"/>
                <w:highlight w:val="none"/>
                <w:u w:val="single"/>
                <w14:textFill>
                  <w14:solidFill>
                    <w14:schemeClr w14:val="tx1"/>
                  </w14:solidFill>
                </w14:textFill>
              </w:rPr>
            </w:pP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①</w:t>
            </w:r>
            <w:r>
              <w:rPr>
                <w:rStyle w:val="18"/>
                <w:rFonts w:hint="eastAsia" w:ascii="宋体" w:hAnsi="宋体" w:eastAsia="宋体" w:cs="宋体"/>
                <w:i/>
                <w:iCs/>
                <w:strike w:val="0"/>
                <w:color w:val="000000" w:themeColor="text1"/>
                <w:highlight w:val="none"/>
                <w:u w:val="single"/>
                <w14:textFill>
                  <w14:solidFill>
                    <w14:schemeClr w14:val="tx1"/>
                  </w14:solidFill>
                </w14:textFill>
              </w:rPr>
              <w:t>投标人中标后，在合同签订前，须现场提供信息化智能预警监测装置平台系统的现场演示证明，若演示不符合本次采购需求的，采购人有权解除合同，所造成的一切损失由中标人承担。</w:t>
            </w:r>
          </w:p>
          <w:p w14:paraId="6EA712E6">
            <w:pPr>
              <w:pStyle w:val="40"/>
              <w:keepNext w:val="0"/>
              <w:keepLines w:val="0"/>
              <w:pageBreakBefore w:val="0"/>
              <w:widowControl/>
              <w:rPr>
                <w:rStyle w:val="18"/>
                <w:rFonts w:ascii="宋体" w:hAnsi="宋体" w:eastAsia="宋体" w:cs="宋体"/>
                <w:i/>
                <w:iCs/>
                <w:color w:val="000000" w:themeColor="text1"/>
                <w:highlight w:val="none"/>
                <w:u w:val="single"/>
                <w14:textFill>
                  <w14:solidFill>
                    <w14:schemeClr w14:val="tx1"/>
                  </w14:solidFill>
                </w14:textFill>
              </w:rPr>
            </w:pP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②</w:t>
            </w:r>
            <w:r>
              <w:rPr>
                <w:rStyle w:val="18"/>
                <w:rFonts w:hint="eastAsia" w:ascii="宋体" w:hAnsi="宋体" w:eastAsia="宋体" w:cs="宋体"/>
                <w:i/>
                <w:iCs/>
                <w:color w:val="000000" w:themeColor="text1"/>
                <w:highlight w:val="none"/>
                <w:u w:val="single"/>
                <w14:textFill>
                  <w14:solidFill>
                    <w14:schemeClr w14:val="tx1"/>
                  </w14:solidFill>
                </w14:textFill>
              </w:rPr>
              <w:t>投标人中标后，在合同签订前须将项目负责人及其他人员资料（包括岗位人员名单、证书、联系电话、身份证复印件</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等</w:t>
            </w:r>
            <w:r>
              <w:rPr>
                <w:rStyle w:val="18"/>
                <w:rFonts w:hint="eastAsia" w:ascii="宋体" w:hAnsi="宋体" w:eastAsia="宋体" w:cs="宋体"/>
                <w:i/>
                <w:iCs/>
                <w:color w:val="000000" w:themeColor="text1"/>
                <w:highlight w:val="none"/>
                <w:u w:val="single"/>
                <w14:textFill>
                  <w14:solidFill>
                    <w14:schemeClr w14:val="tx1"/>
                  </w14:solidFill>
                </w14:textFill>
              </w:rPr>
              <w:t>）递交至采购人处备案，所有服务人员须经采购人确认后方可上岗。配备不到位，采购人有权解除合同，所造成的一切损失由中标人承担。</w:t>
            </w:r>
          </w:p>
          <w:p w14:paraId="62E4A383">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③</w:t>
            </w:r>
            <w:r>
              <w:rPr>
                <w:rStyle w:val="18"/>
                <w:rFonts w:hint="eastAsia" w:ascii="宋体" w:hAnsi="宋体" w:eastAsia="宋体" w:cs="宋体"/>
                <w:i/>
                <w:iCs/>
                <w:color w:val="000000" w:themeColor="text1"/>
                <w:highlight w:val="none"/>
                <w:u w:val="single"/>
                <w14:textFill>
                  <w14:solidFill>
                    <w14:schemeClr w14:val="tx1"/>
                  </w14:solidFill>
                </w14:textFill>
              </w:rPr>
              <w:t>投标人中标后，提交投标文件里涉及的</w:t>
            </w:r>
            <w:r>
              <w:rPr>
                <w:rFonts w:hint="eastAsia" w:ascii="宋体" w:hAnsi="宋体" w:cs="宋体"/>
                <w:i/>
                <w:iCs/>
                <w:color w:val="000000" w:themeColor="text1"/>
                <w:spacing w:val="7"/>
                <w:highlight w:val="none"/>
                <w:u w:val="single"/>
                <w14:textFill>
                  <w14:solidFill>
                    <w14:schemeClr w14:val="tx1"/>
                  </w14:solidFill>
                </w14:textFill>
              </w:rPr>
              <w:t>检测报告、相关证书、车辆证明、业绩合同、竣工报告等原件，提交的原件不</w:t>
            </w:r>
            <w:r>
              <w:rPr>
                <w:rStyle w:val="18"/>
                <w:rFonts w:hint="eastAsia" w:ascii="宋体" w:hAnsi="宋体" w:eastAsia="宋体" w:cs="宋体"/>
                <w:i/>
                <w:iCs/>
                <w:color w:val="000000" w:themeColor="text1"/>
                <w:highlight w:val="none"/>
                <w:u w:val="single"/>
                <w14:textFill>
                  <w14:solidFill>
                    <w14:schemeClr w14:val="tx1"/>
                  </w14:solidFill>
                </w14:textFill>
              </w:rPr>
              <w:t>符合本次采购需求的，采购人有权解除合同，所造成的一切损失由中标人承担。</w:t>
            </w:r>
          </w:p>
        </w:tc>
      </w:tr>
      <w:tr w14:paraId="3837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DD2400A">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4323B5B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shd w:val="clear" w:color="auto" w:fill="auto"/>
            <w:noWrap/>
            <w:tcMar>
              <w:top w:w="100" w:type="dxa"/>
              <w:bottom w:w="100" w:type="dxa"/>
            </w:tcMar>
            <w:vAlign w:val="center"/>
          </w:tcPr>
          <w:p w14:paraId="6D5E8F44">
            <w:pPr>
              <w:pStyle w:val="40"/>
              <w:keepNext w:val="0"/>
              <w:keepLines w:val="0"/>
              <w:pageBreakBefore w:val="0"/>
              <w:widowControl/>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2</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投标人需提供对白蚁危害的区域了解程度、</w:t>
            </w:r>
            <w:r>
              <w:rPr>
                <w:rStyle w:val="18"/>
                <w:rFonts w:hint="eastAsia" w:ascii="宋体" w:hAnsi="宋体" w:eastAsia="宋体" w:cs="宋体"/>
                <w:color w:val="000000" w:themeColor="text1"/>
                <w:highlight w:val="none"/>
                <w:lang w:val="en-US" w:eastAsia="zh-CN"/>
                <w14:textFill>
                  <w14:solidFill>
                    <w14:schemeClr w14:val="tx1"/>
                  </w14:solidFill>
                </w14:textFill>
              </w:rPr>
              <w:t>害堤动物普查及治理方案、</w:t>
            </w:r>
            <w:r>
              <w:rPr>
                <w:rStyle w:val="18"/>
                <w:rFonts w:hint="eastAsia" w:ascii="宋体" w:hAnsi="宋体" w:eastAsia="宋体" w:cs="宋体"/>
                <w:color w:val="000000" w:themeColor="text1"/>
                <w:highlight w:val="none"/>
                <w14:textFill>
                  <w14:solidFill>
                    <w14:schemeClr w14:val="tx1"/>
                  </w14:solidFill>
                </w14:textFill>
              </w:rPr>
              <w:t>管理规章制度、安全文明实施措施、应急措施和活动配合措施、详细的质保方案、管理制度方案、技术实施方案及协调方案、设备配备方案、人员配置方案等。</w:t>
            </w:r>
          </w:p>
        </w:tc>
      </w:tr>
      <w:tr w14:paraId="3AF0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4EB962AB">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237E569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shd w:val="clear" w:color="auto" w:fill="auto"/>
            <w:noWrap/>
            <w:tcMar>
              <w:top w:w="100" w:type="dxa"/>
              <w:bottom w:w="100" w:type="dxa"/>
            </w:tcMar>
            <w:vAlign w:val="center"/>
          </w:tcPr>
          <w:p w14:paraId="55305A61">
            <w:pPr>
              <w:pStyle w:val="40"/>
              <w:keepNext w:val="0"/>
              <w:keepLines w:val="0"/>
              <w:pageBreakBefore w:val="0"/>
              <w:widowControl/>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3</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投标人具有履行本项目的能力，需提供类似项目业绩、相关证书或相关奖项。</w:t>
            </w:r>
          </w:p>
        </w:tc>
      </w:tr>
      <w:tr w14:paraId="67E2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48EA7165">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768FEFCB">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shd w:val="clear" w:color="auto" w:fill="auto"/>
            <w:noWrap/>
            <w:tcMar>
              <w:top w:w="100" w:type="dxa"/>
              <w:bottom w:w="100" w:type="dxa"/>
            </w:tcMar>
            <w:vAlign w:val="center"/>
          </w:tcPr>
          <w:p w14:paraId="104EC537">
            <w:pPr>
              <w:pStyle w:val="40"/>
              <w:keepNext w:val="0"/>
              <w:keepLines w:val="0"/>
              <w:pageBreakBefore w:val="0"/>
              <w:widowControl/>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4</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总价为综合报价，应包括但不限于人员费用（工资、福利、培训、社会保险等）、服务所用设备工具购置及维修费用、服务所用材料消耗费用、管理费用、差旅费、利润、税金、政策性文件规定及合同包含的所有风险、责任等各项应有费用。</w:t>
            </w:r>
          </w:p>
        </w:tc>
      </w:tr>
      <w:tr w14:paraId="707C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2E27E69D">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E1A26EB">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shd w:val="clear" w:color="auto" w:fill="auto"/>
            <w:noWrap/>
            <w:tcMar>
              <w:top w:w="100" w:type="dxa"/>
              <w:bottom w:w="100" w:type="dxa"/>
            </w:tcMar>
            <w:vAlign w:val="center"/>
          </w:tcPr>
          <w:p w14:paraId="574C401D">
            <w:pPr>
              <w:pStyle w:val="40"/>
              <w:keepNext w:val="0"/>
              <w:keepLines w:val="0"/>
              <w:pageBreakBefore w:val="0"/>
              <w:widowControl/>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5</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投标人可对项目现场进行踏勘，但费用由投标人自行承担。投标人在报价时应充分考虑现场实际情况，采购人不负担因投标人对项目现场情况考虑不周而产生的其他任何费用。</w:t>
            </w:r>
          </w:p>
        </w:tc>
      </w:tr>
    </w:tbl>
    <w:p w14:paraId="7A4E0E72">
      <w:pPr>
        <w:keepNext w:val="0"/>
        <w:keepLines w:val="0"/>
        <w:pageBreakBefore w:val="0"/>
        <w:spacing w:line="52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三、商务条款</w:t>
      </w:r>
    </w:p>
    <w:p w14:paraId="3442A760">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lang w:eastAsia="zh-CN"/>
          <w14:textFill>
            <w14:solidFill>
              <w14:schemeClr w14:val="tx1"/>
            </w14:solidFill>
          </w14:textFill>
        </w:rPr>
        <w:t>（</w:t>
      </w:r>
      <w:r>
        <w:rPr>
          <w:rStyle w:val="18"/>
          <w:rFonts w:hint="eastAsia" w:ascii="宋体" w:hAnsi="宋体" w:eastAsia="宋体" w:cs="宋体"/>
          <w:b/>
          <w:bCs/>
          <w:color w:val="000000" w:themeColor="text1"/>
          <w:highlight w:val="none"/>
          <w:lang w:val="en-US" w:eastAsia="zh-CN"/>
          <w14:textFill>
            <w14:solidFill>
              <w14:schemeClr w14:val="tx1"/>
            </w14:solidFill>
          </w14:textFill>
        </w:rPr>
        <w:t>一</w:t>
      </w:r>
      <w:r>
        <w:rPr>
          <w:rStyle w:val="18"/>
          <w:rFonts w:hint="eastAsia" w:ascii="宋体" w:hAnsi="宋体" w:eastAsia="宋体" w:cs="宋体"/>
          <w:b/>
          <w:bCs/>
          <w:color w:val="000000" w:themeColor="text1"/>
          <w:highlight w:val="none"/>
          <w:lang w:eastAsia="zh-CN"/>
          <w14:textFill>
            <w14:solidFill>
              <w14:schemeClr w14:val="tx1"/>
            </w14:solidFill>
          </w14:textFill>
        </w:rPr>
        <w:t>）</w:t>
      </w:r>
      <w:r>
        <w:rPr>
          <w:rStyle w:val="18"/>
          <w:rFonts w:hint="eastAsia" w:ascii="宋体" w:hAnsi="宋体" w:eastAsia="宋体" w:cs="宋体"/>
          <w:b/>
          <w:bCs/>
          <w:color w:val="000000" w:themeColor="text1"/>
          <w:highlight w:val="none"/>
          <w14:textFill>
            <w14:solidFill>
              <w14:schemeClr w14:val="tx1"/>
            </w14:solidFill>
          </w14:textFill>
        </w:rPr>
        <w:t>服务期限</w:t>
      </w:r>
    </w:p>
    <w:p w14:paraId="0ACAE9FD">
      <w:pPr>
        <w:pStyle w:val="41"/>
        <w:keepNext w:val="0"/>
        <w:keepLines w:val="0"/>
        <w:pageBreakBefore w:val="0"/>
        <w:spacing w:line="52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合同签订之日起至202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日止（202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底前完成对《2024年度白蚁等害堤动物普查及治理项目》中已普查到的受害堤防的治理并出具报告。</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底前完成本标段堤防的普查并出具报告，同时完成对长江重点堤防进行安全健康评估。</w:t>
      </w:r>
      <w:r>
        <w:rPr>
          <w:rFonts w:hint="eastAsia" w:ascii="宋体" w:hAnsi="宋体" w:cs="宋体"/>
          <w:color w:val="000000" w:themeColor="text1"/>
          <w:sz w:val="24"/>
          <w:szCs w:val="24"/>
          <w:highlight w:val="none"/>
          <w14:textFill>
            <w14:solidFill>
              <w14:schemeClr w14:val="tx1"/>
            </w14:solidFill>
          </w14:textFill>
        </w:rPr>
        <w:t>）</w:t>
      </w:r>
    </w:p>
    <w:p w14:paraId="535CD34D">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二</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货款支付</w:t>
      </w:r>
    </w:p>
    <w:p w14:paraId="3E8F8171">
      <w:pPr>
        <w:pStyle w:val="41"/>
        <w:keepNext w:val="0"/>
        <w:keepLines w:val="0"/>
        <w:pageBreakBefore w:val="0"/>
        <w:spacing w:line="520" w:lineRule="exact"/>
        <w:ind w:firstLine="480"/>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pP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1.结付程序</w:t>
      </w:r>
    </w:p>
    <w:p w14:paraId="5C934E2B">
      <w:pPr>
        <w:pStyle w:val="40"/>
        <w:keepNext w:val="0"/>
        <w:keepLines w:val="0"/>
        <w:pageBreakBefore w:val="0"/>
        <w:spacing w:line="520" w:lineRule="exact"/>
        <w:ind w:firstLine="480"/>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pP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中标人按合同内容合格地履行服务（供货）义务后，凭销售发票到采购人处办理合同款结算手续。</w:t>
      </w:r>
    </w:p>
    <w:p w14:paraId="5922FD3A">
      <w:pPr>
        <w:pStyle w:val="41"/>
        <w:keepNext w:val="0"/>
        <w:keepLines w:val="0"/>
        <w:pageBreakBefore w:val="0"/>
        <w:spacing w:line="520" w:lineRule="exact"/>
        <w:ind w:firstLine="480"/>
        <w:rPr>
          <w:rStyle w:val="18"/>
          <w:rFonts w:ascii="宋体" w:hAnsi="宋体" w:eastAsia="宋体" w:cs="宋体"/>
          <w:i/>
          <w:color w:val="000000" w:themeColor="text1"/>
          <w:highlight w:val="none"/>
          <w:u w:val="single"/>
          <w14:textFill>
            <w14:solidFill>
              <w14:schemeClr w14:val="tx1"/>
            </w14:solidFill>
          </w14:textFill>
        </w:rPr>
      </w:pP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2.</w:t>
      </w:r>
      <w:r>
        <w:rPr>
          <w:rStyle w:val="18"/>
          <w:rFonts w:hint="eastAsia" w:ascii="宋体" w:hAnsi="宋体" w:eastAsia="宋体" w:cs="宋体"/>
          <w:i/>
          <w:color w:val="000000" w:themeColor="text1"/>
          <w:highlight w:val="none"/>
          <w:u w:val="single"/>
          <w14:textFill>
            <w14:solidFill>
              <w14:schemeClr w14:val="tx1"/>
            </w14:solidFill>
          </w14:textFill>
        </w:rPr>
        <w:t>结付期限</w:t>
      </w:r>
    </w:p>
    <w:p w14:paraId="3778B7E3">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lang w:val="en-US" w:eastAsia="zh-CN"/>
          <w14:textFill>
            <w14:solidFill>
              <w14:schemeClr w14:val="tx1"/>
            </w14:solidFill>
          </w14:textFill>
        </w:rPr>
      </w:pPr>
      <w:r>
        <w:rPr>
          <w:rFonts w:eastAsia="宋体"/>
          <w:i/>
          <w:color w:val="000000" w:themeColor="text1"/>
          <w:spacing w:val="7"/>
          <w:highlight w:val="none"/>
          <w:u w:val="single"/>
          <w14:textFill>
            <w14:solidFill>
              <w14:schemeClr w14:val="tx1"/>
            </w14:solidFill>
          </w14:textFill>
        </w:rPr>
        <w:t>合同签订生效后，采购人30天内支付合同金额的</w:t>
      </w:r>
      <w:r>
        <w:rPr>
          <w:rFonts w:hint="eastAsia" w:eastAsia="宋体"/>
          <w:i/>
          <w:color w:val="000000" w:themeColor="text1"/>
          <w:spacing w:val="7"/>
          <w:highlight w:val="none"/>
          <w:u w:val="single"/>
          <w14:textFill>
            <w14:solidFill>
              <w14:schemeClr w14:val="tx1"/>
            </w14:solidFill>
          </w14:textFill>
        </w:rPr>
        <w:t>1</w:t>
      </w:r>
      <w:r>
        <w:rPr>
          <w:rFonts w:eastAsia="宋体"/>
          <w:i/>
          <w:color w:val="000000" w:themeColor="text1"/>
          <w:spacing w:val="7"/>
          <w:highlight w:val="none"/>
          <w:u w:val="single"/>
          <w14:textFill>
            <w14:solidFill>
              <w14:schemeClr w14:val="tx1"/>
            </w14:solidFill>
          </w14:textFill>
        </w:rPr>
        <w:t>0%作为预付款（具体以财政实际拨付为准。在签订合同时，中标人明确表示无需预付款或者主动要求降低预付款比例的，采购人可不适用上述关于预付款的约定）</w:t>
      </w:r>
      <w:r>
        <w:rPr>
          <w:rStyle w:val="18"/>
          <w:rFonts w:hint="eastAsia" w:ascii="宋体" w:hAnsi="宋体" w:eastAsia="宋体" w:cs="宋体"/>
          <w:i/>
          <w:color w:val="000000" w:themeColor="text1"/>
          <w:highlight w:val="none"/>
          <w:u w:val="single"/>
          <w14:textFill>
            <w14:solidFill>
              <w14:schemeClr w14:val="tx1"/>
            </w14:solidFill>
          </w14:textFill>
        </w:rPr>
        <w:t>，</w:t>
      </w: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《2024年度白蚁等害堤动物普查及治理项目》中已普查到的受害堤防的治理</w:t>
      </w:r>
      <w:r>
        <w:rPr>
          <w:rStyle w:val="18"/>
          <w:rFonts w:hint="eastAsia" w:ascii="宋体" w:hAnsi="宋体" w:eastAsia="宋体" w:cs="宋体"/>
          <w:i/>
          <w:color w:val="000000" w:themeColor="text1"/>
          <w:highlight w:val="none"/>
          <w:u w:val="single"/>
          <w14:textFill>
            <w14:solidFill>
              <w14:schemeClr w14:val="tx1"/>
            </w14:solidFill>
          </w14:textFill>
        </w:rPr>
        <w:t>全部完成</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并</w:t>
      </w:r>
      <w:r>
        <w:rPr>
          <w:rStyle w:val="18"/>
          <w:rFonts w:hint="eastAsia" w:ascii="宋体" w:hAnsi="宋体" w:eastAsia="宋体" w:cs="宋体"/>
          <w:i/>
          <w:color w:val="000000" w:themeColor="text1"/>
          <w:highlight w:val="none"/>
          <w:u w:val="single"/>
          <w14:textFill>
            <w14:solidFill>
              <w14:schemeClr w14:val="tx1"/>
            </w14:solidFill>
          </w14:textFill>
        </w:rPr>
        <w:t>出具相应的</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治理</w:t>
      </w:r>
      <w:r>
        <w:rPr>
          <w:rStyle w:val="18"/>
          <w:rFonts w:hint="eastAsia" w:ascii="宋体" w:hAnsi="宋体" w:eastAsia="宋体" w:cs="宋体"/>
          <w:i/>
          <w:color w:val="000000" w:themeColor="text1"/>
          <w:highlight w:val="none"/>
          <w:u w:val="single"/>
          <w14:textFill>
            <w14:solidFill>
              <w14:schemeClr w14:val="tx1"/>
            </w14:solidFill>
          </w14:textFill>
        </w:rPr>
        <w:t>结果报告书，经</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采购人</w:t>
      </w:r>
      <w:r>
        <w:rPr>
          <w:rStyle w:val="18"/>
          <w:rFonts w:hint="eastAsia" w:ascii="宋体" w:hAnsi="宋体" w:eastAsia="宋体" w:cs="宋体"/>
          <w:i/>
          <w:color w:val="000000" w:themeColor="text1"/>
          <w:highlight w:val="none"/>
          <w:u w:val="single"/>
          <w14:textFill>
            <w14:solidFill>
              <w14:schemeClr w14:val="tx1"/>
            </w14:solidFill>
          </w14:textFill>
        </w:rPr>
        <w:t>验收合格</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及根据考核结果（考核方式详见四、其他部分附件2：考核细则）</w:t>
      </w:r>
      <w:r>
        <w:rPr>
          <w:rStyle w:val="18"/>
          <w:rFonts w:hint="eastAsia" w:ascii="宋体" w:hAnsi="宋体" w:eastAsia="宋体" w:cs="宋体"/>
          <w:i/>
          <w:color w:val="000000" w:themeColor="text1"/>
          <w:highlight w:val="none"/>
          <w:u w:val="single"/>
          <w:lang w:eastAsia="zh-CN"/>
          <w14:textFill>
            <w14:solidFill>
              <w14:schemeClr w14:val="tx1"/>
            </w14:solidFill>
          </w14:textFill>
        </w:rPr>
        <w:t>，</w:t>
      </w:r>
      <w:r>
        <w:rPr>
          <w:rStyle w:val="18"/>
          <w:rFonts w:hint="eastAsia" w:ascii="宋体" w:hAnsi="宋体" w:eastAsia="宋体" w:cs="宋体"/>
          <w:i/>
          <w:color w:val="000000" w:themeColor="text1"/>
          <w:highlight w:val="none"/>
          <w:u w:val="single"/>
          <w14:textFill>
            <w14:solidFill>
              <w14:schemeClr w14:val="tx1"/>
            </w14:solidFill>
          </w14:textFill>
        </w:rPr>
        <w:t>支付合同总金额的</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5</w:t>
      </w:r>
      <w:r>
        <w:rPr>
          <w:rStyle w:val="18"/>
          <w:rFonts w:hint="eastAsia" w:ascii="宋体" w:hAnsi="宋体" w:eastAsia="宋体" w:cs="宋体"/>
          <w:i/>
          <w:color w:val="000000" w:themeColor="text1"/>
          <w:highlight w:val="none"/>
          <w:u w:val="single"/>
          <w14:textFill>
            <w14:solidFill>
              <w14:schemeClr w14:val="tx1"/>
            </w14:solidFill>
          </w14:textFill>
        </w:rPr>
        <w:t>0%；</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完成2025年白蚁等害堤动物的普查及治理工作并</w:t>
      </w:r>
      <w:r>
        <w:rPr>
          <w:rStyle w:val="18"/>
          <w:rFonts w:hint="eastAsia" w:ascii="宋体" w:hAnsi="宋体" w:eastAsia="宋体" w:cs="宋体"/>
          <w:i/>
          <w:color w:val="000000" w:themeColor="text1"/>
          <w:highlight w:val="none"/>
          <w:u w:val="single"/>
          <w14:textFill>
            <w14:solidFill>
              <w14:schemeClr w14:val="tx1"/>
            </w14:solidFill>
          </w14:textFill>
        </w:rPr>
        <w:t>出具相应的普查结果报告</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书，完成安全健康评估报告，</w:t>
      </w:r>
      <w:r>
        <w:rPr>
          <w:rStyle w:val="18"/>
          <w:rFonts w:hint="eastAsia" w:ascii="宋体" w:hAnsi="宋体" w:eastAsia="宋体" w:cs="宋体"/>
          <w:i/>
          <w:color w:val="000000" w:themeColor="text1"/>
          <w:highlight w:val="none"/>
          <w:u w:val="single"/>
          <w14:textFill>
            <w14:solidFill>
              <w14:schemeClr w14:val="tx1"/>
            </w14:solidFill>
          </w14:textFill>
        </w:rPr>
        <w:t>经</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采购人</w:t>
      </w:r>
      <w:r>
        <w:rPr>
          <w:rStyle w:val="18"/>
          <w:rFonts w:hint="eastAsia" w:ascii="宋体" w:hAnsi="宋体" w:eastAsia="宋体" w:cs="宋体"/>
          <w:i/>
          <w:color w:val="000000" w:themeColor="text1"/>
          <w:highlight w:val="none"/>
          <w:u w:val="single"/>
          <w14:textFill>
            <w14:solidFill>
              <w14:schemeClr w14:val="tx1"/>
            </w14:solidFill>
          </w14:textFill>
        </w:rPr>
        <w:t>验收合格</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及根据考核结果（考核方式详见四、其他部分附件2：考核细则）</w:t>
      </w:r>
      <w:r>
        <w:rPr>
          <w:rStyle w:val="18"/>
          <w:rFonts w:hint="eastAsia" w:ascii="宋体" w:hAnsi="宋体" w:eastAsia="宋体" w:cs="宋体"/>
          <w:i/>
          <w:color w:val="000000" w:themeColor="text1"/>
          <w:highlight w:val="none"/>
          <w:u w:val="single"/>
          <w:lang w:eastAsia="zh-CN"/>
          <w14:textFill>
            <w14:solidFill>
              <w14:schemeClr w14:val="tx1"/>
            </w14:solidFill>
          </w14:textFill>
        </w:rPr>
        <w:t>，</w:t>
      </w:r>
      <w:r>
        <w:rPr>
          <w:rStyle w:val="18"/>
          <w:rFonts w:hint="eastAsia" w:ascii="宋体" w:hAnsi="宋体" w:eastAsia="宋体" w:cs="宋体"/>
          <w:i/>
          <w:color w:val="000000" w:themeColor="text1"/>
          <w:highlight w:val="none"/>
          <w:u w:val="single"/>
          <w14:textFill>
            <w14:solidFill>
              <w14:schemeClr w14:val="tx1"/>
            </w14:solidFill>
          </w14:textFill>
        </w:rPr>
        <w:t>支付</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剩余合同款。考核得分与实际付款金额挂钩，实际付款金额按下述方法支付：</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1"/>
        <w:gridCol w:w="1647"/>
        <w:gridCol w:w="1647"/>
        <w:gridCol w:w="1647"/>
        <w:gridCol w:w="1648"/>
        <w:gridCol w:w="1662"/>
      </w:tblGrid>
      <w:tr w14:paraId="5335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769" w:type="pct"/>
            <w:noWrap w:val="0"/>
            <w:vAlign w:val="top"/>
          </w:tcPr>
          <w:p w14:paraId="54BA55FC">
            <w:pPr>
              <w:spacing w:before="198"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考核得分</w:t>
            </w:r>
          </w:p>
        </w:tc>
        <w:tc>
          <w:tcPr>
            <w:tcW w:w="844" w:type="pct"/>
            <w:noWrap w:val="0"/>
            <w:vAlign w:val="top"/>
          </w:tcPr>
          <w:p w14:paraId="5072EF37">
            <w:pPr>
              <w:spacing w:before="199"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hint="eastAsia" w:ascii="Times New Roman" w:hAnsi="Times New Roman" w:cs="Times New Roman"/>
                <w:b w:val="0"/>
                <w:bCs w:val="0"/>
                <w:i/>
                <w:iCs/>
                <w:color w:val="000000" w:themeColor="text1"/>
                <w:spacing w:val="-3"/>
                <w:sz w:val="24"/>
                <w:szCs w:val="24"/>
                <w:highlight w:val="none"/>
                <w:u w:val="single"/>
                <w:lang w:val="en-US" w:eastAsia="zh-CN"/>
                <w14:textFill>
                  <w14:solidFill>
                    <w14:schemeClr w14:val="tx1"/>
                  </w14:solidFill>
                </w14:textFill>
              </w:rPr>
              <w:t>90</w:t>
            </w:r>
            <w:r>
              <w:rPr>
                <w:rFonts w:ascii="宋体" w:hAnsi="宋体" w:eastAsia="宋体" w:cs="宋体"/>
                <w:b w:val="0"/>
                <w:bCs w:val="0"/>
                <w:i/>
                <w:iCs/>
                <w:color w:val="000000" w:themeColor="text1"/>
                <w:spacing w:val="-3"/>
                <w:sz w:val="24"/>
                <w:szCs w:val="24"/>
                <w:highlight w:val="none"/>
                <w:u w:val="single"/>
                <w14:textFill>
                  <w14:solidFill>
                    <w14:schemeClr w14:val="tx1"/>
                  </w14:solidFill>
                </w14:textFill>
              </w:rPr>
              <w:t>分</w:t>
            </w:r>
            <w:r>
              <w:rPr>
                <w:rFonts w:hint="eastAsia" w:ascii="宋体" w:hAnsi="宋体" w:eastAsia="宋体" w:cs="宋体"/>
                <w:b w:val="0"/>
                <w:bCs w:val="0"/>
                <w:i/>
                <w:iCs/>
                <w:color w:val="000000" w:themeColor="text1"/>
                <w:spacing w:val="-3"/>
                <w:sz w:val="24"/>
                <w:szCs w:val="24"/>
                <w:highlight w:val="none"/>
                <w:u w:val="single"/>
                <w:lang w:val="en-US" w:eastAsia="zh-CN"/>
                <w14:textFill>
                  <w14:solidFill>
                    <w14:schemeClr w14:val="tx1"/>
                  </w14:solidFill>
                </w14:textFill>
              </w:rPr>
              <w:t>及</w:t>
            </w:r>
            <w:r>
              <w:rPr>
                <w:rFonts w:ascii="宋体" w:hAnsi="宋体" w:eastAsia="宋体" w:cs="宋体"/>
                <w:b w:val="0"/>
                <w:bCs w:val="0"/>
                <w:i/>
                <w:iCs/>
                <w:color w:val="000000" w:themeColor="text1"/>
                <w:spacing w:val="-3"/>
                <w:sz w:val="24"/>
                <w:szCs w:val="24"/>
                <w:highlight w:val="none"/>
                <w:u w:val="single"/>
                <w14:textFill>
                  <w14:solidFill>
                    <w14:schemeClr w14:val="tx1"/>
                  </w14:solidFill>
                </w14:textFill>
              </w:rPr>
              <w:t>以上</w:t>
            </w:r>
          </w:p>
        </w:tc>
        <w:tc>
          <w:tcPr>
            <w:tcW w:w="844" w:type="pct"/>
            <w:noWrap w:val="0"/>
            <w:vAlign w:val="top"/>
          </w:tcPr>
          <w:p w14:paraId="784B52C3">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80</w:t>
            </w:r>
            <w:r>
              <w:rPr>
                <w:rFonts w:ascii="宋体" w:hAnsi="宋体" w:eastAsia="宋体" w:cs="宋体"/>
                <w:i/>
                <w:iCs/>
                <w:color w:val="000000" w:themeColor="text1"/>
                <w:spacing w:val="15"/>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8</w:t>
            </w:r>
            <w:r>
              <w:rPr>
                <w:rFonts w:hint="eastAsia" w:ascii="Times New Roman" w:hAnsi="Times New Roman" w:cs="Times New Roman"/>
                <w:i/>
                <w:iCs/>
                <w:color w:val="000000" w:themeColor="text1"/>
                <w:spacing w:val="15"/>
                <w:sz w:val="24"/>
                <w:szCs w:val="24"/>
                <w:highlight w:val="none"/>
                <w:u w:val="single"/>
                <w:lang w:val="en-US" w:eastAsia="zh-CN"/>
                <w14:textFill>
                  <w14:solidFill>
                    <w14:schemeClr w14:val="tx1"/>
                  </w14:solidFill>
                </w14:textFill>
              </w:rPr>
              <w:t>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44" w:type="pct"/>
            <w:noWrap w:val="0"/>
            <w:vAlign w:val="top"/>
          </w:tcPr>
          <w:p w14:paraId="12CF794C">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6"/>
                <w:sz w:val="24"/>
                <w:szCs w:val="24"/>
                <w:highlight w:val="none"/>
                <w:u w:val="single"/>
                <w14:textFill>
                  <w14:solidFill>
                    <w14:schemeClr w14:val="tx1"/>
                  </w14:solidFill>
                </w14:textFill>
              </w:rPr>
              <w:t>70</w:t>
            </w:r>
            <w:r>
              <w:rPr>
                <w:rFonts w:ascii="宋体" w:hAnsi="宋体" w:eastAsia="宋体" w:cs="宋体"/>
                <w:i/>
                <w:iCs/>
                <w:color w:val="000000" w:themeColor="text1"/>
                <w:spacing w:val="16"/>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6"/>
                <w:sz w:val="24"/>
                <w:szCs w:val="24"/>
                <w:highlight w:val="none"/>
                <w:u w:val="single"/>
                <w14:textFill>
                  <w14:solidFill>
                    <w14:schemeClr w14:val="tx1"/>
                  </w14:solidFill>
                </w14:textFill>
              </w:rPr>
              <w:t>79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44" w:type="pct"/>
            <w:noWrap w:val="0"/>
            <w:vAlign w:val="top"/>
          </w:tcPr>
          <w:p w14:paraId="4F6B1F52">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9"/>
                <w:sz w:val="24"/>
                <w:szCs w:val="24"/>
                <w:highlight w:val="none"/>
                <w:u w:val="single"/>
                <w14:textFill>
                  <w14:solidFill>
                    <w14:schemeClr w14:val="tx1"/>
                  </w14:solidFill>
                </w14:textFill>
              </w:rPr>
              <w:t>6</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0</w:t>
            </w:r>
            <w:r>
              <w:rPr>
                <w:rFonts w:ascii="宋体" w:hAnsi="宋体" w:eastAsia="宋体" w:cs="宋体"/>
                <w:i/>
                <w:iCs/>
                <w:color w:val="000000" w:themeColor="text1"/>
                <w:spacing w:val="15"/>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69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51" w:type="pct"/>
            <w:noWrap w:val="0"/>
            <w:vAlign w:val="top"/>
          </w:tcPr>
          <w:p w14:paraId="3D5939BE">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4"/>
                <w:sz w:val="24"/>
                <w:szCs w:val="24"/>
                <w:highlight w:val="none"/>
                <w:u w:val="single"/>
                <w14:textFill>
                  <w14:solidFill>
                    <w14:schemeClr w14:val="tx1"/>
                  </w14:solidFill>
                </w14:textFill>
              </w:rPr>
              <w:t>6</w:t>
            </w:r>
            <w:r>
              <w:rPr>
                <w:rFonts w:ascii="Times New Roman" w:hAnsi="Times New Roman" w:eastAsia="Times New Roman" w:cs="Times New Roman"/>
                <w:i/>
                <w:iCs/>
                <w:color w:val="000000" w:themeColor="text1"/>
                <w:spacing w:val="-3"/>
                <w:sz w:val="24"/>
                <w:szCs w:val="24"/>
                <w:highlight w:val="none"/>
                <w:u w:val="single"/>
                <w14:textFill>
                  <w14:solidFill>
                    <w14:schemeClr w14:val="tx1"/>
                  </w14:solidFill>
                </w14:textFill>
              </w:rPr>
              <w:t>0</w:t>
            </w:r>
            <w:r>
              <w:rPr>
                <w:rFonts w:ascii="宋体" w:hAnsi="宋体" w:eastAsia="宋体" w:cs="宋体"/>
                <w:i/>
                <w:iCs/>
                <w:color w:val="000000" w:themeColor="text1"/>
                <w:spacing w:val="-3"/>
                <w:sz w:val="24"/>
                <w:szCs w:val="24"/>
                <w:highlight w:val="none"/>
                <w:u w:val="single"/>
                <w14:textFill>
                  <w14:solidFill>
                    <w14:schemeClr w14:val="tx1"/>
                  </w14:solidFill>
                </w14:textFill>
              </w:rPr>
              <w:t>分以下</w:t>
            </w:r>
          </w:p>
        </w:tc>
      </w:tr>
      <w:tr w14:paraId="7FAA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769" w:type="pct"/>
            <w:noWrap w:val="0"/>
            <w:vAlign w:val="top"/>
          </w:tcPr>
          <w:p w14:paraId="04003B42">
            <w:pPr>
              <w:spacing w:before="240"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付款比例</w:t>
            </w:r>
          </w:p>
        </w:tc>
        <w:tc>
          <w:tcPr>
            <w:tcW w:w="844" w:type="pct"/>
            <w:noWrap w:val="0"/>
            <w:vAlign w:val="top"/>
          </w:tcPr>
          <w:p w14:paraId="176A30B2">
            <w:pPr>
              <w:spacing w:before="240"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全额付款</w:t>
            </w:r>
          </w:p>
        </w:tc>
        <w:tc>
          <w:tcPr>
            <w:tcW w:w="844" w:type="pct"/>
            <w:noWrap w:val="0"/>
            <w:vAlign w:val="top"/>
          </w:tcPr>
          <w:p w14:paraId="4542443F">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3"/>
                <w:sz w:val="24"/>
                <w:szCs w:val="24"/>
                <w:highlight w:val="none"/>
                <w:u w:val="single"/>
                <w14:textFill>
                  <w14:solidFill>
                    <w14:schemeClr w14:val="tx1"/>
                  </w14:solidFill>
                </w14:textFill>
              </w:rPr>
              <w:t>九折付款</w:t>
            </w:r>
          </w:p>
        </w:tc>
        <w:tc>
          <w:tcPr>
            <w:tcW w:w="844" w:type="pct"/>
            <w:noWrap w:val="0"/>
            <w:vAlign w:val="top"/>
          </w:tcPr>
          <w:p w14:paraId="03FB331A">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4"/>
                <w:sz w:val="24"/>
                <w:szCs w:val="24"/>
                <w:highlight w:val="none"/>
                <w:u w:val="single"/>
                <w14:textFill>
                  <w14:solidFill>
                    <w14:schemeClr w14:val="tx1"/>
                  </w14:solidFill>
                </w14:textFill>
              </w:rPr>
              <w:t>八</w:t>
            </w:r>
            <w:r>
              <w:rPr>
                <w:rFonts w:ascii="宋体" w:hAnsi="宋体" w:eastAsia="宋体" w:cs="宋体"/>
                <w:i/>
                <w:iCs/>
                <w:color w:val="000000" w:themeColor="text1"/>
                <w:spacing w:val="-2"/>
                <w:sz w:val="24"/>
                <w:szCs w:val="24"/>
                <w:highlight w:val="none"/>
                <w:u w:val="single"/>
                <w14:textFill>
                  <w14:solidFill>
                    <w14:schemeClr w14:val="tx1"/>
                  </w14:solidFill>
                </w14:textFill>
              </w:rPr>
              <w:t>折付款</w:t>
            </w:r>
          </w:p>
        </w:tc>
        <w:tc>
          <w:tcPr>
            <w:tcW w:w="844" w:type="pct"/>
            <w:noWrap w:val="0"/>
            <w:vAlign w:val="top"/>
          </w:tcPr>
          <w:p w14:paraId="176CEC33">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2"/>
                <w:sz w:val="24"/>
                <w:szCs w:val="24"/>
                <w:highlight w:val="none"/>
                <w:u w:val="single"/>
                <w14:textFill>
                  <w14:solidFill>
                    <w14:schemeClr w14:val="tx1"/>
                  </w14:solidFill>
                </w14:textFill>
              </w:rPr>
              <w:t>七折付</w:t>
            </w:r>
            <w:r>
              <w:rPr>
                <w:rFonts w:ascii="宋体" w:hAnsi="宋体" w:eastAsia="宋体" w:cs="宋体"/>
                <w:i/>
                <w:iCs/>
                <w:color w:val="000000" w:themeColor="text1"/>
                <w:spacing w:val="-1"/>
                <w:sz w:val="24"/>
                <w:szCs w:val="24"/>
                <w:highlight w:val="none"/>
                <w:u w:val="single"/>
                <w14:textFill>
                  <w14:solidFill>
                    <w14:schemeClr w14:val="tx1"/>
                  </w14:solidFill>
                </w14:textFill>
              </w:rPr>
              <w:t>款</w:t>
            </w:r>
          </w:p>
        </w:tc>
        <w:tc>
          <w:tcPr>
            <w:tcW w:w="851" w:type="pct"/>
            <w:noWrap w:val="0"/>
            <w:vAlign w:val="top"/>
          </w:tcPr>
          <w:p w14:paraId="48458AE3">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3"/>
                <w:sz w:val="24"/>
                <w:szCs w:val="24"/>
                <w:highlight w:val="none"/>
                <w:u w:val="single"/>
                <w14:textFill>
                  <w14:solidFill>
                    <w14:schemeClr w14:val="tx1"/>
                  </w14:solidFill>
                </w14:textFill>
              </w:rPr>
              <w:t>六</w:t>
            </w:r>
            <w:r>
              <w:rPr>
                <w:rFonts w:ascii="宋体" w:hAnsi="宋体" w:eastAsia="宋体" w:cs="宋体"/>
                <w:i/>
                <w:iCs/>
                <w:color w:val="000000" w:themeColor="text1"/>
                <w:spacing w:val="-2"/>
                <w:sz w:val="24"/>
                <w:szCs w:val="24"/>
                <w:highlight w:val="none"/>
                <w:u w:val="single"/>
                <w14:textFill>
                  <w14:solidFill>
                    <w14:schemeClr w14:val="tx1"/>
                  </w14:solidFill>
                </w14:textFill>
              </w:rPr>
              <w:t>折付款</w:t>
            </w:r>
          </w:p>
        </w:tc>
      </w:tr>
    </w:tbl>
    <w:p w14:paraId="7AAB93FB">
      <w:pPr>
        <w:keepNext w:val="0"/>
        <w:keepLines w:val="0"/>
        <w:pageBreakBefore w:val="0"/>
        <w:widowControl w:val="0"/>
        <w:spacing w:line="520" w:lineRule="exact"/>
        <w:ind w:firstLine="480"/>
        <w:rPr>
          <w:rStyle w:val="9"/>
          <w:rFonts w:ascii="宋体" w:hAnsi="宋体" w:eastAsia="宋体" w:cs="宋体"/>
          <w:b w:val="0"/>
          <w:i/>
          <w:color w:val="000000" w:themeColor="text1"/>
          <w:spacing w:val="7"/>
          <w:sz w:val="24"/>
          <w:highlight w:val="none"/>
          <w:u w:val="single"/>
          <w14:textFill>
            <w14:solidFill>
              <w14:schemeClr w14:val="tx1"/>
            </w14:solidFill>
          </w14:textFill>
        </w:rPr>
      </w:pPr>
      <w:r>
        <w:rPr>
          <w:rFonts w:hint="eastAsia" w:ascii="Times New Roman" w:hAnsi="Times New Roman" w:eastAsia="宋体" w:cs="Times New Roman"/>
          <w:i/>
          <w:iCs/>
          <w:color w:val="000000" w:themeColor="text1"/>
          <w:spacing w:val="0"/>
          <w:sz w:val="24"/>
          <w:szCs w:val="24"/>
          <w:highlight w:val="none"/>
          <w:u w:val="single"/>
          <w:lang w:val="en-US" w:eastAsia="zh-CN"/>
          <w14:textFill>
            <w14:solidFill>
              <w14:schemeClr w14:val="tx1"/>
            </w14:solidFill>
          </w14:textFill>
        </w:rPr>
        <w:t>实际</w:t>
      </w:r>
      <w:r>
        <w:rPr>
          <w:rStyle w:val="9"/>
          <w:rFonts w:ascii="宋体" w:hAnsi="宋体" w:eastAsia="宋体" w:cs="宋体"/>
          <w:b w:val="0"/>
          <w:i/>
          <w:color w:val="000000" w:themeColor="text1"/>
          <w:spacing w:val="7"/>
          <w:sz w:val="24"/>
          <w:highlight w:val="none"/>
          <w:u w:val="single"/>
          <w14:textFill>
            <w14:solidFill>
              <w14:schemeClr w14:val="tx1"/>
            </w14:solidFill>
          </w14:textFill>
        </w:rPr>
        <w:t>付款</w:t>
      </w:r>
      <w:r>
        <w:rPr>
          <w:rFonts w:hint="eastAsia" w:ascii="Times New Roman" w:hAnsi="Times New Roman" w:eastAsia="宋体" w:cs="Times New Roman"/>
          <w:i/>
          <w:iCs/>
          <w:color w:val="000000" w:themeColor="text1"/>
          <w:spacing w:val="0"/>
          <w:sz w:val="24"/>
          <w:szCs w:val="24"/>
          <w:highlight w:val="none"/>
          <w:u w:val="single"/>
          <w:lang w:val="en-US" w:eastAsia="zh-CN"/>
          <w14:textFill>
            <w14:solidFill>
              <w14:schemeClr w14:val="tx1"/>
            </w14:solidFill>
          </w14:textFill>
        </w:rPr>
        <w:t>金额=合同总金额的50%</w:t>
      </w:r>
      <w:r>
        <w:rPr>
          <w:rStyle w:val="9"/>
          <w:rFonts w:ascii="宋体" w:hAnsi="宋体" w:eastAsia="宋体" w:cs="宋体"/>
          <w:b w:val="0"/>
          <w:i/>
          <w:color w:val="000000" w:themeColor="text1"/>
          <w:spacing w:val="7"/>
          <w:sz w:val="24"/>
          <w:highlight w:val="none"/>
          <w:u w:val="single"/>
          <w14:textFill>
            <w14:solidFill>
              <w14:schemeClr w14:val="tx1"/>
            </w14:solidFill>
          </w14:textFill>
        </w:rPr>
        <w:t>×付款比例。</w:t>
      </w:r>
    </w:p>
    <w:p w14:paraId="4DFBED8D">
      <w:pPr>
        <w:pStyle w:val="41"/>
        <w:keepNext w:val="0"/>
        <w:keepLines w:val="0"/>
        <w:pageBreakBefore w:val="0"/>
        <w:spacing w:line="520" w:lineRule="exact"/>
        <w:ind w:firstLine="482"/>
        <w:rPr>
          <w:rStyle w:val="18"/>
          <w:rFonts w:hint="eastAsia" w:ascii="宋体" w:hAnsi="宋体" w:eastAsia="宋体" w:cs="宋体"/>
          <w:b/>
          <w:color w:val="000000" w:themeColor="text1"/>
          <w:highlight w:val="none"/>
          <w:lang w:val="en-US" w:eastAsia="zh-CN"/>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三</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投标货币</w:t>
      </w:r>
    </w:p>
    <w:p w14:paraId="6C7974D6">
      <w:pPr>
        <w:pStyle w:val="41"/>
        <w:keepNext w:val="0"/>
        <w:keepLines w:val="0"/>
        <w:pageBreakBefore w:val="0"/>
        <w:spacing w:line="520" w:lineRule="exact"/>
        <w:ind w:firstLine="480"/>
        <w:rPr>
          <w:rStyle w:val="18"/>
          <w:rFonts w:ascii="宋体" w:hAnsi="宋体" w:eastAsia="宋体" w:cs="宋体"/>
          <w:i/>
          <w:color w:val="000000" w:themeColor="text1"/>
          <w:highlight w:val="none"/>
          <w:u w:val="single"/>
          <w14:textFill>
            <w14:solidFill>
              <w14:schemeClr w14:val="tx1"/>
            </w14:solidFill>
          </w14:textFill>
        </w:rPr>
      </w:pPr>
      <w:r>
        <w:rPr>
          <w:rStyle w:val="18"/>
          <w:rFonts w:hint="eastAsia" w:ascii="宋体" w:hAnsi="宋体" w:eastAsia="宋体" w:cs="宋体"/>
          <w:i/>
          <w:color w:val="000000" w:themeColor="text1"/>
          <w:highlight w:val="none"/>
          <w:u w:val="single"/>
          <w14:textFill>
            <w14:solidFill>
              <w14:schemeClr w14:val="tx1"/>
            </w14:solidFill>
          </w14:textFill>
        </w:rPr>
        <w:t>人民币。</w:t>
      </w:r>
    </w:p>
    <w:p w14:paraId="73AD293A">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四</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备品备件及耗材等要求</w:t>
      </w:r>
    </w:p>
    <w:p w14:paraId="2EEBC03A">
      <w:pPr>
        <w:pStyle w:val="41"/>
        <w:keepNext w:val="0"/>
        <w:keepLines w:val="0"/>
        <w:pageBreakBefore w:val="0"/>
        <w:spacing w:line="520" w:lineRule="exact"/>
        <w:ind w:firstLine="480"/>
        <w:rPr>
          <w:rStyle w:val="18"/>
          <w:rFonts w:hint="eastAsia" w:ascii="宋体" w:hAnsi="宋体" w:eastAsia="宋体" w:cs="宋体"/>
          <w:i w:val="0"/>
          <w:iCs/>
          <w:color w:val="000000" w:themeColor="text1"/>
          <w:highlight w:val="none"/>
          <w:u w:val="none"/>
          <w14:textFill>
            <w14:solidFill>
              <w14:schemeClr w14:val="tx1"/>
            </w14:solidFill>
          </w14:textFill>
        </w:rPr>
      </w:pPr>
      <w:r>
        <w:rPr>
          <w:rStyle w:val="18"/>
          <w:rFonts w:hint="eastAsia" w:ascii="宋体" w:hAnsi="宋体" w:eastAsia="宋体" w:cs="宋体"/>
          <w:i w:val="0"/>
          <w:iCs/>
          <w:color w:val="000000" w:themeColor="text1"/>
          <w:highlight w:val="none"/>
          <w:u w:val="none"/>
          <w14:textFill>
            <w14:solidFill>
              <w14:schemeClr w14:val="tx1"/>
            </w14:solidFill>
          </w14:textFill>
        </w:rPr>
        <w:t>无。</w:t>
      </w:r>
    </w:p>
    <w:p w14:paraId="0D74FE59">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14:textFill>
            <w14:solidFill>
              <w14:schemeClr w14:val="tx1"/>
            </w14:solidFill>
          </w14:textFill>
        </w:rPr>
      </w:pPr>
    </w:p>
    <w:p w14:paraId="1B4E5774">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14:textFill>
            <w14:solidFill>
              <w14:schemeClr w14:val="tx1"/>
            </w14:solidFill>
          </w14:textFill>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1701" w:num="1"/>
          <w:titlePg/>
          <w:docGrid w:linePitch="360" w:charSpace="0"/>
        </w:sectPr>
      </w:pPr>
    </w:p>
    <w:p w14:paraId="4E7783EA">
      <w:pPr>
        <w:keepNext w:val="0"/>
        <w:keepLines w:val="0"/>
        <w:pageBreakBefore w:val="0"/>
        <w:spacing w:line="520" w:lineRule="exact"/>
        <w:rPr>
          <w:rFonts w:ascii="宋体" w:hAnsi="宋体" w:cs="宋体"/>
          <w:b/>
          <w:color w:val="000000" w:themeColor="text1"/>
          <w:sz w:val="28"/>
          <w:szCs w:val="28"/>
          <w:highlight w:val="none"/>
          <w14:textFill>
            <w14:solidFill>
              <w14:schemeClr w14:val="tx1"/>
            </w14:solidFill>
          </w14:textFill>
        </w:rPr>
      </w:pPr>
      <w:bookmarkStart w:id="223" w:name="EBeba33935409e4c76a800f8c7f49348de"/>
      <w:bookmarkEnd w:id="223"/>
      <w:r>
        <w:rPr>
          <w:rFonts w:hint="eastAsia" w:ascii="宋体" w:hAnsi="宋体" w:cs="宋体"/>
          <w:b/>
          <w:color w:val="000000" w:themeColor="text1"/>
          <w:sz w:val="28"/>
          <w:szCs w:val="28"/>
          <w:highlight w:val="none"/>
          <w14:textFill>
            <w14:solidFill>
              <w14:schemeClr w14:val="tx1"/>
            </w14:solidFill>
          </w14:textFill>
        </w:rPr>
        <w:t>四、其他部分</w:t>
      </w:r>
    </w:p>
    <w:p w14:paraId="0C1F388E">
      <w:pPr>
        <w:pStyle w:val="43"/>
        <w:keepNext w:val="0"/>
        <w:keepLines w:val="0"/>
        <w:pageBreakBefore w:val="0"/>
        <w:spacing w:line="520" w:lineRule="exact"/>
        <w:ind w:firstLine="602"/>
        <w:rPr>
          <w:rStyle w:val="18"/>
          <w:rFonts w:ascii="宋体" w:hAnsi="宋体" w:eastAsia="宋体" w:cs="宋体"/>
          <w:b/>
          <w:bCs/>
          <w:color w:val="000000" w:themeColor="text1"/>
          <w:sz w:val="30"/>
          <w:szCs w:val="30"/>
          <w:highlight w:val="none"/>
          <w14:textFill>
            <w14:solidFill>
              <w14:schemeClr w14:val="tx1"/>
            </w14:solidFill>
          </w14:textFill>
        </w:rPr>
      </w:pPr>
      <w:r>
        <w:rPr>
          <w:rStyle w:val="18"/>
          <w:rFonts w:hint="eastAsia" w:ascii="宋体" w:hAnsi="宋体" w:eastAsia="宋体" w:cs="宋体"/>
          <w:b/>
          <w:bCs/>
          <w:color w:val="000000" w:themeColor="text1"/>
          <w:sz w:val="30"/>
          <w:szCs w:val="30"/>
          <w:highlight w:val="none"/>
          <w14:textFill>
            <w14:solidFill>
              <w14:schemeClr w14:val="tx1"/>
            </w14:solidFill>
          </w14:textFill>
        </w:rPr>
        <w:t>附件1：</w:t>
      </w:r>
    </w:p>
    <w:p w14:paraId="33966FA0">
      <w:pPr>
        <w:pStyle w:val="43"/>
        <w:jc w:val="center"/>
        <w:rPr>
          <w:rStyle w:val="18"/>
          <w:rFonts w:ascii="宋体" w:hAnsi="宋体" w:eastAsia="宋体" w:cs="宋体"/>
          <w:b/>
          <w:bCs/>
          <w:color w:val="000000" w:themeColor="text1"/>
          <w:sz w:val="30"/>
          <w:szCs w:val="30"/>
          <w:highlight w:val="none"/>
          <w14:textFill>
            <w14:solidFill>
              <w14:schemeClr w14:val="tx1"/>
            </w14:solidFill>
          </w14:textFill>
        </w:rPr>
      </w:pPr>
      <w:r>
        <w:rPr>
          <w:rStyle w:val="18"/>
          <w:rFonts w:hint="eastAsia" w:ascii="宋体" w:hAnsi="宋体" w:eastAsia="宋体" w:cs="宋体"/>
          <w:b/>
          <w:bCs/>
          <w:color w:val="000000" w:themeColor="text1"/>
          <w:sz w:val="30"/>
          <w:szCs w:val="30"/>
          <w:highlight w:val="none"/>
          <w14:textFill>
            <w14:solidFill>
              <w14:schemeClr w14:val="tx1"/>
            </w14:solidFill>
          </w14:textFill>
        </w:rPr>
        <w:t>信息化智能预警监测</w:t>
      </w: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装置系统</w:t>
      </w:r>
      <w:r>
        <w:rPr>
          <w:rStyle w:val="18"/>
          <w:rFonts w:hint="eastAsia" w:ascii="宋体" w:hAnsi="宋体" w:eastAsia="宋体" w:cs="宋体"/>
          <w:b/>
          <w:bCs/>
          <w:color w:val="000000" w:themeColor="text1"/>
          <w:sz w:val="30"/>
          <w:szCs w:val="30"/>
          <w:highlight w:val="none"/>
          <w14:textFill>
            <w14:solidFill>
              <w14:schemeClr w14:val="tx1"/>
            </w14:solidFill>
          </w14:textFill>
        </w:rPr>
        <w:t>参数要求</w:t>
      </w:r>
    </w:p>
    <w:tbl>
      <w:tblPr>
        <w:tblStyle w:val="42"/>
        <w:tblW w:w="945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1942"/>
        <w:gridCol w:w="6379"/>
      </w:tblGrid>
      <w:tr w14:paraId="328E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1138" w:type="dxa"/>
            <w:shd w:val="clear" w:color="auto" w:fill="B5C7EA" w:themeFill="accent1" w:themeFillTint="66"/>
            <w:noWrap w:val="0"/>
            <w:vAlign w:val="center"/>
          </w:tcPr>
          <w:p w14:paraId="70101490">
            <w:pPr>
              <w:jc w:val="center"/>
              <w:rPr>
                <w:rFonts w:ascii="宋体" w:hAnsi="宋体" w:cs="宋体"/>
                <w:b/>
                <w:bCs/>
                <w:color w:val="000000" w:themeColor="text1"/>
                <w:sz w:val="24"/>
                <w:szCs w:val="24"/>
                <w:highlight w:val="none"/>
                <w14:textFill>
                  <w14:solidFill>
                    <w14:schemeClr w14:val="tx1"/>
                  </w14:solidFill>
                </w14:textFill>
              </w:rPr>
            </w:pPr>
            <w:bookmarkStart w:id="224" w:name="EB46fc682c2c764bbdaed30f22794dcce7"/>
            <w:bookmarkEnd w:id="224"/>
            <w:r>
              <w:rPr>
                <w:rFonts w:hint="eastAsia" w:ascii="宋体" w:hAnsi="宋体" w:cs="宋体"/>
                <w:b/>
                <w:bCs/>
                <w:color w:val="000000" w:themeColor="text1"/>
                <w:sz w:val="24"/>
                <w:szCs w:val="24"/>
                <w:highlight w:val="none"/>
                <w14:textFill>
                  <w14:solidFill>
                    <w14:schemeClr w14:val="tx1"/>
                  </w14:solidFill>
                </w14:textFill>
              </w:rPr>
              <w:t>序号</w:t>
            </w:r>
          </w:p>
        </w:tc>
        <w:tc>
          <w:tcPr>
            <w:tcW w:w="1942" w:type="dxa"/>
            <w:shd w:val="clear" w:color="auto" w:fill="B5C7EA" w:themeFill="accent1" w:themeFillTint="66"/>
            <w:noWrap w:val="0"/>
            <w:vAlign w:val="center"/>
          </w:tcPr>
          <w:p w14:paraId="1A7EB09F">
            <w:pPr>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名称</w:t>
            </w:r>
          </w:p>
        </w:tc>
        <w:tc>
          <w:tcPr>
            <w:tcW w:w="6379" w:type="dxa"/>
            <w:shd w:val="clear" w:color="auto" w:fill="B5C7EA" w:themeFill="accent1" w:themeFillTint="66"/>
            <w:noWrap w:val="0"/>
            <w:vAlign w:val="center"/>
          </w:tcPr>
          <w:p w14:paraId="0B99A01C">
            <w:pPr>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参数要求</w:t>
            </w:r>
          </w:p>
        </w:tc>
      </w:tr>
      <w:tr w14:paraId="405F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restart"/>
            <w:noWrap w:val="0"/>
            <w:vAlign w:val="center"/>
          </w:tcPr>
          <w:p w14:paraId="244DE665">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942" w:type="dxa"/>
            <w:vMerge w:val="restart"/>
            <w:noWrap w:val="0"/>
            <w:vAlign w:val="center"/>
          </w:tcPr>
          <w:p w14:paraId="52848A9D">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壳体要求</w:t>
            </w:r>
          </w:p>
        </w:tc>
        <w:tc>
          <w:tcPr>
            <w:tcW w:w="6379" w:type="dxa"/>
            <w:noWrap w:val="0"/>
            <w:vAlign w:val="center"/>
          </w:tcPr>
          <w:p w14:paraId="6A496CB2">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塑料外壳长度不应小于150mm。</w:t>
            </w:r>
          </w:p>
        </w:tc>
      </w:tr>
      <w:tr w14:paraId="033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14D8DCA9">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122B56B6">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7E6DFF4C">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内置饵料的体积不小于300000mm³。</w:t>
            </w:r>
          </w:p>
        </w:tc>
      </w:tr>
      <w:tr w14:paraId="24B6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33E0F229">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39884710">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06B4C8DD">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3"/>
                <w:sz w:val="24"/>
                <w:szCs w:val="24"/>
                <w:highlight w:val="none"/>
                <w:lang w:eastAsia="zh-CN"/>
                <w14:textFill>
                  <w14:solidFill>
                    <w14:schemeClr w14:val="tx1"/>
                  </w14:solidFill>
                </w14:textFill>
              </w:rPr>
              <w:t>装置外壳应设置不小于5mm的白蚁</w:t>
            </w:r>
            <w:r>
              <w:rPr>
                <w:rFonts w:hint="eastAsia"/>
                <w:color w:val="000000" w:themeColor="text1"/>
                <w:spacing w:val="-1"/>
                <w:sz w:val="24"/>
                <w:szCs w:val="24"/>
                <w:highlight w:val="none"/>
                <w:lang w:eastAsia="zh-CN"/>
                <w14:textFill>
                  <w14:solidFill>
                    <w14:schemeClr w14:val="tx1"/>
                  </w14:solidFill>
                </w14:textFill>
              </w:rPr>
              <w:t>进出通道。</w:t>
            </w:r>
          </w:p>
        </w:tc>
      </w:tr>
      <w:tr w14:paraId="33E9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5A9B817A">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942" w:type="dxa"/>
            <w:noWrap w:val="0"/>
            <w:vAlign w:val="center"/>
          </w:tcPr>
          <w:p w14:paraId="70083000">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有效工作距离</w:t>
            </w:r>
          </w:p>
        </w:tc>
        <w:tc>
          <w:tcPr>
            <w:tcW w:w="6379" w:type="dxa"/>
            <w:noWrap w:val="0"/>
            <w:vAlign w:val="center"/>
          </w:tcPr>
          <w:p w14:paraId="0C7AC3D8">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3"/>
                <w:sz w:val="24"/>
                <w:szCs w:val="24"/>
                <w:highlight w:val="none"/>
                <w:lang w:eastAsia="zh-CN"/>
                <w14:textFill>
                  <w14:solidFill>
                    <w14:schemeClr w14:val="tx1"/>
                  </w14:solidFill>
                </w14:textFill>
              </w:rPr>
              <w:t>监测装置与蚁情采集器的有效工</w:t>
            </w:r>
            <w:r>
              <w:rPr>
                <w:rFonts w:hint="eastAsia"/>
                <w:color w:val="000000" w:themeColor="text1"/>
                <w:spacing w:val="-2"/>
                <w:sz w:val="24"/>
                <w:szCs w:val="24"/>
                <w:highlight w:val="none"/>
                <w:lang w:eastAsia="zh-CN"/>
                <w14:textFill>
                  <w14:solidFill>
                    <w14:schemeClr w14:val="tx1"/>
                  </w14:solidFill>
                </w14:textFill>
              </w:rPr>
              <w:t>作距离不低于30cm。</w:t>
            </w:r>
          </w:p>
        </w:tc>
      </w:tr>
      <w:tr w14:paraId="40CB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64E886EB">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942" w:type="dxa"/>
            <w:noWrap w:val="0"/>
            <w:vAlign w:val="center"/>
          </w:tcPr>
          <w:p w14:paraId="6879D076">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障碍物性能</w:t>
            </w:r>
          </w:p>
        </w:tc>
        <w:tc>
          <w:tcPr>
            <w:tcW w:w="6379" w:type="dxa"/>
            <w:noWrap w:val="0"/>
            <w:vAlign w:val="center"/>
          </w:tcPr>
          <w:p w14:paraId="60FA2FD0">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监测装置埋设安装后，覆土不超过</w:t>
            </w:r>
            <w:r>
              <w:rPr>
                <w:rFonts w:hint="eastAsia"/>
                <w:color w:val="000000" w:themeColor="text1"/>
                <w:spacing w:val="-2"/>
                <w:sz w:val="24"/>
                <w:szCs w:val="24"/>
                <w:highlight w:val="none"/>
                <w:lang w:eastAsia="zh-CN"/>
                <w14:textFill>
                  <w14:solidFill>
                    <w14:schemeClr w14:val="tx1"/>
                  </w14:solidFill>
                </w14:textFill>
              </w:rPr>
              <w:t>20cm，蚁情采集器能正常读取信息。</w:t>
            </w:r>
          </w:p>
        </w:tc>
      </w:tr>
      <w:tr w14:paraId="5807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4E92B9FA">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942" w:type="dxa"/>
            <w:noWrap w:val="0"/>
            <w:vAlign w:val="center"/>
          </w:tcPr>
          <w:p w14:paraId="4B16D44B">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防水性</w:t>
            </w:r>
          </w:p>
        </w:tc>
        <w:tc>
          <w:tcPr>
            <w:tcW w:w="6379" w:type="dxa"/>
            <w:noWrap w:val="0"/>
            <w:vAlign w:val="center"/>
          </w:tcPr>
          <w:p w14:paraId="14090E75">
            <w:pPr>
              <w:pStyle w:val="44"/>
              <w:jc w:val="left"/>
              <w:rPr>
                <w:color w:val="000000" w:themeColor="text1"/>
                <w:sz w:val="24"/>
                <w:szCs w:val="24"/>
                <w:highlight w:val="none"/>
                <w:lang w:eastAsia="zh-CN"/>
                <w14:textFill>
                  <w14:solidFill>
                    <w14:schemeClr w14:val="tx1"/>
                  </w14:solidFill>
                </w14:textFill>
              </w:rPr>
            </w:pPr>
            <w:r>
              <w:rPr>
                <w:rStyle w:val="18"/>
                <w:rFonts w:hint="eastAsia"/>
                <w:color w:val="000000" w:themeColor="text1"/>
                <w:sz w:val="24"/>
                <w:szCs w:val="24"/>
                <w:highlight w:val="none"/>
                <w:lang w:eastAsia="zh-CN"/>
                <w14:textFill>
                  <w14:solidFill>
                    <w14:schemeClr w14:val="tx1"/>
                  </w14:solidFill>
                </w14:textFill>
              </w:rPr>
              <w:t>▲监测装置在常温水中连续浸泡不小于8小时后，应能正常工作（请在投标文件中提供CMA检测机构出具的检测报告原件扫描件或其他有效证明材料）。</w:t>
            </w:r>
          </w:p>
        </w:tc>
      </w:tr>
      <w:tr w14:paraId="6109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restart"/>
            <w:noWrap w:val="0"/>
            <w:vAlign w:val="center"/>
          </w:tcPr>
          <w:p w14:paraId="6368D04A">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942" w:type="dxa"/>
            <w:vMerge w:val="restart"/>
            <w:noWrap w:val="0"/>
            <w:vAlign w:val="center"/>
          </w:tcPr>
          <w:p w14:paraId="1799C4BE">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工作环境温度</w:t>
            </w:r>
          </w:p>
        </w:tc>
        <w:tc>
          <w:tcPr>
            <w:tcW w:w="6379" w:type="dxa"/>
            <w:noWrap w:val="0"/>
            <w:vAlign w:val="center"/>
          </w:tcPr>
          <w:p w14:paraId="03FFC5FA">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5"/>
                <w:sz w:val="24"/>
                <w:szCs w:val="24"/>
                <w:highlight w:val="none"/>
                <w:lang w:eastAsia="zh-CN"/>
                <w14:textFill>
                  <w14:solidFill>
                    <w14:schemeClr w14:val="tx1"/>
                  </w14:solidFill>
                </w14:textFill>
              </w:rPr>
              <w:t>监测装置在温度-10℃~+80℃区</w:t>
            </w:r>
            <w:r>
              <w:rPr>
                <w:rFonts w:hint="eastAsia"/>
                <w:color w:val="000000" w:themeColor="text1"/>
                <w:spacing w:val="-3"/>
                <w:sz w:val="24"/>
                <w:szCs w:val="24"/>
                <w:highlight w:val="none"/>
                <w:lang w:eastAsia="zh-CN"/>
                <w14:textFill>
                  <w14:solidFill>
                    <w14:schemeClr w14:val="tx1"/>
                  </w14:solidFill>
                </w14:textFill>
              </w:rPr>
              <w:t>间内，应能正常工作。</w:t>
            </w:r>
          </w:p>
        </w:tc>
      </w:tr>
      <w:tr w14:paraId="0BD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28D234F6">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0EB5CB1F">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1FFC6646">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5"/>
                <w:sz w:val="24"/>
                <w:szCs w:val="24"/>
                <w:highlight w:val="none"/>
                <w:lang w:eastAsia="zh-CN"/>
                <w14:textFill>
                  <w14:solidFill>
                    <w14:schemeClr w14:val="tx1"/>
                  </w14:solidFill>
                </w14:textFill>
              </w:rPr>
              <w:t>蚁情采集器在温度-5℃~+65℃区</w:t>
            </w:r>
            <w:r>
              <w:rPr>
                <w:rFonts w:hint="eastAsia"/>
                <w:color w:val="000000" w:themeColor="text1"/>
                <w:spacing w:val="-3"/>
                <w:sz w:val="24"/>
                <w:szCs w:val="24"/>
                <w:highlight w:val="none"/>
                <w:lang w:eastAsia="zh-CN"/>
                <w14:textFill>
                  <w14:solidFill>
                    <w14:schemeClr w14:val="tx1"/>
                  </w14:solidFill>
                </w14:textFill>
              </w:rPr>
              <w:t>间内，应能正常工作。</w:t>
            </w:r>
          </w:p>
        </w:tc>
      </w:tr>
      <w:tr w14:paraId="3887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14B6ECAF">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942" w:type="dxa"/>
            <w:noWrap w:val="0"/>
            <w:vAlign w:val="center"/>
          </w:tcPr>
          <w:p w14:paraId="571657BC">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低温性能</w:t>
            </w:r>
          </w:p>
        </w:tc>
        <w:tc>
          <w:tcPr>
            <w:tcW w:w="6379" w:type="dxa"/>
            <w:noWrap w:val="0"/>
            <w:vAlign w:val="center"/>
          </w:tcPr>
          <w:p w14:paraId="0F45F73A">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监测装置在-10℃环境中放置4小时后，应正常工作。</w:t>
            </w:r>
          </w:p>
        </w:tc>
      </w:tr>
      <w:tr w14:paraId="0ACC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6587AC96">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942" w:type="dxa"/>
            <w:noWrap w:val="0"/>
            <w:vAlign w:val="center"/>
          </w:tcPr>
          <w:p w14:paraId="4EDE2750">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高温性能</w:t>
            </w:r>
          </w:p>
        </w:tc>
        <w:tc>
          <w:tcPr>
            <w:tcW w:w="6379" w:type="dxa"/>
            <w:noWrap w:val="0"/>
            <w:vAlign w:val="center"/>
          </w:tcPr>
          <w:p w14:paraId="1EBC913E">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监测装置在80℃环境中放置4小时后，应正常工作。</w:t>
            </w:r>
          </w:p>
        </w:tc>
      </w:tr>
      <w:tr w14:paraId="3C20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14301A2C">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942" w:type="dxa"/>
            <w:noWrap w:val="0"/>
            <w:vAlign w:val="center"/>
          </w:tcPr>
          <w:p w14:paraId="6232895C">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中性盐雾测试</w:t>
            </w:r>
          </w:p>
        </w:tc>
        <w:tc>
          <w:tcPr>
            <w:tcW w:w="6379" w:type="dxa"/>
            <w:noWrap w:val="0"/>
            <w:vAlign w:val="center"/>
          </w:tcPr>
          <w:p w14:paraId="4000812C">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监测装置在中性盐雾中放置24小</w:t>
            </w:r>
            <w:r>
              <w:rPr>
                <w:rFonts w:hint="eastAsia"/>
                <w:color w:val="000000" w:themeColor="text1"/>
                <w:spacing w:val="-1"/>
                <w:sz w:val="24"/>
                <w:szCs w:val="24"/>
                <w:highlight w:val="none"/>
                <w:lang w:eastAsia="zh-CN"/>
                <w14:textFill>
                  <w14:solidFill>
                    <w14:schemeClr w14:val="tx1"/>
                  </w14:solidFill>
                </w14:textFill>
              </w:rPr>
              <w:t>时后，装置表面要求没有明显腐蚀</w:t>
            </w:r>
            <w:r>
              <w:rPr>
                <w:rFonts w:hint="eastAsia"/>
                <w:color w:val="000000" w:themeColor="text1"/>
                <w:spacing w:val="-3"/>
                <w:sz w:val="24"/>
                <w:szCs w:val="24"/>
                <w:highlight w:val="none"/>
                <w:lang w:eastAsia="zh-CN"/>
                <w14:textFill>
                  <w14:solidFill>
                    <w14:schemeClr w14:val="tx1"/>
                  </w14:solidFill>
                </w14:textFill>
              </w:rPr>
              <w:t>现象。</w:t>
            </w:r>
          </w:p>
        </w:tc>
      </w:tr>
      <w:tr w14:paraId="7E51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3A58A321">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942" w:type="dxa"/>
            <w:noWrap w:val="0"/>
            <w:vAlign w:val="center"/>
          </w:tcPr>
          <w:p w14:paraId="060AB57D">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传输方式</w:t>
            </w:r>
          </w:p>
        </w:tc>
        <w:tc>
          <w:tcPr>
            <w:tcW w:w="6379" w:type="dxa"/>
            <w:noWrap w:val="0"/>
            <w:vAlign w:val="center"/>
          </w:tcPr>
          <w:p w14:paraId="53B408C4">
            <w:pPr>
              <w:pStyle w:val="44"/>
              <w:jc w:val="left"/>
              <w:rPr>
                <w:color w:val="000000" w:themeColor="text1"/>
                <w:sz w:val="24"/>
                <w:szCs w:val="24"/>
                <w:highlight w:val="none"/>
                <w:lang w:eastAsia="zh-CN"/>
                <w14:textFill>
                  <w14:solidFill>
                    <w14:schemeClr w14:val="tx1"/>
                  </w14:solidFill>
                </w14:textFill>
              </w:rPr>
            </w:pPr>
            <w:r>
              <w:rPr>
                <w:rStyle w:val="18"/>
                <w:rFonts w:hint="eastAsia"/>
                <w:color w:val="000000" w:themeColor="text1"/>
                <w:sz w:val="24"/>
                <w:szCs w:val="24"/>
                <w:highlight w:val="none"/>
                <w:lang w:eastAsia="zh-CN"/>
                <w14:textFill>
                  <w14:solidFill>
                    <w14:schemeClr w14:val="tx1"/>
                  </w14:solidFill>
                </w14:textFill>
              </w:rPr>
              <w:t>▲</w:t>
            </w:r>
            <w:r>
              <w:rPr>
                <w:rStyle w:val="18"/>
                <w:rFonts w:hint="eastAsia" w:asciiTheme="minorHAnsi" w:hAnsiTheme="minorHAnsi" w:eastAsiaTheme="minorEastAsia"/>
                <w:color w:val="000000" w:themeColor="text1"/>
                <w:sz w:val="24"/>
                <w:szCs w:val="24"/>
                <w:highlight w:val="none"/>
                <w:lang w:eastAsia="zh-CN"/>
                <w14:textFill>
                  <w14:solidFill>
                    <w14:schemeClr w14:val="tx1"/>
                  </w14:solidFill>
                </w14:textFill>
              </w:rPr>
              <w:t>监测装置以无线的方式向蚁情采集器传输信息</w:t>
            </w:r>
            <w:r>
              <w:rPr>
                <w:rStyle w:val="18"/>
                <w:rFonts w:hint="eastAsia"/>
                <w:color w:val="000000" w:themeColor="text1"/>
                <w:sz w:val="24"/>
                <w:szCs w:val="24"/>
                <w:highlight w:val="none"/>
                <w:lang w:eastAsia="zh-CN"/>
                <w14:textFill>
                  <w14:solidFill>
                    <w14:schemeClr w14:val="tx1"/>
                  </w14:solidFill>
                </w14:textFill>
              </w:rPr>
              <w:t>（请在投标文件中提供CMA检测机构出具的检测报告原件扫描件或其他有效证明材料）。</w:t>
            </w:r>
          </w:p>
        </w:tc>
      </w:tr>
      <w:tr w14:paraId="2CCB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068A6253">
            <w:pPr>
              <w:pStyle w:val="44"/>
              <w:jc w:val="center"/>
              <w:rPr>
                <w:color w:val="000000" w:themeColor="text1"/>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10</w:t>
            </w:r>
          </w:p>
        </w:tc>
        <w:tc>
          <w:tcPr>
            <w:tcW w:w="1942" w:type="dxa"/>
            <w:noWrap w:val="0"/>
            <w:vAlign w:val="center"/>
          </w:tcPr>
          <w:p w14:paraId="48DA0DBC">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声光信息</w:t>
            </w:r>
          </w:p>
        </w:tc>
        <w:tc>
          <w:tcPr>
            <w:tcW w:w="6379" w:type="dxa"/>
            <w:noWrap w:val="0"/>
            <w:vAlign w:val="center"/>
          </w:tcPr>
          <w:p w14:paraId="69EE0B1A">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蚁情采集器监测到蚁害时，有声光</w:t>
            </w:r>
            <w:r>
              <w:rPr>
                <w:rFonts w:hint="eastAsia"/>
                <w:color w:val="000000" w:themeColor="text1"/>
                <w:spacing w:val="-2"/>
                <w:sz w:val="24"/>
                <w:szCs w:val="24"/>
                <w:highlight w:val="none"/>
                <w:lang w:eastAsia="zh-CN"/>
                <w14:textFill>
                  <w14:solidFill>
                    <w14:schemeClr w14:val="tx1"/>
                  </w14:solidFill>
                </w14:textFill>
              </w:rPr>
              <w:t>信息提示。</w:t>
            </w:r>
          </w:p>
        </w:tc>
      </w:tr>
      <w:tr w14:paraId="7FE6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210FC07E">
            <w:pPr>
              <w:pStyle w:val="44"/>
              <w:jc w:val="center"/>
              <w:rPr>
                <w:color w:val="000000" w:themeColor="text1"/>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11</w:t>
            </w:r>
          </w:p>
        </w:tc>
        <w:tc>
          <w:tcPr>
            <w:tcW w:w="1942" w:type="dxa"/>
            <w:noWrap w:val="0"/>
            <w:vAlign w:val="center"/>
          </w:tcPr>
          <w:p w14:paraId="5E7DCBF1">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连续工作时间</w:t>
            </w:r>
          </w:p>
        </w:tc>
        <w:tc>
          <w:tcPr>
            <w:tcW w:w="6379" w:type="dxa"/>
            <w:noWrap w:val="0"/>
            <w:vAlign w:val="center"/>
          </w:tcPr>
          <w:p w14:paraId="6F9340FA">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蚁情采集器连续工作时间应不低</w:t>
            </w:r>
            <w:r>
              <w:rPr>
                <w:rFonts w:hint="eastAsia"/>
                <w:color w:val="000000" w:themeColor="text1"/>
                <w:spacing w:val="-6"/>
                <w:sz w:val="24"/>
                <w:szCs w:val="24"/>
                <w:highlight w:val="none"/>
                <w:lang w:eastAsia="zh-CN"/>
                <w14:textFill>
                  <w14:solidFill>
                    <w14:schemeClr w14:val="tx1"/>
                  </w14:solidFill>
                </w14:textFill>
              </w:rPr>
              <w:t>于5h。</w:t>
            </w:r>
          </w:p>
        </w:tc>
      </w:tr>
    </w:tbl>
    <w:p w14:paraId="7D063BCF">
      <w:pPr>
        <w:pStyle w:val="43"/>
        <w:rPr>
          <w:rStyle w:val="18"/>
          <w:rFonts w:ascii="宋体" w:hAnsi="宋体" w:eastAsia="宋体" w:cs="宋体"/>
          <w:b/>
          <w:bCs/>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1701" w:num="1"/>
          <w:titlePg/>
          <w:docGrid w:linePitch="360" w:charSpace="0"/>
        </w:sectPr>
      </w:pPr>
    </w:p>
    <w:p w14:paraId="6D0B772F">
      <w:pPr>
        <w:pStyle w:val="43"/>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附件2：</w:t>
      </w:r>
    </w:p>
    <w:p w14:paraId="73B85FF6">
      <w:pPr>
        <w:pStyle w:val="43"/>
        <w:jc w:val="center"/>
        <w:rPr>
          <w:rStyle w:val="18"/>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考核细则</w:t>
      </w:r>
    </w:p>
    <w:tbl>
      <w:tblPr>
        <w:tblStyle w:val="8"/>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0"/>
        <w:gridCol w:w="4492"/>
        <w:gridCol w:w="3712"/>
        <w:gridCol w:w="855"/>
      </w:tblGrid>
      <w:tr w14:paraId="198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368" w:type="pct"/>
            <w:noWrap w:val="0"/>
            <w:tcMar>
              <w:top w:w="0" w:type="dxa"/>
              <w:left w:w="108" w:type="dxa"/>
              <w:bottom w:w="0" w:type="dxa"/>
              <w:right w:w="108" w:type="dxa"/>
            </w:tcMar>
            <w:vAlign w:val="center"/>
          </w:tcPr>
          <w:p w14:paraId="0EF9D93B">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序号</w:t>
            </w:r>
          </w:p>
        </w:tc>
        <w:tc>
          <w:tcPr>
            <w:tcW w:w="2297" w:type="pct"/>
            <w:noWrap w:val="0"/>
            <w:tcMar>
              <w:top w:w="0" w:type="dxa"/>
              <w:left w:w="108" w:type="dxa"/>
              <w:bottom w:w="0" w:type="dxa"/>
              <w:right w:w="108" w:type="dxa"/>
            </w:tcMar>
            <w:vAlign w:val="center"/>
          </w:tcPr>
          <w:p w14:paraId="391BC89D">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标准内容和要求</w:t>
            </w:r>
          </w:p>
        </w:tc>
        <w:tc>
          <w:tcPr>
            <w:tcW w:w="1898" w:type="pct"/>
            <w:noWrap w:val="0"/>
            <w:tcMar>
              <w:top w:w="0" w:type="dxa"/>
              <w:left w:w="108" w:type="dxa"/>
              <w:bottom w:w="0" w:type="dxa"/>
              <w:right w:w="108" w:type="dxa"/>
            </w:tcMar>
            <w:vAlign w:val="center"/>
          </w:tcPr>
          <w:p w14:paraId="56831B21">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评分标准</w:t>
            </w:r>
          </w:p>
        </w:tc>
        <w:tc>
          <w:tcPr>
            <w:tcW w:w="435" w:type="pct"/>
            <w:noWrap w:val="0"/>
            <w:tcMar>
              <w:top w:w="0" w:type="dxa"/>
              <w:left w:w="108" w:type="dxa"/>
              <w:bottom w:w="0" w:type="dxa"/>
              <w:right w:w="108" w:type="dxa"/>
            </w:tcMar>
            <w:vAlign w:val="center"/>
          </w:tcPr>
          <w:p w14:paraId="59F36BAA">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bCs/>
                <w:i w:val="0"/>
                <w:iCs w:val="0"/>
                <w:smallCaps w:val="0"/>
                <w:color w:val="000000" w:themeColor="text1"/>
                <w:sz w:val="24"/>
                <w:szCs w:val="24"/>
                <w:highlight w:val="none"/>
                <w:lang w:val="en-US" w:eastAsia="zh-CN"/>
                <w14:textFill>
                  <w14:solidFill>
                    <w14:schemeClr w14:val="tx1"/>
                  </w14:solidFill>
                </w14:textFill>
              </w:rPr>
              <w:t>扣分</w:t>
            </w:r>
          </w:p>
        </w:tc>
      </w:tr>
      <w:tr w14:paraId="2BBD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68" w:type="pct"/>
            <w:noWrap w:val="0"/>
            <w:tcMar>
              <w:top w:w="0" w:type="dxa"/>
              <w:left w:w="108" w:type="dxa"/>
              <w:bottom w:w="0" w:type="dxa"/>
              <w:right w:w="108" w:type="dxa"/>
            </w:tcMar>
            <w:vAlign w:val="center"/>
          </w:tcPr>
          <w:p w14:paraId="4498B78D">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1</w:t>
            </w:r>
          </w:p>
        </w:tc>
        <w:tc>
          <w:tcPr>
            <w:tcW w:w="2297" w:type="pct"/>
            <w:noWrap w:val="0"/>
            <w:tcMar>
              <w:top w:w="0" w:type="dxa"/>
              <w:left w:w="108" w:type="dxa"/>
              <w:bottom w:w="0" w:type="dxa"/>
              <w:right w:w="108" w:type="dxa"/>
            </w:tcMar>
            <w:vAlign w:val="center"/>
          </w:tcPr>
          <w:p w14:paraId="2F079378">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合同期内</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完成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治理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普查并出具合格</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报告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完成对长江重点堤防安全健康评估</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并出具报告</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5770C2D7">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2025年10月底完成</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《2024年度白蚁等害堤动物普查及治理项目》中已普查到的受害堤防</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的治理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并出具报告，未完成</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延迟一天扣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20分；2026年4月底完成2025年普查并出具报告，</w:t>
            </w:r>
            <w:r>
              <w:rPr>
                <w:rFonts w:hint="eastAsia" w:ascii="宋体" w:hAnsi="宋体" w:cs="宋体"/>
                <w:color w:val="000000" w:themeColor="text1"/>
                <w:sz w:val="24"/>
                <w:szCs w:val="24"/>
                <w:highlight w:val="none"/>
                <w:lang w:val="en-US" w:eastAsia="zh-CN"/>
                <w14:textFill>
                  <w14:solidFill>
                    <w14:schemeClr w14:val="tx1"/>
                  </w14:solidFill>
                </w14:textFill>
              </w:rPr>
              <w:t>完成对长江重点堤防安全健康评估</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并出具报告</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未完成</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延迟一天扣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46FCE828">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68BC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68" w:type="pct"/>
            <w:noWrap w:val="0"/>
            <w:tcMar>
              <w:top w:w="0" w:type="dxa"/>
              <w:left w:w="108" w:type="dxa"/>
              <w:bottom w:w="0" w:type="dxa"/>
              <w:right w:w="108" w:type="dxa"/>
            </w:tcMar>
            <w:vAlign w:val="center"/>
          </w:tcPr>
          <w:p w14:paraId="2C56646C">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2</w:t>
            </w:r>
          </w:p>
        </w:tc>
        <w:tc>
          <w:tcPr>
            <w:tcW w:w="2297" w:type="pct"/>
            <w:noWrap w:val="0"/>
            <w:tcMar>
              <w:top w:w="0" w:type="dxa"/>
              <w:left w:w="108" w:type="dxa"/>
              <w:bottom w:w="0" w:type="dxa"/>
              <w:right w:w="108" w:type="dxa"/>
            </w:tcMar>
            <w:vAlign w:val="center"/>
          </w:tcPr>
          <w:p w14:paraId="5B7FB6B1">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每次</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普查</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后按实际情况</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安装引诱桩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2100个</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，引诱装置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800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个</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3B3806A6">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引诱桩少完成一根扣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，引诱装置少完成一个扣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，电子监测装置少完成一个扣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26E92A82">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79EB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368" w:type="pct"/>
            <w:noWrap w:val="0"/>
            <w:tcMar>
              <w:top w:w="0" w:type="dxa"/>
              <w:left w:w="108" w:type="dxa"/>
              <w:bottom w:w="0" w:type="dxa"/>
              <w:right w:w="108" w:type="dxa"/>
            </w:tcMar>
            <w:vAlign w:val="center"/>
          </w:tcPr>
          <w:p w14:paraId="54FDEC0A">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3</w:t>
            </w:r>
          </w:p>
        </w:tc>
        <w:tc>
          <w:tcPr>
            <w:tcW w:w="2297" w:type="pct"/>
            <w:noWrap w:val="0"/>
            <w:tcMar>
              <w:top w:w="0" w:type="dxa"/>
              <w:left w:w="108" w:type="dxa"/>
              <w:bottom w:w="0" w:type="dxa"/>
              <w:right w:w="108" w:type="dxa"/>
            </w:tcMar>
            <w:vAlign w:val="center"/>
          </w:tcPr>
          <w:p w14:paraId="20246F02">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对《2024年度白蚁等害堤动物普查及治理项目》中已普查到的受害堤防</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及本标段的普查到的受害堤防进行治理，并埋设信息化智能预警监测装置。</w:t>
            </w:r>
          </w:p>
        </w:tc>
        <w:tc>
          <w:tcPr>
            <w:tcW w:w="1898" w:type="pct"/>
            <w:noWrap w:val="0"/>
            <w:tcMar>
              <w:top w:w="0" w:type="dxa"/>
              <w:left w:w="108" w:type="dxa"/>
              <w:bottom w:w="0" w:type="dxa"/>
              <w:right w:w="108" w:type="dxa"/>
            </w:tcMar>
            <w:vAlign w:val="center"/>
          </w:tcPr>
          <w:p w14:paraId="0345D75D">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对普查到的白蚁等害堤动物治理少一处扣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10分，埋设</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信息化智能预警监测装置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少一处扣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0D537CC6">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7E29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368" w:type="pct"/>
            <w:noWrap w:val="0"/>
            <w:tcMar>
              <w:top w:w="0" w:type="dxa"/>
              <w:left w:w="108" w:type="dxa"/>
              <w:bottom w:w="0" w:type="dxa"/>
              <w:right w:w="108" w:type="dxa"/>
            </w:tcMar>
            <w:vAlign w:val="center"/>
          </w:tcPr>
          <w:p w14:paraId="568A6120">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4</w:t>
            </w:r>
          </w:p>
        </w:tc>
        <w:tc>
          <w:tcPr>
            <w:tcW w:w="2297" w:type="pct"/>
            <w:noWrap w:val="0"/>
            <w:tcMar>
              <w:top w:w="0" w:type="dxa"/>
              <w:left w:w="108" w:type="dxa"/>
              <w:bottom w:w="0" w:type="dxa"/>
              <w:right w:w="108" w:type="dxa"/>
            </w:tcMar>
            <w:vAlign w:val="center"/>
          </w:tcPr>
          <w:p w14:paraId="16507C96">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小时内到达白蚁信息化智能监测系统的报警点进行处理。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任务响应不及时、服务态度不好、工作方法方式简单粗暴或违规违法的。</w:t>
            </w:r>
          </w:p>
        </w:tc>
        <w:tc>
          <w:tcPr>
            <w:tcW w:w="1898" w:type="pct"/>
            <w:noWrap w:val="0"/>
            <w:tcMar>
              <w:top w:w="0" w:type="dxa"/>
              <w:left w:w="108" w:type="dxa"/>
              <w:bottom w:w="0" w:type="dxa"/>
              <w:right w:w="108" w:type="dxa"/>
            </w:tcMar>
            <w:vAlign w:val="center"/>
          </w:tcPr>
          <w:p w14:paraId="6E21CDFD">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未及时响应一次扣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0475084A">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52EB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5D4CA559">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5</w:t>
            </w:r>
          </w:p>
        </w:tc>
        <w:tc>
          <w:tcPr>
            <w:tcW w:w="2297" w:type="pct"/>
            <w:noWrap w:val="0"/>
            <w:tcMar>
              <w:top w:w="0" w:type="dxa"/>
              <w:left w:w="108" w:type="dxa"/>
              <w:bottom w:w="0" w:type="dxa"/>
              <w:right w:w="108" w:type="dxa"/>
            </w:tcMar>
            <w:vAlign w:val="center"/>
          </w:tcPr>
          <w:p w14:paraId="43607FE6">
            <w:pPr>
              <w:jc w:val="left"/>
              <w:rPr>
                <w:rFonts w:hint="eastAsia"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Style w:val="18"/>
                <w:rFonts w:hint="default" w:ascii="Times New Roman" w:hAnsi="Times New Roman" w:eastAsia="宋体" w:cs="Times New Roman"/>
                <w:color w:val="000000" w:themeColor="text1"/>
                <w:sz w:val="24"/>
                <w:szCs w:val="24"/>
                <w:highlight w:val="none"/>
                <w14:textFill>
                  <w14:solidFill>
                    <w14:schemeClr w14:val="tx1"/>
                  </w14:solidFill>
                </w14:textFill>
              </w:rPr>
              <w:t>担任本项目负责人工作期间，必须每天到达现场打卡</w:t>
            </w:r>
            <w:r>
              <w:rPr>
                <w:rStyle w:val="18"/>
                <w:rFonts w:hint="eastAsia" w:ascii="Times New Roman" w:hAnsi="Times New Roman" w:cs="Times New Roman"/>
                <w:color w:val="000000" w:themeColor="text1"/>
                <w:sz w:val="24"/>
                <w:szCs w:val="24"/>
                <w:highlight w:val="none"/>
                <w:lang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27C41DE9">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少打卡一天扣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3分。</w:t>
            </w:r>
          </w:p>
        </w:tc>
        <w:tc>
          <w:tcPr>
            <w:tcW w:w="435" w:type="pct"/>
            <w:noWrap w:val="0"/>
            <w:tcMar>
              <w:top w:w="0" w:type="dxa"/>
              <w:left w:w="108" w:type="dxa"/>
              <w:bottom w:w="0" w:type="dxa"/>
              <w:right w:w="108" w:type="dxa"/>
            </w:tcMar>
            <w:vAlign w:val="center"/>
          </w:tcPr>
          <w:p w14:paraId="49615BC2">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14E5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06A98FC4">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6</w:t>
            </w:r>
          </w:p>
        </w:tc>
        <w:tc>
          <w:tcPr>
            <w:tcW w:w="2297" w:type="pct"/>
            <w:noWrap w:val="0"/>
            <w:tcMar>
              <w:top w:w="0" w:type="dxa"/>
              <w:left w:w="108" w:type="dxa"/>
              <w:bottom w:w="0" w:type="dxa"/>
              <w:right w:w="108" w:type="dxa"/>
            </w:tcMar>
            <w:vAlign w:val="center"/>
          </w:tcPr>
          <w:p w14:paraId="7C4A8961">
            <w:pPr>
              <w:pStyle w:val="45"/>
              <w:spacing w:before="100" w:after="100" w:line="240" w:lineRule="auto"/>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4"/>
                <w:szCs w:val="24"/>
                <w:highlight w:val="none"/>
                <w:shd w:val="clear" w:color="auto" w:fill="auto"/>
                <w:lang w:val="zh-CN" w:eastAsia="zh-CN" w:bidi="ar-SA"/>
                <w14:textFill>
                  <w14:solidFill>
                    <w14:schemeClr w14:val="tx1"/>
                  </w14:solidFill>
                </w14:textFill>
              </w:rPr>
              <w:t>制定项目安全实施管理措施，并严格遵守安全管理要求，</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保证自身安全</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54D1EE33">
            <w:pPr>
              <w:pStyle w:val="45"/>
              <w:spacing w:before="100" w:after="100" w:line="240" w:lineRule="auto"/>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未做到，一次扣</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7</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分</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6951EE5F">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p>
        </w:tc>
      </w:tr>
      <w:tr w14:paraId="38ED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0E9CD021">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7</w:t>
            </w:r>
          </w:p>
        </w:tc>
        <w:tc>
          <w:tcPr>
            <w:tcW w:w="2297" w:type="pct"/>
            <w:noWrap w:val="0"/>
            <w:tcMar>
              <w:top w:w="0" w:type="dxa"/>
              <w:left w:w="108" w:type="dxa"/>
              <w:bottom w:w="0" w:type="dxa"/>
              <w:right w:w="108" w:type="dxa"/>
            </w:tcMar>
            <w:vAlign w:val="center"/>
          </w:tcPr>
          <w:p w14:paraId="5B79EE3D">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按照合同规定的服务内容、服务要求、服务时限，开展技术活动，并对其承担的服务业务的真实性、客观性、科学性、准确性负责。</w:t>
            </w:r>
          </w:p>
        </w:tc>
        <w:tc>
          <w:tcPr>
            <w:tcW w:w="1898" w:type="pct"/>
            <w:noWrap w:val="0"/>
            <w:tcMar>
              <w:top w:w="0" w:type="dxa"/>
              <w:left w:w="108" w:type="dxa"/>
              <w:bottom w:w="0" w:type="dxa"/>
              <w:right w:w="108" w:type="dxa"/>
            </w:tcMar>
            <w:vAlign w:val="center"/>
          </w:tcPr>
          <w:p w14:paraId="5795012F">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未做到的，一次扣10分。</w:t>
            </w:r>
          </w:p>
        </w:tc>
        <w:tc>
          <w:tcPr>
            <w:tcW w:w="435" w:type="pct"/>
            <w:noWrap w:val="0"/>
            <w:tcMar>
              <w:top w:w="0" w:type="dxa"/>
              <w:left w:w="108" w:type="dxa"/>
              <w:bottom w:w="0" w:type="dxa"/>
              <w:right w:w="108" w:type="dxa"/>
            </w:tcMar>
            <w:vAlign w:val="center"/>
          </w:tcPr>
          <w:p w14:paraId="05995048">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0D1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6EA5294D">
            <w:pPr>
              <w:pStyle w:val="45"/>
              <w:spacing w:before="100" w:after="100" w:line="240" w:lineRule="auto"/>
              <w:jc w:val="center"/>
              <w:rPr>
                <w:rStyle w:val="9"/>
                <w:rFonts w:hint="default"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8</w:t>
            </w:r>
          </w:p>
        </w:tc>
        <w:tc>
          <w:tcPr>
            <w:tcW w:w="2297" w:type="pct"/>
            <w:noWrap w:val="0"/>
            <w:tcMar>
              <w:top w:w="0" w:type="dxa"/>
              <w:left w:w="108" w:type="dxa"/>
              <w:bottom w:w="0" w:type="dxa"/>
              <w:right w:w="108" w:type="dxa"/>
            </w:tcMar>
            <w:vAlign w:val="center"/>
          </w:tcPr>
          <w:p w14:paraId="67AB6C2C">
            <w:pPr>
              <w:jc w:val="left"/>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不得逾越工作权限；不得在</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采购人</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未知情的情况下独自开展活动；不得假借政府部门及其工作人员名义或采取不正当手段获取利益；不得借机推销产品或服务；不得进行商业贿赂或其他经济违法行为。</w:t>
            </w:r>
          </w:p>
        </w:tc>
        <w:tc>
          <w:tcPr>
            <w:tcW w:w="1898" w:type="pct"/>
            <w:noWrap w:val="0"/>
            <w:tcMar>
              <w:top w:w="0" w:type="dxa"/>
              <w:left w:w="108" w:type="dxa"/>
              <w:bottom w:w="0" w:type="dxa"/>
              <w:right w:w="108" w:type="dxa"/>
            </w:tcMar>
            <w:vAlign w:val="center"/>
          </w:tcPr>
          <w:p w14:paraId="74581E1C">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查实一次，扣10分。情节严重的，终止合同，另行处理</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340E13B1">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507B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000" w:type="pct"/>
            <w:gridSpan w:val="4"/>
            <w:noWrap w:val="0"/>
            <w:tcMar>
              <w:top w:w="0" w:type="dxa"/>
              <w:left w:w="108" w:type="dxa"/>
              <w:bottom w:w="0" w:type="dxa"/>
              <w:right w:w="108" w:type="dxa"/>
            </w:tcMar>
            <w:vAlign w:val="top"/>
          </w:tcPr>
          <w:p w14:paraId="5E25A898">
            <w:pPr>
              <w:pStyle w:val="45"/>
              <w:spacing w:after="240" w:line="240" w:lineRule="auto"/>
              <w:jc w:val="left"/>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扣</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分</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情况说明：</w:t>
            </w:r>
          </w:p>
          <w:p w14:paraId="28DF306F">
            <w:pPr>
              <w:pStyle w:val="45"/>
              <w:spacing w:before="240" w:after="240" w:line="240" w:lineRule="auto"/>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p w14:paraId="00E307D5">
            <w:pPr>
              <w:pStyle w:val="45"/>
              <w:spacing w:before="240" w:after="240" w:line="240" w:lineRule="auto"/>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p w14:paraId="22CF8000">
            <w:pPr>
              <w:pStyle w:val="45"/>
              <w:spacing w:before="240" w:after="240" w:line="240" w:lineRule="auto"/>
              <w:ind w:firstLine="504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被考核单位：</w:t>
            </w:r>
          </w:p>
          <w:p w14:paraId="63863422">
            <w:pPr>
              <w:pStyle w:val="45"/>
              <w:spacing w:before="240" w:after="240" w:line="240" w:lineRule="auto"/>
              <w:ind w:firstLine="528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考核人员：</w:t>
            </w:r>
          </w:p>
          <w:p w14:paraId="1C8A1554">
            <w:pPr>
              <w:pStyle w:val="45"/>
              <w:spacing w:before="240" w:line="240" w:lineRule="auto"/>
              <w:ind w:firstLine="576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日期：</w:t>
            </w:r>
          </w:p>
        </w:tc>
      </w:tr>
    </w:tbl>
    <w:p w14:paraId="500A6E1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t>注：采购人</w:t>
      </w:r>
      <w:r>
        <w:rPr>
          <w:rStyle w:val="18"/>
          <w:rFonts w:hint="default" w:ascii="宋体" w:hAnsi="宋体" w:eastAsia="宋体" w:cs="宋体"/>
          <w:b/>
          <w:bCs/>
          <w:color w:val="000000" w:themeColor="text1"/>
          <w:sz w:val="24"/>
          <w:szCs w:val="24"/>
          <w:highlight w:val="none"/>
          <w:lang w:val="en-US" w:eastAsia="zh-CN"/>
          <w14:textFill>
            <w14:solidFill>
              <w14:schemeClr w14:val="tx1"/>
            </w14:solidFill>
          </w14:textFill>
        </w:rPr>
        <w:t>有权在服务期内根据实际情况提出修改考核细则</w:t>
      </w:r>
      <w:r>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63BCCCF7">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856EAB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F2A9C64">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DFB957E">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F9658E1">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BEBB558">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BB3F064">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58ADCF2">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57B02E8">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F1ED0AC">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ED2BD23">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26231FF">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363C478">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050344F">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E2668BC">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A19355B">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34357A5">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851B049">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3B35BAB">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F954EEE">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714DCA0">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0FF9F0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207D4F7">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7078B92">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695FBF7">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73EAE24">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3EC0F7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EDE7FB4">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08E9C64">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0A6B76C">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00858F2">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381BE87">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F6F638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96C1B57">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B9A9740">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71D6B5E">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693A26A">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2FF03E5">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44403B5">
      <w:pPr>
        <w:pStyle w:val="43"/>
        <w:numPr>
          <w:ilvl w:val="0"/>
          <w:numId w:val="2"/>
        </w:numPr>
        <w:rPr>
          <w:rFonts w:hint="eastAsia" w:ascii="宋体" w:hAnsi="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技术要求</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采购包2</w:t>
      </w:r>
      <w:r>
        <w:rPr>
          <w:rFonts w:hint="eastAsia" w:ascii="宋体" w:hAnsi="宋体" w:cs="宋体"/>
          <w:b/>
          <w:color w:val="000000" w:themeColor="text1"/>
          <w:sz w:val="28"/>
          <w:szCs w:val="28"/>
          <w:highlight w:val="none"/>
          <w:lang w:eastAsia="zh-CN"/>
          <w14:textFill>
            <w14:solidFill>
              <w14:schemeClr w14:val="tx1"/>
            </w14:solidFill>
          </w14:textFill>
        </w:rPr>
        <w:t>）</w:t>
      </w:r>
    </w:p>
    <w:tbl>
      <w:tblPr>
        <w:tblStyle w:val="8"/>
        <w:tblW w:w="50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8" w:type="dxa"/>
          <w:bottom w:w="100" w:type="dxa"/>
          <w:right w:w="108" w:type="dxa"/>
        </w:tblCellMar>
      </w:tblPr>
      <w:tblGrid>
        <w:gridCol w:w="577"/>
        <w:gridCol w:w="1300"/>
        <w:gridCol w:w="8261"/>
      </w:tblGrid>
      <w:tr w14:paraId="7DBB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shd w:val="clear" w:color="auto" w:fill="B5C7EA" w:themeFill="accent1" w:themeFillTint="66"/>
            <w:noWrap/>
            <w:tcMar>
              <w:top w:w="100" w:type="dxa"/>
              <w:bottom w:w="100" w:type="dxa"/>
            </w:tcMar>
            <w:vAlign w:val="center"/>
          </w:tcPr>
          <w:p w14:paraId="5201272E">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序号</w:t>
            </w:r>
          </w:p>
        </w:tc>
        <w:tc>
          <w:tcPr>
            <w:tcW w:w="1300" w:type="dxa"/>
            <w:shd w:val="clear" w:color="auto" w:fill="B5C7EA" w:themeFill="accent1" w:themeFillTint="66"/>
            <w:noWrap/>
            <w:tcMar>
              <w:top w:w="100" w:type="dxa"/>
              <w:bottom w:w="100" w:type="dxa"/>
            </w:tcMar>
            <w:vAlign w:val="center"/>
          </w:tcPr>
          <w:p w14:paraId="10266BC4">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名称</w:t>
            </w:r>
          </w:p>
        </w:tc>
        <w:tc>
          <w:tcPr>
            <w:tcW w:w="8261" w:type="dxa"/>
            <w:shd w:val="clear" w:color="auto" w:fill="B5C7EA" w:themeFill="accent1" w:themeFillTint="66"/>
            <w:noWrap/>
            <w:tcMar>
              <w:top w:w="100" w:type="dxa"/>
              <w:bottom w:w="100" w:type="dxa"/>
            </w:tcMar>
            <w:vAlign w:val="center"/>
          </w:tcPr>
          <w:p w14:paraId="4E874339">
            <w:pPr>
              <w:pStyle w:val="40"/>
              <w:keepNext w:val="0"/>
              <w:keepLines w:val="0"/>
              <w:pageBreakBefore w:val="0"/>
              <w:widowControl/>
              <w:jc w:val="center"/>
              <w:rPr>
                <w:rStyle w:val="18"/>
                <w:rFonts w:ascii="宋体" w:hAnsi="宋体" w:eastAsia="宋体" w:cs="宋体"/>
                <w:b/>
                <w:bCs/>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14:textFill>
                  <w14:solidFill>
                    <w14:schemeClr w14:val="tx1"/>
                  </w14:solidFill>
                </w14:textFill>
              </w:rPr>
              <w:t>内容</w:t>
            </w:r>
          </w:p>
        </w:tc>
      </w:tr>
      <w:tr w14:paraId="1EF9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noWrap/>
            <w:tcMar>
              <w:top w:w="100" w:type="dxa"/>
              <w:bottom w:w="100" w:type="dxa"/>
            </w:tcMar>
            <w:vAlign w:val="center"/>
          </w:tcPr>
          <w:p w14:paraId="1BEE2C00">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1</w:t>
            </w:r>
          </w:p>
        </w:tc>
        <w:tc>
          <w:tcPr>
            <w:tcW w:w="1300" w:type="dxa"/>
            <w:noWrap/>
            <w:tcMar>
              <w:top w:w="100" w:type="dxa"/>
              <w:bottom w:w="100" w:type="dxa"/>
            </w:tcMar>
            <w:vAlign w:val="center"/>
          </w:tcPr>
          <w:p w14:paraId="28B6166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项目概况</w:t>
            </w:r>
          </w:p>
        </w:tc>
        <w:tc>
          <w:tcPr>
            <w:tcW w:w="8261" w:type="dxa"/>
            <w:noWrap/>
            <w:tcMar>
              <w:top w:w="100" w:type="dxa"/>
              <w:bottom w:w="100" w:type="dxa"/>
            </w:tcMar>
            <w:vAlign w:val="center"/>
          </w:tcPr>
          <w:p w14:paraId="4125592D">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对本</w:t>
            </w:r>
            <w:r>
              <w:rPr>
                <w:rStyle w:val="18"/>
                <w:rFonts w:hint="eastAsia" w:ascii="宋体" w:hAnsi="宋体" w:eastAsia="宋体" w:cs="宋体"/>
                <w:color w:val="000000" w:themeColor="text1"/>
                <w:highlight w:val="none"/>
                <w14:textFill>
                  <w14:solidFill>
                    <w14:schemeClr w14:val="tx1"/>
                  </w14:solidFill>
                </w14:textFill>
              </w:rPr>
              <w:t>标段的</w:t>
            </w:r>
            <w:r>
              <w:rPr>
                <w:rStyle w:val="18"/>
                <w:rFonts w:hint="eastAsia" w:ascii="宋体" w:hAnsi="宋体" w:eastAsia="宋体" w:cs="宋体"/>
                <w:color w:val="000000" w:themeColor="text1"/>
                <w:highlight w:val="none"/>
                <w:lang w:val="en-US" w:eastAsia="zh-CN"/>
                <w14:textFill>
                  <w14:solidFill>
                    <w14:schemeClr w14:val="tx1"/>
                  </w14:solidFill>
                </w14:textFill>
              </w:rPr>
              <w:t>张家港市长江及市级河道各级别水利堤防进行白蚁等害堤动物普查及治理。对项目范围内的沿线堤防进行拉网式普查，在白蚁等害堤动物危害区域设置标记牌，详细记录普查区域段的白蚁与其他害堤动物危害等级情况，制定出目前整个白蚁与其他害堤动物危害等级</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的</w:t>
            </w:r>
            <w:r>
              <w:rPr>
                <w:rStyle w:val="18"/>
                <w:rFonts w:hint="eastAsia" w:ascii="宋体" w:hAnsi="宋体" w:eastAsia="宋体" w:cs="宋体"/>
                <w:color w:val="000000" w:themeColor="text1"/>
                <w:highlight w:val="none"/>
                <w:lang w:val="en-US" w:eastAsia="zh-CN"/>
                <w14:textFill>
                  <w14:solidFill>
                    <w14:schemeClr w14:val="tx1"/>
                  </w14:solidFill>
                </w14:textFill>
              </w:rPr>
              <w:t>详细报告，并对堤防内存在的白蚁等害堤动物进行防治处理，编写害堤动物防治报告。</w:t>
            </w:r>
          </w:p>
        </w:tc>
      </w:tr>
      <w:tr w14:paraId="60E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restart"/>
            <w:noWrap/>
            <w:tcMar>
              <w:top w:w="100" w:type="dxa"/>
              <w:bottom w:w="100" w:type="dxa"/>
            </w:tcMar>
            <w:vAlign w:val="center"/>
          </w:tcPr>
          <w:p w14:paraId="7717EC06">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2</w:t>
            </w:r>
          </w:p>
        </w:tc>
        <w:tc>
          <w:tcPr>
            <w:tcW w:w="1300" w:type="dxa"/>
            <w:vMerge w:val="restart"/>
            <w:noWrap/>
            <w:tcMar>
              <w:top w:w="100" w:type="dxa"/>
              <w:bottom w:w="100" w:type="dxa"/>
            </w:tcMar>
            <w:vAlign w:val="center"/>
          </w:tcPr>
          <w:p w14:paraId="457E3AA1">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ascii="宋体" w:hAnsi="宋体" w:eastAsia="宋体" w:cs="宋体"/>
                <w:color w:val="000000" w:themeColor="text1"/>
                <w:highlight w:val="none"/>
                <w14:textFill>
                  <w14:solidFill>
                    <w14:schemeClr w14:val="tx1"/>
                  </w14:solidFill>
                </w14:textFill>
              </w:rPr>
              <w:t>实施</w:t>
            </w:r>
            <w:r>
              <w:rPr>
                <w:rStyle w:val="18"/>
                <w:rFonts w:hint="eastAsia" w:ascii="宋体" w:hAnsi="宋体" w:eastAsia="宋体" w:cs="宋体"/>
                <w:color w:val="000000" w:themeColor="text1"/>
                <w:highlight w:val="none"/>
                <w14:textFill>
                  <w14:solidFill>
                    <w14:schemeClr w14:val="tx1"/>
                  </w14:solidFill>
                </w14:textFill>
              </w:rPr>
              <w:t>要求</w:t>
            </w:r>
          </w:p>
        </w:tc>
        <w:tc>
          <w:tcPr>
            <w:tcW w:w="8261" w:type="dxa"/>
            <w:noWrap/>
            <w:tcMar>
              <w:top w:w="100" w:type="dxa"/>
              <w:bottom w:w="100" w:type="dxa"/>
            </w:tcMar>
            <w:vAlign w:val="center"/>
          </w:tcPr>
          <w:p w14:paraId="69985DBB">
            <w:pPr>
              <w:pStyle w:val="40"/>
              <w:keepNext w:val="0"/>
              <w:keepLines w:val="0"/>
              <w:pageBreakBefore w:val="0"/>
              <w:widowControl/>
              <w:numPr>
                <w:ilvl w:val="0"/>
                <w:numId w:val="1"/>
              </w:numPr>
              <w:rPr>
                <w:rStyle w:val="18"/>
                <w:rFonts w:hint="eastAsia"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按照《江苏省堤坝白蚁防治办法》、《堤坝白蚁防治技术规程》和《水利工程白蚁防治技术指南（试行）》开展</w:t>
            </w:r>
            <w:r>
              <w:rPr>
                <w:rStyle w:val="18"/>
                <w:rFonts w:hint="eastAsia" w:ascii="宋体" w:hAnsi="宋体" w:eastAsia="宋体" w:cs="宋体"/>
                <w:color w:val="000000" w:themeColor="text1"/>
                <w:highlight w:val="none"/>
                <w:lang w:val="en-US" w:eastAsia="zh-CN"/>
                <w14:textFill>
                  <w14:solidFill>
                    <w14:schemeClr w14:val="tx1"/>
                  </w14:solidFill>
                </w14:textFill>
              </w:rPr>
              <w:t>项目范围</w:t>
            </w:r>
            <w:r>
              <w:rPr>
                <w:rStyle w:val="18"/>
                <w:rFonts w:hint="eastAsia" w:ascii="宋体" w:hAnsi="宋体" w:eastAsia="宋体" w:cs="宋体"/>
                <w:color w:val="000000" w:themeColor="text1"/>
                <w:highlight w:val="none"/>
                <w14:textFill>
                  <w14:solidFill>
                    <w14:schemeClr w14:val="tx1"/>
                  </w14:solidFill>
                </w14:textFill>
              </w:rPr>
              <w:t>内堤防白蚁等害堤动物普查及防治处理，内容包括：对白蚁外露特征、白蚁活动痕迹查找、判断分布范围及深度、确定白蚁等害堤动物危害等级、对普查发现白蚁危害严重区域进行诱杀、埋设引诱〈堆〉桩、埋设部分信息化智能监测装置、诱杀剂投放、蚁道灌浆、机械打孔灌浆、巢位确定、破巢开挖、蚁患处土方夯实回填、獾等害堤动物普查及治理等相关工作；中标人须提供白蚁等害堤动物普查及防治台账（日常工作检查记录、采食检查记录、图纸图片资料汇总、总结、验收报告等）。</w:t>
            </w:r>
          </w:p>
        </w:tc>
      </w:tr>
      <w:tr w14:paraId="6CBA6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397B4C03">
            <w:pPr>
              <w:pStyle w:val="40"/>
              <w:keepNext w:val="0"/>
              <w:keepLines w:val="0"/>
              <w:pageBreakBefore w:val="0"/>
              <w:widowControl/>
              <w:jc w:val="center"/>
              <w:rPr>
                <w:rStyle w:val="18"/>
                <w:rFonts w:hint="eastAsia"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608383F">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6140043F">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val="en-US" w:eastAsia="zh-CN"/>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（2）中标人须对《2024年度白蚁等害堤动物普查及治理项目》中已普查到的受害堤防实施治理，并开展白蚁等害堤动物普查工作，具体工作量如下：</w:t>
            </w:r>
          </w:p>
          <w:tbl>
            <w:tblPr>
              <w:tblStyle w:val="8"/>
              <w:tblW w:w="794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838"/>
              <w:gridCol w:w="839"/>
              <w:gridCol w:w="992"/>
              <w:gridCol w:w="954"/>
              <w:gridCol w:w="2848"/>
            </w:tblGrid>
            <w:tr w14:paraId="5D17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9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FB93">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二标段</w:t>
                  </w:r>
                </w:p>
              </w:tc>
            </w:tr>
            <w:tr w14:paraId="19BC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9B050">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49762">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二标段</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4FEC3">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堤防等级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6AB44">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对</w:t>
                  </w: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20</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24年</w:t>
                  </w: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受害堤防</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治理工作量/km</w:t>
                  </w:r>
                </w:p>
              </w:tc>
              <w:tc>
                <w:tcPr>
                  <w:tcW w:w="954" w:type="dxa"/>
                  <w:tcBorders>
                    <w:top w:val="single" w:color="000000" w:sz="4" w:space="0"/>
                    <w:left w:val="nil"/>
                    <w:bottom w:val="single" w:color="000000" w:sz="4" w:space="0"/>
                    <w:right w:val="single" w:color="000000" w:sz="4" w:space="0"/>
                  </w:tcBorders>
                  <w:shd w:val="clear" w:color="auto" w:fill="auto"/>
                  <w:noWrap w:val="0"/>
                  <w:vAlign w:val="center"/>
                </w:tcPr>
                <w:p w14:paraId="2D1B323B">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bidi="ar"/>
                      <w14:textFill>
                        <w14:solidFill>
                          <w14:schemeClr w14:val="tx1"/>
                        </w14:solidFill>
                      </w14:textFill>
                    </w:rPr>
                    <w:t>白蚁等害堤动物</w:t>
                  </w: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普查工作量/km</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1BBA1">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备注</w:t>
                  </w:r>
                </w:p>
              </w:tc>
            </w:tr>
            <w:tr w14:paraId="3333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7314">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CA58">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市区市级河道</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C087">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71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259">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12.38</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0D15">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包括东横河、环城河、新市河市区段</w:t>
                  </w:r>
                </w:p>
              </w:tc>
            </w:tr>
            <w:tr w14:paraId="0F4B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324C">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F431">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东横河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9411">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2511">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CEBB">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43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101D6">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自江阴界始，至二干河止</w:t>
                  </w:r>
                </w:p>
              </w:tc>
            </w:tr>
            <w:tr w14:paraId="407F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1CED">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E6E2">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十字港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1B78">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28AA">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78F6">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13.18</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E11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66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9305">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D539">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十太港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F07B">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41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C9F">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8.2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4E57C">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自十字港始，至太字圩港止</w:t>
                  </w:r>
                </w:p>
              </w:tc>
            </w:tr>
            <w:tr w14:paraId="4840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32CC">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A235">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老套港（五节桥港）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6744">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3A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D3A7">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9</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C9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F2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730">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6</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B3E9">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护漕港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0F9B">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3C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6BFB">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15.6</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EC4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0D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EA0E">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6D0">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太字圩港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7AC1">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ECBA">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6ECC">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23.4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1F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5E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D39D">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2F12">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二干河（十一圩港）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F29B">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44ED">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9C99">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42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F30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7B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9A56">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9</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15AF">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南横套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276">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278E">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0EED">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48.94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795C6">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自张家港河始，至四干河止</w:t>
                  </w:r>
                </w:p>
              </w:tc>
            </w:tr>
            <w:tr w14:paraId="5A33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5E5B">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03B8">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张家港河（金港段）</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B7ED">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64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FA9">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19.3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C6E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17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E7B">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8E35">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一干河—新市河—新沙河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99AF">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5级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28FF">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59F">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47.8</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4F1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AB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08FA">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B50F">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朝东圩港</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1575">
                  <w:pPr>
                    <w:keepNext w:val="0"/>
                    <w:keepLines w:val="0"/>
                    <w:widowControl/>
                    <w:suppressLineNumbers w:val="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bidi="ar"/>
                      <w14:textFill>
                        <w14:solidFill>
                          <w14:schemeClr w14:val="tx1"/>
                        </w14:solidFill>
                      </w14:textFill>
                    </w:rPr>
                    <w:t>3级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2E90">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BA7">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39.6</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3F5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02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1AF1">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13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D3A2">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长江（一干河西面）</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4C46">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2级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F85">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66.49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89D8">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66.49</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44E09">
                  <w:pPr>
                    <w:keepNext w:val="0"/>
                    <w:keepLines w:val="0"/>
                    <w:widowControl/>
                    <w:suppressLineNumbers w:val="0"/>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bidi="ar"/>
                      <w14:textFill>
                        <w14:solidFill>
                          <w14:schemeClr w14:val="tx1"/>
                        </w14:solidFill>
                      </w14:textFill>
                    </w:rPr>
                    <w:t>自江阴界始，至一干河止，包含港堤、双山岛堤</w:t>
                  </w:r>
                </w:p>
              </w:tc>
            </w:tr>
          </w:tbl>
          <w:p w14:paraId="254DE307">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val="en-US" w:eastAsia="zh-CN"/>
                <w14:textFill>
                  <w14:solidFill>
                    <w14:schemeClr w14:val="tx1"/>
                  </w14:solidFill>
                </w14:textFill>
              </w:rPr>
            </w:pPr>
          </w:p>
        </w:tc>
      </w:tr>
      <w:tr w14:paraId="0330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4365DF4C">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6CC5920">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0CB6287C">
            <w:pPr>
              <w:pStyle w:val="40"/>
              <w:keepNext w:val="0"/>
              <w:keepLines w:val="0"/>
              <w:pageBreakBefore w:val="0"/>
              <w:widowControl/>
              <w:numPr>
                <w:ilvl w:val="0"/>
                <w:numId w:val="0"/>
              </w:numPr>
              <w:rPr>
                <w:rStyle w:val="18"/>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i/>
                <w:i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3）</w:t>
            </w:r>
            <w:r>
              <w:rPr>
                <w:rFonts w:hint="eastAsia" w:ascii="宋体" w:hAnsi="宋体" w:cs="宋体"/>
                <w:i/>
                <w:iCs/>
                <w:color w:val="000000" w:themeColor="text1"/>
                <w:sz w:val="24"/>
                <w:szCs w:val="24"/>
                <w:highlight w:val="none"/>
                <w:u w:val="single"/>
                <w14:textFill>
                  <w14:solidFill>
                    <w14:schemeClr w14:val="tx1"/>
                  </w14:solidFill>
                </w14:textFill>
              </w:rPr>
              <w:t>合同签订之日起至2026年4月30日止（2025年10月底前完成对《2024年度</w:t>
            </w: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白蚁等</w:t>
            </w:r>
            <w:r>
              <w:rPr>
                <w:rFonts w:hint="eastAsia" w:ascii="宋体" w:hAnsi="宋体" w:cs="宋体"/>
                <w:i/>
                <w:iCs/>
                <w:color w:val="000000" w:themeColor="text1"/>
                <w:sz w:val="24"/>
                <w:szCs w:val="24"/>
                <w:highlight w:val="none"/>
                <w:u w:val="single"/>
                <w14:textFill>
                  <w14:solidFill>
                    <w14:schemeClr w14:val="tx1"/>
                  </w14:solidFill>
                </w14:textFill>
              </w:rPr>
              <w:t>害堤动物普查及治理项目》中已普查到的受害堤防的治理并出具报告。2026年4月底前完</w:t>
            </w: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成</w:t>
            </w:r>
            <w:r>
              <w:rPr>
                <w:rFonts w:hint="eastAsia" w:ascii="宋体" w:hAnsi="宋体" w:cs="宋体"/>
                <w:i/>
                <w:iCs/>
                <w:color w:val="000000" w:themeColor="text1"/>
                <w:sz w:val="24"/>
                <w:szCs w:val="24"/>
                <w:highlight w:val="none"/>
                <w:u w:val="single"/>
                <w14:textFill>
                  <w14:solidFill>
                    <w14:schemeClr w14:val="tx1"/>
                  </w14:solidFill>
                </w14:textFill>
              </w:rPr>
              <w:t>本标段堤防的普查并出具报告）。</w:t>
            </w:r>
            <w:r>
              <w:rPr>
                <w:rStyle w:val="18"/>
                <w:rFonts w:hint="eastAsia" w:ascii="宋体" w:hAnsi="宋体" w:eastAsia="宋体" w:cs="宋体"/>
                <w:color w:val="000000" w:themeColor="text1"/>
                <w:highlight w:val="none"/>
                <w14:textFill>
                  <w14:solidFill>
                    <w14:schemeClr w14:val="tx1"/>
                  </w14:solidFill>
                </w14:textFill>
              </w:rPr>
              <w:t>对确定有白蚁等害堤动物活动区域设置引诱桩、埋设地下引诱装置、安装地下型信息化智能预警监测装置；并提供诱杀剂投放、蚁道灌浆、机械打孔灌浆、巢位确定、破巢开挖、蚁患处土方夯实回填、安装地下型信息化智能预警监测装置。</w:t>
            </w:r>
          </w:p>
        </w:tc>
      </w:tr>
      <w:tr w14:paraId="60DA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6239B5B5">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509E031">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43AB7BD3">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4</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投标人拟投入本项目</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的项目负责人</w:t>
            </w:r>
            <w:r>
              <w:rPr>
                <w:rStyle w:val="18"/>
                <w:rFonts w:hint="eastAsia" w:ascii="宋体" w:hAnsi="宋体" w:eastAsia="宋体" w:cs="宋体"/>
                <w:i/>
                <w:iCs/>
                <w:color w:val="000000" w:themeColor="text1"/>
                <w:highlight w:val="none"/>
                <w:u w:val="single"/>
                <w14:textFill>
                  <w14:solidFill>
                    <w14:schemeClr w14:val="tx1"/>
                  </w14:solidFill>
                </w14:textFill>
              </w:rPr>
              <w:t>负责人必须为投标人正式员工，具有负责或参与过类似项目的经验</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请在投标文件中提供验收报告原件扫描件</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，具有省级（含）以上白蚁防治中心培训的从业人员证或相关</w:t>
            </w:r>
            <w:r>
              <w:rPr>
                <w:rStyle w:val="18"/>
                <w:rFonts w:hint="eastAsia" w:ascii="宋体" w:hAnsi="宋体" w:eastAsia="宋体" w:cs="宋体"/>
                <w:color w:val="000000" w:themeColor="text1"/>
                <w:highlight w:val="none"/>
                <w:lang w:val="en-US" w:eastAsia="zh-CN"/>
                <w14:textFill>
                  <w14:solidFill>
                    <w14:schemeClr w14:val="tx1"/>
                  </w14:solidFill>
                </w14:textFill>
              </w:rPr>
              <w:t>机构颁发的白蚁防治能力证书</w:t>
            </w:r>
            <w:r>
              <w:rPr>
                <w:rStyle w:val="18"/>
                <w:rFonts w:hint="eastAsia" w:ascii="宋体" w:hAnsi="宋体" w:eastAsia="宋体" w:cs="宋体"/>
                <w:color w:val="000000" w:themeColor="text1"/>
                <w:highlight w:val="none"/>
                <w14:textFill>
                  <w14:solidFill>
                    <w14:schemeClr w14:val="tx1"/>
                  </w14:solidFill>
                </w14:textFill>
              </w:rPr>
              <w:t>，担任本项目负责人工作期间，必须每天到达现场打卡，在服务合同约定期间，采购人根据项目需要有权要求项目负责人随时到达项目现场配合采购人完成项目工作。</w:t>
            </w:r>
          </w:p>
        </w:tc>
      </w:tr>
      <w:tr w14:paraId="3E0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40E9D037">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1B2EA76">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4D9CD202">
            <w:pPr>
              <w:pStyle w:val="40"/>
              <w:keepNext w:val="0"/>
              <w:keepLines w:val="0"/>
              <w:pageBreakBefore w:val="0"/>
              <w:widowControl/>
              <w:numPr>
                <w:ilvl w:val="0"/>
                <w:numId w:val="0"/>
              </w:numPr>
              <w:rPr>
                <w:rStyle w:val="18"/>
                <w:rFonts w:hint="default" w:ascii="宋体" w:hAnsi="宋体" w:eastAsia="宋体" w:cs="宋体"/>
                <w:color w:val="000000" w:themeColor="text1"/>
                <w:highlight w:val="none"/>
                <w:lang w:val="en-US"/>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5</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对《2024年度害堤动物普查及治理项目》中已普查到的受害堤防</w:t>
            </w:r>
            <w:r>
              <w:rPr>
                <w:rStyle w:val="18"/>
                <w:rFonts w:hint="eastAsia" w:ascii="宋体" w:hAnsi="宋体" w:eastAsia="宋体" w:cs="宋体"/>
                <w:color w:val="000000" w:themeColor="text1"/>
                <w:highlight w:val="none"/>
                <w:lang w:eastAsia="zh-CN"/>
                <w14:textFill>
                  <w14:solidFill>
                    <w14:schemeClr w14:val="tx1"/>
                  </w14:solidFill>
                </w14:textFill>
              </w:rPr>
              <w:t>实施系统性治理</w:t>
            </w:r>
            <w:r>
              <w:rPr>
                <w:rStyle w:val="18"/>
                <w:rFonts w:hint="eastAsia" w:ascii="宋体" w:hAnsi="宋体" w:eastAsia="宋体" w:cs="宋体"/>
                <w:color w:val="000000" w:themeColor="text1"/>
                <w:highlight w:val="none"/>
                <w:lang w:val="en-US" w:eastAsia="zh-CN"/>
                <w14:textFill>
                  <w14:solidFill>
                    <w14:schemeClr w14:val="tx1"/>
                  </w14:solidFill>
                </w14:textFill>
              </w:rPr>
              <w:t>，</w:t>
            </w:r>
            <w:r>
              <w:rPr>
                <w:rStyle w:val="18"/>
                <w:rFonts w:hint="eastAsia" w:ascii="宋体" w:hAnsi="宋体" w:eastAsia="宋体" w:cs="宋体"/>
                <w:color w:val="000000" w:themeColor="text1"/>
                <w:highlight w:val="none"/>
                <w:lang w:eastAsia="zh-CN"/>
                <w14:textFill>
                  <w14:solidFill>
                    <w14:schemeClr w14:val="tx1"/>
                  </w14:solidFill>
                </w14:textFill>
              </w:rPr>
              <w:t>具体包括以下工作内容：</w:t>
            </w:r>
            <w:r>
              <w:rPr>
                <w:rStyle w:val="18"/>
                <w:rFonts w:hint="eastAsia" w:ascii="宋体" w:hAnsi="宋体" w:eastAsia="宋体" w:cs="宋体"/>
                <w:color w:val="000000" w:themeColor="text1"/>
                <w:highlight w:val="none"/>
                <w:lang w:val="en-US" w:eastAsia="zh-CN"/>
                <w14:textFill>
                  <w14:solidFill>
                    <w14:schemeClr w14:val="tx1"/>
                  </w14:solidFill>
                </w14:textFill>
              </w:rPr>
              <w:t>1、</w:t>
            </w:r>
            <w:r>
              <w:rPr>
                <w:rStyle w:val="18"/>
                <w:rFonts w:hint="eastAsia" w:ascii="宋体" w:hAnsi="宋体" w:eastAsia="宋体" w:cs="宋体"/>
                <w:color w:val="000000" w:themeColor="text1"/>
                <w:highlight w:val="none"/>
                <w:lang w:eastAsia="zh-CN"/>
                <w14:textFill>
                  <w14:solidFill>
                    <w14:schemeClr w14:val="tx1"/>
                  </w14:solidFill>
                </w14:textFill>
              </w:rPr>
              <w:t>‌复查</w:t>
            </w:r>
            <w:r>
              <w:rPr>
                <w:rStyle w:val="18"/>
                <w:rFonts w:hint="eastAsia" w:ascii="宋体" w:hAnsi="宋体" w:eastAsia="宋体" w:cs="宋体"/>
                <w:color w:val="000000" w:themeColor="text1"/>
                <w:highlight w:val="none"/>
                <w:lang w:val="en-US" w:eastAsia="zh-CN"/>
                <w14:textFill>
                  <w14:solidFill>
                    <w14:schemeClr w14:val="tx1"/>
                  </w14:solidFill>
                </w14:textFill>
              </w:rPr>
              <w:t>核查</w:t>
            </w:r>
            <w:r>
              <w:rPr>
                <w:rStyle w:val="18"/>
                <w:rFonts w:hint="eastAsia" w:ascii="宋体" w:hAnsi="宋体" w:eastAsia="宋体" w:cs="宋体"/>
                <w:color w:val="000000" w:themeColor="text1"/>
                <w:highlight w:val="none"/>
                <w:lang w:eastAsia="zh-CN"/>
                <w14:textFill>
                  <w14:solidFill>
                    <w14:schemeClr w14:val="tx1"/>
                  </w14:solidFill>
                </w14:textFill>
              </w:rPr>
              <w:t>工作：沿着堤防一字行排开，运用人工普查法、引诱法、仪器探测法等方式，对临、背河两侧、背河堤脚外 20m 采用拉网式检查，</w:t>
            </w:r>
            <w:r>
              <w:rPr>
                <w:rStyle w:val="18"/>
                <w:rFonts w:hint="eastAsia" w:ascii="宋体" w:hAnsi="宋体" w:eastAsia="宋体" w:cs="宋体"/>
                <w:color w:val="000000" w:themeColor="text1"/>
                <w:highlight w:val="none"/>
                <w14:textFill>
                  <w14:solidFill>
                    <w14:schemeClr w14:val="tx1"/>
                  </w14:solidFill>
                </w14:textFill>
              </w:rPr>
              <w:t>查清各危害堤防的白蚁</w:t>
            </w:r>
            <w:r>
              <w:rPr>
                <w:rStyle w:val="18"/>
                <w:rFonts w:hint="eastAsia" w:ascii="宋体" w:hAnsi="宋体" w:eastAsia="宋体" w:cs="宋体"/>
                <w:color w:val="000000" w:themeColor="text1"/>
                <w:highlight w:val="none"/>
                <w:lang w:val="en-US" w:eastAsia="zh-CN"/>
                <w14:textFill>
                  <w14:solidFill>
                    <w14:schemeClr w14:val="tx1"/>
                  </w14:solidFill>
                </w14:textFill>
              </w:rPr>
              <w:t>等害堤动物</w:t>
            </w:r>
            <w:r>
              <w:rPr>
                <w:rStyle w:val="18"/>
                <w:rFonts w:hint="eastAsia" w:ascii="宋体" w:hAnsi="宋体" w:eastAsia="宋体" w:cs="宋体"/>
                <w:color w:val="000000" w:themeColor="text1"/>
                <w:highlight w:val="none"/>
                <w14:textFill>
                  <w14:solidFill>
                    <w14:schemeClr w14:val="tx1"/>
                  </w14:solidFill>
                </w14:textFill>
              </w:rPr>
              <w:t>种类、位置及危害等级</w:t>
            </w:r>
            <w:r>
              <w:rPr>
                <w:rStyle w:val="18"/>
                <w:rFonts w:hint="eastAsia" w:ascii="宋体" w:hAnsi="宋体" w:eastAsia="宋体" w:cs="宋体"/>
                <w:color w:val="000000" w:themeColor="text1"/>
                <w:highlight w:val="none"/>
                <w:lang w:val="en-US" w:eastAsia="zh-CN"/>
                <w14:textFill>
                  <w14:solidFill>
                    <w14:schemeClr w14:val="tx1"/>
                  </w14:solidFill>
                </w14:textFill>
              </w:rPr>
              <w:t>情况</w:t>
            </w:r>
            <w:r>
              <w:rPr>
                <w:rStyle w:val="18"/>
                <w:rFonts w:hint="eastAsia" w:ascii="宋体" w:hAnsi="宋体" w:eastAsia="宋体" w:cs="宋体"/>
                <w:color w:val="000000" w:themeColor="text1"/>
                <w:highlight w:val="none"/>
                <w14:textFill>
                  <w14:solidFill>
                    <w14:schemeClr w14:val="tx1"/>
                  </w14:solidFill>
                </w14:textFill>
              </w:rPr>
              <w:t>，做好标示记录，</w:t>
            </w:r>
            <w:r>
              <w:rPr>
                <w:rStyle w:val="18"/>
                <w:rFonts w:hint="eastAsia" w:ascii="宋体" w:hAnsi="宋体" w:eastAsia="宋体" w:cs="宋体"/>
                <w:color w:val="000000" w:themeColor="text1"/>
                <w:highlight w:val="none"/>
                <w:lang w:eastAsia="zh-CN"/>
                <w14:textFill>
                  <w14:solidFill>
                    <w14:schemeClr w14:val="tx1"/>
                  </w14:solidFill>
                </w14:textFill>
              </w:rPr>
              <w:t>同时检查獾、鼠、蛇等害堤动物，</w:t>
            </w:r>
            <w:r>
              <w:rPr>
                <w:rStyle w:val="18"/>
                <w:rFonts w:hint="eastAsia" w:ascii="宋体" w:hAnsi="宋体" w:eastAsia="宋体" w:cs="宋体"/>
                <w:color w:val="000000" w:themeColor="text1"/>
                <w:highlight w:val="none"/>
                <w:lang w:val="en-US" w:eastAsia="zh-CN"/>
                <w14:textFill>
                  <w14:solidFill>
                    <w14:schemeClr w14:val="tx1"/>
                  </w14:solidFill>
                </w14:textFill>
              </w:rPr>
              <w:t>并</w:t>
            </w:r>
            <w:r>
              <w:rPr>
                <w:rStyle w:val="18"/>
                <w:rFonts w:hint="eastAsia" w:ascii="宋体" w:hAnsi="宋体" w:eastAsia="宋体" w:cs="宋体"/>
                <w:color w:val="000000" w:themeColor="text1"/>
                <w:highlight w:val="none"/>
                <w:lang w:eastAsia="zh-CN"/>
                <w14:textFill>
                  <w14:solidFill>
                    <w14:schemeClr w14:val="tx1"/>
                  </w14:solidFill>
                </w14:textFill>
              </w:rPr>
              <w:t>对新发现区域进行</w:t>
            </w:r>
            <w:r>
              <w:rPr>
                <w:rStyle w:val="18"/>
                <w:rFonts w:hint="eastAsia" w:ascii="宋体" w:hAnsi="宋体" w:eastAsia="宋体" w:cs="宋体"/>
                <w:color w:val="000000" w:themeColor="text1"/>
                <w:highlight w:val="none"/>
                <w:lang w:val="en-US" w:eastAsia="zh-CN"/>
                <w14:textFill>
                  <w14:solidFill>
                    <w14:schemeClr w14:val="tx1"/>
                  </w14:solidFill>
                </w14:textFill>
              </w:rPr>
              <w:t>害堤动物的</w:t>
            </w:r>
            <w:r>
              <w:rPr>
                <w:rStyle w:val="18"/>
                <w:rFonts w:hint="eastAsia" w:ascii="宋体" w:hAnsi="宋体" w:eastAsia="宋体" w:cs="宋体"/>
                <w:color w:val="000000" w:themeColor="text1"/>
                <w:highlight w:val="none"/>
                <w:lang w:eastAsia="zh-CN"/>
                <w14:textFill>
                  <w14:solidFill>
                    <w14:schemeClr w14:val="tx1"/>
                  </w14:solidFill>
                </w14:textFill>
              </w:rPr>
              <w:t>种类分析、记录并做综合灭治投药处理。</w:t>
            </w:r>
            <w:r>
              <w:rPr>
                <w:rStyle w:val="18"/>
                <w:rFonts w:hint="eastAsia" w:ascii="宋体" w:hAnsi="宋体" w:eastAsia="宋体" w:cs="宋体"/>
                <w:color w:val="000000" w:themeColor="text1"/>
                <w:highlight w:val="none"/>
                <w:lang w:val="en-US" w:eastAsia="zh-CN"/>
                <w14:textFill>
                  <w14:solidFill>
                    <w14:schemeClr w14:val="tx1"/>
                  </w14:solidFill>
                </w14:textFill>
              </w:rPr>
              <w:t>2、治理工作：</w:t>
            </w:r>
            <w:r>
              <w:rPr>
                <w:rStyle w:val="18"/>
                <w:rFonts w:hint="eastAsia" w:ascii="宋体" w:hAnsi="宋体" w:eastAsia="宋体" w:cs="宋体"/>
                <w:color w:val="000000" w:themeColor="text1"/>
                <w:highlight w:val="none"/>
                <w:lang w:eastAsia="zh-CN"/>
                <w14:textFill>
                  <w14:solidFill>
                    <w14:schemeClr w14:val="tx1"/>
                  </w14:solidFill>
                </w14:textFill>
              </w:rPr>
              <w:t>据</w:t>
            </w:r>
            <w:r>
              <w:rPr>
                <w:rStyle w:val="18"/>
                <w:rFonts w:hint="eastAsia" w:ascii="宋体" w:hAnsi="宋体" w:eastAsia="宋体" w:cs="宋体"/>
                <w:color w:val="000000" w:themeColor="text1"/>
                <w:highlight w:val="none"/>
                <w:lang w:val="en-US" w:eastAsia="zh-CN"/>
                <w14:textFill>
                  <w14:solidFill>
                    <w14:schemeClr w14:val="tx1"/>
                  </w14:solidFill>
                </w14:textFill>
              </w:rPr>
              <w:t>复查核查</w:t>
            </w:r>
            <w:r>
              <w:rPr>
                <w:rStyle w:val="18"/>
                <w:rFonts w:hint="eastAsia" w:ascii="宋体" w:hAnsi="宋体" w:eastAsia="宋体" w:cs="宋体"/>
                <w:color w:val="000000" w:themeColor="text1"/>
                <w:highlight w:val="none"/>
                <w:lang w:eastAsia="zh-CN"/>
                <w14:textFill>
                  <w14:solidFill>
                    <w14:schemeClr w14:val="tx1"/>
                  </w14:solidFill>
                </w14:textFill>
              </w:rPr>
              <w:t>情况确定白蚁等害堤动物种类、危害等级后对白蚁进行诱杀剂投放、蚁道灌浆、机械打孔灌浆、巢位确定、破巢开挖、蚁患处土方夯实回填等综合治理，对獾、鼠、蛇等害堤动物进行捕捉、投药、巢穴开挖、巢穴封堵等综合治理。</w:t>
            </w:r>
          </w:p>
        </w:tc>
      </w:tr>
      <w:tr w14:paraId="6EDA3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75021E5A">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0C3708C7">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226A5986">
            <w:pPr>
              <w:pStyle w:val="40"/>
              <w:keepNext w:val="0"/>
              <w:keepLines w:val="0"/>
              <w:pageBreakBefore w:val="0"/>
              <w:widowControl/>
              <w:numPr>
                <w:ilvl w:val="0"/>
                <w:numId w:val="0"/>
              </w:numPr>
              <w:rPr>
                <w:rStyle w:val="18"/>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对2025年白蚁等害堤动物的普查工作，投标人应组织专业防治人员，沿着堤防一字行排开，运用人工普查法、引诱法、仪器探测法等方式，对临、背河两侧、背河堤脚外 20m 采用拉网式检查，查清危害各堤防的白蚁等害堤动物种类、位置及危害等级情况，做好标示记录，结合人工普查运用白蚁隐患探测仪，对堤防进行详细探测，确定白蚁巢位等隐患情况。</w:t>
            </w:r>
          </w:p>
        </w:tc>
      </w:tr>
      <w:tr w14:paraId="239F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54142CF2">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72193C8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7BC94844">
            <w:pPr>
              <w:pStyle w:val="40"/>
              <w:keepNext w:val="0"/>
              <w:keepLines w:val="0"/>
              <w:pageBreakBefore w:val="0"/>
              <w:widowControl/>
              <w:rPr>
                <w:rStyle w:val="18"/>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w:t>
            </w:r>
            <w:r>
              <w:rPr>
                <w:rStyle w:val="18"/>
                <w:rFonts w:hint="eastAsia" w:ascii="宋体" w:hAnsi="宋体" w:eastAsia="宋体" w:cs="宋体"/>
                <w:color w:val="000000" w:themeColor="text1"/>
                <w:highlight w:val="none"/>
                <w14:textFill>
                  <w14:solidFill>
                    <w14:schemeClr w14:val="tx1"/>
                  </w14:solidFill>
                </w14:textFill>
              </w:rPr>
              <w:t>根据各堤防段现场环境情况设置松木监测引诱桩（地下深度50cm，地面高度</w:t>
            </w:r>
            <w:r>
              <w:rPr>
                <w:rStyle w:val="18"/>
                <w:rFonts w:hint="eastAsia" w:ascii="宋体" w:hAnsi="宋体" w:eastAsia="宋体" w:cs="宋体"/>
                <w:color w:val="000000" w:themeColor="text1"/>
                <w:highlight w:val="none"/>
                <w:lang w:val="en-US" w:eastAsia="zh-CN"/>
                <w14:textFill>
                  <w14:solidFill>
                    <w14:schemeClr w14:val="tx1"/>
                  </w14:solidFill>
                </w14:textFill>
              </w:rPr>
              <w:t>50</w:t>
            </w:r>
            <w:r>
              <w:rPr>
                <w:rStyle w:val="18"/>
                <w:rFonts w:hint="eastAsia" w:ascii="宋体" w:hAnsi="宋体" w:eastAsia="宋体" w:cs="宋体"/>
                <w:color w:val="000000" w:themeColor="text1"/>
                <w:highlight w:val="none"/>
                <w14:textFill>
                  <w14:solidFill>
                    <w14:schemeClr w14:val="tx1"/>
                  </w14:solidFill>
                </w14:textFill>
              </w:rPr>
              <w:t>cm），每根引诱桩做好警示提醒标识标牌，引诱桩设置</w:t>
            </w:r>
            <w:r>
              <w:rPr>
                <w:rStyle w:val="18"/>
                <w:rFonts w:hint="eastAsia" w:ascii="宋体" w:hAnsi="宋体" w:eastAsia="宋体" w:cs="宋体"/>
                <w:color w:val="000000" w:themeColor="text1"/>
                <w:highlight w:val="none"/>
                <w:lang w:val="en-US" w:eastAsia="zh-CN"/>
                <w14:textFill>
                  <w14:solidFill>
                    <w14:schemeClr w14:val="tx1"/>
                  </w14:solidFill>
                </w14:textFill>
              </w:rPr>
              <w:t>根据现场情况，发现有白蚁痕迹的设置一根，无白蚁痕迹的200m一根</w:t>
            </w:r>
            <w:r>
              <w:rPr>
                <w:rStyle w:val="18"/>
                <w:rFonts w:hint="eastAsia" w:ascii="宋体" w:hAnsi="宋体" w:eastAsia="宋体" w:cs="宋体"/>
                <w:color w:val="000000" w:themeColor="text1"/>
                <w:highlight w:val="none"/>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设置引诱桩不低于1900个，</w:t>
            </w:r>
            <w:r>
              <w:rPr>
                <w:rStyle w:val="18"/>
                <w:rFonts w:hint="eastAsia" w:ascii="宋体" w:hAnsi="宋体" w:eastAsia="宋体" w:cs="宋体"/>
                <w:color w:val="000000" w:themeColor="text1"/>
                <w:highlight w:val="none"/>
                <w14:textFill>
                  <w14:solidFill>
                    <w14:schemeClr w14:val="tx1"/>
                  </w14:solidFill>
                </w14:textFill>
              </w:rPr>
              <w:t>每根点位水印相机记录。</w:t>
            </w:r>
          </w:p>
        </w:tc>
      </w:tr>
      <w:tr w14:paraId="53C49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7C061D7D">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2B6457D9">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3C093AE0">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对2025年白蚁等害堤动物的普查工作，沿着堤防一字行排开，运用人工普查法、引诱法、仪器探测法等方式，对临、背河两侧、背河堤脚外20m采用拉网式检查外，重点要对引诱到白蚁的引诱桩要进行白蚁种类分析、记录，并做灭治处理；</w:t>
            </w:r>
            <w:r>
              <w:rPr>
                <w:rStyle w:val="18"/>
                <w:rFonts w:hint="eastAsia" w:ascii="宋体" w:hAnsi="宋体" w:eastAsia="宋体" w:cs="宋体"/>
                <w:color w:val="000000" w:themeColor="text1"/>
                <w:highlight w:val="none"/>
                <w14:textFill>
                  <w14:solidFill>
                    <w14:schemeClr w14:val="tx1"/>
                  </w14:solidFill>
                </w14:textFill>
              </w:rPr>
              <w:t>根据各堤防现场环境情况</w:t>
            </w:r>
            <w:r>
              <w:rPr>
                <w:rStyle w:val="18"/>
                <w:rFonts w:hint="eastAsia" w:ascii="宋体" w:hAnsi="宋体" w:eastAsia="宋体" w:cs="宋体"/>
                <w:color w:val="000000" w:themeColor="text1"/>
                <w:highlight w:val="none"/>
                <w:lang w:val="en-US" w:eastAsia="zh-CN"/>
                <w14:textFill>
                  <w14:solidFill>
                    <w14:schemeClr w14:val="tx1"/>
                  </w14:solidFill>
                </w14:textFill>
              </w:rPr>
              <w:t>合理规划</w:t>
            </w:r>
            <w:r>
              <w:rPr>
                <w:rStyle w:val="18"/>
                <w:rFonts w:hint="eastAsia" w:ascii="宋体" w:hAnsi="宋体" w:eastAsia="宋体" w:cs="宋体"/>
                <w:color w:val="000000" w:themeColor="text1"/>
                <w:highlight w:val="none"/>
                <w14:textFill>
                  <w14:solidFill>
                    <w14:schemeClr w14:val="tx1"/>
                  </w14:solidFill>
                </w14:textFill>
              </w:rPr>
              <w:t>埋设规格不低于25*13*8cm地下引诱装置，装置内放置引诱块不低于3块，引诱棒2根，每个引诱装置点做好警示提醒标识标牌，</w:t>
            </w:r>
            <w:r>
              <w:rPr>
                <w:rStyle w:val="18"/>
                <w:rFonts w:hint="eastAsia" w:ascii="宋体" w:hAnsi="宋体" w:eastAsia="宋体" w:cs="宋体"/>
                <w:color w:val="000000" w:themeColor="text1"/>
                <w:highlight w:val="none"/>
                <w:lang w:val="en-US" w:eastAsia="zh-CN"/>
                <w14:textFill>
                  <w14:solidFill>
                    <w14:schemeClr w14:val="tx1"/>
                  </w14:solidFill>
                </w14:textFill>
              </w:rPr>
              <w:t>发现有白蚁痕迹的设置一个，无白蚁痕迹的500m一个，设置</w:t>
            </w:r>
            <w:r>
              <w:rPr>
                <w:rStyle w:val="18"/>
                <w:rFonts w:hint="eastAsia" w:ascii="宋体" w:hAnsi="宋体" w:eastAsia="宋体" w:cs="宋体"/>
                <w:color w:val="000000" w:themeColor="text1"/>
                <w:highlight w:val="none"/>
                <w14:textFill>
                  <w14:solidFill>
                    <w14:schemeClr w14:val="tx1"/>
                  </w14:solidFill>
                </w14:textFill>
              </w:rPr>
              <w:t>地下引诱装置</w:t>
            </w:r>
            <w:r>
              <w:rPr>
                <w:rStyle w:val="18"/>
                <w:rFonts w:hint="eastAsia" w:ascii="宋体" w:hAnsi="宋体" w:eastAsia="宋体" w:cs="宋体"/>
                <w:color w:val="000000" w:themeColor="text1"/>
                <w:highlight w:val="none"/>
                <w:lang w:val="en-US" w:eastAsia="zh-CN"/>
                <w14:textFill>
                  <w14:solidFill>
                    <w14:schemeClr w14:val="tx1"/>
                  </w14:solidFill>
                </w14:textFill>
              </w:rPr>
              <w:t>不低于700个，</w:t>
            </w:r>
            <w:r>
              <w:rPr>
                <w:rStyle w:val="18"/>
                <w:rFonts w:hint="eastAsia" w:ascii="宋体" w:hAnsi="宋体" w:eastAsia="宋体" w:cs="宋体"/>
                <w:color w:val="000000" w:themeColor="text1"/>
                <w:highlight w:val="none"/>
                <w14:textFill>
                  <w14:solidFill>
                    <w14:schemeClr w14:val="tx1"/>
                  </w14:solidFill>
                </w14:textFill>
              </w:rPr>
              <w:t>每个点位水印相机记录</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根据普查情况确定白蚁等害堤动物种类、危害等级后对白蚁进行诱杀剂投放、蚁道灌浆、机械打孔灌浆、巢位确定、破巢开挖、蚁患处土方夯实回填等综合治理，对獾、鼠、蛇等害堤动物进行捕捉、投药、巢穴开挖、巢穴封堵等综合治理。</w:t>
            </w:r>
          </w:p>
        </w:tc>
      </w:tr>
      <w:tr w14:paraId="5F63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25A01E96">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BF7923E">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099473BD">
            <w:pPr>
              <w:pStyle w:val="40"/>
              <w:keepNext w:val="0"/>
              <w:keepLines w:val="0"/>
              <w:pageBreakBefore w:val="0"/>
              <w:widowControl/>
              <w:rPr>
                <w:rStyle w:val="18"/>
                <w:rFonts w:hint="eastAsia"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（9）对2025白蚁等年害堤动物的普查工作，治理后监控各点位，</w:t>
            </w:r>
            <w:r>
              <w:rPr>
                <w:rStyle w:val="18"/>
                <w:rFonts w:hint="eastAsia" w:ascii="宋体" w:hAnsi="宋体" w:eastAsia="宋体" w:cs="宋体"/>
                <w:color w:val="000000" w:themeColor="text1"/>
                <w:highlight w:val="none"/>
                <w14:textFill>
                  <w14:solidFill>
                    <w14:schemeClr w14:val="tx1"/>
                  </w14:solidFill>
                </w14:textFill>
              </w:rPr>
              <w:t>根据各堤防现场环境情况以及普查到的害堤动物危害情况等级，埋设地下型信息化智能预警监测装置，装置内放置监测料棒不低于</w:t>
            </w:r>
            <w:r>
              <w:rPr>
                <w:rStyle w:val="18"/>
                <w:rFonts w:hint="eastAsia" w:ascii="宋体" w:hAnsi="宋体" w:eastAsia="宋体" w:cs="宋体"/>
                <w:color w:val="000000" w:themeColor="text1"/>
                <w:highlight w:val="none"/>
                <w:lang w:val="en-US" w:eastAsia="zh-CN"/>
                <w14:textFill>
                  <w14:solidFill>
                    <w14:schemeClr w14:val="tx1"/>
                  </w14:solidFill>
                </w14:textFill>
              </w:rPr>
              <w:t>3</w:t>
            </w:r>
            <w:r>
              <w:rPr>
                <w:rStyle w:val="18"/>
                <w:rFonts w:hint="eastAsia" w:ascii="宋体" w:hAnsi="宋体" w:eastAsia="宋体" w:cs="宋体"/>
                <w:color w:val="000000" w:themeColor="text1"/>
                <w:highlight w:val="none"/>
                <w14:textFill>
                  <w14:solidFill>
                    <w14:schemeClr w14:val="tx1"/>
                  </w14:solidFill>
                </w14:textFill>
              </w:rPr>
              <w:t>块，引诱料棒不低于2根，信息化智能预警监测装置是基于物联网云端平台通过移动通信网络进行数据上传，每个预警监测装置内传感器探测到白蚁进入，会自动上传数据到系统平台报警，每个预警监测装置点做好警示提醒标识标牌，每台点位水印相机记录。</w:t>
            </w:r>
          </w:p>
        </w:tc>
      </w:tr>
      <w:tr w14:paraId="3D71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E6361E2">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7CCA7716">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317D329A">
            <w:pPr>
              <w:pStyle w:val="40"/>
              <w:keepNext w:val="0"/>
              <w:keepLines w:val="0"/>
              <w:pageBreakBefore w:val="0"/>
              <w:widowControl/>
              <w:rPr>
                <w:rStyle w:val="18"/>
                <w:rFonts w:hint="eastAsia" w:ascii="宋体" w:hAnsi="宋体" w:eastAsia="宋体" w:cs="宋体"/>
                <w:color w:val="000000" w:themeColor="text1"/>
                <w:highlight w:val="none"/>
                <w:lang w:eastAsia="zh-CN"/>
                <w14:textFill>
                  <w14:solidFill>
                    <w14:schemeClr w14:val="tx1"/>
                  </w14:solidFill>
                </w14:textFill>
              </w:rPr>
            </w:pP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10</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合同周期内中标人应提供24小时服务热线，在信息化智能预警监测装置系统报警后，要在</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24</w:t>
            </w:r>
            <w:r>
              <w:rPr>
                <w:rStyle w:val="18"/>
                <w:rFonts w:hint="eastAsia" w:ascii="宋体" w:hAnsi="宋体" w:eastAsia="宋体" w:cs="宋体"/>
                <w:i/>
                <w:iCs/>
                <w:color w:val="000000" w:themeColor="text1"/>
                <w:highlight w:val="none"/>
                <w:u w:val="single"/>
                <w14:textFill>
                  <w14:solidFill>
                    <w14:schemeClr w14:val="tx1"/>
                  </w14:solidFill>
                </w14:textFill>
              </w:rPr>
              <w:t>小时内到达报警点，对监测装置内引诱的白蚁进行投放药物灭治处理；监测系统出现故障问题，中标人要在</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24</w:t>
            </w:r>
            <w:r>
              <w:rPr>
                <w:rStyle w:val="18"/>
                <w:rFonts w:hint="eastAsia" w:ascii="宋体" w:hAnsi="宋体" w:eastAsia="宋体" w:cs="宋体"/>
                <w:i/>
                <w:iCs/>
                <w:color w:val="000000" w:themeColor="text1"/>
                <w:highlight w:val="none"/>
                <w:u w:val="single"/>
                <w14:textFill>
                  <w14:solidFill>
                    <w14:schemeClr w14:val="tx1"/>
                  </w14:solidFill>
                </w14:textFill>
              </w:rPr>
              <w:t>小时内安排技术人员到达现场进行维护解决，当场解决不了的技术故障要在12小时内给予解决。</w:t>
            </w:r>
          </w:p>
        </w:tc>
      </w:tr>
      <w:tr w14:paraId="6C28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35158D75">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7F1C5893">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0274073C">
            <w:pPr>
              <w:pStyle w:val="40"/>
              <w:keepNext w:val="0"/>
              <w:keepLines w:val="0"/>
              <w:pageBreakBefore w:val="0"/>
              <w:widowControl/>
              <w:rPr>
                <w:rStyle w:val="18"/>
                <w:rFonts w:hint="eastAsia"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11</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strike w:val="0"/>
                <w:color w:val="000000" w:themeColor="text1"/>
                <w:highlight w:val="none"/>
                <w:u w:val="none"/>
                <w14:textFill>
                  <w14:solidFill>
                    <w14:schemeClr w14:val="tx1"/>
                  </w14:solidFill>
                </w14:textFill>
              </w:rPr>
              <w:t>信息化智能预警监测装置系统要提供给采购人独立的存储平台、独立显示</w:t>
            </w:r>
            <w:r>
              <w:rPr>
                <w:rStyle w:val="18"/>
                <w:rFonts w:hint="eastAsia" w:ascii="宋体" w:hAnsi="宋体" w:eastAsia="宋体" w:cs="宋体"/>
                <w:i w:val="0"/>
                <w:iCs w:val="0"/>
                <w:strike w:val="0"/>
                <w:color w:val="000000" w:themeColor="text1"/>
                <w:highlight w:val="none"/>
                <w:u w:val="none"/>
                <w:lang w:val="en-US" w:eastAsia="zh-CN"/>
                <w14:textFill>
                  <w14:solidFill>
                    <w14:schemeClr w14:val="tx1"/>
                  </w14:solidFill>
                </w14:textFill>
              </w:rPr>
              <w:t>平台</w:t>
            </w:r>
            <w:r>
              <w:rPr>
                <w:rStyle w:val="18"/>
                <w:rFonts w:hint="eastAsia" w:ascii="宋体" w:hAnsi="宋体" w:eastAsia="宋体" w:cs="宋体"/>
                <w:i w:val="0"/>
                <w:iCs w:val="0"/>
                <w:strike w:val="0"/>
                <w:color w:val="000000" w:themeColor="text1"/>
                <w:highlight w:val="none"/>
                <w:u w:val="none"/>
                <w14:textFill>
                  <w14:solidFill>
                    <w14:schemeClr w14:val="tx1"/>
                  </w14:solidFill>
                </w14:textFill>
              </w:rPr>
              <w:t>、独立账号提供一年使用期，要包括流量传输、系统</w:t>
            </w:r>
            <w:r>
              <w:rPr>
                <w:rStyle w:val="18"/>
                <w:rFonts w:hint="eastAsia" w:ascii="宋体" w:hAnsi="宋体" w:eastAsia="宋体" w:cs="宋体"/>
                <w:i w:val="0"/>
                <w:iCs w:val="0"/>
                <w:strike w:val="0"/>
                <w:color w:val="000000" w:themeColor="text1"/>
                <w:highlight w:val="none"/>
                <w:u w:val="none"/>
                <w:lang w:val="en-US" w:eastAsia="zh-CN"/>
                <w14:textFill>
                  <w14:solidFill>
                    <w14:schemeClr w14:val="tx1"/>
                  </w14:solidFill>
                </w14:textFill>
              </w:rPr>
              <w:t>升级</w:t>
            </w:r>
            <w:r>
              <w:rPr>
                <w:rStyle w:val="18"/>
                <w:rFonts w:hint="eastAsia" w:ascii="宋体" w:hAnsi="宋体" w:eastAsia="宋体" w:cs="宋体"/>
                <w:i w:val="0"/>
                <w:iCs w:val="0"/>
                <w:strike w:val="0"/>
                <w:color w:val="000000" w:themeColor="text1"/>
                <w:highlight w:val="none"/>
                <w:u w:val="none"/>
                <w14:textFill>
                  <w14:solidFill>
                    <w14:schemeClr w14:val="tx1"/>
                  </w14:solidFill>
                </w14:textFill>
              </w:rPr>
              <w:t>维护提供等</w:t>
            </w:r>
            <w:r>
              <w:rPr>
                <w:rStyle w:val="18"/>
                <w:rFonts w:hint="eastAsia" w:ascii="宋体" w:hAnsi="宋体" w:eastAsia="宋体" w:cs="宋体"/>
                <w:i w:val="0"/>
                <w:iCs w:val="0"/>
                <w:strike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strike w:val="0"/>
                <w:color w:val="000000" w:themeColor="text1"/>
                <w:highlight w:val="none"/>
                <w:u w:val="none"/>
                <w:lang w:val="en-US" w:eastAsia="zh-CN"/>
                <w14:textFill>
                  <w14:solidFill>
                    <w14:schemeClr w14:val="tx1"/>
                  </w14:solidFill>
                </w14:textFill>
              </w:rPr>
              <w:t>具有</w:t>
            </w:r>
            <w:r>
              <w:rPr>
                <w:rStyle w:val="18"/>
                <w:rFonts w:hint="eastAsia" w:ascii="宋体" w:hAnsi="宋体" w:eastAsia="宋体" w:cs="宋体"/>
                <w:i w:val="0"/>
                <w:iCs w:val="0"/>
                <w:strike w:val="0"/>
                <w:color w:val="000000" w:themeColor="text1"/>
                <w:highlight w:val="none"/>
                <w:u w:val="none"/>
                <w:lang w:eastAsia="zh-CN"/>
                <w14:textFill>
                  <w14:solidFill>
                    <w14:schemeClr w14:val="tx1"/>
                  </w14:solidFill>
                </w14:textFill>
              </w:rPr>
              <w:t>升级与维护的工程师人员</w:t>
            </w:r>
            <w:r>
              <w:rPr>
                <w:rStyle w:val="18"/>
                <w:rFonts w:hint="eastAsia" w:ascii="宋体" w:hAnsi="宋体" w:eastAsia="宋体" w:cs="宋体"/>
                <w:i w:val="0"/>
                <w:iCs w:val="0"/>
                <w:strike w:val="0"/>
                <w:color w:val="000000" w:themeColor="text1"/>
                <w:highlight w:val="none"/>
                <w:u w:val="none"/>
                <w14:textFill>
                  <w14:solidFill>
                    <w14:schemeClr w14:val="tx1"/>
                  </w14:solidFill>
                </w14:textFill>
              </w:rPr>
              <w:t>；信息化智能预警监测装置设备提供三年免费质保。信息化智能预警监测参数要求详见四、其他部分 附件1。</w:t>
            </w:r>
          </w:p>
        </w:tc>
      </w:tr>
      <w:tr w14:paraId="7EF3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137710DF">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59FBAD59">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2ABE7552">
            <w:pPr>
              <w:pStyle w:val="40"/>
              <w:keepNext w:val="0"/>
              <w:keepLines w:val="0"/>
              <w:pageBreakBefore w:val="0"/>
              <w:widowControl/>
              <w:rPr>
                <w:rStyle w:val="18"/>
                <w:rFonts w:hint="default" w:ascii="宋体" w:hAnsi="宋体" w:eastAsia="宋体" w:cs="宋体"/>
                <w:color w:val="000000" w:themeColor="text1"/>
                <w:highlight w:val="none"/>
                <w:lang w:val="en-US" w:eastAsia="zh-CN"/>
                <w14:textFill>
                  <w14:solidFill>
                    <w14:schemeClr w14:val="tx1"/>
                  </w14:solidFill>
                </w14:textFill>
              </w:rPr>
            </w:pP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12</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14:textFill>
                  <w14:solidFill>
                    <w14:schemeClr w14:val="tx1"/>
                  </w14:solidFill>
                </w14:textFill>
              </w:rPr>
              <w:t>基本仪器设备（含履行应急任务设备）</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及作业车辆要求</w:t>
            </w:r>
            <w:r>
              <w:rPr>
                <w:rStyle w:val="18"/>
                <w:rFonts w:hint="eastAsia" w:ascii="宋体" w:hAnsi="宋体" w:eastAsia="宋体" w:cs="宋体"/>
                <w:i w:val="0"/>
                <w:iCs w:val="0"/>
                <w:color w:val="000000" w:themeColor="text1"/>
                <w:highlight w:val="none"/>
                <w:u w:val="none"/>
                <w14:textFill>
                  <w14:solidFill>
                    <w14:schemeClr w14:val="tx1"/>
                  </w14:solidFill>
                </w14:textFill>
              </w:rPr>
              <w:t>：为满足本项目基本工作需求，投标人</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应</w:t>
            </w:r>
            <w:r>
              <w:rPr>
                <w:rStyle w:val="18"/>
                <w:rFonts w:hint="eastAsia" w:ascii="宋体" w:hAnsi="宋体" w:eastAsia="宋体" w:cs="宋体"/>
                <w:i w:val="0"/>
                <w:iCs w:val="0"/>
                <w:color w:val="000000" w:themeColor="text1"/>
                <w:highlight w:val="none"/>
                <w:u w:val="none"/>
                <w14:textFill>
                  <w14:solidFill>
                    <w14:schemeClr w14:val="tx1"/>
                  </w14:solidFill>
                </w14:textFill>
              </w:rPr>
              <w:t>投入白蚁防治专用工具、钻孔机、车载喷药车、手电筒等基本仪器设备</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应</w:t>
            </w:r>
            <w:r>
              <w:rPr>
                <w:rStyle w:val="18"/>
                <w:rFonts w:hint="eastAsia" w:ascii="宋体" w:hAnsi="宋体" w:eastAsia="宋体" w:cs="宋体"/>
                <w:i w:val="0"/>
                <w:iCs w:val="0"/>
                <w:color w:val="000000" w:themeColor="text1"/>
                <w:highlight w:val="none"/>
                <w:u w:val="none"/>
                <w14:textFill>
                  <w14:solidFill>
                    <w14:schemeClr w14:val="tx1"/>
                  </w14:solidFill>
                </w14:textFill>
              </w:rPr>
              <w:t>投入</w:t>
            </w:r>
            <w:r>
              <w:rPr>
                <w:rStyle w:val="18"/>
                <w:rFonts w:hint="eastAsia" w:ascii="宋体" w:hAnsi="宋体" w:eastAsia="宋体" w:cs="宋体"/>
                <w:i w:val="0"/>
                <w:iCs w:val="0"/>
                <w:color w:val="000000" w:themeColor="text1"/>
                <w:highlight w:val="none"/>
                <w:u w:val="none"/>
                <w:lang w:val="en-US" w:eastAsia="zh-CN"/>
                <w14:textFill>
                  <w14:solidFill>
                    <w14:schemeClr w14:val="tx1"/>
                  </w14:solidFill>
                </w14:textFill>
              </w:rPr>
              <w:t>不少于2辆</w:t>
            </w:r>
            <w:r>
              <w:rPr>
                <w:rStyle w:val="18"/>
                <w:rFonts w:hint="eastAsia" w:ascii="宋体" w:hAnsi="宋体" w:eastAsia="宋体" w:cs="宋体"/>
                <w:i w:val="0"/>
                <w:iCs w:val="0"/>
                <w:color w:val="000000" w:themeColor="text1"/>
                <w:highlight w:val="none"/>
                <w:u w:val="none"/>
                <w:lang w:eastAsia="zh-CN"/>
                <w14:textFill>
                  <w14:solidFill>
                    <w14:schemeClr w14:val="tx1"/>
                  </w14:solidFill>
                </w14:textFill>
              </w:rPr>
              <w:t>施工作业车辆。</w:t>
            </w:r>
          </w:p>
        </w:tc>
      </w:tr>
      <w:tr w14:paraId="4DD4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3D463E0F">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1A1BE4C4">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0279F308">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13</w:t>
            </w:r>
            <w:r>
              <w:rPr>
                <w:rStyle w:val="18"/>
                <w:rFonts w:hint="eastAsia" w:ascii="宋体" w:hAnsi="宋体" w:eastAsia="宋体" w:cs="宋体"/>
                <w:i/>
                <w:iCs/>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color w:val="000000" w:themeColor="text1"/>
                <w:highlight w:val="none"/>
                <w:u w:val="single"/>
                <w14:textFill>
                  <w14:solidFill>
                    <w14:schemeClr w14:val="tx1"/>
                  </w14:solidFill>
                </w14:textFill>
              </w:rPr>
              <w:t>普查结束</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后</w:t>
            </w:r>
            <w:r>
              <w:rPr>
                <w:rStyle w:val="18"/>
                <w:rFonts w:hint="eastAsia" w:ascii="宋体" w:hAnsi="宋体" w:eastAsia="宋体" w:cs="宋体"/>
                <w:i/>
                <w:iCs/>
                <w:color w:val="000000" w:themeColor="text1"/>
                <w:highlight w:val="none"/>
                <w:u w:val="single"/>
                <w14:textFill>
                  <w14:solidFill>
                    <w14:schemeClr w14:val="tx1"/>
                  </w14:solidFill>
                </w14:textFill>
              </w:rPr>
              <w:t>中标人</w:t>
            </w:r>
            <w:r>
              <w:rPr>
                <w:rStyle w:val="18"/>
                <w:rFonts w:hint="eastAsia" w:ascii="宋体" w:hAnsi="宋体" w:eastAsia="宋体" w:cs="宋体"/>
                <w:i/>
                <w:iCs/>
                <w:color w:val="000000" w:themeColor="text1"/>
                <w:highlight w:val="none"/>
                <w:u w:val="single"/>
                <w:lang w:val="en-US" w:eastAsia="zh-CN"/>
                <w14:textFill>
                  <w14:solidFill>
                    <w14:schemeClr w14:val="tx1"/>
                  </w14:solidFill>
                </w14:textFill>
              </w:rPr>
              <w:t>按采购人指定时间要求</w:t>
            </w:r>
            <w:r>
              <w:rPr>
                <w:rStyle w:val="18"/>
                <w:rFonts w:hint="eastAsia" w:ascii="宋体" w:hAnsi="宋体" w:eastAsia="宋体" w:cs="宋体"/>
                <w:i/>
                <w:iCs/>
                <w:color w:val="000000" w:themeColor="text1"/>
                <w:highlight w:val="none"/>
                <w:u w:val="single"/>
                <w14:textFill>
                  <w14:solidFill>
                    <w14:schemeClr w14:val="tx1"/>
                  </w14:solidFill>
                </w14:textFill>
              </w:rPr>
              <w:t>提交符合各级检查单位检查要求的普查报告，报告要详细列明堤防白蚁等害堤动物种类、危害等级、现场记录的数据、照片、文字资料等，对报告内容真实性负责。</w:t>
            </w:r>
          </w:p>
        </w:tc>
      </w:tr>
      <w:tr w14:paraId="384BA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restart"/>
            <w:noWrap/>
            <w:tcMar>
              <w:top w:w="100" w:type="dxa"/>
              <w:bottom w:w="100" w:type="dxa"/>
            </w:tcMar>
            <w:vAlign w:val="center"/>
          </w:tcPr>
          <w:p w14:paraId="7D75B703">
            <w:pPr>
              <w:pStyle w:val="40"/>
              <w:keepNext w:val="0"/>
              <w:keepLines w:val="0"/>
              <w:pageBreakBefore w:val="0"/>
              <w:widowControl/>
              <w:jc w:val="center"/>
              <w:rPr>
                <w:rStyle w:val="18"/>
                <w:rFonts w:hint="eastAsia" w:ascii="宋体" w:hAnsi="宋体" w:eastAsia="宋体" w:cs="宋体"/>
                <w:color w:val="000000" w:themeColor="text1"/>
                <w:highlight w:val="none"/>
                <w:lang w:eastAsia="zh-CN"/>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3</w:t>
            </w:r>
          </w:p>
        </w:tc>
        <w:tc>
          <w:tcPr>
            <w:tcW w:w="1300" w:type="dxa"/>
            <w:vMerge w:val="restart"/>
            <w:noWrap/>
            <w:tcMar>
              <w:top w:w="100" w:type="dxa"/>
              <w:bottom w:w="100" w:type="dxa"/>
            </w:tcMar>
            <w:vAlign w:val="center"/>
          </w:tcPr>
          <w:p w14:paraId="249B918B">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其他要求</w:t>
            </w:r>
          </w:p>
        </w:tc>
        <w:tc>
          <w:tcPr>
            <w:tcW w:w="8261" w:type="dxa"/>
            <w:noWrap/>
            <w:tcMar>
              <w:top w:w="100" w:type="dxa"/>
              <w:bottom w:w="100" w:type="dxa"/>
            </w:tcMar>
            <w:vAlign w:val="center"/>
          </w:tcPr>
          <w:p w14:paraId="43E02C93">
            <w:pPr>
              <w:pStyle w:val="40"/>
              <w:keepNext w:val="0"/>
              <w:keepLines w:val="0"/>
              <w:pageBreakBefore w:val="0"/>
              <w:widowControl/>
              <w:rPr>
                <w:rStyle w:val="18"/>
                <w:rFonts w:ascii="宋体" w:hAnsi="宋体" w:eastAsia="宋体" w:cs="宋体"/>
                <w:i/>
                <w:iCs/>
                <w:strike w:val="0"/>
                <w:color w:val="000000" w:themeColor="text1"/>
                <w:highlight w:val="none"/>
                <w:u w:val="single"/>
                <w14:textFill>
                  <w14:solidFill>
                    <w14:schemeClr w14:val="tx1"/>
                  </w14:solidFill>
                </w14:textFill>
              </w:rPr>
            </w:pPr>
            <w:r>
              <w:rPr>
                <w:rStyle w:val="18"/>
                <w:rFonts w:hint="eastAsia" w:ascii="宋体" w:hAnsi="宋体" w:eastAsia="宋体" w:cs="宋体"/>
                <w:i/>
                <w:iCs/>
                <w:strike w:val="0"/>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1</w:t>
            </w:r>
            <w:r>
              <w:rPr>
                <w:rStyle w:val="18"/>
                <w:rFonts w:hint="eastAsia" w:ascii="宋体" w:hAnsi="宋体" w:eastAsia="宋体" w:cs="宋体"/>
                <w:i/>
                <w:iCs/>
                <w:strike w:val="0"/>
                <w:color w:val="000000" w:themeColor="text1"/>
                <w:highlight w:val="none"/>
                <w:u w:val="single"/>
                <w:lang w:eastAsia="zh-CN"/>
                <w14:textFill>
                  <w14:solidFill>
                    <w14:schemeClr w14:val="tx1"/>
                  </w14:solidFill>
                </w14:textFill>
              </w:rPr>
              <w:t>）</w:t>
            </w:r>
            <w:r>
              <w:rPr>
                <w:rStyle w:val="18"/>
                <w:rFonts w:hint="eastAsia" w:ascii="宋体" w:hAnsi="宋体" w:eastAsia="宋体" w:cs="宋体"/>
                <w:i/>
                <w:iCs/>
                <w:strike w:val="0"/>
                <w:color w:val="000000" w:themeColor="text1"/>
                <w:highlight w:val="none"/>
                <w:u w:val="single"/>
                <w14:textFill>
                  <w14:solidFill>
                    <w14:schemeClr w14:val="tx1"/>
                  </w14:solidFill>
                </w14:textFill>
              </w:rPr>
              <w:t>签订合同前置条件：</w:t>
            </w:r>
          </w:p>
          <w:p w14:paraId="6DADDA9B">
            <w:pPr>
              <w:pStyle w:val="40"/>
              <w:keepNext w:val="0"/>
              <w:keepLines w:val="0"/>
              <w:pageBreakBefore w:val="0"/>
              <w:widowControl/>
              <w:rPr>
                <w:rStyle w:val="18"/>
                <w:rFonts w:ascii="宋体" w:hAnsi="宋体" w:eastAsia="宋体" w:cs="宋体"/>
                <w:i/>
                <w:iCs/>
                <w:strike w:val="0"/>
                <w:color w:val="000000" w:themeColor="text1"/>
                <w:highlight w:val="none"/>
                <w:u w:val="single"/>
                <w14:textFill>
                  <w14:solidFill>
                    <w14:schemeClr w14:val="tx1"/>
                  </w14:solidFill>
                </w14:textFill>
              </w:rPr>
            </w:pP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①</w:t>
            </w:r>
            <w:r>
              <w:rPr>
                <w:rStyle w:val="18"/>
                <w:rFonts w:hint="eastAsia" w:ascii="宋体" w:hAnsi="宋体" w:eastAsia="宋体" w:cs="宋体"/>
                <w:i/>
                <w:iCs/>
                <w:strike w:val="0"/>
                <w:color w:val="000000" w:themeColor="text1"/>
                <w:highlight w:val="none"/>
                <w:u w:val="single"/>
                <w14:textFill>
                  <w14:solidFill>
                    <w14:schemeClr w14:val="tx1"/>
                  </w14:solidFill>
                </w14:textFill>
              </w:rPr>
              <w:t>投标人中标后，在合同签订前，须现场提供信息化智能预警监测装置平台系统的现场演示证明，若演示不符合本次采购需求的，采购人有权解除合同，所造成的一切损失由中标人承担。</w:t>
            </w:r>
          </w:p>
          <w:p w14:paraId="490AD65F">
            <w:pPr>
              <w:pStyle w:val="40"/>
              <w:keepNext w:val="0"/>
              <w:keepLines w:val="0"/>
              <w:pageBreakBefore w:val="0"/>
              <w:widowControl/>
              <w:rPr>
                <w:rStyle w:val="18"/>
                <w:rFonts w:ascii="宋体" w:hAnsi="宋体" w:eastAsia="宋体" w:cs="宋体"/>
                <w:i/>
                <w:iCs/>
                <w:strike w:val="0"/>
                <w:color w:val="000000" w:themeColor="text1"/>
                <w:highlight w:val="none"/>
                <w:u w:val="single"/>
                <w14:textFill>
                  <w14:solidFill>
                    <w14:schemeClr w14:val="tx1"/>
                  </w14:solidFill>
                </w14:textFill>
              </w:rPr>
            </w:pP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②</w:t>
            </w:r>
            <w:r>
              <w:rPr>
                <w:rStyle w:val="18"/>
                <w:rFonts w:hint="eastAsia" w:ascii="宋体" w:hAnsi="宋体" w:eastAsia="宋体" w:cs="宋体"/>
                <w:i/>
                <w:iCs/>
                <w:strike w:val="0"/>
                <w:color w:val="000000" w:themeColor="text1"/>
                <w:highlight w:val="none"/>
                <w:u w:val="single"/>
                <w14:textFill>
                  <w14:solidFill>
                    <w14:schemeClr w14:val="tx1"/>
                  </w14:solidFill>
                </w14:textFill>
              </w:rPr>
              <w:t>投标人中标后，在合同签订前须将项目负责人及其他人员资料（包括岗位人员名单、证书、联系电话、身份证复印件</w:t>
            </w: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等</w:t>
            </w:r>
            <w:r>
              <w:rPr>
                <w:rStyle w:val="18"/>
                <w:rFonts w:hint="eastAsia" w:ascii="宋体" w:hAnsi="宋体" w:eastAsia="宋体" w:cs="宋体"/>
                <w:i/>
                <w:iCs/>
                <w:strike w:val="0"/>
                <w:color w:val="000000" w:themeColor="text1"/>
                <w:highlight w:val="none"/>
                <w:u w:val="single"/>
                <w14:textFill>
                  <w14:solidFill>
                    <w14:schemeClr w14:val="tx1"/>
                  </w14:solidFill>
                </w14:textFill>
              </w:rPr>
              <w:t>）递交至采购人处备案，所有服务人员须经采购人确认后方可上岗。配备不到位，采购人有权解除合同，所造成的一切损失由中标人承担。</w:t>
            </w:r>
          </w:p>
          <w:p w14:paraId="2EC5EA26">
            <w:pPr>
              <w:pStyle w:val="40"/>
              <w:keepNext w:val="0"/>
              <w:keepLines w:val="0"/>
              <w:pageBreakBefore w:val="0"/>
              <w:widowControl/>
              <w:rPr>
                <w:rStyle w:val="18"/>
                <w:rFonts w:ascii="宋体" w:hAnsi="宋体" w:eastAsia="宋体" w:cs="宋体"/>
                <w:strike w:val="0"/>
                <w:color w:val="000000" w:themeColor="text1"/>
                <w:highlight w:val="none"/>
                <w14:textFill>
                  <w14:solidFill>
                    <w14:schemeClr w14:val="tx1"/>
                  </w14:solidFill>
                </w14:textFill>
              </w:rPr>
            </w:pPr>
            <w:r>
              <w:rPr>
                <w:rStyle w:val="18"/>
                <w:rFonts w:hint="eastAsia" w:ascii="宋体" w:hAnsi="宋体" w:eastAsia="宋体" w:cs="宋体"/>
                <w:i/>
                <w:iCs/>
                <w:strike w:val="0"/>
                <w:color w:val="000000" w:themeColor="text1"/>
                <w:highlight w:val="none"/>
                <w:u w:val="single"/>
                <w:lang w:val="en-US" w:eastAsia="zh-CN"/>
                <w14:textFill>
                  <w14:solidFill>
                    <w14:schemeClr w14:val="tx1"/>
                  </w14:solidFill>
                </w14:textFill>
              </w:rPr>
              <w:t>③</w:t>
            </w:r>
            <w:r>
              <w:rPr>
                <w:rStyle w:val="18"/>
                <w:rFonts w:hint="eastAsia" w:ascii="宋体" w:hAnsi="宋体" w:eastAsia="宋体" w:cs="宋体"/>
                <w:i/>
                <w:iCs/>
                <w:strike w:val="0"/>
                <w:color w:val="000000" w:themeColor="text1"/>
                <w:highlight w:val="none"/>
                <w:u w:val="single"/>
                <w14:textFill>
                  <w14:solidFill>
                    <w14:schemeClr w14:val="tx1"/>
                  </w14:solidFill>
                </w14:textFill>
              </w:rPr>
              <w:t>投标人中标后，提交投标文件里涉及的</w:t>
            </w:r>
            <w:r>
              <w:rPr>
                <w:rFonts w:hint="eastAsia" w:ascii="宋体" w:hAnsi="宋体" w:cs="宋体"/>
                <w:i/>
                <w:iCs/>
                <w:strike w:val="0"/>
                <w:color w:val="000000" w:themeColor="text1"/>
                <w:spacing w:val="7"/>
                <w:highlight w:val="none"/>
                <w:u w:val="single"/>
                <w14:textFill>
                  <w14:solidFill>
                    <w14:schemeClr w14:val="tx1"/>
                  </w14:solidFill>
                </w14:textFill>
              </w:rPr>
              <w:t>检测报告、相关证书、车辆证明、业绩合同、竣工报告等原件，提交的原件不</w:t>
            </w:r>
            <w:r>
              <w:rPr>
                <w:rStyle w:val="18"/>
                <w:rFonts w:hint="eastAsia" w:ascii="宋体" w:hAnsi="宋体" w:eastAsia="宋体" w:cs="宋体"/>
                <w:i/>
                <w:iCs/>
                <w:strike w:val="0"/>
                <w:color w:val="000000" w:themeColor="text1"/>
                <w:highlight w:val="none"/>
                <w:u w:val="single"/>
                <w14:textFill>
                  <w14:solidFill>
                    <w14:schemeClr w14:val="tx1"/>
                  </w14:solidFill>
                </w14:textFill>
              </w:rPr>
              <w:t>符合本次采购需求的，采购人有权解除合同，所造成的一切损失由中标人承担。</w:t>
            </w:r>
          </w:p>
        </w:tc>
      </w:tr>
      <w:tr w14:paraId="50C37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64A555F3">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2B6B8042">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140786FC">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2</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投标人需提供对白蚁危害的区域了解程度、</w:t>
            </w:r>
            <w:r>
              <w:rPr>
                <w:rStyle w:val="18"/>
                <w:rFonts w:hint="eastAsia" w:ascii="宋体" w:hAnsi="宋体" w:eastAsia="宋体" w:cs="宋体"/>
                <w:color w:val="000000" w:themeColor="text1"/>
                <w:highlight w:val="none"/>
                <w:lang w:val="en-US" w:eastAsia="zh-CN"/>
                <w14:textFill>
                  <w14:solidFill>
                    <w14:schemeClr w14:val="tx1"/>
                  </w14:solidFill>
                </w14:textFill>
              </w:rPr>
              <w:t>害堤动物普查及治理方案、</w:t>
            </w:r>
            <w:r>
              <w:rPr>
                <w:rStyle w:val="18"/>
                <w:rFonts w:hint="eastAsia" w:ascii="宋体" w:hAnsi="宋体" w:eastAsia="宋体" w:cs="宋体"/>
                <w:color w:val="000000" w:themeColor="text1"/>
                <w:highlight w:val="none"/>
                <w14:textFill>
                  <w14:solidFill>
                    <w14:schemeClr w14:val="tx1"/>
                  </w14:solidFill>
                </w14:textFill>
              </w:rPr>
              <w:t>管理规章制度、安全文明实施措施、应急措施和活动配合措施、详细的质保方案、管理制度方案、技术实施方案及协调方案、设备配备方案、人员配置方案等。</w:t>
            </w:r>
          </w:p>
        </w:tc>
      </w:tr>
      <w:tr w14:paraId="21A8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56F13A1C">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4A099270">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50C696CE">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3</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投标人具有履行本项目的能力，需提供类似项目业绩、相关证书或相关奖项。</w:t>
            </w:r>
          </w:p>
        </w:tc>
      </w:tr>
      <w:tr w14:paraId="5620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00DDC64B">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343E711F">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67439300">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4</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总价为综合报价，应包括但不限于人员费用（工资、福利、培训、社会保险等）、服务所用设备工具购置及维修费用、服务所用材料消耗费用、管理费用、差旅费、利润、税金、政策性文件规定及合同包含的所有风险、责任等各项应有费用。</w:t>
            </w:r>
          </w:p>
        </w:tc>
      </w:tr>
      <w:tr w14:paraId="30F5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trHeight w:val="567" w:hRule="atLeast"/>
          <w:jc w:val="center"/>
        </w:trPr>
        <w:tc>
          <w:tcPr>
            <w:tcW w:w="577" w:type="dxa"/>
            <w:vMerge w:val="continue"/>
            <w:noWrap/>
            <w:tcMar>
              <w:top w:w="100" w:type="dxa"/>
              <w:bottom w:w="100" w:type="dxa"/>
            </w:tcMar>
            <w:vAlign w:val="center"/>
          </w:tcPr>
          <w:p w14:paraId="38AFC10A">
            <w:pPr>
              <w:pStyle w:val="40"/>
              <w:keepNext w:val="0"/>
              <w:keepLines w:val="0"/>
              <w:pageBreakBefore w:val="0"/>
              <w:widowControl/>
              <w:jc w:val="center"/>
              <w:rPr>
                <w:rStyle w:val="18"/>
                <w:rFonts w:ascii="宋体" w:hAnsi="宋体" w:eastAsia="宋体" w:cs="宋体"/>
                <w:color w:val="000000" w:themeColor="text1"/>
                <w:highlight w:val="none"/>
                <w14:textFill>
                  <w14:solidFill>
                    <w14:schemeClr w14:val="tx1"/>
                  </w14:solidFill>
                </w14:textFill>
              </w:rPr>
            </w:pPr>
          </w:p>
        </w:tc>
        <w:tc>
          <w:tcPr>
            <w:tcW w:w="1300" w:type="dxa"/>
            <w:vMerge w:val="continue"/>
            <w:noWrap/>
            <w:tcMar>
              <w:top w:w="100" w:type="dxa"/>
              <w:bottom w:w="100" w:type="dxa"/>
            </w:tcMar>
            <w:vAlign w:val="center"/>
          </w:tcPr>
          <w:p w14:paraId="6CCEE873">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p>
        </w:tc>
        <w:tc>
          <w:tcPr>
            <w:tcW w:w="8261" w:type="dxa"/>
            <w:noWrap/>
            <w:tcMar>
              <w:top w:w="100" w:type="dxa"/>
              <w:bottom w:w="100" w:type="dxa"/>
            </w:tcMar>
            <w:vAlign w:val="center"/>
          </w:tcPr>
          <w:p w14:paraId="1BF62495">
            <w:pPr>
              <w:pStyle w:val="40"/>
              <w:keepNext w:val="0"/>
              <w:keepLines w:val="0"/>
              <w:pageBreakBefore w:val="0"/>
              <w:widowControl/>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lang w:val="en-US" w:eastAsia="zh-CN"/>
                <w14:textFill>
                  <w14:solidFill>
                    <w14:schemeClr w14:val="tx1"/>
                  </w14:solidFill>
                </w14:textFill>
              </w:rPr>
              <w:t>5</w:t>
            </w:r>
            <w:r>
              <w:rPr>
                <w:rStyle w:val="18"/>
                <w:rFonts w:hint="eastAsia" w:ascii="宋体" w:hAnsi="宋体" w:eastAsia="宋体" w:cs="宋体"/>
                <w:color w:val="000000" w:themeColor="text1"/>
                <w:highlight w:val="none"/>
                <w:lang w:eastAsia="zh-CN"/>
                <w14:textFill>
                  <w14:solidFill>
                    <w14:schemeClr w14:val="tx1"/>
                  </w14:solidFill>
                </w14:textFill>
              </w:rPr>
              <w:t>）</w:t>
            </w:r>
            <w:r>
              <w:rPr>
                <w:rStyle w:val="18"/>
                <w:rFonts w:hint="eastAsia" w:ascii="宋体" w:hAnsi="宋体" w:eastAsia="宋体" w:cs="宋体"/>
                <w:color w:val="000000" w:themeColor="text1"/>
                <w:highlight w:val="none"/>
                <w14:textFill>
                  <w14:solidFill>
                    <w14:schemeClr w14:val="tx1"/>
                  </w14:solidFill>
                </w14:textFill>
              </w:rPr>
              <w:t>投标人可对项目现场进行踏勘，但费用由投标人自行承担。投标人在报价时应充分考虑现场实际情况，采购人不负担因投标人对项目现场情况考虑不周而产生的其他任何费用。</w:t>
            </w:r>
          </w:p>
        </w:tc>
      </w:tr>
    </w:tbl>
    <w:p w14:paraId="554AB5D0">
      <w:pPr>
        <w:keepNext w:val="0"/>
        <w:keepLines w:val="0"/>
        <w:pageBreakBefore w:val="0"/>
        <w:spacing w:line="52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三、商务条款</w:t>
      </w:r>
    </w:p>
    <w:p w14:paraId="54BADBF5">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bCs/>
          <w:color w:val="000000" w:themeColor="text1"/>
          <w:highlight w:val="none"/>
          <w:lang w:eastAsia="zh-CN"/>
          <w14:textFill>
            <w14:solidFill>
              <w14:schemeClr w14:val="tx1"/>
            </w14:solidFill>
          </w14:textFill>
        </w:rPr>
        <w:t>（</w:t>
      </w:r>
      <w:r>
        <w:rPr>
          <w:rStyle w:val="18"/>
          <w:rFonts w:hint="eastAsia" w:ascii="宋体" w:hAnsi="宋体" w:eastAsia="宋体" w:cs="宋体"/>
          <w:b/>
          <w:bCs/>
          <w:color w:val="000000" w:themeColor="text1"/>
          <w:highlight w:val="none"/>
          <w:lang w:val="en-US" w:eastAsia="zh-CN"/>
          <w14:textFill>
            <w14:solidFill>
              <w14:schemeClr w14:val="tx1"/>
            </w14:solidFill>
          </w14:textFill>
        </w:rPr>
        <w:t>一</w:t>
      </w:r>
      <w:r>
        <w:rPr>
          <w:rStyle w:val="18"/>
          <w:rFonts w:hint="eastAsia" w:ascii="宋体" w:hAnsi="宋体" w:eastAsia="宋体" w:cs="宋体"/>
          <w:b/>
          <w:bCs/>
          <w:color w:val="000000" w:themeColor="text1"/>
          <w:highlight w:val="none"/>
          <w:lang w:eastAsia="zh-CN"/>
          <w14:textFill>
            <w14:solidFill>
              <w14:schemeClr w14:val="tx1"/>
            </w14:solidFill>
          </w14:textFill>
        </w:rPr>
        <w:t>）</w:t>
      </w:r>
      <w:r>
        <w:rPr>
          <w:rStyle w:val="18"/>
          <w:rFonts w:hint="eastAsia" w:ascii="宋体" w:hAnsi="宋体" w:eastAsia="宋体" w:cs="宋体"/>
          <w:b/>
          <w:bCs/>
          <w:color w:val="000000" w:themeColor="text1"/>
          <w:highlight w:val="none"/>
          <w14:textFill>
            <w14:solidFill>
              <w14:schemeClr w14:val="tx1"/>
            </w14:solidFill>
          </w14:textFill>
        </w:rPr>
        <w:t>服务期限</w:t>
      </w:r>
    </w:p>
    <w:p w14:paraId="32416FAA">
      <w:pPr>
        <w:pStyle w:val="40"/>
        <w:keepNext w:val="0"/>
        <w:keepLines w:val="0"/>
        <w:pageBreakBefore w:val="0"/>
        <w:spacing w:line="520" w:lineRule="exact"/>
        <w:ind w:firstLine="480"/>
        <w:rPr>
          <w:rStyle w:val="18"/>
          <w:rFonts w:ascii="宋体" w:hAnsi="宋体" w:eastAsia="宋体" w:cs="宋体"/>
          <w:i/>
          <w:iCs/>
          <w:color w:val="000000" w:themeColor="text1"/>
          <w:highlight w:val="none"/>
          <w:u w:val="single"/>
          <w14:textFill>
            <w14:solidFill>
              <w14:schemeClr w14:val="tx1"/>
            </w14:solidFill>
          </w14:textFill>
        </w:rPr>
      </w:pP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合同签订之日起至2026年4月30日止（2025年10月底前完成对《2024年度白蚁等害堤动物普查及治理项目》中已普查到的受害堤防的治理并出具报告。2026年4月底前完成本标段堤防的普查并出具报告）。</w:t>
      </w:r>
    </w:p>
    <w:p w14:paraId="7879BF4A">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二</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货款支付</w:t>
      </w:r>
    </w:p>
    <w:p w14:paraId="143AAE55">
      <w:pPr>
        <w:pStyle w:val="41"/>
        <w:keepNext w:val="0"/>
        <w:keepLines w:val="0"/>
        <w:pageBreakBefore w:val="0"/>
        <w:spacing w:line="520" w:lineRule="exact"/>
        <w:ind w:firstLine="480"/>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pP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1.结付程序</w:t>
      </w:r>
    </w:p>
    <w:p w14:paraId="58F683C5">
      <w:pPr>
        <w:pStyle w:val="40"/>
        <w:keepNext w:val="0"/>
        <w:keepLines w:val="0"/>
        <w:pageBreakBefore w:val="0"/>
        <w:spacing w:line="520" w:lineRule="exact"/>
        <w:ind w:firstLine="480"/>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pP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中标人按合同内容合格地履行服务（供货）义务后，凭销售发票到采购人处办理合同款结算手续。</w:t>
      </w:r>
    </w:p>
    <w:p w14:paraId="2C65A299">
      <w:pPr>
        <w:pStyle w:val="41"/>
        <w:keepNext w:val="0"/>
        <w:keepLines w:val="0"/>
        <w:pageBreakBefore w:val="0"/>
        <w:spacing w:line="520" w:lineRule="exact"/>
        <w:ind w:firstLine="480"/>
        <w:rPr>
          <w:rStyle w:val="18"/>
          <w:rFonts w:ascii="宋体" w:hAnsi="宋体" w:eastAsia="宋体" w:cs="宋体"/>
          <w:i/>
          <w:color w:val="000000" w:themeColor="text1"/>
          <w:highlight w:val="none"/>
          <w:u w:val="single"/>
          <w14:textFill>
            <w14:solidFill>
              <w14:schemeClr w14:val="tx1"/>
            </w14:solidFill>
          </w14:textFill>
        </w:rPr>
      </w:pP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2.</w:t>
      </w:r>
      <w:r>
        <w:rPr>
          <w:rStyle w:val="18"/>
          <w:rFonts w:hint="eastAsia" w:ascii="宋体" w:hAnsi="宋体" w:eastAsia="宋体" w:cs="宋体"/>
          <w:i/>
          <w:color w:val="000000" w:themeColor="text1"/>
          <w:highlight w:val="none"/>
          <w:u w:val="single"/>
          <w14:textFill>
            <w14:solidFill>
              <w14:schemeClr w14:val="tx1"/>
            </w14:solidFill>
          </w14:textFill>
        </w:rPr>
        <w:t>结付期限</w:t>
      </w:r>
    </w:p>
    <w:p w14:paraId="60A79B01">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lang w:val="en-US" w:eastAsia="zh-CN"/>
          <w14:textFill>
            <w14:solidFill>
              <w14:schemeClr w14:val="tx1"/>
            </w14:solidFill>
          </w14:textFill>
        </w:rPr>
      </w:pPr>
      <w:r>
        <w:rPr>
          <w:rFonts w:eastAsia="宋体"/>
          <w:i/>
          <w:color w:val="000000" w:themeColor="text1"/>
          <w:spacing w:val="7"/>
          <w:highlight w:val="none"/>
          <w:u w:val="single"/>
          <w14:textFill>
            <w14:solidFill>
              <w14:schemeClr w14:val="tx1"/>
            </w14:solidFill>
          </w14:textFill>
        </w:rPr>
        <w:t>合同签订生效后，采购人30天内支付合同金额的</w:t>
      </w:r>
      <w:r>
        <w:rPr>
          <w:rFonts w:hint="eastAsia" w:eastAsia="宋体"/>
          <w:i/>
          <w:color w:val="000000" w:themeColor="text1"/>
          <w:spacing w:val="7"/>
          <w:highlight w:val="none"/>
          <w:u w:val="single"/>
          <w14:textFill>
            <w14:solidFill>
              <w14:schemeClr w14:val="tx1"/>
            </w14:solidFill>
          </w14:textFill>
        </w:rPr>
        <w:t>1</w:t>
      </w:r>
      <w:r>
        <w:rPr>
          <w:rFonts w:eastAsia="宋体"/>
          <w:i/>
          <w:color w:val="000000" w:themeColor="text1"/>
          <w:spacing w:val="7"/>
          <w:highlight w:val="none"/>
          <w:u w:val="single"/>
          <w14:textFill>
            <w14:solidFill>
              <w14:schemeClr w14:val="tx1"/>
            </w14:solidFill>
          </w14:textFill>
        </w:rPr>
        <w:t>0%作为预付款（具体以财政实际拨付为准。在签订合同时，中标人明确表示无需预付款或者主动要求降低预付款比例的，采购人可不适用上述关于预付款的约定）</w:t>
      </w:r>
      <w:r>
        <w:rPr>
          <w:rStyle w:val="18"/>
          <w:rFonts w:hint="eastAsia" w:ascii="宋体" w:hAnsi="宋体" w:eastAsia="宋体" w:cs="宋体"/>
          <w:i/>
          <w:color w:val="000000" w:themeColor="text1"/>
          <w:highlight w:val="none"/>
          <w:u w:val="single"/>
          <w14:textFill>
            <w14:solidFill>
              <w14:schemeClr w14:val="tx1"/>
            </w14:solidFill>
          </w14:textFill>
        </w:rPr>
        <w:t>，</w:t>
      </w:r>
      <w:r>
        <w:rPr>
          <w:rStyle w:val="18"/>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《2024年度白蚁等害堤动物普查及治理项目》中已普查到的受害堤防的治理</w:t>
      </w:r>
      <w:r>
        <w:rPr>
          <w:rStyle w:val="18"/>
          <w:rFonts w:hint="eastAsia" w:ascii="宋体" w:hAnsi="宋体" w:eastAsia="宋体" w:cs="宋体"/>
          <w:i/>
          <w:color w:val="000000" w:themeColor="text1"/>
          <w:highlight w:val="none"/>
          <w:u w:val="single"/>
          <w14:textFill>
            <w14:solidFill>
              <w14:schemeClr w14:val="tx1"/>
            </w14:solidFill>
          </w14:textFill>
        </w:rPr>
        <w:t>全部完成</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并</w:t>
      </w:r>
      <w:r>
        <w:rPr>
          <w:rStyle w:val="18"/>
          <w:rFonts w:hint="eastAsia" w:ascii="宋体" w:hAnsi="宋体" w:eastAsia="宋体" w:cs="宋体"/>
          <w:i/>
          <w:color w:val="000000" w:themeColor="text1"/>
          <w:highlight w:val="none"/>
          <w:u w:val="single"/>
          <w14:textFill>
            <w14:solidFill>
              <w14:schemeClr w14:val="tx1"/>
            </w14:solidFill>
          </w14:textFill>
        </w:rPr>
        <w:t>出具相应的</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治理</w:t>
      </w:r>
      <w:r>
        <w:rPr>
          <w:rStyle w:val="18"/>
          <w:rFonts w:hint="eastAsia" w:ascii="宋体" w:hAnsi="宋体" w:eastAsia="宋体" w:cs="宋体"/>
          <w:i/>
          <w:color w:val="000000" w:themeColor="text1"/>
          <w:highlight w:val="none"/>
          <w:u w:val="single"/>
          <w14:textFill>
            <w14:solidFill>
              <w14:schemeClr w14:val="tx1"/>
            </w14:solidFill>
          </w14:textFill>
        </w:rPr>
        <w:t>结果报告书，经</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采购人</w:t>
      </w:r>
      <w:r>
        <w:rPr>
          <w:rStyle w:val="18"/>
          <w:rFonts w:hint="eastAsia" w:ascii="宋体" w:hAnsi="宋体" w:eastAsia="宋体" w:cs="宋体"/>
          <w:i/>
          <w:color w:val="000000" w:themeColor="text1"/>
          <w:highlight w:val="none"/>
          <w:u w:val="single"/>
          <w14:textFill>
            <w14:solidFill>
              <w14:schemeClr w14:val="tx1"/>
            </w14:solidFill>
          </w14:textFill>
        </w:rPr>
        <w:t>验收合格</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及根据考核结果（考核方式详见四、其他部分附件2：考核细则）</w:t>
      </w:r>
      <w:r>
        <w:rPr>
          <w:rStyle w:val="18"/>
          <w:rFonts w:hint="eastAsia" w:ascii="宋体" w:hAnsi="宋体" w:eastAsia="宋体" w:cs="宋体"/>
          <w:i/>
          <w:color w:val="000000" w:themeColor="text1"/>
          <w:highlight w:val="none"/>
          <w:u w:val="single"/>
          <w:lang w:eastAsia="zh-CN"/>
          <w14:textFill>
            <w14:solidFill>
              <w14:schemeClr w14:val="tx1"/>
            </w14:solidFill>
          </w14:textFill>
        </w:rPr>
        <w:t>，</w:t>
      </w:r>
      <w:r>
        <w:rPr>
          <w:rStyle w:val="18"/>
          <w:rFonts w:hint="eastAsia" w:ascii="宋体" w:hAnsi="宋体" w:eastAsia="宋体" w:cs="宋体"/>
          <w:i/>
          <w:color w:val="000000" w:themeColor="text1"/>
          <w:highlight w:val="none"/>
          <w:u w:val="single"/>
          <w14:textFill>
            <w14:solidFill>
              <w14:schemeClr w14:val="tx1"/>
            </w14:solidFill>
          </w14:textFill>
        </w:rPr>
        <w:t>支付合同总金额的</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5</w:t>
      </w:r>
      <w:r>
        <w:rPr>
          <w:rStyle w:val="18"/>
          <w:rFonts w:hint="eastAsia" w:ascii="宋体" w:hAnsi="宋体" w:eastAsia="宋体" w:cs="宋体"/>
          <w:i/>
          <w:color w:val="000000" w:themeColor="text1"/>
          <w:highlight w:val="none"/>
          <w:u w:val="single"/>
          <w14:textFill>
            <w14:solidFill>
              <w14:schemeClr w14:val="tx1"/>
            </w14:solidFill>
          </w14:textFill>
        </w:rPr>
        <w:t>0%；</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完成本标段的普查及治理工作并</w:t>
      </w:r>
      <w:r>
        <w:rPr>
          <w:rStyle w:val="18"/>
          <w:rFonts w:hint="eastAsia" w:ascii="宋体" w:hAnsi="宋体" w:eastAsia="宋体" w:cs="宋体"/>
          <w:i/>
          <w:color w:val="000000" w:themeColor="text1"/>
          <w:highlight w:val="none"/>
          <w:u w:val="single"/>
          <w14:textFill>
            <w14:solidFill>
              <w14:schemeClr w14:val="tx1"/>
            </w14:solidFill>
          </w14:textFill>
        </w:rPr>
        <w:t>出具相应的普查结果报告</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书，</w:t>
      </w:r>
      <w:r>
        <w:rPr>
          <w:rStyle w:val="18"/>
          <w:rFonts w:hint="eastAsia" w:ascii="宋体" w:hAnsi="宋体" w:eastAsia="宋体" w:cs="宋体"/>
          <w:i/>
          <w:color w:val="000000" w:themeColor="text1"/>
          <w:highlight w:val="none"/>
          <w:u w:val="single"/>
          <w14:textFill>
            <w14:solidFill>
              <w14:schemeClr w14:val="tx1"/>
            </w14:solidFill>
          </w14:textFill>
        </w:rPr>
        <w:t>经</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采购人</w:t>
      </w:r>
      <w:r>
        <w:rPr>
          <w:rStyle w:val="18"/>
          <w:rFonts w:hint="eastAsia" w:ascii="宋体" w:hAnsi="宋体" w:eastAsia="宋体" w:cs="宋体"/>
          <w:i/>
          <w:color w:val="000000" w:themeColor="text1"/>
          <w:highlight w:val="none"/>
          <w:u w:val="single"/>
          <w14:textFill>
            <w14:solidFill>
              <w14:schemeClr w14:val="tx1"/>
            </w14:solidFill>
          </w14:textFill>
        </w:rPr>
        <w:t>验收合格</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及根据考核结果（考核方式详见四、其他部分附件2：考核细则）</w:t>
      </w:r>
      <w:r>
        <w:rPr>
          <w:rStyle w:val="18"/>
          <w:rFonts w:hint="eastAsia" w:ascii="宋体" w:hAnsi="宋体" w:eastAsia="宋体" w:cs="宋体"/>
          <w:i/>
          <w:color w:val="000000" w:themeColor="text1"/>
          <w:highlight w:val="none"/>
          <w:u w:val="single"/>
          <w:lang w:eastAsia="zh-CN"/>
          <w14:textFill>
            <w14:solidFill>
              <w14:schemeClr w14:val="tx1"/>
            </w14:solidFill>
          </w14:textFill>
        </w:rPr>
        <w:t>，</w:t>
      </w:r>
      <w:r>
        <w:rPr>
          <w:rStyle w:val="18"/>
          <w:rFonts w:hint="eastAsia" w:ascii="宋体" w:hAnsi="宋体" w:eastAsia="宋体" w:cs="宋体"/>
          <w:i/>
          <w:color w:val="000000" w:themeColor="text1"/>
          <w:highlight w:val="none"/>
          <w:u w:val="single"/>
          <w14:textFill>
            <w14:solidFill>
              <w14:schemeClr w14:val="tx1"/>
            </w14:solidFill>
          </w14:textFill>
        </w:rPr>
        <w:t>支付</w:t>
      </w:r>
      <w:r>
        <w:rPr>
          <w:rStyle w:val="18"/>
          <w:rFonts w:hint="eastAsia" w:ascii="宋体" w:hAnsi="宋体" w:eastAsia="宋体" w:cs="宋体"/>
          <w:i/>
          <w:color w:val="000000" w:themeColor="text1"/>
          <w:highlight w:val="none"/>
          <w:u w:val="single"/>
          <w:lang w:val="en-US" w:eastAsia="zh-CN"/>
          <w14:textFill>
            <w14:solidFill>
              <w14:schemeClr w14:val="tx1"/>
            </w14:solidFill>
          </w14:textFill>
        </w:rPr>
        <w:t>剩余合同款。考核得分与实际付款金额挂钩，实际付款金额按下述方法支付：</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1"/>
        <w:gridCol w:w="1647"/>
        <w:gridCol w:w="1647"/>
        <w:gridCol w:w="1647"/>
        <w:gridCol w:w="1648"/>
        <w:gridCol w:w="1662"/>
      </w:tblGrid>
      <w:tr w14:paraId="1BE6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769" w:type="pct"/>
            <w:noWrap w:val="0"/>
            <w:vAlign w:val="top"/>
          </w:tcPr>
          <w:p w14:paraId="59C6C804">
            <w:pPr>
              <w:spacing w:before="198"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考核得分</w:t>
            </w:r>
          </w:p>
        </w:tc>
        <w:tc>
          <w:tcPr>
            <w:tcW w:w="844" w:type="pct"/>
            <w:noWrap w:val="0"/>
            <w:vAlign w:val="top"/>
          </w:tcPr>
          <w:p w14:paraId="383BAD6F">
            <w:pPr>
              <w:spacing w:before="199"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hint="eastAsia" w:ascii="Times New Roman" w:hAnsi="Times New Roman" w:cs="Times New Roman"/>
                <w:b w:val="0"/>
                <w:bCs w:val="0"/>
                <w:i/>
                <w:iCs/>
                <w:color w:val="000000" w:themeColor="text1"/>
                <w:spacing w:val="-3"/>
                <w:sz w:val="24"/>
                <w:szCs w:val="24"/>
                <w:highlight w:val="none"/>
                <w:u w:val="single"/>
                <w:lang w:val="en-US" w:eastAsia="zh-CN"/>
                <w14:textFill>
                  <w14:solidFill>
                    <w14:schemeClr w14:val="tx1"/>
                  </w14:solidFill>
                </w14:textFill>
              </w:rPr>
              <w:t>90</w:t>
            </w:r>
            <w:r>
              <w:rPr>
                <w:rFonts w:ascii="宋体" w:hAnsi="宋体" w:eastAsia="宋体" w:cs="宋体"/>
                <w:b w:val="0"/>
                <w:bCs w:val="0"/>
                <w:i/>
                <w:iCs/>
                <w:color w:val="000000" w:themeColor="text1"/>
                <w:spacing w:val="-3"/>
                <w:sz w:val="24"/>
                <w:szCs w:val="24"/>
                <w:highlight w:val="none"/>
                <w:u w:val="single"/>
                <w14:textFill>
                  <w14:solidFill>
                    <w14:schemeClr w14:val="tx1"/>
                  </w14:solidFill>
                </w14:textFill>
              </w:rPr>
              <w:t>分</w:t>
            </w:r>
            <w:r>
              <w:rPr>
                <w:rFonts w:hint="eastAsia" w:ascii="宋体" w:hAnsi="宋体" w:eastAsia="宋体" w:cs="宋体"/>
                <w:b w:val="0"/>
                <w:bCs w:val="0"/>
                <w:i/>
                <w:iCs/>
                <w:color w:val="000000" w:themeColor="text1"/>
                <w:spacing w:val="-3"/>
                <w:sz w:val="24"/>
                <w:szCs w:val="24"/>
                <w:highlight w:val="none"/>
                <w:u w:val="single"/>
                <w:lang w:val="en-US" w:eastAsia="zh-CN"/>
                <w14:textFill>
                  <w14:solidFill>
                    <w14:schemeClr w14:val="tx1"/>
                  </w14:solidFill>
                </w14:textFill>
              </w:rPr>
              <w:t>及</w:t>
            </w:r>
            <w:r>
              <w:rPr>
                <w:rFonts w:ascii="宋体" w:hAnsi="宋体" w:eastAsia="宋体" w:cs="宋体"/>
                <w:b w:val="0"/>
                <w:bCs w:val="0"/>
                <w:i/>
                <w:iCs/>
                <w:color w:val="000000" w:themeColor="text1"/>
                <w:spacing w:val="-3"/>
                <w:sz w:val="24"/>
                <w:szCs w:val="24"/>
                <w:highlight w:val="none"/>
                <w:u w:val="single"/>
                <w14:textFill>
                  <w14:solidFill>
                    <w14:schemeClr w14:val="tx1"/>
                  </w14:solidFill>
                </w14:textFill>
              </w:rPr>
              <w:t>以上</w:t>
            </w:r>
          </w:p>
        </w:tc>
        <w:tc>
          <w:tcPr>
            <w:tcW w:w="844" w:type="pct"/>
            <w:noWrap w:val="0"/>
            <w:vAlign w:val="top"/>
          </w:tcPr>
          <w:p w14:paraId="0937F54A">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80</w:t>
            </w:r>
            <w:r>
              <w:rPr>
                <w:rFonts w:ascii="宋体" w:hAnsi="宋体" w:eastAsia="宋体" w:cs="宋体"/>
                <w:i/>
                <w:iCs/>
                <w:color w:val="000000" w:themeColor="text1"/>
                <w:spacing w:val="15"/>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8</w:t>
            </w:r>
            <w:r>
              <w:rPr>
                <w:rFonts w:hint="eastAsia" w:ascii="Times New Roman" w:hAnsi="Times New Roman" w:cs="Times New Roman"/>
                <w:i/>
                <w:iCs/>
                <w:color w:val="000000" w:themeColor="text1"/>
                <w:spacing w:val="15"/>
                <w:sz w:val="24"/>
                <w:szCs w:val="24"/>
                <w:highlight w:val="none"/>
                <w:u w:val="single"/>
                <w:lang w:val="en-US" w:eastAsia="zh-CN"/>
                <w14:textFill>
                  <w14:solidFill>
                    <w14:schemeClr w14:val="tx1"/>
                  </w14:solidFill>
                </w14:textFill>
              </w:rPr>
              <w:t>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44" w:type="pct"/>
            <w:noWrap w:val="0"/>
            <w:vAlign w:val="top"/>
          </w:tcPr>
          <w:p w14:paraId="0CBEEF36">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6"/>
                <w:sz w:val="24"/>
                <w:szCs w:val="24"/>
                <w:highlight w:val="none"/>
                <w:u w:val="single"/>
                <w14:textFill>
                  <w14:solidFill>
                    <w14:schemeClr w14:val="tx1"/>
                  </w14:solidFill>
                </w14:textFill>
              </w:rPr>
              <w:t>70</w:t>
            </w:r>
            <w:r>
              <w:rPr>
                <w:rFonts w:ascii="宋体" w:hAnsi="宋体" w:eastAsia="宋体" w:cs="宋体"/>
                <w:i/>
                <w:iCs/>
                <w:color w:val="000000" w:themeColor="text1"/>
                <w:spacing w:val="16"/>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6"/>
                <w:sz w:val="24"/>
                <w:szCs w:val="24"/>
                <w:highlight w:val="none"/>
                <w:u w:val="single"/>
                <w14:textFill>
                  <w14:solidFill>
                    <w14:schemeClr w14:val="tx1"/>
                  </w14:solidFill>
                </w14:textFill>
              </w:rPr>
              <w:t>79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44" w:type="pct"/>
            <w:noWrap w:val="0"/>
            <w:vAlign w:val="top"/>
          </w:tcPr>
          <w:p w14:paraId="718C76A4">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19"/>
                <w:sz w:val="24"/>
                <w:szCs w:val="24"/>
                <w:highlight w:val="none"/>
                <w:u w:val="single"/>
                <w14:textFill>
                  <w14:solidFill>
                    <w14:schemeClr w14:val="tx1"/>
                  </w14:solidFill>
                </w14:textFill>
              </w:rPr>
              <w:t>6</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0</w:t>
            </w:r>
            <w:r>
              <w:rPr>
                <w:rFonts w:ascii="宋体" w:hAnsi="宋体" w:eastAsia="宋体" w:cs="宋体"/>
                <w:i/>
                <w:iCs/>
                <w:color w:val="000000" w:themeColor="text1"/>
                <w:spacing w:val="15"/>
                <w:sz w:val="24"/>
                <w:szCs w:val="24"/>
                <w:highlight w:val="none"/>
                <w:u w:val="single"/>
                <w14:textFill>
                  <w14:solidFill>
                    <w14:schemeClr w14:val="tx1"/>
                  </w14:solidFill>
                </w14:textFill>
              </w:rPr>
              <w:t>~</w:t>
            </w:r>
            <w:r>
              <w:rPr>
                <w:rFonts w:ascii="Times New Roman" w:hAnsi="Times New Roman" w:eastAsia="Times New Roman" w:cs="Times New Roman"/>
                <w:i/>
                <w:iCs/>
                <w:color w:val="000000" w:themeColor="text1"/>
                <w:spacing w:val="15"/>
                <w:sz w:val="24"/>
                <w:szCs w:val="24"/>
                <w:highlight w:val="none"/>
                <w:u w:val="single"/>
                <w14:textFill>
                  <w14:solidFill>
                    <w14:schemeClr w14:val="tx1"/>
                  </w14:solidFill>
                </w14:textFill>
              </w:rPr>
              <w:t>69</w:t>
            </w:r>
            <w:r>
              <w:rPr>
                <w:rFonts w:ascii="宋体" w:hAnsi="宋体" w:eastAsia="宋体" w:cs="宋体"/>
                <w:i/>
                <w:iCs/>
                <w:color w:val="000000" w:themeColor="text1"/>
                <w:spacing w:val="15"/>
                <w:sz w:val="24"/>
                <w:szCs w:val="24"/>
                <w:highlight w:val="none"/>
                <w:u w:val="single"/>
                <w14:textFill>
                  <w14:solidFill>
                    <w14:schemeClr w14:val="tx1"/>
                  </w14:solidFill>
                </w14:textFill>
              </w:rPr>
              <w:t>分</w:t>
            </w:r>
          </w:p>
        </w:tc>
        <w:tc>
          <w:tcPr>
            <w:tcW w:w="851" w:type="pct"/>
            <w:noWrap w:val="0"/>
            <w:vAlign w:val="top"/>
          </w:tcPr>
          <w:p w14:paraId="28E1D1C6">
            <w:pPr>
              <w:spacing w:before="199"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Times New Roman" w:hAnsi="Times New Roman" w:eastAsia="Times New Roman" w:cs="Times New Roman"/>
                <w:i/>
                <w:iCs/>
                <w:color w:val="000000" w:themeColor="text1"/>
                <w:spacing w:val="-4"/>
                <w:sz w:val="24"/>
                <w:szCs w:val="24"/>
                <w:highlight w:val="none"/>
                <w:u w:val="single"/>
                <w14:textFill>
                  <w14:solidFill>
                    <w14:schemeClr w14:val="tx1"/>
                  </w14:solidFill>
                </w14:textFill>
              </w:rPr>
              <w:t>6</w:t>
            </w:r>
            <w:r>
              <w:rPr>
                <w:rFonts w:ascii="Times New Roman" w:hAnsi="Times New Roman" w:eastAsia="Times New Roman" w:cs="Times New Roman"/>
                <w:i/>
                <w:iCs/>
                <w:color w:val="000000" w:themeColor="text1"/>
                <w:spacing w:val="-3"/>
                <w:sz w:val="24"/>
                <w:szCs w:val="24"/>
                <w:highlight w:val="none"/>
                <w:u w:val="single"/>
                <w14:textFill>
                  <w14:solidFill>
                    <w14:schemeClr w14:val="tx1"/>
                  </w14:solidFill>
                </w14:textFill>
              </w:rPr>
              <w:t>0</w:t>
            </w:r>
            <w:r>
              <w:rPr>
                <w:rFonts w:ascii="宋体" w:hAnsi="宋体" w:eastAsia="宋体" w:cs="宋体"/>
                <w:i/>
                <w:iCs/>
                <w:color w:val="000000" w:themeColor="text1"/>
                <w:spacing w:val="-3"/>
                <w:sz w:val="24"/>
                <w:szCs w:val="24"/>
                <w:highlight w:val="none"/>
                <w:u w:val="single"/>
                <w14:textFill>
                  <w14:solidFill>
                    <w14:schemeClr w14:val="tx1"/>
                  </w14:solidFill>
                </w14:textFill>
              </w:rPr>
              <w:t>分以下</w:t>
            </w:r>
          </w:p>
        </w:tc>
      </w:tr>
      <w:tr w14:paraId="54A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769" w:type="pct"/>
            <w:noWrap w:val="0"/>
            <w:vAlign w:val="top"/>
          </w:tcPr>
          <w:p w14:paraId="3BC3C260">
            <w:pPr>
              <w:spacing w:before="240"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付款比例</w:t>
            </w:r>
          </w:p>
        </w:tc>
        <w:tc>
          <w:tcPr>
            <w:tcW w:w="844" w:type="pct"/>
            <w:noWrap w:val="0"/>
            <w:vAlign w:val="top"/>
          </w:tcPr>
          <w:p w14:paraId="2150799F">
            <w:pPr>
              <w:spacing w:before="240" w:line="240" w:lineRule="auto"/>
              <w:jc w:val="center"/>
              <w:rPr>
                <w:rFonts w:ascii="宋体" w:hAnsi="宋体" w:eastAsia="宋体" w:cs="宋体"/>
                <w:b w:val="0"/>
                <w:bCs w:val="0"/>
                <w:i/>
                <w:iCs/>
                <w:color w:val="000000" w:themeColor="text1"/>
                <w:sz w:val="24"/>
                <w:szCs w:val="24"/>
                <w:highlight w:val="none"/>
                <w:u w:val="single"/>
                <w14:textFill>
                  <w14:solidFill>
                    <w14:schemeClr w14:val="tx1"/>
                  </w14:solidFill>
                </w14:textFill>
              </w:rPr>
            </w:pPr>
            <w:r>
              <w:rPr>
                <w:rFonts w:ascii="宋体" w:hAnsi="宋体" w:eastAsia="宋体" w:cs="宋体"/>
                <w:b w:val="0"/>
                <w:bCs w:val="0"/>
                <w:i/>
                <w:iCs/>
                <w:color w:val="000000" w:themeColor="text1"/>
                <w:spacing w:val="-2"/>
                <w:sz w:val="24"/>
                <w:szCs w:val="24"/>
                <w:highlight w:val="none"/>
                <w:u w:val="single"/>
                <w14:textFill>
                  <w14:solidFill>
                    <w14:schemeClr w14:val="tx1"/>
                  </w14:solidFill>
                </w14:textFill>
              </w:rPr>
              <w:t>全额付款</w:t>
            </w:r>
          </w:p>
        </w:tc>
        <w:tc>
          <w:tcPr>
            <w:tcW w:w="844" w:type="pct"/>
            <w:noWrap w:val="0"/>
            <w:vAlign w:val="top"/>
          </w:tcPr>
          <w:p w14:paraId="51BA03A8">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3"/>
                <w:sz w:val="24"/>
                <w:szCs w:val="24"/>
                <w:highlight w:val="none"/>
                <w:u w:val="single"/>
                <w14:textFill>
                  <w14:solidFill>
                    <w14:schemeClr w14:val="tx1"/>
                  </w14:solidFill>
                </w14:textFill>
              </w:rPr>
              <w:t>九折付款</w:t>
            </w:r>
          </w:p>
        </w:tc>
        <w:tc>
          <w:tcPr>
            <w:tcW w:w="844" w:type="pct"/>
            <w:noWrap w:val="0"/>
            <w:vAlign w:val="top"/>
          </w:tcPr>
          <w:p w14:paraId="0949758E">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4"/>
                <w:sz w:val="24"/>
                <w:szCs w:val="24"/>
                <w:highlight w:val="none"/>
                <w:u w:val="single"/>
                <w14:textFill>
                  <w14:solidFill>
                    <w14:schemeClr w14:val="tx1"/>
                  </w14:solidFill>
                </w14:textFill>
              </w:rPr>
              <w:t>八</w:t>
            </w:r>
            <w:r>
              <w:rPr>
                <w:rFonts w:ascii="宋体" w:hAnsi="宋体" w:eastAsia="宋体" w:cs="宋体"/>
                <w:i/>
                <w:iCs/>
                <w:color w:val="000000" w:themeColor="text1"/>
                <w:spacing w:val="-2"/>
                <w:sz w:val="24"/>
                <w:szCs w:val="24"/>
                <w:highlight w:val="none"/>
                <w:u w:val="single"/>
                <w14:textFill>
                  <w14:solidFill>
                    <w14:schemeClr w14:val="tx1"/>
                  </w14:solidFill>
                </w14:textFill>
              </w:rPr>
              <w:t>折付款</w:t>
            </w:r>
          </w:p>
        </w:tc>
        <w:tc>
          <w:tcPr>
            <w:tcW w:w="844" w:type="pct"/>
            <w:noWrap w:val="0"/>
            <w:vAlign w:val="top"/>
          </w:tcPr>
          <w:p w14:paraId="031F3E0A">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2"/>
                <w:sz w:val="24"/>
                <w:szCs w:val="24"/>
                <w:highlight w:val="none"/>
                <w:u w:val="single"/>
                <w14:textFill>
                  <w14:solidFill>
                    <w14:schemeClr w14:val="tx1"/>
                  </w14:solidFill>
                </w14:textFill>
              </w:rPr>
              <w:t>七折付</w:t>
            </w:r>
            <w:r>
              <w:rPr>
                <w:rFonts w:ascii="宋体" w:hAnsi="宋体" w:eastAsia="宋体" w:cs="宋体"/>
                <w:i/>
                <w:iCs/>
                <w:color w:val="000000" w:themeColor="text1"/>
                <w:spacing w:val="-1"/>
                <w:sz w:val="24"/>
                <w:szCs w:val="24"/>
                <w:highlight w:val="none"/>
                <w:u w:val="single"/>
                <w14:textFill>
                  <w14:solidFill>
                    <w14:schemeClr w14:val="tx1"/>
                  </w14:solidFill>
                </w14:textFill>
              </w:rPr>
              <w:t>款</w:t>
            </w:r>
          </w:p>
        </w:tc>
        <w:tc>
          <w:tcPr>
            <w:tcW w:w="851" w:type="pct"/>
            <w:noWrap w:val="0"/>
            <w:vAlign w:val="top"/>
          </w:tcPr>
          <w:p w14:paraId="0894C00D">
            <w:pPr>
              <w:spacing w:before="240" w:line="240" w:lineRule="auto"/>
              <w:jc w:val="center"/>
              <w:rPr>
                <w:rFonts w:ascii="宋体" w:hAnsi="宋体" w:eastAsia="宋体" w:cs="宋体"/>
                <w:i/>
                <w:iCs/>
                <w:color w:val="000000" w:themeColor="text1"/>
                <w:sz w:val="24"/>
                <w:szCs w:val="24"/>
                <w:highlight w:val="none"/>
                <w:u w:val="single"/>
                <w14:textFill>
                  <w14:solidFill>
                    <w14:schemeClr w14:val="tx1"/>
                  </w14:solidFill>
                </w14:textFill>
              </w:rPr>
            </w:pPr>
            <w:r>
              <w:rPr>
                <w:rFonts w:ascii="宋体" w:hAnsi="宋体" w:eastAsia="宋体" w:cs="宋体"/>
                <w:i/>
                <w:iCs/>
                <w:color w:val="000000" w:themeColor="text1"/>
                <w:spacing w:val="-3"/>
                <w:sz w:val="24"/>
                <w:szCs w:val="24"/>
                <w:highlight w:val="none"/>
                <w:u w:val="single"/>
                <w14:textFill>
                  <w14:solidFill>
                    <w14:schemeClr w14:val="tx1"/>
                  </w14:solidFill>
                </w14:textFill>
              </w:rPr>
              <w:t>六</w:t>
            </w:r>
            <w:r>
              <w:rPr>
                <w:rFonts w:ascii="宋体" w:hAnsi="宋体" w:eastAsia="宋体" w:cs="宋体"/>
                <w:i/>
                <w:iCs/>
                <w:color w:val="000000" w:themeColor="text1"/>
                <w:spacing w:val="-2"/>
                <w:sz w:val="24"/>
                <w:szCs w:val="24"/>
                <w:highlight w:val="none"/>
                <w:u w:val="single"/>
                <w14:textFill>
                  <w14:solidFill>
                    <w14:schemeClr w14:val="tx1"/>
                  </w14:solidFill>
                </w14:textFill>
              </w:rPr>
              <w:t>折付款</w:t>
            </w:r>
          </w:p>
        </w:tc>
      </w:tr>
    </w:tbl>
    <w:p w14:paraId="3A9FB6F2">
      <w:pPr>
        <w:keepNext w:val="0"/>
        <w:keepLines w:val="0"/>
        <w:pageBreakBefore w:val="0"/>
        <w:widowControl w:val="0"/>
        <w:spacing w:line="520" w:lineRule="exact"/>
        <w:ind w:firstLine="480"/>
        <w:rPr>
          <w:rStyle w:val="9"/>
          <w:rFonts w:ascii="宋体" w:hAnsi="宋体" w:eastAsia="宋体" w:cs="宋体"/>
          <w:b w:val="0"/>
          <w:i/>
          <w:color w:val="000000" w:themeColor="text1"/>
          <w:spacing w:val="7"/>
          <w:sz w:val="24"/>
          <w:highlight w:val="none"/>
          <w:u w:val="single"/>
          <w14:textFill>
            <w14:solidFill>
              <w14:schemeClr w14:val="tx1"/>
            </w14:solidFill>
          </w14:textFill>
        </w:rPr>
      </w:pPr>
      <w:r>
        <w:rPr>
          <w:rFonts w:hint="eastAsia" w:ascii="Times New Roman" w:hAnsi="Times New Roman" w:eastAsia="宋体" w:cs="Times New Roman"/>
          <w:i/>
          <w:iCs/>
          <w:color w:val="000000" w:themeColor="text1"/>
          <w:spacing w:val="0"/>
          <w:sz w:val="24"/>
          <w:szCs w:val="24"/>
          <w:highlight w:val="none"/>
          <w:u w:val="single"/>
          <w:lang w:val="en-US" w:eastAsia="zh-CN"/>
          <w14:textFill>
            <w14:solidFill>
              <w14:schemeClr w14:val="tx1"/>
            </w14:solidFill>
          </w14:textFill>
        </w:rPr>
        <w:t>实际</w:t>
      </w:r>
      <w:r>
        <w:rPr>
          <w:rStyle w:val="9"/>
          <w:rFonts w:ascii="宋体" w:hAnsi="宋体" w:eastAsia="宋体" w:cs="宋体"/>
          <w:b w:val="0"/>
          <w:i/>
          <w:color w:val="000000" w:themeColor="text1"/>
          <w:spacing w:val="7"/>
          <w:sz w:val="24"/>
          <w:highlight w:val="none"/>
          <w:u w:val="single"/>
          <w14:textFill>
            <w14:solidFill>
              <w14:schemeClr w14:val="tx1"/>
            </w14:solidFill>
          </w14:textFill>
        </w:rPr>
        <w:t>付款</w:t>
      </w:r>
      <w:r>
        <w:rPr>
          <w:rFonts w:hint="eastAsia" w:ascii="Times New Roman" w:hAnsi="Times New Roman" w:eastAsia="宋体" w:cs="Times New Roman"/>
          <w:i/>
          <w:iCs/>
          <w:color w:val="000000" w:themeColor="text1"/>
          <w:spacing w:val="0"/>
          <w:sz w:val="24"/>
          <w:szCs w:val="24"/>
          <w:highlight w:val="none"/>
          <w:u w:val="single"/>
          <w:lang w:val="en-US" w:eastAsia="zh-CN"/>
          <w14:textFill>
            <w14:solidFill>
              <w14:schemeClr w14:val="tx1"/>
            </w14:solidFill>
          </w14:textFill>
        </w:rPr>
        <w:t>金额=合同总金额的50%</w:t>
      </w:r>
      <w:r>
        <w:rPr>
          <w:rStyle w:val="9"/>
          <w:rFonts w:ascii="宋体" w:hAnsi="宋体" w:eastAsia="宋体" w:cs="宋体"/>
          <w:b w:val="0"/>
          <w:i/>
          <w:color w:val="000000" w:themeColor="text1"/>
          <w:spacing w:val="7"/>
          <w:sz w:val="24"/>
          <w:highlight w:val="none"/>
          <w:u w:val="single"/>
          <w14:textFill>
            <w14:solidFill>
              <w14:schemeClr w14:val="tx1"/>
            </w14:solidFill>
          </w14:textFill>
        </w:rPr>
        <w:t>×付款比例。</w:t>
      </w:r>
    </w:p>
    <w:p w14:paraId="5EEE9877">
      <w:pPr>
        <w:pStyle w:val="41"/>
        <w:keepNext w:val="0"/>
        <w:keepLines w:val="0"/>
        <w:pageBreakBefore w:val="0"/>
        <w:spacing w:line="520" w:lineRule="exact"/>
        <w:ind w:firstLine="482"/>
        <w:rPr>
          <w:rStyle w:val="18"/>
          <w:rFonts w:hint="eastAsia" w:ascii="宋体" w:hAnsi="宋体" w:eastAsia="宋体" w:cs="宋体"/>
          <w:b/>
          <w:color w:val="000000" w:themeColor="text1"/>
          <w:highlight w:val="none"/>
          <w:lang w:val="en-US" w:eastAsia="zh-CN"/>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三</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投标货币</w:t>
      </w:r>
    </w:p>
    <w:p w14:paraId="4635D3A2">
      <w:pPr>
        <w:pStyle w:val="41"/>
        <w:keepNext w:val="0"/>
        <w:keepLines w:val="0"/>
        <w:pageBreakBefore w:val="0"/>
        <w:spacing w:line="520" w:lineRule="exact"/>
        <w:ind w:firstLine="480"/>
        <w:rPr>
          <w:rStyle w:val="18"/>
          <w:rFonts w:ascii="宋体" w:hAnsi="宋体" w:eastAsia="宋体" w:cs="宋体"/>
          <w:i/>
          <w:color w:val="000000" w:themeColor="text1"/>
          <w:highlight w:val="none"/>
          <w:u w:val="single"/>
          <w14:textFill>
            <w14:solidFill>
              <w14:schemeClr w14:val="tx1"/>
            </w14:solidFill>
          </w14:textFill>
        </w:rPr>
      </w:pPr>
      <w:r>
        <w:rPr>
          <w:rStyle w:val="18"/>
          <w:rFonts w:hint="eastAsia" w:ascii="宋体" w:hAnsi="宋体" w:eastAsia="宋体" w:cs="宋体"/>
          <w:i/>
          <w:color w:val="000000" w:themeColor="text1"/>
          <w:highlight w:val="none"/>
          <w:u w:val="single"/>
          <w14:textFill>
            <w14:solidFill>
              <w14:schemeClr w14:val="tx1"/>
            </w14:solidFill>
          </w14:textFill>
        </w:rPr>
        <w:t>人民币。</w:t>
      </w:r>
    </w:p>
    <w:p w14:paraId="2DFDB531">
      <w:pPr>
        <w:pStyle w:val="41"/>
        <w:keepNext w:val="0"/>
        <w:keepLines w:val="0"/>
        <w:pageBreakBefore w:val="0"/>
        <w:spacing w:line="52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四</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备品备件及耗材等要求</w:t>
      </w:r>
    </w:p>
    <w:p w14:paraId="3F24A8C9">
      <w:pPr>
        <w:pStyle w:val="41"/>
        <w:keepNext w:val="0"/>
        <w:keepLines w:val="0"/>
        <w:pageBreakBefore w:val="0"/>
        <w:spacing w:line="520" w:lineRule="exact"/>
        <w:ind w:firstLine="480"/>
        <w:rPr>
          <w:rStyle w:val="18"/>
          <w:rFonts w:hint="eastAsia" w:ascii="宋体" w:hAnsi="宋体" w:eastAsia="宋体" w:cs="宋体"/>
          <w:i w:val="0"/>
          <w:iCs/>
          <w:color w:val="000000" w:themeColor="text1"/>
          <w:highlight w:val="none"/>
          <w:u w:val="none"/>
          <w14:textFill>
            <w14:solidFill>
              <w14:schemeClr w14:val="tx1"/>
            </w14:solidFill>
          </w14:textFill>
        </w:rPr>
      </w:pPr>
      <w:r>
        <w:rPr>
          <w:rStyle w:val="18"/>
          <w:rFonts w:hint="eastAsia" w:ascii="宋体" w:hAnsi="宋体" w:eastAsia="宋体" w:cs="宋体"/>
          <w:i w:val="0"/>
          <w:iCs/>
          <w:color w:val="000000" w:themeColor="text1"/>
          <w:highlight w:val="none"/>
          <w:u w:val="none"/>
          <w14:textFill>
            <w14:solidFill>
              <w14:schemeClr w14:val="tx1"/>
            </w14:solidFill>
          </w14:textFill>
        </w:rPr>
        <w:t>无。</w:t>
      </w:r>
    </w:p>
    <w:p w14:paraId="129EBDB2">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14:textFill>
            <w14:solidFill>
              <w14:schemeClr w14:val="tx1"/>
            </w14:solidFill>
          </w14:textFill>
        </w:rPr>
      </w:pPr>
    </w:p>
    <w:p w14:paraId="2720C52C">
      <w:pPr>
        <w:pStyle w:val="41"/>
        <w:keepNext w:val="0"/>
        <w:keepLines w:val="0"/>
        <w:pageBreakBefore w:val="0"/>
        <w:spacing w:line="520" w:lineRule="exact"/>
        <w:ind w:firstLine="480"/>
        <w:rPr>
          <w:rStyle w:val="18"/>
          <w:rFonts w:hint="eastAsia" w:ascii="宋体" w:hAnsi="宋体" w:eastAsia="宋体" w:cs="宋体"/>
          <w:i/>
          <w:color w:val="000000" w:themeColor="text1"/>
          <w:highlight w:val="none"/>
          <w:u w:val="single"/>
          <w14:textFill>
            <w14:solidFill>
              <w14:schemeClr w14:val="tx1"/>
            </w14:solidFill>
          </w14:textFill>
        </w:rPr>
        <w:sectPr>
          <w:headerReference r:id="rId19" w:type="first"/>
          <w:footerReference r:id="rId21" w:type="first"/>
          <w:headerReference r:id="rId18" w:type="default"/>
          <w:footerReference r:id="rId20" w:type="default"/>
          <w:pgSz w:w="11906" w:h="16838"/>
          <w:pgMar w:top="1440" w:right="1080" w:bottom="1440" w:left="1080" w:header="851" w:footer="992" w:gutter="0"/>
          <w:cols w:space="1701" w:num="1"/>
          <w:titlePg/>
          <w:docGrid w:linePitch="360" w:charSpace="0"/>
        </w:sectPr>
      </w:pPr>
    </w:p>
    <w:p w14:paraId="193C8E7D">
      <w:pPr>
        <w:keepNext w:val="0"/>
        <w:keepLines w:val="0"/>
        <w:pageBreakBefore w:val="0"/>
        <w:spacing w:line="52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四、其他部分</w:t>
      </w:r>
    </w:p>
    <w:p w14:paraId="0949C405">
      <w:pPr>
        <w:pStyle w:val="43"/>
        <w:keepNext w:val="0"/>
        <w:keepLines w:val="0"/>
        <w:pageBreakBefore w:val="0"/>
        <w:spacing w:line="520" w:lineRule="exact"/>
        <w:ind w:firstLine="602"/>
        <w:rPr>
          <w:rStyle w:val="18"/>
          <w:rFonts w:ascii="宋体" w:hAnsi="宋体" w:eastAsia="宋体" w:cs="宋体"/>
          <w:b/>
          <w:bCs/>
          <w:color w:val="000000" w:themeColor="text1"/>
          <w:sz w:val="30"/>
          <w:szCs w:val="30"/>
          <w:highlight w:val="none"/>
          <w14:textFill>
            <w14:solidFill>
              <w14:schemeClr w14:val="tx1"/>
            </w14:solidFill>
          </w14:textFill>
        </w:rPr>
      </w:pPr>
      <w:r>
        <w:rPr>
          <w:rStyle w:val="18"/>
          <w:rFonts w:hint="eastAsia" w:ascii="宋体" w:hAnsi="宋体" w:eastAsia="宋体" w:cs="宋体"/>
          <w:b/>
          <w:bCs/>
          <w:color w:val="000000" w:themeColor="text1"/>
          <w:sz w:val="30"/>
          <w:szCs w:val="30"/>
          <w:highlight w:val="none"/>
          <w14:textFill>
            <w14:solidFill>
              <w14:schemeClr w14:val="tx1"/>
            </w14:solidFill>
          </w14:textFill>
        </w:rPr>
        <w:t>附件1：</w:t>
      </w:r>
    </w:p>
    <w:p w14:paraId="79039B5F">
      <w:pPr>
        <w:pStyle w:val="43"/>
        <w:jc w:val="center"/>
        <w:rPr>
          <w:rStyle w:val="18"/>
          <w:rFonts w:ascii="宋体" w:hAnsi="宋体" w:eastAsia="宋体" w:cs="宋体"/>
          <w:b/>
          <w:bCs/>
          <w:color w:val="000000" w:themeColor="text1"/>
          <w:sz w:val="30"/>
          <w:szCs w:val="30"/>
          <w:highlight w:val="none"/>
          <w14:textFill>
            <w14:solidFill>
              <w14:schemeClr w14:val="tx1"/>
            </w14:solidFill>
          </w14:textFill>
        </w:rPr>
      </w:pPr>
      <w:r>
        <w:rPr>
          <w:rStyle w:val="18"/>
          <w:rFonts w:hint="eastAsia" w:ascii="宋体" w:hAnsi="宋体" w:eastAsia="宋体" w:cs="宋体"/>
          <w:b/>
          <w:bCs/>
          <w:color w:val="000000" w:themeColor="text1"/>
          <w:sz w:val="30"/>
          <w:szCs w:val="30"/>
          <w:highlight w:val="none"/>
          <w14:textFill>
            <w14:solidFill>
              <w14:schemeClr w14:val="tx1"/>
            </w14:solidFill>
          </w14:textFill>
        </w:rPr>
        <w:t>信息化智能预警监测</w:t>
      </w: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装置系统</w:t>
      </w:r>
      <w:r>
        <w:rPr>
          <w:rStyle w:val="18"/>
          <w:rFonts w:hint="eastAsia" w:ascii="宋体" w:hAnsi="宋体" w:eastAsia="宋体" w:cs="宋体"/>
          <w:b/>
          <w:bCs/>
          <w:color w:val="000000" w:themeColor="text1"/>
          <w:sz w:val="30"/>
          <w:szCs w:val="30"/>
          <w:highlight w:val="none"/>
          <w14:textFill>
            <w14:solidFill>
              <w14:schemeClr w14:val="tx1"/>
            </w14:solidFill>
          </w14:textFill>
        </w:rPr>
        <w:t>参数要求</w:t>
      </w:r>
    </w:p>
    <w:tbl>
      <w:tblPr>
        <w:tblStyle w:val="42"/>
        <w:tblW w:w="945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1942"/>
        <w:gridCol w:w="6379"/>
      </w:tblGrid>
      <w:tr w14:paraId="618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1138" w:type="dxa"/>
            <w:shd w:val="clear" w:color="auto" w:fill="B5C7EA" w:themeFill="accent1" w:themeFillTint="66"/>
            <w:noWrap w:val="0"/>
            <w:vAlign w:val="center"/>
          </w:tcPr>
          <w:p w14:paraId="1E7DCF03">
            <w:pPr>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942" w:type="dxa"/>
            <w:shd w:val="clear" w:color="auto" w:fill="B5C7EA" w:themeFill="accent1" w:themeFillTint="66"/>
            <w:noWrap w:val="0"/>
            <w:vAlign w:val="center"/>
          </w:tcPr>
          <w:p w14:paraId="59A87B74">
            <w:pPr>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名称</w:t>
            </w:r>
          </w:p>
        </w:tc>
        <w:tc>
          <w:tcPr>
            <w:tcW w:w="6379" w:type="dxa"/>
            <w:shd w:val="clear" w:color="auto" w:fill="B5C7EA" w:themeFill="accent1" w:themeFillTint="66"/>
            <w:noWrap w:val="0"/>
            <w:vAlign w:val="center"/>
          </w:tcPr>
          <w:p w14:paraId="66E89F37">
            <w:pPr>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参数要求</w:t>
            </w:r>
          </w:p>
        </w:tc>
      </w:tr>
      <w:tr w14:paraId="39D7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restart"/>
            <w:noWrap w:val="0"/>
            <w:vAlign w:val="center"/>
          </w:tcPr>
          <w:p w14:paraId="54D92BFB">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942" w:type="dxa"/>
            <w:vMerge w:val="restart"/>
            <w:noWrap w:val="0"/>
            <w:vAlign w:val="center"/>
          </w:tcPr>
          <w:p w14:paraId="3A22E558">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壳体要求</w:t>
            </w:r>
          </w:p>
        </w:tc>
        <w:tc>
          <w:tcPr>
            <w:tcW w:w="6379" w:type="dxa"/>
            <w:noWrap w:val="0"/>
            <w:vAlign w:val="center"/>
          </w:tcPr>
          <w:p w14:paraId="681BD51C">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塑料外壳长度不应小于150mm。</w:t>
            </w:r>
          </w:p>
        </w:tc>
      </w:tr>
      <w:tr w14:paraId="71E6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37E3308E">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1723068C">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16CE4704">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内置饵料的体积不小于300000mm³。</w:t>
            </w:r>
          </w:p>
        </w:tc>
      </w:tr>
      <w:tr w14:paraId="696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7E6AA437">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55322582">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36EDAA78">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3"/>
                <w:sz w:val="24"/>
                <w:szCs w:val="24"/>
                <w:highlight w:val="none"/>
                <w:lang w:eastAsia="zh-CN"/>
                <w14:textFill>
                  <w14:solidFill>
                    <w14:schemeClr w14:val="tx1"/>
                  </w14:solidFill>
                </w14:textFill>
              </w:rPr>
              <w:t>装置外壳应设置不小于5mm的白蚁</w:t>
            </w:r>
            <w:r>
              <w:rPr>
                <w:rFonts w:hint="eastAsia"/>
                <w:color w:val="000000" w:themeColor="text1"/>
                <w:spacing w:val="-1"/>
                <w:sz w:val="24"/>
                <w:szCs w:val="24"/>
                <w:highlight w:val="none"/>
                <w:lang w:eastAsia="zh-CN"/>
                <w14:textFill>
                  <w14:solidFill>
                    <w14:schemeClr w14:val="tx1"/>
                  </w14:solidFill>
                </w14:textFill>
              </w:rPr>
              <w:t>进出通道。</w:t>
            </w:r>
          </w:p>
        </w:tc>
      </w:tr>
      <w:tr w14:paraId="0B95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1C50DD19">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942" w:type="dxa"/>
            <w:noWrap w:val="0"/>
            <w:vAlign w:val="center"/>
          </w:tcPr>
          <w:p w14:paraId="27BF3DB9">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有效工作距离</w:t>
            </w:r>
          </w:p>
        </w:tc>
        <w:tc>
          <w:tcPr>
            <w:tcW w:w="6379" w:type="dxa"/>
            <w:noWrap w:val="0"/>
            <w:vAlign w:val="center"/>
          </w:tcPr>
          <w:p w14:paraId="1A870CEC">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3"/>
                <w:sz w:val="24"/>
                <w:szCs w:val="24"/>
                <w:highlight w:val="none"/>
                <w:lang w:eastAsia="zh-CN"/>
                <w14:textFill>
                  <w14:solidFill>
                    <w14:schemeClr w14:val="tx1"/>
                  </w14:solidFill>
                </w14:textFill>
              </w:rPr>
              <w:t>监测装置与蚁情采集器的有效工</w:t>
            </w:r>
            <w:r>
              <w:rPr>
                <w:rFonts w:hint="eastAsia"/>
                <w:color w:val="000000" w:themeColor="text1"/>
                <w:spacing w:val="-2"/>
                <w:sz w:val="24"/>
                <w:szCs w:val="24"/>
                <w:highlight w:val="none"/>
                <w:lang w:eastAsia="zh-CN"/>
                <w14:textFill>
                  <w14:solidFill>
                    <w14:schemeClr w14:val="tx1"/>
                  </w14:solidFill>
                </w14:textFill>
              </w:rPr>
              <w:t>作距离不低于30cm。</w:t>
            </w:r>
          </w:p>
        </w:tc>
      </w:tr>
      <w:tr w14:paraId="562B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2080037F">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942" w:type="dxa"/>
            <w:noWrap w:val="0"/>
            <w:vAlign w:val="center"/>
          </w:tcPr>
          <w:p w14:paraId="4AF341FA">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障碍物性能</w:t>
            </w:r>
          </w:p>
        </w:tc>
        <w:tc>
          <w:tcPr>
            <w:tcW w:w="6379" w:type="dxa"/>
            <w:noWrap w:val="0"/>
            <w:vAlign w:val="center"/>
          </w:tcPr>
          <w:p w14:paraId="5E3017E8">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监测装置埋设安装后，覆土不超过</w:t>
            </w:r>
            <w:r>
              <w:rPr>
                <w:rFonts w:hint="eastAsia"/>
                <w:color w:val="000000" w:themeColor="text1"/>
                <w:spacing w:val="-2"/>
                <w:sz w:val="24"/>
                <w:szCs w:val="24"/>
                <w:highlight w:val="none"/>
                <w:lang w:eastAsia="zh-CN"/>
                <w14:textFill>
                  <w14:solidFill>
                    <w14:schemeClr w14:val="tx1"/>
                  </w14:solidFill>
                </w14:textFill>
              </w:rPr>
              <w:t>20cm，蚁情采集器能正常读取信息。</w:t>
            </w:r>
          </w:p>
        </w:tc>
      </w:tr>
      <w:tr w14:paraId="40F1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0127B7B1">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942" w:type="dxa"/>
            <w:noWrap w:val="0"/>
            <w:vAlign w:val="center"/>
          </w:tcPr>
          <w:p w14:paraId="231B7F3E">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防水性</w:t>
            </w:r>
          </w:p>
        </w:tc>
        <w:tc>
          <w:tcPr>
            <w:tcW w:w="6379" w:type="dxa"/>
            <w:noWrap w:val="0"/>
            <w:vAlign w:val="center"/>
          </w:tcPr>
          <w:p w14:paraId="7C3E859B">
            <w:pPr>
              <w:pStyle w:val="44"/>
              <w:jc w:val="left"/>
              <w:rPr>
                <w:color w:val="000000" w:themeColor="text1"/>
                <w:sz w:val="24"/>
                <w:szCs w:val="24"/>
                <w:highlight w:val="none"/>
                <w:lang w:eastAsia="zh-CN"/>
                <w14:textFill>
                  <w14:solidFill>
                    <w14:schemeClr w14:val="tx1"/>
                  </w14:solidFill>
                </w14:textFill>
              </w:rPr>
            </w:pPr>
            <w:r>
              <w:rPr>
                <w:rStyle w:val="18"/>
                <w:rFonts w:hint="eastAsia"/>
                <w:color w:val="000000" w:themeColor="text1"/>
                <w:sz w:val="24"/>
                <w:szCs w:val="24"/>
                <w:highlight w:val="none"/>
                <w:lang w:eastAsia="zh-CN"/>
                <w14:textFill>
                  <w14:solidFill>
                    <w14:schemeClr w14:val="tx1"/>
                  </w14:solidFill>
                </w14:textFill>
              </w:rPr>
              <w:t>▲监测装置在常温水中连续浸泡不小于8小时后，应能正常工作（请在投标文件中提供CMA检测机构出具的检测报告原件扫描件或其他有效证明材料）。</w:t>
            </w:r>
          </w:p>
        </w:tc>
      </w:tr>
      <w:tr w14:paraId="1042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restart"/>
            <w:noWrap w:val="0"/>
            <w:vAlign w:val="center"/>
          </w:tcPr>
          <w:p w14:paraId="163FB11F">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942" w:type="dxa"/>
            <w:vMerge w:val="restart"/>
            <w:noWrap w:val="0"/>
            <w:vAlign w:val="center"/>
          </w:tcPr>
          <w:p w14:paraId="14E9FAAA">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工作环境温度</w:t>
            </w:r>
          </w:p>
        </w:tc>
        <w:tc>
          <w:tcPr>
            <w:tcW w:w="6379" w:type="dxa"/>
            <w:noWrap w:val="0"/>
            <w:vAlign w:val="center"/>
          </w:tcPr>
          <w:p w14:paraId="706644F2">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5"/>
                <w:sz w:val="24"/>
                <w:szCs w:val="24"/>
                <w:highlight w:val="none"/>
                <w:lang w:eastAsia="zh-CN"/>
                <w14:textFill>
                  <w14:solidFill>
                    <w14:schemeClr w14:val="tx1"/>
                  </w14:solidFill>
                </w14:textFill>
              </w:rPr>
              <w:t>监测装置在温度-10℃~+80℃区</w:t>
            </w:r>
            <w:r>
              <w:rPr>
                <w:rFonts w:hint="eastAsia"/>
                <w:color w:val="000000" w:themeColor="text1"/>
                <w:spacing w:val="-3"/>
                <w:sz w:val="24"/>
                <w:szCs w:val="24"/>
                <w:highlight w:val="none"/>
                <w:lang w:eastAsia="zh-CN"/>
                <w14:textFill>
                  <w14:solidFill>
                    <w14:schemeClr w14:val="tx1"/>
                  </w14:solidFill>
                </w14:textFill>
              </w:rPr>
              <w:t>间内，应能正常工作。</w:t>
            </w:r>
          </w:p>
        </w:tc>
      </w:tr>
      <w:tr w14:paraId="252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vMerge w:val="continue"/>
            <w:noWrap w:val="0"/>
            <w:vAlign w:val="center"/>
          </w:tcPr>
          <w:p w14:paraId="1DA30939">
            <w:pPr>
              <w:jc w:val="center"/>
              <w:rPr>
                <w:rFonts w:ascii="宋体" w:hAnsi="宋体" w:cs="宋体"/>
                <w:color w:val="000000" w:themeColor="text1"/>
                <w:sz w:val="24"/>
                <w:szCs w:val="24"/>
                <w:highlight w:val="none"/>
                <w14:textFill>
                  <w14:solidFill>
                    <w14:schemeClr w14:val="tx1"/>
                  </w14:solidFill>
                </w14:textFill>
              </w:rPr>
            </w:pPr>
          </w:p>
        </w:tc>
        <w:tc>
          <w:tcPr>
            <w:tcW w:w="1942" w:type="dxa"/>
            <w:vMerge w:val="continue"/>
            <w:noWrap w:val="0"/>
            <w:vAlign w:val="center"/>
          </w:tcPr>
          <w:p w14:paraId="2F4C5C20">
            <w:pPr>
              <w:jc w:val="left"/>
              <w:rPr>
                <w:rFonts w:ascii="宋体" w:hAnsi="宋体" w:cs="宋体"/>
                <w:color w:val="000000" w:themeColor="text1"/>
                <w:sz w:val="24"/>
                <w:szCs w:val="24"/>
                <w:highlight w:val="none"/>
                <w14:textFill>
                  <w14:solidFill>
                    <w14:schemeClr w14:val="tx1"/>
                  </w14:solidFill>
                </w14:textFill>
              </w:rPr>
            </w:pPr>
          </w:p>
        </w:tc>
        <w:tc>
          <w:tcPr>
            <w:tcW w:w="6379" w:type="dxa"/>
            <w:noWrap w:val="0"/>
            <w:vAlign w:val="center"/>
          </w:tcPr>
          <w:p w14:paraId="63D6892A">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5"/>
                <w:sz w:val="24"/>
                <w:szCs w:val="24"/>
                <w:highlight w:val="none"/>
                <w:lang w:eastAsia="zh-CN"/>
                <w14:textFill>
                  <w14:solidFill>
                    <w14:schemeClr w14:val="tx1"/>
                  </w14:solidFill>
                </w14:textFill>
              </w:rPr>
              <w:t>蚁情采集器在温度-5℃~+65℃区</w:t>
            </w:r>
            <w:r>
              <w:rPr>
                <w:rFonts w:hint="eastAsia"/>
                <w:color w:val="000000" w:themeColor="text1"/>
                <w:spacing w:val="-3"/>
                <w:sz w:val="24"/>
                <w:szCs w:val="24"/>
                <w:highlight w:val="none"/>
                <w:lang w:eastAsia="zh-CN"/>
                <w14:textFill>
                  <w14:solidFill>
                    <w14:schemeClr w14:val="tx1"/>
                  </w14:solidFill>
                </w14:textFill>
              </w:rPr>
              <w:t>间内，应能正常工作。</w:t>
            </w:r>
          </w:p>
        </w:tc>
      </w:tr>
      <w:tr w14:paraId="1BE5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28FDCD20">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942" w:type="dxa"/>
            <w:noWrap w:val="0"/>
            <w:vAlign w:val="center"/>
          </w:tcPr>
          <w:p w14:paraId="18B5A485">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低温性能</w:t>
            </w:r>
          </w:p>
        </w:tc>
        <w:tc>
          <w:tcPr>
            <w:tcW w:w="6379" w:type="dxa"/>
            <w:noWrap w:val="0"/>
            <w:vAlign w:val="center"/>
          </w:tcPr>
          <w:p w14:paraId="53FAF03C">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监测装置在-10℃环境中放置4小时后，应正常工作。</w:t>
            </w:r>
          </w:p>
        </w:tc>
      </w:tr>
      <w:tr w14:paraId="77A1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275E0186">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942" w:type="dxa"/>
            <w:noWrap w:val="0"/>
            <w:vAlign w:val="center"/>
          </w:tcPr>
          <w:p w14:paraId="4A0C566B">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高温性能</w:t>
            </w:r>
          </w:p>
        </w:tc>
        <w:tc>
          <w:tcPr>
            <w:tcW w:w="6379" w:type="dxa"/>
            <w:noWrap w:val="0"/>
            <w:vAlign w:val="center"/>
          </w:tcPr>
          <w:p w14:paraId="10C10C9B">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监测装置在80℃环境中放置4小时后，应正常工作。</w:t>
            </w:r>
          </w:p>
        </w:tc>
      </w:tr>
      <w:tr w14:paraId="3E2B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5CBC167E">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942" w:type="dxa"/>
            <w:noWrap w:val="0"/>
            <w:vAlign w:val="center"/>
          </w:tcPr>
          <w:p w14:paraId="07619A9F">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中性盐雾测试</w:t>
            </w:r>
          </w:p>
        </w:tc>
        <w:tc>
          <w:tcPr>
            <w:tcW w:w="6379" w:type="dxa"/>
            <w:noWrap w:val="0"/>
            <w:vAlign w:val="center"/>
          </w:tcPr>
          <w:p w14:paraId="35DCC038">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监测装置在中性盐雾中放置24小</w:t>
            </w:r>
            <w:r>
              <w:rPr>
                <w:rFonts w:hint="eastAsia"/>
                <w:color w:val="000000" w:themeColor="text1"/>
                <w:spacing w:val="-1"/>
                <w:sz w:val="24"/>
                <w:szCs w:val="24"/>
                <w:highlight w:val="none"/>
                <w:lang w:eastAsia="zh-CN"/>
                <w14:textFill>
                  <w14:solidFill>
                    <w14:schemeClr w14:val="tx1"/>
                  </w14:solidFill>
                </w14:textFill>
              </w:rPr>
              <w:t>时后，装置表面要求没有明显腐蚀</w:t>
            </w:r>
            <w:r>
              <w:rPr>
                <w:rFonts w:hint="eastAsia"/>
                <w:color w:val="000000" w:themeColor="text1"/>
                <w:spacing w:val="-3"/>
                <w:sz w:val="24"/>
                <w:szCs w:val="24"/>
                <w:highlight w:val="none"/>
                <w:lang w:eastAsia="zh-CN"/>
                <w14:textFill>
                  <w14:solidFill>
                    <w14:schemeClr w14:val="tx1"/>
                  </w14:solidFill>
                </w14:textFill>
              </w:rPr>
              <w:t>现象。</w:t>
            </w:r>
          </w:p>
        </w:tc>
      </w:tr>
      <w:tr w14:paraId="3C05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7AC14676">
            <w:pPr>
              <w:pStyle w:val="44"/>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942" w:type="dxa"/>
            <w:noWrap w:val="0"/>
            <w:vAlign w:val="center"/>
          </w:tcPr>
          <w:p w14:paraId="7C4509C5">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传输方式</w:t>
            </w:r>
          </w:p>
        </w:tc>
        <w:tc>
          <w:tcPr>
            <w:tcW w:w="6379" w:type="dxa"/>
            <w:noWrap w:val="0"/>
            <w:vAlign w:val="center"/>
          </w:tcPr>
          <w:p w14:paraId="4F330A7C">
            <w:pPr>
              <w:pStyle w:val="44"/>
              <w:jc w:val="left"/>
              <w:rPr>
                <w:color w:val="000000" w:themeColor="text1"/>
                <w:sz w:val="24"/>
                <w:szCs w:val="24"/>
                <w:highlight w:val="none"/>
                <w:lang w:eastAsia="zh-CN"/>
                <w14:textFill>
                  <w14:solidFill>
                    <w14:schemeClr w14:val="tx1"/>
                  </w14:solidFill>
                </w14:textFill>
              </w:rPr>
            </w:pPr>
            <w:r>
              <w:rPr>
                <w:rStyle w:val="18"/>
                <w:rFonts w:hint="eastAsia"/>
                <w:color w:val="000000" w:themeColor="text1"/>
                <w:sz w:val="24"/>
                <w:szCs w:val="24"/>
                <w:highlight w:val="none"/>
                <w:lang w:eastAsia="zh-CN"/>
                <w14:textFill>
                  <w14:solidFill>
                    <w14:schemeClr w14:val="tx1"/>
                  </w14:solidFill>
                </w14:textFill>
              </w:rPr>
              <w:t>▲</w:t>
            </w:r>
            <w:r>
              <w:rPr>
                <w:rStyle w:val="18"/>
                <w:rFonts w:hint="eastAsia" w:asciiTheme="minorHAnsi" w:hAnsiTheme="minorHAnsi" w:eastAsiaTheme="minorEastAsia"/>
                <w:color w:val="000000" w:themeColor="text1"/>
                <w:sz w:val="24"/>
                <w:szCs w:val="24"/>
                <w:highlight w:val="none"/>
                <w:lang w:eastAsia="zh-CN"/>
                <w14:textFill>
                  <w14:solidFill>
                    <w14:schemeClr w14:val="tx1"/>
                  </w14:solidFill>
                </w14:textFill>
              </w:rPr>
              <w:t>监测装置以无线的方式向蚁情采集器传输信息</w:t>
            </w:r>
            <w:r>
              <w:rPr>
                <w:rStyle w:val="18"/>
                <w:rFonts w:hint="eastAsia"/>
                <w:color w:val="000000" w:themeColor="text1"/>
                <w:sz w:val="24"/>
                <w:szCs w:val="24"/>
                <w:highlight w:val="none"/>
                <w:lang w:eastAsia="zh-CN"/>
                <w14:textFill>
                  <w14:solidFill>
                    <w14:schemeClr w14:val="tx1"/>
                  </w14:solidFill>
                </w14:textFill>
              </w:rPr>
              <w:t>（请在投标文件中提供CMA检测机构出具的检测报告原件扫描件或其他有效证明材料）。</w:t>
            </w:r>
          </w:p>
        </w:tc>
      </w:tr>
      <w:tr w14:paraId="3696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0D2FDCEF">
            <w:pPr>
              <w:pStyle w:val="44"/>
              <w:jc w:val="center"/>
              <w:rPr>
                <w:color w:val="000000" w:themeColor="text1"/>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10</w:t>
            </w:r>
          </w:p>
        </w:tc>
        <w:tc>
          <w:tcPr>
            <w:tcW w:w="1942" w:type="dxa"/>
            <w:noWrap w:val="0"/>
            <w:vAlign w:val="center"/>
          </w:tcPr>
          <w:p w14:paraId="781031E6">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声光信息</w:t>
            </w:r>
          </w:p>
        </w:tc>
        <w:tc>
          <w:tcPr>
            <w:tcW w:w="6379" w:type="dxa"/>
            <w:noWrap w:val="0"/>
            <w:vAlign w:val="center"/>
          </w:tcPr>
          <w:p w14:paraId="607BEE54">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蚁情采集器监测到蚁害时，有声光</w:t>
            </w:r>
            <w:r>
              <w:rPr>
                <w:rFonts w:hint="eastAsia"/>
                <w:color w:val="000000" w:themeColor="text1"/>
                <w:spacing w:val="-2"/>
                <w:sz w:val="24"/>
                <w:szCs w:val="24"/>
                <w:highlight w:val="none"/>
                <w:lang w:eastAsia="zh-CN"/>
                <w14:textFill>
                  <w14:solidFill>
                    <w14:schemeClr w14:val="tx1"/>
                  </w14:solidFill>
                </w14:textFill>
              </w:rPr>
              <w:t>信息提示。</w:t>
            </w:r>
          </w:p>
        </w:tc>
      </w:tr>
      <w:tr w14:paraId="0651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38" w:type="dxa"/>
            <w:noWrap w:val="0"/>
            <w:vAlign w:val="center"/>
          </w:tcPr>
          <w:p w14:paraId="7FF20A3A">
            <w:pPr>
              <w:pStyle w:val="44"/>
              <w:jc w:val="center"/>
              <w:rPr>
                <w:color w:val="000000" w:themeColor="text1"/>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11</w:t>
            </w:r>
          </w:p>
        </w:tc>
        <w:tc>
          <w:tcPr>
            <w:tcW w:w="1942" w:type="dxa"/>
            <w:noWrap w:val="0"/>
            <w:vAlign w:val="center"/>
          </w:tcPr>
          <w:p w14:paraId="4A045A97">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连续工作时间</w:t>
            </w:r>
          </w:p>
        </w:tc>
        <w:tc>
          <w:tcPr>
            <w:tcW w:w="6379" w:type="dxa"/>
            <w:noWrap w:val="0"/>
            <w:vAlign w:val="center"/>
          </w:tcPr>
          <w:p w14:paraId="32B48353">
            <w:pPr>
              <w:pStyle w:val="44"/>
              <w:jc w:val="left"/>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蚁情采集器连续工作时间应不低</w:t>
            </w:r>
            <w:r>
              <w:rPr>
                <w:rFonts w:hint="eastAsia"/>
                <w:color w:val="000000" w:themeColor="text1"/>
                <w:spacing w:val="-6"/>
                <w:sz w:val="24"/>
                <w:szCs w:val="24"/>
                <w:highlight w:val="none"/>
                <w:lang w:eastAsia="zh-CN"/>
                <w14:textFill>
                  <w14:solidFill>
                    <w14:schemeClr w14:val="tx1"/>
                  </w14:solidFill>
                </w14:textFill>
              </w:rPr>
              <w:t>于5h。</w:t>
            </w:r>
          </w:p>
        </w:tc>
      </w:tr>
    </w:tbl>
    <w:p w14:paraId="4395764B">
      <w:pPr>
        <w:pStyle w:val="43"/>
        <w:rPr>
          <w:rStyle w:val="18"/>
          <w:rFonts w:ascii="宋体" w:hAnsi="宋体" w:eastAsia="宋体" w:cs="宋体"/>
          <w:b/>
          <w:bCs/>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1701" w:num="1"/>
          <w:titlePg/>
          <w:docGrid w:linePitch="360" w:charSpace="0"/>
        </w:sectPr>
      </w:pPr>
    </w:p>
    <w:p w14:paraId="0EA047FB">
      <w:pPr>
        <w:pStyle w:val="43"/>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附件2：</w:t>
      </w:r>
    </w:p>
    <w:p w14:paraId="59683EB7">
      <w:pPr>
        <w:pStyle w:val="43"/>
        <w:jc w:val="center"/>
        <w:rPr>
          <w:rStyle w:val="18"/>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30"/>
          <w:szCs w:val="30"/>
          <w:highlight w:val="none"/>
          <w:lang w:val="en-US" w:eastAsia="zh-CN"/>
          <w14:textFill>
            <w14:solidFill>
              <w14:schemeClr w14:val="tx1"/>
            </w14:solidFill>
          </w14:textFill>
        </w:rPr>
        <w:t>考核细则</w:t>
      </w:r>
    </w:p>
    <w:tbl>
      <w:tblPr>
        <w:tblStyle w:val="8"/>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0"/>
        <w:gridCol w:w="4492"/>
        <w:gridCol w:w="3712"/>
        <w:gridCol w:w="855"/>
      </w:tblGrid>
      <w:tr w14:paraId="1BE0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368" w:type="pct"/>
            <w:noWrap w:val="0"/>
            <w:tcMar>
              <w:top w:w="0" w:type="dxa"/>
              <w:left w:w="108" w:type="dxa"/>
              <w:bottom w:w="0" w:type="dxa"/>
              <w:right w:w="108" w:type="dxa"/>
            </w:tcMar>
            <w:vAlign w:val="center"/>
          </w:tcPr>
          <w:p w14:paraId="5EE8554F">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序号</w:t>
            </w:r>
          </w:p>
        </w:tc>
        <w:tc>
          <w:tcPr>
            <w:tcW w:w="2297" w:type="pct"/>
            <w:noWrap w:val="0"/>
            <w:tcMar>
              <w:top w:w="0" w:type="dxa"/>
              <w:left w:w="108" w:type="dxa"/>
              <w:bottom w:w="0" w:type="dxa"/>
              <w:right w:w="108" w:type="dxa"/>
            </w:tcMar>
            <w:vAlign w:val="center"/>
          </w:tcPr>
          <w:p w14:paraId="6579F4EB">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标准内容和要求</w:t>
            </w:r>
          </w:p>
        </w:tc>
        <w:tc>
          <w:tcPr>
            <w:tcW w:w="1898" w:type="pct"/>
            <w:noWrap w:val="0"/>
            <w:tcMar>
              <w:top w:w="0" w:type="dxa"/>
              <w:left w:w="108" w:type="dxa"/>
              <w:bottom w:w="0" w:type="dxa"/>
              <w:right w:w="108" w:type="dxa"/>
            </w:tcMar>
            <w:vAlign w:val="center"/>
          </w:tcPr>
          <w:p w14:paraId="6C149E02">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bCs/>
                <w:i w:val="0"/>
                <w:iCs w:val="0"/>
                <w:smallCaps w:val="0"/>
                <w:color w:val="000000" w:themeColor="text1"/>
                <w:sz w:val="24"/>
                <w:szCs w:val="24"/>
                <w:highlight w:val="none"/>
                <w14:textFill>
                  <w14:solidFill>
                    <w14:schemeClr w14:val="tx1"/>
                  </w14:solidFill>
                </w14:textFill>
              </w:rPr>
              <w:t>评分标准</w:t>
            </w:r>
          </w:p>
        </w:tc>
        <w:tc>
          <w:tcPr>
            <w:tcW w:w="435" w:type="pct"/>
            <w:noWrap w:val="0"/>
            <w:tcMar>
              <w:top w:w="0" w:type="dxa"/>
              <w:left w:w="108" w:type="dxa"/>
              <w:bottom w:w="0" w:type="dxa"/>
              <w:right w:w="108" w:type="dxa"/>
            </w:tcMar>
            <w:vAlign w:val="center"/>
          </w:tcPr>
          <w:p w14:paraId="6936B76D">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bCs/>
                <w:i w:val="0"/>
                <w:iCs w:val="0"/>
                <w:smallCaps w:val="0"/>
                <w:color w:val="000000" w:themeColor="text1"/>
                <w:sz w:val="24"/>
                <w:szCs w:val="24"/>
                <w:highlight w:val="none"/>
                <w:lang w:val="en-US" w:eastAsia="zh-CN"/>
                <w14:textFill>
                  <w14:solidFill>
                    <w14:schemeClr w14:val="tx1"/>
                  </w14:solidFill>
                </w14:textFill>
              </w:rPr>
              <w:t>扣分</w:t>
            </w:r>
          </w:p>
        </w:tc>
      </w:tr>
      <w:tr w14:paraId="3F5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68" w:type="pct"/>
            <w:noWrap w:val="0"/>
            <w:tcMar>
              <w:top w:w="0" w:type="dxa"/>
              <w:left w:w="108" w:type="dxa"/>
              <w:bottom w:w="0" w:type="dxa"/>
              <w:right w:w="108" w:type="dxa"/>
            </w:tcMar>
            <w:vAlign w:val="center"/>
          </w:tcPr>
          <w:p w14:paraId="6680E598">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1</w:t>
            </w:r>
          </w:p>
        </w:tc>
        <w:tc>
          <w:tcPr>
            <w:tcW w:w="2297" w:type="pct"/>
            <w:noWrap w:val="0"/>
            <w:tcMar>
              <w:top w:w="0" w:type="dxa"/>
              <w:left w:w="108" w:type="dxa"/>
              <w:bottom w:w="0" w:type="dxa"/>
              <w:right w:w="108" w:type="dxa"/>
            </w:tcMar>
            <w:vAlign w:val="center"/>
          </w:tcPr>
          <w:p w14:paraId="6C006E36">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合同期内</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完成普查及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并出具合格</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报告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3712" w:type="dxa"/>
            <w:noWrap w:val="0"/>
            <w:tcMar>
              <w:top w:w="0" w:type="dxa"/>
              <w:left w:w="108" w:type="dxa"/>
              <w:bottom w:w="0" w:type="dxa"/>
              <w:right w:w="108" w:type="dxa"/>
            </w:tcMar>
            <w:vAlign w:val="center"/>
          </w:tcPr>
          <w:p w14:paraId="04504992">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2025年10月底前完成对《2024年度白蚁等害堤动物普查及治理项目》中已普查到的受害堤防的治理并出具报告。2026年4月底前完成堤防的普查并出具报告。未完成</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延迟一天扣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4688099D">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0D63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68" w:type="pct"/>
            <w:noWrap w:val="0"/>
            <w:tcMar>
              <w:top w:w="0" w:type="dxa"/>
              <w:left w:w="108" w:type="dxa"/>
              <w:bottom w:w="0" w:type="dxa"/>
              <w:right w:w="108" w:type="dxa"/>
            </w:tcMar>
            <w:vAlign w:val="center"/>
          </w:tcPr>
          <w:p w14:paraId="23FD65C5">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2</w:t>
            </w:r>
          </w:p>
        </w:tc>
        <w:tc>
          <w:tcPr>
            <w:tcW w:w="2297" w:type="pct"/>
            <w:noWrap w:val="0"/>
            <w:tcMar>
              <w:top w:w="0" w:type="dxa"/>
              <w:left w:w="108" w:type="dxa"/>
              <w:bottom w:w="0" w:type="dxa"/>
              <w:right w:w="108" w:type="dxa"/>
            </w:tcMar>
            <w:vAlign w:val="center"/>
          </w:tcPr>
          <w:p w14:paraId="2DD51EE1">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每次</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普查</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后按实际情况</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安装引诱桩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1900个</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，引诱装置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700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个</w:t>
            </w:r>
            <w:r>
              <w:rPr>
                <w:rFonts w:hint="eastAsia" w:ascii="Times New Roman" w:hAnsi="Times New Roman" w:cs="Times New Roman"/>
                <w:strike w:val="0"/>
                <w:color w:val="000000" w:themeColor="text1"/>
                <w:sz w:val="24"/>
                <w:szCs w:val="24"/>
                <w:highlight w:val="none"/>
                <w:lang w:val="en-US"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493BBFCA">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引诱桩少完成一根扣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，引诱装置少完成一个扣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，电子监测装置少完成一个扣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70BAFEA8">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499A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3" w:hRule="atLeast"/>
          <w:jc w:val="center"/>
        </w:trPr>
        <w:tc>
          <w:tcPr>
            <w:tcW w:w="368" w:type="pct"/>
            <w:noWrap w:val="0"/>
            <w:tcMar>
              <w:top w:w="0" w:type="dxa"/>
              <w:left w:w="108" w:type="dxa"/>
              <w:bottom w:w="0" w:type="dxa"/>
              <w:right w:w="108" w:type="dxa"/>
            </w:tcMar>
            <w:vAlign w:val="center"/>
          </w:tcPr>
          <w:p w14:paraId="6B66787D">
            <w:pPr>
              <w:pStyle w:val="45"/>
              <w:spacing w:before="100" w:after="100" w:line="240" w:lineRule="auto"/>
              <w:jc w:val="cente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hint="default"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3</w:t>
            </w:r>
          </w:p>
        </w:tc>
        <w:tc>
          <w:tcPr>
            <w:tcW w:w="2297" w:type="pct"/>
            <w:noWrap w:val="0"/>
            <w:tcMar>
              <w:top w:w="0" w:type="dxa"/>
              <w:left w:w="108" w:type="dxa"/>
              <w:bottom w:w="0" w:type="dxa"/>
              <w:right w:w="108" w:type="dxa"/>
            </w:tcMar>
            <w:vAlign w:val="center"/>
          </w:tcPr>
          <w:p w14:paraId="108822F3">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对《2024年度白蚁等害堤动物普查及治理项目》中已普查到的受害堤防</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及本标段的普查到的受害堤防进行治理，并埋设信息化智能预警监测装置。</w:t>
            </w:r>
          </w:p>
        </w:tc>
        <w:tc>
          <w:tcPr>
            <w:tcW w:w="1898" w:type="pct"/>
            <w:noWrap w:val="0"/>
            <w:tcMar>
              <w:top w:w="0" w:type="dxa"/>
              <w:left w:w="108" w:type="dxa"/>
              <w:bottom w:w="0" w:type="dxa"/>
              <w:right w:w="108" w:type="dxa"/>
            </w:tcMar>
            <w:vAlign w:val="center"/>
          </w:tcPr>
          <w:p w14:paraId="4663D40F">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对普查到的白蚁等害堤动物治理少一处扣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10分，埋设</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信息化智能预警监测装置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少一处扣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3F74B005">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5777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368" w:type="pct"/>
            <w:noWrap w:val="0"/>
            <w:tcMar>
              <w:top w:w="0" w:type="dxa"/>
              <w:left w:w="108" w:type="dxa"/>
              <w:bottom w:w="0" w:type="dxa"/>
              <w:right w:w="108" w:type="dxa"/>
            </w:tcMar>
            <w:vAlign w:val="center"/>
          </w:tcPr>
          <w:p w14:paraId="4F47B3CB">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4</w:t>
            </w:r>
          </w:p>
        </w:tc>
        <w:tc>
          <w:tcPr>
            <w:tcW w:w="2297" w:type="pct"/>
            <w:noWrap w:val="0"/>
            <w:tcMar>
              <w:top w:w="0" w:type="dxa"/>
              <w:left w:w="108" w:type="dxa"/>
              <w:bottom w:w="0" w:type="dxa"/>
              <w:right w:w="108" w:type="dxa"/>
            </w:tcMar>
            <w:vAlign w:val="center"/>
          </w:tcPr>
          <w:p w14:paraId="16D31589">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小时内到达白蚁信息化智能监测系统的报警点进行处理。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任务响应不及时、服务态度不好、工作方法方式简单粗暴或违规违法的。</w:t>
            </w:r>
          </w:p>
        </w:tc>
        <w:tc>
          <w:tcPr>
            <w:tcW w:w="1898" w:type="pct"/>
            <w:noWrap w:val="0"/>
            <w:tcMar>
              <w:top w:w="0" w:type="dxa"/>
              <w:left w:w="108" w:type="dxa"/>
              <w:bottom w:w="0" w:type="dxa"/>
              <w:right w:w="108" w:type="dxa"/>
            </w:tcMar>
            <w:vAlign w:val="center"/>
          </w:tcPr>
          <w:p w14:paraId="1A6A6666">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未及时响应一次扣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10分。</w:t>
            </w:r>
          </w:p>
        </w:tc>
        <w:tc>
          <w:tcPr>
            <w:tcW w:w="435" w:type="pct"/>
            <w:noWrap w:val="0"/>
            <w:tcMar>
              <w:top w:w="0" w:type="dxa"/>
              <w:left w:w="108" w:type="dxa"/>
              <w:bottom w:w="0" w:type="dxa"/>
              <w:right w:w="108" w:type="dxa"/>
            </w:tcMar>
            <w:vAlign w:val="center"/>
          </w:tcPr>
          <w:p w14:paraId="5894C70B">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121D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3CA22072">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5</w:t>
            </w:r>
          </w:p>
        </w:tc>
        <w:tc>
          <w:tcPr>
            <w:tcW w:w="2297" w:type="pct"/>
            <w:noWrap w:val="0"/>
            <w:tcMar>
              <w:top w:w="0" w:type="dxa"/>
              <w:left w:w="108" w:type="dxa"/>
              <w:bottom w:w="0" w:type="dxa"/>
              <w:right w:w="108" w:type="dxa"/>
            </w:tcMar>
            <w:vAlign w:val="center"/>
          </w:tcPr>
          <w:p w14:paraId="744C9D31">
            <w:pPr>
              <w:jc w:val="left"/>
              <w:rPr>
                <w:rFonts w:hint="eastAsia"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Style w:val="18"/>
                <w:rFonts w:hint="default" w:ascii="Times New Roman" w:hAnsi="Times New Roman" w:eastAsia="宋体" w:cs="Times New Roman"/>
                <w:color w:val="000000" w:themeColor="text1"/>
                <w:sz w:val="24"/>
                <w:szCs w:val="24"/>
                <w:highlight w:val="none"/>
                <w14:textFill>
                  <w14:solidFill>
                    <w14:schemeClr w14:val="tx1"/>
                  </w14:solidFill>
                </w14:textFill>
              </w:rPr>
              <w:t>担任本项目负责人工作期间，必须每天到达现场打卡</w:t>
            </w:r>
            <w:r>
              <w:rPr>
                <w:rStyle w:val="18"/>
                <w:rFonts w:hint="eastAsia" w:ascii="Times New Roman" w:hAnsi="Times New Roman" w:cs="Times New Roman"/>
                <w:color w:val="000000" w:themeColor="text1"/>
                <w:sz w:val="24"/>
                <w:szCs w:val="24"/>
                <w:highlight w:val="none"/>
                <w:lang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51561751">
            <w:pPr>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少打卡一天扣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3分。</w:t>
            </w:r>
          </w:p>
        </w:tc>
        <w:tc>
          <w:tcPr>
            <w:tcW w:w="435" w:type="pct"/>
            <w:noWrap w:val="0"/>
            <w:tcMar>
              <w:top w:w="0" w:type="dxa"/>
              <w:left w:w="108" w:type="dxa"/>
              <w:bottom w:w="0" w:type="dxa"/>
              <w:right w:w="108" w:type="dxa"/>
            </w:tcMar>
            <w:vAlign w:val="center"/>
          </w:tcPr>
          <w:p w14:paraId="2C230F1F">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3373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1FE2DD8D">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eastAsia="zh-CN"/>
                <w14:textFill>
                  <w14:solidFill>
                    <w14:schemeClr w14:val="tx1"/>
                  </w14:solidFill>
                </w14:textFill>
              </w:rPr>
            </w:pPr>
            <w: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6</w:t>
            </w:r>
          </w:p>
        </w:tc>
        <w:tc>
          <w:tcPr>
            <w:tcW w:w="2297" w:type="pct"/>
            <w:noWrap w:val="0"/>
            <w:tcMar>
              <w:top w:w="0" w:type="dxa"/>
              <w:left w:w="108" w:type="dxa"/>
              <w:bottom w:w="0" w:type="dxa"/>
              <w:right w:w="108" w:type="dxa"/>
            </w:tcMar>
            <w:vAlign w:val="center"/>
          </w:tcPr>
          <w:p w14:paraId="038111A0">
            <w:pPr>
              <w:pStyle w:val="45"/>
              <w:spacing w:before="100" w:after="100" w:line="240" w:lineRule="auto"/>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4"/>
                <w:szCs w:val="24"/>
                <w:highlight w:val="none"/>
                <w:shd w:val="clear" w:color="auto" w:fill="auto"/>
                <w:lang w:val="zh-CN" w:eastAsia="zh-CN" w:bidi="ar-SA"/>
                <w14:textFill>
                  <w14:solidFill>
                    <w14:schemeClr w14:val="tx1"/>
                  </w14:solidFill>
                </w14:textFill>
              </w:rPr>
              <w:t>制定项目安全实施管理措施，并严格遵守安全管理要求，</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保证自身安全</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1898" w:type="pct"/>
            <w:noWrap w:val="0"/>
            <w:tcMar>
              <w:top w:w="0" w:type="dxa"/>
              <w:left w:w="108" w:type="dxa"/>
              <w:bottom w:w="0" w:type="dxa"/>
              <w:right w:w="108" w:type="dxa"/>
            </w:tcMar>
            <w:vAlign w:val="center"/>
          </w:tcPr>
          <w:p w14:paraId="6CF9330F">
            <w:pPr>
              <w:pStyle w:val="45"/>
              <w:spacing w:before="100" w:after="100" w:line="240" w:lineRule="auto"/>
              <w:jc w:val="left"/>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未做到，一次扣</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7</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分</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06CEF9BB">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p>
        </w:tc>
      </w:tr>
      <w:tr w14:paraId="7745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4D651B90">
            <w:pPr>
              <w:pStyle w:val="45"/>
              <w:spacing w:before="100" w:after="100" w:line="240" w:lineRule="auto"/>
              <w:jc w:val="center"/>
              <w:rPr>
                <w:rStyle w:val="9"/>
                <w:rFonts w:hint="default" w:ascii="Times New Roman" w:hAnsi="Times New Roman"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7</w:t>
            </w:r>
          </w:p>
        </w:tc>
        <w:tc>
          <w:tcPr>
            <w:tcW w:w="2297" w:type="pct"/>
            <w:noWrap w:val="0"/>
            <w:tcMar>
              <w:top w:w="0" w:type="dxa"/>
              <w:left w:w="108" w:type="dxa"/>
              <w:bottom w:w="0" w:type="dxa"/>
              <w:right w:w="108" w:type="dxa"/>
            </w:tcMar>
            <w:vAlign w:val="center"/>
          </w:tcPr>
          <w:p w14:paraId="7614CC26">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按照合同规定的服务内容、服务要求、服务时限，开展技术活动，并对其承担的服务业务的真实性、客观性、科学性、准确性负责。</w:t>
            </w:r>
          </w:p>
        </w:tc>
        <w:tc>
          <w:tcPr>
            <w:tcW w:w="1898" w:type="pct"/>
            <w:noWrap w:val="0"/>
            <w:tcMar>
              <w:top w:w="0" w:type="dxa"/>
              <w:left w:w="108" w:type="dxa"/>
              <w:bottom w:w="0" w:type="dxa"/>
              <w:right w:w="108" w:type="dxa"/>
            </w:tcMar>
            <w:vAlign w:val="center"/>
          </w:tcPr>
          <w:p w14:paraId="557DF06F">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未做到的，一次扣10分。</w:t>
            </w:r>
          </w:p>
        </w:tc>
        <w:tc>
          <w:tcPr>
            <w:tcW w:w="435" w:type="pct"/>
            <w:noWrap w:val="0"/>
            <w:tcMar>
              <w:top w:w="0" w:type="dxa"/>
              <w:left w:w="108" w:type="dxa"/>
              <w:bottom w:w="0" w:type="dxa"/>
              <w:right w:w="108" w:type="dxa"/>
            </w:tcMar>
            <w:vAlign w:val="center"/>
          </w:tcPr>
          <w:p w14:paraId="53FB7058">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68A6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68" w:type="pct"/>
            <w:noWrap w:val="0"/>
            <w:tcMar>
              <w:top w:w="0" w:type="dxa"/>
              <w:left w:w="108" w:type="dxa"/>
              <w:bottom w:w="0" w:type="dxa"/>
              <w:right w:w="108" w:type="dxa"/>
            </w:tcMar>
            <w:vAlign w:val="center"/>
          </w:tcPr>
          <w:p w14:paraId="3F336C60">
            <w:pPr>
              <w:pStyle w:val="45"/>
              <w:spacing w:before="100" w:after="100" w:line="240" w:lineRule="auto"/>
              <w:jc w:val="center"/>
              <w:rPr>
                <w:rStyle w:val="9"/>
                <w:rFonts w:hint="default"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pP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8</w:t>
            </w:r>
          </w:p>
        </w:tc>
        <w:tc>
          <w:tcPr>
            <w:tcW w:w="2297" w:type="pct"/>
            <w:noWrap w:val="0"/>
            <w:tcMar>
              <w:top w:w="0" w:type="dxa"/>
              <w:left w:w="108" w:type="dxa"/>
              <w:bottom w:w="0" w:type="dxa"/>
              <w:right w:w="108" w:type="dxa"/>
            </w:tcMar>
            <w:vAlign w:val="center"/>
          </w:tcPr>
          <w:p w14:paraId="25C00C7E">
            <w:pPr>
              <w:jc w:val="left"/>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不得逾越工作权限；不得在</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采购人</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未知情的情况下独自开展活动；不得假借政府部门及其工作人员名义或采取不正当手段获取利益；不得借机推销产品或服务；不得进行商业贿赂或其他经济违法行为。</w:t>
            </w:r>
          </w:p>
        </w:tc>
        <w:tc>
          <w:tcPr>
            <w:tcW w:w="1898" w:type="pct"/>
            <w:noWrap w:val="0"/>
            <w:tcMar>
              <w:top w:w="0" w:type="dxa"/>
              <w:left w:w="108" w:type="dxa"/>
              <w:bottom w:w="0" w:type="dxa"/>
              <w:right w:w="108" w:type="dxa"/>
            </w:tcMar>
            <w:vAlign w:val="center"/>
          </w:tcPr>
          <w:p w14:paraId="68801DEC">
            <w:pPr>
              <w:jc w:val="left"/>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查实一次，扣10分。情节严重的，终止合同，另行处理</w:t>
            </w:r>
            <w:r>
              <w:rPr>
                <w:rStyle w:val="9"/>
                <w:rFonts w:hint="eastAsia" w:eastAsia="宋体" w:cs="Times New Roman"/>
                <w:b w:val="0"/>
                <w:bCs w:val="0"/>
                <w:i w:val="0"/>
                <w:iCs w:val="0"/>
                <w:smallCaps w:val="0"/>
                <w:color w:val="000000" w:themeColor="text1"/>
                <w:sz w:val="24"/>
                <w:szCs w:val="24"/>
                <w:highlight w:val="none"/>
                <w:lang w:eastAsia="zh-CN"/>
                <w14:textFill>
                  <w14:solidFill>
                    <w14:schemeClr w14:val="tx1"/>
                  </w14:solidFill>
                </w14:textFill>
              </w:rPr>
              <w:t>。</w:t>
            </w:r>
          </w:p>
        </w:tc>
        <w:tc>
          <w:tcPr>
            <w:tcW w:w="435" w:type="pct"/>
            <w:noWrap w:val="0"/>
            <w:tcMar>
              <w:top w:w="0" w:type="dxa"/>
              <w:left w:w="108" w:type="dxa"/>
              <w:bottom w:w="0" w:type="dxa"/>
              <w:right w:w="108" w:type="dxa"/>
            </w:tcMar>
            <w:vAlign w:val="center"/>
          </w:tcPr>
          <w:p w14:paraId="30BB9984">
            <w:pPr>
              <w:pStyle w:val="45"/>
              <w:spacing w:before="100" w:after="100" w:line="240" w:lineRule="auto"/>
              <w:jc w:val="cente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tc>
      </w:tr>
      <w:tr w14:paraId="6164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000" w:type="pct"/>
            <w:gridSpan w:val="4"/>
            <w:noWrap w:val="0"/>
            <w:tcMar>
              <w:top w:w="0" w:type="dxa"/>
              <w:left w:w="108" w:type="dxa"/>
              <w:bottom w:w="0" w:type="dxa"/>
              <w:right w:w="108" w:type="dxa"/>
            </w:tcMar>
            <w:vAlign w:val="top"/>
          </w:tcPr>
          <w:p w14:paraId="26CA050C">
            <w:pPr>
              <w:pStyle w:val="45"/>
              <w:spacing w:after="240" w:line="240" w:lineRule="auto"/>
              <w:jc w:val="left"/>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扣</w:t>
            </w:r>
            <w:r>
              <w:rPr>
                <w:rStyle w:val="9"/>
                <w:rFonts w:hint="eastAsia" w:eastAsia="宋体" w:cs="Times New Roman"/>
                <w:b w:val="0"/>
                <w:bCs w:val="0"/>
                <w:i w:val="0"/>
                <w:iCs w:val="0"/>
                <w:smallCaps w:val="0"/>
                <w:color w:val="000000" w:themeColor="text1"/>
                <w:sz w:val="24"/>
                <w:szCs w:val="24"/>
                <w:highlight w:val="none"/>
                <w:lang w:val="en-US" w:eastAsia="zh-CN"/>
                <w14:textFill>
                  <w14:solidFill>
                    <w14:schemeClr w14:val="tx1"/>
                  </w14:solidFill>
                </w14:textFill>
              </w:rPr>
              <w:t>分</w:t>
            </w: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情况说明：</w:t>
            </w:r>
          </w:p>
          <w:p w14:paraId="291C5C2D">
            <w:pPr>
              <w:pStyle w:val="45"/>
              <w:spacing w:before="240" w:after="240" w:line="240" w:lineRule="auto"/>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p w14:paraId="5130EFF8">
            <w:pPr>
              <w:pStyle w:val="45"/>
              <w:spacing w:before="240" w:after="240" w:line="240" w:lineRule="auto"/>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p>
          <w:p w14:paraId="7A4B8961">
            <w:pPr>
              <w:pStyle w:val="45"/>
              <w:spacing w:before="240" w:after="240" w:line="240" w:lineRule="auto"/>
              <w:ind w:firstLine="504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被考核单位：</w:t>
            </w:r>
          </w:p>
          <w:p w14:paraId="7FA073B8">
            <w:pPr>
              <w:pStyle w:val="45"/>
              <w:spacing w:before="240" w:after="240" w:line="240" w:lineRule="auto"/>
              <w:ind w:firstLine="528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考核人员：</w:t>
            </w:r>
          </w:p>
          <w:p w14:paraId="44CFABC0">
            <w:pPr>
              <w:pStyle w:val="45"/>
              <w:spacing w:before="240" w:line="240" w:lineRule="auto"/>
              <w:ind w:firstLine="5760"/>
              <w:jc w:val="both"/>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pPr>
            <w:r>
              <w:rPr>
                <w:rStyle w:val="9"/>
                <w:rFonts w:ascii="Times New Roman" w:hAnsi="Times New Roman" w:eastAsia="Times New Roman" w:cs="Times New Roman"/>
                <w:b w:val="0"/>
                <w:bCs w:val="0"/>
                <w:i w:val="0"/>
                <w:iCs w:val="0"/>
                <w:smallCaps w:val="0"/>
                <w:color w:val="000000" w:themeColor="text1"/>
                <w:sz w:val="24"/>
                <w:szCs w:val="24"/>
                <w:highlight w:val="none"/>
                <w14:textFill>
                  <w14:solidFill>
                    <w14:schemeClr w14:val="tx1"/>
                  </w14:solidFill>
                </w14:textFill>
              </w:rPr>
              <w:t>日期：</w:t>
            </w:r>
          </w:p>
        </w:tc>
      </w:tr>
    </w:tbl>
    <w:p w14:paraId="00EFA616">
      <w:pPr>
        <w:pStyle w:val="43"/>
        <w:rPr>
          <w:rFonts w:hint="eastAsia" w:ascii="宋体" w:hAnsi="宋体" w:cs="宋体"/>
          <w:b/>
          <w:color w:val="000000" w:themeColor="text1"/>
          <w:sz w:val="28"/>
          <w:szCs w:val="28"/>
          <w:highlight w:val="none"/>
          <w:lang w:val="en-US" w:eastAsia="zh-CN"/>
          <w14:textFill>
            <w14:solidFill>
              <w14:schemeClr w14:val="tx1"/>
            </w14:solidFill>
          </w14:textFill>
        </w:rPr>
      </w:pPr>
      <w:r>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t>注：采购人</w:t>
      </w:r>
      <w:r>
        <w:rPr>
          <w:rStyle w:val="18"/>
          <w:rFonts w:hint="default" w:ascii="宋体" w:hAnsi="宋体" w:eastAsia="宋体" w:cs="宋体"/>
          <w:b/>
          <w:bCs/>
          <w:color w:val="000000" w:themeColor="text1"/>
          <w:sz w:val="24"/>
          <w:szCs w:val="24"/>
          <w:highlight w:val="none"/>
          <w:lang w:val="en-US" w:eastAsia="zh-CN"/>
          <w14:textFill>
            <w14:solidFill>
              <w14:schemeClr w14:val="tx1"/>
            </w14:solidFill>
          </w14:textFill>
        </w:rPr>
        <w:t>有权在服务期内根据实际情况提出修改考核细则</w:t>
      </w:r>
      <w:r>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35F1C8C6">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56A1302">
      <w:pPr>
        <w:pStyle w:val="43"/>
        <w:rPr>
          <w:rStyle w:val="18"/>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B94D50E">
      <w:pPr>
        <w:pStyle w:val="43"/>
        <w:rPr>
          <w:rStyle w:val="18"/>
          <w:rFonts w:hint="default" w:ascii="宋体" w:hAnsi="宋体" w:eastAsia="宋体" w:cs="宋体"/>
          <w:b/>
          <w:bCs/>
          <w:color w:val="000000" w:themeColor="text1"/>
          <w:sz w:val="24"/>
          <w:szCs w:val="24"/>
          <w:highlight w:val="none"/>
          <w:lang w:val="en-US" w:eastAsia="zh-CN"/>
          <w14:textFill>
            <w14:solidFill>
              <w14:schemeClr w14:val="tx1"/>
            </w14:solidFill>
          </w14:textFill>
        </w:rPr>
        <w:sectPr>
          <w:pgSz w:w="11906" w:h="16838"/>
          <w:pgMar w:top="1440" w:right="1080" w:bottom="1440" w:left="1080" w:header="851" w:footer="992" w:gutter="0"/>
          <w:cols w:space="1701" w:num="1"/>
          <w:titlePg/>
          <w:docGrid w:linePitch="360" w:charSpace="0"/>
        </w:sectPr>
      </w:pPr>
    </w:p>
    <w:p w14:paraId="73517AFF">
      <w:pPr>
        <w:pStyle w:val="13"/>
        <w:spacing w:before="313" w:after="313"/>
        <w:rPr>
          <w:rFonts w:ascii="宋体" w:hAnsi="宋体" w:eastAsia="宋体" w:cs="宋体"/>
          <w:color w:val="000000" w:themeColor="text1"/>
          <w:highlight w:val="none"/>
          <w14:textFill>
            <w14:solidFill>
              <w14:schemeClr w14:val="tx1"/>
            </w14:solidFill>
          </w14:textFill>
        </w:rPr>
      </w:pPr>
      <w:bookmarkStart w:id="225" w:name="_Toc38368129"/>
      <w:bookmarkStart w:id="226" w:name="_Toc35266029"/>
      <w:bookmarkStart w:id="227" w:name="_Toc19919"/>
      <w:bookmarkStart w:id="228" w:name="_Toc5882"/>
      <w:bookmarkStart w:id="229" w:name="_Toc54615247"/>
      <w:r>
        <w:rPr>
          <w:rFonts w:hint="eastAsia" w:ascii="宋体" w:hAnsi="宋体" w:eastAsia="宋体" w:cs="宋体"/>
          <w:color w:val="000000" w:themeColor="text1"/>
          <w:highlight w:val="none"/>
          <w14:textFill>
            <w14:solidFill>
              <w14:schemeClr w14:val="tx1"/>
            </w14:solidFill>
          </w14:textFill>
        </w:rPr>
        <w:t>第五章 评标方法与评标标准</w:t>
      </w:r>
      <w:bookmarkEnd w:id="225"/>
      <w:bookmarkEnd w:id="226"/>
      <w:bookmarkEnd w:id="227"/>
      <w:bookmarkEnd w:id="228"/>
      <w:bookmarkEnd w:id="229"/>
    </w:p>
    <w:p w14:paraId="76A8ACCC">
      <w:pPr>
        <w:pStyle w:val="46"/>
        <w:keepNext w:val="0"/>
        <w:keepLines w:val="0"/>
        <w:pageBreakBefore w:val="0"/>
        <w:spacing w:line="500" w:lineRule="exact"/>
        <w:rPr>
          <w:rStyle w:val="18"/>
          <w:rFonts w:ascii="宋体" w:hAnsi="宋体" w:eastAsia="宋体" w:cs="宋体"/>
          <w:b/>
          <w:color w:val="000000" w:themeColor="text1"/>
          <w:sz w:val="28"/>
          <w:szCs w:val="28"/>
          <w:highlight w:val="none"/>
          <w14:textFill>
            <w14:solidFill>
              <w14:schemeClr w14:val="tx1"/>
            </w14:solidFill>
          </w14:textFill>
        </w:rPr>
      </w:pPr>
      <w:bookmarkStart w:id="230" w:name="_Toc35266030"/>
      <w:bookmarkStart w:id="231" w:name="_Toc15851"/>
      <w:bookmarkStart w:id="232" w:name="_Toc38368130"/>
      <w:bookmarkStart w:id="233" w:name="_Toc54615248"/>
      <w:r>
        <w:rPr>
          <w:rStyle w:val="18"/>
          <w:rFonts w:hint="eastAsia" w:ascii="宋体" w:hAnsi="宋体" w:eastAsia="宋体" w:cs="宋体"/>
          <w:b/>
          <w:color w:val="000000" w:themeColor="text1"/>
          <w:sz w:val="28"/>
          <w:szCs w:val="28"/>
          <w:highlight w:val="none"/>
          <w14:textFill>
            <w14:solidFill>
              <w14:schemeClr w14:val="tx1"/>
            </w14:solidFill>
          </w14:textFill>
        </w:rPr>
        <w:t>一、评标方法与定标原则</w:t>
      </w:r>
      <w:bookmarkEnd w:id="230"/>
      <w:bookmarkEnd w:id="231"/>
      <w:bookmarkEnd w:id="232"/>
      <w:bookmarkEnd w:id="233"/>
    </w:p>
    <w:p w14:paraId="2794962B">
      <w:pPr>
        <w:pStyle w:val="47"/>
        <w:keepNext w:val="0"/>
        <w:keepLines w:val="0"/>
        <w:pageBreakBefore w:val="0"/>
        <w:spacing w:line="500" w:lineRule="exact"/>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5FF2E">
      <w:pPr>
        <w:pStyle w:val="46"/>
        <w:keepNext w:val="0"/>
        <w:keepLines w:val="0"/>
        <w:pageBreakBefore w:val="0"/>
        <w:spacing w:line="500" w:lineRule="exact"/>
        <w:rPr>
          <w:rStyle w:val="18"/>
          <w:rFonts w:ascii="宋体" w:hAnsi="宋体" w:eastAsia="宋体" w:cs="宋体"/>
          <w:b/>
          <w:color w:val="000000" w:themeColor="text1"/>
          <w:highlight w:val="none"/>
          <w14:textFill>
            <w14:solidFill>
              <w14:schemeClr w14:val="tx1"/>
            </w14:solidFill>
          </w14:textFill>
        </w:rPr>
      </w:pPr>
      <w:bookmarkStart w:id="234" w:name="EB4d4ec51fae08401e9c82e93d31b337cc"/>
      <w:bookmarkEnd w:id="234"/>
      <w:bookmarkStart w:id="235" w:name="EBd9567453f96a4fca96262d13cc886515"/>
      <w:bookmarkEnd w:id="235"/>
      <w:bookmarkStart w:id="236" w:name="_Toc54615249"/>
      <w:bookmarkStart w:id="237" w:name="_Toc38368131"/>
      <w:bookmarkStart w:id="238" w:name="_Toc35266031"/>
      <w:bookmarkStart w:id="239" w:name="_Toc24219"/>
      <w:r>
        <w:rPr>
          <w:rStyle w:val="18"/>
          <w:rFonts w:hint="eastAsia" w:ascii="宋体" w:hAnsi="宋体" w:eastAsia="宋体" w:cs="宋体"/>
          <w:b/>
          <w:color w:val="000000" w:themeColor="text1"/>
          <w:sz w:val="28"/>
          <w:szCs w:val="28"/>
          <w:highlight w:val="none"/>
          <w14:textFill>
            <w14:solidFill>
              <w14:schemeClr w14:val="tx1"/>
            </w14:solidFill>
          </w14:textFill>
        </w:rPr>
        <w:t>二、评标标准</w:t>
      </w:r>
      <w:bookmarkEnd w:id="236"/>
      <w:bookmarkEnd w:id="237"/>
      <w:bookmarkEnd w:id="238"/>
      <w:bookmarkEnd w:id="239"/>
    </w:p>
    <w:p w14:paraId="2144777D">
      <w:pPr>
        <w:pStyle w:val="46"/>
        <w:keepNext w:val="0"/>
        <w:keepLines w:val="0"/>
        <w:pageBreakBefore w:val="0"/>
        <w:spacing w:line="500" w:lineRule="exact"/>
        <w:ind w:firstLine="482"/>
        <w:rPr>
          <w:rStyle w:val="18"/>
          <w:rFonts w:ascii="宋体" w:hAnsi="宋体" w:eastAsia="宋体" w:cs="宋体"/>
          <w:b/>
          <w:color w:val="000000" w:themeColor="text1"/>
          <w:highlight w:val="none"/>
          <w14:textFill>
            <w14:solidFill>
              <w14:schemeClr w14:val="tx1"/>
            </w14:solidFill>
          </w14:textFill>
        </w:rPr>
      </w:pPr>
      <w:bookmarkStart w:id="240" w:name="EB5eda7c9be7464788810dca94d24e634f"/>
      <w:bookmarkEnd w:id="240"/>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一</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 xml:space="preserve">价格分 </w:t>
      </w:r>
      <w:r>
        <w:rPr>
          <w:rStyle w:val="18"/>
          <w:rFonts w:hint="eastAsia" w:ascii="宋体" w:hAnsi="宋体" w:eastAsia="宋体" w:cs="宋体"/>
          <w:b/>
          <w:color w:val="000000" w:themeColor="text1"/>
          <w:highlight w:val="none"/>
          <w:lang w:val="en-US" w:eastAsia="zh-CN"/>
          <w14:textFill>
            <w14:solidFill>
              <w14:schemeClr w14:val="tx1"/>
            </w14:solidFill>
          </w14:textFill>
        </w:rPr>
        <w:t xml:space="preserve">20 </w:t>
      </w:r>
      <w:r>
        <w:rPr>
          <w:rStyle w:val="18"/>
          <w:rFonts w:hint="eastAsia" w:ascii="宋体" w:hAnsi="宋体" w:eastAsia="宋体" w:cs="宋体"/>
          <w:b/>
          <w:color w:val="000000" w:themeColor="text1"/>
          <w:highlight w:val="none"/>
          <w14:textFill>
            <w14:solidFill>
              <w14:schemeClr w14:val="tx1"/>
            </w14:solidFill>
          </w14:textFill>
        </w:rPr>
        <w:t>分</w:t>
      </w:r>
    </w:p>
    <w:p w14:paraId="41CB6A2A">
      <w:pPr>
        <w:pStyle w:val="46"/>
        <w:keepNext w:val="0"/>
        <w:keepLines w:val="0"/>
        <w:pageBreakBefore w:val="0"/>
        <w:spacing w:line="500" w:lineRule="exact"/>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采用低价优先法计算，即满足招标文件要求且投标价格最低的投标价为评标基准价，其价格分为满分</w:t>
      </w:r>
      <w:r>
        <w:rPr>
          <w:rStyle w:val="18"/>
          <w:rFonts w:hint="eastAsia" w:ascii="宋体" w:hAnsi="宋体" w:eastAsia="宋体" w:cs="宋体"/>
          <w:color w:val="000000" w:themeColor="text1"/>
          <w:highlight w:val="none"/>
          <w:lang w:val="en-US" w:eastAsia="zh-CN"/>
          <w14:textFill>
            <w14:solidFill>
              <w14:schemeClr w14:val="tx1"/>
            </w14:solidFill>
          </w14:textFill>
        </w:rPr>
        <w:t>20</w:t>
      </w:r>
      <w:r>
        <w:rPr>
          <w:rStyle w:val="18"/>
          <w:rFonts w:hint="eastAsia" w:ascii="宋体" w:hAnsi="宋体" w:eastAsia="宋体" w:cs="宋体"/>
          <w:color w:val="000000" w:themeColor="text1"/>
          <w:highlight w:val="none"/>
          <w14:textFill>
            <w14:solidFill>
              <w14:schemeClr w14:val="tx1"/>
            </w14:solidFill>
          </w14:textFill>
        </w:rPr>
        <w:t>.0分。其他投标人的价格分统一按照下列公式计算：</w:t>
      </w:r>
    </w:p>
    <w:p w14:paraId="1FCCFC55">
      <w:pPr>
        <w:pStyle w:val="46"/>
        <w:keepNext w:val="0"/>
        <w:keepLines w:val="0"/>
        <w:pageBreakBefore w:val="0"/>
        <w:spacing w:line="500" w:lineRule="exact"/>
        <w:ind w:firstLine="480"/>
        <w:rPr>
          <w:rStyle w:val="18"/>
          <w:rFonts w:hint="eastAsia" w:ascii="宋体" w:hAnsi="宋体" w:eastAsia="宋体" w:cs="宋体"/>
          <w:color w:val="000000" w:themeColor="text1"/>
          <w:highlight w:val="none"/>
          <w:lang w:eastAsia="zh-CN"/>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 xml:space="preserve">投标报价得分=（评标基准价/投标报价）* </w:t>
      </w:r>
      <w:r>
        <w:rPr>
          <w:rStyle w:val="18"/>
          <w:rFonts w:hint="eastAsia" w:ascii="宋体" w:hAnsi="宋体" w:eastAsia="宋体" w:cs="宋体"/>
          <w:color w:val="000000" w:themeColor="text1"/>
          <w:highlight w:val="none"/>
          <w:lang w:val="en-US" w:eastAsia="zh-CN"/>
          <w14:textFill>
            <w14:solidFill>
              <w14:schemeClr w14:val="tx1"/>
            </w14:solidFill>
          </w14:textFill>
        </w:rPr>
        <w:t>20</w:t>
      </w:r>
      <w:r>
        <w:rPr>
          <w:rStyle w:val="18"/>
          <w:rFonts w:hint="eastAsia" w:ascii="宋体" w:hAnsi="宋体" w:eastAsia="宋体" w:cs="宋体"/>
          <w:color w:val="000000" w:themeColor="text1"/>
          <w:highlight w:val="none"/>
          <w14:textFill>
            <w14:solidFill>
              <w14:schemeClr w14:val="tx1"/>
            </w14:solidFill>
          </w14:textFill>
        </w:rPr>
        <w:t>.0% * 100（保留二位小数）</w:t>
      </w:r>
      <w:r>
        <w:rPr>
          <w:rStyle w:val="18"/>
          <w:rFonts w:hint="eastAsia" w:ascii="宋体" w:hAnsi="宋体" w:eastAsia="宋体" w:cs="宋体"/>
          <w:color w:val="000000" w:themeColor="text1"/>
          <w:highlight w:val="none"/>
          <w:lang w:eastAsia="zh-CN"/>
          <w14:textFill>
            <w14:solidFill>
              <w14:schemeClr w14:val="tx1"/>
            </w14:solidFill>
          </w14:textFill>
        </w:rPr>
        <w:t>。</w:t>
      </w:r>
    </w:p>
    <w:p w14:paraId="60524036">
      <w:pPr>
        <w:pStyle w:val="46"/>
        <w:keepNext w:val="0"/>
        <w:keepLines w:val="0"/>
        <w:pageBreakBefore w:val="0"/>
        <w:spacing w:line="500" w:lineRule="exact"/>
        <w:ind w:firstLine="482"/>
        <w:rPr>
          <w:rStyle w:val="18"/>
          <w:rFonts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二</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技术方案分</w:t>
      </w:r>
      <w:r>
        <w:rPr>
          <w:rStyle w:val="18"/>
          <w:rFonts w:hint="eastAsia" w:ascii="宋体" w:hAnsi="宋体" w:eastAsia="宋体" w:cs="宋体"/>
          <w:b/>
          <w:color w:val="000000" w:themeColor="text1"/>
          <w:highlight w:val="none"/>
          <w:lang w:val="en-US" w:eastAsia="zh-CN"/>
          <w14:textFill>
            <w14:solidFill>
              <w14:schemeClr w14:val="tx1"/>
            </w14:solidFill>
          </w14:textFill>
        </w:rPr>
        <w:t xml:space="preserve"> </w:t>
      </w:r>
      <w:r>
        <w:rPr>
          <w:rStyle w:val="18"/>
          <w:rFonts w:hint="eastAsia" w:ascii="宋体" w:hAnsi="宋体" w:eastAsia="宋体" w:cs="宋体"/>
          <w:b/>
          <w:color w:val="000000" w:themeColor="text1"/>
          <w:highlight w:val="none"/>
          <w14:textFill>
            <w14:solidFill>
              <w14:schemeClr w14:val="tx1"/>
            </w14:solidFill>
          </w14:textFill>
        </w:rPr>
        <w:t>4</w:t>
      </w:r>
      <w:r>
        <w:rPr>
          <w:rStyle w:val="18"/>
          <w:rFonts w:hint="eastAsia" w:ascii="宋体" w:hAnsi="宋体" w:eastAsia="宋体" w:cs="宋体"/>
          <w:b/>
          <w:color w:val="000000" w:themeColor="text1"/>
          <w:highlight w:val="none"/>
          <w:lang w:val="en-US" w:eastAsia="zh-CN"/>
          <w14:textFill>
            <w14:solidFill>
              <w14:schemeClr w14:val="tx1"/>
            </w14:solidFill>
          </w14:textFill>
        </w:rPr>
        <w:t>0</w:t>
      </w:r>
      <w:r>
        <w:rPr>
          <w:rStyle w:val="18"/>
          <w:rFonts w:hint="eastAsia" w:ascii="宋体" w:hAnsi="宋体" w:eastAsia="宋体" w:cs="宋体"/>
          <w:b/>
          <w:color w:val="000000" w:themeColor="text1"/>
          <w:highlight w:val="none"/>
          <w14:textFill>
            <w14:solidFill>
              <w14:schemeClr w14:val="tx1"/>
            </w14:solidFill>
          </w14:textFill>
        </w:rPr>
        <w:t xml:space="preserve"> 分</w:t>
      </w:r>
    </w:p>
    <w:p w14:paraId="6153E59C">
      <w:pPr>
        <w:pStyle w:val="46"/>
        <w:keepNext w:val="0"/>
        <w:keepLines w:val="0"/>
        <w:pageBreakBefore w:val="0"/>
        <w:spacing w:line="500" w:lineRule="exact"/>
        <w:ind w:firstLine="480"/>
        <w:rPr>
          <w:rFonts w:hint="eastAsia" w:ascii="宋体" w:hAnsi="宋体" w:eastAsia="宋体" w:cs="宋体"/>
          <w:b w:val="0"/>
          <w:color w:val="000000" w:themeColor="text1"/>
          <w:spacing w:val="7"/>
          <w:sz w:val="24"/>
          <w:highlight w:val="none"/>
          <w14:textFill>
            <w14:solidFill>
              <w14:schemeClr w14:val="tx1"/>
            </w14:solidFill>
          </w14:textFill>
        </w:rPr>
      </w:pPr>
      <w:r>
        <w:rPr>
          <w:rFonts w:hint="eastAsia" w:ascii="宋体" w:hAnsi="宋体" w:eastAsia="宋体" w:cs="宋体"/>
          <w:b w:val="0"/>
          <w:color w:val="000000" w:themeColor="text1"/>
          <w:spacing w:val="7"/>
          <w:sz w:val="24"/>
          <w:highlight w:val="none"/>
          <w:lang w:val="en-US" w:eastAsia="zh-CN"/>
          <w14:textFill>
            <w14:solidFill>
              <w14:schemeClr w14:val="tx1"/>
            </w14:solidFill>
          </w14:textFill>
        </w:rPr>
        <w:t>1.</w:t>
      </w:r>
      <w:r>
        <w:rPr>
          <w:rFonts w:hint="eastAsia" w:ascii="宋体" w:hAnsi="宋体" w:eastAsia="宋体" w:cs="宋体"/>
          <w:b w:val="0"/>
          <w:color w:val="000000" w:themeColor="text1"/>
          <w:spacing w:val="7"/>
          <w:sz w:val="24"/>
          <w:highlight w:val="none"/>
          <w14:textFill>
            <w14:solidFill>
              <w14:schemeClr w14:val="tx1"/>
            </w14:solidFill>
          </w14:textFill>
        </w:rPr>
        <w:t>针对本项目所制定的防治方案包含普查防治整体思路、方案措施、工作流程细化、工作进度计划、普查防治资料记录、保存和整理规范完整。综合评定打分，最高得25分，有缺陷，适当扣分，无相关内容得0分。）【0-25】</w:t>
      </w:r>
    </w:p>
    <w:p w14:paraId="28B44A5F">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highlight w:val="none"/>
          <w14:textFill>
            <w14:solidFill>
              <w14:schemeClr w14:val="tx1"/>
            </w14:solidFill>
          </w14:textFill>
        </w:rPr>
        <w:t>2</w:t>
      </w: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.针对本项目制定的管理规章制度包含企业组织架构、企业规章制度、培训方案、人员管理方案。综合评定打分，最高得10分，有缺陷，适当扣分，无相关内容得0分。【0-10】</w:t>
      </w:r>
    </w:p>
    <w:p w14:paraId="5B17579D">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highlight w:val="none"/>
          <w14:textFill>
            <w14:solidFill>
              <w14:schemeClr w14:val="tx1"/>
            </w14:solidFill>
          </w14:textFill>
        </w:rPr>
        <w:t>3.</w:t>
      </w: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针对本项目制定的文明施工和安全保护措施包含安全文明施工方案、文明施工措施、扬尘噪音等管控措施、人员安全保护措施、施工现场保护措施。综合评定打分，最高得5分，有缺陷，适当扣分，无相关内容得0分。【0-5】</w:t>
      </w:r>
    </w:p>
    <w:p w14:paraId="08805346">
      <w:pPr>
        <w:pStyle w:val="46"/>
        <w:keepNext w:val="0"/>
        <w:keepLines w:val="0"/>
        <w:pageBreakBefore w:val="0"/>
        <w:spacing w:line="500" w:lineRule="exact"/>
        <w:ind w:firstLine="482"/>
        <w:rPr>
          <w:rStyle w:val="18"/>
          <w:rFonts w:hint="eastAsia" w:ascii="宋体" w:hAnsi="宋体" w:eastAsia="宋体" w:cs="宋体"/>
          <w:b/>
          <w:color w:val="000000" w:themeColor="text1"/>
          <w:highlight w:val="none"/>
          <w14:textFill>
            <w14:solidFill>
              <w14:schemeClr w14:val="tx1"/>
            </w14:solidFill>
          </w14:textFill>
        </w:rPr>
      </w:pP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lang w:val="en-US" w:eastAsia="zh-CN"/>
          <w14:textFill>
            <w14:solidFill>
              <w14:schemeClr w14:val="tx1"/>
            </w14:solidFill>
          </w14:textFill>
        </w:rPr>
        <w:t>三</w:t>
      </w:r>
      <w:r>
        <w:rPr>
          <w:rStyle w:val="18"/>
          <w:rFonts w:hint="eastAsia" w:ascii="宋体" w:hAnsi="宋体" w:eastAsia="宋体" w:cs="宋体"/>
          <w:b/>
          <w:color w:val="000000" w:themeColor="text1"/>
          <w:highlight w:val="none"/>
          <w:lang w:eastAsia="zh-CN"/>
          <w14:textFill>
            <w14:solidFill>
              <w14:schemeClr w14:val="tx1"/>
            </w14:solidFill>
          </w14:textFill>
        </w:rPr>
        <w:t>）</w:t>
      </w:r>
      <w:r>
        <w:rPr>
          <w:rStyle w:val="18"/>
          <w:rFonts w:hint="eastAsia" w:ascii="宋体" w:hAnsi="宋体" w:eastAsia="宋体" w:cs="宋体"/>
          <w:b/>
          <w:color w:val="000000" w:themeColor="text1"/>
          <w:highlight w:val="none"/>
          <w14:textFill>
            <w14:solidFill>
              <w14:schemeClr w14:val="tx1"/>
            </w14:solidFill>
          </w14:textFill>
        </w:rPr>
        <w:t>企业综合实力</w:t>
      </w:r>
      <w:r>
        <w:rPr>
          <w:rStyle w:val="18"/>
          <w:rFonts w:hint="eastAsia" w:ascii="宋体" w:hAnsi="宋体" w:eastAsia="宋体" w:cs="宋体"/>
          <w:b/>
          <w:color w:val="000000" w:themeColor="text1"/>
          <w:highlight w:val="none"/>
          <w:lang w:val="en-US" w:eastAsia="zh-CN"/>
          <w14:textFill>
            <w14:solidFill>
              <w14:schemeClr w14:val="tx1"/>
            </w14:solidFill>
          </w14:textFill>
        </w:rPr>
        <w:t>40</w:t>
      </w:r>
      <w:r>
        <w:rPr>
          <w:rStyle w:val="18"/>
          <w:rFonts w:hint="eastAsia" w:ascii="宋体" w:hAnsi="宋体" w:eastAsia="宋体" w:cs="宋体"/>
          <w:b/>
          <w:color w:val="000000" w:themeColor="text1"/>
          <w:highlight w:val="none"/>
          <w14:textFill>
            <w14:solidFill>
              <w14:schemeClr w14:val="tx1"/>
            </w14:solidFill>
          </w14:textFill>
        </w:rPr>
        <w:t>分</w:t>
      </w:r>
    </w:p>
    <w:p w14:paraId="6EF1BEC9">
      <w:pPr>
        <w:keepNext w:val="0"/>
        <w:keepLines w:val="0"/>
        <w:pageBreakBefore w:val="0"/>
        <w:spacing w:line="520" w:lineRule="exact"/>
        <w:ind w:firstLine="508"/>
        <w:jc w:val="both"/>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1.投标人拟投入项目负责人具有相关机构颁发的白蚁防治能力证书或省级（含）以上白蚁防治中心培训的从业人员证的，得3分；项目负责人2022年1月1日以后担任过水利堤防白蚁等害堤动物普查及防治项目负责人的，得3分（请在投标文件中提供已完成的有甲方盖章项目验收报告、已完成项目发票等证明材料）。</w:t>
      </w: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【0-6】注：提供证书扫描件及投标人为其缴纳的近期社保证明材，提供不全不得分。</w:t>
      </w:r>
    </w:p>
    <w:p w14:paraId="3949B406">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2.投标人拟投入项目组人员具有省级（含）以上白蚁防治中心培训的从业人员证或相关机构颁发的白蚁防治能力证书的有一个得2分，人员证书按最高等级计取不重复计算，本项最高得10分。具有相关机构颁发的有害生物防制员证书的，有一个得2分，人员证书按最高等级计取不重复计算，本项最高得4分。【0-14】</w:t>
      </w:r>
    </w:p>
    <w:p w14:paraId="3FD848BF">
      <w:pPr>
        <w:keepNext w:val="0"/>
        <w:keepLines w:val="0"/>
        <w:pageBreakBefore w:val="0"/>
        <w:spacing w:line="520" w:lineRule="exact"/>
        <w:ind w:firstLine="510"/>
        <w:jc w:val="both"/>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注：提供证书扫描件及投标人为其缴纳的近期社保证明材，提供不全不得分。</w:t>
      </w:r>
    </w:p>
    <w:p w14:paraId="4B34FD3A">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3.投标人具</w:t>
      </w:r>
      <w:r>
        <w:rPr>
          <w:rFonts w:hint="eastAsia" w:ascii="宋体" w:hAnsi="宋体" w:cs="宋体"/>
          <w:b w:val="0"/>
          <w:color w:val="000000" w:themeColor="text1"/>
          <w:spacing w:val="7"/>
          <w:sz w:val="24"/>
          <w:szCs w:val="24"/>
          <w:highlight w:val="none"/>
          <w:lang w:val="en-US" w:eastAsia="zh-CN" w:bidi="ar-SA"/>
          <w14:textFill>
            <w14:solidFill>
              <w14:schemeClr w14:val="tx1"/>
            </w14:solidFill>
          </w14:textFill>
        </w:rPr>
        <w:t>有</w:t>
      </w: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有害生物防制证书或白蚁防制资质的得2分；【0-2】</w:t>
      </w:r>
    </w:p>
    <w:p w14:paraId="685D90B7">
      <w:pPr>
        <w:keepNext w:val="0"/>
        <w:keepLines w:val="0"/>
        <w:pageBreakBefore w:val="0"/>
        <w:spacing w:line="520" w:lineRule="exact"/>
        <w:ind w:firstLine="510"/>
        <w:jc w:val="both"/>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注：提供证书查询路径、查询信息截图、有害生物防制证书或白蚁防制资质，提供不全不得分。</w:t>
      </w:r>
    </w:p>
    <w:p w14:paraId="1798C7C4">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4.投标人2022年1月1日至今（以合同签订时间为准）承接过类似本项目业绩的，每有一个业绩得2分，最高得10分。【0-10】</w:t>
      </w:r>
    </w:p>
    <w:p w14:paraId="5C0C3277">
      <w:pPr>
        <w:keepNext w:val="0"/>
        <w:keepLines w:val="0"/>
        <w:pageBreakBefore w:val="0"/>
        <w:spacing w:line="520" w:lineRule="exact"/>
        <w:ind w:firstLine="510"/>
        <w:jc w:val="both"/>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注：提供项目业绩合同、发票及甲方盖章验收报告扫描件，提供不全不得分。</w:t>
      </w:r>
    </w:p>
    <w:p w14:paraId="24F7E6E4">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5.设备配备分 8分</w:t>
      </w:r>
    </w:p>
    <w:p w14:paraId="6EC9DFEC">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（1）专用工具 6分</w:t>
      </w:r>
    </w:p>
    <w:p w14:paraId="7BC74319">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根据投标人针对本项目装备情况进行评分（包含但不限于白蚁防治专用工具、钻孔机、车载喷药车、手电筒等内容）：装备方案包含上述内容且满足或高于项目需求的得6分，每缺一项专用工具扣1分；扣完为止</w:t>
      </w:r>
      <w:r>
        <w:rPr>
          <w:rFonts w:hint="eastAsia" w:ascii="宋体" w:hAnsi="宋体" w:cs="宋体"/>
          <w:b/>
          <w:bCs/>
          <w:color w:val="000000" w:themeColor="text1"/>
          <w:spacing w:val="7"/>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请在投标文件中提供自有或租赁的相关证明材料，若为自有的请提供购买发票原件扫描件/电子件，若为租赁的请提供购买发票原件扫描件/电子件及租赁协议（合同），不提供或提供不全的不得分</w:t>
      </w:r>
      <w:r>
        <w:rPr>
          <w:rFonts w:hint="eastAsia" w:ascii="宋体" w:hAnsi="宋体" w:cs="宋体"/>
          <w:b/>
          <w:bCs/>
          <w:color w:val="000000" w:themeColor="text1"/>
          <w:spacing w:val="7"/>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w:t>
      </w:r>
    </w:p>
    <w:p w14:paraId="15EA4AD2">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（2）作业车辆 2分</w:t>
      </w:r>
    </w:p>
    <w:p w14:paraId="15D6C3C4">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根据投标人针对本项目配备的施工作业车辆，有一辆得1分，最多得2分</w:t>
      </w:r>
      <w:r>
        <w:rPr>
          <w:rFonts w:hint="eastAsia" w:ascii="宋体" w:hAnsi="宋体" w:cs="宋体"/>
          <w:b/>
          <w:bCs/>
          <w:color w:val="000000" w:themeColor="text1"/>
          <w:spacing w:val="7"/>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7"/>
          <w:sz w:val="24"/>
          <w:szCs w:val="24"/>
          <w:highlight w:val="none"/>
          <w:lang w:val="en-US" w:eastAsia="zh-CN" w:bidi="ar-SA"/>
          <w14:textFill>
            <w14:solidFill>
              <w14:schemeClr w14:val="tx1"/>
            </w14:solidFill>
          </w14:textFill>
        </w:rPr>
        <w:t>请在投标文件中提供自有或租赁的相关证明材料，若为自有的请提供购买发票原件扫描件/电子件、行驶证照片和车辆照片；若为租赁的请提供租赁协议（合同）、购买发票原件扫描件/电子件、行驶证照片和车辆照片，不提供或提供不全的不得分</w:t>
      </w:r>
      <w:r>
        <w:rPr>
          <w:rFonts w:hint="eastAsia" w:ascii="宋体" w:hAnsi="宋体" w:cs="宋体"/>
          <w:b/>
          <w:bCs/>
          <w:color w:val="000000" w:themeColor="text1"/>
          <w:spacing w:val="7"/>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w:t>
      </w:r>
    </w:p>
    <w:p w14:paraId="0B66FAFB">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t>注:以上证明材料，不提供不得分。</w:t>
      </w:r>
      <w:bookmarkEnd w:id="219"/>
      <w:bookmarkEnd w:id="220"/>
      <w:bookmarkEnd w:id="221"/>
    </w:p>
    <w:p w14:paraId="65BB89EC">
      <w:pPr>
        <w:keepNext w:val="0"/>
        <w:keepLines w:val="0"/>
        <w:pageBreakBefore w:val="0"/>
        <w:spacing w:line="520" w:lineRule="exact"/>
        <w:ind w:firstLine="508"/>
        <w:jc w:val="both"/>
        <w:rPr>
          <w:rFonts w:hint="eastAsia" w:ascii="宋体" w:hAnsi="宋体" w:eastAsia="宋体" w:cs="宋体"/>
          <w:b w:val="0"/>
          <w:color w:val="000000" w:themeColor="text1"/>
          <w:spacing w:val="7"/>
          <w:sz w:val="24"/>
          <w:szCs w:val="24"/>
          <w:highlight w:val="none"/>
          <w:lang w:val="en-US" w:eastAsia="zh-CN" w:bidi="ar-SA"/>
          <w14:textFill>
            <w14:solidFill>
              <w14:schemeClr w14:val="tx1"/>
            </w14:solidFill>
          </w14:textFill>
        </w:rPr>
        <w:sectPr>
          <w:headerReference r:id="rId23" w:type="first"/>
          <w:headerReference r:id="rId22" w:type="default"/>
          <w:pgSz w:w="11906" w:h="16838"/>
          <w:pgMar w:top="1440" w:right="1080" w:bottom="1440" w:left="1080" w:header="851" w:footer="992" w:gutter="0"/>
          <w:cols w:space="1701" w:num="1"/>
          <w:titlePg/>
          <w:docGrid w:linePitch="360" w:charSpace="0"/>
        </w:sectPr>
      </w:pPr>
    </w:p>
    <w:p w14:paraId="57CB7C28">
      <w:pPr>
        <w:pStyle w:val="13"/>
        <w:spacing w:before="313" w:after="313"/>
        <w:rPr>
          <w:rFonts w:ascii="宋体" w:hAnsi="宋体" w:eastAsia="宋体" w:cs="宋体"/>
          <w:color w:val="000000" w:themeColor="text1"/>
          <w:highlight w:val="none"/>
          <w14:textFill>
            <w14:solidFill>
              <w14:schemeClr w14:val="tx1"/>
            </w14:solidFill>
          </w14:textFill>
        </w:rPr>
      </w:pPr>
      <w:bookmarkStart w:id="241" w:name="_Toc54615250"/>
      <w:bookmarkStart w:id="242" w:name="_Toc35266032"/>
      <w:bookmarkStart w:id="243" w:name="_Toc38368132"/>
      <w:bookmarkStart w:id="244" w:name="_Toc11445"/>
      <w:bookmarkStart w:id="245" w:name="_Toc20359"/>
      <w:r>
        <w:rPr>
          <w:rFonts w:hint="eastAsia" w:ascii="宋体" w:hAnsi="宋体" w:eastAsia="宋体" w:cs="宋体"/>
          <w:color w:val="000000" w:themeColor="text1"/>
          <w:highlight w:val="none"/>
          <w14:textFill>
            <w14:solidFill>
              <w14:schemeClr w14:val="tx1"/>
            </w14:solidFill>
          </w14:textFill>
        </w:rPr>
        <w:t>第六章 投标文件格式</w:t>
      </w:r>
      <w:bookmarkEnd w:id="241"/>
      <w:bookmarkEnd w:id="242"/>
      <w:bookmarkEnd w:id="243"/>
      <w:bookmarkEnd w:id="244"/>
      <w:bookmarkEnd w:id="245"/>
    </w:p>
    <w:p w14:paraId="570E66E2">
      <w:pPr>
        <w:pStyle w:val="48"/>
        <w:spacing w:before="157" w:after="157"/>
        <w:jc w:val="center"/>
        <w:rPr>
          <w:rStyle w:val="18"/>
          <w:rFonts w:ascii="宋体" w:hAnsi="宋体" w:eastAsia="宋体" w:cs="宋体"/>
          <w:color w:val="000000" w:themeColor="text1"/>
          <w:sz w:val="40"/>
          <w:szCs w:val="40"/>
          <w:highlight w:val="none"/>
          <w14:textFill>
            <w14:solidFill>
              <w14:schemeClr w14:val="tx1"/>
            </w14:solidFill>
          </w14:textFill>
        </w:rPr>
      </w:pPr>
      <w:r>
        <w:rPr>
          <w:rStyle w:val="18"/>
          <w:rFonts w:hint="eastAsia" w:ascii="宋体" w:hAnsi="宋体" w:eastAsia="宋体" w:cs="宋体"/>
          <w:color w:val="000000" w:themeColor="text1"/>
          <w:sz w:val="40"/>
          <w:szCs w:val="40"/>
          <w:highlight w:val="none"/>
          <w14:textFill>
            <w14:solidFill>
              <w14:schemeClr w14:val="tx1"/>
            </w14:solidFill>
          </w14:textFill>
        </w:rPr>
        <w:t>投标主要文件目录</w:t>
      </w:r>
    </w:p>
    <w:p w14:paraId="44A6BC14">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一、封面</w:t>
      </w:r>
    </w:p>
    <w:p w14:paraId="2FA4706B">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二、投标函格式</w:t>
      </w:r>
    </w:p>
    <w:p w14:paraId="422E2EF1">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三、开标一览表</w:t>
      </w:r>
    </w:p>
    <w:p w14:paraId="4590E98A">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四</w:t>
      </w:r>
      <w:r>
        <w:rPr>
          <w:rStyle w:val="18"/>
          <w:rFonts w:hint="eastAsia" w:ascii="宋体" w:hAnsi="宋体" w:eastAsia="宋体" w:cs="宋体"/>
          <w:color w:val="000000" w:themeColor="text1"/>
          <w:highlight w:val="none"/>
          <w14:textFill>
            <w14:solidFill>
              <w14:schemeClr w14:val="tx1"/>
            </w14:solidFill>
          </w14:textFill>
        </w:rPr>
        <w:t>、经费测算明细表</w:t>
      </w:r>
    </w:p>
    <w:p w14:paraId="6A52A99F">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五</w:t>
      </w:r>
      <w:r>
        <w:rPr>
          <w:rStyle w:val="18"/>
          <w:rFonts w:hint="eastAsia" w:ascii="宋体" w:hAnsi="宋体" w:eastAsia="宋体" w:cs="宋体"/>
          <w:color w:val="000000" w:themeColor="text1"/>
          <w:highlight w:val="none"/>
          <w14:textFill>
            <w14:solidFill>
              <w14:schemeClr w14:val="tx1"/>
            </w14:solidFill>
          </w14:textFill>
        </w:rPr>
        <w:t>、第四章项目需求中实质性要求响应对照表</w:t>
      </w:r>
    </w:p>
    <w:p w14:paraId="319C0DDA">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六</w:t>
      </w:r>
      <w:r>
        <w:rPr>
          <w:rStyle w:val="18"/>
          <w:rFonts w:hint="eastAsia" w:ascii="宋体" w:hAnsi="宋体" w:eastAsia="宋体" w:cs="宋体"/>
          <w:color w:val="000000" w:themeColor="text1"/>
          <w:highlight w:val="none"/>
          <w14:textFill>
            <w14:solidFill>
              <w14:schemeClr w14:val="tx1"/>
            </w14:solidFill>
          </w14:textFill>
        </w:rPr>
        <w:t>、服务方案</w:t>
      </w:r>
    </w:p>
    <w:p w14:paraId="675E8FAF">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七</w:t>
      </w:r>
      <w:r>
        <w:rPr>
          <w:rStyle w:val="18"/>
          <w:rFonts w:hint="eastAsia" w:ascii="宋体" w:hAnsi="宋体" w:eastAsia="宋体" w:cs="宋体"/>
          <w:color w:val="000000" w:themeColor="text1"/>
          <w:highlight w:val="none"/>
          <w14:textFill>
            <w14:solidFill>
              <w14:schemeClr w14:val="tx1"/>
            </w14:solidFill>
          </w14:textFill>
        </w:rPr>
        <w:t>、投标人情况介绍</w:t>
      </w:r>
    </w:p>
    <w:p w14:paraId="250C6D95">
      <w:pPr>
        <w:pStyle w:val="48"/>
        <w:keepNext w:val="0"/>
        <w:keepLines w:val="0"/>
        <w:pageBreakBefore w:val="0"/>
        <w:widowControl/>
        <w:spacing w:line="480" w:lineRule="auto"/>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投标人拥有的设施设备情况</w:t>
      </w:r>
    </w:p>
    <w:p w14:paraId="2C0102DD">
      <w:pPr>
        <w:pStyle w:val="48"/>
        <w:keepNext w:val="0"/>
        <w:keepLines w:val="0"/>
        <w:pageBreakBefore w:val="0"/>
        <w:widowControl/>
        <w:spacing w:line="480" w:lineRule="auto"/>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项目负责人及其他</w:t>
      </w:r>
      <w:r>
        <w:rPr>
          <w:rStyle w:val="18"/>
          <w:rFonts w:hint="eastAsia" w:ascii="宋体" w:hAnsi="宋体" w:eastAsia="宋体" w:cs="宋体"/>
          <w:color w:val="000000" w:themeColor="text1"/>
          <w:highlight w:val="none"/>
          <w14:textFill>
            <w14:solidFill>
              <w14:schemeClr w14:val="tx1"/>
            </w14:solidFill>
          </w14:textFill>
        </w:rPr>
        <w:t>人员介绍</w:t>
      </w:r>
    </w:p>
    <w:p w14:paraId="1B5851C6">
      <w:pPr>
        <w:pStyle w:val="48"/>
        <w:keepNext w:val="0"/>
        <w:keepLines w:val="0"/>
        <w:pageBreakBefore w:val="0"/>
        <w:widowControl/>
        <w:spacing w:line="480" w:lineRule="auto"/>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类似业绩一览表</w:t>
      </w:r>
    </w:p>
    <w:p w14:paraId="2FF2CB2C">
      <w:pPr>
        <w:pStyle w:val="48"/>
        <w:keepNext w:val="0"/>
        <w:keepLines w:val="0"/>
        <w:pageBreakBefore w:val="0"/>
        <w:widowControl/>
        <w:spacing w:line="480" w:lineRule="auto"/>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投标人获得的相关证书</w:t>
      </w:r>
    </w:p>
    <w:p w14:paraId="06716A7C">
      <w:pPr>
        <w:pStyle w:val="48"/>
        <w:keepNext w:val="0"/>
        <w:keepLines w:val="0"/>
        <w:pageBreakBefore w:val="0"/>
        <w:widowControl/>
        <w:spacing w:line="480" w:lineRule="auto"/>
        <w:ind w:firstLine="480"/>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投标人获得的相关奖项</w:t>
      </w:r>
    </w:p>
    <w:p w14:paraId="03FF77B5">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八</w:t>
      </w:r>
      <w:r>
        <w:rPr>
          <w:rStyle w:val="18"/>
          <w:rFonts w:hint="eastAsia" w:ascii="宋体" w:hAnsi="宋体" w:eastAsia="宋体" w:cs="宋体"/>
          <w:color w:val="000000" w:themeColor="text1"/>
          <w:highlight w:val="none"/>
          <w14:textFill>
            <w14:solidFill>
              <w14:schemeClr w14:val="tx1"/>
            </w14:solidFill>
          </w14:textFill>
        </w:rPr>
        <w:t>、技术要求响应及偏离表</w:t>
      </w:r>
    </w:p>
    <w:p w14:paraId="4CAD4ACA">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lang w:val="en-US" w:eastAsia="zh-CN"/>
          <w14:textFill>
            <w14:solidFill>
              <w14:schemeClr w14:val="tx1"/>
            </w14:solidFill>
          </w14:textFill>
        </w:rPr>
        <w:t>九</w:t>
      </w:r>
      <w:r>
        <w:rPr>
          <w:rStyle w:val="18"/>
          <w:rFonts w:hint="eastAsia" w:ascii="宋体" w:hAnsi="宋体" w:eastAsia="宋体" w:cs="宋体"/>
          <w:color w:val="000000" w:themeColor="text1"/>
          <w:highlight w:val="none"/>
          <w14:textFill>
            <w14:solidFill>
              <w14:schemeClr w14:val="tx1"/>
            </w14:solidFill>
          </w14:textFill>
        </w:rPr>
        <w:t>、商务条款响应及偏离表</w:t>
      </w:r>
    </w:p>
    <w:p w14:paraId="3035BFBC">
      <w:pPr>
        <w:pStyle w:val="48"/>
        <w:keepNext w:val="0"/>
        <w:keepLines w:val="0"/>
        <w:pageBreakBefore w:val="0"/>
        <w:widowControl/>
        <w:spacing w:line="480" w:lineRule="auto"/>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t>十、其他材料</w:t>
      </w:r>
    </w:p>
    <w:p w14:paraId="28354C2F">
      <w:pPr>
        <w:pStyle w:val="49"/>
        <w:keepNext w:val="0"/>
        <w:keepLines w:val="0"/>
        <w:pageBreakBefore w:val="0"/>
        <w:widowControl/>
        <w:shd w:val="clear" w:color="auto" w:fill="auto"/>
        <w:spacing w:line="400" w:lineRule="exact"/>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olor w:val="000000" w:themeColor="text1"/>
          <w:highlight w:val="none"/>
          <w14:textFill>
            <w14:solidFill>
              <w14:schemeClr w14:val="tx1"/>
            </w14:solidFill>
          </w14:textFill>
        </w:rPr>
        <w:br w:type="page" w:clear="all"/>
      </w:r>
      <w:bookmarkStart w:id="246" w:name="_Toc24520"/>
      <w:bookmarkStart w:id="247" w:name="_Toc10661"/>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一、封面</w:t>
      </w:r>
      <w:bookmarkEnd w:id="246"/>
      <w:bookmarkEnd w:id="247"/>
    </w:p>
    <w:p w14:paraId="16DAB0BA">
      <w:pPr>
        <w:pStyle w:val="50"/>
        <w:shd w:val="clear" w:color="auto" w:fill="auto"/>
        <w:spacing w:before="540" w:after="540"/>
        <w:jc w:val="center"/>
        <w:rPr>
          <w:rStyle w:val="18"/>
          <w:rFonts w:hint="eastAsia" w:ascii="宋体" w:hAnsi="宋体" w:eastAsia="宋体" w:cs="宋体"/>
          <w:b/>
          <w:bCs/>
          <w:caps w:val="0"/>
          <w:smallCaps w:val="0"/>
          <w:color w:val="000000" w:themeColor="text1"/>
          <w:spacing w:val="0"/>
          <w:sz w:val="72"/>
          <w:szCs w:val="72"/>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72"/>
          <w:szCs w:val="72"/>
          <w:highlight w:val="none"/>
          <w:shd w:val="clear" w:color="auto" w:fill="auto"/>
          <w14:textFill>
            <w14:solidFill>
              <w14:schemeClr w14:val="tx1"/>
            </w14:solidFill>
          </w14:textFill>
        </w:rPr>
        <w:t>投 标 文 件</w:t>
      </w:r>
    </w:p>
    <w:p w14:paraId="40F68004">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269FF17B">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74B6891D">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654F9C43">
      <w:pPr>
        <w:pStyle w:val="50"/>
        <w:shd w:val="clear" w:color="auto" w:fill="auto"/>
        <w:spacing w:before="360" w:after="360"/>
        <w:ind w:firstLine="2530"/>
        <w:jc w:val="both"/>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项目名称：</w:t>
      </w:r>
      <w:r>
        <w:rPr>
          <w:rStyle w:val="18"/>
          <w:rFonts w:hint="eastAsia" w:ascii="宋体" w:hAnsi="宋体" w:eastAsia="宋体" w:cs="宋体"/>
          <w:b/>
          <w:bCs/>
          <w:caps w:val="0"/>
          <w:smallCaps w:val="0"/>
          <w:color w:val="000000" w:themeColor="text1"/>
          <w:spacing w:val="0"/>
          <w:highlight w:val="none"/>
          <w:u w:val="single"/>
          <w:shd w:val="clear" w:color="auto" w:fill="auto"/>
          <w:lang w:val="en-US" w:eastAsia="zh-CN"/>
          <w14:textFill>
            <w14:solidFill>
              <w14:schemeClr w14:val="tx1"/>
            </w14:solidFill>
          </w14:textFill>
        </w:rPr>
        <w:t xml:space="preserve">                      </w:t>
      </w:r>
    </w:p>
    <w:p w14:paraId="2826D1F0">
      <w:pPr>
        <w:pStyle w:val="50"/>
        <w:shd w:val="clear" w:color="auto" w:fill="auto"/>
        <w:spacing w:before="360" w:after="360"/>
        <w:ind w:firstLine="2530"/>
        <w:jc w:val="both"/>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招标编号：</w:t>
      </w:r>
      <w:r>
        <w:rPr>
          <w:rStyle w:val="18"/>
          <w:rFonts w:hint="eastAsia" w:ascii="宋体" w:hAnsi="宋体" w:eastAsia="宋体" w:cs="宋体"/>
          <w:b/>
          <w:bCs/>
          <w:caps w:val="0"/>
          <w:smallCaps w:val="0"/>
          <w:color w:val="000000" w:themeColor="text1"/>
          <w:spacing w:val="0"/>
          <w:highlight w:val="none"/>
          <w:u w:val="single"/>
          <w:shd w:val="clear" w:color="auto" w:fill="auto"/>
          <w:lang w:val="en-US" w:eastAsia="zh-CN"/>
          <w14:textFill>
            <w14:solidFill>
              <w14:schemeClr w14:val="tx1"/>
            </w14:solidFill>
          </w14:textFill>
        </w:rPr>
        <w:t xml:space="preserve">                      </w:t>
      </w:r>
    </w:p>
    <w:p w14:paraId="7A491A95">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0592A153">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166D4D0A">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549E4E21">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5EB82B37">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246D6664">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69839162">
      <w:pPr>
        <w:pStyle w:val="50"/>
        <w:keepNext w:val="0"/>
        <w:keepLines w:val="0"/>
        <w:pageBreakBefore w:val="0"/>
        <w:widowControl/>
        <w:shd w:val="clear" w:color="auto" w:fill="auto"/>
        <w:spacing w:line="520" w:lineRule="exact"/>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6BC7B27C">
      <w:pPr>
        <w:pStyle w:val="50"/>
        <w:shd w:val="clear" w:color="auto" w:fill="auto"/>
        <w:spacing w:before="360" w:after="360"/>
        <w:ind w:firstLine="2168"/>
        <w:jc w:val="both"/>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投标人名称：</w:t>
      </w:r>
      <w:r>
        <w:rPr>
          <w:rStyle w:val="18"/>
          <w:rFonts w:hint="eastAsia" w:ascii="宋体" w:hAnsi="宋体" w:eastAsia="宋体" w:cs="宋体"/>
          <w:b/>
          <w:bCs/>
          <w:caps w:val="0"/>
          <w:smallCaps w:val="0"/>
          <w:color w:val="000000" w:themeColor="text1"/>
          <w:spacing w:val="0"/>
          <w:sz w:val="36"/>
          <w:szCs w:val="36"/>
          <w:highlight w:val="none"/>
          <w:u w:val="single"/>
          <w:shd w:val="clear" w:color="auto" w:fill="auto"/>
          <w:lang w:val="en-US" w:eastAsia="zh-CN"/>
          <w14:textFill>
            <w14:solidFill>
              <w14:schemeClr w14:val="tx1"/>
            </w14:solidFill>
          </w14:textFill>
        </w:rPr>
        <w:t xml:space="preserve">                </w:t>
      </w:r>
    </w:p>
    <w:p w14:paraId="5333B4AA">
      <w:pPr>
        <w:pStyle w:val="50"/>
        <w:shd w:val="clear" w:color="auto" w:fill="auto"/>
        <w:spacing w:before="360" w:after="360"/>
        <w:ind w:firstLine="2168"/>
        <w:jc w:val="both"/>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日</w:t>
      </w: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 xml:space="preserve">      </w:t>
      </w: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期：</w:t>
      </w:r>
      <w:r>
        <w:rPr>
          <w:rStyle w:val="18"/>
          <w:rFonts w:hint="eastAsia" w:ascii="宋体" w:hAnsi="宋体" w:eastAsia="宋体" w:cs="宋体"/>
          <w:b/>
          <w:bCs/>
          <w:caps w:val="0"/>
          <w:smallCaps w:val="0"/>
          <w:color w:val="000000" w:themeColor="text1"/>
          <w:spacing w:val="0"/>
          <w:highlight w:val="none"/>
          <w:u w:val="single"/>
          <w:shd w:val="clear" w:color="auto" w:fill="auto"/>
          <w:lang w:val="en-US" w:eastAsia="zh-CN"/>
          <w14:textFill>
            <w14:solidFill>
              <w14:schemeClr w14:val="tx1"/>
            </w14:solidFill>
          </w14:textFill>
        </w:rPr>
        <w:t xml:space="preserve">                        </w:t>
      </w:r>
    </w:p>
    <w:p w14:paraId="16C7E711">
      <w:pPr>
        <w:pStyle w:val="50"/>
        <w:keepNext w:val="0"/>
        <w:keepLines w:val="0"/>
        <w:pageBreakBefore w:val="0"/>
        <w:widowControl/>
        <w:shd w:val="clear" w:color="auto" w:fill="auto"/>
        <w:spacing w:line="520" w:lineRule="exact"/>
        <w:jc w:val="center"/>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033F79FB">
      <w:pPr>
        <w:pStyle w:val="50"/>
        <w:keepNext w:val="0"/>
        <w:keepLines w:val="0"/>
        <w:pageBreakBefore w:val="0"/>
        <w:widowControl/>
        <w:shd w:val="clear" w:color="auto" w:fill="auto"/>
        <w:spacing w:line="520" w:lineRule="exact"/>
        <w:jc w:val="center"/>
        <w:outlineLvl w:val="9"/>
        <w:rPr>
          <w:rStyle w:val="18"/>
          <w:rFonts w:hint="eastAsia" w:ascii="宋体" w:hAnsi="宋体" w:eastAsia="宋体" w:cs="宋体"/>
          <w:b/>
          <w:bCs/>
          <w:caps w:val="0"/>
          <w:smallCaps w:val="0"/>
          <w:color w:val="000000" w:themeColor="text1"/>
          <w:spacing w:val="0"/>
          <w:highlight w:val="none"/>
          <w:shd w:val="clear" w:color="auto" w:fill="auto"/>
          <w14:textFill>
            <w14:solidFill>
              <w14:schemeClr w14:val="tx1"/>
            </w14:solidFill>
          </w14:textFill>
        </w:rPr>
      </w:pPr>
    </w:p>
    <w:p w14:paraId="40E45424">
      <w:pPr>
        <w:pStyle w:val="51"/>
        <w:shd w:val="clear" w:color="auto" w:fill="auto"/>
        <w:jc w:val="both"/>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bookmarkStart w:id="248" w:name="_Toc19488"/>
      <w:bookmarkStart w:id="249" w:name="_Toc28507"/>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二、投标函格式</w:t>
      </w:r>
      <w:bookmarkEnd w:id="248"/>
      <w:bookmarkEnd w:id="249"/>
    </w:p>
    <w:p w14:paraId="5DA12007">
      <w:pPr>
        <w:pStyle w:val="52"/>
        <w:keepNext w:val="0"/>
        <w:keepLines w:val="0"/>
        <w:pageBreakBefore w:val="0"/>
        <w:widowControl/>
        <w:shd w:val="clear" w:color="auto" w:fill="auto"/>
        <w:spacing w:before="567" w:after="567" w:line="240" w:lineRule="auto"/>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投标函</w:t>
      </w:r>
    </w:p>
    <w:p w14:paraId="0DE8602B">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致：</w:t>
      </w:r>
      <w:r>
        <w:rPr>
          <w:rStyle w:val="18"/>
          <w:rFonts w:hint="eastAsia" w:ascii="宋体" w:hAnsi="宋体" w:eastAsia="宋体" w:cs="宋体"/>
          <w:caps w:val="0"/>
          <w:smallCaps w:val="0"/>
          <w:color w:val="000000" w:themeColor="text1"/>
          <w:spacing w:val="0"/>
          <w:sz w:val="24"/>
          <w:szCs w:val="24"/>
          <w:highlight w:val="none"/>
          <w:shd w:val="clear" w:color="auto" w:fill="auto"/>
          <w:lang w:val="en-US" w:eastAsia="zh-CN"/>
          <w14:textFill>
            <w14:solidFill>
              <w14:schemeClr w14:val="tx1"/>
            </w14:solidFill>
          </w14:textFill>
        </w:rPr>
        <w:t>苏州润禹工程咨询管理有限公司</w:t>
      </w: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w:t>
      </w:r>
    </w:p>
    <w:p w14:paraId="7C4E7C0D">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根据贵方的</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号招标文件，正式授权下述签字人</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(姓名和职务)代表我方</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（投标人的名称），全权处理本次项目投标的有关事宜。</w:t>
      </w:r>
    </w:p>
    <w:p w14:paraId="3D7D2555">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据此函，签字人兹宣布同意如下：</w:t>
      </w:r>
    </w:p>
    <w:p w14:paraId="5F7E1ED2">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1、同意向贵方提供贵方可能另外要求的与投标有关的任何证据或资料；</w:t>
      </w:r>
    </w:p>
    <w:p w14:paraId="5106714C">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2、我们完全理解贵方不一定将合同授予最低报价的投标人；</w:t>
      </w:r>
    </w:p>
    <w:p w14:paraId="6652C8C3">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3、我们已详细审核全部招标文件及其有效补充文件，我们知道必须放弃提出含糊不清或误解问题的权利；</w:t>
      </w:r>
    </w:p>
    <w:p w14:paraId="4BBEB5EA">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4、一旦我方中标，我们将根据招标文件的规定，严格履行合同条款的责任和义务，并保证按照合同条款提供服务；</w:t>
      </w:r>
    </w:p>
    <w:p w14:paraId="7010DF79">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5、与本投标有关的正式通讯地址为：</w:t>
      </w:r>
    </w:p>
    <w:p w14:paraId="09CB600C">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lang w:val="en-US" w:eastAsia="zh-CN"/>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地址：</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1B503D78">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邮编：</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7523D51E">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电话：</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1E0D2542">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传真：</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55A5D354">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投标单位代表姓名：</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21F9093D">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投标单位名称：</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32831042">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公章：</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350B32E9">
      <w:pPr>
        <w:pStyle w:val="53"/>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日期：</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729874A6">
      <w:pPr>
        <w:pStyle w:val="54"/>
        <w:keepNext w:val="0"/>
        <w:keepLines w:val="0"/>
        <w:pageBreakBefore w:val="0"/>
        <w:widowControl/>
        <w:shd w:val="clear" w:color="auto" w:fill="auto"/>
        <w:spacing w:line="520" w:lineRule="exact"/>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br w:type="page" w:clear="all"/>
      </w:r>
      <w:bookmarkStart w:id="250" w:name="_Toc32465"/>
      <w:bookmarkStart w:id="251" w:name="_Toc23994"/>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三、开标一览表</w:t>
      </w:r>
      <w:bookmarkEnd w:id="250"/>
      <w:bookmarkEnd w:id="251"/>
    </w:p>
    <w:p w14:paraId="1DFE0785">
      <w:pPr>
        <w:pStyle w:val="52"/>
        <w:keepNext w:val="0"/>
        <w:keepLines w:val="0"/>
        <w:pageBreakBefore w:val="0"/>
        <w:widowControl/>
        <w:shd w:val="clear" w:color="auto" w:fill="auto"/>
        <w:spacing w:before="567" w:after="567" w:line="240" w:lineRule="auto"/>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﻿开标一览表</w:t>
      </w:r>
    </w:p>
    <w:p w14:paraId="2E8238C8">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lang w:val="en-US" w:eastAsia="zh-CN"/>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投标单位全称（加盖公章）：</w:t>
      </w:r>
      <w:r>
        <w:rPr>
          <w:rStyle w:val="18"/>
          <w:rFonts w:hint="eastAsia" w:ascii="宋体" w:hAnsi="宋体" w:eastAsia="宋体" w:cs="宋体"/>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p>
    <w:p w14:paraId="50E70867">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5"/>
        <w:gridCol w:w="2998"/>
        <w:gridCol w:w="2468"/>
        <w:gridCol w:w="2101"/>
      </w:tblGrid>
      <w:tr w14:paraId="00B9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85" w:type="dxa"/>
            <w:noWrap w:val="0"/>
            <w:tcMar>
              <w:top w:w="0" w:type="dxa"/>
              <w:left w:w="0" w:type="dxa"/>
              <w:bottom w:w="0" w:type="dxa"/>
              <w:right w:w="0" w:type="dxa"/>
            </w:tcMar>
            <w:vAlign w:val="center"/>
          </w:tcPr>
          <w:p w14:paraId="79C0EFD7">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项目名称</w:t>
            </w:r>
          </w:p>
        </w:tc>
        <w:tc>
          <w:tcPr>
            <w:tcW w:w="2998" w:type="dxa"/>
            <w:noWrap w:val="0"/>
            <w:tcMar>
              <w:top w:w="0" w:type="dxa"/>
              <w:left w:w="0" w:type="dxa"/>
              <w:bottom w:w="0" w:type="dxa"/>
              <w:right w:w="0" w:type="dxa"/>
            </w:tcMar>
            <w:vAlign w:val="center"/>
          </w:tcPr>
          <w:p w14:paraId="22EA95D8">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服务期限</w:t>
            </w:r>
          </w:p>
        </w:tc>
        <w:tc>
          <w:tcPr>
            <w:tcW w:w="2468" w:type="dxa"/>
            <w:noWrap w:val="0"/>
            <w:tcMar>
              <w:top w:w="0" w:type="dxa"/>
              <w:left w:w="0" w:type="dxa"/>
              <w:bottom w:w="0" w:type="dxa"/>
              <w:right w:w="0" w:type="dxa"/>
            </w:tcMar>
            <w:vAlign w:val="center"/>
          </w:tcPr>
          <w:p w14:paraId="5C98C6CC">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总价（元）</w:t>
            </w:r>
          </w:p>
        </w:tc>
        <w:tc>
          <w:tcPr>
            <w:tcW w:w="2101" w:type="dxa"/>
            <w:noWrap w:val="0"/>
            <w:tcMar>
              <w:top w:w="0" w:type="dxa"/>
              <w:left w:w="0" w:type="dxa"/>
              <w:bottom w:w="0" w:type="dxa"/>
              <w:right w:w="0" w:type="dxa"/>
            </w:tcMar>
            <w:vAlign w:val="center"/>
          </w:tcPr>
          <w:p w14:paraId="665E9592">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备注</w:t>
            </w:r>
          </w:p>
        </w:tc>
      </w:tr>
      <w:tr w14:paraId="754E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5" w:type="dxa"/>
            <w:noWrap w:val="0"/>
            <w:tcMar>
              <w:top w:w="0" w:type="dxa"/>
              <w:left w:w="0" w:type="dxa"/>
              <w:bottom w:w="0" w:type="dxa"/>
              <w:right w:w="0" w:type="dxa"/>
            </w:tcMar>
            <w:vAlign w:val="center"/>
          </w:tcPr>
          <w:p w14:paraId="7B60962C">
            <w:pPr>
              <w:pStyle w:val="52"/>
              <w:keepNext w:val="0"/>
              <w:keepLines w:val="0"/>
              <w:pageBreakBefore w:val="0"/>
              <w:widowControl/>
              <w:shd w:val="clear" w:color="auto" w:fill="auto"/>
              <w:spacing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lang w:eastAsia="zh-CN"/>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lang w:eastAsia="zh-CN"/>
                <w14:textFill>
                  <w14:solidFill>
                    <w14:schemeClr w14:val="tx1"/>
                  </w14:solidFill>
                </w14:textFill>
              </w:rPr>
              <w:t>2025年度白蚁等害堤动物普查及治理项目</w:t>
            </w:r>
          </w:p>
        </w:tc>
        <w:tc>
          <w:tcPr>
            <w:tcW w:w="2998" w:type="dxa"/>
            <w:noWrap w:val="0"/>
            <w:tcMar>
              <w:top w:w="0" w:type="dxa"/>
              <w:left w:w="0" w:type="dxa"/>
              <w:bottom w:w="0" w:type="dxa"/>
              <w:right w:w="0" w:type="dxa"/>
            </w:tcMar>
            <w:vAlign w:val="center"/>
          </w:tcPr>
          <w:p w14:paraId="601E432F">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tc>
        <w:tc>
          <w:tcPr>
            <w:tcW w:w="2468" w:type="dxa"/>
            <w:noWrap w:val="0"/>
            <w:tcMar>
              <w:top w:w="0" w:type="dxa"/>
              <w:left w:w="0" w:type="dxa"/>
              <w:bottom w:w="0" w:type="dxa"/>
              <w:right w:w="0" w:type="dxa"/>
            </w:tcMar>
            <w:vAlign w:val="center"/>
          </w:tcPr>
          <w:p w14:paraId="5E951E88">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2101" w:type="dxa"/>
            <w:noWrap w:val="0"/>
            <w:tcMar>
              <w:top w:w="0" w:type="dxa"/>
              <w:left w:w="0" w:type="dxa"/>
              <w:bottom w:w="0" w:type="dxa"/>
              <w:right w:w="0" w:type="dxa"/>
            </w:tcMar>
            <w:vAlign w:val="center"/>
          </w:tcPr>
          <w:p w14:paraId="0537BBA2">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00689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85" w:type="dxa"/>
            <w:noWrap w:val="0"/>
            <w:tcMar>
              <w:top w:w="0" w:type="dxa"/>
              <w:left w:w="0" w:type="dxa"/>
              <w:bottom w:w="0" w:type="dxa"/>
              <w:right w:w="0" w:type="dxa"/>
            </w:tcMar>
            <w:vAlign w:val="center"/>
          </w:tcPr>
          <w:p w14:paraId="1E006C72">
            <w:pPr>
              <w:pStyle w:val="52"/>
              <w:shd w:val="clear" w:color="auto" w:fill="auto"/>
              <w:spacing w:line="36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投标总报价</w:t>
            </w:r>
          </w:p>
          <w:p w14:paraId="4C78D6A4">
            <w:pPr>
              <w:pStyle w:val="52"/>
              <w:shd w:val="clear" w:color="auto" w:fill="auto"/>
              <w:spacing w:line="36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（大写）</w:t>
            </w:r>
          </w:p>
        </w:tc>
        <w:tc>
          <w:tcPr>
            <w:tcW w:w="7567" w:type="dxa"/>
            <w:gridSpan w:val="3"/>
            <w:noWrap w:val="0"/>
            <w:tcMar>
              <w:top w:w="0" w:type="dxa"/>
              <w:left w:w="0" w:type="dxa"/>
              <w:bottom w:w="0" w:type="dxa"/>
              <w:right w:w="0" w:type="dxa"/>
            </w:tcMar>
            <w:vAlign w:val="center"/>
          </w:tcPr>
          <w:p w14:paraId="1FE8E160">
            <w:pPr>
              <w:pStyle w:val="52"/>
              <w:shd w:val="clear" w:color="auto" w:fill="auto"/>
              <w:spacing w:line="240" w:lineRule="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（人民币）￥：</w:t>
            </w:r>
            <w:r>
              <w:rPr>
                <w:rStyle w:val="18"/>
                <w:rFonts w:hint="eastAsia" w:ascii="宋体" w:hAnsi="宋体" w:eastAsia="宋体" w:cs="宋体"/>
                <w:b/>
                <w:bCs/>
                <w:i w:val="0"/>
                <w:iCs w:val="0"/>
                <w:caps w:val="0"/>
                <w:smallCaps w:val="0"/>
                <w:color w:val="000000" w:themeColor="text1"/>
                <w:spacing w:val="0"/>
                <w:sz w:val="24"/>
                <w:szCs w:val="24"/>
                <w:highlight w:val="none"/>
                <w:u w:val="single"/>
                <w:shd w:val="clear" w:color="auto" w:fill="auto"/>
                <w:lang w:val="en-US" w:eastAsia="zh-CN"/>
                <w14:textFill>
                  <w14:solidFill>
                    <w14:schemeClr w14:val="tx1"/>
                  </w14:solidFill>
                </w14:textFill>
              </w:rPr>
              <w:t xml:space="preserve">            </w:t>
            </w: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元</w:t>
            </w:r>
          </w:p>
        </w:tc>
      </w:tr>
    </w:tbl>
    <w:p w14:paraId="53539AD8">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11BD1C5C">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注：</w:t>
      </w:r>
    </w:p>
    <w:p w14:paraId="12C0A6BC">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1、总价为综合报价，详见招标文件第二章12.4。</w:t>
      </w:r>
    </w:p>
    <w:p w14:paraId="64CAFA15">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2、投标人对招标文件规定的招标报价包含项目不得减少，无论投标人对报价是否有特别说明，均视为所报价格包含了招标文件规定的全部项目价格。招标文件未列明，而投标人认为必需的费用也需列入报价。</w:t>
      </w:r>
    </w:p>
    <w:p w14:paraId="3FE2EBD9">
      <w:pPr>
        <w:pStyle w:val="52"/>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3、本表中的报价已包括公共责任险（第三者险），中标单位未及时投保所造成的损害责任由中标单位承担。</w:t>
      </w:r>
    </w:p>
    <w:p w14:paraId="019E082E">
      <w:pPr>
        <w:pStyle w:val="55"/>
        <w:shd w:val="clear" w:color="auto" w:fill="auto"/>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br w:type="page" w:clear="all"/>
      </w:r>
      <w:bookmarkStart w:id="252" w:name="_Toc12028"/>
      <w:bookmarkStart w:id="253" w:name="_Toc28557"/>
      <w:r>
        <w:rPr>
          <w:rStyle w:val="18"/>
          <w:rFonts w:hint="eastAsia" w:ascii="宋体" w:hAnsi="宋体" w:eastAsia="宋体" w:cs="宋体"/>
          <w:b/>
          <w:caps w:val="0"/>
          <w:smallCaps w:val="0"/>
          <w:color w:val="000000" w:themeColor="text1"/>
          <w:spacing w:val="0"/>
          <w:sz w:val="32"/>
          <w:highlight w:val="none"/>
          <w:shd w:val="clear" w:color="auto" w:fill="auto"/>
          <w:lang w:val="en-US" w:eastAsia="zh-CN"/>
          <w14:textFill>
            <w14:solidFill>
              <w14:schemeClr w14:val="tx1"/>
            </w14:solidFill>
          </w14:textFill>
        </w:rPr>
        <w:t>四</w:t>
      </w:r>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、经费测算明细表</w:t>
      </w:r>
      <w:bookmarkEnd w:id="252"/>
      <w:bookmarkEnd w:id="253"/>
    </w:p>
    <w:p w14:paraId="6F0AC509">
      <w:pPr>
        <w:pStyle w:val="52"/>
        <w:keepNext w:val="0"/>
        <w:keepLines w:val="0"/>
        <w:pageBreakBefore w:val="0"/>
        <w:widowControl/>
        <w:shd w:val="clear" w:color="auto" w:fill="auto"/>
        <w:spacing w:before="567" w:after="567" w:line="240" w:lineRule="auto"/>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经费测算明细表</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2236"/>
        <w:gridCol w:w="4149"/>
        <w:gridCol w:w="867"/>
        <w:gridCol w:w="867"/>
        <w:gridCol w:w="939"/>
      </w:tblGrid>
      <w:tr w14:paraId="5803D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6" w:type="pct"/>
            <w:noWrap w:val="0"/>
            <w:tcMar>
              <w:top w:w="0" w:type="dxa"/>
              <w:left w:w="0" w:type="dxa"/>
              <w:bottom w:w="0" w:type="dxa"/>
              <w:right w:w="0" w:type="dxa"/>
            </w:tcMar>
            <w:vAlign w:val="center"/>
          </w:tcPr>
          <w:p w14:paraId="2DAB8685">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序号</w:t>
            </w:r>
          </w:p>
        </w:tc>
        <w:tc>
          <w:tcPr>
            <w:tcW w:w="1146" w:type="pct"/>
            <w:noWrap w:val="0"/>
            <w:tcMar>
              <w:top w:w="0" w:type="dxa"/>
              <w:left w:w="0" w:type="dxa"/>
              <w:bottom w:w="0" w:type="dxa"/>
              <w:right w:w="0" w:type="dxa"/>
            </w:tcMar>
            <w:vAlign w:val="center"/>
          </w:tcPr>
          <w:p w14:paraId="66CFC57C">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项目</w:t>
            </w:r>
          </w:p>
        </w:tc>
        <w:tc>
          <w:tcPr>
            <w:tcW w:w="2125" w:type="pct"/>
            <w:noWrap w:val="0"/>
            <w:tcMar>
              <w:top w:w="0" w:type="dxa"/>
              <w:left w:w="0" w:type="dxa"/>
              <w:bottom w:w="0" w:type="dxa"/>
              <w:right w:w="0" w:type="dxa"/>
            </w:tcMar>
            <w:vAlign w:val="center"/>
          </w:tcPr>
          <w:p w14:paraId="5587AF2E">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测算依据和测算式</w:t>
            </w:r>
          </w:p>
        </w:tc>
        <w:tc>
          <w:tcPr>
            <w:tcW w:w="444" w:type="pct"/>
            <w:noWrap w:val="0"/>
            <w:tcMar>
              <w:top w:w="0" w:type="dxa"/>
              <w:left w:w="0" w:type="dxa"/>
              <w:bottom w:w="0" w:type="dxa"/>
              <w:right w:w="0" w:type="dxa"/>
            </w:tcMar>
            <w:vAlign w:val="center"/>
          </w:tcPr>
          <w:p w14:paraId="5D879251">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342750F0">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544EA44F">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备注</w:t>
            </w:r>
          </w:p>
        </w:tc>
      </w:tr>
      <w:tr w14:paraId="2523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6" w:type="pct"/>
            <w:noWrap w:val="0"/>
            <w:tcMar>
              <w:top w:w="0" w:type="dxa"/>
              <w:left w:w="0" w:type="dxa"/>
              <w:bottom w:w="0" w:type="dxa"/>
              <w:right w:w="0" w:type="dxa"/>
            </w:tcMar>
            <w:vAlign w:val="center"/>
          </w:tcPr>
          <w:p w14:paraId="22B53C0C">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t>1</w:t>
            </w:r>
          </w:p>
        </w:tc>
        <w:tc>
          <w:tcPr>
            <w:tcW w:w="1146" w:type="pct"/>
            <w:noWrap w:val="0"/>
            <w:tcMar>
              <w:top w:w="0" w:type="dxa"/>
              <w:left w:w="0" w:type="dxa"/>
              <w:bottom w:w="0" w:type="dxa"/>
              <w:right w:w="0" w:type="dxa"/>
            </w:tcMar>
            <w:vAlign w:val="center"/>
          </w:tcPr>
          <w:p w14:paraId="335F98C6">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2125" w:type="pct"/>
            <w:noWrap w:val="0"/>
            <w:tcMar>
              <w:top w:w="0" w:type="dxa"/>
              <w:left w:w="0" w:type="dxa"/>
              <w:bottom w:w="0" w:type="dxa"/>
              <w:right w:w="0" w:type="dxa"/>
            </w:tcMar>
            <w:vAlign w:val="center"/>
          </w:tcPr>
          <w:p w14:paraId="0E4E2EF8">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70B1566C">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2B944FEF">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3262D689">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5994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6" w:type="pct"/>
            <w:noWrap w:val="0"/>
            <w:tcMar>
              <w:top w:w="0" w:type="dxa"/>
              <w:left w:w="0" w:type="dxa"/>
              <w:bottom w:w="0" w:type="dxa"/>
              <w:right w:w="0" w:type="dxa"/>
            </w:tcMar>
            <w:vAlign w:val="center"/>
          </w:tcPr>
          <w:p w14:paraId="7385A04E">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146" w:type="pct"/>
            <w:noWrap w:val="0"/>
            <w:tcMar>
              <w:top w:w="0" w:type="dxa"/>
              <w:left w:w="0" w:type="dxa"/>
              <w:bottom w:w="0" w:type="dxa"/>
              <w:right w:w="0" w:type="dxa"/>
            </w:tcMar>
            <w:vAlign w:val="center"/>
          </w:tcPr>
          <w:p w14:paraId="51AA010C">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2125" w:type="pct"/>
            <w:noWrap w:val="0"/>
            <w:tcMar>
              <w:top w:w="0" w:type="dxa"/>
              <w:left w:w="0" w:type="dxa"/>
              <w:bottom w:w="0" w:type="dxa"/>
              <w:right w:w="0" w:type="dxa"/>
            </w:tcMar>
            <w:vAlign w:val="center"/>
          </w:tcPr>
          <w:p w14:paraId="42B5F7CA">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70DD41AB">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04657AA8">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2915B71D">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2180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6" w:type="pct"/>
            <w:noWrap w:val="0"/>
            <w:tcMar>
              <w:top w:w="0" w:type="dxa"/>
              <w:left w:w="0" w:type="dxa"/>
              <w:bottom w:w="0" w:type="dxa"/>
              <w:right w:w="0" w:type="dxa"/>
            </w:tcMar>
            <w:vAlign w:val="center"/>
          </w:tcPr>
          <w:p w14:paraId="7D6D4A43">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146" w:type="pct"/>
            <w:noWrap w:val="0"/>
            <w:tcMar>
              <w:top w:w="0" w:type="dxa"/>
              <w:left w:w="0" w:type="dxa"/>
              <w:bottom w:w="0" w:type="dxa"/>
              <w:right w:w="0" w:type="dxa"/>
            </w:tcMar>
            <w:vAlign w:val="center"/>
          </w:tcPr>
          <w:p w14:paraId="5EE1D642">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2125" w:type="pct"/>
            <w:noWrap w:val="0"/>
            <w:tcMar>
              <w:top w:w="0" w:type="dxa"/>
              <w:left w:w="0" w:type="dxa"/>
              <w:bottom w:w="0" w:type="dxa"/>
              <w:right w:w="0" w:type="dxa"/>
            </w:tcMar>
            <w:vAlign w:val="center"/>
          </w:tcPr>
          <w:p w14:paraId="0549F3EE">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4DFBA0C0">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46E54098">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1F22781A">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58B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56" w:type="pct"/>
            <w:noWrap w:val="0"/>
            <w:tcMar>
              <w:top w:w="0" w:type="dxa"/>
              <w:left w:w="0" w:type="dxa"/>
              <w:bottom w:w="0" w:type="dxa"/>
              <w:right w:w="0" w:type="dxa"/>
            </w:tcMar>
            <w:vAlign w:val="center"/>
          </w:tcPr>
          <w:p w14:paraId="31495D84">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146" w:type="pct"/>
            <w:noWrap w:val="0"/>
            <w:tcMar>
              <w:top w:w="0" w:type="dxa"/>
              <w:left w:w="0" w:type="dxa"/>
              <w:bottom w:w="0" w:type="dxa"/>
              <w:right w:w="0" w:type="dxa"/>
            </w:tcMar>
            <w:vAlign w:val="center"/>
          </w:tcPr>
          <w:p w14:paraId="5C1D23C1">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2125" w:type="pct"/>
            <w:noWrap w:val="0"/>
            <w:tcMar>
              <w:top w:w="0" w:type="dxa"/>
              <w:left w:w="0" w:type="dxa"/>
              <w:bottom w:w="0" w:type="dxa"/>
              <w:right w:w="0" w:type="dxa"/>
            </w:tcMar>
            <w:vAlign w:val="center"/>
          </w:tcPr>
          <w:p w14:paraId="48072AEA">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1C321134">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11673EB0">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1B34FE7C">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0A4B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8" w:type="pct"/>
            <w:gridSpan w:val="3"/>
            <w:noWrap w:val="0"/>
            <w:tcMar>
              <w:top w:w="0" w:type="dxa"/>
              <w:left w:w="0" w:type="dxa"/>
              <w:bottom w:w="0" w:type="dxa"/>
              <w:right w:w="0" w:type="dxa"/>
            </w:tcMar>
            <w:vAlign w:val="center"/>
          </w:tcPr>
          <w:p w14:paraId="503FC600">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lang w:val="en-US" w:eastAsia="zh-CN"/>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lang w:val="en-US" w:eastAsia="zh-CN"/>
                <w14:textFill>
                  <w14:solidFill>
                    <w14:schemeClr w14:val="tx1"/>
                  </w14:solidFill>
                </w14:textFill>
              </w:rPr>
              <w:t>合计（元）</w:t>
            </w:r>
          </w:p>
        </w:tc>
        <w:tc>
          <w:tcPr>
            <w:tcW w:w="444" w:type="pct"/>
            <w:noWrap w:val="0"/>
            <w:tcMar>
              <w:top w:w="0" w:type="dxa"/>
              <w:left w:w="0" w:type="dxa"/>
              <w:bottom w:w="0" w:type="dxa"/>
              <w:right w:w="0" w:type="dxa"/>
            </w:tcMar>
            <w:vAlign w:val="center"/>
          </w:tcPr>
          <w:p w14:paraId="07314F32">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44" w:type="pct"/>
            <w:noWrap w:val="0"/>
            <w:tcMar>
              <w:top w:w="0" w:type="dxa"/>
              <w:left w:w="0" w:type="dxa"/>
              <w:bottom w:w="0" w:type="dxa"/>
              <w:right w:w="0" w:type="dxa"/>
            </w:tcMar>
            <w:vAlign w:val="center"/>
          </w:tcPr>
          <w:p w14:paraId="797CF697">
            <w:pPr>
              <w:pStyle w:val="5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481" w:type="pct"/>
            <w:noWrap w:val="0"/>
            <w:tcMar>
              <w:top w:w="0" w:type="dxa"/>
              <w:left w:w="0" w:type="dxa"/>
              <w:bottom w:w="0" w:type="dxa"/>
              <w:right w:w="0" w:type="dxa"/>
            </w:tcMar>
            <w:vAlign w:val="center"/>
          </w:tcPr>
          <w:p w14:paraId="5E0100AF">
            <w:pPr>
              <w:pStyle w:val="5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bl>
    <w:p w14:paraId="12504E21">
      <w:pPr>
        <w:pStyle w:val="45"/>
        <w:keepNext w:val="0"/>
        <w:keepLines w:val="0"/>
        <w:pageBreakBefore w:val="0"/>
        <w:widowControl/>
        <w:shd w:val="clear" w:color="auto" w:fill="auto"/>
        <w:spacing w:before="240" w:after="240" w:line="520" w:lineRule="exact"/>
        <w:ind w:firstLine="480"/>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t>注：以上表格必须如实提供，内容表述不全的可自行调整或添加。此表的合计金额应与开标一览表相符，如有不符，以开标一览表为准。</w:t>
      </w:r>
    </w:p>
    <w:p w14:paraId="36DA5544">
      <w:pPr>
        <w:pStyle w:val="57"/>
        <w:shd w:val="clear" w:color="auto" w:fill="auto"/>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bookmarkStart w:id="254" w:name="_Toc5493"/>
      <w:bookmarkStart w:id="255" w:name="_Toc17337"/>
      <w:r>
        <w:rPr>
          <w:rStyle w:val="18"/>
          <w:rFonts w:hint="eastAsia" w:ascii="宋体" w:hAnsi="宋体" w:eastAsia="宋体" w:cs="宋体"/>
          <w:b/>
          <w:caps w:val="0"/>
          <w:smallCaps w:val="0"/>
          <w:color w:val="000000" w:themeColor="text1"/>
          <w:spacing w:val="0"/>
          <w:sz w:val="32"/>
          <w:highlight w:val="none"/>
          <w:shd w:val="clear" w:color="auto" w:fill="auto"/>
          <w:lang w:val="en-US" w:eastAsia="zh-CN"/>
          <w14:textFill>
            <w14:solidFill>
              <w14:schemeClr w14:val="tx1"/>
            </w14:solidFill>
          </w14:textFill>
        </w:rPr>
        <w:t>五</w:t>
      </w:r>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、第四章项目需求中实质性要求响应对照表</w:t>
      </w:r>
      <w:bookmarkEnd w:id="254"/>
      <w:bookmarkEnd w:id="255"/>
    </w:p>
    <w:p w14:paraId="0B851E7B">
      <w:pPr>
        <w:pStyle w:val="52"/>
        <w:keepNext w:val="0"/>
        <w:keepLines w:val="0"/>
        <w:pageBreakBefore w:val="0"/>
        <w:widowControl/>
        <w:shd w:val="clear" w:color="auto" w:fill="auto"/>
        <w:spacing w:before="567" w:after="567" w:line="240" w:lineRule="auto"/>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第四章项目需求中实质性要求响应对照表</w:t>
      </w:r>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
        <w:gridCol w:w="6359"/>
        <w:gridCol w:w="2433"/>
      </w:tblGrid>
      <w:tr w14:paraId="31C0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0A3BAEF0">
            <w:pPr>
              <w:pStyle w:val="58"/>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序号</w:t>
            </w:r>
          </w:p>
        </w:tc>
        <w:tc>
          <w:tcPr>
            <w:tcW w:w="3259" w:type="pct"/>
            <w:noWrap w:val="0"/>
            <w:tcMar>
              <w:top w:w="0" w:type="dxa"/>
              <w:left w:w="0" w:type="dxa"/>
              <w:bottom w:w="0" w:type="dxa"/>
              <w:right w:w="0" w:type="dxa"/>
            </w:tcMar>
            <w:vAlign w:val="center"/>
          </w:tcPr>
          <w:p w14:paraId="16C3795C">
            <w:pPr>
              <w:pStyle w:val="58"/>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第四章项目需求中的实质性要求</w:t>
            </w:r>
          </w:p>
          <w:p w14:paraId="1084E544">
            <w:pPr>
              <w:pStyle w:val="58"/>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（即斜体且有下划线部分，每条详细列出）</w:t>
            </w:r>
          </w:p>
        </w:tc>
        <w:tc>
          <w:tcPr>
            <w:tcW w:w="1247" w:type="pct"/>
            <w:noWrap w:val="0"/>
            <w:tcMar>
              <w:top w:w="0" w:type="dxa"/>
              <w:left w:w="0" w:type="dxa"/>
              <w:bottom w:w="0" w:type="dxa"/>
              <w:right w:w="0" w:type="dxa"/>
            </w:tcMar>
            <w:vAlign w:val="center"/>
          </w:tcPr>
          <w:p w14:paraId="03902149">
            <w:pPr>
              <w:pStyle w:val="58"/>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是否响应</w:t>
            </w:r>
          </w:p>
          <w:p w14:paraId="4E6E915C">
            <w:pPr>
              <w:pStyle w:val="58"/>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（填是或者否）</w:t>
            </w:r>
          </w:p>
        </w:tc>
      </w:tr>
      <w:tr w14:paraId="5604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65122166">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16FAA534">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6FD2B507">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34A5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027E993A">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45C80FF2">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7B9660C6">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5E1F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5A9DB265">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05DA63A2">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12CB2267">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2525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150CB658">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68875ECF">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7BCD5E2E">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6EC8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2D87B5FE">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6FDECFD7">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515AAFA5">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74BF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3" w:type="pct"/>
            <w:noWrap w:val="0"/>
            <w:tcMar>
              <w:top w:w="0" w:type="dxa"/>
              <w:left w:w="0" w:type="dxa"/>
              <w:bottom w:w="0" w:type="dxa"/>
              <w:right w:w="0" w:type="dxa"/>
            </w:tcMar>
            <w:vAlign w:val="center"/>
          </w:tcPr>
          <w:p w14:paraId="452FF280">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3259" w:type="pct"/>
            <w:noWrap w:val="0"/>
            <w:tcMar>
              <w:top w:w="0" w:type="dxa"/>
              <w:left w:w="0" w:type="dxa"/>
              <w:bottom w:w="0" w:type="dxa"/>
              <w:right w:w="0" w:type="dxa"/>
            </w:tcMar>
            <w:vAlign w:val="center"/>
          </w:tcPr>
          <w:p w14:paraId="5DDC8D65">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7" w:type="pct"/>
            <w:noWrap w:val="0"/>
            <w:tcMar>
              <w:top w:w="0" w:type="dxa"/>
              <w:left w:w="0" w:type="dxa"/>
              <w:bottom w:w="0" w:type="dxa"/>
              <w:right w:w="0" w:type="dxa"/>
            </w:tcMar>
            <w:vAlign w:val="center"/>
          </w:tcPr>
          <w:p w14:paraId="6C8DA5E7">
            <w:pPr>
              <w:pStyle w:val="58"/>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bl>
    <w:p w14:paraId="1A71EF24">
      <w:pPr>
        <w:pStyle w:val="58"/>
        <w:shd w:val="clear" w:color="auto" w:fill="auto"/>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59D40704">
      <w:pPr>
        <w:pStyle w:val="59"/>
        <w:shd w:val="clear" w:color="auto" w:fill="auto"/>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bookmarkStart w:id="256" w:name="_Toc11261"/>
      <w:bookmarkStart w:id="257" w:name="_Toc19964"/>
      <w:r>
        <w:rPr>
          <w:rStyle w:val="18"/>
          <w:rFonts w:hint="eastAsia" w:ascii="宋体" w:hAnsi="宋体" w:eastAsia="宋体" w:cs="宋体"/>
          <w:b/>
          <w:caps w:val="0"/>
          <w:smallCaps w:val="0"/>
          <w:color w:val="000000" w:themeColor="text1"/>
          <w:spacing w:val="0"/>
          <w:sz w:val="32"/>
          <w:szCs w:val="24"/>
          <w:highlight w:val="none"/>
          <w:shd w:val="clear" w:color="auto" w:fill="auto"/>
          <w:lang w:val="en-US" w:eastAsia="zh-CN"/>
          <w14:textFill>
            <w14:solidFill>
              <w14:schemeClr w14:val="tx1"/>
            </w14:solidFill>
          </w14:textFill>
        </w:rPr>
        <w:t>六</w:t>
      </w:r>
      <w:r>
        <w:rPr>
          <w:rStyle w:val="18"/>
          <w:rFonts w:hint="eastAsia" w:ascii="宋体" w:hAnsi="宋体" w:eastAsia="宋体" w:cs="宋体"/>
          <w:b/>
          <w:caps w:val="0"/>
          <w:smallCaps w:val="0"/>
          <w:color w:val="000000" w:themeColor="text1"/>
          <w:spacing w:val="0"/>
          <w:sz w:val="32"/>
          <w:szCs w:val="24"/>
          <w:highlight w:val="none"/>
          <w:shd w:val="clear" w:color="auto" w:fill="auto"/>
          <w14:textFill>
            <w14:solidFill>
              <w14:schemeClr w14:val="tx1"/>
            </w14:solidFill>
          </w14:textFill>
        </w:rPr>
        <w:t>、服务方案</w:t>
      </w:r>
      <w:bookmarkEnd w:id="256"/>
      <w:bookmarkEnd w:id="257"/>
    </w:p>
    <w:p w14:paraId="0026BB29">
      <w:pPr>
        <w:pStyle w:val="52"/>
        <w:keepNext w:val="0"/>
        <w:keepLines w:val="0"/>
        <w:pageBreakBefore w:val="0"/>
        <w:widowControl/>
        <w:shd w:val="clear" w:color="auto" w:fill="auto"/>
        <w:spacing w:before="567" w:after="567" w:line="240" w:lineRule="auto"/>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bookmarkStart w:id="258" w:name="_Toc35266041"/>
      <w:bookmarkStart w:id="259" w:name="_Toc43285583"/>
      <w: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t>服务方案</w:t>
      </w:r>
      <w:bookmarkEnd w:id="258"/>
      <w:bookmarkEnd w:id="259"/>
    </w:p>
    <w:p w14:paraId="5095EB92">
      <w:pPr>
        <w:pStyle w:val="60"/>
        <w:keepNext w:val="0"/>
        <w:keepLines w:val="0"/>
        <w:pageBreakBefore w:val="0"/>
        <w:widowControl w:val="0"/>
        <w:shd w:val="clear" w:color="auto" w:fill="auto"/>
        <w:spacing w:line="520" w:lineRule="exact"/>
        <w:jc w:val="center"/>
        <w:rPr>
          <w:rStyle w:val="18"/>
          <w:rFonts w:hint="eastAsia" w:ascii="宋体" w:hAnsi="宋体" w:eastAsia="宋体" w:cs="宋体"/>
          <w:caps w:val="0"/>
          <w:smallCaps w:val="0"/>
          <w:color w:val="000000" w:themeColor="text1"/>
          <w:spacing w:val="0"/>
          <w:sz w:val="24"/>
          <w:szCs w:val="21"/>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sz w:val="24"/>
          <w:szCs w:val="21"/>
          <w:highlight w:val="none"/>
          <w:shd w:val="clear" w:color="auto" w:fill="auto"/>
          <w14:textFill>
            <w14:solidFill>
              <w14:schemeClr w14:val="tx1"/>
            </w14:solidFill>
          </w14:textFill>
        </w:rPr>
        <w:t>（服务方案的内容编排等由投标人自定）</w:t>
      </w:r>
    </w:p>
    <w:p w14:paraId="2003AF31">
      <w:pPr>
        <w:pStyle w:val="62"/>
        <w:keepNext w:val="0"/>
        <w:keepLines w:val="0"/>
        <w:pageBreakBefore w:val="0"/>
        <w:widowControl/>
        <w:shd w:val="clear" w:color="auto" w:fill="auto"/>
        <w:spacing w:line="520" w:lineRule="exact"/>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60E66943">
      <w:pPr>
        <w:pStyle w:val="62"/>
        <w:keepNext w:val="0"/>
        <w:keepLines w:val="0"/>
        <w:pageBreakBefore w:val="0"/>
        <w:widowControl/>
        <w:shd w:val="clear" w:color="auto" w:fill="auto"/>
        <w:spacing w:line="520" w:lineRule="exact"/>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5C66CB36">
      <w:pPr>
        <w:pStyle w:val="62"/>
        <w:keepNext w:val="0"/>
        <w:keepLines w:val="0"/>
        <w:pageBreakBefore w:val="0"/>
        <w:widowControl/>
        <w:shd w:val="clear" w:color="auto" w:fill="auto"/>
        <w:spacing w:line="520" w:lineRule="exact"/>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bookmarkStart w:id="260" w:name="_Toc29190"/>
      <w:bookmarkStart w:id="261" w:name="_Toc12415"/>
      <w:r>
        <w:rPr>
          <w:rStyle w:val="18"/>
          <w:rFonts w:hint="eastAsia" w:ascii="宋体" w:hAnsi="宋体" w:eastAsia="宋体" w:cs="宋体"/>
          <w:b/>
          <w:caps w:val="0"/>
          <w:smallCaps w:val="0"/>
          <w:color w:val="000000" w:themeColor="text1"/>
          <w:spacing w:val="0"/>
          <w:sz w:val="32"/>
          <w:szCs w:val="24"/>
          <w:highlight w:val="none"/>
          <w:shd w:val="clear" w:color="auto" w:fill="auto"/>
          <w:lang w:val="en-US" w:eastAsia="zh-CN"/>
          <w14:textFill>
            <w14:solidFill>
              <w14:schemeClr w14:val="tx1"/>
            </w14:solidFill>
          </w14:textFill>
        </w:rPr>
        <w:t>七</w:t>
      </w:r>
      <w:r>
        <w:rPr>
          <w:rStyle w:val="18"/>
          <w:rFonts w:hint="eastAsia" w:ascii="宋体" w:hAnsi="宋体" w:eastAsia="宋体" w:cs="宋体"/>
          <w:b/>
          <w:caps w:val="0"/>
          <w:smallCaps w:val="0"/>
          <w:color w:val="000000" w:themeColor="text1"/>
          <w:spacing w:val="0"/>
          <w:sz w:val="32"/>
          <w:szCs w:val="24"/>
          <w:highlight w:val="none"/>
          <w:shd w:val="clear" w:color="auto" w:fill="auto"/>
          <w14:textFill>
            <w14:solidFill>
              <w14:schemeClr w14:val="tx1"/>
            </w14:solidFill>
          </w14:textFill>
        </w:rPr>
        <w:t>、投标人情况介绍</w:t>
      </w:r>
      <w:bookmarkEnd w:id="260"/>
      <w:bookmarkEnd w:id="261"/>
    </w:p>
    <w:p w14:paraId="4927AE47">
      <w:pPr>
        <w:pStyle w:val="63"/>
        <w:keepNext w:val="0"/>
        <w:keepLines w:val="0"/>
        <w:pageBreakBefore w:val="0"/>
        <w:widowControl/>
        <w:shd w:val="clear" w:color="auto" w:fill="auto"/>
        <w:spacing w:line="520" w:lineRule="exact"/>
        <w:jc w:val="cente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5EA9742A">
      <w:pPr>
        <w:pStyle w:val="63"/>
        <w:keepNext w:val="0"/>
        <w:keepLines w:val="0"/>
        <w:pageBreakBefore w:val="0"/>
        <w:widowControl/>
        <w:shd w:val="clear" w:color="auto" w:fill="auto"/>
        <w:spacing w:line="520" w:lineRule="exact"/>
        <w:jc w:val="cente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46EDC0A6">
      <w:pPr>
        <w:pStyle w:val="63"/>
        <w:keepNext w:val="0"/>
        <w:keepLines w:val="0"/>
        <w:pageBreakBefore w:val="0"/>
        <w:widowControl/>
        <w:shd w:val="clear" w:color="auto" w:fill="auto"/>
        <w:spacing w:line="520" w:lineRule="exact"/>
        <w:jc w:val="cente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23A7ACC4">
      <w:pPr>
        <w:pStyle w:val="64"/>
        <w:keepNext w:val="0"/>
        <w:keepLines w:val="0"/>
        <w:pageBreakBefore w:val="0"/>
        <w:widowControl/>
        <w:shd w:val="clear" w:color="auto" w:fill="auto"/>
        <w:spacing w:line="520" w:lineRule="exact"/>
        <w:jc w:val="left"/>
        <w:outlineLvl w:val="2"/>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r>
        <w:rPr>
          <w:rStyle w:val="18"/>
          <w:rFonts w:hint="eastAsia" w:ascii="宋体" w:hAnsi="宋体" w:eastAsia="宋体" w:cs="宋体"/>
          <w:b/>
          <w:caps w:val="0"/>
          <w:smallCaps w:val="0"/>
          <w:color w:val="000000" w:themeColor="text1"/>
          <w:spacing w:val="0"/>
          <w:sz w:val="28"/>
          <w:highlight w:val="none"/>
          <w:shd w:val="clear" w:color="auto" w:fill="auto"/>
          <w14:textFill>
            <w14:solidFill>
              <w14:schemeClr w14:val="tx1"/>
            </w14:solidFill>
          </w14:textFill>
        </w:rPr>
        <w:t>投标人拥有的设施设备情况</w:t>
      </w:r>
    </w:p>
    <w:p w14:paraId="44B364B3">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投标人拥有的设施设备情况（若有的话）</w:t>
      </w:r>
    </w:p>
    <w:p w14:paraId="5527C829">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14:textFill>
            <w14:solidFill>
              <w14:schemeClr w14:val="tx1"/>
            </w14:solidFill>
          </w14:textFill>
        </w:rPr>
      </w:pPr>
    </w:p>
    <w:p w14:paraId="62318E23">
      <w:pPr>
        <w:pStyle w:val="63"/>
        <w:keepNext w:val="0"/>
        <w:keepLines w:val="0"/>
        <w:pageBreakBefore w:val="0"/>
        <w:widowControl/>
        <w:shd w:val="clear" w:color="auto" w:fill="auto"/>
        <w:spacing w:line="520" w:lineRule="exact"/>
        <w:jc w:val="both"/>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p>
    <w:p w14:paraId="0BE2756E">
      <w:pPr>
        <w:pStyle w:val="63"/>
        <w:keepNext w:val="0"/>
        <w:keepLines w:val="0"/>
        <w:pageBreakBefore w:val="0"/>
        <w:widowControl/>
        <w:shd w:val="clear" w:color="auto" w:fill="auto"/>
        <w:spacing w:line="520" w:lineRule="exact"/>
        <w:jc w:val="cente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sectPr>
          <w:headerReference r:id="rId25" w:type="first"/>
          <w:headerReference r:id="rId24" w:type="default"/>
          <w:pgSz w:w="11906" w:h="16838"/>
          <w:pgMar w:top="1440" w:right="1080" w:bottom="1440" w:left="1080" w:header="851" w:footer="992" w:gutter="0"/>
          <w:cols w:space="1701" w:num="1"/>
          <w:titlePg/>
          <w:docGrid w:linePitch="360" w:charSpace="0"/>
        </w:sectPr>
      </w:pPr>
    </w:p>
    <w:p w14:paraId="0D9648ED">
      <w:pPr>
        <w:pStyle w:val="65"/>
        <w:keepNext w:val="0"/>
        <w:keepLines w:val="0"/>
        <w:pageBreakBefore w:val="0"/>
        <w:widowControl/>
        <w:shd w:val="clear" w:color="auto" w:fill="auto"/>
        <w:spacing w:line="520" w:lineRule="exact"/>
        <w:jc w:val="left"/>
        <w:outlineLvl w:val="2"/>
        <w:rPr>
          <w:rStyle w:val="18"/>
          <w:rFonts w:hint="default" w:ascii="宋体" w:hAnsi="宋体" w:eastAsia="宋体" w:cs="宋体"/>
          <w:b/>
          <w:caps w:val="0"/>
          <w:smallCaps w:val="0"/>
          <w:color w:val="000000" w:themeColor="text1"/>
          <w:spacing w:val="0"/>
          <w:sz w:val="28"/>
          <w:highlight w:val="none"/>
          <w:shd w:val="clear" w:color="auto" w:fill="auto"/>
          <w:lang w:val="en-US" w:eastAsia="zh-CN"/>
          <w14:textFill>
            <w14:solidFill>
              <w14:schemeClr w14:val="tx1"/>
            </w14:solidFill>
          </w14:textFill>
        </w:rPr>
      </w:pPr>
      <w:r>
        <w:rPr>
          <w:rStyle w:val="18"/>
          <w:rFonts w:hint="eastAsia" w:ascii="宋体" w:hAnsi="宋体" w:eastAsia="宋体" w:cs="宋体"/>
          <w:b/>
          <w:caps w:val="0"/>
          <w:smallCaps w:val="0"/>
          <w:color w:val="000000" w:themeColor="text1"/>
          <w:spacing w:val="0"/>
          <w:sz w:val="28"/>
          <w:highlight w:val="none"/>
          <w:shd w:val="clear" w:color="auto" w:fill="auto"/>
          <w:lang w:val="en-US" w:eastAsia="zh-CN"/>
          <w14:textFill>
            <w14:solidFill>
              <w14:schemeClr w14:val="tx1"/>
            </w14:solidFill>
          </w14:textFill>
        </w:rPr>
        <w:t>项目负责人及其他人员介绍</w:t>
      </w:r>
    </w:p>
    <w:p w14:paraId="183FC638">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caps w:val="0"/>
          <w:smallCaps w:val="0"/>
          <w:color w:val="000000" w:themeColor="text1"/>
          <w:spacing w:val="0"/>
          <w:sz w:val="28"/>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项目负责人及其他人员介绍</w:t>
      </w:r>
    </w:p>
    <w:tbl>
      <w:tblPr>
        <w:tblStyle w:val="8"/>
        <w:tblW w:w="14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0"/>
        <w:gridCol w:w="673"/>
        <w:gridCol w:w="602"/>
        <w:gridCol w:w="1275"/>
        <w:gridCol w:w="1061"/>
        <w:gridCol w:w="1322"/>
        <w:gridCol w:w="708"/>
        <w:gridCol w:w="708"/>
        <w:gridCol w:w="1854"/>
        <w:gridCol w:w="2472"/>
        <w:gridCol w:w="1080"/>
        <w:gridCol w:w="945"/>
      </w:tblGrid>
      <w:tr w14:paraId="749E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noWrap w:val="0"/>
            <w:vAlign w:val="center"/>
          </w:tcPr>
          <w:p w14:paraId="2C7FA07A">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270" w:type="dxa"/>
            <w:vMerge w:val="restart"/>
            <w:noWrap w:val="0"/>
            <w:vAlign w:val="center"/>
          </w:tcPr>
          <w:p w14:paraId="34E48B3E">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姓名</w:t>
            </w:r>
          </w:p>
        </w:tc>
        <w:tc>
          <w:tcPr>
            <w:tcW w:w="673" w:type="dxa"/>
            <w:vMerge w:val="restart"/>
            <w:noWrap w:val="0"/>
            <w:vAlign w:val="center"/>
          </w:tcPr>
          <w:p w14:paraId="5CBB3BF1">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性别</w:t>
            </w:r>
          </w:p>
        </w:tc>
        <w:tc>
          <w:tcPr>
            <w:tcW w:w="602" w:type="dxa"/>
            <w:vMerge w:val="restart"/>
            <w:noWrap w:val="0"/>
            <w:vAlign w:val="center"/>
          </w:tcPr>
          <w:p w14:paraId="3ACC5843">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年龄</w:t>
            </w:r>
          </w:p>
        </w:tc>
        <w:tc>
          <w:tcPr>
            <w:tcW w:w="1275" w:type="dxa"/>
            <w:vMerge w:val="restart"/>
            <w:noWrap w:val="0"/>
            <w:vAlign w:val="center"/>
          </w:tcPr>
          <w:p w14:paraId="4A2BD26C">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文化程度</w:t>
            </w:r>
          </w:p>
        </w:tc>
        <w:tc>
          <w:tcPr>
            <w:tcW w:w="1061" w:type="dxa"/>
            <w:vMerge w:val="restart"/>
            <w:noWrap w:val="0"/>
            <w:vAlign w:val="center"/>
          </w:tcPr>
          <w:p w14:paraId="56EF93E5">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专业</w:t>
            </w:r>
          </w:p>
        </w:tc>
        <w:tc>
          <w:tcPr>
            <w:tcW w:w="1322" w:type="dxa"/>
            <w:vMerge w:val="restart"/>
            <w:noWrap w:val="0"/>
            <w:vAlign w:val="center"/>
          </w:tcPr>
          <w:p w14:paraId="29D5E367">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技术职称</w:t>
            </w:r>
          </w:p>
        </w:tc>
        <w:tc>
          <w:tcPr>
            <w:tcW w:w="1416" w:type="dxa"/>
            <w:gridSpan w:val="2"/>
            <w:noWrap w:val="0"/>
            <w:vAlign w:val="center"/>
          </w:tcPr>
          <w:p w14:paraId="20384E8E">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资格证书</w:t>
            </w:r>
          </w:p>
        </w:tc>
        <w:tc>
          <w:tcPr>
            <w:tcW w:w="1854" w:type="dxa"/>
            <w:vMerge w:val="restart"/>
            <w:noWrap w:val="0"/>
            <w:vAlign w:val="center"/>
          </w:tcPr>
          <w:p w14:paraId="29AA117D">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人事隶属关系</w:t>
            </w:r>
          </w:p>
        </w:tc>
        <w:tc>
          <w:tcPr>
            <w:tcW w:w="2472" w:type="dxa"/>
            <w:vMerge w:val="restart"/>
            <w:noWrap w:val="0"/>
            <w:vAlign w:val="center"/>
          </w:tcPr>
          <w:p w14:paraId="0301DF93">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主要资历、经验及承担过的管理项目</w:t>
            </w:r>
          </w:p>
        </w:tc>
        <w:tc>
          <w:tcPr>
            <w:tcW w:w="1080" w:type="dxa"/>
            <w:vMerge w:val="restart"/>
            <w:noWrap w:val="0"/>
            <w:vAlign w:val="center"/>
          </w:tcPr>
          <w:p w14:paraId="3F084887">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本项目拟担任的职务</w:t>
            </w:r>
          </w:p>
        </w:tc>
        <w:tc>
          <w:tcPr>
            <w:tcW w:w="945" w:type="dxa"/>
            <w:vMerge w:val="restart"/>
            <w:noWrap w:val="0"/>
            <w:vAlign w:val="center"/>
          </w:tcPr>
          <w:p w14:paraId="4425EAE6">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tc>
      </w:tr>
      <w:tr w14:paraId="25B6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noWrap w:val="0"/>
            <w:vAlign w:val="center"/>
          </w:tcPr>
          <w:p w14:paraId="783AF811">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0" w:type="dxa"/>
            <w:vMerge w:val="continue"/>
            <w:noWrap w:val="0"/>
            <w:vAlign w:val="center"/>
          </w:tcPr>
          <w:p w14:paraId="724A4849">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3" w:type="dxa"/>
            <w:vMerge w:val="continue"/>
            <w:noWrap w:val="0"/>
            <w:vAlign w:val="center"/>
          </w:tcPr>
          <w:p w14:paraId="3628487B">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2" w:type="dxa"/>
            <w:vMerge w:val="continue"/>
            <w:noWrap w:val="0"/>
            <w:vAlign w:val="center"/>
          </w:tcPr>
          <w:p w14:paraId="45EC2768">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vMerge w:val="continue"/>
            <w:noWrap w:val="0"/>
            <w:vAlign w:val="center"/>
          </w:tcPr>
          <w:p w14:paraId="13FCB144">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1" w:type="dxa"/>
            <w:vMerge w:val="continue"/>
            <w:noWrap w:val="0"/>
            <w:vAlign w:val="center"/>
          </w:tcPr>
          <w:p w14:paraId="38CB2BFB">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2" w:type="dxa"/>
            <w:vMerge w:val="continue"/>
            <w:noWrap w:val="0"/>
            <w:vAlign w:val="center"/>
          </w:tcPr>
          <w:p w14:paraId="2FA77F88">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4A36C7AF">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类别</w:t>
            </w:r>
          </w:p>
        </w:tc>
        <w:tc>
          <w:tcPr>
            <w:tcW w:w="708" w:type="dxa"/>
            <w:noWrap w:val="0"/>
            <w:vAlign w:val="center"/>
          </w:tcPr>
          <w:p w14:paraId="160F302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编号</w:t>
            </w:r>
          </w:p>
        </w:tc>
        <w:tc>
          <w:tcPr>
            <w:tcW w:w="1854" w:type="dxa"/>
            <w:vMerge w:val="continue"/>
            <w:noWrap w:val="0"/>
            <w:vAlign w:val="center"/>
          </w:tcPr>
          <w:p w14:paraId="4D6F9C0A">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vMerge w:val="continue"/>
            <w:noWrap w:val="0"/>
            <w:vAlign w:val="center"/>
          </w:tcPr>
          <w:p w14:paraId="2CD99DCD">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vMerge w:val="continue"/>
            <w:noWrap w:val="0"/>
            <w:vAlign w:val="center"/>
          </w:tcPr>
          <w:p w14:paraId="71E879BD">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5" w:type="dxa"/>
            <w:vMerge w:val="continue"/>
            <w:noWrap w:val="0"/>
            <w:vAlign w:val="center"/>
          </w:tcPr>
          <w:p w14:paraId="50776A44">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0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noWrap w:val="0"/>
            <w:vAlign w:val="center"/>
          </w:tcPr>
          <w:p w14:paraId="5CBDB7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70" w:type="dxa"/>
            <w:noWrap w:val="0"/>
            <w:vAlign w:val="center"/>
          </w:tcPr>
          <w:p w14:paraId="1DC7AC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3" w:type="dxa"/>
            <w:noWrap w:val="0"/>
            <w:vAlign w:val="center"/>
          </w:tcPr>
          <w:p w14:paraId="17A0B83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2" w:type="dxa"/>
            <w:noWrap w:val="0"/>
            <w:vAlign w:val="center"/>
          </w:tcPr>
          <w:p w14:paraId="1D7847E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noWrap w:val="0"/>
            <w:vAlign w:val="center"/>
          </w:tcPr>
          <w:p w14:paraId="7A0F014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1" w:type="dxa"/>
            <w:noWrap w:val="0"/>
            <w:vAlign w:val="center"/>
          </w:tcPr>
          <w:p w14:paraId="74A158A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2" w:type="dxa"/>
            <w:noWrap w:val="0"/>
            <w:vAlign w:val="center"/>
          </w:tcPr>
          <w:p w14:paraId="22A131D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4F1A5A3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085DB3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noWrap w:val="0"/>
            <w:vAlign w:val="center"/>
          </w:tcPr>
          <w:p w14:paraId="7C7AE93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FCACA6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noWrap w:val="0"/>
            <w:vAlign w:val="center"/>
          </w:tcPr>
          <w:p w14:paraId="47CB490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5" w:type="dxa"/>
            <w:noWrap w:val="0"/>
            <w:vAlign w:val="center"/>
          </w:tcPr>
          <w:p w14:paraId="1E63C3B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49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3" w:type="dxa"/>
            <w:noWrap w:val="0"/>
            <w:vAlign w:val="center"/>
          </w:tcPr>
          <w:p w14:paraId="00CBCD6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70" w:type="dxa"/>
            <w:noWrap w:val="0"/>
            <w:vAlign w:val="center"/>
          </w:tcPr>
          <w:p w14:paraId="5898216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3" w:type="dxa"/>
            <w:noWrap w:val="0"/>
            <w:vAlign w:val="center"/>
          </w:tcPr>
          <w:p w14:paraId="731361F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2" w:type="dxa"/>
            <w:noWrap w:val="0"/>
            <w:vAlign w:val="center"/>
          </w:tcPr>
          <w:p w14:paraId="53B80D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noWrap w:val="0"/>
            <w:vAlign w:val="center"/>
          </w:tcPr>
          <w:p w14:paraId="35E627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1" w:type="dxa"/>
            <w:noWrap w:val="0"/>
            <w:vAlign w:val="center"/>
          </w:tcPr>
          <w:p w14:paraId="2158D05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2" w:type="dxa"/>
            <w:noWrap w:val="0"/>
            <w:vAlign w:val="center"/>
          </w:tcPr>
          <w:p w14:paraId="60AB045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644A620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7DA18C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noWrap w:val="0"/>
            <w:vAlign w:val="center"/>
          </w:tcPr>
          <w:p w14:paraId="6508F3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3BB600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noWrap w:val="0"/>
            <w:vAlign w:val="center"/>
          </w:tcPr>
          <w:p w14:paraId="1C57F75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5" w:type="dxa"/>
            <w:noWrap w:val="0"/>
            <w:vAlign w:val="center"/>
          </w:tcPr>
          <w:p w14:paraId="5A895D6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F1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3" w:type="dxa"/>
            <w:noWrap w:val="0"/>
            <w:vAlign w:val="center"/>
          </w:tcPr>
          <w:p w14:paraId="277D2EC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70" w:type="dxa"/>
            <w:noWrap w:val="0"/>
            <w:vAlign w:val="center"/>
          </w:tcPr>
          <w:p w14:paraId="1F9F8A4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3" w:type="dxa"/>
            <w:noWrap w:val="0"/>
            <w:vAlign w:val="center"/>
          </w:tcPr>
          <w:p w14:paraId="507FE59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2" w:type="dxa"/>
            <w:noWrap w:val="0"/>
            <w:vAlign w:val="center"/>
          </w:tcPr>
          <w:p w14:paraId="5EE1D4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noWrap w:val="0"/>
            <w:vAlign w:val="center"/>
          </w:tcPr>
          <w:p w14:paraId="4316E58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1" w:type="dxa"/>
            <w:noWrap w:val="0"/>
            <w:vAlign w:val="center"/>
          </w:tcPr>
          <w:p w14:paraId="7626338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2" w:type="dxa"/>
            <w:noWrap w:val="0"/>
            <w:vAlign w:val="center"/>
          </w:tcPr>
          <w:p w14:paraId="316917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3FC6E11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31C0F93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noWrap w:val="0"/>
            <w:vAlign w:val="center"/>
          </w:tcPr>
          <w:p w14:paraId="5D70D63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9C7BF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noWrap w:val="0"/>
            <w:vAlign w:val="center"/>
          </w:tcPr>
          <w:p w14:paraId="115FA0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5" w:type="dxa"/>
            <w:noWrap w:val="0"/>
            <w:vAlign w:val="center"/>
          </w:tcPr>
          <w:p w14:paraId="6563E86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BC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52837B5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70" w:type="dxa"/>
            <w:noWrap w:val="0"/>
            <w:vAlign w:val="center"/>
          </w:tcPr>
          <w:p w14:paraId="0F33B6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3" w:type="dxa"/>
            <w:noWrap w:val="0"/>
            <w:vAlign w:val="center"/>
          </w:tcPr>
          <w:p w14:paraId="1AC2757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2" w:type="dxa"/>
            <w:noWrap w:val="0"/>
            <w:vAlign w:val="center"/>
          </w:tcPr>
          <w:p w14:paraId="5F2AB5B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noWrap w:val="0"/>
            <w:vAlign w:val="center"/>
          </w:tcPr>
          <w:p w14:paraId="21E5D45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1" w:type="dxa"/>
            <w:noWrap w:val="0"/>
            <w:vAlign w:val="center"/>
          </w:tcPr>
          <w:p w14:paraId="77E4FF2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2" w:type="dxa"/>
            <w:noWrap w:val="0"/>
            <w:vAlign w:val="center"/>
          </w:tcPr>
          <w:p w14:paraId="57DB7E8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427425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14:paraId="6544A7C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noWrap w:val="0"/>
            <w:vAlign w:val="center"/>
          </w:tcPr>
          <w:p w14:paraId="6465B6C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749FE2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noWrap w:val="0"/>
            <w:vAlign w:val="center"/>
          </w:tcPr>
          <w:p w14:paraId="5E7B9E4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5" w:type="dxa"/>
            <w:noWrap w:val="0"/>
            <w:vAlign w:val="center"/>
          </w:tcPr>
          <w:p w14:paraId="2B1D2D0D">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261C035">
      <w:pPr>
        <w:spacing w:line="520" w:lineRule="exact"/>
        <w:ind w:firstLine="48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w:t>
      </w:r>
    </w:p>
    <w:p w14:paraId="5A36153F">
      <w:pPr>
        <w:spacing w:line="520" w:lineRule="exact"/>
        <w:ind w:firstLine="48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1．资格证书类别一栏按资格证书、岗位证书、培训证书填写。</w:t>
      </w:r>
    </w:p>
    <w:p w14:paraId="6CDB3C26">
      <w:pPr>
        <w:spacing w:line="520" w:lineRule="exact"/>
        <w:ind w:firstLine="48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2．提供人员相关证书、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社保或</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劳动合同</w:t>
      </w:r>
      <w:r>
        <w:rPr>
          <w:rFonts w:hint="eastAsia" w:ascii="宋体" w:hAnsi="宋体" w:eastAsia="宋体" w:cs="宋体"/>
          <w:b w:val="0"/>
          <w:bCs w:val="0"/>
          <w:color w:val="000000" w:themeColor="text1"/>
          <w:sz w:val="24"/>
          <w:szCs w:val="24"/>
          <w:highlight w:val="none"/>
          <w14:textFill>
            <w14:solidFill>
              <w14:schemeClr w14:val="tx1"/>
            </w14:solidFill>
          </w14:textFill>
        </w:rPr>
        <w:t>，条目不限于此，可自行添加。</w:t>
      </w:r>
    </w:p>
    <w:p w14:paraId="4B4A055E">
      <w:pPr>
        <w:pStyle w:val="65"/>
        <w:keepNext w:val="0"/>
        <w:keepLines w:val="0"/>
        <w:pageBreakBefore w:val="0"/>
        <w:widowControl/>
        <w:shd w:val="clear" w:color="auto" w:fill="auto"/>
        <w:spacing w:line="520" w:lineRule="exact"/>
        <w:jc w:val="left"/>
        <w:outlineLvl w:val="2"/>
        <w:rPr>
          <w:rStyle w:val="18"/>
          <w:rFonts w:hint="eastAsia" w:ascii="宋体" w:hAnsi="宋体" w:eastAsia="宋体" w:cs="宋体"/>
          <w:caps w:val="0"/>
          <w:smallCaps w:val="0"/>
          <w:color w:val="000000" w:themeColor="text1"/>
          <w:spacing w:val="0"/>
          <w:highlight w:val="none"/>
          <w:shd w:val="clear" w:color="auto" w:fill="auto"/>
          <w:lang w:val="en-US" w:eastAsia="zh-CN"/>
          <w14:textFill>
            <w14:solidFill>
              <w14:schemeClr w14:val="tx1"/>
            </w14:solidFill>
          </w14:textFill>
        </w:rPr>
      </w:pPr>
    </w:p>
    <w:p w14:paraId="4CCE4DFF">
      <w:pPr>
        <w:pStyle w:val="65"/>
        <w:keepNext w:val="0"/>
        <w:keepLines w:val="0"/>
        <w:pageBreakBefore w:val="0"/>
        <w:widowControl/>
        <w:shd w:val="clear" w:color="auto" w:fill="auto"/>
        <w:spacing w:line="520" w:lineRule="exact"/>
        <w:jc w:val="left"/>
        <w:outlineLvl w:val="2"/>
        <w:rPr>
          <w:rStyle w:val="18"/>
          <w:rFonts w:hint="eastAsia" w:ascii="宋体" w:hAnsi="宋体" w:eastAsia="宋体" w:cs="宋体"/>
          <w:caps w:val="0"/>
          <w:smallCaps w:val="0"/>
          <w:color w:val="000000" w:themeColor="text1"/>
          <w:spacing w:val="0"/>
          <w:highlight w:val="none"/>
          <w:shd w:val="clear" w:color="auto" w:fill="auto"/>
          <w:lang w:val="en-US" w:eastAsia="zh-CN"/>
          <w14:textFill>
            <w14:solidFill>
              <w14:schemeClr w14:val="tx1"/>
            </w14:solidFill>
          </w14:textFill>
        </w:rPr>
        <w:sectPr>
          <w:pgSz w:w="16838" w:h="11906" w:orient="landscape"/>
          <w:pgMar w:top="1440" w:right="1080" w:bottom="1440" w:left="1080" w:header="851" w:footer="992" w:gutter="0"/>
          <w:cols w:space="1701" w:num="1"/>
          <w:titlePg/>
          <w:docGrid w:linePitch="360" w:charSpace="0"/>
        </w:sectPr>
      </w:pPr>
    </w:p>
    <w:p w14:paraId="0BE57B6D">
      <w:pPr>
        <w:pStyle w:val="65"/>
        <w:keepNext w:val="0"/>
        <w:keepLines w:val="0"/>
        <w:pageBreakBefore w:val="0"/>
        <w:widowControl/>
        <w:shd w:val="clear" w:color="auto" w:fill="auto"/>
        <w:spacing w:line="520" w:lineRule="exact"/>
        <w:jc w:val="left"/>
        <w:outlineLvl w:val="2"/>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b/>
          <w:caps w:val="0"/>
          <w:smallCaps w:val="0"/>
          <w:color w:val="000000" w:themeColor="text1"/>
          <w:spacing w:val="0"/>
          <w:sz w:val="28"/>
          <w:highlight w:val="none"/>
          <w:shd w:val="clear" w:color="auto" w:fill="auto"/>
          <w14:textFill>
            <w14:solidFill>
              <w14:schemeClr w14:val="tx1"/>
            </w14:solidFill>
          </w14:textFill>
        </w:rPr>
        <w:t>类似业绩一览表</w:t>
      </w:r>
    </w:p>
    <w:p w14:paraId="53E5492B">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类似业绩一览表</w:t>
      </w:r>
    </w:p>
    <w:tbl>
      <w:tblPr>
        <w:tblStyle w:val="8"/>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2"/>
        <w:gridCol w:w="2441"/>
        <w:gridCol w:w="3650"/>
        <w:gridCol w:w="2441"/>
      </w:tblGrid>
      <w:tr w14:paraId="4402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39424FE2">
            <w:pPr>
              <w:pStyle w:val="6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序号</w:t>
            </w:r>
          </w:p>
        </w:tc>
        <w:tc>
          <w:tcPr>
            <w:tcW w:w="1249" w:type="pct"/>
            <w:noWrap w:val="0"/>
            <w:tcMar>
              <w:top w:w="0" w:type="dxa"/>
              <w:left w:w="0" w:type="dxa"/>
              <w:bottom w:w="0" w:type="dxa"/>
              <w:right w:w="0" w:type="dxa"/>
            </w:tcMar>
            <w:vAlign w:val="center"/>
          </w:tcPr>
          <w:p w14:paraId="417DC725">
            <w:pPr>
              <w:pStyle w:val="6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项目名称</w:t>
            </w:r>
          </w:p>
        </w:tc>
        <w:tc>
          <w:tcPr>
            <w:tcW w:w="1868" w:type="pct"/>
            <w:noWrap w:val="0"/>
            <w:tcMar>
              <w:top w:w="0" w:type="dxa"/>
              <w:left w:w="0" w:type="dxa"/>
              <w:bottom w:w="0" w:type="dxa"/>
              <w:right w:w="0" w:type="dxa"/>
            </w:tcMar>
            <w:vAlign w:val="center"/>
          </w:tcPr>
          <w:p w14:paraId="63D9DF45">
            <w:pPr>
              <w:pStyle w:val="6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合同期（天）</w:t>
            </w:r>
          </w:p>
        </w:tc>
        <w:tc>
          <w:tcPr>
            <w:tcW w:w="1249" w:type="pct"/>
            <w:noWrap w:val="0"/>
            <w:tcMar>
              <w:top w:w="0" w:type="dxa"/>
              <w:left w:w="0" w:type="dxa"/>
              <w:bottom w:w="0" w:type="dxa"/>
              <w:right w:w="0" w:type="dxa"/>
            </w:tcMar>
            <w:vAlign w:val="center"/>
          </w:tcPr>
          <w:p w14:paraId="130C7E3E">
            <w:pPr>
              <w:pStyle w:val="66"/>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合同金额</w:t>
            </w:r>
          </w:p>
        </w:tc>
      </w:tr>
      <w:tr w14:paraId="2E9B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4586D1FE">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bookmarkStart w:id="262" w:name="xh"/>
            <w:bookmarkEnd w:id="262"/>
          </w:p>
        </w:tc>
        <w:tc>
          <w:tcPr>
            <w:tcW w:w="1249" w:type="pct"/>
            <w:noWrap w:val="0"/>
            <w:tcMar>
              <w:top w:w="0" w:type="dxa"/>
              <w:left w:w="0" w:type="dxa"/>
              <w:bottom w:w="0" w:type="dxa"/>
              <w:right w:w="0" w:type="dxa"/>
            </w:tcMar>
            <w:vAlign w:val="center"/>
          </w:tcPr>
          <w:p w14:paraId="2C8132BF">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bookmarkStart w:id="263" w:name="XmName"/>
            <w:bookmarkEnd w:id="263"/>
          </w:p>
        </w:tc>
        <w:tc>
          <w:tcPr>
            <w:tcW w:w="1868" w:type="pct"/>
            <w:noWrap w:val="0"/>
            <w:tcMar>
              <w:top w:w="0" w:type="dxa"/>
              <w:left w:w="0" w:type="dxa"/>
              <w:bottom w:w="0" w:type="dxa"/>
              <w:right w:w="0" w:type="dxa"/>
            </w:tcMar>
            <w:vAlign w:val="center"/>
          </w:tcPr>
          <w:p w14:paraId="7E034B0C">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738FDAE9">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bookmarkStart w:id="264" w:name="ZhongBiaoJia"/>
            <w:bookmarkEnd w:id="264"/>
          </w:p>
        </w:tc>
      </w:tr>
      <w:tr w14:paraId="46A89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3D7C1A16">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3D9B98A0">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868" w:type="pct"/>
            <w:noWrap w:val="0"/>
            <w:tcMar>
              <w:top w:w="0" w:type="dxa"/>
              <w:left w:w="0" w:type="dxa"/>
              <w:bottom w:w="0" w:type="dxa"/>
              <w:right w:w="0" w:type="dxa"/>
            </w:tcMar>
            <w:vAlign w:val="center"/>
          </w:tcPr>
          <w:p w14:paraId="0B2ECDF1">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1D1E11EF">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2973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5246D57D">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7F7D32DA">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868" w:type="pct"/>
            <w:noWrap w:val="0"/>
            <w:tcMar>
              <w:top w:w="0" w:type="dxa"/>
              <w:left w:w="0" w:type="dxa"/>
              <w:bottom w:w="0" w:type="dxa"/>
              <w:right w:w="0" w:type="dxa"/>
            </w:tcMar>
            <w:vAlign w:val="center"/>
          </w:tcPr>
          <w:p w14:paraId="56D18846">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6E7E03B0">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48220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557863F8">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27785394">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868" w:type="pct"/>
            <w:noWrap w:val="0"/>
            <w:tcMar>
              <w:top w:w="0" w:type="dxa"/>
              <w:left w:w="0" w:type="dxa"/>
              <w:bottom w:w="0" w:type="dxa"/>
              <w:right w:w="0" w:type="dxa"/>
            </w:tcMar>
            <w:vAlign w:val="center"/>
          </w:tcPr>
          <w:p w14:paraId="20975A9D">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4B0945CC">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24038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34CD87F7">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23C8AECB">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868" w:type="pct"/>
            <w:noWrap w:val="0"/>
            <w:tcMar>
              <w:top w:w="0" w:type="dxa"/>
              <w:left w:w="0" w:type="dxa"/>
              <w:bottom w:w="0" w:type="dxa"/>
              <w:right w:w="0" w:type="dxa"/>
            </w:tcMar>
            <w:vAlign w:val="center"/>
          </w:tcPr>
          <w:p w14:paraId="447A53F4">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521700F1">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A63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1" w:type="pct"/>
            <w:noWrap w:val="0"/>
            <w:tcMar>
              <w:top w:w="0" w:type="dxa"/>
              <w:left w:w="0" w:type="dxa"/>
              <w:bottom w:w="0" w:type="dxa"/>
              <w:right w:w="0" w:type="dxa"/>
            </w:tcMar>
            <w:vAlign w:val="center"/>
          </w:tcPr>
          <w:p w14:paraId="06D79787">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7F3CEBC4">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868" w:type="pct"/>
            <w:noWrap w:val="0"/>
            <w:tcMar>
              <w:top w:w="0" w:type="dxa"/>
              <w:left w:w="0" w:type="dxa"/>
              <w:bottom w:w="0" w:type="dxa"/>
              <w:right w:w="0" w:type="dxa"/>
            </w:tcMar>
            <w:vAlign w:val="center"/>
          </w:tcPr>
          <w:p w14:paraId="16C96115">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49" w:type="pct"/>
            <w:noWrap w:val="0"/>
            <w:tcMar>
              <w:top w:w="0" w:type="dxa"/>
              <w:left w:w="0" w:type="dxa"/>
              <w:bottom w:w="0" w:type="dxa"/>
              <w:right w:w="0" w:type="dxa"/>
            </w:tcMar>
            <w:vAlign w:val="center"/>
          </w:tcPr>
          <w:p w14:paraId="642F0643">
            <w:pPr>
              <w:pStyle w:val="66"/>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bl>
    <w:p w14:paraId="7AF192DD">
      <w:pPr>
        <w:pStyle w:val="66"/>
        <w:shd w:val="clear" w:color="auto" w:fill="auto"/>
        <w:spacing w:before="240" w:after="240"/>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5AE84AAE">
      <w:pPr>
        <w:pStyle w:val="67"/>
        <w:shd w:val="clear" w:color="auto" w:fill="auto"/>
        <w:jc w:val="left"/>
        <w:outlineLvl w:val="2"/>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r>
        <w:rPr>
          <w:rStyle w:val="18"/>
          <w:rFonts w:hint="eastAsia" w:ascii="宋体" w:hAnsi="宋体" w:eastAsia="宋体" w:cs="宋体"/>
          <w:b/>
          <w:caps w:val="0"/>
          <w:smallCaps w:val="0"/>
          <w:color w:val="000000" w:themeColor="text1"/>
          <w:spacing w:val="0"/>
          <w:sz w:val="28"/>
          <w:highlight w:val="none"/>
          <w:shd w:val="clear" w:color="auto" w:fill="auto"/>
          <w14:textFill>
            <w14:solidFill>
              <w14:schemeClr w14:val="tx1"/>
            </w14:solidFill>
          </w14:textFill>
        </w:rPr>
        <w:t>投标人获得的相关证书</w:t>
      </w:r>
    </w:p>
    <w:p w14:paraId="113F73A2">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各类证书（若有的话）</w:t>
      </w:r>
    </w:p>
    <w:p w14:paraId="35124471">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lang w:val="en-US" w:eastAsia="zh-CN"/>
          <w14:textFill>
            <w14:solidFill>
              <w14:schemeClr w14:val="tx1"/>
            </w14:solidFill>
          </w14:textFill>
        </w:rPr>
      </w:pPr>
    </w:p>
    <w:p w14:paraId="2A35A0D7">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39B04574">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66D4CA81">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2A7A5C78">
      <w:pPr>
        <w:pStyle w:val="68"/>
        <w:shd w:val="clear" w:color="auto" w:fill="auto"/>
        <w:jc w:val="left"/>
        <w:outlineLvl w:val="2"/>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r>
        <w:rPr>
          <w:rStyle w:val="18"/>
          <w:rFonts w:hint="eastAsia" w:ascii="宋体" w:hAnsi="宋体" w:eastAsia="宋体" w:cs="宋体"/>
          <w:b/>
          <w:caps w:val="0"/>
          <w:smallCaps w:val="0"/>
          <w:color w:val="000000" w:themeColor="text1"/>
          <w:spacing w:val="0"/>
          <w:sz w:val="28"/>
          <w:highlight w:val="none"/>
          <w:shd w:val="clear" w:color="auto" w:fill="auto"/>
          <w14:textFill>
            <w14:solidFill>
              <w14:schemeClr w14:val="tx1"/>
            </w14:solidFill>
          </w14:textFill>
        </w:rPr>
        <w:t>投标人获得的相关奖项</w:t>
      </w:r>
    </w:p>
    <w:p w14:paraId="0F3B335A">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各类奖项（若有的话）</w:t>
      </w:r>
    </w:p>
    <w:p w14:paraId="3D83246A">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lang w:val="en-US" w:eastAsia="zh-CN"/>
          <w14:textFill>
            <w14:solidFill>
              <w14:schemeClr w14:val="tx1"/>
            </w14:solidFill>
          </w14:textFill>
        </w:rPr>
      </w:pPr>
    </w:p>
    <w:p w14:paraId="34328817">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11C526BF">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223A776A">
      <w:pPr>
        <w:pStyle w:val="66"/>
        <w:keepNext w:val="0"/>
        <w:keepLines w:val="0"/>
        <w:pageBreakBefore w:val="0"/>
        <w:widowControl/>
        <w:shd w:val="clear" w:color="auto" w:fill="auto"/>
        <w:spacing w:before="240" w:after="240" w:line="520" w:lineRule="exact"/>
        <w:jc w:val="center"/>
        <w:rPr>
          <w:rStyle w:val="18"/>
          <w:rFonts w:hint="eastAsia" w:ascii="宋体" w:hAnsi="宋体" w:eastAsia="宋体" w:cs="宋体"/>
          <w:caps w:val="0"/>
          <w:smallCaps w:val="0"/>
          <w:color w:val="000000" w:themeColor="text1"/>
          <w:spacing w:val="0"/>
          <w:sz w:val="24"/>
          <w:szCs w:val="24"/>
          <w:highlight w:val="none"/>
          <w:shd w:val="clear" w:color="auto" w:fill="auto"/>
          <w14:textFill>
            <w14:solidFill>
              <w14:schemeClr w14:val="tx1"/>
            </w14:solidFill>
          </w14:textFill>
        </w:rPr>
      </w:pPr>
    </w:p>
    <w:p w14:paraId="3EA1A2D3">
      <w:pPr>
        <w:pStyle w:val="69"/>
        <w:keepNext w:val="0"/>
        <w:keepLines w:val="0"/>
        <w:pageBreakBefore w:val="0"/>
        <w:widowControl/>
        <w:shd w:val="clear" w:color="auto" w:fill="auto"/>
        <w:spacing w:before="240" w:after="240" w:line="520" w:lineRule="exact"/>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p>
    <w:p w14:paraId="07A607C9">
      <w:pPr>
        <w:pStyle w:val="70"/>
        <w:shd w:val="clear" w:color="auto" w:fill="auto"/>
        <w:jc w:val="left"/>
        <w:outlineLvl w:val="1"/>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bookmarkStart w:id="265" w:name="_Toc29532"/>
      <w:bookmarkStart w:id="266" w:name="_Toc285"/>
      <w:r>
        <w:rPr>
          <w:rStyle w:val="18"/>
          <w:rFonts w:hint="eastAsia" w:ascii="宋体" w:hAnsi="宋体" w:eastAsia="宋体" w:cs="宋体"/>
          <w:b/>
          <w:caps w:val="0"/>
          <w:smallCaps w:val="0"/>
          <w:color w:val="000000" w:themeColor="text1"/>
          <w:spacing w:val="0"/>
          <w:sz w:val="32"/>
          <w:highlight w:val="none"/>
          <w:shd w:val="clear" w:color="auto" w:fill="auto"/>
          <w:lang w:val="en-US" w:eastAsia="zh-CN"/>
          <w14:textFill>
            <w14:solidFill>
              <w14:schemeClr w14:val="tx1"/>
            </w14:solidFill>
          </w14:textFill>
        </w:rPr>
        <w:t>八</w:t>
      </w:r>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、技术</w:t>
      </w:r>
      <w:r>
        <w:rPr>
          <w:rStyle w:val="18"/>
          <w:rFonts w:hint="eastAsia" w:ascii="宋体" w:hAnsi="宋体" w:eastAsia="宋体" w:cs="宋体"/>
          <w:b/>
          <w:caps w:val="0"/>
          <w:smallCaps w:val="0"/>
          <w:color w:val="000000" w:themeColor="text1"/>
          <w:spacing w:val="0"/>
          <w:sz w:val="32"/>
          <w:highlight w:val="none"/>
          <w:shd w:val="clear" w:color="auto" w:fill="auto"/>
          <w:lang w:val="en-US" w:eastAsia="zh-CN"/>
          <w14:textFill>
            <w14:solidFill>
              <w14:schemeClr w14:val="tx1"/>
            </w14:solidFill>
          </w14:textFill>
        </w:rPr>
        <w:t>要求</w:t>
      </w:r>
      <w:r>
        <w:rPr>
          <w:rStyle w:val="18"/>
          <w:rFonts w:hint="eastAsia" w:ascii="宋体" w:hAnsi="宋体" w:eastAsia="宋体" w:cs="宋体"/>
          <w:b/>
          <w:caps w:val="0"/>
          <w:smallCaps w:val="0"/>
          <w:color w:val="000000" w:themeColor="text1"/>
          <w:spacing w:val="0"/>
          <w:sz w:val="32"/>
          <w:highlight w:val="none"/>
          <w:shd w:val="clear" w:color="auto" w:fill="auto"/>
          <w14:textFill>
            <w14:solidFill>
              <w14:schemeClr w14:val="tx1"/>
            </w14:solidFill>
          </w14:textFill>
        </w:rPr>
        <w:t>响应及偏离表</w:t>
      </w:r>
      <w:bookmarkEnd w:id="265"/>
      <w:bookmarkEnd w:id="266"/>
    </w:p>
    <w:p w14:paraId="37DAD736">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技术要求响应及偏离表</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8"/>
        <w:gridCol w:w="2374"/>
        <w:gridCol w:w="2014"/>
        <w:gridCol w:w="1880"/>
        <w:gridCol w:w="1808"/>
        <w:gridCol w:w="1128"/>
      </w:tblGrid>
      <w:tr w14:paraId="536E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1" w:type="pct"/>
            <w:noWrap w:val="0"/>
            <w:tcMar>
              <w:top w:w="0" w:type="dxa"/>
              <w:left w:w="0" w:type="dxa"/>
              <w:bottom w:w="0" w:type="dxa"/>
              <w:right w:w="0" w:type="dxa"/>
            </w:tcMar>
            <w:vAlign w:val="center"/>
          </w:tcPr>
          <w:p w14:paraId="566D689B">
            <w:pPr>
              <w:pStyle w:val="71"/>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序号</w:t>
            </w:r>
          </w:p>
        </w:tc>
        <w:tc>
          <w:tcPr>
            <w:tcW w:w="1216" w:type="pct"/>
            <w:noWrap w:val="0"/>
            <w:tcMar>
              <w:top w:w="0" w:type="dxa"/>
              <w:left w:w="0" w:type="dxa"/>
              <w:bottom w:w="0" w:type="dxa"/>
              <w:right w:w="0" w:type="dxa"/>
            </w:tcMar>
            <w:vAlign w:val="center"/>
          </w:tcPr>
          <w:p w14:paraId="5461863A">
            <w:pPr>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bCs/>
                <w:caps w:val="0"/>
                <w:smallCaps w:val="0"/>
                <w:color w:val="000000" w:themeColor="text1"/>
                <w:spacing w:val="0"/>
                <w:sz w:val="24"/>
                <w:szCs w:val="24"/>
                <w:highlight w:val="none"/>
                <w:shd w:val="clear" w:color="auto" w:fill="auto"/>
                <w14:textFill>
                  <w14:solidFill>
                    <w14:schemeClr w14:val="tx1"/>
                  </w14:solidFill>
                </w14:textFill>
              </w:rPr>
              <w:t>招标文件技术要求中的要求</w:t>
            </w:r>
          </w:p>
        </w:tc>
        <w:tc>
          <w:tcPr>
            <w:tcW w:w="1032" w:type="pct"/>
            <w:noWrap w:val="0"/>
            <w:tcMar>
              <w:top w:w="0" w:type="dxa"/>
              <w:left w:w="0" w:type="dxa"/>
              <w:bottom w:w="0" w:type="dxa"/>
              <w:right w:w="0" w:type="dxa"/>
            </w:tcMar>
            <w:vAlign w:val="center"/>
          </w:tcPr>
          <w:p w14:paraId="3C74A87D">
            <w:pPr>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bCs/>
                <w:caps w:val="0"/>
                <w:smallCaps w:val="0"/>
                <w:color w:val="000000" w:themeColor="text1"/>
                <w:spacing w:val="0"/>
                <w:sz w:val="24"/>
                <w:szCs w:val="24"/>
                <w:highlight w:val="none"/>
                <w:shd w:val="clear" w:color="auto" w:fill="auto"/>
                <w14:textFill>
                  <w14:solidFill>
                    <w14:schemeClr w14:val="tx1"/>
                  </w14:solidFill>
                </w14:textFill>
              </w:rPr>
              <w:t>投标文件对应要求的服务承诺</w:t>
            </w:r>
          </w:p>
        </w:tc>
        <w:tc>
          <w:tcPr>
            <w:tcW w:w="963" w:type="pct"/>
            <w:noWrap w:val="0"/>
            <w:tcMar>
              <w:top w:w="0" w:type="dxa"/>
              <w:left w:w="0" w:type="dxa"/>
              <w:bottom w:w="0" w:type="dxa"/>
              <w:right w:w="0" w:type="dxa"/>
            </w:tcMar>
            <w:vAlign w:val="center"/>
          </w:tcPr>
          <w:p w14:paraId="4909FA27">
            <w:pPr>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bCs/>
                <w:caps w:val="0"/>
                <w:smallCaps w:val="0"/>
                <w:color w:val="000000" w:themeColor="text1"/>
                <w:spacing w:val="0"/>
                <w:sz w:val="24"/>
                <w:szCs w:val="24"/>
                <w:highlight w:val="none"/>
                <w:shd w:val="clear" w:color="auto" w:fill="auto"/>
                <w14:textFill>
                  <w14:solidFill>
                    <w14:schemeClr w14:val="tx1"/>
                  </w14:solidFill>
                </w14:textFill>
              </w:rPr>
              <w:t>有无偏离</w:t>
            </w:r>
          </w:p>
        </w:tc>
        <w:tc>
          <w:tcPr>
            <w:tcW w:w="926" w:type="pct"/>
            <w:noWrap w:val="0"/>
            <w:tcMar>
              <w:top w:w="0" w:type="dxa"/>
              <w:left w:w="0" w:type="dxa"/>
              <w:bottom w:w="0" w:type="dxa"/>
              <w:right w:w="0" w:type="dxa"/>
            </w:tcMar>
            <w:vAlign w:val="center"/>
          </w:tcPr>
          <w:p w14:paraId="375D1A86">
            <w:pPr>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bCs/>
                <w:caps w:val="0"/>
                <w:smallCaps w:val="0"/>
                <w:color w:val="000000" w:themeColor="text1"/>
                <w:spacing w:val="0"/>
                <w:sz w:val="24"/>
                <w:szCs w:val="24"/>
                <w:highlight w:val="none"/>
                <w:shd w:val="clear" w:color="auto" w:fill="auto"/>
                <w14:textFill>
                  <w14:solidFill>
                    <w14:schemeClr w14:val="tx1"/>
                  </w14:solidFill>
                </w14:textFill>
              </w:rPr>
              <w:t>偏离内容及原因</w:t>
            </w:r>
          </w:p>
        </w:tc>
        <w:tc>
          <w:tcPr>
            <w:tcW w:w="578" w:type="pct"/>
            <w:noWrap w:val="0"/>
            <w:tcMar>
              <w:top w:w="0" w:type="dxa"/>
              <w:left w:w="0" w:type="dxa"/>
              <w:bottom w:w="0" w:type="dxa"/>
              <w:right w:w="0" w:type="dxa"/>
            </w:tcMar>
            <w:vAlign w:val="center"/>
          </w:tcPr>
          <w:p w14:paraId="21CCB7E2">
            <w:pPr>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lang w:val="en-US" w:eastAsia="zh-CN"/>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lang w:val="en-US" w:eastAsia="zh-CN"/>
                <w14:textFill>
                  <w14:solidFill>
                    <w14:schemeClr w14:val="tx1"/>
                  </w14:solidFill>
                </w14:textFill>
              </w:rPr>
              <w:t>备注</w:t>
            </w:r>
          </w:p>
        </w:tc>
      </w:tr>
      <w:tr w14:paraId="6731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2208A5A8">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472F39DC">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045CE93B">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064D150B">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49FA5942">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06F27D42">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1E031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25FAE68A">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6082E101">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53F15BB8">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450D5CAD">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3E00C1A7">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52B932D5">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FDF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7BD4E8FB">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6CF731BA">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09C9CDD9">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0C13115F">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558C6DC7">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6F91644E">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3CBE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7A4EA3BD">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1642976B">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6C87979F">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46D8B343">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200A9C77">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78215EBD">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D533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6F53DB89">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31B8A5B5">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27F42809">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7AF2C9B6">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1F8DE040">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235E063A">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0301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4545BA2C">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35755D52">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5ABF8988">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6AB2EAA5">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74FC8E47">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21639C74">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1449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1" w:type="pct"/>
            <w:noWrap w:val="0"/>
            <w:tcMar>
              <w:top w:w="0" w:type="dxa"/>
              <w:left w:w="0" w:type="dxa"/>
              <w:bottom w:w="0" w:type="dxa"/>
              <w:right w:w="0" w:type="dxa"/>
            </w:tcMar>
            <w:vAlign w:val="center"/>
          </w:tcPr>
          <w:p w14:paraId="70B3C15B">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216" w:type="pct"/>
            <w:noWrap w:val="0"/>
            <w:tcMar>
              <w:top w:w="0" w:type="dxa"/>
              <w:left w:w="0" w:type="dxa"/>
              <w:bottom w:w="0" w:type="dxa"/>
              <w:right w:w="0" w:type="dxa"/>
            </w:tcMar>
            <w:vAlign w:val="center"/>
          </w:tcPr>
          <w:p w14:paraId="20DEDDB7">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032" w:type="pct"/>
            <w:noWrap w:val="0"/>
            <w:tcMar>
              <w:top w:w="0" w:type="dxa"/>
              <w:left w:w="0" w:type="dxa"/>
              <w:bottom w:w="0" w:type="dxa"/>
              <w:right w:w="0" w:type="dxa"/>
            </w:tcMar>
            <w:vAlign w:val="center"/>
          </w:tcPr>
          <w:p w14:paraId="3E36400A">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63" w:type="pct"/>
            <w:noWrap w:val="0"/>
            <w:tcMar>
              <w:top w:w="0" w:type="dxa"/>
              <w:left w:w="0" w:type="dxa"/>
              <w:bottom w:w="0" w:type="dxa"/>
              <w:right w:w="0" w:type="dxa"/>
            </w:tcMar>
            <w:vAlign w:val="center"/>
          </w:tcPr>
          <w:p w14:paraId="0AF46F1A">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926" w:type="pct"/>
            <w:noWrap w:val="0"/>
            <w:tcMar>
              <w:top w:w="0" w:type="dxa"/>
              <w:left w:w="0" w:type="dxa"/>
              <w:bottom w:w="0" w:type="dxa"/>
              <w:right w:w="0" w:type="dxa"/>
            </w:tcMar>
            <w:vAlign w:val="center"/>
          </w:tcPr>
          <w:p w14:paraId="4AB45FE9">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578" w:type="pct"/>
            <w:noWrap w:val="0"/>
            <w:tcMar>
              <w:top w:w="0" w:type="dxa"/>
              <w:left w:w="0" w:type="dxa"/>
              <w:bottom w:w="0" w:type="dxa"/>
              <w:right w:w="0" w:type="dxa"/>
            </w:tcMar>
            <w:vAlign w:val="center"/>
          </w:tcPr>
          <w:p w14:paraId="798FC3D6">
            <w:pPr>
              <w:pStyle w:val="71"/>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bl>
    <w:p w14:paraId="49F3E8DD">
      <w:pPr>
        <w:pStyle w:val="69"/>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注：</w:t>
      </w:r>
    </w:p>
    <w:p w14:paraId="72A19A9A">
      <w:pPr>
        <w:pStyle w:val="69"/>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1</w:t>
      </w:r>
      <w:r>
        <w:rPr>
          <w:rStyle w:val="18"/>
          <w:rFonts w:hint="eastAsia" w:ascii="宋体" w:hAnsi="宋体" w:eastAsia="宋体" w:cs="宋体"/>
          <w:caps w:val="0"/>
          <w:smallCaps w:val="0"/>
          <w:color w:val="000000" w:themeColor="text1"/>
          <w:spacing w:val="0"/>
          <w:highlight w:val="none"/>
          <w:shd w:val="clear" w:color="auto" w:fill="auto"/>
          <w:lang w:eastAsia="zh-CN"/>
          <w14:textFill>
            <w14:solidFill>
              <w14:schemeClr w14:val="tx1"/>
            </w14:solidFill>
          </w14:textFill>
        </w:rPr>
        <w:t>、</w:t>
      </w: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投标人应根据招标文件技术</w:t>
      </w:r>
      <w:r>
        <w:rPr>
          <w:rStyle w:val="18"/>
          <w:rFonts w:hint="eastAsia" w:ascii="宋体" w:hAnsi="宋体" w:eastAsia="宋体" w:cs="宋体"/>
          <w:caps w:val="0"/>
          <w:smallCaps w:val="0"/>
          <w:color w:val="000000" w:themeColor="text1"/>
          <w:spacing w:val="0"/>
          <w:highlight w:val="none"/>
          <w:shd w:val="clear" w:color="auto" w:fill="auto"/>
          <w:lang w:val="en-US" w:eastAsia="zh-CN"/>
          <w14:textFill>
            <w14:solidFill>
              <w14:schemeClr w14:val="tx1"/>
            </w14:solidFill>
          </w14:textFill>
        </w:rPr>
        <w:t>要求</w:t>
      </w: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中的要求对照投标人所提供的服务承诺进行逐项评议。</w:t>
      </w:r>
    </w:p>
    <w:p w14:paraId="3261FE0C">
      <w:pPr>
        <w:pStyle w:val="69"/>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2</w:t>
      </w:r>
      <w:r>
        <w:rPr>
          <w:rStyle w:val="18"/>
          <w:rFonts w:hint="eastAsia" w:ascii="宋体" w:hAnsi="宋体" w:eastAsia="宋体" w:cs="宋体"/>
          <w:caps w:val="0"/>
          <w:smallCaps w:val="0"/>
          <w:color w:val="000000" w:themeColor="text1"/>
          <w:spacing w:val="0"/>
          <w:highlight w:val="none"/>
          <w:shd w:val="clear" w:color="auto" w:fill="auto"/>
          <w:lang w:eastAsia="zh-CN"/>
          <w14:textFill>
            <w14:solidFill>
              <w14:schemeClr w14:val="tx1"/>
            </w14:solidFill>
          </w14:textFill>
        </w:rPr>
        <w:t>、</w:t>
      </w: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若无偏离，在“有无偏离”栏中填写“无”；若有偏离在“有无偏离”栏中填写“有” 并在“偏离内容及原因”栏中作出说明；若投标人对某一事项是否存在或是否属于偏离不能确定，亦必须清楚标明该事项并在“有无偏离”栏中填写“不能确定”。</w:t>
      </w:r>
    </w:p>
    <w:p w14:paraId="00804149">
      <w:pPr>
        <w:pStyle w:val="69"/>
        <w:keepNext w:val="0"/>
        <w:keepLines w:val="0"/>
        <w:pageBreakBefore w:val="0"/>
        <w:widowControl/>
        <w:shd w:val="clear" w:color="auto" w:fill="auto"/>
        <w:spacing w:line="520" w:lineRule="exact"/>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3</w:t>
      </w:r>
      <w:r>
        <w:rPr>
          <w:rStyle w:val="18"/>
          <w:rFonts w:hint="eastAsia" w:ascii="宋体" w:hAnsi="宋体" w:eastAsia="宋体" w:cs="宋体"/>
          <w:caps w:val="0"/>
          <w:smallCaps w:val="0"/>
          <w:color w:val="000000" w:themeColor="text1"/>
          <w:spacing w:val="0"/>
          <w:highlight w:val="none"/>
          <w:shd w:val="clear" w:color="auto" w:fill="auto"/>
          <w:lang w:eastAsia="zh-CN"/>
          <w14:textFill>
            <w14:solidFill>
              <w14:schemeClr w14:val="tx1"/>
            </w14:solidFill>
          </w14:textFill>
        </w:rPr>
        <w:t>、</w:t>
      </w: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t>表格不够可另接。</w:t>
      </w:r>
    </w:p>
    <w:p w14:paraId="4DFFBE72">
      <w:pPr>
        <w:pStyle w:val="52"/>
        <w:keepNext w:val="0"/>
        <w:keepLines w:val="0"/>
        <w:pageBreakBefore w:val="0"/>
        <w:widowControl/>
        <w:shd w:val="clear" w:color="auto" w:fill="auto"/>
        <w:spacing w:line="520" w:lineRule="exact"/>
        <w:jc w:val="both"/>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r>
        <w:rPr>
          <w:rStyle w:val="18"/>
          <w:rFonts w:hint="eastAsia" w:ascii="宋体" w:hAnsi="宋体" w:eastAsia="宋体" w:cs="宋体"/>
          <w:b/>
          <w:caps w:val="0"/>
          <w:smallCaps w:val="0"/>
          <w:color w:val="000000" w:themeColor="text1"/>
          <w:spacing w:val="0"/>
          <w:sz w:val="32"/>
          <w:szCs w:val="24"/>
          <w:highlight w:val="none"/>
          <w:shd w:val="clear" w:color="auto" w:fill="auto"/>
          <w:lang w:val="en-US" w:eastAsia="zh-CN" w:bidi="ar-SA"/>
          <w14:textFill>
            <w14:solidFill>
              <w14:schemeClr w14:val="tx1"/>
            </w14:solidFill>
          </w14:textFill>
        </w:rPr>
        <w:t>九、商务条款响应及偏离表</w:t>
      </w:r>
    </w:p>
    <w:p w14:paraId="735871D4">
      <w:pPr>
        <w:pStyle w:val="52"/>
        <w:keepNext w:val="0"/>
        <w:keepLines w:val="0"/>
        <w:pageBreakBefore w:val="0"/>
        <w:widowControl/>
        <w:shd w:val="clear" w:color="auto" w:fill="auto"/>
        <w:spacing w:before="567" w:after="567" w:line="520" w:lineRule="exact"/>
        <w:jc w:val="cente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pPr>
      <w:r>
        <w:rPr>
          <w:rStyle w:val="18"/>
          <w:rFonts w:hint="eastAsia" w:ascii="宋体" w:hAnsi="宋体" w:eastAsia="宋体" w:cs="宋体"/>
          <w:b/>
          <w:bCs/>
          <w:caps w:val="0"/>
          <w:smallCaps w:val="0"/>
          <w:color w:val="000000" w:themeColor="text1"/>
          <w:spacing w:val="0"/>
          <w:sz w:val="36"/>
          <w:szCs w:val="36"/>
          <w:highlight w:val="none"/>
          <w:shd w:val="clear" w:color="auto" w:fill="auto"/>
          <w:lang w:val="en-US" w:eastAsia="zh-CN"/>
          <w14:textFill>
            <w14:solidFill>
              <w14:schemeClr w14:val="tx1"/>
            </w14:solidFill>
          </w14:textFill>
        </w:rPr>
        <w:t>﻿商务条款响应及偏离表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77"/>
        <w:gridCol w:w="2777"/>
        <w:gridCol w:w="1415"/>
        <w:gridCol w:w="2785"/>
      </w:tblGrid>
      <w:tr w14:paraId="0434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2E71C1DD">
            <w:pPr>
              <w:pStyle w:val="72"/>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项目</w:t>
            </w:r>
          </w:p>
        </w:tc>
        <w:tc>
          <w:tcPr>
            <w:tcW w:w="1423" w:type="pct"/>
            <w:noWrap w:val="0"/>
            <w:tcMar>
              <w:top w:w="0" w:type="dxa"/>
              <w:left w:w="0" w:type="dxa"/>
              <w:bottom w:w="0" w:type="dxa"/>
              <w:right w:w="0" w:type="dxa"/>
            </w:tcMar>
            <w:vAlign w:val="center"/>
          </w:tcPr>
          <w:p w14:paraId="1533EE8C">
            <w:pPr>
              <w:pStyle w:val="72"/>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招标文件要求</w:t>
            </w:r>
          </w:p>
        </w:tc>
        <w:tc>
          <w:tcPr>
            <w:tcW w:w="725" w:type="pct"/>
            <w:noWrap w:val="0"/>
            <w:tcMar>
              <w:top w:w="0" w:type="dxa"/>
              <w:left w:w="0" w:type="dxa"/>
              <w:bottom w:w="0" w:type="dxa"/>
              <w:right w:w="0" w:type="dxa"/>
            </w:tcMar>
            <w:vAlign w:val="center"/>
          </w:tcPr>
          <w:p w14:paraId="48751966">
            <w:pPr>
              <w:pStyle w:val="72"/>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是否响应</w:t>
            </w:r>
          </w:p>
        </w:tc>
        <w:tc>
          <w:tcPr>
            <w:tcW w:w="1427" w:type="pct"/>
            <w:noWrap w:val="0"/>
            <w:tcMar>
              <w:top w:w="0" w:type="dxa"/>
              <w:left w:w="0" w:type="dxa"/>
              <w:bottom w:w="0" w:type="dxa"/>
              <w:right w:w="0" w:type="dxa"/>
            </w:tcMar>
            <w:vAlign w:val="center"/>
          </w:tcPr>
          <w:p w14:paraId="4D0D116D">
            <w:pPr>
              <w:pStyle w:val="72"/>
              <w:shd w:val="clear" w:color="auto" w:fill="auto"/>
              <w:jc w:val="cente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pPr>
            <w:r>
              <w:rPr>
                <w:rStyle w:val="18"/>
                <w:rFonts w:hint="eastAsia" w:ascii="宋体" w:hAnsi="宋体" w:eastAsia="宋体" w:cs="宋体"/>
                <w:b/>
                <w:bCs/>
                <w:i w:val="0"/>
                <w:iCs w:val="0"/>
                <w:caps w:val="0"/>
                <w:smallCaps w:val="0"/>
                <w:color w:val="000000" w:themeColor="text1"/>
                <w:spacing w:val="0"/>
                <w:sz w:val="24"/>
                <w:szCs w:val="24"/>
                <w:highlight w:val="none"/>
                <w:shd w:val="clear" w:color="auto" w:fill="auto"/>
                <w14:textFill>
                  <w14:solidFill>
                    <w14:schemeClr w14:val="tx1"/>
                  </w14:solidFill>
                </w14:textFill>
              </w:rPr>
              <w:t>投标人的承诺或说明</w:t>
            </w:r>
          </w:p>
        </w:tc>
      </w:tr>
      <w:tr w14:paraId="4C3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284AEEE1">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65DA6A48">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466E10F9">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5FB86FB7">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75B5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77C4F55B">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2D6A05AF">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1F061130">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3ADD4FE9">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7EF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7818CC0C">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46E94929">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6BDB2EB4">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5B664933">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603A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166B2D25">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4E3ADD58">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354B3B41">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49F51BC5">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3DE1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23" w:type="pct"/>
            <w:noWrap w:val="0"/>
            <w:tcMar>
              <w:top w:w="0" w:type="dxa"/>
              <w:left w:w="0" w:type="dxa"/>
              <w:bottom w:w="0" w:type="dxa"/>
              <w:right w:w="0" w:type="dxa"/>
            </w:tcMar>
            <w:vAlign w:val="center"/>
          </w:tcPr>
          <w:p w14:paraId="71BD4716">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4B732CF2">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161850E1">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34DFAF31">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4919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2D40E273">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68EA7691">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729AEC10">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392FC0BD">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1AD0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29BD27E4">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2FCE746B">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37104D70">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2CC48254">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r w14:paraId="74A0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3" w:type="pct"/>
            <w:noWrap w:val="0"/>
            <w:tcMar>
              <w:top w:w="0" w:type="dxa"/>
              <w:left w:w="0" w:type="dxa"/>
              <w:bottom w:w="0" w:type="dxa"/>
              <w:right w:w="0" w:type="dxa"/>
            </w:tcMar>
            <w:vAlign w:val="center"/>
          </w:tcPr>
          <w:p w14:paraId="62EFB956">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3" w:type="pct"/>
            <w:noWrap w:val="0"/>
            <w:tcMar>
              <w:top w:w="0" w:type="dxa"/>
              <w:left w:w="0" w:type="dxa"/>
              <w:bottom w:w="0" w:type="dxa"/>
              <w:right w:w="0" w:type="dxa"/>
            </w:tcMar>
            <w:vAlign w:val="center"/>
          </w:tcPr>
          <w:p w14:paraId="698378B7">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725" w:type="pct"/>
            <w:noWrap w:val="0"/>
            <w:tcMar>
              <w:top w:w="0" w:type="dxa"/>
              <w:left w:w="0" w:type="dxa"/>
              <w:bottom w:w="0" w:type="dxa"/>
              <w:right w:w="0" w:type="dxa"/>
            </w:tcMar>
            <w:vAlign w:val="center"/>
          </w:tcPr>
          <w:p w14:paraId="46B1DF49">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c>
          <w:tcPr>
            <w:tcW w:w="1427" w:type="pct"/>
            <w:noWrap w:val="0"/>
            <w:tcMar>
              <w:top w:w="0" w:type="dxa"/>
              <w:left w:w="0" w:type="dxa"/>
              <w:bottom w:w="0" w:type="dxa"/>
              <w:right w:w="0" w:type="dxa"/>
            </w:tcMar>
            <w:vAlign w:val="center"/>
          </w:tcPr>
          <w:p w14:paraId="36C3DDC2">
            <w:pPr>
              <w:pStyle w:val="72"/>
              <w:shd w:val="clear" w:color="auto" w:fill="auto"/>
              <w:jc w:val="center"/>
              <w:rPr>
                <w:rStyle w:val="18"/>
                <w:rFonts w:hint="eastAsia" w:ascii="宋体" w:hAnsi="宋体" w:eastAsia="宋体" w:cs="宋体"/>
                <w:b w:val="0"/>
                <w:bCs w:val="0"/>
                <w:i w:val="0"/>
                <w:iCs w:val="0"/>
                <w:caps w:val="0"/>
                <w:smallCaps w:val="0"/>
                <w:color w:val="000000" w:themeColor="text1"/>
                <w:spacing w:val="0"/>
                <w:sz w:val="24"/>
                <w:szCs w:val="24"/>
                <w:highlight w:val="none"/>
                <w:shd w:val="clear" w:color="auto" w:fill="auto"/>
                <w14:textFill>
                  <w14:solidFill>
                    <w14:schemeClr w14:val="tx1"/>
                  </w14:solidFill>
                </w14:textFill>
              </w:rPr>
            </w:pPr>
          </w:p>
        </w:tc>
      </w:tr>
    </w:tbl>
    <w:p w14:paraId="1A465583">
      <w:pPr>
        <w:pStyle w:val="73"/>
        <w:outlineLvl w:val="1"/>
        <w:rPr>
          <w:rStyle w:val="18"/>
          <w:rFonts w:ascii="宋体" w:hAnsi="宋体" w:eastAsia="宋体" w:cs="宋体"/>
          <w:color w:val="000000" w:themeColor="text1"/>
          <w:highlight w:val="none"/>
          <w14:textFill>
            <w14:solidFill>
              <w14:schemeClr w14:val="tx1"/>
            </w14:solidFill>
          </w14:textFill>
        </w:rPr>
      </w:pPr>
      <w:r>
        <w:rPr>
          <w:rStyle w:val="18"/>
          <w:rFonts w:hint="eastAsia" w:ascii="宋体" w:hAnsi="宋体" w:eastAsia="宋体" w:cs="宋体"/>
          <w:caps w:val="0"/>
          <w:smallCaps w:val="0"/>
          <w:color w:val="000000" w:themeColor="text1"/>
          <w:spacing w:val="0"/>
          <w:highlight w:val="none"/>
          <w:shd w:val="clear" w:color="auto" w:fill="auto"/>
          <w14:textFill>
            <w14:solidFill>
              <w14:schemeClr w14:val="tx1"/>
            </w14:solidFill>
          </w14:textFill>
        </w:rPr>
        <w:br w:type="page" w:clear="all"/>
      </w:r>
      <w:bookmarkStart w:id="267" w:name="_Toc9898"/>
      <w:bookmarkStart w:id="268" w:name="_Toc25839"/>
      <w:r>
        <w:rPr>
          <w:rStyle w:val="18"/>
          <w:rFonts w:hint="eastAsia" w:ascii="宋体" w:hAnsi="宋体" w:eastAsia="宋体" w:cs="宋体"/>
          <w:b/>
          <w:caps w:val="0"/>
          <w:smallCaps w:val="0"/>
          <w:color w:val="000000" w:themeColor="text1"/>
          <w:spacing w:val="0"/>
          <w:sz w:val="32"/>
          <w:szCs w:val="24"/>
          <w:highlight w:val="none"/>
          <w:shd w:val="clear" w:color="auto" w:fill="auto"/>
          <w14:textFill>
            <w14:solidFill>
              <w14:schemeClr w14:val="tx1"/>
            </w14:solidFill>
          </w14:textFill>
        </w:rPr>
        <w:t>十、其他材料</w:t>
      </w:r>
      <w:bookmarkEnd w:id="267"/>
      <w:bookmarkEnd w:id="268"/>
    </w:p>
    <w:p w14:paraId="22BD6862">
      <w:pPr>
        <w:rPr>
          <w:color w:val="000000" w:themeColor="text1"/>
          <w:highlight w:val="none"/>
          <w14:textFill>
            <w14:solidFill>
              <w14:schemeClr w14:val="tx1"/>
            </w14:solidFill>
          </w14:textFill>
        </w:rPr>
      </w:pPr>
    </w:p>
    <w:p w14:paraId="49C1A4C1">
      <w:bookmarkStart w:id="269" w:name="_GoBack"/>
      <w:bookmarkEnd w:id="269"/>
    </w:p>
    <w:sectPr>
      <w:headerReference r:id="rId27" w:type="first"/>
      <w:footerReference r:id="rId29" w:type="first"/>
      <w:headerReference r:id="rId26" w:type="default"/>
      <w:footerReference r:id="rId28" w:type="default"/>
      <w:pgSz w:w="11906" w:h="16838"/>
      <w:pgMar w:top="1440" w:right="1080" w:bottom="1440" w:left="1080"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1738">
    <w:pPr>
      <w:pStyle w:val="75"/>
      <w:framePr w:wrap="around" w:vAnchor="text" w:hAnchor="margin" w:xAlign="center" w:y="1"/>
      <w:rPr>
        <w:rStyle w:val="76"/>
      </w:rPr>
    </w:pPr>
    <w:r>
      <w:fldChar w:fldCharType="begin"/>
    </w:r>
    <w:r>
      <w:rPr>
        <w:rStyle w:val="76"/>
      </w:rPr>
      <w:instrText xml:space="preserve">PAGE  </w:instrText>
    </w:r>
    <w:r>
      <w:fldChar w:fldCharType="end"/>
    </w:r>
  </w:p>
  <w:p w14:paraId="46225282">
    <w:pPr>
      <w:pStyle w:val="7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37EE">
    <w:pPr>
      <w:pStyle w:val="75"/>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45770" cy="210185"/>
              <wp:effectExtent l="0" t="0" r="0" b="0"/>
              <wp:wrapNone/>
              <wp:docPr id="11" name="文本框 5"/>
              <wp:cNvGraphicFramePr/>
              <a:graphic xmlns:a="http://schemas.openxmlformats.org/drawingml/2006/main">
                <a:graphicData uri="http://schemas.microsoft.com/office/word/2010/wordprocessingShape">
                  <wps:wsp>
                    <wps:cNvSpPr txBox="1"/>
                    <wps:spPr bwMode="auto">
                      <a:xfrm>
                        <a:off x="0" y="0"/>
                        <a:ext cx="445468" cy="209878"/>
                      </a:xfrm>
                      <a:prstGeom prst="rect">
                        <a:avLst/>
                      </a:prstGeom>
                      <a:noFill/>
                      <a:ln w="6350">
                        <a:noFill/>
                      </a:ln>
                      <a:effectLst/>
                    </wps:spPr>
                    <wps:txbx>
                      <w:txbxContent>
                        <w:p w14:paraId="1414AC34">
                          <w:pPr>
                            <w:pStyle w:val="4"/>
                            <w:jc w:val="cente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top:0pt;height:16.55pt;width:35.1pt;mso-position-horizontal:center;mso-position-horizontal-relative:margin;z-index:251663360;mso-width-relative:page;mso-height-relative:page;" filled="f" stroked="f" coordsize="21600,21600" o:gfxdata="UEsDBAoAAAAAAIdO4kAAAAAAAAAAAAAAAAAEAAAAZHJzL1BLAwQUAAAACACHTuJA1//oddMAAAAD&#10;AQAADwAAAGRycy9kb3ducmV2LnhtbE2PS0/DMBCE70j8B2uRuFE7rQQojdMDjxvPAlK5OfGSRNjr&#10;yN6k5d9juMBlpdGMZr6tNgfvxIwxDYE0FAsFAqkNdqBOw+vL7dkliMSGrHGBUMMXJtjUx0eVKW3Y&#10;0zPOW+5ELqFUGg0981hKmdoevUmLMCJl7yNEbzjL2EkbzT6XeyeXSp1LbwbKC70Z8arH9nM7eQ1u&#10;l+Jdo/h9vu7u+elRTm83xYPWpyeFWoNgPPBfGH7wMzrUmakJE9kknIb8CP/e7F2oJYhGw2pVgKwr&#10;+Z+9/gZQSwMEFAAAAAgAh07iQLA160FHAgAAfgQAAA4AAABkcnMvZTJvRG9jLnhtbK1UwY7TMBC9&#10;I/EPlu80bWlLqZquylZFSIVdqSDOruM0lmyPsd0m5QPgDzhx4c539TsYO01BC4c9cLEmnvEbvzfP&#10;md80WpGjcF6Cyemg16dEGA6FNPucfni/fjalxAdmCqbAiJyehKc3i6dP5rWdiSFUoArhCIIYP6tt&#10;TqsQ7CzLPK+EZr4HVhhMluA0C/jp9lnhWI3oWmXDfn+S1eAK64AL73F31SbpBdE9BhDKUnKxAn7Q&#10;woQW1QnFAlLylbSeLtJty1LwcFeWXgSicopMQ1qxCca7uGaLOZvtHbOV5JcrsMdc4QEnzaTBpleo&#10;FQuMHJz8C0pL7sBDGXocdNYSSYogi0H/gTbbilmRuKDU3l5F9/8Plr873jsiC3TCgBLDNE78/O3r&#10;+fvP848vZBz1qa2fYdnWYmFoXkGDtd2+j5u7+i0UeI4dAiQRmtLpKAbSI1iNWp+uWosmEI6bo9F4&#10;NEGrcUwN+y+nL6YRM2Oz7rB1PrwWoEkMcupwlAmcHTc+tKVdSexlYC2VSuNUhtQ5nTwf99OBawbB&#10;lYm1IhnjAhPpRRot0dDsmgvnHRQnZOegNY23fC3xKhvmwz1z6BLkhe8o3OFSKsCWcIkoqcB9/td+&#10;rMfhYZaSGl2XU//pwJygRL0xONZo0S5wXbDrAnPQt4BGxknhbVKIB1xQXVg60B/xeS1jF0wxw7FX&#10;TkMX3obW+/g8uVguU9HBOrmv2gNoSsvCxmwtj21aYZc411ImzaNYrS44q/iBtkxTuzyh6Ps/v1PV&#10;79/G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h10wAAAAMBAAAPAAAAAAAAAAEAIAAAACIA&#10;AABkcnMvZG93bnJldi54bWxQSwECFAAUAAAACACHTuJAsDXrQUcCAAB+BAAADgAAAAAAAAABACAA&#10;AAAiAQAAZHJzL2Uyb0RvYy54bWxQSwUGAAAAAAYABgBZAQAA2wUAAAAA&#10;">
              <v:fill on="f" focussize="0,0"/>
              <v:stroke on="f" weight="0.5pt"/>
              <v:imagedata o:title=""/>
              <o:lock v:ext="edit" aspectratio="f"/>
              <v:textbox inset="0mm,0mm,0mm,0mm">
                <w:txbxContent>
                  <w:p w14:paraId="1414AC34">
                    <w:pPr>
                      <w:pStyle w:val="4"/>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F181">
    <w:pPr>
      <w:pStyle w:val="75"/>
      <w:ind w:firstLine="36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20775" cy="217170"/>
              <wp:effectExtent l="0" t="0" r="0" b="0"/>
              <wp:wrapNone/>
              <wp:docPr id="5" name="文本框 1"/>
              <wp:cNvGraphicFramePr/>
              <a:graphic xmlns:a="http://schemas.openxmlformats.org/drawingml/2006/main">
                <a:graphicData uri="http://schemas.microsoft.com/office/word/2010/wordprocessingShape">
                  <wps:wsp>
                    <wps:cNvSpPr txBox="1"/>
                    <wps:spPr bwMode="auto">
                      <a:xfrm>
                        <a:off x="0" y="0"/>
                        <a:ext cx="1120888" cy="217091"/>
                      </a:xfrm>
                      <a:prstGeom prst="rect">
                        <a:avLst/>
                      </a:prstGeom>
                      <a:noFill/>
                      <a:ln w="6350">
                        <a:noFill/>
                      </a:ln>
                      <a:effectLst/>
                    </wps:spPr>
                    <wps:txbx>
                      <w:txbxContent>
                        <w:p w14:paraId="0CEDEA1D">
                          <w:pPr>
                            <w:pStyle w:val="4"/>
                            <w:jc w:val="center"/>
                          </w:pPr>
                          <w:r>
                            <w:fldChar w:fldCharType="begin"/>
                          </w:r>
                          <w:r>
                            <w:instrText xml:space="preserve"> PAGE  \* MERGEFORMAT </w:instrText>
                          </w:r>
                          <w:r>
                            <w:fldChar w:fldCharType="begin"/>
                          </w:r>
                          <w:r>
                            <w:instrText xml:space="preserve">PAGE \* MERGEFORMAT</w:instrText>
                          </w:r>
                          <w:r>
                            <w:fldChar w:fldCharType="separate"/>
                          </w:r>
                          <w:r>
                            <w:instrText xml:space="preserve">1</w:instrText>
                          </w:r>
                          <w:r>
                            <w:fldChar w:fldCharType="end"/>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top:0pt;height:17.1pt;width:88.25pt;mso-position-horizontal:center;mso-position-horizontal-relative:margin;z-index:251659264;mso-width-relative:page;mso-height-relative:page;" filled="f" stroked="f" coordsize="21600,21600" o:gfxdata="UEsDBAoAAAAAAIdO4kAAAAAAAAAAAAAAAAAEAAAAZHJzL1BLAwQUAAAACACHTuJAAdr/49QAAAAE&#10;AQAADwAAAGRycy9kb3ducmV2LnhtbE2PzU7DMBCE70i8g7VI3KidAi0KcXrg5wYUWpDg5sRLEmGv&#10;o3iTlrfH5QKXlUYzmvm2WO29ExMOsQukIZspEEh1sB01Gl6392dXICIbssYFQg3fGGFVHh8VJrdh&#10;Ry84bbgRqYRibjS0zH0uZaxb9CbOQo+UvM8weMNJDo20g9mlcu/kXKmF9KajtNCaHm9arL82o9fg&#10;3uPwUCn+mG6bR35ey/HtLnvS+vQkU9cgGPf8F4YDfkKHMjFVYSQbhdOQHuHfe/CWi0sQlYbziznI&#10;spD/4csfUEsDBBQAAAAIAIdO4kDmYwWNSAIAAH4EAAAOAAAAZHJzL2Uyb0RvYy54bWytVMGO0zAQ&#10;vSPxD5bvNGnRLiVquipbFSEVdqWCOLuO01iyPcZ2m5QPgD/gxIU739XvYOw0BS0c9sDFmnjGb/ze&#10;PGd202lFDsJ5Caak41FOiTAcKml2Jf3wfvVsSokPzFRMgRElPQpPb+ZPn8xaW4gJNKAq4QiCGF+0&#10;tqRNCLbIMs8boZkfgRUGkzU4zQJ+ul1WOdYiulbZJM+vsxZcZR1w4T3uLvskPSO6xwBCXUsulsD3&#10;WpjQozqhWEBKvpHW03m6bV0LHu7q2otAVEmRaUgrNsF4G9dsPmPFzjHbSH6+AnvMFR5w0kwabHqB&#10;WrLAyN7Jv6C05A481GHEQWc9kaQIshjnD7TZNMyKxAWl9vYiuv9/sPzd4d4RWZX0ihLDNA789O3r&#10;6fvP048vZBzlaa0vsGpjsS50r6BD0wz7Pm5u27dQ4Tm2D5A06GqnoxbIjmA1Sn28SC26QHiEGE/y&#10;6RStxjE3Gb/IXybQjBXDaet8eC1AkxiU1OEoEzo7rH3Ae2HpUBKbGVhJpdI4lSFtSa+fX+XpwCWD&#10;J5SJtSIZ4wwT+UUePdPQbbsz6S1UR6TnoDeNt3wl8Spr5sM9c+gSJIbvKNzhUivAlnCOKGnAff7X&#10;fqzH4WGWkhZdV1L/ac+coES9MTjWaNEhcEOwHQKz17eARh7jC7U8hXjABTWEtQP9EZ/XInbBFDMc&#10;e5U0DOFt6L2Pz5OLxSIV7a2Tu6Y/gKa0LKzNxvLYphd2gYOtZdI8itXrggOIH2jLNIrzE4q+//M7&#10;Vf3+bc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Ha/+PUAAAABAEAAA8AAAAAAAAAAQAgAAAA&#10;IgAAAGRycy9kb3ducmV2LnhtbFBLAQIUABQAAAAIAIdO4kDmYwWNSAIAAH4EAAAOAAAAAAAAAAEA&#10;IAAAACMBAABkcnMvZTJvRG9jLnhtbFBLBQYAAAAABgAGAFkBAADdBQAAAAA=&#10;">
              <v:fill on="f" focussize="0,0"/>
              <v:stroke on="f" weight="0.5pt"/>
              <v:imagedata o:title=""/>
              <o:lock v:ext="edit" aspectratio="f"/>
              <v:textbox inset="0mm,0mm,0mm,0mm">
                <w:txbxContent>
                  <w:p w14:paraId="0CEDEA1D">
                    <w:pPr>
                      <w:pStyle w:val="4"/>
                      <w:jc w:val="center"/>
                    </w:pPr>
                    <w:r>
                      <w:fldChar w:fldCharType="begin"/>
                    </w:r>
                    <w:r>
                      <w:instrText xml:space="preserve"> PAGE  \* MERGEFORMAT </w:instrText>
                    </w:r>
                    <w:r>
                      <w:fldChar w:fldCharType="begin"/>
                    </w:r>
                    <w:r>
                      <w:instrText xml:space="preserve">PAGE \* MERGEFORMAT</w:instrText>
                    </w:r>
                    <w:r>
                      <w:fldChar w:fldCharType="separate"/>
                    </w:r>
                    <w:r>
                      <w:instrText xml:space="preserve">1</w:instrText>
                    </w:r>
                    <w:r>
                      <w:fldChar w:fldCharType="end"/>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87D4">
    <w:pPr>
      <w:pStyle w:val="75"/>
      <w:framePr w:wrap="around" w:vAnchor="text" w:hAnchor="margin" w:xAlign="right" w:y="1"/>
      <w:ind w:firstLine="360"/>
      <w:rPr>
        <w:rStyle w:val="76"/>
      </w:rPr>
    </w:pPr>
    <w:r>
      <w:fldChar w:fldCharType="begin"/>
    </w:r>
    <w:r>
      <w:rPr>
        <w:rStyle w:val="76"/>
        <w:color w:val="000000"/>
      </w:rPr>
      <w:instrText xml:space="preserve">PAGE  </w:instrText>
    </w:r>
    <w:r>
      <w:fldChar w:fldCharType="end"/>
    </w:r>
  </w:p>
  <w:p w14:paraId="0903674A">
    <w:pPr>
      <w:pStyle w:val="7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B36E">
    <w:pPr>
      <w:pStyle w:val="4"/>
      <w:jc w:val="center"/>
    </w:pPr>
    <w:r>
      <w:fldChar w:fldCharType="begin"/>
    </w:r>
    <w:r>
      <w:instrText xml:space="preserve">PAGE \* MERGEFORMAT</w:instrText>
    </w:r>
    <w:r>
      <w:fldChar w:fldCharType="separate"/>
    </w:r>
    <w:r>
      <w:t>1</w:t>
    </w:r>
    <w:r>
      <w:fldChar w:fldCharType="end"/>
    </w:r>
  </w:p>
  <w:p w14:paraId="59761A03">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32D3">
    <w:pPr>
      <w:pStyle w:val="4"/>
      <w:tabs>
        <w:tab w:val="center" w:pos="4153"/>
        <w:tab w:val="right" w:pos="8306"/>
        <w:tab w:val="clear" w:pos="7143"/>
        <w:tab w:val="clear" w:pos="14287"/>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8645" cy="217170"/>
              <wp:effectExtent l="0" t="0" r="0" b="0"/>
              <wp:wrapNone/>
              <wp:docPr id="6" name="文本框 2"/>
              <wp:cNvGraphicFramePr/>
              <a:graphic xmlns:a="http://schemas.openxmlformats.org/drawingml/2006/main">
                <a:graphicData uri="http://schemas.microsoft.com/office/word/2010/wordprocessingShape">
                  <wps:wsp>
                    <wps:cNvSpPr txBox="1"/>
                    <wps:spPr bwMode="auto">
                      <a:xfrm>
                        <a:off x="0" y="0"/>
                        <a:ext cx="588343" cy="217258"/>
                      </a:xfrm>
                      <a:prstGeom prst="rect">
                        <a:avLst/>
                      </a:prstGeom>
                      <a:noFill/>
                      <a:ln w="6350">
                        <a:noFill/>
                      </a:ln>
                      <a:effectLst/>
                    </wps:spPr>
                    <wps:txbx>
                      <w:txbxContent>
                        <w:p w14:paraId="31F4565D">
                          <w:pPr>
                            <w:pStyle w:val="4"/>
                            <w:jc w:val="center"/>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top:0pt;height:17.1pt;width:46.35pt;mso-position-horizontal:center;mso-position-horizontal-relative:margin;z-index:251660288;mso-width-relative:page;mso-height-relative:page;" filled="f" stroked="f" coordsize="21600,21600" o:gfxdata="UEsDBAoAAAAAAIdO4kAAAAAAAAAAAAAAAAAEAAAAZHJzL1BLAwQUAAAACACHTuJA6EDhBNQAAAAD&#10;AQAADwAAAGRycy9kb3ducmV2LnhtbE2PzU7DMBCE70i8g7VI3KidgKCEOD3wcwMKLUhwc+IliYjX&#10;kb1Jy9tjuMBlpdGMZr4tV3s3iBlD7D1pyBYKBFLjbU+thpft3ckSRGRD1gyeUMMXRlhVhwelKazf&#10;0TPOG25FKqFYGA0d81hIGZsOnYkLPyIl78MHZzjJ0EobzC6Vu0HmSp1LZ3pKC50Z8brD5nMzOQ3D&#10;Wwz3teL3+aZ94Ke1nF5vs0etj48ydQWCcc9/YfjBT+hQJabaT2SjGDSkR/j3Ju8yvwBRazg9y0FW&#10;pfzPXn0DUEsDBBQAAAAIAIdO4kBeEOebSAIAAH0EAAAOAAAAZHJzL2Uyb0RvYy54bWytVM2O0zAQ&#10;viPxDpbvNP2hS1U1XZWtipAKu1JBnF3HaSzZHmM7TZYHgDfYExfuPFefg7HTFLRw2AMXa+IZf+Pv&#10;m89ZXLdakaNwXoLJ6WgwpEQYDoU0h5x+/LB5MaPEB2YKpsCInN4LT6+Xz58tGjsXY6hAFcIRBDF+&#10;3ticViHYeZZ5XgnN/ACsMJgswWkW8NMdssKxBtG1ysbD4VXWgCusAy68x911l6RnRPcUQChLycUa&#10;eK2FCR2qE4oFpOQraT1dptuWpeDhtiy9CETlFJmGtGITjPdxzZYLNj84ZivJz1dgT7nCI06aSYNN&#10;L1BrFhipnfwLSkvuwEMZBhx01hFJiiCL0fCRNruKWZG4oNTeXkT3/w+Wvz/eOSKLnF5RYpjGgZ8e&#10;vp2+/zz9+ErGUZ7G+jlW7SzWhfY1tGiaft/HzX3zDgo8x+oASYO2dDpqgewIVqPU9xepRRsIx83p&#10;bDZ5OaGEY2o8ejWeziJmxub9Yet8eCNAkxjk1OEkEzg7bn3oSvuS2MvARiqVpqkMaZDOZDpMBy4Z&#10;BFcm1orkizNMpBdpdERDu2/PnPdQ3CM7B51nvOUbiVfZMh/umEOTIC98RuEWl1IBtoRzREkF7su/&#10;9mM9zg6zlDRoupz6zzVzghL11uBUo0P7wPXBvg9MrW8AfTzCB2p5CvGAC6oPSwf6E76uVeyCKWY4&#10;9spp6MOb0FkfXycXq1Uqqq2Th6o7gJ60LGzNzvLYphN2hXMtZdI8itXpgrOKH+jKNLXzC4q2//M7&#10;Vf3+ay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hA4QTUAAAAAwEAAA8AAAAAAAAAAQAgAAAA&#10;IgAAAGRycy9kb3ducmV2LnhtbFBLAQIUABQAAAAIAIdO4kBeEOebSAIAAH0EAAAOAAAAAAAAAAEA&#10;IAAAACMBAABkcnMvZTJvRG9jLnhtbFBLBQYAAAAABgAGAFkBAADdBQAAAAA=&#10;">
              <v:fill on="f" focussize="0,0"/>
              <v:stroke on="f" weight="0.5pt"/>
              <v:imagedata o:title=""/>
              <o:lock v:ext="edit" aspectratio="f"/>
              <v:textbox inset="0mm,0mm,0mm,0mm">
                <w:txbxContent>
                  <w:p w14:paraId="31F4565D">
                    <w:pPr>
                      <w:pStyle w:val="4"/>
                      <w:jc w:val="center"/>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7E1B">
    <w:pPr>
      <w:pStyle w:val="4"/>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8645" cy="169545"/>
              <wp:effectExtent l="0" t="0" r="0" b="0"/>
              <wp:wrapNone/>
              <wp:docPr id="7" name="文本框 3"/>
              <wp:cNvGraphicFramePr/>
              <a:graphic xmlns:a="http://schemas.openxmlformats.org/drawingml/2006/main">
                <a:graphicData uri="http://schemas.microsoft.com/office/word/2010/wordprocessingShape">
                  <wps:wsp>
                    <wps:cNvSpPr txBox="1"/>
                    <wps:spPr bwMode="auto">
                      <a:xfrm>
                        <a:off x="0" y="0"/>
                        <a:ext cx="588950" cy="169633"/>
                      </a:xfrm>
                      <a:prstGeom prst="rect">
                        <a:avLst/>
                      </a:prstGeom>
                      <a:noFill/>
                      <a:ln w="6350">
                        <a:noFill/>
                      </a:ln>
                      <a:effectLst/>
                    </wps:spPr>
                    <wps:txbx>
                      <w:txbxContent>
                        <w:p w14:paraId="4D65F19E">
                          <w:pPr>
                            <w:pStyle w:val="4"/>
                            <w:jc w:val="cente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top:0pt;height:13.35pt;width:46.35pt;mso-position-horizontal:center;mso-position-horizontal-relative:margin;z-index:251661312;mso-width-relative:page;mso-height-relative:page;" filled="f" stroked="f" coordsize="21600,21600" o:gfxdata="UEsDBAoAAAAAAIdO4kAAAAAAAAAAAAAAAAAEAAAAZHJzL1BLAwQUAAAACACHTuJAQDh/b9MAAAAD&#10;AQAADwAAAGRycy9kb3ducmV2LnhtbE2PS0/DMBCE70j8B2uRuFEnObQQ4vTA48arhUrl5sRLEmGv&#10;I3uTln+P4QKXlUYzmvm2Wh+dFTOGOHhSkC8yEEitNwN1Ct5e7y8uQUTWZLT1hAq+MMK6Pj2pdGn8&#10;gTY4b7kTqYRiqRX0zGMpZWx7dDou/IiUvA8fnOYkQydN0IdU7qwssmwpnR4oLfR6xJse28/t5BTY&#10;fQwPTcbv8233yC/Pctrd5U9KnZ/l2TUIxiP/heEHP6FDnZgaP5GJwipIj/DvTd5VsQLRKCiWK5B1&#10;Jf+z199QSwMEFAAAAAgAh07iQCCKB1RHAgAAfQQAAA4AAABkcnMvZTJvRG9jLnhtbK1UwW7UMBC9&#10;I/EPlu80u626tKtmq6VVEVKhlQri7HWcjSXHY2xvk/IB8Ac9ceHOd+138OxsChQOPXCxJjPjN/Pe&#10;jHNy2reG3SofNNmST/cmnCkrqdJ2XfIP7y9eHHEWorCVMGRVye9U4KeL589OOjdX+9SQqZRnALFh&#10;3rmSNzG6eVEE2ahWhD1yyiJYk29FxKdfF5UXHdBbU+xPJrOiI185T1KFAO/5EOQ7RP8UQKprLdU5&#10;yU2rbBxQvTIiglJotAt8kbutayXjVV0HFZkpOZjGfKII7FU6i8WJmK+9cI2WuxbEU1p4xKkV2qLo&#10;A9S5iIJtvP4LqtXSU6A67klqi4FIVgQsppNH2tw0wqnMBVIH9yB6+H+w8t3ttWe6KvlLzqxoMfDt&#10;/dfttx/b71/YQZKnc2GOrBuHvNi/oh5LM/pDcq66t1ThnthEyhr0tW+TFmDHkA2p7x6kVn1kEs7D&#10;o6PjQ0QkQtPZ8ewg1yrEfLzsfIivFbUsGSX3mGQGF7eXIaItpI4pqZalC21MnqaxrCv57ADwf0Rw&#10;w9jkUXkvdjCJXqIxEI39qt9xXlF1B3aehp0JTl5otHIpQrwWHkuC7vGM4hWO2hBK0s7irCH/+V/+&#10;lI/ZIcpZh6Urefi0EV5xZt5YTBWQcTT8aKxGw27aM8IeT/FAncwmLvhoRrP21H7E61qmKggJK1Gr&#10;5HE0z+Kw+nidUi2XOWnjvF43wwXspBPx0t44mcoM8i0x11pnzZNYgy4YQPrAVuZR7F5QWvvfv3PW&#10;r7/G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OH9v0wAAAAMBAAAPAAAAAAAAAAEAIAAAACIA&#10;AABkcnMvZG93bnJldi54bWxQSwECFAAUAAAACACHTuJAIIoHVEcCAAB9BAAADgAAAAAAAAABACAA&#10;AAAiAQAAZHJzL2Uyb0RvYy54bWxQSwUGAAAAAAYABgBZAQAA2wUAAAAA&#10;">
              <v:fill on="f" focussize="0,0"/>
              <v:stroke on="f" weight="0.5pt"/>
              <v:imagedata o:title=""/>
              <o:lock v:ext="edit" aspectratio="f"/>
              <v:textbox inset="0mm,0mm,0mm,0mm">
                <w:txbxContent>
                  <w:p w14:paraId="4D65F19E">
                    <w:pPr>
                      <w:pStyle w:val="4"/>
                      <w:jc w:val="cente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F9AD">
    <w:pPr>
      <w:pStyle w:val="4"/>
      <w:tabs>
        <w:tab w:val="center" w:pos="4153"/>
        <w:tab w:val="right" w:pos="8306"/>
        <w:tab w:val="clear" w:pos="7143"/>
        <w:tab w:val="clear" w:pos="14287"/>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8645" cy="217170"/>
              <wp:effectExtent l="0" t="0" r="0" b="0"/>
              <wp:wrapNone/>
              <wp:docPr id="8" name="文本框 12"/>
              <wp:cNvGraphicFramePr/>
              <a:graphic xmlns:a="http://schemas.openxmlformats.org/drawingml/2006/main">
                <a:graphicData uri="http://schemas.microsoft.com/office/word/2010/wordprocessingShape">
                  <wps:wsp>
                    <wps:cNvSpPr txBox="1"/>
                    <wps:spPr bwMode="auto">
                      <a:xfrm>
                        <a:off x="0" y="0"/>
                        <a:ext cx="588343" cy="217258"/>
                      </a:xfrm>
                      <a:prstGeom prst="rect">
                        <a:avLst/>
                      </a:prstGeom>
                      <a:noFill/>
                      <a:ln w="6350">
                        <a:noFill/>
                      </a:ln>
                      <a:effectLst/>
                    </wps:spPr>
                    <wps:txbx>
                      <w:txbxContent>
                        <w:p w14:paraId="4449E5F3">
                          <w:pPr>
                            <w:pStyle w:val="4"/>
                            <w:jc w:val="center"/>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2" o:spid="_x0000_s1026" o:spt="202" type="#_x0000_t202" style="position:absolute;left:0pt;margin-top:0pt;height:17.1pt;width:46.35pt;mso-position-horizontal:center;mso-position-horizontal-relative:margin;z-index:251660288;mso-width-relative:page;mso-height-relative:page;" filled="f" stroked="f" coordsize="21600,21600" o:gfxdata="UEsDBAoAAAAAAIdO4kAAAAAAAAAAAAAAAAAEAAAAZHJzL1BLAwQUAAAACACHTuJA6EDhBNQAAAAD&#10;AQAADwAAAGRycy9kb3ducmV2LnhtbE2PzU7DMBCE70i8g7VI3KidgKCEOD3wcwMKLUhwc+IliYjX&#10;kb1Jy9tjuMBlpdGMZr4tV3s3iBlD7D1pyBYKBFLjbU+thpft3ckSRGRD1gyeUMMXRlhVhwelKazf&#10;0TPOG25FKqFYGA0d81hIGZsOnYkLPyIl78MHZzjJ0EobzC6Vu0HmSp1LZ3pKC50Z8brD5nMzOQ3D&#10;Wwz3teL3+aZ94Ke1nF5vs0etj48ydQWCcc9/YfjBT+hQJabaT2SjGDSkR/j3Ju8yvwBRazg9y0FW&#10;pfzPXn0DUEsDBBQAAAAIAIdO4kB/eHcpSQIAAH4EAAAOAAAAZHJzL2Uyb0RvYy54bWytVM2O0zAQ&#10;viPxDpbvNP2hS1U1XZWtipAKu1JBnF3HaSzZHmM7TZYHgDfYExfuPFefg7HTFLRw2AMXa+IZf+Pv&#10;m89ZXLdakaNwXoLJ6WgwpEQYDoU0h5x+/LB5MaPEB2YKpsCInN4LT6+Xz58tGjsXY6hAFcIRBDF+&#10;3ticViHYeZZ5XgnN/ACsMJgswWkW8NMdssKxBtG1ysbD4VXWgCusAy68x911l6RnRPcUQChLycUa&#10;eK2FCR2qE4oFpOQraT1dptuWpeDhtiy9CETlFJmGtGITjPdxzZYLNj84ZivJz1dgT7nCI06aSYNN&#10;L1BrFhipnfwLSkvuwEMZBhx01hFJiiCL0fCRNruKWZG4oNTeXkT3/w+Wvz/eOSKLnOLYDdM48NPD&#10;t9P3n6cfX8loHPVprJ9j2c5iYWhfQ4uu6fd93Nw376DAg6wOkERoS6ejGEiPYDVqfX/RWrSBcNyc&#10;zmaTlxNKOKbGo1fj6SxiZmzeH7bOhzcCNIlBTh2OMoGz49aHrrQvib0MbKRSaZzKkCanV5PpMB24&#10;ZBBcmVgrkjHOMJFepNERDe2+PXPeQ3GP7Bx0pvGWbyReZct8uGMOXYK88B2FW1xKBdgSzhElFbgv&#10;/9qP9Tg8zFLSoOty6j/XzAlK1FuDY40W7QPXB/s+MLW+ATTyCF+o5SnEAy6oPiwd6E/4vFaxC6aY&#10;4dgrp6EPb0LnfXyeXKxWqai2Th6q7gCa0rKwNTvLY5tO2BXOtZRJ8yhWpwvOKn6gLdPUzk8o+v7P&#10;71T1+7ex/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QOEE1AAAAAMBAAAPAAAAAAAAAAEAIAAA&#10;ACIAAABkcnMvZG93bnJldi54bWxQSwECFAAUAAAACACHTuJAf3h3KUkCAAB+BAAADgAAAAAAAAAB&#10;ACAAAAAjAQAAZHJzL2Uyb0RvYy54bWxQSwUGAAAAAAYABgBZAQAA3gUAAAAA&#10;">
              <v:fill on="f" focussize="0,0"/>
              <v:stroke on="f" weight="0.5pt"/>
              <v:imagedata o:title=""/>
              <o:lock v:ext="edit" aspectratio="f"/>
              <v:textbox inset="0mm,0mm,0mm,0mm">
                <w:txbxContent>
                  <w:p w14:paraId="4449E5F3">
                    <w:pPr>
                      <w:pStyle w:val="4"/>
                      <w:jc w:val="center"/>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65AB">
    <w:pPr>
      <w:pStyle w:val="4"/>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8645" cy="169545"/>
              <wp:effectExtent l="0" t="0" r="0" b="0"/>
              <wp:wrapNone/>
              <wp:docPr id="9" name="文本框 11"/>
              <wp:cNvGraphicFramePr/>
              <a:graphic xmlns:a="http://schemas.openxmlformats.org/drawingml/2006/main">
                <a:graphicData uri="http://schemas.microsoft.com/office/word/2010/wordprocessingShape">
                  <wps:wsp>
                    <wps:cNvSpPr txBox="1"/>
                    <wps:spPr bwMode="auto">
                      <a:xfrm>
                        <a:off x="0" y="0"/>
                        <a:ext cx="588950" cy="169633"/>
                      </a:xfrm>
                      <a:prstGeom prst="rect">
                        <a:avLst/>
                      </a:prstGeom>
                      <a:noFill/>
                      <a:ln w="6350">
                        <a:noFill/>
                      </a:ln>
                      <a:effectLst/>
                    </wps:spPr>
                    <wps:txbx>
                      <w:txbxContent>
                        <w:p w14:paraId="74328A8F">
                          <w:pPr>
                            <w:pStyle w:val="4"/>
                            <w:jc w:val="cente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1" o:spid="_x0000_s1026" o:spt="202" type="#_x0000_t202" style="position:absolute;left:0pt;margin-top:0pt;height:13.35pt;width:46.35pt;mso-position-horizontal:center;mso-position-horizontal-relative:margin;z-index:251661312;mso-width-relative:page;mso-height-relative:page;" filled="f" stroked="f" coordsize="21600,21600" o:gfxdata="UEsDBAoAAAAAAIdO4kAAAAAAAAAAAAAAAAAEAAAAZHJzL1BLAwQUAAAACACHTuJAQDh/b9MAAAAD&#10;AQAADwAAAGRycy9kb3ducmV2LnhtbE2PS0/DMBCE70j8B2uRuFEnObQQ4vTA48arhUrl5sRLEmGv&#10;I3uTln+P4QKXlUYzmvm2Wh+dFTOGOHhSkC8yEEitNwN1Ct5e7y8uQUTWZLT1hAq+MMK6Pj2pdGn8&#10;gTY4b7kTqYRiqRX0zGMpZWx7dDou/IiUvA8fnOYkQydN0IdU7qwssmwpnR4oLfR6xJse28/t5BTY&#10;fQwPTcbv8233yC/Pctrd5U9KnZ/l2TUIxiP/heEHP6FDnZgaP5GJwipIj/DvTd5VsQLRKCiWK5B1&#10;Jf+z199QSwMEFAAAAAgAh07iQKBAinJHAgAAfgQAAA4AAABkcnMvZTJvRG9jLnhtbK1UwY7TMBC9&#10;I/EPlu807VZbtVXTVdmqCKmwKy2Is+s4jSXbY2y3SfkA+ANOXLjzXf0Oxk5SYOGwBy7WZGb8Zt6b&#10;cRY3jVbkKJyXYHI6GgwpEYZDIc0+p+/fbV5MKfGBmYIpMCKnJ+HpzfL5s0Vt5+IKKlCFcARBjJ/X&#10;NqdVCHaeZZ5XQjM/ACsMBktwmgX8dPuscKxGdK2yq+FwktXgCuuAC+/Ru26DtEN0TwGEspRcrIEf&#10;tDChRXVCsYCUfCWtp8vUbVkKHu7K0otAVE6RaUgnFkF7F89suWDzvWO2krxrgT2lhUecNJMGi16g&#10;1iwwcnDyLygtuQMPZRhw0FlLJCmCLEbDR9o8VMyKxAWl9vYiuv9/sPzt8d4RWeR0RolhGgd+/vrl&#10;/O3H+ftnMhpFfWrr55j2YDExNC+hwa3p/T46d/UbKPAiOwRIIjSl01EMpEcwG7U+XbQWTSAcndfT&#10;6ewaIxxDo8lsMh5HzIzN+8vW+fBKgCbRyKnDUSZwdtz60Kb2KbGWgY1UKo1TGVLndDJG+D8iCK5M&#10;9Ii0GB1MpBdptERDs2s6zjsoTsjOQbs03vKNxFa2zId75nBLsHt8R+EOj1IBloTOoqQC9+lf/piP&#10;w8MoJTVuXU79xwNzghL12uBYETL0huuNXW+Yg74FXOQRvlDLk4kXXFC9WTrQH/B5rWIVDDHDsVZO&#10;Q2/ehnb38XlysVqlpIN1cl+1F3ApLQtb82B5LNPKt8K5ljJpHsVqdcFZxQ9cyzS17gnFvf/9O2X9&#10;+m0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OH9v0wAAAAMBAAAPAAAAAAAAAAEAIAAAACIA&#10;AABkcnMvZG93bnJldi54bWxQSwECFAAUAAAACACHTuJAoECKckcCAAB+BAAADgAAAAAAAAABACAA&#10;AAAiAQAAZHJzL2Uyb0RvYy54bWxQSwUGAAAAAAYABgBZAQAA2wUAAAAA&#10;">
              <v:fill on="f" focussize="0,0"/>
              <v:stroke on="f" weight="0.5pt"/>
              <v:imagedata o:title=""/>
              <o:lock v:ext="edit" aspectratio="f"/>
              <v:textbox inset="0mm,0mm,0mm,0mm">
                <w:txbxContent>
                  <w:p w14:paraId="74328A8F">
                    <w:pPr>
                      <w:pStyle w:val="4"/>
                      <w:jc w:val="cente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5E0B">
    <w:pPr>
      <w:pStyle w:val="75"/>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3390" cy="162560"/>
              <wp:effectExtent l="0" t="0" r="0" b="0"/>
              <wp:wrapNone/>
              <wp:docPr id="10" name="文本框 4"/>
              <wp:cNvGraphicFramePr/>
              <a:graphic xmlns:a="http://schemas.openxmlformats.org/drawingml/2006/main">
                <a:graphicData uri="http://schemas.microsoft.com/office/word/2010/wordprocessingShape">
                  <wps:wsp>
                    <wps:cNvSpPr txBox="1"/>
                    <wps:spPr bwMode="auto">
                      <a:xfrm>
                        <a:off x="0" y="0"/>
                        <a:ext cx="453405" cy="162780"/>
                      </a:xfrm>
                      <a:prstGeom prst="rect">
                        <a:avLst/>
                      </a:prstGeom>
                      <a:noFill/>
                      <a:ln w="6350">
                        <a:noFill/>
                      </a:ln>
                      <a:effectLst/>
                    </wps:spPr>
                    <wps:txbx>
                      <w:txbxContent>
                        <w:p w14:paraId="2A3EE15A">
                          <w:pPr>
                            <w:pStyle w:val="4"/>
                            <w:jc w:val="center"/>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4" o:spid="_x0000_s1026" o:spt="202" type="#_x0000_t202" style="position:absolute;left:0pt;margin-top:0pt;height:12.8pt;width:35.7pt;mso-position-horizontal:center;mso-position-horizontal-relative:margin;z-index:251662336;mso-width-relative:page;mso-height-relative:page;" filled="f" stroked="f" coordsize="21600,21600" o:gfxdata="UEsDBAoAAAAAAIdO4kAAAAAAAAAAAAAAAAAEAAAAZHJzL1BLAwQUAAAACACHTuJADcrDmdQ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enIJoNCzPViDr&#10;Sv5nr78BUEsDBBQAAAAIAIdO4kCh+yU8SQIAAH4EAAAOAAAAZHJzL2Uyb0RvYy54bWytVM1u1DAQ&#10;viPxDpbvNLvttlSrzVZLqyKkQisVxNnrOBtLscfY3iblAeANOHHhznP1OfjsbBZUOPTAxZrMzzf+&#10;vhlncdablt0pHzTZkk8PJpwpK6nSdlPyD+8vX5xyFqKwlWjJqpLfq8DPls+fLTo3V4fUUFspzwBi&#10;w7xzJW9idPOiCLJRRoQDcsoiWJM3IuLTb4rKiw7opi0OJ5OToiNfOU9ShQDvxRDkO0T/FECqay3V&#10;BcmtUTYOqF61IoJSaLQLfJlvW9dKxuu6DiqytuRgGvOJJrDX6SyWCzHfeOEaLXdXEE+5wiNORmiL&#10;pnuoCxEF23r9F5TR0lOgOh5IMsVAJCsCFtPJI21uG+FU5gKpg9uLHv4frHx3d+OZrrAJkMQKg4k/&#10;fPv68P3nw48vbJb06VyYI+3WITH2r6hH7ugPybnu3lKFOrGNlEXoa2+SGKDHkA3g+73Wqo9Mwjk7&#10;PppNjjmTCE1PDl+e5lkUYj4WOx/ia0WGJaPkHqPM4OLuKkRcC6ljSupl6VK3bR5na1lX8pOj40ku&#10;2EdQ0dqUq/Ji7GASvURjIBr7db/jvKbqHuw8DUsTnLzUuMqVCPFGeGwJeOEdxWscdUtoSTuLs4b8&#10;53/5Uz6GhyhnHbau5OHTVnjFWfvGYqyAjKPhR2M9GnZrzgmLPMULdTKbKPCxHc3ak/mI57VKXRAS&#10;VqJXyeNonsdh9/E8pVqtctLWeb1phgIspRPxyt46mdoMwq4w11pnzZNYgy4YQPrAWuZR7J5Q2vs/&#10;v3PW79/G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ysOZ1AAAAAMBAAAPAAAAAAAAAAEAIAAA&#10;ACIAAABkcnMvZG93bnJldi54bWxQSwECFAAUAAAACACHTuJAofslPEkCAAB+BAAADgAAAAAAAAAB&#10;ACAAAAAjAQAAZHJzL2Uyb0RvYy54bWxQSwUGAAAAAAYABgBZAQAA3gUAAAAA&#10;">
              <v:fill on="f" focussize="0,0"/>
              <v:stroke on="f" weight="0.5pt"/>
              <v:imagedata o:title=""/>
              <o:lock v:ext="edit" aspectratio="f"/>
              <v:textbox inset="0mm,0mm,0mm,0mm">
                <w:txbxContent>
                  <w:p w14:paraId="2A3EE15A">
                    <w:pPr>
                      <w:pStyle w:val="4"/>
                      <w:jc w:val="cente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A238">
    <w:pPr>
      <w:pStyle w:val="74"/>
      <w:pBdr>
        <w:bottom w:val="single" w:color="auto" w:sz="4" w:space="1"/>
      </w:pBdr>
      <w:jc w:val="left"/>
    </w:pPr>
    <w:r>
      <w:drawing>
        <wp:inline distT="0" distB="0" distL="0" distR="0">
          <wp:extent cx="398145" cy="425450"/>
          <wp:effectExtent l="0" t="0" r="1905"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398145" cy="425450"/>
                  </a:xfrm>
                  <a:prstGeom prst="rect">
                    <a:avLst/>
                  </a:prstGeom>
                  <a:noFill/>
                  <a:ln>
                    <a:noFill/>
                  </a:ln>
                </pic:spPr>
              </pic:pic>
            </a:graphicData>
          </a:graphic>
        </wp:inline>
      </w:drawing>
    </w:r>
    <w:r>
      <w:rPr>
        <w:rFonts w:hint="eastAsia"/>
        <w:sz w:val="24"/>
        <w:szCs w:val="24"/>
        <w:lang w:eastAsia="zh-CN"/>
      </w:rPr>
      <w:t>苏州润禹工程咨询管理有限公司</w:t>
    </w:r>
    <w:r>
      <w:rPr>
        <w:rFonts w:hint="eastAsia"/>
        <w:sz w:val="24"/>
        <w:szCs w:val="24"/>
        <w:lang w:val="en-US" w:eastAsia="zh-CN"/>
      </w:rPr>
      <w:t xml:space="preserve">                                       </w:t>
    </w:r>
    <w:r>
      <w:rPr>
        <w:rFonts w:hint="eastAsia"/>
        <w:sz w:val="24"/>
        <w:szCs w:val="24"/>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06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7F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6102F">
    <w:pPr>
      <w:pStyle w:val="74"/>
      <w:pBdr>
        <w:bottom w:val="single" w:color="auto" w:sz="4" w:space="1"/>
      </w:pBdr>
      <w:jc w:val="left"/>
    </w:pPr>
    <w:r>
      <w:rPr>
        <w:rFonts w:hint="eastAsia"/>
        <w:sz w:val="24"/>
        <w:szCs w:val="24"/>
        <w:lang w:eastAsia="zh-CN"/>
      </w:rPr>
      <w:t>苏州润禹工程咨询管理有限公司</w:t>
    </w:r>
    <w:r>
      <w:rPr>
        <w:rFonts w:hint="eastAsia"/>
        <w:sz w:val="24"/>
        <w:szCs w:val="24"/>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CAA07">
    <w:pPr>
      <w:pStyle w:val="74"/>
      <w:pBdr>
        <w:bottom w:val="single" w:color="auto" w:sz="4" w:space="1"/>
      </w:pBdr>
      <w:jc w:val="left"/>
    </w:pPr>
    <w:r>
      <w:rPr>
        <w:rFonts w:hint="eastAsia"/>
        <w:sz w:val="24"/>
        <w:szCs w:val="24"/>
        <w:lang w:eastAsia="zh-CN"/>
      </w:rPr>
      <w:t>苏州润禹工程咨询管理有限公司</w:t>
    </w:r>
    <w:r>
      <w:rPr>
        <w:rFonts w:hint="eastAsia"/>
        <w:sz w:val="24"/>
        <w:szCs w:val="24"/>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8528">
    <w:pPr>
      <w:pStyle w:val="74"/>
      <w:pBdr>
        <w:bottom w:val="none" w:color="000000"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69E3">
    <w:pPr>
      <w:pStyle w:val="74"/>
      <w:pBdr>
        <w:bottom w:val="none" w:color="000000"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D4C7">
    <w:pPr>
      <w:pStyle w:val="74"/>
      <w:pBdr>
        <w:bottom w:val="none" w:color="000000"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4CF3">
    <w:pPr>
      <w:pStyle w:val="74"/>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F11B">
    <w:pPr>
      <w:pStyle w:val="74"/>
      <w:pBdr>
        <w:bottom w:val="single" w:color="auto" w:sz="4" w:space="1"/>
      </w:pBdr>
      <w:jc w:val="left"/>
      <w:rPr>
        <w:sz w:val="24"/>
        <w:szCs w:val="24"/>
      </w:rPr>
    </w:pPr>
    <w:r>
      <w:drawing>
        <wp:inline distT="0" distB="0" distL="0" distR="0">
          <wp:extent cx="398145" cy="425450"/>
          <wp:effectExtent l="0" t="0" r="190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98145" cy="425450"/>
                  </a:xfrm>
                  <a:prstGeom prst="rect">
                    <a:avLst/>
                  </a:prstGeom>
                  <a:noFill/>
                  <a:ln>
                    <a:noFill/>
                  </a:ln>
                </pic:spPr>
              </pic:pic>
            </a:graphicData>
          </a:graphic>
        </wp:inline>
      </w:drawing>
    </w:r>
    <w:r>
      <w:rPr>
        <w:rFonts w:hint="eastAsia"/>
        <w:sz w:val="24"/>
        <w:szCs w:val="24"/>
        <w:lang w:eastAsia="zh-CN"/>
      </w:rPr>
      <w:t>苏州润禹工程咨询管理有限公司</w:t>
    </w:r>
    <w:r>
      <w:rPr>
        <w:rFonts w:hint="eastAsia"/>
        <w:sz w:val="24"/>
        <w:szCs w:val="24"/>
        <w:lang w:val="en-US" w:eastAsia="zh-CN"/>
      </w:rPr>
      <w:t xml:space="preserve">                                       </w:t>
    </w:r>
    <w:r>
      <w:rPr>
        <w:rFonts w:hint="eastAsia"/>
        <w:sz w:val="24"/>
        <w:szCs w:val="24"/>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EE22">
    <w:pPr>
      <w:pStyle w:val="74"/>
      <w:pBdr>
        <w:bottom w:val="single" w:color="auto" w:sz="4" w:space="1"/>
      </w:pBdr>
      <w:jc w:val="left"/>
    </w:pPr>
    <w:r>
      <w:drawing>
        <wp:inline distT="0" distB="0" distL="0" distR="0">
          <wp:extent cx="398145" cy="425450"/>
          <wp:effectExtent l="0" t="0" r="190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398145" cy="425450"/>
                  </a:xfrm>
                  <a:prstGeom prst="rect">
                    <a:avLst/>
                  </a:prstGeom>
                  <a:noFill/>
                  <a:ln>
                    <a:noFill/>
                  </a:ln>
                </pic:spPr>
              </pic:pic>
            </a:graphicData>
          </a:graphic>
        </wp:inline>
      </w:drawing>
    </w:r>
    <w:r>
      <w:rPr>
        <w:rFonts w:hint="eastAsia"/>
        <w:sz w:val="24"/>
        <w:szCs w:val="24"/>
        <w:lang w:eastAsia="zh-CN"/>
      </w:rPr>
      <w:t>苏州润禹工程咨询管理有限公司</w:t>
    </w:r>
    <w:r>
      <w:rPr>
        <w:rFonts w:hint="eastAsia"/>
        <w:sz w:val="24"/>
        <w:szCs w:val="24"/>
        <w:lang w:val="en-US" w:eastAsia="zh-CN"/>
      </w:rPr>
      <w:t xml:space="preserve">                                       </w:t>
    </w:r>
    <w:r>
      <w:rPr>
        <w:rFonts w:hint="eastAsia"/>
        <w:sz w:val="24"/>
        <w:szCs w:val="24"/>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D2C8">
    <w:pPr>
      <w:pStyle w:val="74"/>
      <w:pBdr>
        <w:bottom w:val="single" w:color="auto" w:sz="4" w:space="1"/>
      </w:pBdr>
      <w:jc w:val="left"/>
    </w:pPr>
    <w:r>
      <w:drawing>
        <wp:inline distT="0" distB="0" distL="0" distR="0">
          <wp:extent cx="398145" cy="425450"/>
          <wp:effectExtent l="0" t="0" r="190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398145" cy="425450"/>
                  </a:xfrm>
                  <a:prstGeom prst="rect">
                    <a:avLst/>
                  </a:prstGeom>
                  <a:noFill/>
                  <a:ln>
                    <a:noFill/>
                  </a:ln>
                </pic:spPr>
              </pic:pic>
            </a:graphicData>
          </a:graphic>
        </wp:inline>
      </w:drawing>
    </w:r>
    <w:r>
      <w:rPr>
        <w:rFonts w:hint="eastAsia"/>
        <w:sz w:val="24"/>
        <w:szCs w:val="24"/>
        <w:lang w:eastAsia="zh-CN"/>
      </w:rPr>
      <w:t>苏州润禹工程咨询管理有限公司</w:t>
    </w:r>
    <w:r>
      <w:rPr>
        <w:rFonts w:hint="eastAsia"/>
        <w:sz w:val="24"/>
        <w:szCs w:val="24"/>
        <w:lang w:val="en-US" w:eastAsia="zh-CN"/>
      </w:rPr>
      <w:t xml:space="preserve">                                       </w:t>
    </w:r>
    <w:r>
      <w:rPr>
        <w:rFonts w:hint="eastAsia"/>
        <w:sz w:val="24"/>
        <w:szCs w:val="24"/>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A8FD">
    <w:pPr>
      <w:pStyle w:val="74"/>
      <w:pBdr>
        <w:bottom w:val="single" w:color="auto" w:sz="4" w:space="1"/>
      </w:pBdr>
      <w:jc w:val="left"/>
    </w:pPr>
    <w:r>
      <w:rPr>
        <w:rFonts w:hint="eastAsia"/>
        <w:sz w:val="24"/>
        <w:szCs w:val="24"/>
        <w:lang w:eastAsia="zh-CN"/>
      </w:rPr>
      <w:t>苏州润禹工程咨询管理有限公司</w:t>
    </w:r>
    <w:r>
      <w:rPr>
        <w:rFonts w:hint="eastAsia"/>
        <w:sz w:val="24"/>
        <w:szCs w:val="24"/>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15D2">
    <w:pPr>
      <w:pStyle w:val="74"/>
      <w:pBdr>
        <w:bottom w:val="single" w:color="auto" w:sz="4" w:space="1"/>
      </w:pBdr>
      <w:jc w:val="left"/>
    </w:pPr>
    <w:r>
      <w:rPr>
        <w:rFonts w:hint="eastAsia"/>
        <w:sz w:val="24"/>
        <w:szCs w:val="24"/>
        <w:lang w:eastAsia="zh-CN"/>
      </w:rPr>
      <w:t>苏州润禹工程咨询管理有限公司</w:t>
    </w:r>
    <w:r>
      <w:rPr>
        <w:rFonts w:hint="eastAsia"/>
        <w:sz w:val="24"/>
        <w:szCs w:val="24"/>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4191">
    <w:pPr>
      <w:pStyle w:val="74"/>
      <w:pBdr>
        <w:bottom w:val="single" w:color="auto" w:sz="4" w:space="1"/>
      </w:pBdr>
      <w:jc w:val="left"/>
    </w:pPr>
    <w:r>
      <w:rPr>
        <w:rFonts w:hint="eastAsia"/>
        <w:sz w:val="24"/>
        <w:szCs w:val="24"/>
        <w:lang w:eastAsia="zh-CN"/>
      </w:rPr>
      <w:t>苏州润禹工程咨询管理有限公司</w:t>
    </w:r>
    <w:r>
      <w:rPr>
        <w:rFonts w:hint="eastAsia"/>
        <w:sz w:val="24"/>
        <w:szCs w:val="24"/>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FFD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7B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3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250"/>
      </w:tabs>
    </w:pPr>
    <w:rPr>
      <w:sz w:val="28"/>
    </w:rPr>
  </w:style>
  <w:style w:type="paragraph" w:styleId="3">
    <w:name w:val="Body Text First Indent"/>
    <w:basedOn w:val="2"/>
    <w:next w:val="1"/>
    <w:qFormat/>
    <w:uiPriority w:val="0"/>
    <w:pPr>
      <w:ind w:firstLine="420"/>
    </w:pPr>
  </w:style>
  <w:style w:type="paragraph" w:styleId="4">
    <w:name w:val="footer"/>
    <w:basedOn w:val="1"/>
    <w:unhideWhenUsed/>
    <w:qFormat/>
    <w:uiPriority w:val="99"/>
    <w:pPr>
      <w:tabs>
        <w:tab w:val="center" w:pos="7143"/>
        <w:tab w:val="right" w:pos="14287"/>
      </w:tabs>
    </w:pPr>
  </w:style>
  <w:style w:type="paragraph" w:styleId="5">
    <w:name w:val="toc 1"/>
    <w:basedOn w:val="1"/>
    <w:next w:val="1"/>
    <w:unhideWhenUsed/>
    <w:qFormat/>
    <w:uiPriority w:val="39"/>
    <w:pPr>
      <w:spacing w:after="57"/>
    </w:pPr>
  </w:style>
  <w:style w:type="paragraph" w:styleId="6">
    <w:name w:val="toc 2"/>
    <w:basedOn w:val="1"/>
    <w:next w:val="1"/>
    <w:unhideWhenUsed/>
    <w:qFormat/>
    <w:uiPriority w:val="39"/>
    <w:pPr>
      <w:spacing w:after="57"/>
      <w:ind w:left="283"/>
    </w:pPr>
  </w:style>
  <w:style w:type="paragraph" w:styleId="7">
    <w:name w:val="Normal (Web)"/>
    <w:basedOn w:val="1"/>
    <w:qFormat/>
    <w:uiPriority w:val="0"/>
    <w:pPr>
      <w:spacing w:before="0" w:beforeAutospacing="1" w:after="0" w:afterAutospacing="1"/>
      <w:ind w:left="0" w:right="0"/>
      <w:jc w:val="left"/>
    </w:pPr>
    <w:rPr>
      <w:sz w:val="24"/>
      <w:lang w:val="en-US" w:eastAsia="zh-CN" w:bidi="ar"/>
    </w:rPr>
  </w:style>
  <w:style w:type="paragraph" w:customStyle="1" w:styleId="10">
    <w:name w:val="普通正文"/>
    <w:basedOn w:val="1"/>
    <w:qFormat/>
    <w:uiPriority w:val="0"/>
    <w:pPr>
      <w:spacing w:before="120" w:after="120" w:line="360" w:lineRule="auto"/>
      <w:ind w:firstLine="480"/>
      <w:jc w:val="left"/>
    </w:pPr>
    <w:rPr>
      <w:rFonts w:ascii="Arial" w:hAnsi="Arial"/>
      <w:sz w:val="24"/>
    </w:rPr>
  </w:style>
  <w:style w:type="paragraph" w:customStyle="1" w:styleId="11">
    <w:name w:val="日期1"/>
    <w:basedOn w:val="1"/>
    <w:next w:val="1"/>
    <w:qFormat/>
    <w:uiPriority w:val="0"/>
    <w:rPr>
      <w:sz w:val="24"/>
    </w:rPr>
  </w:style>
  <w:style w:type="paragraph" w:customStyle="1" w:styleId="12">
    <w:name w:val="正文文本1"/>
    <w:basedOn w:val="1"/>
    <w:next w:val="1"/>
    <w:qFormat/>
    <w:uiPriority w:val="99"/>
    <w:rPr>
      <w:rFonts w:ascii="楷体_GB2312" w:hAnsi="宋体" w:eastAsia="楷体_GB2312"/>
      <w:sz w:val="28"/>
      <w:szCs w:val="28"/>
    </w:rPr>
  </w:style>
  <w:style w:type="paragraph" w:customStyle="1" w:styleId="13">
    <w:name w:val="标题11"/>
    <w:basedOn w:val="1"/>
    <w:qFormat/>
    <w:uiPriority w:val="0"/>
    <w:pPr>
      <w:spacing w:before="240" w:after="60"/>
      <w:jc w:val="center"/>
      <w:outlineLvl w:val="0"/>
    </w:pPr>
    <w:rPr>
      <w:rFonts w:ascii="Arial" w:hAnsi="Arial" w:eastAsia="黑体"/>
      <w:b/>
      <w:bCs/>
      <w:sz w:val="44"/>
      <w:szCs w:val="32"/>
    </w:rPr>
  </w:style>
  <w:style w:type="table" w:customStyle="1" w:styleId="14">
    <w:name w:val="网格型1"/>
    <w:basedOn w:val="15"/>
    <w:qFormat/>
    <w:uiPriority w:val="39"/>
    <w:rPr>
      <w:rFonts w:ascii="Calibri" w:hAnsi="Calibri"/>
    </w:rPr>
    <w:tblPr>
      <w:tblCellMar>
        <w:top w:w="0" w:type="dxa"/>
        <w:left w:w="0" w:type="dxa"/>
        <w:bottom w:w="0" w:type="dxa"/>
        <w:right w:w="0" w:type="dxa"/>
      </w:tblCellMar>
    </w:tblPr>
  </w:style>
  <w:style w:type="table" w:customStyle="1" w:styleId="15">
    <w:name w:val="普通表格1"/>
    <w:semiHidden/>
    <w:qFormat/>
    <w:uiPriority w:val="0"/>
    <w:tblPr>
      <w:tblCellMar>
        <w:top w:w="0" w:type="dxa"/>
        <w:left w:w="0" w:type="dxa"/>
        <w:bottom w:w="0" w:type="dxa"/>
        <w:right w:w="0" w:type="dxa"/>
      </w:tblCellMar>
    </w:tblPr>
  </w:style>
  <w:style w:type="paragraph" w:customStyle="1" w:styleId="16">
    <w:name w:val="一级标题"/>
    <w:basedOn w:val="1"/>
    <w:next w:val="2"/>
    <w:qFormat/>
    <w:uiPriority w:val="0"/>
    <w:pPr>
      <w:outlineLvl w:val="0"/>
    </w:pPr>
    <w:rPr>
      <w:b/>
      <w:bCs/>
      <w:sz w:val="32"/>
    </w:rPr>
  </w:style>
  <w:style w:type="paragraph" w:customStyle="1" w:styleId="17">
    <w:name w:val="Normal_1"/>
    <w:qFormat/>
    <w:uiPriority w:val="0"/>
    <w:rPr>
      <w:rFonts w:hint="default" w:ascii="Times New Roman" w:hAnsi="Times New Roman" w:eastAsia="Times New Roman" w:cs="Times New Roman"/>
      <w:sz w:val="24"/>
      <w:szCs w:val="24"/>
      <w:lang w:val="en-US" w:eastAsia="zh-CN" w:bidi="ar-SA"/>
    </w:rPr>
  </w:style>
  <w:style w:type="character" w:customStyle="1" w:styleId="18">
    <w:name w:val="默认段落字体1"/>
    <w:unhideWhenUsed/>
    <w:qFormat/>
    <w:uiPriority w:val="1"/>
  </w:style>
  <w:style w:type="paragraph" w:customStyle="1" w:styleId="19">
    <w:name w:val="Normal_14"/>
    <w:qFormat/>
    <w:uiPriority w:val="0"/>
    <w:rPr>
      <w:rFonts w:hint="default" w:ascii="Times New Roman" w:hAnsi="Times New Roman" w:eastAsia="Times New Roman" w:cs="Times New Roman"/>
      <w:sz w:val="24"/>
      <w:szCs w:val="24"/>
      <w:lang w:val="en-US" w:eastAsia="zh-CN" w:bidi="ar-SA"/>
    </w:rPr>
  </w:style>
  <w:style w:type="paragraph" w:customStyle="1" w:styleId="20">
    <w:name w:val="p0"/>
    <w:basedOn w:val="1"/>
    <w:qFormat/>
    <w:uiPriority w:val="99"/>
    <w:pPr>
      <w:widowControl/>
    </w:pPr>
    <w:rPr>
      <w:rFonts w:cs="宋体"/>
      <w:szCs w:val="21"/>
    </w:rPr>
  </w:style>
  <w:style w:type="paragraph" w:customStyle="1" w:styleId="21">
    <w:name w:val="Normal_3"/>
    <w:qFormat/>
    <w:uiPriority w:val="0"/>
    <w:rPr>
      <w:rFonts w:hint="default" w:ascii="Times New Roman" w:hAnsi="Times New Roman" w:eastAsia="Times New Roman" w:cs="Times New Roman"/>
      <w:sz w:val="24"/>
      <w:szCs w:val="24"/>
      <w:lang w:val="en-US" w:eastAsia="zh-CN" w:bidi="ar-SA"/>
    </w:rPr>
  </w:style>
  <w:style w:type="paragraph" w:customStyle="1" w:styleId="22">
    <w:name w:val="Normal_4"/>
    <w:qFormat/>
    <w:uiPriority w:val="0"/>
    <w:rPr>
      <w:rFonts w:hint="default" w:ascii="Times New Roman" w:hAnsi="Times New Roman" w:eastAsia="Times New Roman" w:cs="Times New Roman"/>
      <w:sz w:val="24"/>
      <w:szCs w:val="24"/>
      <w:lang w:val="en-US" w:eastAsia="zh-CN" w:bidi="ar-SA"/>
    </w:rPr>
  </w:style>
  <w:style w:type="paragraph" w:customStyle="1" w:styleId="23">
    <w:name w:val="Normal_5"/>
    <w:qFormat/>
    <w:uiPriority w:val="0"/>
    <w:rPr>
      <w:rFonts w:hint="default" w:ascii="Times New Roman" w:hAnsi="Times New Roman" w:eastAsia="Times New Roman" w:cs="Times New Roman"/>
      <w:sz w:val="24"/>
      <w:szCs w:val="24"/>
      <w:lang w:val="en-US" w:eastAsia="zh-CN" w:bidi="ar-SA"/>
    </w:rPr>
  </w:style>
  <w:style w:type="paragraph" w:customStyle="1" w:styleId="24">
    <w:name w:val="Normal_6"/>
    <w:qFormat/>
    <w:uiPriority w:val="0"/>
    <w:rPr>
      <w:rFonts w:hint="default" w:ascii="Times New Roman" w:hAnsi="Times New Roman" w:eastAsia="Times New Roman" w:cs="Times New Roman"/>
      <w:sz w:val="24"/>
      <w:szCs w:val="24"/>
      <w:lang w:val="en-US" w:eastAsia="zh-CN" w:bidi="ar-SA"/>
    </w:rPr>
  </w:style>
  <w:style w:type="paragraph" w:customStyle="1" w:styleId="25">
    <w:name w:val="Normal_7"/>
    <w:qFormat/>
    <w:uiPriority w:val="0"/>
    <w:rPr>
      <w:rFonts w:hint="default" w:ascii="Times New Roman" w:hAnsi="Times New Roman" w:eastAsia="Times New Roman" w:cs="Times New Roman"/>
      <w:sz w:val="24"/>
      <w:szCs w:val="24"/>
      <w:lang w:val="en-US" w:eastAsia="zh-CN" w:bidi="ar-SA"/>
    </w:rPr>
  </w:style>
  <w:style w:type="paragraph" w:customStyle="1" w:styleId="26">
    <w:name w:val="Normal_8"/>
    <w:qFormat/>
    <w:uiPriority w:val="0"/>
    <w:rPr>
      <w:rFonts w:hint="default" w:ascii="Times New Roman" w:hAnsi="Times New Roman" w:eastAsia="Times New Roman" w:cs="Times New Roman"/>
      <w:sz w:val="24"/>
      <w:szCs w:val="24"/>
      <w:lang w:val="en-US" w:eastAsia="zh-CN" w:bidi="ar-SA"/>
    </w:rPr>
  </w:style>
  <w:style w:type="paragraph" w:customStyle="1" w:styleId="27">
    <w:name w:val="Normal_10"/>
    <w:qFormat/>
    <w:uiPriority w:val="0"/>
    <w:rPr>
      <w:rFonts w:hint="default" w:ascii="Times New Roman" w:hAnsi="Times New Roman" w:eastAsia="Times New Roman" w:cs="Times New Roman"/>
      <w:sz w:val="24"/>
      <w:szCs w:val="24"/>
      <w:lang w:val="en-US" w:eastAsia="zh-CN" w:bidi="ar-SA"/>
    </w:rPr>
  </w:style>
  <w:style w:type="paragraph" w:customStyle="1" w:styleId="28">
    <w:name w:val="Normal_17"/>
    <w:qFormat/>
    <w:uiPriority w:val="0"/>
    <w:rPr>
      <w:rFonts w:hint="default" w:ascii="Times New Roman" w:hAnsi="Times New Roman" w:eastAsia="Times New Roman" w:cs="Times New Roman"/>
      <w:sz w:val="24"/>
      <w:szCs w:val="24"/>
      <w:lang w:val="en-US" w:eastAsia="zh-CN" w:bidi="ar-SA"/>
    </w:rPr>
  </w:style>
  <w:style w:type="paragraph" w:customStyle="1" w:styleId="29">
    <w:name w:val="Normal_0_0"/>
    <w:qFormat/>
    <w:uiPriority w:val="0"/>
    <w:rPr>
      <w:rFonts w:hint="default" w:ascii="Times New Roman" w:hAnsi="Times New Roman" w:eastAsia="Times New Roman" w:cs="Times New Roman"/>
      <w:sz w:val="24"/>
      <w:szCs w:val="24"/>
      <w:lang w:val="en-US" w:eastAsia="zh-CN" w:bidi="ar-SA"/>
    </w:rPr>
  </w:style>
  <w:style w:type="paragraph" w:customStyle="1" w:styleId="30">
    <w:name w:val="Normal_1_0"/>
    <w:qFormat/>
    <w:uiPriority w:val="0"/>
    <w:rPr>
      <w:rFonts w:hint="default" w:ascii="Times New Roman" w:hAnsi="Times New Roman" w:eastAsia="Times New Roman" w:cs="Times New Roman"/>
      <w:sz w:val="24"/>
      <w:szCs w:val="24"/>
      <w:lang w:val="en-US" w:eastAsia="zh-CN" w:bidi="ar-SA"/>
    </w:rPr>
  </w:style>
  <w:style w:type="paragraph" w:customStyle="1" w:styleId="31">
    <w:name w:val="Normal_11"/>
    <w:qFormat/>
    <w:uiPriority w:val="0"/>
    <w:rPr>
      <w:rFonts w:hint="default" w:ascii="Times New Roman" w:hAnsi="Times New Roman" w:eastAsia="Times New Roman" w:cs="Times New Roman"/>
      <w:sz w:val="24"/>
      <w:szCs w:val="24"/>
      <w:lang w:val="en-US" w:eastAsia="zh-CN" w:bidi="ar-SA"/>
    </w:rPr>
  </w:style>
  <w:style w:type="paragraph" w:customStyle="1" w:styleId="32">
    <w:name w:val="Normal_0"/>
    <w:next w:val="33"/>
    <w:qFormat/>
    <w:uiPriority w:val="0"/>
    <w:pPr>
      <w:widowControl w:val="0"/>
      <w:spacing w:line="440" w:lineRule="exact"/>
      <w:ind w:firstLine="200"/>
      <w:jc w:val="both"/>
    </w:pPr>
    <w:rPr>
      <w:rFonts w:hint="default" w:ascii="Times New Roman" w:hAnsi="Times New Roman" w:eastAsia="宋体" w:cs="Times New Roman"/>
      <w:sz w:val="21"/>
      <w:szCs w:val="24"/>
      <w:lang w:val="en-US" w:eastAsia="zh-CN" w:bidi="ar-SA"/>
    </w:rPr>
  </w:style>
  <w:style w:type="paragraph" w:customStyle="1" w:styleId="33">
    <w:name w:val="首行缩进_0"/>
    <w:basedOn w:val="32"/>
    <w:qFormat/>
    <w:uiPriority w:val="0"/>
    <w:pPr>
      <w:spacing w:line="360" w:lineRule="auto"/>
      <w:ind w:firstLine="480"/>
      <w:jc w:val="left"/>
    </w:pPr>
    <w:rPr>
      <w:rFonts w:ascii="宋体" w:hAnsi="宋体"/>
      <w:sz w:val="24"/>
    </w:rPr>
  </w:style>
  <w:style w:type="paragraph" w:customStyle="1" w:styleId="34">
    <w:name w:val="Normal_0_1"/>
    <w:qFormat/>
    <w:uiPriority w:val="0"/>
    <w:rPr>
      <w:rFonts w:hint="default" w:ascii="Times New Roman" w:hAnsi="Times New Roman" w:eastAsia="Times New Roman" w:cs="Times New Roman"/>
      <w:sz w:val="24"/>
      <w:szCs w:val="24"/>
      <w:lang w:val="en-US" w:eastAsia="zh-CN" w:bidi="ar-SA"/>
    </w:rPr>
  </w:style>
  <w:style w:type="paragraph" w:customStyle="1" w:styleId="35">
    <w:name w:val="Normal_0_0_0"/>
    <w:qFormat/>
    <w:uiPriority w:val="0"/>
    <w:rPr>
      <w:rFonts w:hint="default" w:ascii="Times New Roman" w:hAnsi="Times New Roman" w:eastAsia="Times New Roman" w:cs="Times New Roman"/>
      <w:sz w:val="24"/>
      <w:szCs w:val="24"/>
      <w:lang w:val="en-US" w:eastAsia="zh-CN" w:bidi="ar-SA"/>
    </w:rPr>
  </w:style>
  <w:style w:type="paragraph" w:customStyle="1" w:styleId="36">
    <w:name w:val="Normal_1_1"/>
    <w:qFormat/>
    <w:uiPriority w:val="0"/>
    <w:rPr>
      <w:rFonts w:hint="default" w:ascii="Times New Roman" w:hAnsi="Times New Roman" w:eastAsia="Times New Roman" w:cs="Times New Roman"/>
      <w:sz w:val="24"/>
      <w:szCs w:val="24"/>
      <w:lang w:val="en-US" w:eastAsia="zh-CN" w:bidi="ar-SA"/>
    </w:rPr>
  </w:style>
  <w:style w:type="paragraph" w:customStyle="1" w:styleId="37">
    <w:name w:val="Normal_2_0"/>
    <w:qFormat/>
    <w:uiPriority w:val="0"/>
    <w:rPr>
      <w:rFonts w:hint="default" w:ascii="Times New Roman" w:hAnsi="Times New Roman" w:eastAsia="Times New Roman" w:cs="Times New Roman"/>
      <w:sz w:val="24"/>
      <w:szCs w:val="24"/>
      <w:lang w:val="en-US" w:eastAsia="zh-CN" w:bidi="ar-SA"/>
    </w:rPr>
  </w:style>
  <w:style w:type="paragraph" w:customStyle="1" w:styleId="38">
    <w:name w:val="Normal_4_0"/>
    <w:qFormat/>
    <w:uiPriority w:val="0"/>
    <w:rPr>
      <w:rFonts w:hint="default" w:ascii="Times New Roman" w:hAnsi="Times New Roman" w:eastAsia="Times New Roman" w:cs="Times New Roman"/>
      <w:sz w:val="24"/>
      <w:szCs w:val="24"/>
      <w:lang w:val="en-US" w:eastAsia="zh-CN" w:bidi="ar-SA"/>
    </w:rPr>
  </w:style>
  <w:style w:type="paragraph" w:customStyle="1" w:styleId="39">
    <w:name w:val="Normal_5_0"/>
    <w:qFormat/>
    <w:uiPriority w:val="0"/>
    <w:rPr>
      <w:rFonts w:hint="default" w:ascii="Times New Roman" w:hAnsi="Times New Roman" w:eastAsia="Times New Roman" w:cs="Times New Roman"/>
      <w:sz w:val="24"/>
      <w:szCs w:val="24"/>
      <w:lang w:val="en-US" w:eastAsia="zh-CN" w:bidi="ar-SA"/>
    </w:rPr>
  </w:style>
  <w:style w:type="paragraph" w:customStyle="1" w:styleId="40">
    <w:name w:val="Normal_0_2"/>
    <w:qFormat/>
    <w:uiPriority w:val="0"/>
    <w:rPr>
      <w:rFonts w:hint="default" w:ascii="Times New Roman" w:hAnsi="Times New Roman" w:eastAsia="Times New Roman" w:cs="Times New Roman"/>
      <w:sz w:val="24"/>
      <w:szCs w:val="24"/>
      <w:lang w:val="en-US" w:eastAsia="zh-CN" w:bidi="ar-SA"/>
    </w:rPr>
  </w:style>
  <w:style w:type="paragraph" w:customStyle="1" w:styleId="41">
    <w:name w:val="Normal_0_3"/>
    <w:qFormat/>
    <w:uiPriority w:val="0"/>
    <w:rPr>
      <w:rFonts w:hint="default" w:ascii="Times New Roman" w:hAnsi="Times New Roman" w:eastAsia="Times New Roman" w:cs="Times New Roman"/>
      <w:sz w:val="24"/>
      <w:szCs w:val="24"/>
      <w:lang w:val="en-US" w:eastAsia="zh-CN"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Normal_18"/>
    <w:qFormat/>
    <w:uiPriority w:val="0"/>
    <w:rPr>
      <w:rFonts w:hint="default" w:ascii="Times New Roman" w:hAnsi="Times New Roman" w:eastAsia="Times New Roman" w:cs="Times New Roman"/>
      <w:sz w:val="24"/>
      <w:szCs w:val="24"/>
      <w:lang w:val="en-US" w:eastAsia="zh-CN" w:bidi="ar-SA"/>
    </w:rPr>
  </w:style>
  <w:style w:type="paragraph" w:customStyle="1" w:styleId="44">
    <w:name w:val="Table Text"/>
    <w:basedOn w:val="1"/>
    <w:semiHidden/>
    <w:qFormat/>
    <w:uiPriority w:val="0"/>
    <w:rPr>
      <w:rFonts w:ascii="宋体" w:hAnsi="宋体" w:cs="宋体"/>
      <w:szCs w:val="21"/>
      <w:lang w:eastAsia="en-US"/>
    </w:rPr>
  </w:style>
  <w:style w:type="paragraph" w:customStyle="1" w:styleId="45">
    <w:name w:val="Normal_20"/>
    <w:qFormat/>
    <w:uiPriority w:val="0"/>
    <w:rPr>
      <w:rFonts w:hint="default" w:ascii="Times New Roman" w:hAnsi="Times New Roman" w:eastAsia="Times New Roman" w:cs="Times New Roman"/>
      <w:sz w:val="24"/>
      <w:szCs w:val="24"/>
      <w:lang w:val="en-US" w:eastAsia="zh-CN" w:bidi="ar-SA"/>
    </w:rPr>
  </w:style>
  <w:style w:type="paragraph" w:customStyle="1" w:styleId="46">
    <w:name w:val="Normal_19"/>
    <w:qFormat/>
    <w:uiPriority w:val="0"/>
    <w:rPr>
      <w:rFonts w:hint="default" w:ascii="Times New Roman" w:hAnsi="Times New Roman" w:eastAsia="Times New Roman" w:cs="Times New Roman"/>
      <w:sz w:val="24"/>
      <w:szCs w:val="24"/>
      <w:lang w:val="en-US" w:eastAsia="zh-CN" w:bidi="ar-SA"/>
    </w:rPr>
  </w:style>
  <w:style w:type="paragraph" w:customStyle="1" w:styleId="47">
    <w:name w:val="Normal_13"/>
    <w:qFormat/>
    <w:uiPriority w:val="0"/>
    <w:rPr>
      <w:rFonts w:hint="default" w:ascii="Times New Roman" w:hAnsi="Times New Roman" w:eastAsia="Times New Roman" w:cs="Times New Roman"/>
      <w:sz w:val="24"/>
      <w:szCs w:val="24"/>
      <w:lang w:val="en-US" w:eastAsia="zh-CN" w:bidi="ar-SA"/>
    </w:rPr>
  </w:style>
  <w:style w:type="paragraph" w:customStyle="1" w:styleId="48">
    <w:name w:val="Normal_0_4"/>
    <w:qFormat/>
    <w:uiPriority w:val="0"/>
    <w:rPr>
      <w:rFonts w:hint="default" w:ascii="Times New Roman" w:hAnsi="Times New Roman" w:eastAsia="Times New Roman" w:cs="Times New Roman"/>
      <w:sz w:val="24"/>
      <w:szCs w:val="24"/>
      <w:lang w:val="en-US" w:eastAsia="zh-CN" w:bidi="ar-SA"/>
    </w:rPr>
  </w:style>
  <w:style w:type="paragraph" w:customStyle="1" w:styleId="49">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50">
    <w:name w:val="Normal_2_1"/>
    <w:qFormat/>
    <w:uiPriority w:val="0"/>
    <w:rPr>
      <w:rFonts w:hint="default" w:ascii="Times New Roman" w:hAnsi="Times New Roman" w:eastAsia="Times New Roman" w:cs="Times New Roman"/>
      <w:sz w:val="24"/>
      <w:szCs w:val="24"/>
      <w:lang w:val="en-US" w:eastAsia="zh-CN" w:bidi="ar-SA"/>
    </w:rPr>
  </w:style>
  <w:style w:type="paragraph" w:customStyle="1" w:styleId="51">
    <w:name w:val="Normal_3_0"/>
    <w:qFormat/>
    <w:uiPriority w:val="0"/>
    <w:rPr>
      <w:rFonts w:hint="default" w:ascii="Times New Roman" w:hAnsi="Times New Roman" w:eastAsia="Times New Roman" w:cs="Times New Roman"/>
      <w:sz w:val="24"/>
      <w:szCs w:val="24"/>
      <w:lang w:val="en-US" w:eastAsia="zh-CN" w:bidi="ar-SA"/>
    </w:rPr>
  </w:style>
  <w:style w:type="paragraph" w:customStyle="1" w:styleId="52">
    <w:name w:val="Normal_6_0"/>
    <w:qFormat/>
    <w:uiPriority w:val="0"/>
    <w:rPr>
      <w:rFonts w:hint="default" w:ascii="Times New Roman" w:hAnsi="Times New Roman" w:eastAsia="Times New Roman" w:cs="Times New Roman"/>
      <w:sz w:val="24"/>
      <w:szCs w:val="24"/>
      <w:lang w:val="en-US" w:eastAsia="zh-CN" w:bidi="ar-SA"/>
    </w:rPr>
  </w:style>
  <w:style w:type="paragraph" w:customStyle="1" w:styleId="53">
    <w:name w:val="Normal_4_1"/>
    <w:qFormat/>
    <w:uiPriority w:val="0"/>
    <w:rPr>
      <w:rFonts w:hint="default" w:ascii="Times New Roman" w:hAnsi="Times New Roman" w:eastAsia="Times New Roman" w:cs="Times New Roman"/>
      <w:sz w:val="24"/>
      <w:szCs w:val="24"/>
      <w:lang w:val="en-US" w:eastAsia="zh-CN" w:bidi="ar-SA"/>
    </w:rPr>
  </w:style>
  <w:style w:type="paragraph" w:customStyle="1" w:styleId="54">
    <w:name w:val="Normal_5_1"/>
    <w:qFormat/>
    <w:uiPriority w:val="0"/>
    <w:rPr>
      <w:rFonts w:hint="default" w:ascii="Times New Roman" w:hAnsi="Times New Roman" w:eastAsia="Times New Roman" w:cs="Times New Roman"/>
      <w:sz w:val="24"/>
      <w:szCs w:val="24"/>
      <w:lang w:val="en-US" w:eastAsia="zh-CN" w:bidi="ar-SA"/>
    </w:rPr>
  </w:style>
  <w:style w:type="paragraph" w:customStyle="1" w:styleId="55">
    <w:name w:val="Normal_22"/>
    <w:qFormat/>
    <w:uiPriority w:val="0"/>
    <w:rPr>
      <w:rFonts w:hint="default" w:ascii="Times New Roman" w:hAnsi="Times New Roman" w:eastAsia="Times New Roman" w:cs="Times New Roman"/>
      <w:sz w:val="24"/>
      <w:szCs w:val="24"/>
      <w:lang w:val="en-US" w:eastAsia="zh-CN" w:bidi="ar-SA"/>
    </w:rPr>
  </w:style>
  <w:style w:type="paragraph" w:customStyle="1" w:styleId="56">
    <w:name w:val="Normal_23"/>
    <w:qFormat/>
    <w:uiPriority w:val="0"/>
    <w:rPr>
      <w:rFonts w:hint="default" w:ascii="Times New Roman" w:hAnsi="Times New Roman" w:eastAsia="Times New Roman" w:cs="Times New Roman"/>
      <w:sz w:val="24"/>
      <w:szCs w:val="24"/>
      <w:lang w:val="en-US" w:eastAsia="zh-CN" w:bidi="ar-SA"/>
    </w:rPr>
  </w:style>
  <w:style w:type="paragraph" w:customStyle="1" w:styleId="57">
    <w:name w:val="Normal_24"/>
    <w:qFormat/>
    <w:uiPriority w:val="0"/>
    <w:rPr>
      <w:rFonts w:hint="default" w:ascii="Times New Roman" w:hAnsi="Times New Roman" w:eastAsia="Times New Roman" w:cs="Times New Roman"/>
      <w:sz w:val="24"/>
      <w:szCs w:val="24"/>
      <w:lang w:val="en-US" w:eastAsia="zh-CN" w:bidi="ar-SA"/>
    </w:rPr>
  </w:style>
  <w:style w:type="paragraph" w:customStyle="1" w:styleId="58">
    <w:name w:val="Normal_25"/>
    <w:qFormat/>
    <w:uiPriority w:val="0"/>
    <w:rPr>
      <w:rFonts w:hint="default" w:ascii="Times New Roman" w:hAnsi="Times New Roman" w:eastAsia="Times New Roman" w:cs="Times New Roman"/>
      <w:sz w:val="24"/>
      <w:szCs w:val="24"/>
      <w:lang w:val="en-US" w:eastAsia="zh-CN" w:bidi="ar-SA"/>
    </w:rPr>
  </w:style>
  <w:style w:type="paragraph" w:customStyle="1" w:styleId="59">
    <w:name w:val="Normal_26"/>
    <w:qFormat/>
    <w:uiPriority w:val="0"/>
    <w:rPr>
      <w:rFonts w:hint="default" w:ascii="Times New Roman" w:hAnsi="Times New Roman" w:eastAsia="Times New Roman" w:cs="Times New Roman"/>
      <w:sz w:val="24"/>
      <w:szCs w:val="24"/>
      <w:lang w:val="en-US" w:eastAsia="zh-CN" w:bidi="ar-SA"/>
    </w:rPr>
  </w:style>
  <w:style w:type="paragraph" w:customStyle="1" w:styleId="60">
    <w:name w:val="正文_0_0"/>
    <w:next w:val="6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1">
    <w:name w:val="正文文本_0"/>
    <w:basedOn w:val="60"/>
    <w:qFormat/>
    <w:uiPriority w:val="0"/>
    <w:pPr>
      <w:spacing w:line="400" w:lineRule="exact"/>
    </w:pPr>
    <w:rPr>
      <w:sz w:val="24"/>
    </w:rPr>
  </w:style>
  <w:style w:type="paragraph" w:customStyle="1" w:styleId="62">
    <w:name w:val="Normal_27"/>
    <w:qFormat/>
    <w:uiPriority w:val="0"/>
    <w:rPr>
      <w:rFonts w:hint="default" w:ascii="Times New Roman" w:hAnsi="Times New Roman" w:eastAsia="Times New Roman" w:cs="Times New Roman"/>
      <w:sz w:val="24"/>
      <w:szCs w:val="24"/>
      <w:lang w:val="en-US" w:eastAsia="zh-CN" w:bidi="ar-SA"/>
    </w:rPr>
  </w:style>
  <w:style w:type="paragraph" w:customStyle="1" w:styleId="63">
    <w:name w:val="Normal_14_0"/>
    <w:qFormat/>
    <w:uiPriority w:val="0"/>
    <w:rPr>
      <w:rFonts w:hint="default" w:ascii="Times New Roman" w:hAnsi="Times New Roman" w:eastAsia="Times New Roman" w:cs="Times New Roman"/>
      <w:sz w:val="24"/>
      <w:szCs w:val="24"/>
      <w:lang w:val="en-US" w:eastAsia="zh-CN" w:bidi="ar-SA"/>
    </w:rPr>
  </w:style>
  <w:style w:type="paragraph" w:customStyle="1" w:styleId="64">
    <w:name w:val="Normal_28"/>
    <w:qFormat/>
    <w:uiPriority w:val="0"/>
    <w:rPr>
      <w:rFonts w:hint="default" w:ascii="Times New Roman" w:hAnsi="Times New Roman" w:eastAsia="Times New Roman" w:cs="Times New Roman"/>
      <w:sz w:val="24"/>
      <w:szCs w:val="24"/>
      <w:lang w:val="en-US" w:eastAsia="zh-CN" w:bidi="ar-SA"/>
    </w:rPr>
  </w:style>
  <w:style w:type="paragraph" w:customStyle="1" w:styleId="65">
    <w:name w:val="Normal_29"/>
    <w:qFormat/>
    <w:uiPriority w:val="0"/>
    <w:rPr>
      <w:rFonts w:hint="default" w:ascii="Times New Roman" w:hAnsi="Times New Roman" w:eastAsia="Times New Roman" w:cs="Times New Roman"/>
      <w:sz w:val="24"/>
      <w:szCs w:val="24"/>
      <w:lang w:val="en-US" w:eastAsia="zh-CN" w:bidi="ar-SA"/>
    </w:rPr>
  </w:style>
  <w:style w:type="paragraph" w:customStyle="1" w:styleId="66">
    <w:name w:val="Normal_30"/>
    <w:qFormat/>
    <w:uiPriority w:val="0"/>
    <w:rPr>
      <w:rFonts w:hint="default" w:ascii="Times New Roman" w:hAnsi="Times New Roman" w:eastAsia="Times New Roman" w:cs="Times New Roman"/>
      <w:sz w:val="24"/>
      <w:szCs w:val="24"/>
      <w:lang w:val="en-US" w:eastAsia="zh-CN" w:bidi="ar-SA"/>
    </w:rPr>
  </w:style>
  <w:style w:type="paragraph" w:customStyle="1" w:styleId="67">
    <w:name w:val="Normal_31"/>
    <w:qFormat/>
    <w:uiPriority w:val="0"/>
    <w:rPr>
      <w:rFonts w:hint="default" w:ascii="Times New Roman" w:hAnsi="Times New Roman" w:eastAsia="Times New Roman" w:cs="Times New Roman"/>
      <w:sz w:val="24"/>
      <w:szCs w:val="24"/>
      <w:lang w:val="en-US" w:eastAsia="zh-CN" w:bidi="ar-SA"/>
    </w:rPr>
  </w:style>
  <w:style w:type="paragraph" w:customStyle="1" w:styleId="68">
    <w:name w:val="Normal_33"/>
    <w:qFormat/>
    <w:uiPriority w:val="0"/>
    <w:rPr>
      <w:rFonts w:hint="default" w:ascii="Times New Roman" w:hAnsi="Times New Roman" w:eastAsia="Times New Roman" w:cs="Times New Roman"/>
      <w:sz w:val="24"/>
      <w:szCs w:val="24"/>
      <w:lang w:val="en-US" w:eastAsia="zh-CN" w:bidi="ar-SA"/>
    </w:rPr>
  </w:style>
  <w:style w:type="paragraph" w:customStyle="1" w:styleId="69">
    <w:name w:val="Normal_41"/>
    <w:qFormat/>
    <w:uiPriority w:val="0"/>
    <w:rPr>
      <w:rFonts w:hint="default" w:ascii="Times New Roman" w:hAnsi="Times New Roman" w:eastAsia="Times New Roman" w:cs="Times New Roman"/>
      <w:sz w:val="24"/>
      <w:szCs w:val="24"/>
      <w:lang w:val="en-US" w:eastAsia="zh-CN" w:bidi="ar-SA"/>
    </w:rPr>
  </w:style>
  <w:style w:type="paragraph" w:customStyle="1" w:styleId="70">
    <w:name w:val="Normal_44"/>
    <w:qFormat/>
    <w:uiPriority w:val="0"/>
    <w:rPr>
      <w:rFonts w:hint="default" w:ascii="Times New Roman" w:hAnsi="Times New Roman" w:eastAsia="Times New Roman" w:cs="Times New Roman"/>
      <w:sz w:val="24"/>
      <w:szCs w:val="24"/>
      <w:lang w:val="en-US" w:eastAsia="zh-CN" w:bidi="ar-SA"/>
    </w:rPr>
  </w:style>
  <w:style w:type="paragraph" w:customStyle="1" w:styleId="71">
    <w:name w:val="Normal_45"/>
    <w:qFormat/>
    <w:uiPriority w:val="0"/>
    <w:rPr>
      <w:rFonts w:hint="default" w:ascii="Times New Roman" w:hAnsi="Times New Roman" w:eastAsia="Times New Roman" w:cs="Times New Roman"/>
      <w:sz w:val="24"/>
      <w:szCs w:val="24"/>
      <w:lang w:val="en-US" w:eastAsia="zh-CN" w:bidi="ar-SA"/>
    </w:rPr>
  </w:style>
  <w:style w:type="paragraph" w:customStyle="1" w:styleId="72">
    <w:name w:val="Normal_47"/>
    <w:qFormat/>
    <w:uiPriority w:val="0"/>
    <w:rPr>
      <w:rFonts w:hint="default" w:ascii="Times New Roman" w:hAnsi="Times New Roman" w:eastAsia="Times New Roman" w:cs="Times New Roman"/>
      <w:sz w:val="24"/>
      <w:szCs w:val="24"/>
      <w:lang w:val="en-US" w:eastAsia="zh-CN" w:bidi="ar-SA"/>
    </w:rPr>
  </w:style>
  <w:style w:type="paragraph" w:customStyle="1" w:styleId="73">
    <w:name w:val="Normal_48"/>
    <w:qFormat/>
    <w:uiPriority w:val="0"/>
    <w:rPr>
      <w:rFonts w:hint="default" w:ascii="Times New Roman" w:hAnsi="Times New Roman" w:eastAsia="Times New Roman" w:cs="Times New Roman"/>
      <w:sz w:val="24"/>
      <w:szCs w:val="24"/>
      <w:lang w:val="en-US" w:eastAsia="zh-CN" w:bidi="ar-SA"/>
    </w:rPr>
  </w:style>
  <w:style w:type="paragraph" w:customStyle="1" w:styleId="74">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75">
    <w:name w:val="页脚1"/>
    <w:basedOn w:val="1"/>
    <w:qFormat/>
    <w:uiPriority w:val="99"/>
    <w:pPr>
      <w:tabs>
        <w:tab w:val="center" w:pos="4153"/>
        <w:tab w:val="right" w:pos="8306"/>
      </w:tabs>
      <w:jc w:val="left"/>
    </w:pPr>
    <w:rPr>
      <w:sz w:val="18"/>
      <w:szCs w:val="18"/>
    </w:rPr>
  </w:style>
  <w:style w:type="character" w:customStyle="1" w:styleId="76">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0.xml"/><Relationship Id="rId28" Type="http://schemas.openxmlformats.org/officeDocument/2006/relationships/footer" Target="footer9.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26909</Words>
  <Characters>28735</Characters>
  <Lines>0</Lines>
  <Paragraphs>0</Paragraphs>
  <TotalTime>0</TotalTime>
  <ScaleCrop>false</ScaleCrop>
  <LinksUpToDate>false</LinksUpToDate>
  <CharactersWithSpaces>29871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2025-08-26T09:43:16Z</dcterms:created>
  <dc:creator>asus</dc:creator>
  <cp:lastModifiedBy>WPS_1657525492</cp:lastModifiedBy>
  <dcterms:modified xsi:type="dcterms:W3CDTF">2025-08-26T09:43:33Z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8EEEFDB2527242A2802C5B1398D85907_12</vt:lpwstr>
  </property>
</Properties>
</file>