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DD44D">
      <w:pPr>
        <w:pStyle w:val="641"/>
        <w:rPr>
          <w:color w:val="auto"/>
          <w:highlight w:val="none"/>
        </w:rPr>
      </w:pPr>
      <w:r>
        <w:rPr>
          <w:color w:val="auto"/>
          <w:highlight w:val="none"/>
        </w:rPr>
        <w:drawing>
          <wp:inline distT="0" distB="0" distL="114300" distR="114300">
            <wp:extent cx="5948045" cy="829119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7"/>
                    <a:srcRect r="1046"/>
                    <a:stretch>
                      <a:fillRect/>
                    </a:stretch>
                  </pic:blipFill>
                  <pic:spPr>
                    <a:xfrm>
                      <a:off x="0" y="0"/>
                      <a:ext cx="5948045" cy="8291195"/>
                    </a:xfrm>
                    <a:prstGeom prst="rect">
                      <a:avLst/>
                    </a:prstGeom>
                    <a:noFill/>
                    <a:ln>
                      <a:noFill/>
                    </a:ln>
                  </pic:spPr>
                </pic:pic>
              </a:graphicData>
            </a:graphic>
          </wp:inline>
        </w:drawing>
      </w:r>
    </w:p>
    <w:p w14:paraId="082D4D5D">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7F07431F">
      <w:pPr>
        <w:spacing w:line="360" w:lineRule="auto"/>
        <w:jc w:val="center"/>
        <w:rPr>
          <w:rFonts w:ascii="宋体" w:hAnsi="宋体" w:cs="宋体"/>
          <w:color w:val="auto"/>
          <w:sz w:val="32"/>
          <w:szCs w:val="32"/>
          <w:highlight w:val="none"/>
        </w:rPr>
      </w:pPr>
      <w:r>
        <w:rPr>
          <w:rFonts w:hint="eastAsia" w:ascii="宋体" w:hAnsi="宋体" w:cs="宋体"/>
          <w:b/>
          <w:color w:val="auto"/>
          <w:sz w:val="48"/>
          <w:szCs w:val="48"/>
          <w:highlight w:val="none"/>
        </w:rPr>
        <w:t>目  录</w:t>
      </w:r>
    </w:p>
    <w:p w14:paraId="69263DF4">
      <w:pPr>
        <w:pStyle w:val="44"/>
        <w:tabs>
          <w:tab w:val="right" w:leader="dot" w:pos="9070"/>
        </w:tabs>
        <w:spacing w:line="600" w:lineRule="exact"/>
        <w:rPr>
          <w:rFonts w:hint="eastAsia" w:ascii="宋体" w:hAnsi="宋体" w:cs="宋体"/>
          <w:color w:val="auto"/>
          <w:sz w:val="28"/>
          <w:szCs w:val="28"/>
          <w:highlight w:val="none"/>
        </w:rPr>
      </w:pPr>
      <w:bookmarkStart w:id="0" w:name="_Hlt91233176"/>
      <w:bookmarkEnd w:id="0"/>
      <w:bookmarkStart w:id="1" w:name="_Toc91899869"/>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_Toc32263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lang w:eastAsia="zh-CN"/>
        </w:rPr>
        <w:t>１</w:t>
      </w:r>
      <w:r>
        <w:rPr>
          <w:rFonts w:hint="eastAsia" w:ascii="宋体" w:hAnsi="宋体" w:cs="宋体"/>
          <w:color w:val="auto"/>
          <w:sz w:val="28"/>
          <w:szCs w:val="28"/>
          <w:highlight w:val="none"/>
        </w:rPr>
        <w:fldChar w:fldCharType="end"/>
      </w:r>
    </w:p>
    <w:p w14:paraId="3C76E714">
      <w:pPr>
        <w:pStyle w:val="44"/>
        <w:tabs>
          <w:tab w:val="right" w:leader="dot" w:pos="9070"/>
        </w:tabs>
        <w:spacing w:line="6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_Toc1745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fldChar w:fldCharType="end"/>
      </w:r>
    </w:p>
    <w:p w14:paraId="6B4FD542">
      <w:pPr>
        <w:pStyle w:val="44"/>
        <w:tabs>
          <w:tab w:val="right" w:leader="dot" w:pos="9070"/>
        </w:tabs>
        <w:spacing w:line="6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_Toc9424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17</w:t>
      </w:r>
      <w:r>
        <w:rPr>
          <w:rFonts w:hint="eastAsia" w:ascii="宋体" w:hAnsi="宋体" w:cs="宋体"/>
          <w:color w:val="auto"/>
          <w:sz w:val="28"/>
          <w:szCs w:val="28"/>
          <w:highlight w:val="none"/>
        </w:rPr>
        <w:fldChar w:fldCharType="end"/>
      </w:r>
    </w:p>
    <w:p w14:paraId="0B9B67C9">
      <w:pPr>
        <w:pStyle w:val="44"/>
        <w:tabs>
          <w:tab w:val="right" w:leader="dot" w:pos="9070"/>
        </w:tabs>
        <w:spacing w:line="6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_Toc22578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0248144D">
      <w:pPr>
        <w:pStyle w:val="44"/>
        <w:tabs>
          <w:tab w:val="right" w:leader="dot" w:pos="9070"/>
        </w:tabs>
        <w:spacing w:line="600" w:lineRule="exac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_Toc12957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28</w:t>
      </w:r>
    </w:p>
    <w:p w14:paraId="052DE4C0">
      <w:pPr>
        <w:pStyle w:val="44"/>
        <w:tabs>
          <w:tab w:val="right" w:leader="dot" w:pos="9070"/>
        </w:tabs>
        <w:spacing w:line="6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_Toc12182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7A91C0BF">
      <w:pPr>
        <w:spacing w:line="600" w:lineRule="exact"/>
        <w:rPr>
          <w:color w:val="auto"/>
          <w:highlight w:val="none"/>
        </w:rPr>
      </w:pPr>
      <w:r>
        <w:rPr>
          <w:rFonts w:hint="eastAsia" w:ascii="宋体" w:hAnsi="宋体" w:cs="宋体"/>
          <w:color w:val="auto"/>
          <w:sz w:val="28"/>
          <w:szCs w:val="28"/>
          <w:highlight w:val="none"/>
        </w:rPr>
        <w:fldChar w:fldCharType="end"/>
      </w:r>
    </w:p>
    <w:p w14:paraId="678BC5BF">
      <w:pPr>
        <w:spacing w:line="360" w:lineRule="auto"/>
        <w:ind w:firstLine="549" w:firstLineChars="229"/>
        <w:rPr>
          <w:rFonts w:ascii="宋体" w:hAnsi="宋体" w:cs="宋体"/>
          <w:color w:val="auto"/>
          <w:sz w:val="24"/>
          <w:highlight w:val="none"/>
        </w:rPr>
      </w:pPr>
      <w:bookmarkStart w:id="395" w:name="_GoBack"/>
      <w:bookmarkEnd w:id="395"/>
    </w:p>
    <w:p w14:paraId="73B45660">
      <w:pPr>
        <w:spacing w:line="360" w:lineRule="auto"/>
        <w:ind w:firstLine="549" w:firstLineChars="229"/>
        <w:rPr>
          <w:rFonts w:ascii="宋体" w:hAnsi="宋体" w:cs="宋体"/>
          <w:color w:val="auto"/>
          <w:sz w:val="24"/>
          <w:highlight w:val="none"/>
        </w:rPr>
      </w:pPr>
    </w:p>
    <w:p w14:paraId="6FA033BE">
      <w:pPr>
        <w:spacing w:line="360" w:lineRule="auto"/>
        <w:ind w:firstLine="549" w:firstLineChars="229"/>
        <w:rPr>
          <w:rFonts w:ascii="宋体" w:hAnsi="宋体" w:cs="宋体"/>
          <w:color w:val="auto"/>
          <w:sz w:val="24"/>
          <w:highlight w:val="none"/>
        </w:rPr>
      </w:pPr>
    </w:p>
    <w:p w14:paraId="6406B653">
      <w:pPr>
        <w:spacing w:line="360" w:lineRule="auto"/>
        <w:ind w:firstLine="549" w:firstLineChars="229"/>
        <w:rPr>
          <w:rFonts w:ascii="宋体" w:hAnsi="宋体" w:cs="宋体"/>
          <w:color w:val="auto"/>
          <w:sz w:val="24"/>
          <w:highlight w:val="none"/>
        </w:rPr>
      </w:pPr>
    </w:p>
    <w:p w14:paraId="4710396A">
      <w:pPr>
        <w:spacing w:line="360" w:lineRule="auto"/>
        <w:ind w:firstLine="549" w:firstLineChars="229"/>
        <w:rPr>
          <w:rFonts w:ascii="宋体" w:hAnsi="宋体" w:cs="宋体"/>
          <w:color w:val="auto"/>
          <w:sz w:val="24"/>
          <w:highlight w:val="none"/>
        </w:rPr>
      </w:pPr>
    </w:p>
    <w:p w14:paraId="103DC3EA">
      <w:pPr>
        <w:spacing w:line="360" w:lineRule="auto"/>
        <w:ind w:firstLine="549" w:firstLineChars="229"/>
        <w:rPr>
          <w:rFonts w:ascii="宋体" w:hAnsi="宋体" w:cs="宋体"/>
          <w:color w:val="auto"/>
          <w:sz w:val="24"/>
          <w:highlight w:val="none"/>
        </w:rPr>
      </w:pPr>
    </w:p>
    <w:p w14:paraId="36E54FAB">
      <w:pPr>
        <w:spacing w:line="360" w:lineRule="auto"/>
        <w:ind w:firstLine="549" w:firstLineChars="229"/>
        <w:rPr>
          <w:rFonts w:ascii="宋体" w:hAnsi="宋体" w:cs="宋体"/>
          <w:color w:val="auto"/>
          <w:sz w:val="24"/>
          <w:highlight w:val="none"/>
        </w:rPr>
      </w:pPr>
    </w:p>
    <w:p w14:paraId="4D409458">
      <w:pPr>
        <w:spacing w:line="360" w:lineRule="auto"/>
        <w:ind w:firstLine="549" w:firstLineChars="229"/>
        <w:rPr>
          <w:rFonts w:ascii="宋体" w:hAnsi="宋体" w:cs="宋体"/>
          <w:color w:val="auto"/>
          <w:sz w:val="24"/>
          <w:highlight w:val="none"/>
        </w:rPr>
      </w:pPr>
    </w:p>
    <w:p w14:paraId="5479F887">
      <w:pPr>
        <w:spacing w:line="360" w:lineRule="auto"/>
        <w:ind w:firstLine="549" w:firstLineChars="229"/>
        <w:rPr>
          <w:rFonts w:ascii="宋体" w:hAnsi="宋体" w:cs="宋体"/>
          <w:color w:val="auto"/>
          <w:sz w:val="24"/>
          <w:highlight w:val="none"/>
        </w:rPr>
      </w:pPr>
    </w:p>
    <w:p w14:paraId="61B15FC4">
      <w:pPr>
        <w:spacing w:line="360" w:lineRule="auto"/>
        <w:ind w:firstLine="549" w:firstLineChars="229"/>
        <w:rPr>
          <w:rFonts w:ascii="宋体" w:hAnsi="宋体" w:cs="宋体"/>
          <w:color w:val="auto"/>
          <w:sz w:val="24"/>
          <w:highlight w:val="none"/>
        </w:rPr>
      </w:pPr>
    </w:p>
    <w:p w14:paraId="31EB3FD7">
      <w:pPr>
        <w:spacing w:line="360" w:lineRule="auto"/>
        <w:ind w:firstLine="549" w:firstLineChars="229"/>
        <w:rPr>
          <w:rFonts w:ascii="宋体" w:hAnsi="宋体" w:cs="宋体"/>
          <w:color w:val="auto"/>
          <w:sz w:val="24"/>
          <w:highlight w:val="none"/>
        </w:rPr>
      </w:pPr>
    </w:p>
    <w:p w14:paraId="5463E92D">
      <w:pPr>
        <w:spacing w:line="360" w:lineRule="auto"/>
        <w:ind w:firstLine="549" w:firstLineChars="229"/>
        <w:rPr>
          <w:rFonts w:ascii="宋体" w:hAnsi="宋体" w:cs="宋体"/>
          <w:color w:val="auto"/>
          <w:sz w:val="24"/>
          <w:highlight w:val="none"/>
        </w:rPr>
      </w:pPr>
    </w:p>
    <w:bookmarkEnd w:id="1"/>
    <w:p w14:paraId="12B4069A">
      <w:pPr>
        <w:adjustRightInd/>
        <w:spacing w:line="360" w:lineRule="auto"/>
        <w:jc w:val="center"/>
        <w:outlineLvl w:val="0"/>
        <w:rPr>
          <w:rFonts w:hint="eastAsia" w:ascii="宋体" w:hAnsi="宋体" w:cs="宋体"/>
          <w:b/>
          <w:color w:val="auto"/>
          <w:sz w:val="36"/>
          <w:szCs w:val="20"/>
          <w:highlight w:val="none"/>
        </w:rPr>
        <w:sectPr>
          <w:footerReference r:id="rId5" w:type="first"/>
          <w:headerReference r:id="rId3" w:type="default"/>
          <w:footerReference r:id="rId4" w:type="default"/>
          <w:pgSz w:w="11906" w:h="16838"/>
          <w:pgMar w:top="1134" w:right="1247" w:bottom="1134" w:left="1247" w:header="851" w:footer="992" w:gutter="0"/>
          <w:pgNumType w:start="1"/>
          <w:cols w:space="0" w:num="1"/>
          <w:rtlGutter w:val="0"/>
          <w:docGrid w:linePitch="312" w:charSpace="0"/>
        </w:sectPr>
      </w:pPr>
      <w:bookmarkStart w:id="2" w:name="_Hlt74728647"/>
      <w:bookmarkEnd w:id="2"/>
      <w:bookmarkStart w:id="3" w:name="_Hlt74729822"/>
      <w:bookmarkEnd w:id="3"/>
      <w:bookmarkStart w:id="4" w:name="_Hlt74649545"/>
      <w:bookmarkEnd w:id="4"/>
      <w:bookmarkStart w:id="5" w:name="_Hlt74707423"/>
      <w:bookmarkEnd w:id="5"/>
      <w:bookmarkStart w:id="6" w:name="第二部分"/>
      <w:bookmarkStart w:id="7" w:name="_Toc91899870"/>
      <w:bookmarkStart w:id="8" w:name="_Toc91899871"/>
    </w:p>
    <w:p w14:paraId="10EDABA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4A9D32B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7880AC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庄桥街道除四害消杀服务外包项目</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8"/>
          <w:rFonts w:hint="eastAsia" w:ascii="宋体" w:hAnsi="宋体" w:eastAsia="宋体" w:cs="宋体"/>
          <w:snapToGrid/>
          <w:color w:val="auto"/>
          <w:kern w:val="2"/>
          <w:sz w:val="21"/>
          <w:szCs w:val="21"/>
          <w:highlight w:val="none"/>
        </w:rPr>
        <w:t>https://www.zcygov.cn/）获取（下载）招标文件，并于202</w:t>
      </w:r>
      <w:r>
        <w:rPr>
          <w:rStyle w:val="78"/>
          <w:rFonts w:hint="eastAsia" w:ascii="宋体" w:hAnsi="宋体" w:eastAsia="宋体" w:cs="宋体"/>
          <w:snapToGrid/>
          <w:color w:val="auto"/>
          <w:kern w:val="2"/>
          <w:sz w:val="21"/>
          <w:szCs w:val="21"/>
          <w:highlight w:val="none"/>
          <w:lang w:val="en-US" w:eastAsia="zh-CN"/>
        </w:rPr>
        <w:t>5</w:t>
      </w:r>
      <w:r>
        <w:rPr>
          <w:rStyle w:val="78"/>
          <w:rFonts w:hint="eastAsia" w:ascii="宋体" w:hAnsi="宋体" w:eastAsia="宋体" w:cs="宋体"/>
          <w:snapToGrid/>
          <w:color w:val="auto"/>
          <w:kern w:val="2"/>
          <w:sz w:val="21"/>
          <w:szCs w:val="21"/>
          <w:highlight w:val="none"/>
        </w:rPr>
        <w:t>年</w:t>
      </w:r>
      <w:r>
        <w:rPr>
          <w:rStyle w:val="78"/>
          <w:rFonts w:hint="eastAsia" w:ascii="宋体" w:hAnsi="宋体" w:cs="宋体"/>
          <w:snapToGrid/>
          <w:color w:val="auto"/>
          <w:kern w:val="2"/>
          <w:sz w:val="21"/>
          <w:szCs w:val="21"/>
          <w:highlight w:val="none"/>
          <w:lang w:val="en-US" w:eastAsia="zh-CN"/>
        </w:rPr>
        <w:t>9</w:t>
      </w:r>
      <w:r>
        <w:rPr>
          <w:rStyle w:val="78"/>
          <w:rFonts w:hint="eastAsia" w:ascii="宋体" w:hAnsi="宋体" w:eastAsia="宋体" w:cs="宋体"/>
          <w:snapToGrid/>
          <w:color w:val="auto"/>
          <w:kern w:val="2"/>
          <w:sz w:val="21"/>
          <w:szCs w:val="21"/>
          <w:highlight w:val="none"/>
        </w:rPr>
        <w:t>月</w:t>
      </w:r>
      <w:r>
        <w:rPr>
          <w:rStyle w:val="78"/>
          <w:rFonts w:hint="eastAsia" w:ascii="宋体" w:hAnsi="宋体" w:cs="宋体"/>
          <w:snapToGrid/>
          <w:color w:val="auto"/>
          <w:kern w:val="2"/>
          <w:sz w:val="21"/>
          <w:szCs w:val="21"/>
          <w:highlight w:val="none"/>
          <w:lang w:val="en-US" w:eastAsia="zh-CN"/>
        </w:rPr>
        <w:t>16</w:t>
      </w:r>
      <w:r>
        <w:rPr>
          <w:rStyle w:val="78"/>
          <w:rFonts w:hint="eastAsia" w:ascii="宋体" w:hAnsi="宋体" w:eastAsia="宋体" w:cs="宋体"/>
          <w:snapToGrid/>
          <w:color w:val="auto"/>
          <w:kern w:val="2"/>
          <w:sz w:val="21"/>
          <w:szCs w:val="21"/>
          <w:highlight w:val="none"/>
        </w:rPr>
        <w:t>日</w:t>
      </w:r>
      <w:r>
        <w:rPr>
          <w:rStyle w:val="78"/>
          <w:rFonts w:hint="eastAsia" w:ascii="宋体" w:hAnsi="宋体" w:cs="宋体"/>
          <w:snapToGrid/>
          <w:color w:val="auto"/>
          <w:kern w:val="2"/>
          <w:sz w:val="21"/>
          <w:szCs w:val="21"/>
          <w:highlight w:val="none"/>
          <w:lang w:val="en-US" w:eastAsia="zh-CN"/>
        </w:rPr>
        <w:t>9</w:t>
      </w:r>
      <w:r>
        <w:rPr>
          <w:rStyle w:val="78"/>
          <w:rFonts w:hint="eastAsia" w:ascii="宋体" w:hAnsi="宋体" w:cs="宋体"/>
          <w:snapToGrid/>
          <w:color w:val="auto"/>
          <w:kern w:val="2"/>
          <w:sz w:val="21"/>
          <w:szCs w:val="21"/>
          <w:highlight w:val="none"/>
          <w:lang w:eastAsia="zh-CN"/>
        </w:rPr>
        <w:t>：</w:t>
      </w:r>
      <w:r>
        <w:rPr>
          <w:rStyle w:val="78"/>
          <w:rFonts w:hint="eastAsia" w:ascii="宋体" w:hAnsi="宋体" w:eastAsia="宋体" w:cs="宋体"/>
          <w:bCs/>
          <w:snapToGrid/>
          <w:color w:val="auto"/>
          <w:kern w:val="2"/>
          <w:sz w:val="21"/>
          <w:szCs w:val="21"/>
          <w:highlight w:val="none"/>
        </w:rPr>
        <w:fldChar w:fldCharType="end"/>
      </w:r>
      <w:r>
        <w:rPr>
          <w:rStyle w:val="78"/>
          <w:rFonts w:hint="eastAsia" w:ascii="宋体" w:hAnsi="宋体" w:cs="宋体"/>
          <w:bCs/>
          <w:snapToGrid/>
          <w:color w:val="auto"/>
          <w:kern w:val="2"/>
          <w:sz w:val="21"/>
          <w:szCs w:val="21"/>
          <w:highlight w:val="none"/>
          <w:lang w:val="en-US" w:eastAsia="zh-CN"/>
        </w:rPr>
        <w:t>00</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766D4A9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6EBCAFA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YYCG-2025-1094</w:t>
      </w:r>
    </w:p>
    <w:p w14:paraId="7BCF4326">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庄桥街道除四害消杀服务外包项目</w:t>
      </w:r>
    </w:p>
    <w:p w14:paraId="61A40AA3">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元/年）</w:t>
      </w:r>
      <w:r>
        <w:rPr>
          <w:rFonts w:hint="eastAsia" w:ascii="宋体" w:hAnsi="宋体" w:eastAsia="宋体" w:cs="宋体"/>
          <w:b/>
          <w:color w:val="auto"/>
          <w:sz w:val="21"/>
          <w:szCs w:val="21"/>
          <w:highlight w:val="none"/>
        </w:rPr>
        <w:t>：</w:t>
      </w:r>
      <w:r>
        <w:rPr>
          <w:rFonts w:hint="eastAsia" w:ascii="宋体" w:hAnsi="宋体" w:cs="宋体"/>
          <w:color w:val="auto"/>
          <w:sz w:val="21"/>
          <w:szCs w:val="21"/>
          <w:highlight w:val="none"/>
          <w:lang w:val="en-US" w:eastAsia="zh-CN"/>
        </w:rPr>
        <w:t>400000</w:t>
      </w:r>
    </w:p>
    <w:p w14:paraId="6FE53C80">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最高限价</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元/年）</w:t>
      </w:r>
      <w:r>
        <w:rPr>
          <w:rFonts w:hint="eastAsia" w:ascii="宋体" w:hAnsi="宋体" w:eastAsia="宋体" w:cs="宋体"/>
          <w:b/>
          <w:color w:val="auto"/>
          <w:sz w:val="21"/>
          <w:szCs w:val="21"/>
          <w:highlight w:val="none"/>
        </w:rPr>
        <w:t>：</w:t>
      </w:r>
      <w:r>
        <w:rPr>
          <w:rFonts w:hint="eastAsia" w:ascii="宋体" w:hAnsi="宋体" w:cs="宋体"/>
          <w:color w:val="auto"/>
          <w:sz w:val="21"/>
          <w:szCs w:val="21"/>
          <w:highlight w:val="none"/>
          <w:lang w:val="en-US" w:eastAsia="zh-CN"/>
        </w:rPr>
        <w:t>400000</w:t>
      </w:r>
    </w:p>
    <w:p w14:paraId="2F899A45">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采购需求：</w:t>
      </w:r>
    </w:p>
    <w:p w14:paraId="5C65FC3F">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cs="宋体"/>
          <w:color w:val="auto"/>
          <w:sz w:val="21"/>
          <w:szCs w:val="21"/>
          <w:highlight w:val="none"/>
          <w:lang w:eastAsia="zh-CN"/>
        </w:rPr>
        <w:t>庄桥街道除四害消杀服务外包项目</w:t>
      </w:r>
    </w:p>
    <w:p w14:paraId="63F2A629">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数量：1项</w:t>
      </w:r>
    </w:p>
    <w:p w14:paraId="7E8D8B9B">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元/年）</w:t>
      </w:r>
      <w:r>
        <w:rPr>
          <w:rFonts w:hint="eastAsia" w:ascii="宋体" w:hAnsi="宋体" w:eastAsia="宋体" w:cs="宋体"/>
          <w:color w:val="auto"/>
          <w:sz w:val="21"/>
          <w:szCs w:val="21"/>
          <w:highlight w:val="none"/>
        </w:rPr>
        <w:t>：</w:t>
      </w:r>
      <w:r>
        <w:rPr>
          <w:rFonts w:hint="eastAsia" w:ascii="宋体" w:hAnsi="宋体" w:cs="宋体"/>
          <w:bCs/>
          <w:color w:val="auto"/>
          <w:sz w:val="21"/>
          <w:szCs w:val="21"/>
          <w:highlight w:val="none"/>
          <w:lang w:val="en-US" w:eastAsia="zh-CN"/>
        </w:rPr>
        <w:t>400000</w:t>
      </w:r>
    </w:p>
    <w:p w14:paraId="19B1FBF7">
      <w:pPr>
        <w:pStyle w:val="7"/>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cs="宋体"/>
          <w:color w:val="auto"/>
          <w:sz w:val="21"/>
          <w:szCs w:val="21"/>
          <w:highlight w:val="none"/>
          <w:lang w:eastAsia="zh-CN"/>
        </w:rPr>
        <w:t>庄桥街道除四害消杀服务外包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具体以招标文件第三部分采购需求为准，供应商可点击本公告下方“浏览采购文件”查看采购需求</w:t>
      </w:r>
      <w:r>
        <w:rPr>
          <w:rFonts w:hint="eastAsia" w:ascii="宋体" w:hAnsi="宋体" w:eastAsia="宋体" w:cs="宋体"/>
          <w:color w:val="auto"/>
          <w:sz w:val="21"/>
          <w:szCs w:val="21"/>
          <w:highlight w:val="none"/>
        </w:rPr>
        <w:t>。</w:t>
      </w:r>
    </w:p>
    <w:p w14:paraId="2863AF5F">
      <w:pPr>
        <w:pStyle w:val="7"/>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snapToGrid/>
          <w:color w:val="auto"/>
          <w:kern w:val="2"/>
          <w:sz w:val="21"/>
          <w:szCs w:val="21"/>
          <w:highlight w:val="none"/>
        </w:rPr>
        <w:t>备注：</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35983325">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snapToGrid w:val="0"/>
          <w:color w:val="auto"/>
          <w:kern w:val="28"/>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eastAsia="zh-CN"/>
        </w:rPr>
        <w:t>总服务期限为自合同签订之日起</w:t>
      </w:r>
      <w:r>
        <w:rPr>
          <w:rFonts w:hint="eastAsia" w:ascii="宋体" w:hAnsi="宋体" w:cs="宋体"/>
          <w:snapToGrid w:val="0"/>
          <w:color w:val="auto"/>
          <w:kern w:val="28"/>
          <w:sz w:val="21"/>
          <w:szCs w:val="21"/>
          <w:highlight w:val="none"/>
          <w:lang w:val="en-US" w:eastAsia="zh-CN"/>
        </w:rPr>
        <w:t>两</w:t>
      </w:r>
      <w:r>
        <w:rPr>
          <w:rFonts w:hint="eastAsia" w:ascii="宋体" w:hAnsi="宋体" w:eastAsia="宋体" w:cs="宋体"/>
          <w:snapToGrid w:val="0"/>
          <w:color w:val="auto"/>
          <w:kern w:val="28"/>
          <w:sz w:val="21"/>
          <w:szCs w:val="21"/>
          <w:highlight w:val="none"/>
          <w:lang w:eastAsia="zh-CN"/>
        </w:rPr>
        <w:t>年。（合同一年一签。第一年自合同签订之日起计算。第二年采购单位根据中标人在上一年度的合同履约、考核情况决定是否续签）。</w:t>
      </w:r>
    </w:p>
    <w:p w14:paraId="24E7909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本项目（否）接受联合体投标。</w:t>
      </w:r>
    </w:p>
    <w:p w14:paraId="1CB6B473">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324877D2">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1D57FF7">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val="en-US"/>
        </w:rPr>
        <w:t>项目属于其他未列明行业，本项目为专门面向中小企业采购：服务全部由符合政策要求的中型、小型或微型企业承接，提供中小企业声明函。（残疾人福利性企业、监狱企业视同小微企业）。</w:t>
      </w:r>
    </w:p>
    <w:p w14:paraId="733DC05B">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val="en-US" w:eastAsia="zh-CN"/>
        </w:rPr>
        <w:t>无。</w:t>
      </w:r>
    </w:p>
    <w:p w14:paraId="4703A6C2">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12EB44">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773EA54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5394DFE7">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2EEFA7B0">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供应商登录政采云平台https://www.zcygov.cn/在线申请获取采购文件（进入“项目采购”应用，在获取采购文件菜单中选择项目，申请获取采购文件）。</w:t>
      </w:r>
    </w:p>
    <w:p w14:paraId="62E6DC42">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6B6E9DE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61F77490">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（北京时间）</w:t>
      </w:r>
    </w:p>
    <w:p w14:paraId="7FDE2020">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3E304AFB">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（北京时间）</w:t>
      </w:r>
    </w:p>
    <w:p w14:paraId="3FECE8C0">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400AD0FB">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26A6DA9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8DB658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031EC77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A7FFAA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11F978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3E445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8B72F36">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5159483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19B67F84">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名    称：宁波市江北区人民政府庄桥街道办事处 </w:t>
      </w:r>
    </w:p>
    <w:p w14:paraId="195F5A42">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址：宁波市江北区北环西路500号   </w:t>
      </w:r>
    </w:p>
    <w:p w14:paraId="1E2475F8">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w:t>
      </w:r>
    </w:p>
    <w:p w14:paraId="01241398">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项目联系人（询问）：陈老师</w:t>
      </w:r>
    </w:p>
    <w:p w14:paraId="560469AF">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项目联系方式（询问）：0574-83021173</w:t>
      </w:r>
    </w:p>
    <w:p w14:paraId="51FD8D6A">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质疑联系人：贺老师 </w:t>
      </w:r>
    </w:p>
    <w:p w14:paraId="5EBAA5EB">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质疑联系方式：0574-83021170</w:t>
      </w:r>
    </w:p>
    <w:p w14:paraId="7481726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2733EE93">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称：宇阳工程咨询（宁波）有限公司</w:t>
      </w:r>
    </w:p>
    <w:p w14:paraId="6EB523B0">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址：浙江省宁波市江北区金隅大成时代5号楼9楼</w:t>
      </w:r>
    </w:p>
    <w:p w14:paraId="5CBF13E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传    真：</w:t>
      </w:r>
      <w:r>
        <w:rPr>
          <w:rFonts w:hint="eastAsia" w:ascii="宋体" w:hAnsi="宋体" w:eastAsia="宋体" w:cs="宋体"/>
          <w:color w:val="auto"/>
          <w:sz w:val="21"/>
          <w:szCs w:val="21"/>
          <w:highlight w:val="none"/>
          <w:lang w:val="en-US" w:eastAsia="zh-CN"/>
        </w:rPr>
        <w:t>/</w:t>
      </w:r>
    </w:p>
    <w:p w14:paraId="0E1EB26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项目联系人（询问）：刘翠央、</w:t>
      </w:r>
      <w:r>
        <w:rPr>
          <w:rFonts w:hint="eastAsia" w:ascii="宋体" w:hAnsi="宋体" w:cs="宋体"/>
          <w:color w:val="auto"/>
          <w:sz w:val="21"/>
          <w:szCs w:val="21"/>
          <w:highlight w:val="none"/>
          <w:lang w:eastAsia="zh-CN"/>
        </w:rPr>
        <w:t>王艺霖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杨静雯、</w:t>
      </w:r>
      <w:r>
        <w:rPr>
          <w:rFonts w:hint="eastAsia" w:ascii="宋体" w:hAnsi="宋体" w:cs="宋体"/>
          <w:color w:val="auto"/>
          <w:sz w:val="21"/>
          <w:szCs w:val="21"/>
          <w:highlight w:val="none"/>
          <w:lang w:val="en-US" w:eastAsia="zh-CN"/>
        </w:rPr>
        <w:t>官钰敏、</w:t>
      </w:r>
      <w:r>
        <w:rPr>
          <w:rFonts w:hint="eastAsia" w:ascii="宋体" w:hAnsi="宋体" w:eastAsia="宋体" w:cs="宋体"/>
          <w:color w:val="auto"/>
          <w:sz w:val="21"/>
          <w:szCs w:val="21"/>
          <w:highlight w:val="none"/>
          <w:lang w:val="en-US" w:eastAsia="zh-CN"/>
        </w:rPr>
        <w:t>李娜</w:t>
      </w:r>
    </w:p>
    <w:p w14:paraId="12BA4F1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项目联系方式（询问）：0574-87313002</w:t>
      </w:r>
    </w:p>
    <w:p w14:paraId="0E590EC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质疑联系人：</w:t>
      </w:r>
      <w:r>
        <w:rPr>
          <w:rFonts w:hint="eastAsia" w:ascii="宋体" w:hAnsi="宋体" w:eastAsia="宋体" w:cs="宋体"/>
          <w:color w:val="auto"/>
          <w:sz w:val="21"/>
          <w:szCs w:val="21"/>
          <w:highlight w:val="none"/>
          <w:lang w:val="en-US" w:eastAsia="zh-CN"/>
        </w:rPr>
        <w:t>张秋云</w:t>
      </w:r>
    </w:p>
    <w:p w14:paraId="41C8B3F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质疑联系方式：0574-87313002</w:t>
      </w:r>
    </w:p>
    <w:p w14:paraId="06DF9B3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3.同级政府采购监督管理部门            </w:t>
      </w:r>
    </w:p>
    <w:p w14:paraId="446A69B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名    称：宁波市江北区政府采购管理办公室</w:t>
      </w:r>
    </w:p>
    <w:p w14:paraId="64E09091">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址：宁波市江北区大庆南路181号</w:t>
      </w:r>
    </w:p>
    <w:p w14:paraId="4EE6DC24">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w:t>
      </w:r>
    </w:p>
    <w:p w14:paraId="6333334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联系人 ：张老师</w:t>
      </w:r>
    </w:p>
    <w:p w14:paraId="229CCE37">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监督投诉电话：0574-87388062 </w:t>
      </w:r>
    </w:p>
    <w:p w14:paraId="7A71B541">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6643C43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CA问题联系电话（人工）：汇信CA 400-888-4636；天谷CA 400-087-8198。</w:t>
      </w:r>
    </w:p>
    <w:p w14:paraId="10AEEB2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sectPr>
          <w:footerReference r:id="rId6" w:type="default"/>
          <w:pgSz w:w="11906" w:h="16838"/>
          <w:pgMar w:top="1247" w:right="1134" w:bottom="1247" w:left="1134" w:header="851" w:footer="992" w:gutter="0"/>
          <w:pgNumType w:fmt="decimal" w:start="1"/>
          <w:cols w:space="0" w:num="1"/>
          <w:rtlGutter w:val="0"/>
          <w:docGrid w:linePitch="312" w:charSpace="0"/>
        </w:sectPr>
      </w:pPr>
    </w:p>
    <w:p w14:paraId="48AA47E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14:paraId="0D4FDA4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6"/>
        <w:gridCol w:w="2022"/>
        <w:gridCol w:w="6691"/>
      </w:tblGrid>
      <w:tr w14:paraId="1C3D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 w:hRule="atLeast"/>
          <w:tblHeader/>
        </w:trPr>
        <w:tc>
          <w:tcPr>
            <w:tcW w:w="686" w:type="dxa"/>
            <w:vAlign w:val="center"/>
          </w:tcPr>
          <w:p w14:paraId="4F8756FD">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2" w:type="dxa"/>
            <w:vAlign w:val="center"/>
          </w:tcPr>
          <w:p w14:paraId="2D20F727">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91" w:type="dxa"/>
            <w:vAlign w:val="center"/>
          </w:tcPr>
          <w:p w14:paraId="32DD1029">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7187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7" w:hRule="atLeast"/>
          <w:tblHeader/>
        </w:trPr>
        <w:tc>
          <w:tcPr>
            <w:tcW w:w="686" w:type="dxa"/>
            <w:vAlign w:val="center"/>
          </w:tcPr>
          <w:p w14:paraId="79B03AD8">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22" w:type="dxa"/>
            <w:vAlign w:val="center"/>
          </w:tcPr>
          <w:p w14:paraId="2F11AA6E">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6691" w:type="dxa"/>
            <w:vAlign w:val="center"/>
          </w:tcPr>
          <w:p w14:paraId="41221B34">
            <w:pPr>
              <w:keepNext w:val="0"/>
              <w:keepLines w:val="0"/>
              <w:pageBreakBefore w:val="0"/>
              <w:widowControl w:val="0"/>
              <w:kinsoku/>
              <w:wordWrap/>
              <w:overflowPunct/>
              <w:topLinePunct w:val="0"/>
              <w:autoSpaceDE/>
              <w:autoSpaceDN/>
              <w:bidi w:val="0"/>
              <w:adjustRightInd w:val="0"/>
              <w:spacing w:before="0"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服务类。</w:t>
            </w:r>
          </w:p>
        </w:tc>
      </w:tr>
      <w:tr w14:paraId="5598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4" w:hRule="atLeast"/>
          <w:tblHeader/>
        </w:trPr>
        <w:tc>
          <w:tcPr>
            <w:tcW w:w="686" w:type="dxa"/>
            <w:vAlign w:val="center"/>
          </w:tcPr>
          <w:p w14:paraId="7BC1DD97">
            <w:pPr>
              <w:snapToGrid w:val="0"/>
              <w:spacing w:line="360" w:lineRule="auto"/>
              <w:jc w:val="center"/>
              <w:rPr>
                <w:rFonts w:hint="eastAsia" w:ascii="宋体" w:hAnsi="宋体" w:eastAsia="宋体" w:cs="宋体"/>
                <w:color w:val="auto"/>
                <w:sz w:val="21"/>
                <w:szCs w:val="21"/>
                <w:highlight w:val="none"/>
              </w:rPr>
            </w:pPr>
          </w:p>
          <w:p w14:paraId="5330923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22" w:type="dxa"/>
            <w:vAlign w:val="center"/>
          </w:tcPr>
          <w:p w14:paraId="479B206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6691" w:type="dxa"/>
            <w:vAlign w:val="center"/>
          </w:tcPr>
          <w:p w14:paraId="2603E1F6">
            <w:pPr>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本项目为专门面向中小企业。</w:t>
            </w:r>
          </w:p>
          <w:p w14:paraId="6EE78D7B">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）标的：</w:t>
            </w:r>
            <w:r>
              <w:rPr>
                <w:rFonts w:hint="eastAsia" w:ascii="宋体" w:hAnsi="宋体" w:cs="宋体"/>
                <w:color w:val="auto"/>
                <w:sz w:val="21"/>
                <w:szCs w:val="21"/>
                <w:highlight w:val="none"/>
                <w:u w:val="single"/>
                <w:lang w:eastAsia="zh-CN"/>
              </w:rPr>
              <w:t>庄桥街道除四害消杀服务外包项目</w:t>
            </w:r>
            <w:r>
              <w:rPr>
                <w:rFonts w:hint="eastAsia" w:ascii="宋体" w:hAnsi="宋体" w:eastAsia="宋体" w:cs="宋体"/>
                <w:color w:val="auto"/>
                <w:kern w:val="0"/>
                <w:sz w:val="21"/>
                <w:szCs w:val="21"/>
                <w:highlight w:val="none"/>
              </w:rPr>
              <w:t>，属于</w:t>
            </w:r>
            <w:r>
              <w:rPr>
                <w:rFonts w:hint="eastAsia"/>
                <w:b/>
                <w:bCs/>
                <w:color w:val="auto"/>
                <w:kern w:val="2"/>
                <w:sz w:val="21"/>
                <w:szCs w:val="21"/>
                <w:highlight w:val="none"/>
                <w:u w:val="single"/>
                <w:lang w:val="en-US" w:bidi="ar"/>
              </w:rPr>
              <w:t>其他未列明行业</w:t>
            </w:r>
            <w:r>
              <w:rPr>
                <w:rFonts w:hint="eastAsia" w:ascii="宋体" w:hAnsi="宋体" w:eastAsia="宋体" w:cs="宋体"/>
                <w:color w:val="auto"/>
                <w:kern w:val="0"/>
                <w:sz w:val="21"/>
                <w:szCs w:val="21"/>
                <w:highlight w:val="none"/>
              </w:rPr>
              <w:t>；</w:t>
            </w:r>
          </w:p>
          <w:p w14:paraId="6C999B13">
            <w:pPr>
              <w:tabs>
                <w:tab w:val="left" w:pos="432"/>
              </w:tabs>
              <w:adjustRightInd/>
              <w:spacing w:line="360" w:lineRule="auto"/>
              <w:rPr>
                <w:rFonts w:hint="eastAsia" w:ascii="宋体" w:hAnsi="宋体" w:eastAsia="宋体" w:cs="宋体"/>
                <w:color w:val="auto"/>
                <w:kern w:val="0"/>
                <w:sz w:val="21"/>
                <w:szCs w:val="21"/>
                <w:highlight w:val="none"/>
              </w:rPr>
            </w:pPr>
            <w:bookmarkStart w:id="9" w:name="_Toc15395"/>
            <w:r>
              <w:rPr>
                <w:rFonts w:hint="eastAsia" w:ascii="宋体" w:hAnsi="宋体" w:eastAsia="宋体" w:cs="宋体"/>
                <w:b/>
                <w:bCs/>
                <w:color w:val="auto"/>
                <w:kern w:val="28"/>
                <w:sz w:val="21"/>
                <w:szCs w:val="21"/>
                <w:highlight w:val="none"/>
              </w:rPr>
              <w:t>备注：《关于印发中小企业划型标准规定的通知》（工信</w:t>
            </w:r>
            <w:bookmarkEnd w:id="9"/>
            <w:bookmarkStart w:id="10" w:name="_Toc11782"/>
            <w:r>
              <w:rPr>
                <w:rFonts w:hint="eastAsia" w:ascii="宋体" w:hAnsi="宋体" w:eastAsia="宋体" w:cs="宋体"/>
                <w:b/>
                <w:bCs/>
                <w:color w:val="auto"/>
                <w:kern w:val="28"/>
                <w:sz w:val="21"/>
                <w:szCs w:val="21"/>
                <w:highlight w:val="none"/>
              </w:rPr>
              <w:t>部联企业〔2011〕300）：</w:t>
            </w:r>
            <w:bookmarkEnd w:id="10"/>
          </w:p>
          <w:p w14:paraId="615C930A">
            <w:pPr>
              <w:snapToGrid w:val="0"/>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snapToGrid w:val="0"/>
                <w:color w:val="auto"/>
                <w:kern w:val="28"/>
                <w:sz w:val="21"/>
                <w:szCs w:val="21"/>
                <w:highlight w:val="none"/>
              </w:rPr>
              <w:t>从业人员300人以下的为中小微型企业。其中，从业人员100人及以上的为中型企业；从业人员10人及以上的为小型企业；从业人员10人以下的为微型企业。</w:t>
            </w:r>
          </w:p>
        </w:tc>
      </w:tr>
      <w:tr w14:paraId="3A25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86" w:type="dxa"/>
            <w:vAlign w:val="center"/>
          </w:tcPr>
          <w:p w14:paraId="7268CF8E">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022" w:type="dxa"/>
            <w:vAlign w:val="center"/>
          </w:tcPr>
          <w:p w14:paraId="7A789665">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91" w:type="dxa"/>
            <w:vAlign w:val="center"/>
          </w:tcPr>
          <w:p w14:paraId="6943621E">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4654123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245D003F">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6816556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12DB90E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1D01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4" w:hRule="atLeast"/>
          <w:tblHeader/>
        </w:trPr>
        <w:tc>
          <w:tcPr>
            <w:tcW w:w="686" w:type="dxa"/>
            <w:vAlign w:val="center"/>
          </w:tcPr>
          <w:p w14:paraId="3376FFE8">
            <w:pPr>
              <w:snapToGrid w:val="0"/>
              <w:spacing w:line="360" w:lineRule="auto"/>
              <w:jc w:val="center"/>
              <w:rPr>
                <w:rFonts w:hint="eastAsia" w:ascii="宋体" w:hAnsi="宋体" w:eastAsia="宋体" w:cs="宋体"/>
                <w:color w:val="auto"/>
                <w:sz w:val="21"/>
                <w:szCs w:val="21"/>
                <w:highlight w:val="none"/>
              </w:rPr>
            </w:pPr>
          </w:p>
          <w:p w14:paraId="083ACAD2">
            <w:pPr>
              <w:snapToGrid w:val="0"/>
              <w:spacing w:line="360" w:lineRule="auto"/>
              <w:jc w:val="center"/>
              <w:rPr>
                <w:rFonts w:hint="eastAsia" w:ascii="宋体" w:hAnsi="宋体" w:eastAsia="宋体" w:cs="宋体"/>
                <w:color w:val="auto"/>
                <w:sz w:val="21"/>
                <w:szCs w:val="21"/>
                <w:highlight w:val="none"/>
              </w:rPr>
            </w:pPr>
          </w:p>
          <w:p w14:paraId="0FA5A7C8">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022" w:type="dxa"/>
            <w:vAlign w:val="center"/>
          </w:tcPr>
          <w:p w14:paraId="072D177D">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691" w:type="dxa"/>
            <w:vAlign w:val="center"/>
          </w:tcPr>
          <w:p w14:paraId="4D1174EE">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654975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3641E510">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A6E268F">
            <w:pPr>
              <w:pStyle w:val="84"/>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☐C不统一组织，供应商在获取采购文件后，自行至项目现场考察。地点： ，联系人： ，联系方式： 。</w:t>
            </w:r>
          </w:p>
        </w:tc>
      </w:tr>
      <w:tr w14:paraId="4F46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86" w:type="dxa"/>
            <w:vMerge w:val="restart"/>
            <w:vAlign w:val="center"/>
          </w:tcPr>
          <w:p w14:paraId="21D721ED">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2022" w:type="dxa"/>
            <w:vMerge w:val="restart"/>
            <w:vAlign w:val="center"/>
          </w:tcPr>
          <w:p w14:paraId="42DC8173">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691" w:type="dxa"/>
            <w:vAlign w:val="center"/>
          </w:tcPr>
          <w:p w14:paraId="5F6D62E6">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2D8825BA">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1B71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3" w:hRule="atLeast"/>
          <w:tblHeader/>
        </w:trPr>
        <w:tc>
          <w:tcPr>
            <w:tcW w:w="686" w:type="dxa"/>
            <w:vMerge w:val="continue"/>
          </w:tcPr>
          <w:p w14:paraId="074F957C">
            <w:pPr>
              <w:snapToGrid w:val="0"/>
              <w:spacing w:line="360" w:lineRule="auto"/>
              <w:jc w:val="center"/>
              <w:rPr>
                <w:rFonts w:hint="eastAsia" w:ascii="宋体" w:hAnsi="宋体" w:eastAsia="宋体" w:cs="宋体"/>
                <w:color w:val="auto"/>
                <w:sz w:val="21"/>
                <w:szCs w:val="21"/>
                <w:highlight w:val="none"/>
              </w:rPr>
            </w:pPr>
          </w:p>
        </w:tc>
        <w:tc>
          <w:tcPr>
            <w:tcW w:w="2022" w:type="dxa"/>
            <w:vMerge w:val="continue"/>
            <w:vAlign w:val="center"/>
          </w:tcPr>
          <w:p w14:paraId="5B742013">
            <w:pPr>
              <w:snapToGrid w:val="0"/>
              <w:spacing w:line="360" w:lineRule="auto"/>
              <w:jc w:val="center"/>
              <w:rPr>
                <w:rFonts w:hint="eastAsia" w:ascii="宋体" w:hAnsi="宋体" w:eastAsia="宋体" w:cs="宋体"/>
                <w:b/>
                <w:color w:val="auto"/>
                <w:sz w:val="21"/>
                <w:szCs w:val="21"/>
                <w:highlight w:val="none"/>
              </w:rPr>
            </w:pPr>
          </w:p>
        </w:tc>
        <w:tc>
          <w:tcPr>
            <w:tcW w:w="6691" w:type="dxa"/>
            <w:vAlign w:val="center"/>
          </w:tcPr>
          <w:p w14:paraId="694F46FA">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7FC5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74" w:hRule="atLeast"/>
          <w:tblHeader/>
        </w:trPr>
        <w:tc>
          <w:tcPr>
            <w:tcW w:w="686" w:type="dxa"/>
            <w:vAlign w:val="center"/>
          </w:tcPr>
          <w:p w14:paraId="1441049E">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2022" w:type="dxa"/>
            <w:vAlign w:val="center"/>
          </w:tcPr>
          <w:p w14:paraId="05E3F2EB">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91" w:type="dxa"/>
            <w:vAlign w:val="center"/>
          </w:tcPr>
          <w:p w14:paraId="50986C01">
            <w:pPr>
              <w:keepNext w:val="0"/>
              <w:keepLines w:val="0"/>
              <w:pageBreakBefore w:val="0"/>
              <w:widowControl w:val="0"/>
              <w:kinsoku/>
              <w:wordWrap/>
              <w:overflowPunct/>
              <w:topLinePunct w:val="0"/>
              <w:autoSpaceDE w:val="0"/>
              <w:autoSpaceDN w:val="0"/>
              <w:bidi w:val="0"/>
              <w:adjustRightInd/>
              <w:snapToGrid w:val="0"/>
              <w:spacing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p>
          <w:p w14:paraId="0FCA64AF">
            <w:pPr>
              <w:adjustRightInd/>
              <w:spacing w:line="360" w:lineRule="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zh-CN" w:eastAsia="zh-CN" w:bidi="ar"/>
              </w:rPr>
              <w:t>投标报价</w:t>
            </w:r>
            <w:r>
              <w:rPr>
                <w:rFonts w:hint="eastAsia" w:ascii="宋体" w:hAnsi="宋体" w:eastAsia="宋体" w:cs="宋体"/>
                <w:color w:val="auto"/>
                <w:sz w:val="21"/>
                <w:szCs w:val="21"/>
                <w:highlight w:val="none"/>
                <w:lang w:val="en-US" w:bidi="ar"/>
              </w:rPr>
              <w:t>包括</w:t>
            </w:r>
            <w:r>
              <w:rPr>
                <w:rFonts w:hint="eastAsia" w:ascii="宋体" w:hAnsi="宋体" w:eastAsia="宋体" w:cs="宋体"/>
                <w:color w:val="auto"/>
                <w:sz w:val="21"/>
                <w:szCs w:val="21"/>
                <w:highlight w:val="none"/>
                <w:lang w:val="en-US" w:eastAsia="zh-CN" w:bidi="ar"/>
              </w:rPr>
              <w:t>但不限于</w:t>
            </w:r>
            <w:r>
              <w:rPr>
                <w:rFonts w:hint="eastAsia" w:ascii="宋体" w:hAnsi="宋体" w:eastAsia="宋体" w:cs="宋体"/>
                <w:color w:val="auto"/>
                <w:sz w:val="21"/>
                <w:szCs w:val="21"/>
                <w:highlight w:val="none"/>
                <w:lang w:val="en-US" w:bidi="ar"/>
              </w:rPr>
              <w:t>人员工资、保险福利费、设备材料、药械及服装费、春秋灭鼠（蚊蝇）药物、夏季灭蟑药物、企业管理费及利润及税金等一切工作所产生的费用及服务过程中可能涉及的所有费用。</w:t>
            </w:r>
          </w:p>
          <w:p w14:paraId="6A0F902D">
            <w:pPr>
              <w:adjustRightInd/>
              <w:spacing w:line="360" w:lineRule="auto"/>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eastAsia="zh-CN" w:bidi="ar"/>
              </w:rPr>
              <w:t>注：</w:t>
            </w:r>
            <w:r>
              <w:rPr>
                <w:rFonts w:hint="eastAsia" w:ascii="宋体" w:hAnsi="宋体" w:eastAsia="宋体" w:cs="宋体"/>
                <w:color w:val="auto"/>
                <w:sz w:val="21"/>
                <w:szCs w:val="21"/>
                <w:highlight w:val="none"/>
                <w:lang w:val="en-US" w:bidi="ar"/>
              </w:rPr>
              <w:t>人员基本工资不得低于宁波市劳动和社会保障局最新发布的宁波市最低劳动工资标准。否则作无效报价处理。如遇政府最低工资标准、社保基数调整等情况，投标人应自行考虑风险，合同总价不作调整，由中标人在原合同总价范围内自行调整人员工资或社保基数等。</w:t>
            </w:r>
          </w:p>
          <w:p w14:paraId="18BBF3E6">
            <w:pPr>
              <w:adjustRightInd/>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）投标人应承担其参加本采购活动自身所发生的费用。</w:t>
            </w:r>
          </w:p>
          <w:p w14:paraId="03BB5AEA">
            <w:pPr>
              <w:adjustRightInd/>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招标文件未列明，而投标人认为必需的费用也需列入报价。</w:t>
            </w:r>
          </w:p>
          <w:p w14:paraId="3D2438A0">
            <w:pPr>
              <w:snapToGri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454F17D1">
            <w:pPr>
              <w:snapToGri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7C2F8F3A">
            <w:pPr>
              <w:snapToGrid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1B34405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1041E82B">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1860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2" w:hRule="atLeast"/>
          <w:tblHeader/>
        </w:trPr>
        <w:tc>
          <w:tcPr>
            <w:tcW w:w="686" w:type="dxa"/>
            <w:vAlign w:val="center"/>
          </w:tcPr>
          <w:p w14:paraId="2C795F2D">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2022" w:type="dxa"/>
            <w:vAlign w:val="center"/>
          </w:tcPr>
          <w:p w14:paraId="623F03BD">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6691" w:type="dxa"/>
            <w:vAlign w:val="center"/>
          </w:tcPr>
          <w:p w14:paraId="0CD469CD">
            <w:pPr>
              <w:adjustRightInd/>
              <w:spacing w:line="360" w:lineRule="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（1）投标人如提供备份投标文件的，可采用邮寄方式或直接方式递交备份投标文件，投标人需将以U盘存储的备份投标文件密封递交，逾期送达或未密封将予以拒收。</w:t>
            </w:r>
          </w:p>
          <w:p w14:paraId="0A425CA1">
            <w:pPr>
              <w:adjustRightInd/>
              <w:spacing w:line="360" w:lineRule="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（2）采用邮寄方式递交备份投标文件，需按以下要求递交：</w:t>
            </w:r>
          </w:p>
          <w:p w14:paraId="07BECC3C">
            <w:pPr>
              <w:adjustRightInd/>
              <w:spacing w:line="360" w:lineRule="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投标人应在开标前一日17：00（含）前将备份投标文件邮寄至规定地点，邮寄地址为：</w:t>
            </w:r>
            <w:r>
              <w:rPr>
                <w:rFonts w:hint="eastAsia" w:ascii="宋体" w:hAnsi="宋体" w:eastAsia="宋体" w:cs="宋体"/>
                <w:b/>
                <w:bCs/>
                <w:snapToGrid w:val="0"/>
                <w:color w:val="auto"/>
                <w:kern w:val="28"/>
                <w:sz w:val="21"/>
                <w:szCs w:val="21"/>
                <w:highlight w:val="none"/>
              </w:rPr>
              <w:t>宁波市</w:t>
            </w:r>
            <w:r>
              <w:rPr>
                <w:rFonts w:hint="eastAsia" w:ascii="宋体" w:hAnsi="宋体" w:eastAsia="宋体" w:cs="宋体"/>
                <w:b/>
                <w:bCs/>
                <w:snapToGrid w:val="0"/>
                <w:color w:val="auto"/>
                <w:kern w:val="28"/>
                <w:sz w:val="21"/>
                <w:szCs w:val="21"/>
                <w:highlight w:val="none"/>
                <w:lang w:val="en-US" w:eastAsia="zh-CN"/>
              </w:rPr>
              <w:t>江北区金隅大成时代5号楼9楼</w:t>
            </w:r>
            <w:r>
              <w:rPr>
                <w:rFonts w:hint="eastAsia" w:ascii="宋体" w:hAnsi="宋体" w:eastAsia="宋体" w:cs="宋体"/>
                <w:b/>
                <w:bCs/>
                <w:snapToGrid w:val="0"/>
                <w:color w:val="auto"/>
                <w:kern w:val="28"/>
                <w:sz w:val="21"/>
                <w:szCs w:val="21"/>
                <w:highlight w:val="none"/>
              </w:rPr>
              <w:t>，收件人：</w:t>
            </w:r>
            <w:r>
              <w:rPr>
                <w:rFonts w:hint="eastAsia" w:ascii="宋体" w:hAnsi="宋体" w:cs="宋体"/>
                <w:b/>
                <w:bCs/>
                <w:snapToGrid w:val="0"/>
                <w:color w:val="auto"/>
                <w:kern w:val="28"/>
                <w:sz w:val="21"/>
                <w:szCs w:val="21"/>
                <w:highlight w:val="none"/>
                <w:lang w:val="en-US" w:eastAsia="zh-CN"/>
              </w:rPr>
              <w:t>王艺霖</w:t>
            </w:r>
            <w:r>
              <w:rPr>
                <w:rFonts w:hint="eastAsia" w:ascii="宋体" w:hAnsi="宋体" w:eastAsia="宋体" w:cs="宋体"/>
                <w:b/>
                <w:bCs/>
                <w:snapToGrid w:val="0"/>
                <w:color w:val="auto"/>
                <w:kern w:val="28"/>
                <w:sz w:val="21"/>
                <w:szCs w:val="21"/>
                <w:highlight w:val="none"/>
              </w:rPr>
              <w:t>，联系方式：</w:t>
            </w:r>
            <w:r>
              <w:rPr>
                <w:rFonts w:hint="eastAsia" w:ascii="宋体" w:hAnsi="宋体" w:eastAsia="宋体" w:cs="宋体"/>
                <w:b/>
                <w:bCs/>
                <w:snapToGrid w:val="0"/>
                <w:color w:val="auto"/>
                <w:kern w:val="28"/>
                <w:sz w:val="21"/>
                <w:szCs w:val="21"/>
                <w:highlight w:val="none"/>
                <w:lang w:val="en-US" w:eastAsia="zh-CN"/>
              </w:rPr>
              <w:t>0574-87313002</w:t>
            </w:r>
            <w:r>
              <w:rPr>
                <w:rFonts w:hint="eastAsia" w:ascii="宋体" w:hAnsi="宋体" w:eastAsia="宋体" w:cs="宋体"/>
                <w:snapToGrid w:val="0"/>
                <w:color w:val="auto"/>
                <w:kern w:val="28"/>
                <w:sz w:val="21"/>
                <w:szCs w:val="21"/>
                <w:highlight w:val="none"/>
              </w:rPr>
              <w:t>。由采购代理工作人员进行签收，各投标人自行考虑邮寄在途时间，邮寄过程中无论何种因素导致备份投标文件未按时递交的后果，均由投标人自行负责。备份投标文件递交时间以采购代理实际收到备份投标文件的时间为准。</w:t>
            </w:r>
          </w:p>
          <w:p w14:paraId="1F67392E">
            <w:pPr>
              <w:adjustRightInd/>
              <w:spacing w:line="360" w:lineRule="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（3）采用直接递交方式送达备份投标文件，需按以下要求递交：在投标截止时间前将备份投标文件送至</w:t>
            </w:r>
            <w:r>
              <w:rPr>
                <w:rFonts w:hint="eastAsia" w:ascii="宋体" w:hAnsi="宋体" w:cs="宋体"/>
                <w:b/>
                <w:bCs/>
                <w:snapToGrid w:val="0"/>
                <w:color w:val="auto"/>
                <w:kern w:val="28"/>
                <w:sz w:val="21"/>
                <w:szCs w:val="21"/>
                <w:highlight w:val="none"/>
                <w:u w:val="single"/>
                <w:lang w:val="en-US" w:eastAsia="zh-CN"/>
              </w:rPr>
              <w:t>宁</w:t>
            </w:r>
            <w:r>
              <w:rPr>
                <w:rFonts w:hint="eastAsia" w:ascii="宋体" w:hAnsi="宋体" w:eastAsia="宋体" w:cs="宋体"/>
                <w:b/>
                <w:bCs/>
                <w:color w:val="auto"/>
                <w:kern w:val="28"/>
                <w:sz w:val="21"/>
                <w:szCs w:val="21"/>
                <w:highlight w:val="none"/>
                <w:u w:val="single"/>
                <w:lang w:val="en-US" w:eastAsia="zh-CN"/>
              </w:rPr>
              <w:t>波市江北区政务服务中心开标室</w:t>
            </w:r>
            <w:r>
              <w:rPr>
                <w:rFonts w:hint="eastAsia" w:ascii="宋体" w:hAnsi="宋体" w:eastAsia="宋体" w:cs="宋体"/>
                <w:b/>
                <w:bCs/>
                <w:snapToGrid w:val="0"/>
                <w:color w:val="auto"/>
                <w:kern w:val="28"/>
                <w:sz w:val="21"/>
                <w:szCs w:val="21"/>
                <w:highlight w:val="none"/>
                <w:u w:val="single"/>
              </w:rPr>
              <w:t>（江北区育才路138号北投大厦南楼7楼）</w:t>
            </w:r>
            <w:r>
              <w:rPr>
                <w:rFonts w:hint="eastAsia" w:ascii="宋体" w:hAnsi="宋体" w:eastAsia="宋体" w:cs="宋体"/>
                <w:snapToGrid w:val="0"/>
                <w:color w:val="auto"/>
                <w:kern w:val="28"/>
                <w:sz w:val="21"/>
                <w:szCs w:val="21"/>
                <w:highlight w:val="none"/>
              </w:rPr>
              <w:t xml:space="preserve">。       </w:t>
            </w:r>
          </w:p>
          <w:p w14:paraId="2F81CAB1">
            <w:pPr>
              <w:pStyle w:val="34"/>
              <w:spacing w:line="360" w:lineRule="auto"/>
              <w:rPr>
                <w:rFonts w:hint="eastAsia" w:ascii="宋体" w:hAnsi="宋体" w:eastAsia="宋体" w:cs="宋体"/>
                <w:color w:val="auto"/>
                <w:kern w:val="28"/>
                <w:sz w:val="21"/>
                <w:szCs w:val="21"/>
                <w:highlight w:val="none"/>
              </w:rPr>
            </w:pPr>
            <w:r>
              <w:rPr>
                <w:rFonts w:hint="eastAsia" w:ascii="宋体" w:hAnsi="宋体" w:eastAsia="宋体" w:cs="宋体"/>
                <w:b/>
                <w:bCs/>
                <w:snapToGrid w:val="0"/>
                <w:color w:val="auto"/>
                <w:kern w:val="28"/>
                <w:sz w:val="21"/>
                <w:szCs w:val="21"/>
                <w:highlight w:val="none"/>
              </w:rPr>
              <w:t>采购人、采购代理机构不强制投标人提交备份投标文件。</w:t>
            </w:r>
          </w:p>
        </w:tc>
      </w:tr>
      <w:tr w14:paraId="2BC5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 w:hRule="atLeast"/>
          <w:tblHeader/>
        </w:trPr>
        <w:tc>
          <w:tcPr>
            <w:tcW w:w="686" w:type="dxa"/>
            <w:vAlign w:val="center"/>
          </w:tcPr>
          <w:p w14:paraId="73F83932">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022" w:type="dxa"/>
            <w:vAlign w:val="center"/>
          </w:tcPr>
          <w:p w14:paraId="5A0ECDE2">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中标候选人数量</w:t>
            </w:r>
          </w:p>
        </w:tc>
        <w:tc>
          <w:tcPr>
            <w:tcW w:w="6691" w:type="dxa"/>
            <w:vAlign w:val="center"/>
          </w:tcPr>
          <w:p w14:paraId="3D588C72">
            <w:pPr>
              <w:keepNext w:val="0"/>
              <w:keepLines w:val="0"/>
              <w:pageBreakBefore w:val="0"/>
              <w:widowControl w:val="0"/>
              <w:kinsoku/>
              <w:wordWrap/>
              <w:overflowPunct/>
              <w:topLinePunct w:val="0"/>
              <w:autoSpaceDE/>
              <w:autoSpaceDN/>
              <w:bidi w:val="0"/>
              <w:adjustRightInd w:val="0"/>
              <w:spacing w:before="0" w:beforeLines="50" w:line="360" w:lineRule="auto"/>
              <w:jc w:val="both"/>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1名</w:t>
            </w:r>
            <w:r>
              <w:rPr>
                <w:rFonts w:hint="eastAsia" w:ascii="宋体" w:hAnsi="宋体" w:eastAsia="宋体" w:cs="宋体"/>
                <w:color w:val="auto"/>
                <w:kern w:val="0"/>
                <w:sz w:val="21"/>
                <w:szCs w:val="21"/>
                <w:highlight w:val="none"/>
                <w:lang w:val="en" w:eastAsia="zh-CN"/>
              </w:rPr>
              <w:t>。</w:t>
            </w:r>
          </w:p>
        </w:tc>
      </w:tr>
      <w:tr w14:paraId="47A1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tblHeader/>
        </w:trPr>
        <w:tc>
          <w:tcPr>
            <w:tcW w:w="686" w:type="dxa"/>
            <w:vAlign w:val="center"/>
          </w:tcPr>
          <w:p w14:paraId="24BF172C">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2022" w:type="dxa"/>
            <w:vAlign w:val="center"/>
          </w:tcPr>
          <w:p w14:paraId="2AC4C4CE">
            <w:pPr>
              <w:snapToGrid w:val="0"/>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6691" w:type="dxa"/>
            <w:vAlign w:val="center"/>
          </w:tcPr>
          <w:p w14:paraId="05A790C7">
            <w:pPr>
              <w:keepNext w:val="0"/>
              <w:keepLines w:val="0"/>
              <w:pageBreakBefore w:val="0"/>
              <w:widowControl/>
              <w:kinsoku/>
              <w:wordWrap/>
              <w:overflowPunct/>
              <w:topLinePunct w:val="0"/>
              <w:autoSpaceDE/>
              <w:autoSpaceDN/>
              <w:bidi w:val="0"/>
              <w:adjustRightInd w:val="0"/>
              <w:snapToGrid/>
              <w:spacing w:line="360" w:lineRule="auto"/>
              <w:ind w:right="1"/>
              <w:jc w:val="both"/>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sz w:val="21"/>
                <w:szCs w:val="21"/>
                <w:highlight w:val="none"/>
                <w:lang w:val="en-US" w:eastAsia="zh-CN"/>
              </w:rPr>
              <w:t>根据《宁波市招标（采购）代理服务收费标准指引》，以</w:t>
            </w:r>
            <w:r>
              <w:rPr>
                <w:rFonts w:hint="eastAsia" w:ascii="宋体" w:hAnsi="宋体" w:cs="宋体"/>
                <w:color w:val="auto"/>
                <w:sz w:val="21"/>
                <w:szCs w:val="21"/>
                <w:highlight w:val="none"/>
                <w:lang w:val="en-US" w:eastAsia="zh-CN"/>
              </w:rPr>
              <w:t>一年</w:t>
            </w:r>
            <w:r>
              <w:rPr>
                <w:rFonts w:hint="eastAsia" w:ascii="宋体" w:hAnsi="宋体" w:eastAsia="宋体" w:cs="宋体"/>
                <w:color w:val="auto"/>
                <w:sz w:val="21"/>
                <w:szCs w:val="21"/>
                <w:highlight w:val="none"/>
                <w:lang w:val="en-US" w:eastAsia="zh-CN"/>
              </w:rPr>
              <w:t>中标价为</w:t>
            </w:r>
            <w:r>
              <w:rPr>
                <w:rFonts w:hint="eastAsia" w:ascii="宋体" w:hAnsi="宋体" w:cs="宋体"/>
                <w:color w:val="auto"/>
                <w:sz w:val="21"/>
                <w:szCs w:val="21"/>
                <w:highlight w:val="none"/>
                <w:lang w:val="en-US" w:eastAsia="zh-CN"/>
              </w:rPr>
              <w:t>取费</w:t>
            </w:r>
            <w:r>
              <w:rPr>
                <w:rFonts w:hint="eastAsia" w:ascii="宋体" w:hAnsi="宋体" w:eastAsia="宋体" w:cs="宋体"/>
                <w:color w:val="auto"/>
                <w:sz w:val="21"/>
                <w:szCs w:val="21"/>
                <w:highlight w:val="none"/>
                <w:lang w:val="en-US" w:eastAsia="zh-CN"/>
              </w:rPr>
              <w:t>基数，并结合宁波市中介超市网中选</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计取，此费用由中标单位在中标通知书发出前一次性缴纳。</w:t>
            </w:r>
          </w:p>
        </w:tc>
      </w:tr>
    </w:tbl>
    <w:p w14:paraId="3373371C">
      <w:pPr>
        <w:snapToGrid w:val="0"/>
        <w:spacing w:line="360" w:lineRule="auto"/>
        <w:jc w:val="center"/>
        <w:rPr>
          <w:rFonts w:ascii="宋体" w:hAnsi="宋体" w:cs="宋体"/>
          <w:b/>
          <w:color w:val="auto"/>
          <w:sz w:val="32"/>
          <w:szCs w:val="20"/>
          <w:highlight w:val="none"/>
        </w:rPr>
      </w:pPr>
    </w:p>
    <w:bookmarkEnd w:id="8"/>
    <w:p w14:paraId="619CB974">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75FC099E">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一、总则</w:t>
      </w:r>
    </w:p>
    <w:p w14:paraId="37F4D337">
      <w:pPr>
        <w:pageBreakBefore w:val="0"/>
        <w:kinsoku/>
        <w:wordWrap/>
        <w:overflowPunct/>
        <w:topLinePunct w:val="0"/>
        <w:bidi w:val="0"/>
        <w:snapToGrid w:val="0"/>
        <w:spacing w:beforeAutospacing="0" w:line="360" w:lineRule="auto"/>
        <w:ind w:left="0" w:leftChars="0"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1.适用范围</w:t>
      </w:r>
    </w:p>
    <w:p w14:paraId="14FC6BBB">
      <w:pPr>
        <w:pageBreakBefore w:val="0"/>
        <w:kinsoku/>
        <w:wordWrap/>
        <w:overflowPunct/>
        <w:topLinePunct w:val="0"/>
        <w:bidi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404B0C50">
      <w:pPr>
        <w:pageBreakBefore w:val="0"/>
        <w:kinsoku/>
        <w:wordWrap/>
        <w:overflowPunct/>
        <w:topLinePunct w:val="0"/>
        <w:bidi w:val="0"/>
        <w:adjustRightInd/>
        <w:spacing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5AD09DC9">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1D4458D1">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2E8A2D29">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7CBCB7FF">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0FC2D5B1">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w:t>
      </w:r>
    </w:p>
    <w:p w14:paraId="34073018">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107C6DA7">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641F7749">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3.采购项目需要落实的政府采购政策</w:t>
      </w:r>
    </w:p>
    <w:p w14:paraId="6E1F0260">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011F1916">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5E7A79A7">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66D753D5">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修缮、装修类项目采购建材的，采购人应将绿色建筑和绿色建材性能、指标等作为实质性条件纳入招标文件和合同。</w:t>
      </w:r>
    </w:p>
    <w:p w14:paraId="089D5D64">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优先采购秸秆环保板材等资源综合利用产品。鼓励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优先采购绿色物流配送服务、提供新能源交通工具的租赁服务。</w:t>
      </w:r>
    </w:p>
    <w:p w14:paraId="13922FF8">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对其提高预付款比例、免收履约保证金。</w:t>
      </w:r>
    </w:p>
    <w:p w14:paraId="42017A3C">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23CDBD47">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B33FCF">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20D9A963">
      <w:pPr>
        <w:pageBreakBefore w:val="0"/>
        <w:widowControl/>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641267E">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w:t>
      </w:r>
    </w:p>
    <w:p w14:paraId="1607A5D5">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79050BFB">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2D8E68">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34071920">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089ACFAC">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49EA3F36">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对省级以上主管部门认定的首台套产品，自纳入《省推广应用指导目录》起三年内参加政府采购活动，视同已具备相应销售业绩，业绩分为满分。</w:t>
      </w:r>
    </w:p>
    <w:p w14:paraId="6AAF7F7D">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2897BF9D">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4.询问、质疑、投诉、补偿救济</w:t>
      </w:r>
    </w:p>
    <w:p w14:paraId="2A010B5B">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供应商询问</w:t>
      </w:r>
    </w:p>
    <w:p w14:paraId="7290EB60">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w:t>
      </w:r>
      <w:r>
        <w:rPr>
          <w:rFonts w:hint="eastAsia" w:ascii="宋体" w:hAnsi="宋体" w:cs="宋体"/>
          <w:color w:val="auto"/>
          <w:kern w:val="0"/>
          <w:sz w:val="21"/>
          <w:szCs w:val="21"/>
          <w:highlight w:val="none"/>
          <w:lang w:val="en-US" w:eastAsia="zh-CN"/>
        </w:rPr>
        <w:t>mimi</w:t>
      </w:r>
      <w:r>
        <w:rPr>
          <w:rFonts w:hint="eastAsia" w:ascii="宋体" w:hAnsi="宋体" w:eastAsia="宋体" w:cs="宋体"/>
          <w:color w:val="auto"/>
          <w:kern w:val="0"/>
          <w:sz w:val="21"/>
          <w:szCs w:val="21"/>
          <w:highlight w:val="none"/>
          <w:lang w:val="zh-CN"/>
        </w:rPr>
        <w:t>。供应商提出的询问超出采购人对采购代理机构委托授权范围的，采购代理机构应当告知供应商向采购人提出。</w:t>
      </w:r>
    </w:p>
    <w:p w14:paraId="679A13C6">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供应商质疑</w:t>
      </w:r>
    </w:p>
    <w:p w14:paraId="26661100">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6D986CD1">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3086ADC9">
      <w:pPr>
        <w:pStyle w:val="7"/>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w:t>
      </w:r>
      <w:r>
        <w:rPr>
          <w:rFonts w:hint="eastAsia" w:hAnsi="宋体" w:cs="宋体"/>
          <w:snapToGrid/>
          <w:color w:val="auto"/>
          <w:kern w:val="2"/>
          <w:sz w:val="21"/>
          <w:szCs w:val="21"/>
          <w:highlight w:val="none"/>
          <w:lang w:val="en-US" w:eastAsia="zh-CN"/>
        </w:rPr>
        <w:t>2</w:t>
      </w:r>
      <w:r>
        <w:rPr>
          <w:rFonts w:hint="eastAsia" w:ascii="宋体" w:hAnsi="宋体" w:eastAsia="宋体" w:cs="宋体"/>
          <w:snapToGrid/>
          <w:color w:val="auto"/>
          <w:kern w:val="2"/>
          <w:sz w:val="21"/>
          <w:szCs w:val="21"/>
          <w:highlight w:val="none"/>
        </w:rPr>
        <w:t>.2.1对招标文件提出质疑的，质疑期限为供应商获得招标文件之日或者招标文件公告期限届满之日起计算。</w:t>
      </w:r>
    </w:p>
    <w:p w14:paraId="48859F0D">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.2.2对采购过程提出质疑的，质疑期限为各采购程序环节结束之日起计算。</w:t>
      </w:r>
    </w:p>
    <w:p w14:paraId="3D666093">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.2.3对采购结果提出质疑的，质疑期限自采购结果公告期限届满之日起计算。</w:t>
      </w:r>
    </w:p>
    <w:p w14:paraId="3038A4A4">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sz w:val="21"/>
          <w:szCs w:val="21"/>
          <w:highlight w:val="none"/>
        </w:rPr>
        <w:t>供应商提出质疑应当提交质疑函和必要的证明材料。质疑函应当包括下列内容：</w:t>
      </w:r>
    </w:p>
    <w:p w14:paraId="0A4CF6C8">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.3.1供应商的姓名或者名称、地址、邮编、联系人及联系电话；</w:t>
      </w:r>
    </w:p>
    <w:p w14:paraId="1CFAED2B">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.3.2质疑项目的名称、编号；</w:t>
      </w:r>
    </w:p>
    <w:p w14:paraId="1D0EB50D">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.3.3具体、明确的质疑事项和与质疑事项相关的请求；</w:t>
      </w:r>
    </w:p>
    <w:p w14:paraId="508BF84B">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.3.4事实依据；</w:t>
      </w:r>
    </w:p>
    <w:p w14:paraId="31AEA553">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.3.5必要的法律依据；</w:t>
      </w:r>
    </w:p>
    <w:p w14:paraId="3AAC7A33">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.3.6提出质疑的日期。</w:t>
      </w:r>
    </w:p>
    <w:p w14:paraId="255AA6C1">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567ED0F">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质疑函范本请到浙江政府采购网下载专区下载。</w:t>
      </w:r>
    </w:p>
    <w:p w14:paraId="7FF06397">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.4对同一采购程序环节的质疑，供应商须在法定质疑期内一次性提出。</w:t>
      </w:r>
    </w:p>
    <w:p w14:paraId="3EF809A5">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hAnsi="宋体" w:cs="宋体"/>
          <w:color w:val="auto"/>
          <w:kern w:val="0"/>
          <w:sz w:val="21"/>
          <w:szCs w:val="21"/>
          <w:highlight w:val="none"/>
          <w:lang w:val="zh-CN"/>
        </w:rPr>
      </w:pP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.5</w:t>
      </w:r>
      <w:r>
        <w:rPr>
          <w:rFonts w:hint="eastAsia" w:hAnsi="宋体" w:cs="宋体"/>
          <w:color w:val="auto"/>
          <w:kern w:val="0"/>
          <w:sz w:val="21"/>
          <w:szCs w:val="21"/>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w:t>
      </w:r>
      <w:r>
        <w:rPr>
          <w:rFonts w:hint="eastAsia" w:cs="宋体"/>
          <w:color w:val="auto"/>
          <w:kern w:val="0"/>
          <w:sz w:val="21"/>
          <w:szCs w:val="21"/>
          <w:highlight w:val="none"/>
          <w:lang w:val="en-US" w:eastAsia="zh-CN"/>
        </w:rPr>
        <w:t>mimi</w:t>
      </w:r>
      <w:r>
        <w:rPr>
          <w:rFonts w:hint="eastAsia" w:hAnsi="宋体" w:cs="宋体"/>
          <w:color w:val="auto"/>
          <w:kern w:val="0"/>
          <w:sz w:val="21"/>
          <w:szCs w:val="21"/>
          <w:highlight w:val="none"/>
          <w:lang w:val="zh-CN"/>
        </w:rPr>
        <w:t>。根据《</w:t>
      </w:r>
      <w:r>
        <w:rPr>
          <w:rFonts w:hint="eastAsia" w:hAnsi="宋体" w:cs="宋体"/>
          <w:color w:val="auto"/>
          <w:kern w:val="0"/>
          <w:sz w:val="21"/>
          <w:szCs w:val="21"/>
          <w:highlight w:val="none"/>
        </w:rPr>
        <w:t>浙江省财政厅关于进一步加强政府采购公平竞争打造最优营商环境的通知</w:t>
      </w:r>
      <w:r>
        <w:rPr>
          <w:rFonts w:hint="eastAsia" w:hAnsi="宋体" w:cs="宋体"/>
          <w:color w:val="auto"/>
          <w:kern w:val="0"/>
          <w:sz w:val="21"/>
          <w:szCs w:val="21"/>
          <w:highlight w:val="none"/>
          <w:lang w:val="zh-CN"/>
        </w:rPr>
        <w:t>》（</w:t>
      </w:r>
      <w:r>
        <w:rPr>
          <w:rFonts w:hint="eastAsia" w:hAnsi="宋体" w:cs="宋体"/>
          <w:color w:val="auto"/>
          <w:kern w:val="0"/>
          <w:sz w:val="21"/>
          <w:szCs w:val="21"/>
          <w:highlight w:val="none"/>
        </w:rPr>
        <w:t>浙财</w:t>
      </w:r>
      <w:r>
        <w:rPr>
          <w:rFonts w:hint="eastAsia" w:hAnsi="宋体" w:cs="宋体"/>
          <w:color w:val="auto"/>
          <w:kern w:val="0"/>
          <w:sz w:val="21"/>
          <w:szCs w:val="21"/>
          <w:highlight w:val="none"/>
          <w:lang w:val="zh-CN"/>
        </w:rPr>
        <w:t>采监〔2021〕</w:t>
      </w:r>
      <w:r>
        <w:rPr>
          <w:rFonts w:hint="eastAsia" w:hAnsi="宋体" w:cs="宋体"/>
          <w:color w:val="auto"/>
          <w:kern w:val="0"/>
          <w:sz w:val="21"/>
          <w:szCs w:val="21"/>
          <w:highlight w:val="none"/>
        </w:rPr>
        <w:t>22</w:t>
      </w:r>
      <w:r>
        <w:rPr>
          <w:rFonts w:hint="eastAsia" w:hAnsi="宋体" w:cs="宋体"/>
          <w:color w:val="auto"/>
          <w:kern w:val="0"/>
          <w:sz w:val="21"/>
          <w:szCs w:val="21"/>
          <w:highlight w:val="none"/>
          <w:lang w:val="zh-CN"/>
        </w:rPr>
        <w:t>号）,采购人或者采购代理机构在质疑回复后5个工作日内，在浙江政府采购网的“其他公告”栏目公开质疑答复，答复内容应当完整。质疑函作为附件上传。</w:t>
      </w:r>
    </w:p>
    <w:p w14:paraId="37D1A2E4">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3A0B28DC">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zh-CN"/>
        </w:rPr>
        <w:t>供应商投诉</w:t>
      </w:r>
    </w:p>
    <w:p w14:paraId="7480D611">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4DF50FB8">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24E51A67">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.3供应商投诉应当有明确的请求和必要的证明材料。</w:t>
      </w:r>
    </w:p>
    <w:p w14:paraId="100B60CA">
      <w:pPr>
        <w:pStyle w:val="893"/>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rPr>
        <w:t>投诉书范本请到浙江政府采购网下载专区下载。</w:t>
      </w:r>
    </w:p>
    <w:p w14:paraId="527D8151">
      <w:pPr>
        <w:pageBreakBefore w:val="0"/>
        <w:kinsoku/>
        <w:wordWrap/>
        <w:overflowPunct/>
        <w:topLinePunct w:val="0"/>
        <w:bidi w:val="0"/>
        <w:adjustRightInd/>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二、招标文件的构成、澄清、修改</w:t>
      </w:r>
    </w:p>
    <w:p w14:paraId="164FAE56">
      <w:pPr>
        <w:pStyle w:val="3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招标文件的构成</w:t>
      </w:r>
    </w:p>
    <w:p w14:paraId="36099791">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1DDF7569">
      <w:pPr>
        <w:pStyle w:val="34"/>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3F2649A7">
      <w:pPr>
        <w:pStyle w:val="34"/>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66CDA9B0">
      <w:pPr>
        <w:pStyle w:val="34"/>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6B3A0161">
      <w:pPr>
        <w:pStyle w:val="34"/>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4A5CE90A">
      <w:pPr>
        <w:pStyle w:val="34"/>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59467520">
      <w:pPr>
        <w:pStyle w:val="34"/>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318A13A5">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0061EA28">
      <w:pPr>
        <w:pStyle w:val="3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6.招标文件的澄清、修改</w:t>
      </w:r>
    </w:p>
    <w:p w14:paraId="5BD382F4">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3F228E1F">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E19A0F">
      <w:pPr>
        <w:pageBreakBefore w:val="0"/>
        <w:kinsoku/>
        <w:wordWrap/>
        <w:overflowPunct/>
        <w:topLinePunct w:val="0"/>
        <w:bidi w:val="0"/>
        <w:adjustRightInd/>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w:t>
      </w:r>
    </w:p>
    <w:p w14:paraId="66BC9E49">
      <w:pPr>
        <w:pStyle w:val="3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7.招标文件的获取</w:t>
      </w:r>
    </w:p>
    <w:p w14:paraId="00B3939E">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5B2CE14A">
      <w:pPr>
        <w:pStyle w:val="3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389AF21B">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2DA77C4F">
      <w:pPr>
        <w:pStyle w:val="3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671DC672">
      <w:pPr>
        <w:pStyle w:val="7"/>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10133EFB">
      <w:pPr>
        <w:pStyle w:val="3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10.投标文件的语言</w:t>
      </w:r>
    </w:p>
    <w:p w14:paraId="24085EB2">
      <w:pPr>
        <w:pageBreakBefore w:val="0"/>
        <w:kinsoku/>
        <w:wordWrap/>
        <w:overflowPunct/>
        <w:topLinePunct w:val="0"/>
        <w:autoSpaceDE w:val="0"/>
        <w:autoSpaceDN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7D78AB90">
      <w:pPr>
        <w:pStyle w:val="3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11.投标文件的组成</w:t>
      </w:r>
    </w:p>
    <w:p w14:paraId="059FBAF5">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11.1资格文件：</w:t>
      </w:r>
    </w:p>
    <w:p w14:paraId="39CB0B6F">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11.1.1有效的企业法人营业执照(或事业法人登记证)、其他组织(个体工商户)的营业执照或者民办非企业单位登记证书复印件(加盖公章)</w:t>
      </w:r>
      <w:r>
        <w:rPr>
          <w:rFonts w:hint="eastAsia" w:ascii="宋体" w:hAnsi="宋体" w:eastAsia="宋体" w:cs="宋体"/>
          <w:color w:val="auto"/>
          <w:sz w:val="21"/>
          <w:szCs w:val="21"/>
          <w:highlight w:val="none"/>
          <w:lang w:eastAsia="zh-CN"/>
        </w:rPr>
        <w:t>；</w:t>
      </w:r>
    </w:p>
    <w:p w14:paraId="4FC65B3E">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w:t>
      </w:r>
      <w:r>
        <w:rPr>
          <w:rFonts w:hint="eastAsia" w:ascii="宋体" w:hAnsi="宋体" w:eastAsia="宋体" w:cs="宋体"/>
          <w:color w:val="auto"/>
          <w:sz w:val="21"/>
          <w:szCs w:val="21"/>
          <w:highlight w:val="none"/>
        </w:rPr>
        <w:t>符合参加政府采购活动应当具备的一般条件的承诺函；</w:t>
      </w:r>
    </w:p>
    <w:p w14:paraId="0CF2A7C7">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w:t>
      </w:r>
    </w:p>
    <w:p w14:paraId="60333690">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11.1.4</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w:t>
      </w:r>
    </w:p>
    <w:p w14:paraId="09DAA0B8">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11.1.5</w:t>
      </w:r>
      <w:r>
        <w:rPr>
          <w:rFonts w:hint="eastAsia" w:ascii="宋体" w:hAnsi="宋体" w:eastAsia="宋体" w:cs="宋体"/>
          <w:color w:val="auto"/>
          <w:sz w:val="21"/>
          <w:szCs w:val="21"/>
          <w:highlight w:val="none"/>
          <w:lang w:eastAsia="zh-CN"/>
        </w:rPr>
        <w:t>残疾人福利性单位声明函(如有)。</w:t>
      </w:r>
    </w:p>
    <w:p w14:paraId="4C63E5EA">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本项目的特定资格要求（如有)。</w:t>
      </w:r>
    </w:p>
    <w:p w14:paraId="1516630C">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11.</w:t>
      </w:r>
      <w:r>
        <w:rPr>
          <w:rFonts w:hint="eastAsia" w:ascii="宋体" w:hAnsi="宋体" w:eastAsia="宋体" w:cs="宋体"/>
          <w:b/>
          <w:bCs/>
          <w:color w:val="auto"/>
          <w:sz w:val="21"/>
          <w:szCs w:val="21"/>
          <w:highlight w:val="none"/>
        </w:rPr>
        <w:t>2商务技术</w:t>
      </w:r>
      <w:r>
        <w:rPr>
          <w:rFonts w:hint="eastAsia" w:ascii="宋体" w:hAnsi="宋体" w:eastAsia="宋体" w:cs="宋体"/>
          <w:b/>
          <w:bCs/>
          <w:color w:val="auto"/>
          <w:sz w:val="21"/>
          <w:szCs w:val="21"/>
          <w:highlight w:val="none"/>
          <w:lang w:val="zh-CN"/>
        </w:rPr>
        <w:t>文件：</w:t>
      </w:r>
    </w:p>
    <w:p w14:paraId="7B721A9B">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02A47509">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0A5A5347">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w:t>
      </w:r>
    </w:p>
    <w:p w14:paraId="2D81E5E9">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供应商基本情况表</w:t>
      </w:r>
      <w:r>
        <w:rPr>
          <w:rFonts w:hint="eastAsia" w:ascii="宋体" w:hAnsi="宋体" w:eastAsia="宋体" w:cs="宋体"/>
          <w:color w:val="auto"/>
          <w:sz w:val="21"/>
          <w:szCs w:val="21"/>
          <w:highlight w:val="none"/>
          <w:lang w:eastAsia="zh-CN"/>
        </w:rPr>
        <w:t>；</w:t>
      </w:r>
    </w:p>
    <w:p w14:paraId="7FEC6FA6">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商务技术偏离表；</w:t>
      </w:r>
    </w:p>
    <w:p w14:paraId="50A9943B">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11.2.6</w:t>
      </w:r>
      <w:r>
        <w:rPr>
          <w:rFonts w:hint="eastAsia" w:ascii="宋体" w:hAnsi="宋体" w:eastAsia="宋体" w:cs="宋体"/>
          <w:color w:val="auto"/>
          <w:sz w:val="21"/>
          <w:szCs w:val="21"/>
          <w:highlight w:val="none"/>
          <w:lang w:val="en-US" w:eastAsia="zh-CN"/>
        </w:rPr>
        <w:t>拟投入人员配备表</w:t>
      </w:r>
      <w:r>
        <w:rPr>
          <w:rFonts w:hint="eastAsia" w:ascii="宋体" w:hAnsi="宋体" w:cs="宋体"/>
          <w:color w:val="auto"/>
          <w:sz w:val="21"/>
          <w:szCs w:val="21"/>
          <w:highlight w:val="none"/>
          <w:lang w:val="en-US" w:eastAsia="zh-CN"/>
        </w:rPr>
        <w:t>；</w:t>
      </w:r>
    </w:p>
    <w:p w14:paraId="2674FC2D">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评标标准相应的商务技术资料</w:t>
      </w:r>
      <w:r>
        <w:rPr>
          <w:rFonts w:hint="eastAsia" w:ascii="宋体" w:hAnsi="宋体" w:eastAsia="宋体" w:cs="宋体"/>
          <w:color w:val="auto"/>
          <w:sz w:val="21"/>
          <w:szCs w:val="21"/>
          <w:highlight w:val="none"/>
          <w:lang w:eastAsia="zh-CN"/>
        </w:rPr>
        <w:t>。</w:t>
      </w:r>
    </w:p>
    <w:p w14:paraId="2BEF2CF1">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11.2.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rPr>
        <w:t>认为有必要提供的其他技术资料及说明。</w:t>
      </w:r>
    </w:p>
    <w:p w14:paraId="7CE89278">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kern w:val="0"/>
          <w:sz w:val="21"/>
          <w:szCs w:val="21"/>
          <w:highlight w:val="none"/>
          <w:lang w:val="zh-CN"/>
        </w:rPr>
        <w:t>11.</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sz w:val="21"/>
          <w:szCs w:val="21"/>
          <w:highlight w:val="none"/>
        </w:rPr>
        <w:t xml:space="preserve">报价文件： </w:t>
      </w:r>
    </w:p>
    <w:p w14:paraId="6C55CADE">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w:t>
      </w:r>
    </w:p>
    <w:p w14:paraId="6AE52AB4">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11.3.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 xml:space="preserve"> 投标分项报价表(格式自拟)</w:t>
      </w:r>
      <w:r>
        <w:rPr>
          <w:rFonts w:hint="eastAsia" w:ascii="宋体" w:hAnsi="宋体" w:cs="宋体"/>
          <w:color w:val="auto"/>
          <w:sz w:val="21"/>
          <w:szCs w:val="21"/>
          <w:highlight w:val="none"/>
          <w:lang w:val="en-US" w:eastAsia="zh-CN"/>
        </w:rPr>
        <w:t>；</w:t>
      </w:r>
    </w:p>
    <w:p w14:paraId="6E3B3149">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0E27BE51">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0F0B48D3">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资格文件及商务技术文件中不能出现报价，否则投标无效。</w:t>
      </w:r>
    </w:p>
    <w:p w14:paraId="2C7AD610">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5F5E377E">
      <w:pPr>
        <w:pStyle w:val="136"/>
        <w:pageBreakBefore w:val="0"/>
        <w:kinsoku/>
        <w:wordWrap/>
        <w:overflowPunct/>
        <w:topLinePunct w:val="0"/>
        <w:bidi w:val="0"/>
        <w:snapToGrid w:val="0"/>
        <w:spacing w:before="0"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rPr>
        <w:t>投标文件的编制</w:t>
      </w:r>
    </w:p>
    <w:p w14:paraId="5DA13990">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w:t>
      </w:r>
      <w:r>
        <w:rPr>
          <w:rFonts w:hint="eastAsia" w:ascii="宋体" w:hAnsi="宋体" w:eastAsia="宋体" w:cs="宋体"/>
          <w:b/>
          <w:bCs/>
          <w:color w:val="auto"/>
          <w:kern w:val="0"/>
          <w:sz w:val="21"/>
          <w:szCs w:val="21"/>
          <w:highlight w:val="none"/>
          <w:lang w:val="zh-CN"/>
        </w:rPr>
        <w:t>投标文件分为资格文件、商务技术文件、报价文件三部分。</w:t>
      </w:r>
      <w:r>
        <w:rPr>
          <w:rFonts w:hint="eastAsia" w:ascii="宋体" w:hAnsi="宋体" w:eastAsia="宋体" w:cs="宋体"/>
          <w:color w:val="auto"/>
          <w:kern w:val="0"/>
          <w:sz w:val="21"/>
          <w:szCs w:val="21"/>
          <w:highlight w:val="none"/>
          <w:lang w:val="zh-CN"/>
        </w:rPr>
        <w:t>各投标人在编制投标文件时请按照招标文件第六部分规定的格式进行，混乱的编排导致投标文件被误读或评标委员会查找不到有效文件是投标人的风险。</w:t>
      </w:r>
    </w:p>
    <w:p w14:paraId="1860D471">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A34F2C">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1E3E002C">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528BC613">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4BF2411D">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67A4A583">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1D7BE9C6">
      <w:pPr>
        <w:pStyle w:val="136"/>
        <w:pageBreakBefore w:val="0"/>
        <w:numPr>
          <w:ilvl w:val="0"/>
          <w:numId w:val="0"/>
        </w:numPr>
        <w:kinsoku/>
        <w:wordWrap/>
        <w:overflowPunct/>
        <w:topLinePunct w:val="0"/>
        <w:bidi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rPr>
        <w:t>投标文件的提交、补充、修改、撤回</w:t>
      </w:r>
    </w:p>
    <w:p w14:paraId="53296A29">
      <w:pPr>
        <w:pStyle w:val="136"/>
        <w:pageBreakBefore w:val="0"/>
        <w:numPr>
          <w:ilvl w:val="0"/>
          <w:numId w:val="0"/>
        </w:numPr>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B3EE66">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3E8276A">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0A696AE5">
      <w:pPr>
        <w:pStyle w:val="3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1FA4C50E">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0B4448EC">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w:t>
      </w:r>
      <w:r>
        <w:rPr>
          <w:rFonts w:hint="eastAsia" w:hAnsi="宋体" w:cs="宋体"/>
          <w:color w:val="auto"/>
          <w:sz w:val="21"/>
          <w:szCs w:val="21"/>
          <w:highlight w:val="none"/>
        </w:rPr>
        <w:t>并储存在</w:t>
      </w:r>
      <w:r>
        <w:rPr>
          <w:rFonts w:hint="eastAsia" w:hAnsi="宋体" w:cs="宋体"/>
          <w:b/>
          <w:bCs/>
          <w:color w:val="auto"/>
          <w:kern w:val="28"/>
          <w:sz w:val="21"/>
          <w:szCs w:val="21"/>
          <w:highlight w:val="none"/>
        </w:rPr>
        <w:t>U盘存储</w:t>
      </w:r>
      <w:r>
        <w:rPr>
          <w:rFonts w:hint="eastAsia" w:hAnsi="宋体" w:cs="宋体"/>
          <w:b/>
          <w:bCs/>
          <w:color w:val="auto"/>
          <w:sz w:val="21"/>
          <w:szCs w:val="21"/>
          <w:highlight w:val="none"/>
        </w:rPr>
        <w:t>介质</w:t>
      </w:r>
      <w:r>
        <w:rPr>
          <w:rFonts w:hint="eastAsia" w:hAnsi="宋体" w:cs="宋体"/>
          <w:color w:val="auto"/>
          <w:sz w:val="21"/>
          <w:szCs w:val="21"/>
          <w:highlight w:val="none"/>
        </w:rPr>
        <w:t>中。</w:t>
      </w:r>
      <w:r>
        <w:rPr>
          <w:rFonts w:hint="eastAsia" w:ascii="宋体" w:hAnsi="宋体" w:eastAsia="宋体" w:cs="宋体"/>
          <w:color w:val="auto"/>
          <w:sz w:val="21"/>
          <w:szCs w:val="21"/>
          <w:highlight w:val="none"/>
        </w:rPr>
        <w:t>备份投标文件应当密封包装并在包装上加盖公章并注明投标项目名称，投标人名称。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4D70CED9">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700DC041">
      <w:pPr>
        <w:pStyle w:val="3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76E7610A">
      <w:pPr>
        <w:pStyle w:val="3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6B050D74">
      <w:pPr>
        <w:pStyle w:val="136"/>
        <w:pageBreakBefore w:val="0"/>
        <w:kinsoku/>
        <w:wordWrap/>
        <w:overflowPunct/>
        <w:topLinePunct w:val="0"/>
        <w:bidi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257450C8">
      <w:pPr>
        <w:pStyle w:val="26"/>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64579C20">
      <w:pPr>
        <w:pStyle w:val="136"/>
        <w:pageBreakBefore w:val="0"/>
        <w:kinsoku/>
        <w:wordWrap/>
        <w:overflowPunct/>
        <w:topLinePunct w:val="0"/>
        <w:bidi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42810D6B">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6569977A">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513FCC04">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2D133398">
      <w:pPr>
        <w:pStyle w:val="136"/>
        <w:pageBreakBefore w:val="0"/>
        <w:kinsoku/>
        <w:wordWrap/>
        <w:overflowPunct/>
        <w:topLinePunct w:val="0"/>
        <w:bidi w:val="0"/>
        <w:spacing w:before="0"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38C7C7F2">
      <w:pPr>
        <w:pStyle w:val="561"/>
        <w:pageBreakBefore w:val="0"/>
        <w:kinsoku/>
        <w:wordWrap/>
        <w:overflowPunct/>
        <w:topLinePunct w:val="0"/>
        <w:bidi w:val="0"/>
        <w:spacing w:before="0" w:beforeAutospacing="0" w:line="360" w:lineRule="auto"/>
        <w:ind w:left="0" w:leftChars="0"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3D731C93">
      <w:pPr>
        <w:pStyle w:val="561"/>
        <w:pageBreakBefore w:val="0"/>
        <w:kinsoku/>
        <w:wordWrap/>
        <w:overflowPunct/>
        <w:topLinePunct w:val="0"/>
        <w:bidi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00DDD7C6">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18.2电子招投标开标程序：</w:t>
      </w:r>
    </w:p>
    <w:p w14:paraId="23218E1F">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第一阶段：</w:t>
      </w:r>
    </w:p>
    <w:p w14:paraId="7A0AE6E5">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18.2.1投标截止时间后，供应商登录政府采购云平台，用“项目采购-开标评标”功能对电子投标文件进行在线解密，在线解密电子投标文件时间为开标时间后30分钟内。</w:t>
      </w:r>
      <w:r>
        <w:rPr>
          <w:rFonts w:hint="eastAsia" w:ascii="宋体" w:hAnsi="宋体" w:cs="宋体"/>
          <w:b/>
          <w:bCs/>
          <w:color w:val="auto"/>
          <w:sz w:val="21"/>
          <w:szCs w:val="21"/>
          <w:highlight w:val="none"/>
        </w:rPr>
        <w:t>投标</w:t>
      </w:r>
      <w:r>
        <w:rPr>
          <w:rFonts w:hint="eastAsia" w:ascii="宋体" w:hAnsi="宋体" w:cs="宋体"/>
          <w:b/>
          <w:color w:val="auto"/>
          <w:sz w:val="21"/>
          <w:szCs w:val="21"/>
          <w:highlight w:val="none"/>
        </w:rPr>
        <w:t>文件未按时解密，投标人提供了备份投标文件的，以备份投标文件作为依据，否则视为投标文件撤回。投标文件已按时解密的，备份投标文件自动失效。</w:t>
      </w:r>
    </w:p>
    <w:p w14:paraId="1BCE0A18">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18.2.2在政府采购云平台开启已解密供应商的“资格审查文件”和“商务技术文件”；</w:t>
      </w:r>
    </w:p>
    <w:p w14:paraId="15E692D9">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第二阶段：</w:t>
      </w:r>
    </w:p>
    <w:p w14:paraId="3CE303B5">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18.2.3在政府采购云平台宣告第一阶段评审无效供应商名单及理由；</w:t>
      </w:r>
    </w:p>
    <w:p w14:paraId="11926DE7">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18.2.4公布经第一阶段评审符合采购文件要求的供应商的商务技术得分情况；</w:t>
      </w:r>
    </w:p>
    <w:p w14:paraId="4F764897">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18.2.5在政府采购云平台开启除第一阶段无效标外的供应商的“报价文件”，并做开标记录；</w:t>
      </w:r>
    </w:p>
    <w:p w14:paraId="56B59C33">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18.2.6在政府采购云平台公布评审结果。</w:t>
      </w:r>
    </w:p>
    <w:p w14:paraId="64FDCC3F">
      <w:pPr>
        <w:adjustRightInd/>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rPr>
        <w:t>18.2.7开标会议结束。</w:t>
      </w:r>
    </w:p>
    <w:p w14:paraId="1C6B6327">
      <w:pPr>
        <w:pStyle w:val="136"/>
        <w:keepNext w:val="0"/>
        <w:keepLines w:val="0"/>
        <w:pageBreakBefore w:val="0"/>
        <w:kinsoku/>
        <w:wordWrap/>
        <w:overflowPunct/>
        <w:topLinePunct w:val="0"/>
        <w:bidi w:val="0"/>
        <w:adjustRightInd w:val="0"/>
        <w:spacing w:before="0" w:beforeAutospacing="0"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资格审查</w:t>
      </w:r>
    </w:p>
    <w:p w14:paraId="45A4065F">
      <w:pPr>
        <w:pStyle w:val="136"/>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5BA568AD">
      <w:pPr>
        <w:pStyle w:val="136"/>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4E817261">
      <w:pPr>
        <w:pStyle w:val="136"/>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15747DD5">
      <w:pPr>
        <w:pStyle w:val="136"/>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0BA7E691">
      <w:pPr>
        <w:pStyle w:val="136"/>
        <w:keepNext w:val="0"/>
        <w:keepLines w:val="0"/>
        <w:pageBreakBefore w:val="0"/>
        <w:kinsoku/>
        <w:wordWrap/>
        <w:overflowPunct/>
        <w:topLinePunct w:val="0"/>
        <w:bidi w:val="0"/>
        <w:adjustRightIn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7934DAC6">
      <w:pPr>
        <w:pStyle w:val="136"/>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将在资格审查时通过“信用中国”网站(www.creditchina.gov.cn)、中国政府采购网(www.ccgp.gov.cn)渠道查询投标人接受资格时的信用记录。</w:t>
      </w:r>
    </w:p>
    <w:p w14:paraId="679925F3">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35744D0A">
      <w:pPr>
        <w:pStyle w:val="136"/>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3885FF64">
      <w:pPr>
        <w:pageBreakBefore w:val="0"/>
        <w:kinsoku/>
        <w:wordWrap/>
        <w:overflowPunct/>
        <w:topLinePunct w:val="0"/>
        <w:bidi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05D47314">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3FF2D381">
      <w:pPr>
        <w:pageBreakBefore w:val="0"/>
        <w:kinsoku/>
        <w:wordWrap/>
        <w:overflowPunct/>
        <w:topLinePunct w:val="0"/>
        <w:bidi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 标</w:t>
      </w:r>
    </w:p>
    <w:p w14:paraId="1C8F8C7B">
      <w:pPr>
        <w:pStyle w:val="26"/>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22.确定中标供应商</w:t>
      </w:r>
    </w:p>
    <w:p w14:paraId="3144D13F">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769CD5B2">
      <w:pPr>
        <w:pStyle w:val="136"/>
        <w:pageBreakBefore w:val="0"/>
        <w:kinsoku/>
        <w:wordWrap/>
        <w:overflowPunct/>
        <w:topLinePunct w:val="0"/>
        <w:bidi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23.中标通知与中标结果公告</w:t>
      </w:r>
    </w:p>
    <w:p w14:paraId="3FDA77C6">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0A0D4BDC">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1"/>
          <w:szCs w:val="21"/>
          <w:highlight w:val="none"/>
        </w:rPr>
        <w:t>资格审查情况、评审专家抽取规则、符合性审查情况、</w:t>
      </w:r>
      <w:bookmarkEnd w:id="14"/>
      <w:r>
        <w:rPr>
          <w:rFonts w:hint="eastAsia" w:ascii="宋体" w:hAnsi="宋体" w:eastAsia="宋体" w:cs="宋体"/>
          <w:color w:val="auto"/>
          <w:sz w:val="21"/>
          <w:szCs w:val="21"/>
          <w:highlight w:val="none"/>
        </w:rPr>
        <w:t>未中标情况说明、中标公告期限以及评审专家名单、评分汇总及明细。</w:t>
      </w:r>
    </w:p>
    <w:p w14:paraId="2285C8E5">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4B651F1E">
      <w:pPr>
        <w:pStyle w:val="136"/>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23.4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3EC43838">
      <w:pPr>
        <w:pageBreakBefore w:val="0"/>
        <w:kinsoku/>
        <w:wordWrap/>
        <w:overflowPunct/>
        <w:topLinePunct w:val="0"/>
        <w:bidi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7C9F54BC">
      <w:pPr>
        <w:pStyle w:val="26"/>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color w:val="auto"/>
          <w:sz w:val="21"/>
          <w:szCs w:val="21"/>
          <w:highlight w:val="none"/>
        </w:rPr>
        <w:t>合同主要条款详见第五部分拟签订的合同文本。</w:t>
      </w:r>
    </w:p>
    <w:p w14:paraId="33F8E9A2">
      <w:pPr>
        <w:pStyle w:val="26"/>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25.合同的签订</w:t>
      </w:r>
    </w:p>
    <w:p w14:paraId="56595598">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0E1F59">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w:t>
      </w:r>
    </w:p>
    <w:p w14:paraId="4D18CE81">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348BAE19">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58BE3DE">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45787D4F">
      <w:pPr>
        <w:pStyle w:val="26"/>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26.履约保证金</w:t>
      </w:r>
    </w:p>
    <w:p w14:paraId="65114DF1">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FE5DF10">
      <w:pPr>
        <w:pStyle w:val="5"/>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rPr>
        <w:t>27.预付款</w:t>
      </w:r>
    </w:p>
    <w:p w14:paraId="2637F018">
      <w:pPr>
        <w:pageBreakBefore w:val="0"/>
        <w:kinsoku/>
        <w:wordWrap/>
        <w:overflowPunct/>
        <w:topLinePunct w:val="0"/>
        <w:bidi w:val="0"/>
        <w:adjustRightInd/>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可不适用前述规定。</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w:t>
      </w:r>
    </w:p>
    <w:p w14:paraId="61D0B8C6">
      <w:pPr>
        <w:pageBreakBefore w:val="0"/>
        <w:kinsoku/>
        <w:wordWrap/>
        <w:overflowPunct/>
        <w:topLinePunct w:val="0"/>
        <w:bidi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37E2DF60">
      <w:pPr>
        <w:pStyle w:val="136"/>
        <w:pageBreakBefore w:val="0"/>
        <w:kinsoku/>
        <w:wordWrap/>
        <w:overflowPunct/>
        <w:topLinePunct w:val="0"/>
        <w:bidi w:val="0"/>
        <w:snapToGrid w:val="0"/>
        <w:spacing w:before="0"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2F9C1EE8">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3EE21FBC">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75E4EE23">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50290C38">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2AE6B66E">
      <w:pPr>
        <w:pStyle w:val="136"/>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65716CD1">
      <w:pPr>
        <w:pStyle w:val="136"/>
        <w:pageBreakBefore w:val="0"/>
        <w:numPr>
          <w:ilvl w:val="0"/>
          <w:numId w:val="1"/>
        </w:numPr>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B7F3420">
      <w:pPr>
        <w:pStyle w:val="136"/>
        <w:pageBreakBefore w:val="0"/>
        <w:numPr>
          <w:ilvl w:val="0"/>
          <w:numId w:val="0"/>
        </w:numPr>
        <w:kinsoku/>
        <w:wordWrap/>
        <w:overflowPunct/>
        <w:topLinePunct w:val="0"/>
        <w:bidi w:val="0"/>
        <w:snapToGrid w:val="0"/>
        <w:spacing w:before="0" w:beforeAutospacing="0" w:line="360" w:lineRule="auto"/>
        <w:ind w:left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585FB18F">
      <w:pPr>
        <w:pStyle w:val="26"/>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63A1A484">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872A9F">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6C35FA40">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40700C">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357C321">
      <w:pPr>
        <w:rPr>
          <w:color w:val="auto"/>
          <w:highlight w:val="none"/>
        </w:rPr>
      </w:pPr>
      <w:r>
        <w:rPr>
          <w:rFonts w:hint="eastAsia" w:ascii="宋体" w:hAnsi="宋体" w:eastAsia="宋体" w:cs="宋体"/>
          <w:color w:val="auto"/>
          <w:kern w:val="0"/>
          <w:sz w:val="21"/>
          <w:szCs w:val="21"/>
          <w:highlight w:val="none"/>
        </w:rPr>
        <w:br w:type="page"/>
      </w:r>
    </w:p>
    <w:bookmarkEnd w:id="11"/>
    <w:bookmarkEnd w:id="12"/>
    <w:bookmarkEnd w:id="13"/>
    <w:p w14:paraId="685E870A">
      <w:pPr>
        <w:numPr>
          <w:ilvl w:val="0"/>
          <w:numId w:val="2"/>
        </w:numPr>
        <w:spacing w:line="360" w:lineRule="auto"/>
        <w:jc w:val="center"/>
        <w:outlineLvl w:val="0"/>
        <w:rPr>
          <w:rFonts w:hint="eastAsia" w:ascii="宋体" w:hAnsi="宋体" w:cs="宋体"/>
          <w:b/>
          <w:color w:val="auto"/>
          <w:sz w:val="36"/>
          <w:szCs w:val="36"/>
          <w:highlight w:val="none"/>
        </w:rPr>
      </w:pPr>
      <w:bookmarkStart w:id="15" w:name="_Hlt74730295"/>
      <w:bookmarkEnd w:id="15"/>
      <w:bookmarkStart w:id="16" w:name="_Hlt74714665"/>
      <w:bookmarkEnd w:id="16"/>
      <w:bookmarkStart w:id="17" w:name="_Hlt68073093"/>
      <w:bookmarkEnd w:id="17"/>
      <w:bookmarkStart w:id="18" w:name="_Hlt75236011"/>
      <w:bookmarkEnd w:id="18"/>
      <w:bookmarkStart w:id="19" w:name="_Hlt75236101"/>
      <w:bookmarkEnd w:id="19"/>
      <w:bookmarkStart w:id="20" w:name="_Hlt68057669"/>
      <w:bookmarkEnd w:id="20"/>
      <w:bookmarkStart w:id="21" w:name="_Hlt74707468"/>
      <w:bookmarkEnd w:id="21"/>
      <w:bookmarkStart w:id="22" w:name="_Hlt68072998"/>
      <w:bookmarkEnd w:id="22"/>
      <w:bookmarkStart w:id="23" w:name="_Hlt75236290"/>
      <w:bookmarkEnd w:id="23"/>
      <w:bookmarkStart w:id="24" w:name="_Hlt68403820"/>
      <w:bookmarkEnd w:id="24"/>
      <w:bookmarkStart w:id="25" w:name="_Hlt68072990"/>
      <w:bookmarkEnd w:id="25"/>
      <w:bookmarkStart w:id="26" w:name="_Hlt74729768"/>
      <w:bookmarkEnd w:id="26"/>
      <w:bookmarkStart w:id="27" w:name="第四部分"/>
      <w:r>
        <w:rPr>
          <w:rFonts w:hint="eastAsia" w:ascii="宋体" w:hAnsi="宋体" w:cs="宋体"/>
          <w:b/>
          <w:color w:val="auto"/>
          <w:sz w:val="36"/>
          <w:szCs w:val="36"/>
          <w:highlight w:val="none"/>
        </w:rPr>
        <w:t xml:space="preserve">  采购需求</w:t>
      </w:r>
    </w:p>
    <w:p w14:paraId="18FF9CA8">
      <w:pPr>
        <w:keepNext w:val="0"/>
        <w:keepLines w:val="0"/>
        <w:pageBreakBefore w:val="0"/>
        <w:numPr>
          <w:ilvl w:val="0"/>
          <w:numId w:val="0"/>
        </w:numPr>
        <w:wordWrap/>
        <w:topLinePunct w:val="0"/>
        <w:autoSpaceDE/>
        <w:autoSpaceDN/>
        <w:bidi w:val="0"/>
        <w:spacing w:line="360" w:lineRule="auto"/>
        <w:jc w:val="left"/>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、商务要求</w:t>
      </w:r>
    </w:p>
    <w:tbl>
      <w:tblPr>
        <w:tblStyle w:val="64"/>
        <w:tblW w:w="91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67"/>
        <w:gridCol w:w="7756"/>
      </w:tblGrid>
      <w:tr w14:paraId="072E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1367" w:type="dxa"/>
            <w:tcBorders>
              <w:right w:val="single" w:color="auto" w:sz="4" w:space="0"/>
            </w:tcBorders>
            <w:noWrap w:val="0"/>
            <w:vAlign w:val="center"/>
          </w:tcPr>
          <w:p w14:paraId="1ADFC49F">
            <w:pPr>
              <w:keepNext w:val="0"/>
              <w:keepLines w:val="0"/>
              <w:pageBreakBefore w:val="0"/>
              <w:wordWrap/>
              <w:topLinePunct w:val="0"/>
              <w:autoSpaceDE/>
              <w:autoSpaceDN/>
              <w:bidi w:val="0"/>
              <w:spacing w:line="40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项目名称</w:t>
            </w:r>
          </w:p>
        </w:tc>
        <w:tc>
          <w:tcPr>
            <w:tcW w:w="7756" w:type="dxa"/>
            <w:tcBorders>
              <w:left w:val="single" w:color="auto" w:sz="4" w:space="0"/>
            </w:tcBorders>
            <w:noWrap w:val="0"/>
            <w:vAlign w:val="center"/>
          </w:tcPr>
          <w:p w14:paraId="1F8FAF83">
            <w:pPr>
              <w:keepNext w:val="0"/>
              <w:keepLines w:val="0"/>
              <w:pageBreakBefore w:val="0"/>
              <w:wordWrap/>
              <w:topLinePunct w:val="0"/>
              <w:autoSpaceDE/>
              <w:autoSpaceDN/>
              <w:bidi w:val="0"/>
              <w:spacing w:line="400" w:lineRule="exac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庄桥街道除四害消杀服务外包项目</w:t>
            </w:r>
          </w:p>
        </w:tc>
      </w:tr>
      <w:tr w14:paraId="341A4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1367" w:type="dxa"/>
            <w:tcBorders>
              <w:right w:val="single" w:color="auto" w:sz="4" w:space="0"/>
            </w:tcBorders>
            <w:noWrap w:val="0"/>
            <w:vAlign w:val="center"/>
          </w:tcPr>
          <w:p w14:paraId="422F2085">
            <w:pPr>
              <w:keepNext w:val="0"/>
              <w:keepLines w:val="0"/>
              <w:pageBreakBefore w:val="0"/>
              <w:wordWrap/>
              <w:topLinePunct w:val="0"/>
              <w:autoSpaceDE/>
              <w:autoSpaceDN/>
              <w:bidi w:val="0"/>
              <w:spacing w:line="40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总服务期限</w:t>
            </w:r>
          </w:p>
        </w:tc>
        <w:tc>
          <w:tcPr>
            <w:tcW w:w="7756" w:type="dxa"/>
            <w:tcBorders>
              <w:left w:val="single" w:color="auto" w:sz="4" w:space="0"/>
            </w:tcBorders>
            <w:noWrap w:val="0"/>
            <w:vAlign w:val="center"/>
          </w:tcPr>
          <w:p w14:paraId="6C51219D">
            <w:pPr>
              <w:keepNext w:val="0"/>
              <w:keepLines w:val="0"/>
              <w:pageBreakBefore w:val="0"/>
              <w:wordWrap/>
              <w:topLinePunct w:val="0"/>
              <w:autoSpaceDE/>
              <w:autoSpaceDN/>
              <w:bidi w:val="0"/>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总服务期限为自合同签订之日起</w:t>
            </w:r>
            <w:r>
              <w:rPr>
                <w:rFonts w:hint="eastAsia" w:ascii="宋体" w:hAnsi="宋体" w:cs="宋体"/>
                <w:color w:val="auto"/>
                <w:sz w:val="21"/>
                <w:szCs w:val="21"/>
                <w:highlight w:val="none"/>
                <w:lang w:val="en-US" w:eastAsia="zh-CN"/>
              </w:rPr>
              <w:t>两</w:t>
            </w:r>
            <w:r>
              <w:rPr>
                <w:rFonts w:hint="eastAsia" w:ascii="宋体" w:hAnsi="宋体" w:cs="宋体"/>
                <w:color w:val="auto"/>
                <w:sz w:val="21"/>
                <w:szCs w:val="21"/>
                <w:highlight w:val="none"/>
                <w:lang w:eastAsia="zh-CN"/>
              </w:rPr>
              <w:t>年。（合同一年一签。第一年自合同签订之日起计算。第二年采购单位根据中标人在上一年度的合同履约、考核情况决定是否续签）。</w:t>
            </w:r>
          </w:p>
        </w:tc>
      </w:tr>
      <w:tr w14:paraId="2A35C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2" w:hRule="atLeast"/>
          <w:jc w:val="center"/>
        </w:trPr>
        <w:tc>
          <w:tcPr>
            <w:tcW w:w="1367" w:type="dxa"/>
            <w:tcBorders>
              <w:right w:val="single" w:color="auto" w:sz="4" w:space="0"/>
            </w:tcBorders>
            <w:noWrap w:val="0"/>
            <w:vAlign w:val="center"/>
          </w:tcPr>
          <w:p w14:paraId="6C1372B7">
            <w:pPr>
              <w:pStyle w:val="961"/>
              <w:keepNext w:val="0"/>
              <w:keepLines w:val="0"/>
              <w:pageBreakBefore w:val="0"/>
              <w:kinsoku w:val="0"/>
              <w:wordWrap/>
              <w:overflowPunct w:val="0"/>
              <w:topLinePunct w:val="0"/>
              <w:autoSpaceDE/>
              <w:autoSpaceDN/>
              <w:bidi w:val="0"/>
              <w:ind w:left="103" w:leftChars="0"/>
              <w:jc w:val="center"/>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▲最高限价</w:t>
            </w:r>
          </w:p>
        </w:tc>
        <w:tc>
          <w:tcPr>
            <w:tcW w:w="7756" w:type="dxa"/>
            <w:tcBorders>
              <w:left w:val="single" w:color="auto" w:sz="4" w:space="0"/>
            </w:tcBorders>
            <w:noWrap w:val="0"/>
            <w:vAlign w:val="center"/>
          </w:tcPr>
          <w:p w14:paraId="7806B657">
            <w:pPr>
              <w:keepNext w:val="0"/>
              <w:keepLines w:val="0"/>
              <w:pageBreakBefore w:val="0"/>
              <w:numPr>
                <w:ilvl w:val="0"/>
                <w:numId w:val="0"/>
              </w:numPr>
              <w:wordWrap/>
              <w:topLinePunct w:val="0"/>
              <w:autoSpaceDE/>
              <w:autoSpaceDN/>
              <w:bidi w:val="0"/>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本项目最高限价为</w:t>
            </w:r>
            <w:r>
              <w:rPr>
                <w:rFonts w:hint="eastAsia" w:ascii="宋体" w:hAnsi="宋体" w:cs="宋体"/>
                <w:color w:val="auto"/>
                <w:sz w:val="21"/>
                <w:szCs w:val="21"/>
                <w:highlight w:val="none"/>
                <w:lang w:val="en-US" w:eastAsia="zh-CN"/>
              </w:rPr>
              <w:t>400000元/年</w:t>
            </w:r>
            <w:r>
              <w:rPr>
                <w:rFonts w:hint="eastAsia" w:ascii="宋体" w:hAnsi="宋体" w:cs="宋体"/>
                <w:color w:val="auto"/>
                <w:sz w:val="21"/>
                <w:szCs w:val="21"/>
                <w:highlight w:val="none"/>
              </w:rPr>
              <w:t>；</w:t>
            </w:r>
          </w:p>
          <w:p w14:paraId="017A7950">
            <w:pPr>
              <w:keepNext w:val="0"/>
              <w:keepLines w:val="0"/>
              <w:pageBreakBefore w:val="0"/>
              <w:wordWrap/>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注：投标报价超过最高限价的作无效标处理。</w:t>
            </w:r>
          </w:p>
        </w:tc>
      </w:tr>
      <w:tr w14:paraId="7E17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4" w:hRule="atLeast"/>
          <w:jc w:val="center"/>
        </w:trPr>
        <w:tc>
          <w:tcPr>
            <w:tcW w:w="1367" w:type="dxa"/>
            <w:tcBorders>
              <w:right w:val="single" w:color="auto" w:sz="4" w:space="0"/>
            </w:tcBorders>
            <w:noWrap w:val="0"/>
            <w:vAlign w:val="center"/>
          </w:tcPr>
          <w:p w14:paraId="2058336C">
            <w:pPr>
              <w:keepNext w:val="0"/>
              <w:keepLines w:val="0"/>
              <w:pageBreakBefore w:val="0"/>
              <w:widowControl/>
              <w:kinsoku/>
              <w:wordWrap/>
              <w:overflowPunct/>
              <w:topLinePunct w:val="0"/>
              <w:autoSpaceDE/>
              <w:autoSpaceDN/>
              <w:bidi w:val="0"/>
              <w:adjustRightInd w:val="0"/>
              <w:snapToGrid w:val="0"/>
              <w:spacing w:line="440" w:lineRule="exact"/>
              <w:ind w:left="0" w:firstLine="0"/>
              <w:jc w:val="center"/>
              <w:textAlignment w:val="auto"/>
              <w:rPr>
                <w:rFonts w:hint="eastAsia" w:ascii="宋体" w:hAnsi="宋体" w:eastAsia="宋体" w:cs="宋体"/>
                <w:b w:val="0"/>
                <w:bCs w:val="0"/>
                <w:color w:val="auto"/>
                <w:sz w:val="21"/>
                <w:szCs w:val="21"/>
                <w:highlight w:val="none"/>
              </w:rPr>
            </w:pPr>
            <w:r>
              <w:rPr>
                <w:rFonts w:hint="eastAsia" w:ascii="宋体" w:hAnsi="宋体" w:cs="宋体"/>
                <w:color w:val="auto"/>
                <w:kern w:val="0"/>
                <w:sz w:val="21"/>
                <w:szCs w:val="21"/>
                <w:highlight w:val="none"/>
              </w:rPr>
              <w:t>▲</w:t>
            </w:r>
            <w:r>
              <w:rPr>
                <w:rFonts w:hint="eastAsia" w:ascii="宋体" w:hAnsi="宋体" w:eastAsia="宋体" w:cs="宋体"/>
                <w:b w:val="0"/>
                <w:bCs w:val="0"/>
                <w:color w:val="auto"/>
                <w:sz w:val="21"/>
                <w:szCs w:val="21"/>
                <w:highlight w:val="none"/>
              </w:rPr>
              <w:t>付款方式</w:t>
            </w:r>
          </w:p>
        </w:tc>
        <w:tc>
          <w:tcPr>
            <w:tcW w:w="7756" w:type="dxa"/>
            <w:tcBorders>
              <w:left w:val="single" w:color="auto" w:sz="4" w:space="0"/>
            </w:tcBorders>
            <w:noWrap w:val="0"/>
            <w:vAlign w:val="center"/>
          </w:tcPr>
          <w:p w14:paraId="7CAB0CF6">
            <w:pPr>
              <w:keepNext w:val="0"/>
              <w:keepLines w:val="0"/>
              <w:pageBreakBefore w:val="0"/>
              <w:numPr>
                <w:ilvl w:val="0"/>
                <w:numId w:val="0"/>
              </w:numPr>
              <w:wordWrap/>
              <w:topLinePunct w:val="0"/>
              <w:autoSpaceDE/>
              <w:autoSpaceDN/>
              <w:bidi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1.采购人在合同签订后7个工作日内支付合同价的20%。</w:t>
            </w:r>
          </w:p>
          <w:p w14:paraId="50A6D19A">
            <w:pPr>
              <w:keepNext w:val="0"/>
              <w:keepLines w:val="0"/>
              <w:pageBreakBefore w:val="0"/>
              <w:numPr>
                <w:ilvl w:val="0"/>
                <w:numId w:val="0"/>
              </w:numPr>
              <w:wordWrap/>
              <w:topLinePunct w:val="0"/>
              <w:autoSpaceDE/>
              <w:autoSpaceDN/>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2.服务费每三个月支付一次，采购人在每三个月月末</w:t>
            </w:r>
            <w:r>
              <w:rPr>
                <w:rFonts w:hint="eastAsia" w:ascii="宋体" w:hAnsi="宋体" w:cs="宋体"/>
                <w:color w:val="auto"/>
                <w:sz w:val="21"/>
                <w:szCs w:val="21"/>
                <w:highlight w:val="none"/>
                <w:lang w:val="en-US" w:eastAsia="zh-CN"/>
              </w:rPr>
              <w:t>7个工作日内</w:t>
            </w:r>
            <w:r>
              <w:rPr>
                <w:rFonts w:hint="eastAsia" w:ascii="宋体" w:hAnsi="宋体" w:eastAsia="宋体" w:cs="宋体"/>
                <w:color w:val="auto"/>
                <w:sz w:val="21"/>
                <w:szCs w:val="21"/>
                <w:highlight w:val="none"/>
                <w:lang w:val="en-US" w:eastAsia="zh-CN"/>
              </w:rPr>
              <w:t>支付</w:t>
            </w:r>
            <w:r>
              <w:rPr>
                <w:rFonts w:hint="eastAsia" w:ascii="宋体" w:hAnsi="宋体" w:cs="宋体"/>
                <w:color w:val="auto"/>
                <w:sz w:val="21"/>
                <w:szCs w:val="21"/>
                <w:highlight w:val="none"/>
                <w:lang w:val="en-US" w:eastAsia="zh-CN"/>
              </w:rPr>
              <w:t>合同价</w:t>
            </w:r>
            <w:r>
              <w:rPr>
                <w:rFonts w:hint="eastAsia" w:ascii="宋体" w:hAnsi="宋体" w:eastAsia="宋体" w:cs="宋体"/>
                <w:color w:val="auto"/>
                <w:sz w:val="21"/>
                <w:szCs w:val="21"/>
                <w:highlight w:val="none"/>
                <w:lang w:val="en-US" w:eastAsia="zh-CN"/>
              </w:rPr>
              <w:t>的15%。支付时需要附有辖区内各社区、村、农贸市场及五小行业等签字确认的消杀情况报告（每月至少两次）。</w:t>
            </w:r>
          </w:p>
          <w:p w14:paraId="64DD66C1">
            <w:pPr>
              <w:keepNext w:val="0"/>
              <w:keepLines w:val="0"/>
              <w:pageBreakBefore w:val="0"/>
              <w:numPr>
                <w:ilvl w:val="0"/>
                <w:numId w:val="0"/>
              </w:numPr>
              <w:wordWrap/>
              <w:topLinePunct w:val="0"/>
              <w:autoSpaceDE/>
              <w:autoSpaceDN/>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3.若合同履行时间内，中标人在各级检查中四害密度控制水平未达到国家规定的C级，每次扣1万元。</w:t>
            </w:r>
          </w:p>
          <w:p w14:paraId="2AB8E2F7">
            <w:pPr>
              <w:keepNext w:val="0"/>
              <w:keepLines w:val="0"/>
              <w:pageBreakBefore w:val="0"/>
              <w:numPr>
                <w:ilvl w:val="0"/>
                <w:numId w:val="0"/>
              </w:numPr>
              <w:wordWrap/>
              <w:topLinePunct w:val="0"/>
              <w:autoSpaceDE/>
              <w:autoSpaceDN/>
              <w:bidi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4.合同期满后，采购人</w:t>
            </w:r>
            <w:r>
              <w:rPr>
                <w:rFonts w:hint="eastAsia" w:ascii="宋体" w:hAnsi="宋体" w:cs="宋体"/>
                <w:color w:val="auto"/>
                <w:sz w:val="21"/>
                <w:szCs w:val="21"/>
                <w:highlight w:val="none"/>
                <w:lang w:val="en-US" w:eastAsia="zh-CN"/>
              </w:rPr>
              <w:t>需7个工作日内</w:t>
            </w:r>
            <w:r>
              <w:rPr>
                <w:rFonts w:hint="eastAsia" w:ascii="宋体" w:hAnsi="宋体" w:eastAsia="宋体" w:cs="宋体"/>
                <w:color w:val="auto"/>
                <w:sz w:val="21"/>
                <w:szCs w:val="21"/>
                <w:highlight w:val="none"/>
                <w:lang w:val="en-US" w:eastAsia="zh-CN"/>
              </w:rPr>
              <w:t>支付扣除</w:t>
            </w:r>
            <w:r>
              <w:rPr>
                <w:rFonts w:hint="eastAsia" w:ascii="宋体" w:hAnsi="宋体" w:cs="宋体"/>
                <w:color w:val="auto"/>
                <w:sz w:val="21"/>
                <w:szCs w:val="21"/>
                <w:highlight w:val="none"/>
                <w:lang w:val="en-US" w:eastAsia="zh-CN"/>
              </w:rPr>
              <w:t>违约金</w:t>
            </w:r>
            <w:r>
              <w:rPr>
                <w:rFonts w:hint="eastAsia" w:ascii="宋体" w:hAnsi="宋体" w:eastAsia="宋体" w:cs="宋体"/>
                <w:color w:val="auto"/>
                <w:sz w:val="21"/>
                <w:szCs w:val="21"/>
                <w:highlight w:val="none"/>
                <w:lang w:val="en-US" w:eastAsia="zh-CN"/>
              </w:rPr>
              <w:t>后的剩余款项。</w:t>
            </w:r>
          </w:p>
          <w:p w14:paraId="7238B277">
            <w:pPr>
              <w:keepNext w:val="0"/>
              <w:keepLines w:val="0"/>
              <w:pageBreakBefore w:val="0"/>
              <w:numPr>
                <w:ilvl w:val="0"/>
                <w:numId w:val="0"/>
              </w:numPr>
              <w:wordWrap/>
              <w:topLinePunct w:val="0"/>
              <w:autoSpaceDE/>
              <w:autoSpaceDN/>
              <w:bidi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5.如中标人连续3次工作没有达到省、市、区各级"除四害"工作相关要求，采购人有权不支付除已支付部分合同金额外的其余合同金额，同时采购人有权没收全部履约保证金，且有权解除合同。</w:t>
            </w:r>
          </w:p>
        </w:tc>
      </w:tr>
      <w:tr w14:paraId="0336F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4" w:hRule="atLeast"/>
          <w:jc w:val="center"/>
        </w:trPr>
        <w:tc>
          <w:tcPr>
            <w:tcW w:w="1367" w:type="dxa"/>
            <w:tcBorders>
              <w:right w:val="single" w:color="auto" w:sz="4" w:space="0"/>
            </w:tcBorders>
            <w:noWrap w:val="0"/>
            <w:vAlign w:val="center"/>
          </w:tcPr>
          <w:p w14:paraId="417C0D5F">
            <w:pPr>
              <w:keepNext w:val="0"/>
              <w:keepLines w:val="0"/>
              <w:pageBreakBefore w:val="0"/>
              <w:widowControl/>
              <w:kinsoku/>
              <w:wordWrap/>
              <w:overflowPunct/>
              <w:topLinePunct w:val="0"/>
              <w:autoSpaceDE/>
              <w:autoSpaceDN/>
              <w:bidi w:val="0"/>
              <w:adjustRightInd w:val="0"/>
              <w:snapToGrid w:val="0"/>
              <w:spacing w:line="440" w:lineRule="exact"/>
              <w:ind w:left="0" w:firstLine="0"/>
              <w:jc w:val="center"/>
              <w:textAlignment w:val="auto"/>
              <w:rPr>
                <w:rFonts w:hint="eastAsia" w:ascii="宋体" w:hAnsi="宋体" w:eastAsia="宋体" w:cs="宋体"/>
                <w:b w:val="0"/>
                <w:bCs w:val="0"/>
                <w:color w:val="auto"/>
                <w:sz w:val="21"/>
                <w:szCs w:val="21"/>
                <w:highlight w:val="none"/>
              </w:rPr>
            </w:pPr>
            <w:r>
              <w:rPr>
                <w:rFonts w:hint="eastAsia" w:ascii="宋体" w:hAnsi="宋体" w:cs="宋体"/>
                <w:color w:val="auto"/>
                <w:kern w:val="0"/>
                <w:sz w:val="21"/>
                <w:szCs w:val="21"/>
                <w:highlight w:val="none"/>
              </w:rPr>
              <w:t>▲</w:t>
            </w:r>
            <w:r>
              <w:rPr>
                <w:rFonts w:hint="eastAsia" w:ascii="宋体" w:hAnsi="宋体" w:eastAsia="宋体" w:cs="宋体"/>
                <w:b w:val="0"/>
                <w:bCs w:val="0"/>
                <w:color w:val="auto"/>
                <w:sz w:val="21"/>
                <w:szCs w:val="21"/>
                <w:highlight w:val="none"/>
                <w:lang w:val="en-US"/>
              </w:rPr>
              <w:t>履约保证金</w:t>
            </w:r>
          </w:p>
        </w:tc>
        <w:tc>
          <w:tcPr>
            <w:tcW w:w="7756" w:type="dxa"/>
            <w:tcBorders>
              <w:left w:val="single" w:color="auto" w:sz="4" w:space="0"/>
            </w:tcBorders>
            <w:noWrap w:val="0"/>
            <w:vAlign w:val="center"/>
          </w:tcPr>
          <w:p w14:paraId="4245320B">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金额：</w:t>
            </w:r>
            <w:r>
              <w:rPr>
                <w:rFonts w:hint="eastAsia" w:ascii="宋体" w:hAnsi="宋体" w:cs="宋体"/>
                <w:b w:val="0"/>
                <w:bCs w:val="0"/>
                <w:color w:val="auto"/>
                <w:kern w:val="2"/>
                <w:sz w:val="21"/>
                <w:szCs w:val="21"/>
                <w:highlight w:val="none"/>
                <w:lang w:val="en-US" w:eastAsia="zh-CN" w:bidi="ar-SA"/>
              </w:rPr>
              <w:t>合同价的0.5%</w:t>
            </w:r>
            <w:r>
              <w:rPr>
                <w:rFonts w:hint="eastAsia" w:ascii="宋体" w:hAnsi="宋体" w:eastAsia="宋体" w:cs="宋体"/>
                <w:b w:val="0"/>
                <w:bCs w:val="0"/>
                <w:color w:val="auto"/>
                <w:kern w:val="2"/>
                <w:sz w:val="21"/>
                <w:szCs w:val="21"/>
                <w:highlight w:val="none"/>
                <w:lang w:val="en-US" w:eastAsia="zh-CN" w:bidi="ar-SA"/>
              </w:rPr>
              <w:t>；</w:t>
            </w:r>
          </w:p>
          <w:p w14:paraId="3AA856A8">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形式：电汇、网银、</w:t>
            </w:r>
            <w:r>
              <w:rPr>
                <w:rFonts w:hint="eastAsia" w:ascii="宋体" w:hAnsi="宋体" w:eastAsia="宋体" w:cs="宋体"/>
                <w:b w:val="0"/>
                <w:bCs w:val="0"/>
                <w:color w:val="auto"/>
                <w:sz w:val="21"/>
                <w:szCs w:val="21"/>
                <w:highlight w:val="none"/>
                <w:lang w:val="en-US" w:eastAsia="zh-CN"/>
              </w:rPr>
              <w:t>支票、</w:t>
            </w:r>
            <w:r>
              <w:rPr>
                <w:rFonts w:hint="eastAsia" w:ascii="宋体" w:hAnsi="宋体" w:eastAsia="宋体" w:cs="宋体"/>
                <w:b w:val="0"/>
                <w:bCs w:val="0"/>
                <w:color w:val="auto"/>
                <w:sz w:val="21"/>
                <w:szCs w:val="21"/>
                <w:highlight w:val="none"/>
                <w:lang w:val="en-US"/>
              </w:rPr>
              <w:t>银行保函（采购人认可的银行开具的保函）、保险保单。</w:t>
            </w:r>
          </w:p>
          <w:p w14:paraId="43773C88">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提交时间：合同签订后10个工作日内。</w:t>
            </w:r>
          </w:p>
          <w:p w14:paraId="2597817B">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履约保证金退还：</w:t>
            </w:r>
            <w:r>
              <w:rPr>
                <w:rFonts w:hint="eastAsia" w:ascii="宋体" w:hAnsi="宋体" w:eastAsia="宋体" w:cs="宋体"/>
                <w:b w:val="0"/>
                <w:bCs w:val="0"/>
                <w:color w:val="auto"/>
                <w:sz w:val="21"/>
                <w:szCs w:val="21"/>
                <w:highlight w:val="none"/>
                <w:lang w:val="en-US"/>
              </w:rPr>
              <w:t>履约保证金于合同履行完毕后(除违反招标文件中规定的投标人应尽的义务造成履约保证金被罚没的情况外)一个月内</w:t>
            </w:r>
            <w:r>
              <w:rPr>
                <w:rFonts w:hint="eastAsia" w:ascii="宋体" w:hAnsi="宋体" w:cs="宋体"/>
                <w:b w:val="0"/>
                <w:bCs w:val="0"/>
                <w:color w:val="auto"/>
                <w:sz w:val="21"/>
                <w:szCs w:val="21"/>
                <w:highlight w:val="none"/>
                <w:lang w:val="en-US" w:eastAsia="zh-CN"/>
              </w:rPr>
              <w:t>退还</w:t>
            </w:r>
            <w:r>
              <w:rPr>
                <w:rFonts w:hint="eastAsia" w:ascii="宋体" w:hAnsi="宋体" w:eastAsia="宋体" w:cs="宋体"/>
                <w:b w:val="0"/>
                <w:bCs w:val="0"/>
                <w:color w:val="auto"/>
                <w:sz w:val="21"/>
                <w:szCs w:val="21"/>
                <w:highlight w:val="none"/>
                <w:lang w:val="en-US"/>
              </w:rPr>
              <w:t>。</w:t>
            </w:r>
          </w:p>
        </w:tc>
      </w:tr>
    </w:tbl>
    <w:p w14:paraId="0045CB24">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二、技术要求</w:t>
      </w:r>
    </w:p>
    <w:p w14:paraId="03FC934D">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服务内容</w:t>
      </w:r>
      <w:r>
        <w:rPr>
          <w:rFonts w:hint="eastAsia" w:ascii="宋体" w:hAnsi="宋体" w:eastAsia="宋体" w:cs="宋体"/>
          <w:b/>
          <w:bCs/>
          <w:color w:val="auto"/>
          <w:sz w:val="21"/>
          <w:szCs w:val="21"/>
          <w:highlight w:val="none"/>
          <w:lang w:val="en-US" w:eastAsia="zh-CN"/>
        </w:rPr>
        <w:t>及范围</w:t>
      </w:r>
    </w:p>
    <w:p w14:paraId="09B1C843">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防治对象</w:t>
      </w:r>
      <w:r>
        <w:rPr>
          <w:rFonts w:hint="eastAsia" w:ascii="宋体" w:hAnsi="宋体" w:eastAsia="宋体" w:cs="宋体"/>
          <w:color w:val="auto"/>
          <w:sz w:val="21"/>
          <w:szCs w:val="21"/>
          <w:highlight w:val="none"/>
        </w:rPr>
        <w:t>：老鼠、蟑螂、苍蝇、蚊子等病媒生物。</w:t>
      </w:r>
    </w:p>
    <w:p w14:paraId="40E6BCDC">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防治范围</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.庄桥街道辖区内</w:t>
      </w:r>
      <w:r>
        <w:rPr>
          <w:rFonts w:hint="eastAsia" w:ascii="宋体" w:hAnsi="宋体" w:eastAsia="宋体" w:cs="宋体"/>
          <w:color w:val="auto"/>
          <w:sz w:val="21"/>
          <w:szCs w:val="21"/>
          <w:highlight w:val="none"/>
        </w:rPr>
        <w:t>居民小区所有可能存在“四害”的外环境，含实行物业管理和尚未实行物业管理的居民区。包括地下车库、绿化带、各类水体、楼道、果壳箱、垃圾房、垃圾桶、下水道等；</w:t>
      </w:r>
      <w:r>
        <w:rPr>
          <w:rFonts w:hint="eastAsia" w:ascii="宋体" w:hAnsi="宋体" w:eastAsia="宋体" w:cs="宋体"/>
          <w:color w:val="auto"/>
          <w:sz w:val="21"/>
          <w:szCs w:val="21"/>
          <w:highlight w:val="none"/>
          <w:lang w:eastAsia="zh-CN"/>
        </w:rPr>
        <w:t>庄桥街道</w:t>
      </w:r>
      <w:r>
        <w:rPr>
          <w:rFonts w:hint="eastAsia" w:ascii="宋体" w:hAnsi="宋体" w:eastAsia="宋体" w:cs="宋体"/>
          <w:color w:val="auto"/>
          <w:sz w:val="21"/>
          <w:szCs w:val="21"/>
          <w:highlight w:val="none"/>
        </w:rPr>
        <w:t>辖区公共场所及业主指定地点</w:t>
      </w:r>
      <w:r>
        <w:rPr>
          <w:rFonts w:hint="eastAsia" w:ascii="宋体" w:hAnsi="宋体" w:eastAsia="宋体" w:cs="宋体"/>
          <w:color w:val="auto"/>
          <w:sz w:val="21"/>
          <w:szCs w:val="21"/>
          <w:highlight w:val="none"/>
          <w:lang w:eastAsia="zh-CN"/>
        </w:rPr>
        <w:t>。</w:t>
      </w:r>
    </w:p>
    <w:p w14:paraId="31CBCE0A">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庄桥街道</w:t>
      </w:r>
      <w:r>
        <w:rPr>
          <w:rFonts w:hint="eastAsia" w:ascii="宋体" w:hAnsi="宋体" w:eastAsia="宋体" w:cs="宋体"/>
          <w:color w:val="auto"/>
          <w:sz w:val="21"/>
          <w:szCs w:val="21"/>
          <w:highlight w:val="none"/>
          <w:lang w:val="en-US" w:eastAsia="zh-CN"/>
        </w:rPr>
        <w:t>辖区内，主要包含区域为天水社区(天水家园一期、天水家园二期)、天合社区（天合家园一期、天合家园二期、水尚阑珊、长岛花园）、天成社区（天成家园一期、天成家园二期、天成家园三期、钰鼎园、金领公寓）、天沁社区（天沁家园、李渡湾、九万里、中海枫华里）、天悦社区（天悦家园、铂悦府、云玺新里）、广厦社区（广厦怡庭南区、广厦怡庭北区、丰汇华邸）、广庭社区（三和嘉园、宁馨园、谢嘉丽苑）、广庆社区（宝丽名苑、宝翠名苑、铂翠湾）、广泰社区（宝丰茗苑、姚景花园、万达公寓）、滨江社区（海外滩花苑1期、海外滩花苑2期、君御湾、郎诗清澄、世贸新岸）、费市社区（应嘉丽园、康丽花园、费市家苑）、河东社区（孔家春秋、和诚家园、晴楠东苑、新地曙光园）、河西社区（新星都市、丽庄西苑、樟韵人家）、华庭社区（邵余华庭、胡宿联庭）、天润社区（宝龙天地、宝旭观邸、九里江湾）、甬樾社区（甬樾湾东西区、和樾湾）、广怡社区（春风云筑、郎玥序章、悦富华里）、天铭社区（宝辉尚城、云栖兰汀苑）、工业B区和服务期间新交付的小区。</w:t>
      </w:r>
    </w:p>
    <w:p w14:paraId="6D4DCCD7">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3.庄桥街道辖区内</w:t>
      </w:r>
      <w:r>
        <w:rPr>
          <w:rFonts w:hint="eastAsia" w:ascii="宋体" w:hAnsi="宋体" w:eastAsia="宋体" w:cs="宋体"/>
          <w:color w:val="auto"/>
          <w:sz w:val="21"/>
          <w:szCs w:val="21"/>
          <w:highlight w:val="none"/>
        </w:rPr>
        <w:t>200平方米以下的重点场所，包括小餐饮店、小食品店、小作坊、小浴室、小美容美发、小歌舞厅、小网吧、小旅店等及外环境。</w:t>
      </w:r>
    </w:p>
    <w:p w14:paraId="5684CC50">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4.庄桥街道辖区内</w:t>
      </w:r>
      <w:r>
        <w:rPr>
          <w:rFonts w:hint="eastAsia" w:ascii="宋体" w:hAnsi="宋体" w:eastAsia="宋体" w:cs="宋体"/>
          <w:color w:val="auto"/>
          <w:sz w:val="21"/>
          <w:szCs w:val="21"/>
          <w:highlight w:val="none"/>
        </w:rPr>
        <w:t>城中村及城乡结合部，</w:t>
      </w:r>
      <w:r>
        <w:rPr>
          <w:rFonts w:hint="eastAsia" w:ascii="宋体" w:hAnsi="宋体" w:eastAsia="宋体" w:cs="宋体"/>
          <w:color w:val="auto"/>
          <w:sz w:val="21"/>
          <w:szCs w:val="21"/>
          <w:highlight w:val="none"/>
          <w:lang w:eastAsia="zh-CN"/>
        </w:rPr>
        <w:t>包括建成区结合部行政村（葛家村、孔家村）</w:t>
      </w:r>
      <w:r>
        <w:rPr>
          <w:rFonts w:hint="eastAsia" w:ascii="宋体" w:hAnsi="宋体" w:eastAsia="宋体" w:cs="宋体"/>
          <w:color w:val="auto"/>
          <w:sz w:val="21"/>
          <w:szCs w:val="21"/>
          <w:highlight w:val="none"/>
        </w:rPr>
        <w:t>。</w:t>
      </w:r>
    </w:p>
    <w:p w14:paraId="792F809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5.庄桥街道辖区内</w:t>
      </w:r>
      <w:r>
        <w:rPr>
          <w:rFonts w:hint="eastAsia" w:ascii="宋体" w:hAnsi="宋体" w:eastAsia="宋体" w:cs="宋体"/>
          <w:color w:val="auto"/>
          <w:sz w:val="21"/>
          <w:szCs w:val="21"/>
          <w:highlight w:val="none"/>
          <w:lang w:eastAsia="zh-CN"/>
        </w:rPr>
        <w:t>农贸市场2处（庄桥菜场、广厦菜场）</w:t>
      </w:r>
      <w:r>
        <w:rPr>
          <w:rFonts w:hint="eastAsia" w:ascii="宋体" w:hAnsi="宋体" w:eastAsia="宋体" w:cs="宋体"/>
          <w:color w:val="auto"/>
          <w:sz w:val="21"/>
          <w:szCs w:val="21"/>
          <w:highlight w:val="none"/>
        </w:rPr>
        <w:t>。</w:t>
      </w:r>
    </w:p>
    <w:p w14:paraId="4FD8E938">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6.庄桥街道辖区内</w:t>
      </w:r>
      <w:r>
        <w:rPr>
          <w:rFonts w:hint="eastAsia" w:ascii="宋体" w:hAnsi="宋体" w:eastAsia="宋体" w:cs="宋体"/>
          <w:color w:val="auto"/>
          <w:sz w:val="21"/>
          <w:szCs w:val="21"/>
          <w:highlight w:val="none"/>
        </w:rPr>
        <w:t>居住区外的街巷。</w:t>
      </w:r>
    </w:p>
    <w:p w14:paraId="27AABDC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7.庄桥街道辖区内教育（除幼儿园、中小学）、卫生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机关等单位：包含但不限于街道办公地点、街道社区卫生服务中心、庄桥</w:t>
      </w:r>
      <w:r>
        <w:rPr>
          <w:rFonts w:hint="eastAsia" w:ascii="宋体" w:hAnsi="宋体" w:cs="宋体"/>
          <w:color w:val="auto"/>
          <w:sz w:val="21"/>
          <w:szCs w:val="21"/>
          <w:highlight w:val="none"/>
          <w:lang w:val="en-US" w:eastAsia="zh-CN"/>
        </w:rPr>
        <w:t>派出所</w:t>
      </w:r>
      <w:r>
        <w:rPr>
          <w:rFonts w:hint="eastAsia" w:ascii="宋体" w:hAnsi="宋体" w:eastAsia="宋体" w:cs="宋体"/>
          <w:color w:val="auto"/>
          <w:sz w:val="21"/>
          <w:szCs w:val="21"/>
          <w:highlight w:val="none"/>
          <w:lang w:val="en-US" w:eastAsia="zh-CN"/>
        </w:rPr>
        <w:t>、庄桥交警队等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0C835594">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8.庄桥街道辖区内拆迁地块、</w:t>
      </w:r>
      <w:r>
        <w:rPr>
          <w:rFonts w:hint="eastAsia" w:ascii="宋体" w:hAnsi="宋体" w:eastAsia="宋体" w:cs="宋体"/>
          <w:color w:val="auto"/>
          <w:sz w:val="21"/>
          <w:szCs w:val="21"/>
          <w:highlight w:val="none"/>
        </w:rPr>
        <w:t>拆迁待建地块</w:t>
      </w:r>
      <w:r>
        <w:rPr>
          <w:rFonts w:hint="eastAsia" w:ascii="宋体" w:hAnsi="宋体" w:eastAsia="宋体" w:cs="宋体"/>
          <w:color w:val="auto"/>
          <w:sz w:val="21"/>
          <w:szCs w:val="21"/>
          <w:highlight w:val="none"/>
          <w:lang w:val="en-US" w:eastAsia="zh-CN"/>
        </w:rPr>
        <w:t>和闲置地块</w:t>
      </w:r>
      <w:r>
        <w:rPr>
          <w:rFonts w:hint="eastAsia" w:ascii="宋体" w:hAnsi="宋体" w:eastAsia="宋体" w:cs="宋体"/>
          <w:color w:val="auto"/>
          <w:sz w:val="21"/>
          <w:szCs w:val="21"/>
          <w:highlight w:val="none"/>
        </w:rPr>
        <w:t>。</w:t>
      </w:r>
    </w:p>
    <w:p w14:paraId="0133941E">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9.庄桥街道辖区内</w:t>
      </w:r>
      <w:r>
        <w:rPr>
          <w:rFonts w:hint="eastAsia" w:ascii="宋体" w:hAnsi="宋体" w:eastAsia="宋体" w:cs="宋体"/>
          <w:color w:val="auto"/>
          <w:sz w:val="21"/>
          <w:szCs w:val="21"/>
          <w:highlight w:val="none"/>
        </w:rPr>
        <w:t>公共绿地、公共广场、地下通道、公共厕所等公共区域、公共场所。</w:t>
      </w:r>
    </w:p>
    <w:p w14:paraId="5B0F546E">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工作标准及要求</w:t>
      </w:r>
    </w:p>
    <w:p w14:paraId="6CB24B48">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遵照方案、执行标准。消杀工作原则上按照国家《病媒生物密度控制水平》标准执行</w:t>
      </w:r>
      <w:r>
        <w:rPr>
          <w:rFonts w:hint="eastAsia" w:ascii="宋体" w:hAnsi="宋体" w:eastAsia="宋体" w:cs="宋体"/>
          <w:color w:val="auto"/>
          <w:sz w:val="21"/>
          <w:szCs w:val="21"/>
          <w:highlight w:val="none"/>
        </w:rPr>
        <w:t>。</w:t>
      </w:r>
    </w:p>
    <w:p w14:paraId="62D1EEFE">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根据“四害”等病媒生物的生活习性和环境情况，适时对指定消杀范围内的室外环境、公共绿地、下水道、阴井等和沿街的食品行业、公共场所进行科学有效的防制，将“四害”密度常态控制在全国爱卫会标准范围内。消杀频率按消杀规范进行（每月至少二次）。</w:t>
      </w:r>
    </w:p>
    <w:p w14:paraId="1C12581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科学用药、确保安全。必须使用全国爱卫会推荐或认可的安全卫生杀虫剂，不得使用高毒、高危药物。投放药品时要做好标记、设置警示、确保安全。若出现中毒现象，中标单位须及时做好抢救并做好善后工作。因违规作业而产生的后果由中标单位自理，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无涉。</w:t>
      </w:r>
    </w:p>
    <w:p w14:paraId="065AC2AC">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规范操作、档案齐全。扎实、规范、有效开展四害消杀工作，并做好工作资料的归档整理，及时向甲方单位提供工作档案、监测数据等资料文件。</w:t>
      </w:r>
    </w:p>
    <w:p w14:paraId="241415D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服从监督、及时整改。</w:t>
      </w:r>
      <w:r>
        <w:rPr>
          <w:rFonts w:hint="eastAsia" w:ascii="宋体" w:hAnsi="宋体" w:eastAsia="宋体" w:cs="宋体"/>
          <w:b/>
          <w:bCs/>
          <w:color w:val="auto"/>
          <w:sz w:val="21"/>
          <w:szCs w:val="21"/>
          <w:highlight w:val="none"/>
          <w:lang w:eastAsia="zh-CN"/>
        </w:rPr>
        <w:t>中标单位在合同期内，在各级爱卫会（办）的各种检查考核中，</w:t>
      </w:r>
      <w:r>
        <w:rPr>
          <w:rFonts w:hint="eastAsia" w:ascii="宋体" w:hAnsi="宋体" w:eastAsia="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lang w:eastAsia="zh-CN"/>
        </w:rPr>
        <w:t>能达到全国爱卫会和国家卫生城市等控制标准要求。在各级检查中四害密度控制水平未达到国家规定的C级，每次扣1万元。</w:t>
      </w:r>
      <w:r>
        <w:rPr>
          <w:rFonts w:hint="eastAsia" w:ascii="宋体" w:hAnsi="宋体" w:eastAsia="宋体" w:cs="宋体"/>
          <w:color w:val="auto"/>
          <w:sz w:val="21"/>
          <w:szCs w:val="21"/>
          <w:highlight w:val="none"/>
          <w:lang w:eastAsia="zh-CN"/>
        </w:rPr>
        <w:t>庄桥街道及上级卫生行政主管部门有权对中标单位的工作进行监督管理和业务指导，对工作中存在的问题，中标单位应当在规定期限内完成整改落实</w:t>
      </w:r>
      <w:r>
        <w:rPr>
          <w:rFonts w:hint="eastAsia" w:ascii="宋体" w:hAnsi="宋体" w:eastAsia="宋体" w:cs="宋体"/>
          <w:color w:val="auto"/>
          <w:sz w:val="21"/>
          <w:szCs w:val="21"/>
          <w:highlight w:val="none"/>
        </w:rPr>
        <w:t>。</w:t>
      </w:r>
    </w:p>
    <w:p w14:paraId="361A2938">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未尽事宜、友好协商。对标书和合同等相关条款中未予以明确的事宜，由双方友好协商，共同议定。</w:t>
      </w:r>
    </w:p>
    <w:p w14:paraId="7F2A5565">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（三）其他要求</w:t>
      </w:r>
    </w:p>
    <w:p w14:paraId="2A0D5D6F">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中标单位须在签订合同一个月内完成消杀工作实施方案、技术方案的制订，同时完成基础设施的设置、“四害”密度情况的调查摸底，上报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1B17E2FB">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合同范围内如有举报“四害”等病媒生物情况及突发相关事件的，中标单位应根据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要求，限时做好消杀服务。</w:t>
      </w:r>
    </w:p>
    <w:p w14:paraId="1EDC2CDE">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在工作或施药期间，要对被服务单位实行告知制度，告知在规定时间内不要揩抹、挪动药物，以确保杀虫工作不留死角，同时预防意外发生。</w:t>
      </w:r>
    </w:p>
    <w:p w14:paraId="148654B3">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指导、协助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和被服务单位完善防蝇、防鼠设施，清除鼠迹、蟑迹。</w:t>
      </w:r>
    </w:p>
    <w:p w14:paraId="7F4FFAC7">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落实人员，每月协助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完成以街道为单位的“四害”密度监测任务。</w:t>
      </w:r>
    </w:p>
    <w:p w14:paraId="0603A6B0">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公布举报电话，接受社会各方监督。</w:t>
      </w:r>
    </w:p>
    <w:p w14:paraId="76D6C748">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标单位发生重大工作失误，给采购人造成重大损失的；中标单位工作人员威胁、打骂服务对象或其他市民，造成重大影响的，采购人有权随时终止合同。若中标单位违约导致合同终止，中标单位需按合同价的10%向采购人支付违约金，违约金不足以弥补采购人损失的，采购人有权向中标单位提出赔偿要求。</w:t>
      </w:r>
    </w:p>
    <w:p w14:paraId="5DC343E8">
      <w:pPr>
        <w:pStyle w:val="25"/>
        <w:keepNext w:val="0"/>
        <w:keepLines w:val="0"/>
        <w:pageBreakBefore w:val="0"/>
        <w:kinsoku/>
        <w:wordWrap/>
        <w:overflowPunct/>
        <w:topLinePunct w:val="0"/>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8.中标单位在各级检查中未达标的，需在7天内完成整改，采购人有权进行抽查、验收。</w:t>
      </w:r>
    </w:p>
    <w:p w14:paraId="4261F57F">
      <w:pPr>
        <w:pStyle w:val="25"/>
        <w:keepNext w:val="0"/>
        <w:keepLines w:val="0"/>
        <w:pageBreakBefore w:val="0"/>
        <w:kinsoku/>
        <w:wordWrap/>
        <w:overflowPunct/>
        <w:topLinePunct w:val="0"/>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9.中标单位在提供工作期间造成</w:t>
      </w:r>
      <w:r>
        <w:rPr>
          <w:rFonts w:hint="eastAsia"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、中标单位或第三人的人身财产损失、安全事故的，由中标单位承担全部责任，与</w:t>
      </w:r>
      <w:r>
        <w:rPr>
          <w:rFonts w:hint="eastAsia"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无涉，如</w:t>
      </w:r>
      <w:r>
        <w:rPr>
          <w:rFonts w:hint="eastAsia"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先行赔偿的，有权向中标单位追偿。</w:t>
      </w:r>
    </w:p>
    <w:p w14:paraId="11980EDD">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（四）人员要求</w:t>
      </w:r>
    </w:p>
    <w:p w14:paraId="17E21F42">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1.本项目服务人员≥</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人。</w:t>
      </w:r>
    </w:p>
    <w:p w14:paraId="39E277E6">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2.服务人员必须服从采购人的日常检查、监督和指导。</w:t>
      </w:r>
    </w:p>
    <w:p w14:paraId="25AA6E5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color w:val="auto"/>
          <w:sz w:val="22"/>
          <w:szCs w:val="22"/>
          <w:highlight w:val="none"/>
          <w:lang w:val="en-US" w:eastAsia="zh-CN"/>
        </w:rPr>
      </w:pPr>
      <w:r>
        <w:rPr>
          <w:rFonts w:hint="eastAsia" w:ascii="宋体" w:hAnsi="宋体" w:eastAsia="宋体" w:cs="宋体"/>
          <w:color w:val="auto"/>
          <w:sz w:val="21"/>
          <w:szCs w:val="21"/>
          <w:highlight w:val="none"/>
          <w:lang w:val="en-US" w:eastAsia="zh-CN"/>
        </w:rPr>
        <w:t>3.服务人员应做好工作记录。</w:t>
      </w:r>
      <w:r>
        <w:rPr>
          <w:rFonts w:hint="eastAsia" w:ascii="仿宋" w:hAnsi="仿宋" w:eastAsia="仿宋" w:cs="仿宋"/>
          <w:color w:val="auto"/>
          <w:sz w:val="22"/>
          <w:szCs w:val="22"/>
          <w:highlight w:val="none"/>
          <w:lang w:val="en-US" w:eastAsia="zh-CN"/>
        </w:rPr>
        <w:t xml:space="preserve"> </w:t>
      </w:r>
    </w:p>
    <w:p w14:paraId="477917C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6CDF5C15">
      <w:pPr>
        <w:snapToGrid w:val="0"/>
        <w:spacing w:line="440" w:lineRule="exact"/>
        <w:rPr>
          <w:rFonts w:hint="eastAsia"/>
          <w:color w:val="auto"/>
          <w:highlight w:val="none"/>
        </w:rPr>
      </w:pPr>
      <w:r>
        <w:rPr>
          <w:rFonts w:hint="eastAsia" w:ascii="Times New Roman" w:hAnsi="Times New Roman" w:eastAsia="宋体" w:cs="Times New Roman"/>
          <w:b/>
          <w:bCs/>
          <w:i w:val="0"/>
          <w:color w:val="auto"/>
          <w:kern w:val="2"/>
          <w:sz w:val="21"/>
          <w:highlight w:val="none"/>
          <w:lang w:val="en-US" w:eastAsia="zh-CN" w:bidi="ar-SA"/>
        </w:rPr>
        <w:t>附件：浙江省病媒生物预防控制标准（试行）</w:t>
      </w:r>
    </w:p>
    <w:p w14:paraId="59D4DD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imes New Roman" w:hAnsi="Times New Roman" w:eastAsia="宋体" w:cs="Times New Roman"/>
          <w:color w:val="auto"/>
          <w:highlight w:val="none"/>
        </w:rPr>
      </w:pPr>
    </w:p>
    <w:p w14:paraId="22D35F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浙江省病媒生物预防控制标准（试行）</w:t>
      </w:r>
    </w:p>
    <w:p w14:paraId="625F35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浙江省爱国卫生促进条例》制订本标准。本标准所指的病媒生物是指鼠、蚊、蝇、蟑螂。根据病媒生物的活动特性和传病威胁，病媒生物预防控制按重点场所和一般场所实行不同的标准。重点场所指：医院、学校、宾馆、饭店、单位食堂、公园等人员聚集场所，粮库、食品生产经营场所、农贸市场、建筑工地、废品收购站、公共厕所、下水道、垃圾中转站、垃圾处理场等容易招致或者孳生病媒生物的场所。一般场所指除重点场所外的国家机关、社会组织、企业事业单位、居民委员会、村民委员会。</w:t>
      </w:r>
    </w:p>
    <w:p w14:paraId="1DD748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一、重点场所</w:t>
      </w:r>
    </w:p>
    <w:p w14:paraId="6EDD32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（一）病媒生物密度标准</w:t>
      </w:r>
    </w:p>
    <w:p w14:paraId="711C56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鼠：室内无活鼠，无鼠尸、鼠洞、鼠粪、鼠咬痕等鼠迹。</w:t>
      </w:r>
    </w:p>
    <w:p w14:paraId="32E25C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蚊：室内成蚊一视野范围内不超过2只。</w:t>
      </w:r>
    </w:p>
    <w:p w14:paraId="298338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室内外各类水体或积水无蚊幼和蛹孳生。</w:t>
      </w:r>
    </w:p>
    <w:p w14:paraId="26F64E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蝇：室内有蝇房间任一间不超过2只；生产或者经营直接入口食品的场所不得有蝇。</w:t>
      </w:r>
    </w:p>
    <w:p w14:paraId="04418F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垃圾存放容器等易孳生蝇类的场所，不得检出蝇幼虫和蛹。</w:t>
      </w:r>
    </w:p>
    <w:p w14:paraId="2C467F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蟑螂：室内有大蠊房间任一间不超过2只，或有小蠊房间任一间不超过4只。生产或者经营直接入口食品的场所不得检出活蟑螂。</w:t>
      </w:r>
    </w:p>
    <w:p w14:paraId="16CD92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室内任一间活卵鞘、死蟑螂、蟑螂粪便、蜕皮等蟑迹不超过2处。</w:t>
      </w:r>
    </w:p>
    <w:p w14:paraId="5475B6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（二）病媒生物防范、杀灭设施</w:t>
      </w:r>
    </w:p>
    <w:p w14:paraId="40B76B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防鼠灭鼠设施</w:t>
      </w:r>
    </w:p>
    <w:p w14:paraId="0E2F95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（1）与室外相连通的门、窗应密闭，房门下沿与地面的缝隙小于0.6厘米。</w:t>
      </w:r>
    </w:p>
    <w:p w14:paraId="49172F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（2）各类与外界相通的直径（孔径）大于1.3厘米的各种缝、孔、洞，无必要保留的必须使用水泥等硬质材料封堵，必须保留的如排气扇、排风口、下水道等应安装网眼小于1.3×1.3厘米金属丝网，防止鼠类入内。</w:t>
      </w:r>
    </w:p>
    <w:p w14:paraId="4A4FBB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（3）厨房、食品储藏室为木质门的，下部加钉至少30厘米高的铁皮或不锈钢。</w:t>
      </w:r>
    </w:p>
    <w:p w14:paraId="285C90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防蝇灭蝇设施</w:t>
      </w:r>
    </w:p>
    <w:p w14:paraId="2F97A7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（1）室内外相连的门、窗、通道等安装能够防止蝇类侵入到室内的纱窗纱门等防蝇设施，防蝇设施必须处于工作状态。</w:t>
      </w:r>
    </w:p>
    <w:p w14:paraId="614A4D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（2）餐厅、厨房应安装适当数量灭蝇器。灭蝇器安装位置适当，能有效使用。使用灭蝇灯的，应悬挂于距地面2米左右高度，且应与食品加工操作保持一定距离。</w:t>
      </w:r>
    </w:p>
    <w:p w14:paraId="140AD7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（3）农贸市场、垃圾中转站、垃圾处理场等场所应使用捕蝇笼等器具捕蝇灭蝇。</w:t>
      </w:r>
    </w:p>
    <w:p w14:paraId="7CAEC5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防蟑灭蟑设施</w:t>
      </w:r>
    </w:p>
    <w:p w14:paraId="429F61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室与室之间、室内与外界相通的各种缝、孔、洞以及室内易招致蟑螂栖息的缝隙应使用水泥、硅胶等材料封堵。</w:t>
      </w:r>
    </w:p>
    <w:p w14:paraId="28D70D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防蚊灭蚊设施</w:t>
      </w:r>
    </w:p>
    <w:p w14:paraId="03B893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（1）清除环境中可以清除的各类积水孳生地。</w:t>
      </w:r>
    </w:p>
    <w:p w14:paraId="4619BE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（2）水体管理。院内、建筑工地、废品收购站等场所范围内易孳生蚊幼虫的水体，在蚊孳生繁殖季节应采取投放灭蚊幼药物等措施。水体无蚊幼虫孳生。</w:t>
      </w:r>
    </w:p>
    <w:p w14:paraId="6BBD59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二、一般场所：</w:t>
      </w:r>
    </w:p>
    <w:p w14:paraId="684321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（一）病媒生物密度标准</w:t>
      </w:r>
    </w:p>
    <w:p w14:paraId="1D57DC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鼠：室内无活鼠，无鼠尸、鼠洞、鼠粪、鼠咬痕等鼠迹。</w:t>
      </w:r>
    </w:p>
    <w:p w14:paraId="4514CF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蚊：室内成蚊一视野范围内不超过5只。</w:t>
      </w:r>
    </w:p>
    <w:p w14:paraId="099A93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室内外各类水体或积水无蚊幼和蛹孳生。</w:t>
      </w:r>
    </w:p>
    <w:p w14:paraId="5E78CF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蝇：室内有蝇房间任一间不超过3只；</w:t>
      </w:r>
    </w:p>
    <w:p w14:paraId="0C5CE5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垃圾存放容器等易孳生蝇类的场所，不得检出蝇幼虫和蛹。</w:t>
      </w:r>
    </w:p>
    <w:p w14:paraId="0C0F60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w:t>
      </w:r>
      <w:r>
        <w:rPr>
          <w:rFonts w:hint="eastAsia" w:eastAsia="宋体" w:cs="Times New Roman"/>
          <w:color w:val="auto"/>
          <w:highlight w:val="none"/>
          <w:lang w:eastAsia="zh-CN"/>
        </w:rPr>
        <w:t>.</w:t>
      </w:r>
      <w:r>
        <w:rPr>
          <w:rFonts w:hint="eastAsia" w:ascii="Times New Roman" w:hAnsi="Times New Roman" w:eastAsia="宋体" w:cs="Times New Roman"/>
          <w:color w:val="auto"/>
          <w:highlight w:val="none"/>
        </w:rPr>
        <w:t>蟑螂：室内有大蠊房间任一间不超过4只，或有小蠊房间任一间不超过8只。</w:t>
      </w:r>
    </w:p>
    <w:p w14:paraId="3EEB0D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室内任一房间活卵鞘、蟑螂粪便、蜕皮等蟑迹不超过4处。</w:t>
      </w:r>
    </w:p>
    <w:p w14:paraId="7AB1C1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（二）病媒生物防范、杀灭设施</w:t>
      </w:r>
    </w:p>
    <w:p w14:paraId="112DE0DA">
      <w:pPr>
        <w:ind w:firstLine="420" w:firstLineChars="200"/>
        <w:rPr>
          <w:rFonts w:hint="default"/>
          <w:color w:val="auto"/>
          <w:highlight w:val="none"/>
          <w:lang w:val="en-US" w:eastAsia="zh-CN"/>
        </w:rPr>
        <w:sectPr>
          <w:headerReference r:id="rId7" w:type="default"/>
          <w:footerReference r:id="rId8" w:type="default"/>
          <w:pgSz w:w="11906" w:h="16838"/>
          <w:pgMar w:top="1134" w:right="1417" w:bottom="1134" w:left="1417" w:header="850" w:footer="850" w:gutter="0"/>
          <w:pgNumType w:fmt="decimal"/>
          <w:cols w:space="720" w:num="1"/>
        </w:sectPr>
      </w:pPr>
      <w:r>
        <w:rPr>
          <w:rFonts w:hint="eastAsia" w:ascii="Times New Roman" w:hAnsi="Times New Roman" w:eastAsia="宋体" w:cs="Times New Roman"/>
          <w:color w:val="auto"/>
          <w:highlight w:val="none"/>
        </w:rPr>
        <w:t>视具体情况参照重点单位病媒生物防范、杀灭设施的要求进行设置。</w:t>
      </w:r>
    </w:p>
    <w:p w14:paraId="3A046BC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70"/>
      <w:bookmarkEnd w:id="28"/>
      <w:bookmarkStart w:id="29" w:name="_Toc184312090"/>
      <w:bookmarkEnd w:id="29"/>
      <w:bookmarkStart w:id="30" w:name="_Toc184314439"/>
      <w:bookmarkEnd w:id="30"/>
      <w:bookmarkStart w:id="31" w:name="_Toc184310341"/>
      <w:bookmarkEnd w:id="31"/>
      <w:bookmarkStart w:id="32" w:name="_Toc184313240"/>
      <w:bookmarkEnd w:id="32"/>
      <w:bookmarkStart w:id="33" w:name="_Toc184310337"/>
      <w:bookmarkEnd w:id="33"/>
      <w:bookmarkStart w:id="34" w:name="_Toc184310343"/>
      <w:bookmarkEnd w:id="34"/>
      <w:bookmarkStart w:id="35" w:name="_Toc184310301"/>
      <w:bookmarkEnd w:id="35"/>
      <w:bookmarkStart w:id="36" w:name="_Toc184308053"/>
      <w:bookmarkEnd w:id="36"/>
      <w:bookmarkStart w:id="37" w:name="_Toc184313304"/>
      <w:bookmarkEnd w:id="37"/>
      <w:bookmarkStart w:id="38" w:name="_Toc184314480"/>
      <w:bookmarkEnd w:id="38"/>
      <w:bookmarkStart w:id="39" w:name="_Toc184313252"/>
      <w:bookmarkEnd w:id="39"/>
      <w:bookmarkStart w:id="40" w:name="_Toc184314449"/>
      <w:bookmarkEnd w:id="40"/>
      <w:bookmarkStart w:id="41" w:name="_Toc184313249"/>
      <w:bookmarkEnd w:id="41"/>
      <w:bookmarkStart w:id="42" w:name="_Toc184310313"/>
      <w:bookmarkEnd w:id="42"/>
      <w:bookmarkStart w:id="43" w:name="_Toc184310290"/>
      <w:bookmarkEnd w:id="43"/>
      <w:bookmarkStart w:id="44" w:name="_Toc184312068"/>
      <w:bookmarkEnd w:id="44"/>
      <w:bookmarkStart w:id="45" w:name="_Toc184310304"/>
      <w:bookmarkEnd w:id="45"/>
      <w:bookmarkStart w:id="46" w:name="_Toc184312133"/>
      <w:bookmarkEnd w:id="46"/>
      <w:bookmarkStart w:id="47" w:name="_Toc184308062"/>
      <w:bookmarkEnd w:id="47"/>
      <w:bookmarkStart w:id="48" w:name="_Toc184308044"/>
      <w:bookmarkEnd w:id="48"/>
      <w:bookmarkStart w:id="49" w:name="_Toc184308089"/>
      <w:bookmarkEnd w:id="49"/>
      <w:bookmarkStart w:id="50" w:name="_Toc184308090"/>
      <w:bookmarkEnd w:id="50"/>
      <w:bookmarkStart w:id="51" w:name="_Toc184313299"/>
      <w:bookmarkEnd w:id="51"/>
      <w:bookmarkStart w:id="52" w:name="_Toc184308097"/>
      <w:bookmarkEnd w:id="52"/>
      <w:bookmarkStart w:id="53" w:name="_Toc184308080"/>
      <w:bookmarkEnd w:id="53"/>
      <w:bookmarkStart w:id="54" w:name="_Toc184310292"/>
      <w:bookmarkEnd w:id="54"/>
      <w:bookmarkStart w:id="55" w:name="_Toc184310289"/>
      <w:bookmarkEnd w:id="55"/>
      <w:bookmarkStart w:id="56" w:name="_Toc184314442"/>
      <w:bookmarkEnd w:id="56"/>
      <w:bookmarkStart w:id="57" w:name="_Toc184310303"/>
      <w:bookmarkEnd w:id="57"/>
      <w:bookmarkStart w:id="58" w:name="_Toc184308058"/>
      <w:bookmarkEnd w:id="58"/>
      <w:bookmarkStart w:id="59" w:name="_Toc184310277"/>
      <w:bookmarkEnd w:id="59"/>
      <w:bookmarkStart w:id="60" w:name="_Toc184314424"/>
      <w:bookmarkEnd w:id="60"/>
      <w:bookmarkStart w:id="61" w:name="_Toc184308084"/>
      <w:bookmarkEnd w:id="61"/>
      <w:bookmarkStart w:id="62" w:name="_Toc184310275"/>
      <w:bookmarkEnd w:id="62"/>
      <w:bookmarkStart w:id="63" w:name="_Toc184308101"/>
      <w:bookmarkEnd w:id="63"/>
      <w:bookmarkStart w:id="64" w:name="_Toc184308095"/>
      <w:bookmarkEnd w:id="64"/>
      <w:bookmarkStart w:id="65" w:name="_Toc184310294"/>
      <w:bookmarkEnd w:id="65"/>
      <w:bookmarkStart w:id="66" w:name="_Toc184308104"/>
      <w:bookmarkEnd w:id="66"/>
      <w:bookmarkStart w:id="67" w:name="_Toc184313245"/>
      <w:bookmarkEnd w:id="67"/>
      <w:bookmarkStart w:id="68" w:name="_Toc184310296"/>
      <w:bookmarkEnd w:id="68"/>
      <w:bookmarkStart w:id="69" w:name="_Toc184308106"/>
      <w:bookmarkEnd w:id="69"/>
      <w:bookmarkStart w:id="70" w:name="_Toc184314426"/>
      <w:bookmarkEnd w:id="70"/>
      <w:bookmarkStart w:id="71" w:name="_Toc184308070"/>
      <w:bookmarkEnd w:id="71"/>
      <w:bookmarkStart w:id="72" w:name="_Toc184314453"/>
      <w:bookmarkEnd w:id="72"/>
      <w:bookmarkStart w:id="73" w:name="_Toc184312131"/>
      <w:bookmarkEnd w:id="73"/>
      <w:bookmarkStart w:id="74" w:name="_Toc184314434"/>
      <w:bookmarkEnd w:id="74"/>
      <w:bookmarkStart w:id="75" w:name="_Toc184310280"/>
      <w:bookmarkEnd w:id="75"/>
      <w:bookmarkStart w:id="76" w:name="_Toc184313278"/>
      <w:bookmarkEnd w:id="76"/>
      <w:bookmarkStart w:id="77" w:name="_Toc184312092"/>
      <w:bookmarkEnd w:id="77"/>
      <w:bookmarkStart w:id="78" w:name="_Toc184313302"/>
      <w:bookmarkEnd w:id="78"/>
      <w:bookmarkStart w:id="79" w:name="_Toc184310327"/>
      <w:bookmarkEnd w:id="79"/>
      <w:bookmarkStart w:id="80" w:name="_Toc184312101"/>
      <w:bookmarkEnd w:id="80"/>
      <w:bookmarkStart w:id="81" w:name="_Toc184313287"/>
      <w:bookmarkEnd w:id="81"/>
      <w:bookmarkStart w:id="82" w:name="_Toc184312100"/>
      <w:bookmarkEnd w:id="82"/>
      <w:bookmarkStart w:id="83" w:name="_Toc184310311"/>
      <w:bookmarkEnd w:id="83"/>
      <w:bookmarkStart w:id="84" w:name="_Toc184312087"/>
      <w:bookmarkEnd w:id="84"/>
      <w:bookmarkStart w:id="85" w:name="_Toc184312085"/>
      <w:bookmarkEnd w:id="85"/>
      <w:bookmarkStart w:id="86" w:name="_Toc184313293"/>
      <w:bookmarkEnd w:id="86"/>
      <w:bookmarkStart w:id="87" w:name="_Toc184314468"/>
      <w:bookmarkEnd w:id="87"/>
      <w:bookmarkStart w:id="88" w:name="_Toc184312129"/>
      <w:bookmarkEnd w:id="88"/>
      <w:bookmarkStart w:id="89" w:name="_Toc184308040"/>
      <w:bookmarkEnd w:id="89"/>
      <w:bookmarkStart w:id="90" w:name="_Toc184314457"/>
      <w:bookmarkEnd w:id="90"/>
      <w:bookmarkStart w:id="91" w:name="_Toc184310288"/>
      <w:bookmarkEnd w:id="91"/>
      <w:bookmarkStart w:id="92" w:name="_Toc184313310"/>
      <w:bookmarkEnd w:id="92"/>
      <w:bookmarkStart w:id="93" w:name="_Toc184308051"/>
      <w:bookmarkEnd w:id="93"/>
      <w:bookmarkStart w:id="94" w:name="_Toc184310284"/>
      <w:bookmarkEnd w:id="94"/>
      <w:bookmarkStart w:id="95" w:name="_Toc184312114"/>
      <w:bookmarkEnd w:id="95"/>
      <w:bookmarkStart w:id="96" w:name="_Toc184310274"/>
      <w:bookmarkEnd w:id="96"/>
      <w:bookmarkStart w:id="97" w:name="_Toc184310342"/>
      <w:bookmarkEnd w:id="97"/>
      <w:bookmarkStart w:id="98" w:name="_Toc184310295"/>
      <w:bookmarkEnd w:id="98"/>
      <w:bookmarkStart w:id="99" w:name="_Toc184313253"/>
      <w:bookmarkEnd w:id="99"/>
      <w:bookmarkStart w:id="100" w:name="_Toc184308064"/>
      <w:bookmarkEnd w:id="100"/>
      <w:bookmarkStart w:id="101" w:name="_Toc184310338"/>
      <w:bookmarkEnd w:id="101"/>
      <w:bookmarkStart w:id="102" w:name="_Toc184312093"/>
      <w:bookmarkEnd w:id="102"/>
      <w:bookmarkStart w:id="103" w:name="_Toc184310314"/>
      <w:bookmarkEnd w:id="103"/>
      <w:bookmarkStart w:id="104" w:name="_Toc184310328"/>
      <w:bookmarkEnd w:id="104"/>
      <w:bookmarkStart w:id="105" w:name="_Toc184308074"/>
      <w:bookmarkEnd w:id="105"/>
      <w:bookmarkStart w:id="106" w:name="_Toc184312080"/>
      <w:bookmarkEnd w:id="106"/>
      <w:bookmarkStart w:id="107" w:name="_Toc184314471"/>
      <w:bookmarkEnd w:id="107"/>
      <w:bookmarkStart w:id="108" w:name="_Toc184314459"/>
      <w:bookmarkEnd w:id="108"/>
      <w:bookmarkStart w:id="109" w:name="_Toc184314464"/>
      <w:bookmarkEnd w:id="109"/>
      <w:bookmarkStart w:id="110" w:name="_Toc184314469"/>
      <w:bookmarkEnd w:id="110"/>
      <w:bookmarkStart w:id="111" w:name="_Toc184312081"/>
      <w:bookmarkEnd w:id="111"/>
      <w:bookmarkStart w:id="112" w:name="_Toc184310324"/>
      <w:bookmarkEnd w:id="112"/>
      <w:bookmarkStart w:id="113" w:name="_Toc184314444"/>
      <w:bookmarkEnd w:id="113"/>
      <w:bookmarkStart w:id="114" w:name="_Toc184312137"/>
      <w:bookmarkEnd w:id="114"/>
      <w:bookmarkStart w:id="115" w:name="_Toc184308072"/>
      <w:bookmarkEnd w:id="115"/>
      <w:bookmarkStart w:id="116" w:name="_Toc184310307"/>
      <w:bookmarkEnd w:id="116"/>
      <w:bookmarkStart w:id="117" w:name="_Toc184312126"/>
      <w:bookmarkEnd w:id="117"/>
      <w:bookmarkStart w:id="118" w:name="_Toc184310278"/>
      <w:bookmarkEnd w:id="118"/>
      <w:bookmarkStart w:id="119" w:name="_Toc184313285"/>
      <w:bookmarkEnd w:id="119"/>
      <w:bookmarkStart w:id="120" w:name="_Toc184313258"/>
      <w:bookmarkEnd w:id="120"/>
      <w:bookmarkStart w:id="121" w:name="_Toc184312073"/>
      <w:bookmarkEnd w:id="121"/>
      <w:bookmarkStart w:id="122" w:name="_Toc184308108"/>
      <w:bookmarkEnd w:id="122"/>
      <w:bookmarkStart w:id="123" w:name="_Toc184313286"/>
      <w:bookmarkEnd w:id="123"/>
      <w:bookmarkStart w:id="124" w:name="_Toc184314427"/>
      <w:bookmarkEnd w:id="124"/>
      <w:bookmarkStart w:id="125" w:name="_Toc184313242"/>
      <w:bookmarkEnd w:id="125"/>
      <w:bookmarkStart w:id="126" w:name="_Toc184313308"/>
      <w:bookmarkEnd w:id="126"/>
      <w:bookmarkStart w:id="127" w:name="_Toc184308043"/>
      <w:bookmarkEnd w:id="127"/>
      <w:bookmarkStart w:id="128" w:name="_Toc184314479"/>
      <w:bookmarkEnd w:id="128"/>
      <w:bookmarkStart w:id="129" w:name="_Toc184314475"/>
      <w:bookmarkEnd w:id="129"/>
      <w:bookmarkStart w:id="130" w:name="_Toc184314438"/>
      <w:bookmarkEnd w:id="130"/>
      <w:bookmarkStart w:id="131" w:name="_Toc184313282"/>
      <w:bookmarkEnd w:id="131"/>
      <w:bookmarkStart w:id="132" w:name="_Toc184313281"/>
      <w:bookmarkEnd w:id="132"/>
      <w:bookmarkStart w:id="133" w:name="_Toc184313254"/>
      <w:bookmarkEnd w:id="133"/>
      <w:bookmarkStart w:id="134" w:name="_Toc184312096"/>
      <w:bookmarkEnd w:id="134"/>
      <w:bookmarkStart w:id="135" w:name="_Toc184314455"/>
      <w:bookmarkEnd w:id="135"/>
      <w:bookmarkStart w:id="136" w:name="_Toc184308093"/>
      <w:bookmarkEnd w:id="136"/>
      <w:bookmarkStart w:id="137" w:name="_Toc184312109"/>
      <w:bookmarkEnd w:id="137"/>
      <w:bookmarkStart w:id="138" w:name="_Toc184313309"/>
      <w:bookmarkEnd w:id="138"/>
      <w:bookmarkStart w:id="139" w:name="_Toc184310344"/>
      <w:bookmarkEnd w:id="139"/>
      <w:bookmarkStart w:id="140" w:name="_Toc184310325"/>
      <w:bookmarkEnd w:id="140"/>
      <w:bookmarkStart w:id="141" w:name="_Toc184313259"/>
      <w:bookmarkEnd w:id="141"/>
      <w:bookmarkStart w:id="142" w:name="_Toc184313290"/>
      <w:bookmarkEnd w:id="142"/>
      <w:bookmarkStart w:id="143" w:name="_Toc184308082"/>
      <w:bookmarkEnd w:id="143"/>
      <w:bookmarkStart w:id="144" w:name="_Toc184310305"/>
      <w:bookmarkEnd w:id="144"/>
      <w:bookmarkStart w:id="145" w:name="_Toc184314450"/>
      <w:bookmarkEnd w:id="145"/>
      <w:bookmarkStart w:id="146" w:name="_Toc184313257"/>
      <w:bookmarkEnd w:id="146"/>
      <w:bookmarkStart w:id="147" w:name="_Toc184314432"/>
      <w:bookmarkEnd w:id="147"/>
      <w:bookmarkStart w:id="148" w:name="_Toc184312070"/>
      <w:bookmarkEnd w:id="148"/>
      <w:bookmarkStart w:id="149" w:name="_Toc184312117"/>
      <w:bookmarkEnd w:id="149"/>
      <w:bookmarkStart w:id="150" w:name="_Toc184308059"/>
      <w:bookmarkEnd w:id="150"/>
      <w:bookmarkStart w:id="151" w:name="_Toc184312076"/>
      <w:bookmarkEnd w:id="151"/>
      <w:bookmarkStart w:id="152" w:name="_Toc184313300"/>
      <w:bookmarkEnd w:id="152"/>
      <w:bookmarkStart w:id="153" w:name="_Toc184313276"/>
      <w:bookmarkEnd w:id="153"/>
      <w:bookmarkStart w:id="154" w:name="_Toc184310282"/>
      <w:bookmarkEnd w:id="154"/>
      <w:bookmarkStart w:id="155" w:name="_Toc184313303"/>
      <w:bookmarkEnd w:id="155"/>
      <w:bookmarkStart w:id="156" w:name="_Toc184310335"/>
      <w:bookmarkEnd w:id="156"/>
      <w:bookmarkStart w:id="157" w:name="_Toc184312078"/>
      <w:bookmarkEnd w:id="157"/>
      <w:bookmarkStart w:id="158" w:name="_Toc184310315"/>
      <w:bookmarkEnd w:id="158"/>
      <w:bookmarkStart w:id="159" w:name="_Toc184310332"/>
      <w:bookmarkEnd w:id="159"/>
      <w:bookmarkStart w:id="160" w:name="_Toc184314428"/>
      <w:bookmarkEnd w:id="160"/>
      <w:bookmarkStart w:id="161" w:name="_Toc184308056"/>
      <w:bookmarkEnd w:id="161"/>
      <w:bookmarkStart w:id="162" w:name="_Toc184313241"/>
      <w:bookmarkEnd w:id="162"/>
      <w:bookmarkStart w:id="163" w:name="_Toc184313238"/>
      <w:bookmarkEnd w:id="163"/>
      <w:bookmarkStart w:id="164" w:name="_Toc184314417"/>
      <w:bookmarkEnd w:id="164"/>
      <w:bookmarkStart w:id="165" w:name="_Toc184314466"/>
      <w:bookmarkEnd w:id="165"/>
      <w:bookmarkStart w:id="166" w:name="_Toc184308075"/>
      <w:bookmarkEnd w:id="166"/>
      <w:bookmarkStart w:id="167" w:name="_Toc184313298"/>
      <w:bookmarkEnd w:id="167"/>
      <w:bookmarkStart w:id="168" w:name="_Toc184313291"/>
      <w:bookmarkEnd w:id="168"/>
      <w:bookmarkStart w:id="169" w:name="_Toc184310283"/>
      <w:bookmarkEnd w:id="169"/>
      <w:bookmarkStart w:id="170" w:name="_Toc184312107"/>
      <w:bookmarkEnd w:id="170"/>
      <w:bookmarkStart w:id="171" w:name="_Toc184312127"/>
      <w:bookmarkEnd w:id="171"/>
      <w:bookmarkStart w:id="172" w:name="_Toc184314465"/>
      <w:bookmarkEnd w:id="172"/>
      <w:bookmarkStart w:id="173" w:name="_Toc184312099"/>
      <w:bookmarkEnd w:id="173"/>
      <w:bookmarkStart w:id="174" w:name="_Toc184314412"/>
      <w:bookmarkEnd w:id="174"/>
      <w:bookmarkStart w:id="175" w:name="_Toc184308098"/>
      <w:bookmarkEnd w:id="175"/>
      <w:bookmarkStart w:id="176" w:name="_Toc184314416"/>
      <w:bookmarkEnd w:id="176"/>
      <w:bookmarkStart w:id="177" w:name="_Toc184312139"/>
      <w:bookmarkEnd w:id="177"/>
      <w:bookmarkStart w:id="178" w:name="_Toc184312123"/>
      <w:bookmarkEnd w:id="178"/>
      <w:bookmarkStart w:id="179" w:name="_Toc184314418"/>
      <w:bookmarkEnd w:id="179"/>
      <w:bookmarkStart w:id="180" w:name="_Toc184312110"/>
      <w:bookmarkEnd w:id="180"/>
      <w:bookmarkStart w:id="181" w:name="_Toc184308055"/>
      <w:bookmarkEnd w:id="181"/>
      <w:bookmarkStart w:id="182" w:name="_Toc184313268"/>
      <w:bookmarkEnd w:id="182"/>
      <w:bookmarkStart w:id="183" w:name="_Toc184312095"/>
      <w:bookmarkEnd w:id="183"/>
      <w:bookmarkStart w:id="184" w:name="_Toc184312098"/>
      <w:bookmarkEnd w:id="184"/>
      <w:bookmarkStart w:id="185" w:name="_Toc184314441"/>
      <w:bookmarkEnd w:id="185"/>
      <w:bookmarkStart w:id="186" w:name="_Toc184310339"/>
      <w:bookmarkEnd w:id="186"/>
      <w:bookmarkStart w:id="187" w:name="_Toc184308065"/>
      <w:bookmarkEnd w:id="187"/>
      <w:bookmarkStart w:id="188" w:name="_Toc184314411"/>
      <w:bookmarkEnd w:id="188"/>
      <w:bookmarkStart w:id="189" w:name="_Toc184308061"/>
      <w:bookmarkEnd w:id="189"/>
      <w:bookmarkStart w:id="190" w:name="_Toc184314472"/>
      <w:bookmarkEnd w:id="190"/>
      <w:bookmarkStart w:id="191" w:name="_Toc184312111"/>
      <w:bookmarkEnd w:id="191"/>
      <w:bookmarkStart w:id="192" w:name="_Toc184312130"/>
      <w:bookmarkEnd w:id="192"/>
      <w:bookmarkStart w:id="193" w:name="_Toc184312132"/>
      <w:bookmarkEnd w:id="193"/>
      <w:bookmarkStart w:id="194" w:name="_Toc184313239"/>
      <w:bookmarkEnd w:id="194"/>
      <w:bookmarkStart w:id="195" w:name="_Toc184312118"/>
      <w:bookmarkEnd w:id="195"/>
      <w:bookmarkStart w:id="196" w:name="_Toc184310334"/>
      <w:bookmarkEnd w:id="196"/>
      <w:bookmarkStart w:id="197" w:name="_Toc184310273"/>
      <w:bookmarkEnd w:id="197"/>
      <w:bookmarkStart w:id="198" w:name="_Toc184314443"/>
      <w:bookmarkEnd w:id="198"/>
      <w:bookmarkStart w:id="199" w:name="_Toc184310329"/>
      <w:bookmarkEnd w:id="199"/>
      <w:bookmarkStart w:id="200" w:name="_Toc184308050"/>
      <w:bookmarkEnd w:id="200"/>
      <w:bookmarkStart w:id="201" w:name="_Toc184310326"/>
      <w:bookmarkEnd w:id="201"/>
      <w:bookmarkStart w:id="202" w:name="_Toc184312071"/>
      <w:bookmarkEnd w:id="202"/>
      <w:bookmarkStart w:id="203" w:name="_Toc184313279"/>
      <w:bookmarkEnd w:id="203"/>
      <w:bookmarkStart w:id="204" w:name="_Toc184310291"/>
      <w:bookmarkEnd w:id="204"/>
      <w:bookmarkStart w:id="205" w:name="_Toc184314478"/>
      <w:bookmarkEnd w:id="205"/>
      <w:bookmarkStart w:id="206" w:name="_Toc184308036"/>
      <w:bookmarkEnd w:id="206"/>
      <w:bookmarkStart w:id="207" w:name="_Toc184312103"/>
      <w:bookmarkEnd w:id="207"/>
      <w:bookmarkStart w:id="208" w:name="_Toc184308063"/>
      <w:bookmarkEnd w:id="208"/>
      <w:bookmarkStart w:id="209" w:name="_Toc184312088"/>
      <w:bookmarkEnd w:id="209"/>
      <w:bookmarkStart w:id="210" w:name="_Toc184314413"/>
      <w:bookmarkEnd w:id="210"/>
      <w:bookmarkStart w:id="211" w:name="_Toc184308045"/>
      <w:bookmarkEnd w:id="211"/>
      <w:bookmarkStart w:id="212" w:name="_Toc184312125"/>
      <w:bookmarkEnd w:id="212"/>
      <w:bookmarkStart w:id="213" w:name="_Toc184310276"/>
      <w:bookmarkEnd w:id="213"/>
      <w:bookmarkStart w:id="214" w:name="_Toc184312089"/>
      <w:bookmarkEnd w:id="214"/>
      <w:bookmarkStart w:id="215" w:name="_Toc184314461"/>
      <w:bookmarkEnd w:id="215"/>
      <w:bookmarkStart w:id="216" w:name="_Toc184308107"/>
      <w:bookmarkEnd w:id="216"/>
      <w:bookmarkStart w:id="217" w:name="_Toc184313307"/>
      <w:bookmarkEnd w:id="217"/>
      <w:bookmarkStart w:id="218" w:name="_Toc184314410"/>
      <w:bookmarkEnd w:id="218"/>
      <w:bookmarkStart w:id="219" w:name="_Toc184314425"/>
      <w:bookmarkEnd w:id="219"/>
      <w:bookmarkStart w:id="220" w:name="_Toc184314423"/>
      <w:bookmarkEnd w:id="220"/>
      <w:bookmarkStart w:id="221" w:name="_Toc184310272"/>
      <w:bookmarkEnd w:id="221"/>
      <w:bookmarkStart w:id="222" w:name="_Toc184312124"/>
      <w:bookmarkEnd w:id="222"/>
      <w:bookmarkStart w:id="223" w:name="_Toc184308083"/>
      <w:bookmarkEnd w:id="223"/>
      <w:bookmarkStart w:id="224" w:name="_Toc184310306"/>
      <w:bookmarkEnd w:id="224"/>
      <w:bookmarkStart w:id="225" w:name="_Toc184313255"/>
      <w:bookmarkEnd w:id="225"/>
      <w:bookmarkStart w:id="226" w:name="_Toc184314462"/>
      <w:bookmarkEnd w:id="226"/>
      <w:bookmarkStart w:id="227" w:name="_Toc184308052"/>
      <w:bookmarkEnd w:id="227"/>
      <w:bookmarkStart w:id="228" w:name="_Toc184310333"/>
      <w:bookmarkEnd w:id="228"/>
      <w:bookmarkStart w:id="229" w:name="_Toc184314448"/>
      <w:bookmarkEnd w:id="229"/>
      <w:bookmarkStart w:id="230" w:name="_Toc184314467"/>
      <w:bookmarkEnd w:id="230"/>
      <w:bookmarkStart w:id="231" w:name="_Toc184308037"/>
      <w:bookmarkEnd w:id="231"/>
      <w:bookmarkStart w:id="232" w:name="_Toc184312112"/>
      <w:bookmarkEnd w:id="232"/>
      <w:bookmarkStart w:id="233" w:name="_Toc184314458"/>
      <w:bookmarkEnd w:id="233"/>
      <w:bookmarkStart w:id="234" w:name="_Toc184310321"/>
      <w:bookmarkEnd w:id="234"/>
      <w:bookmarkStart w:id="235" w:name="_Toc184312119"/>
      <w:bookmarkEnd w:id="235"/>
      <w:bookmarkStart w:id="236" w:name="_Toc184314482"/>
      <w:bookmarkEnd w:id="236"/>
      <w:bookmarkStart w:id="237" w:name="_Toc184308092"/>
      <w:bookmarkEnd w:id="237"/>
      <w:bookmarkStart w:id="238" w:name="_Toc184310300"/>
      <w:bookmarkEnd w:id="238"/>
      <w:bookmarkStart w:id="239" w:name="_Toc184314452"/>
      <w:bookmarkEnd w:id="239"/>
      <w:bookmarkStart w:id="240" w:name="_Toc184312102"/>
      <w:bookmarkEnd w:id="240"/>
      <w:bookmarkStart w:id="241" w:name="_Toc184313248"/>
      <w:bookmarkEnd w:id="241"/>
      <w:bookmarkStart w:id="242" w:name="_Toc184312086"/>
      <w:bookmarkEnd w:id="242"/>
      <w:bookmarkStart w:id="243" w:name="_Toc184310293"/>
      <w:bookmarkEnd w:id="243"/>
      <w:bookmarkStart w:id="244" w:name="_Toc184308087"/>
      <w:bookmarkEnd w:id="244"/>
      <w:bookmarkStart w:id="245" w:name="_Toc184313292"/>
      <w:bookmarkEnd w:id="245"/>
      <w:bookmarkStart w:id="246" w:name="_Toc184312091"/>
      <w:bookmarkEnd w:id="246"/>
      <w:bookmarkStart w:id="247" w:name="_Toc184308094"/>
      <w:bookmarkEnd w:id="247"/>
      <w:bookmarkStart w:id="248" w:name="_Toc184310297"/>
      <w:bookmarkEnd w:id="248"/>
      <w:bookmarkStart w:id="249" w:name="_Toc184314422"/>
      <w:bookmarkEnd w:id="249"/>
      <w:bookmarkStart w:id="250" w:name="_Toc184312138"/>
      <w:bookmarkEnd w:id="250"/>
      <w:bookmarkStart w:id="251" w:name="_Toc184312122"/>
      <w:bookmarkEnd w:id="251"/>
      <w:bookmarkStart w:id="252" w:name="_Toc184313246"/>
      <w:bookmarkEnd w:id="252"/>
      <w:bookmarkStart w:id="253" w:name="_Toc184308042"/>
      <w:bookmarkEnd w:id="253"/>
      <w:bookmarkStart w:id="254" w:name="_Toc184312104"/>
      <w:bookmarkEnd w:id="254"/>
      <w:bookmarkStart w:id="255" w:name="_Toc184308071"/>
      <w:bookmarkEnd w:id="255"/>
      <w:bookmarkStart w:id="256" w:name="_Toc184308085"/>
      <w:bookmarkEnd w:id="256"/>
      <w:bookmarkStart w:id="257" w:name="_Toc184312075"/>
      <w:bookmarkEnd w:id="257"/>
      <w:bookmarkStart w:id="258" w:name="_Toc184308048"/>
      <w:bookmarkEnd w:id="258"/>
      <w:bookmarkStart w:id="259" w:name="_Toc184314460"/>
      <w:bookmarkEnd w:id="259"/>
      <w:bookmarkStart w:id="260" w:name="_Toc184314435"/>
      <w:bookmarkEnd w:id="260"/>
      <w:bookmarkStart w:id="261" w:name="_Toc184314476"/>
      <w:bookmarkEnd w:id="261"/>
      <w:bookmarkStart w:id="262" w:name="_Toc184312072"/>
      <w:bookmarkEnd w:id="262"/>
      <w:bookmarkStart w:id="263" w:name="_Toc184313250"/>
      <w:bookmarkEnd w:id="263"/>
      <w:bookmarkStart w:id="264" w:name="_Toc184312084"/>
      <w:bookmarkEnd w:id="264"/>
      <w:bookmarkStart w:id="265" w:name="_Toc184308081"/>
      <w:bookmarkEnd w:id="265"/>
      <w:bookmarkStart w:id="266" w:name="_Toc184308102"/>
      <w:bookmarkEnd w:id="266"/>
      <w:bookmarkStart w:id="267" w:name="_Toc184312083"/>
      <w:bookmarkEnd w:id="267"/>
      <w:bookmarkStart w:id="268" w:name="_Toc184313288"/>
      <w:bookmarkEnd w:id="268"/>
      <w:bookmarkStart w:id="269" w:name="_Toc184313305"/>
      <w:bookmarkEnd w:id="269"/>
      <w:bookmarkStart w:id="270" w:name="_Toc184312136"/>
      <w:bookmarkEnd w:id="270"/>
      <w:bookmarkStart w:id="271" w:name="_Toc184314419"/>
      <w:bookmarkEnd w:id="271"/>
      <w:bookmarkStart w:id="272" w:name="_Toc184312094"/>
      <w:bookmarkEnd w:id="272"/>
      <w:bookmarkStart w:id="273" w:name="_Toc184313275"/>
      <w:bookmarkEnd w:id="273"/>
      <w:bookmarkStart w:id="274" w:name="_Toc184313289"/>
      <w:bookmarkEnd w:id="274"/>
      <w:bookmarkStart w:id="275" w:name="_Toc184308049"/>
      <w:bookmarkEnd w:id="275"/>
      <w:bookmarkStart w:id="276" w:name="_Toc184314451"/>
      <w:bookmarkEnd w:id="276"/>
      <w:bookmarkStart w:id="277" w:name="_Toc184312077"/>
      <w:bookmarkEnd w:id="277"/>
      <w:bookmarkStart w:id="278" w:name="_Toc184308103"/>
      <w:bookmarkEnd w:id="278"/>
      <w:bookmarkStart w:id="279" w:name="_Toc184313264"/>
      <w:bookmarkEnd w:id="279"/>
      <w:bookmarkStart w:id="280" w:name="_Toc184308096"/>
      <w:bookmarkEnd w:id="280"/>
      <w:bookmarkStart w:id="281" w:name="_Toc184310310"/>
      <w:bookmarkEnd w:id="281"/>
      <w:bookmarkStart w:id="282" w:name="_Toc184312134"/>
      <w:bookmarkEnd w:id="282"/>
      <w:bookmarkStart w:id="283" w:name="_Toc184312121"/>
      <w:bookmarkEnd w:id="283"/>
      <w:bookmarkStart w:id="284" w:name="_Toc184310336"/>
      <w:bookmarkEnd w:id="284"/>
      <w:bookmarkStart w:id="285" w:name="_Toc184310316"/>
      <w:bookmarkEnd w:id="285"/>
      <w:bookmarkStart w:id="286" w:name="_Toc184312115"/>
      <w:bookmarkEnd w:id="286"/>
      <w:bookmarkStart w:id="287" w:name="_Toc184314456"/>
      <w:bookmarkEnd w:id="287"/>
      <w:bookmarkStart w:id="288" w:name="_Toc184313273"/>
      <w:bookmarkEnd w:id="288"/>
      <w:bookmarkStart w:id="289" w:name="_Toc184308067"/>
      <w:bookmarkEnd w:id="289"/>
      <w:bookmarkStart w:id="290" w:name="_Toc184310317"/>
      <w:bookmarkEnd w:id="290"/>
      <w:bookmarkStart w:id="291" w:name="_Toc184314477"/>
      <w:bookmarkEnd w:id="291"/>
      <w:bookmarkStart w:id="292" w:name="_Toc184310330"/>
      <w:bookmarkEnd w:id="292"/>
      <w:bookmarkStart w:id="293" w:name="_Toc184313306"/>
      <w:bookmarkEnd w:id="293"/>
      <w:bookmarkStart w:id="294" w:name="_Toc184314414"/>
      <w:bookmarkEnd w:id="294"/>
      <w:bookmarkStart w:id="295" w:name="_Toc184308073"/>
      <w:bookmarkEnd w:id="295"/>
      <w:bookmarkStart w:id="296" w:name="_Toc184312108"/>
      <w:bookmarkEnd w:id="296"/>
      <w:bookmarkStart w:id="297" w:name="_Toc184314436"/>
      <w:bookmarkEnd w:id="297"/>
      <w:bookmarkStart w:id="298" w:name="_Toc184314415"/>
      <w:bookmarkEnd w:id="298"/>
      <w:bookmarkStart w:id="299" w:name="_Toc184312069"/>
      <w:bookmarkEnd w:id="299"/>
      <w:bookmarkStart w:id="300" w:name="_Toc184310323"/>
      <w:bookmarkEnd w:id="300"/>
      <w:bookmarkStart w:id="301" w:name="_Toc184310279"/>
      <w:bookmarkEnd w:id="301"/>
      <w:bookmarkStart w:id="302" w:name="_Toc184312097"/>
      <w:bookmarkEnd w:id="302"/>
      <w:bookmarkStart w:id="303" w:name="_Toc184308079"/>
      <w:bookmarkEnd w:id="303"/>
      <w:bookmarkStart w:id="304" w:name="_Toc184308099"/>
      <w:bookmarkEnd w:id="304"/>
      <w:bookmarkStart w:id="305" w:name="_Toc184313297"/>
      <w:bookmarkEnd w:id="305"/>
      <w:bookmarkStart w:id="306" w:name="_Toc184312067"/>
      <w:bookmarkEnd w:id="306"/>
      <w:bookmarkStart w:id="307" w:name="_Toc184310298"/>
      <w:bookmarkEnd w:id="307"/>
      <w:bookmarkStart w:id="308" w:name="_Toc184310287"/>
      <w:bookmarkEnd w:id="308"/>
      <w:bookmarkStart w:id="309" w:name="_Toc184313280"/>
      <w:bookmarkEnd w:id="309"/>
      <w:bookmarkStart w:id="310" w:name="_Toc184314463"/>
      <w:bookmarkEnd w:id="310"/>
      <w:bookmarkStart w:id="311" w:name="_Toc184310309"/>
      <w:bookmarkEnd w:id="311"/>
      <w:bookmarkStart w:id="312" w:name="_Toc184310286"/>
      <w:bookmarkEnd w:id="312"/>
      <w:bookmarkStart w:id="313" w:name="_Toc184314447"/>
      <w:bookmarkEnd w:id="313"/>
      <w:bookmarkStart w:id="314" w:name="_Toc184308076"/>
      <w:bookmarkEnd w:id="314"/>
      <w:bookmarkStart w:id="315" w:name="_Toc184313301"/>
      <w:bookmarkEnd w:id="315"/>
      <w:bookmarkStart w:id="316" w:name="_Toc184314481"/>
      <w:bookmarkEnd w:id="316"/>
      <w:bookmarkStart w:id="317" w:name="_Toc184308047"/>
      <w:bookmarkEnd w:id="317"/>
      <w:bookmarkStart w:id="318" w:name="_Toc184312074"/>
      <w:bookmarkEnd w:id="318"/>
      <w:bookmarkStart w:id="319" w:name="_Toc184308038"/>
      <w:bookmarkEnd w:id="319"/>
      <w:bookmarkStart w:id="320" w:name="_Toc184314473"/>
      <w:bookmarkEnd w:id="320"/>
      <w:bookmarkStart w:id="321" w:name="_Toc184310318"/>
      <w:bookmarkEnd w:id="321"/>
      <w:bookmarkStart w:id="322" w:name="_Toc184313244"/>
      <w:bookmarkEnd w:id="322"/>
      <w:bookmarkStart w:id="323" w:name="_Toc184313261"/>
      <w:bookmarkEnd w:id="323"/>
      <w:bookmarkStart w:id="324" w:name="_Toc184308086"/>
      <w:bookmarkEnd w:id="324"/>
      <w:bookmarkStart w:id="325" w:name="_Toc184308091"/>
      <w:bookmarkEnd w:id="325"/>
      <w:bookmarkStart w:id="326" w:name="_Toc184314440"/>
      <w:bookmarkEnd w:id="326"/>
      <w:bookmarkStart w:id="327" w:name="_Toc184310331"/>
      <w:bookmarkEnd w:id="327"/>
      <w:bookmarkStart w:id="328" w:name="_Toc184313274"/>
      <w:bookmarkEnd w:id="328"/>
      <w:bookmarkStart w:id="329" w:name="_Toc184314431"/>
      <w:bookmarkEnd w:id="329"/>
      <w:bookmarkStart w:id="330" w:name="_Toc184308078"/>
      <w:bookmarkEnd w:id="330"/>
      <w:bookmarkStart w:id="331" w:name="_Toc184310322"/>
      <w:bookmarkEnd w:id="331"/>
      <w:bookmarkStart w:id="332" w:name="_Toc184312135"/>
      <w:bookmarkEnd w:id="332"/>
      <w:bookmarkStart w:id="333" w:name="_Toc184314446"/>
      <w:bookmarkEnd w:id="333"/>
      <w:bookmarkStart w:id="334" w:name="_Toc184313263"/>
      <w:bookmarkEnd w:id="334"/>
      <w:bookmarkStart w:id="335" w:name="_Toc184313271"/>
      <w:bookmarkEnd w:id="335"/>
      <w:bookmarkStart w:id="336" w:name="_Toc184308105"/>
      <w:bookmarkEnd w:id="336"/>
      <w:bookmarkStart w:id="337" w:name="_Toc184313251"/>
      <w:bookmarkEnd w:id="337"/>
      <w:bookmarkStart w:id="338" w:name="_Toc184312120"/>
      <w:bookmarkEnd w:id="338"/>
      <w:bookmarkStart w:id="339" w:name="_Toc184312079"/>
      <w:bookmarkEnd w:id="339"/>
      <w:bookmarkStart w:id="340" w:name="_Toc184310299"/>
      <w:bookmarkEnd w:id="340"/>
      <w:bookmarkStart w:id="341" w:name="_Toc184313277"/>
      <w:bookmarkEnd w:id="341"/>
      <w:bookmarkStart w:id="342" w:name="_Toc184313269"/>
      <w:bookmarkEnd w:id="342"/>
      <w:bookmarkStart w:id="343" w:name="_Toc184308057"/>
      <w:bookmarkEnd w:id="343"/>
      <w:bookmarkStart w:id="344" w:name="_Toc184310320"/>
      <w:bookmarkEnd w:id="344"/>
      <w:bookmarkStart w:id="345" w:name="_Toc184313294"/>
      <w:bookmarkEnd w:id="345"/>
      <w:bookmarkStart w:id="346" w:name="_Toc184313266"/>
      <w:bookmarkEnd w:id="346"/>
      <w:bookmarkStart w:id="347" w:name="_Toc184310302"/>
      <w:bookmarkEnd w:id="347"/>
      <w:bookmarkStart w:id="348" w:name="_Toc184314433"/>
      <w:bookmarkEnd w:id="348"/>
      <w:bookmarkStart w:id="349" w:name="_Toc184310312"/>
      <w:bookmarkEnd w:id="349"/>
      <w:bookmarkStart w:id="350" w:name="_Toc184313265"/>
      <w:bookmarkEnd w:id="350"/>
      <w:bookmarkStart w:id="351" w:name="_Toc184314474"/>
      <w:bookmarkEnd w:id="351"/>
      <w:bookmarkStart w:id="352" w:name="_Toc184313267"/>
      <w:bookmarkEnd w:id="352"/>
      <w:bookmarkStart w:id="353" w:name="_Toc184310319"/>
      <w:bookmarkEnd w:id="353"/>
      <w:bookmarkStart w:id="354" w:name="_Toc184313243"/>
      <w:bookmarkEnd w:id="354"/>
      <w:bookmarkStart w:id="355" w:name="_Toc184313260"/>
      <w:bookmarkEnd w:id="355"/>
      <w:bookmarkStart w:id="356" w:name="_Toc184308060"/>
      <w:bookmarkEnd w:id="356"/>
      <w:bookmarkStart w:id="357" w:name="_Toc184310340"/>
      <w:bookmarkEnd w:id="357"/>
      <w:bookmarkStart w:id="358" w:name="_Toc184313256"/>
      <w:bookmarkEnd w:id="358"/>
      <w:bookmarkStart w:id="359" w:name="_Toc184308046"/>
      <w:bookmarkEnd w:id="359"/>
      <w:bookmarkStart w:id="360" w:name="_Toc184314421"/>
      <w:bookmarkEnd w:id="360"/>
      <w:bookmarkStart w:id="361" w:name="_Toc184314454"/>
      <w:bookmarkEnd w:id="361"/>
      <w:bookmarkStart w:id="362" w:name="_Toc184313247"/>
      <w:bookmarkEnd w:id="362"/>
      <w:bookmarkStart w:id="363" w:name="_Toc184312106"/>
      <w:bookmarkEnd w:id="363"/>
      <w:bookmarkStart w:id="364" w:name="_Toc184313284"/>
      <w:bookmarkEnd w:id="364"/>
      <w:bookmarkStart w:id="365" w:name="_Toc184314420"/>
      <w:bookmarkEnd w:id="365"/>
      <w:bookmarkStart w:id="366" w:name="_Toc184314470"/>
      <w:bookmarkEnd w:id="366"/>
      <w:bookmarkStart w:id="367" w:name="_Toc184312113"/>
      <w:bookmarkEnd w:id="367"/>
      <w:bookmarkStart w:id="368" w:name="_Toc184312116"/>
      <w:bookmarkEnd w:id="368"/>
      <w:bookmarkStart w:id="369" w:name="_Toc184310285"/>
      <w:bookmarkEnd w:id="369"/>
      <w:bookmarkStart w:id="370" w:name="_Toc184310308"/>
      <w:bookmarkEnd w:id="370"/>
      <w:bookmarkStart w:id="371" w:name="_Toc184308088"/>
      <w:bookmarkEnd w:id="371"/>
      <w:bookmarkStart w:id="372" w:name="_Toc184313295"/>
      <w:bookmarkEnd w:id="372"/>
      <w:bookmarkStart w:id="373" w:name="_Toc184308100"/>
      <w:bookmarkEnd w:id="373"/>
      <w:bookmarkStart w:id="374" w:name="_Toc184313296"/>
      <w:bookmarkEnd w:id="374"/>
      <w:bookmarkStart w:id="375" w:name="_Toc184314430"/>
      <w:bookmarkEnd w:id="375"/>
      <w:bookmarkStart w:id="376" w:name="_Toc184308039"/>
      <w:bookmarkEnd w:id="376"/>
      <w:bookmarkStart w:id="377" w:name="_Toc184308069"/>
      <w:bookmarkEnd w:id="377"/>
      <w:bookmarkStart w:id="378" w:name="_Toc184314445"/>
      <w:bookmarkEnd w:id="378"/>
      <w:bookmarkStart w:id="379" w:name="_Toc184312128"/>
      <w:bookmarkEnd w:id="379"/>
      <w:bookmarkStart w:id="380" w:name="_Toc184313272"/>
      <w:bookmarkEnd w:id="380"/>
      <w:bookmarkStart w:id="381" w:name="_Toc184308068"/>
      <w:bookmarkEnd w:id="381"/>
      <w:bookmarkStart w:id="382" w:name="_Toc184308077"/>
      <w:bookmarkEnd w:id="382"/>
      <w:bookmarkStart w:id="383" w:name="_Toc184314437"/>
      <w:bookmarkEnd w:id="383"/>
      <w:bookmarkStart w:id="384" w:name="_Toc184312082"/>
      <w:bookmarkEnd w:id="384"/>
      <w:bookmarkStart w:id="385" w:name="_Toc184312105"/>
      <w:bookmarkEnd w:id="385"/>
      <w:bookmarkStart w:id="386" w:name="_Toc184310281"/>
      <w:bookmarkEnd w:id="386"/>
      <w:bookmarkStart w:id="387" w:name="_Toc184313262"/>
      <w:bookmarkEnd w:id="387"/>
      <w:bookmarkStart w:id="388" w:name="_Toc184308041"/>
      <w:bookmarkEnd w:id="388"/>
      <w:bookmarkStart w:id="389" w:name="_Toc184308054"/>
      <w:bookmarkEnd w:id="389"/>
      <w:bookmarkStart w:id="390" w:name="_Toc184308066"/>
      <w:bookmarkEnd w:id="390"/>
      <w:bookmarkStart w:id="391" w:name="_Toc184314429"/>
      <w:bookmarkEnd w:id="391"/>
      <w:bookmarkStart w:id="392" w:name="_Toc184313283"/>
      <w:bookmarkEnd w:id="392"/>
      <w:r>
        <w:rPr>
          <w:rFonts w:hint="eastAsia" w:ascii="宋体" w:hAnsi="宋体" w:cs="宋体"/>
          <w:b/>
          <w:color w:val="auto"/>
          <w:sz w:val="36"/>
          <w:szCs w:val="36"/>
          <w:highlight w:val="none"/>
        </w:rPr>
        <w:t>评标办法</w:t>
      </w:r>
    </w:p>
    <w:p w14:paraId="72B57B8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44"/>
        <w:gridCol w:w="6547"/>
        <w:gridCol w:w="780"/>
      </w:tblGrid>
      <w:tr w14:paraId="5237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0" w:type="dxa"/>
            <w:vAlign w:val="center"/>
          </w:tcPr>
          <w:p w14:paraId="45DA6ED4">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类别</w:t>
            </w:r>
          </w:p>
        </w:tc>
        <w:tc>
          <w:tcPr>
            <w:tcW w:w="1144" w:type="dxa"/>
            <w:vAlign w:val="center"/>
          </w:tcPr>
          <w:p w14:paraId="26FACC45">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评分项目</w:t>
            </w:r>
          </w:p>
        </w:tc>
        <w:tc>
          <w:tcPr>
            <w:tcW w:w="6547" w:type="dxa"/>
            <w:vAlign w:val="center"/>
          </w:tcPr>
          <w:p w14:paraId="3C7EB498">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80" w:type="dxa"/>
            <w:vAlign w:val="center"/>
          </w:tcPr>
          <w:p w14:paraId="5C871F8C">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分值</w:t>
            </w:r>
          </w:p>
        </w:tc>
      </w:tr>
      <w:tr w14:paraId="7AA2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10" w:type="dxa"/>
            <w:vMerge w:val="restart"/>
            <w:vAlign w:val="center"/>
          </w:tcPr>
          <w:p w14:paraId="374397DA">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w:t>
            </w:r>
          </w:p>
          <w:p w14:paraId="7315072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术</w:t>
            </w:r>
          </w:p>
          <w:p w14:paraId="6A30D2B5">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w:t>
            </w:r>
          </w:p>
          <w:p w14:paraId="44C0D208">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务</w:t>
            </w:r>
          </w:p>
          <w:p w14:paraId="5F5EE69B">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w:t>
            </w:r>
          </w:p>
          <w:p w14:paraId="33ECA80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p w14:paraId="78C282E2">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p w14:paraId="3F030AEA">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w:t>
            </w:r>
          </w:p>
        </w:tc>
        <w:tc>
          <w:tcPr>
            <w:tcW w:w="1144" w:type="dxa"/>
            <w:vAlign w:val="center"/>
          </w:tcPr>
          <w:p w14:paraId="22B6855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理解情况</w:t>
            </w:r>
          </w:p>
          <w:p w14:paraId="64D85E2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547" w:type="dxa"/>
            <w:vAlign w:val="center"/>
          </w:tcPr>
          <w:p w14:paraId="3D814088">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评标委员会根据投标人对本项目需求情况</w:t>
            </w:r>
            <w:r>
              <w:rPr>
                <w:rFonts w:hint="eastAsia" w:ascii="宋体" w:hAnsi="宋体" w:eastAsia="宋体" w:cs="宋体"/>
                <w:color w:val="auto"/>
                <w:sz w:val="21"/>
                <w:szCs w:val="21"/>
                <w:highlight w:val="none"/>
              </w:rPr>
              <w:t>的理解程度</w:t>
            </w:r>
            <w:r>
              <w:rPr>
                <w:rFonts w:hint="eastAsia" w:ascii="宋体" w:hAnsi="宋体" w:eastAsia="宋体" w:cs="宋体"/>
                <w:color w:val="auto"/>
                <w:sz w:val="21"/>
                <w:szCs w:val="21"/>
                <w:highlight w:val="none"/>
                <w:lang w:val="zh-CN"/>
              </w:rPr>
              <w:t>进行综合评审。</w:t>
            </w:r>
          </w:p>
          <w:p w14:paraId="446A1DF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（1）项目需求情况</w:t>
            </w:r>
            <w:r>
              <w:rPr>
                <w:rFonts w:hint="eastAsia" w:ascii="宋体" w:hAnsi="宋体" w:eastAsia="宋体" w:cs="宋体"/>
                <w:color w:val="auto"/>
                <w:sz w:val="21"/>
                <w:szCs w:val="21"/>
                <w:highlight w:val="none"/>
              </w:rPr>
              <w:t>理解深刻、分析到位、合理得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0B01F6F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（2）项目需求情况</w:t>
            </w:r>
            <w:r>
              <w:rPr>
                <w:rFonts w:hint="eastAsia" w:ascii="宋体" w:hAnsi="宋体" w:eastAsia="宋体" w:cs="宋体"/>
                <w:color w:val="auto"/>
                <w:sz w:val="21"/>
                <w:szCs w:val="21"/>
                <w:highlight w:val="none"/>
              </w:rPr>
              <w:t>理解较充分、分析较到位、较合理得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3EE2FB9">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（3）项目需求情况</w:t>
            </w:r>
            <w:r>
              <w:rPr>
                <w:rFonts w:hint="eastAsia" w:ascii="宋体" w:hAnsi="宋体" w:eastAsia="宋体" w:cs="宋体"/>
                <w:color w:val="auto"/>
                <w:sz w:val="21"/>
                <w:szCs w:val="21"/>
                <w:highlight w:val="none"/>
              </w:rPr>
              <w:t>理解简单，分析一般得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3D7C49E6">
            <w:pPr>
              <w:spacing w:line="360" w:lineRule="auto"/>
              <w:jc w:val="left"/>
              <w:rPr>
                <w:rFonts w:hint="eastAsia" w:ascii="宋体" w:hAnsi="宋体" w:cs="宋体"/>
                <w:color w:val="auto"/>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未提供不得分</w:t>
            </w:r>
            <w:r>
              <w:rPr>
                <w:rFonts w:hint="eastAsia" w:ascii="宋体" w:hAnsi="宋体" w:eastAsia="宋体" w:cs="宋体"/>
                <w:color w:val="auto"/>
                <w:sz w:val="21"/>
                <w:szCs w:val="21"/>
                <w:highlight w:val="none"/>
              </w:rPr>
              <w:t>。</w:t>
            </w:r>
          </w:p>
        </w:tc>
        <w:tc>
          <w:tcPr>
            <w:tcW w:w="780" w:type="dxa"/>
            <w:vAlign w:val="center"/>
          </w:tcPr>
          <w:p w14:paraId="5DE084E2">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3779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10" w:type="dxa"/>
            <w:vMerge w:val="continue"/>
            <w:vAlign w:val="center"/>
          </w:tcPr>
          <w:p w14:paraId="312143E0">
            <w:pPr>
              <w:snapToGrid w:val="0"/>
              <w:spacing w:line="360" w:lineRule="auto"/>
              <w:jc w:val="center"/>
              <w:rPr>
                <w:rFonts w:hint="eastAsia" w:ascii="宋体" w:hAnsi="宋体" w:eastAsia="宋体" w:cs="宋体"/>
                <w:color w:val="auto"/>
                <w:sz w:val="21"/>
                <w:szCs w:val="21"/>
                <w:highlight w:val="none"/>
                <w:lang w:val="en-US" w:eastAsia="zh-CN"/>
              </w:rPr>
            </w:pPr>
          </w:p>
        </w:tc>
        <w:tc>
          <w:tcPr>
            <w:tcW w:w="1144" w:type="dxa"/>
            <w:vMerge w:val="restart"/>
            <w:shd w:val="clear" w:color="auto" w:fill="FEFEFE"/>
            <w:vAlign w:val="center"/>
          </w:tcPr>
          <w:p w14:paraId="3AE436AC">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技术方案</w:t>
            </w:r>
            <w:r>
              <w:rPr>
                <w:rFonts w:hint="eastAsia" w:ascii="宋体" w:hAnsi="宋体" w:eastAsia="宋体" w:cs="宋体"/>
                <w:color w:val="auto"/>
                <w:sz w:val="21"/>
                <w:szCs w:val="21"/>
                <w:highlight w:val="none"/>
                <w:lang w:val="en-US" w:eastAsia="zh-CN"/>
              </w:rPr>
              <w:t>与服务方案</w:t>
            </w:r>
          </w:p>
          <w:p w14:paraId="055C4713">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w:t>
            </w:r>
          </w:p>
        </w:tc>
        <w:tc>
          <w:tcPr>
            <w:tcW w:w="6547" w:type="dxa"/>
            <w:shd w:val="clear" w:color="auto" w:fill="FEFEFE"/>
            <w:vAlign w:val="center"/>
          </w:tcPr>
          <w:p w14:paraId="2F02A5C1">
            <w:pPr>
              <w:spacing w:line="36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评标委员会根据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对</w:t>
            </w:r>
            <w:r>
              <w:rPr>
                <w:rFonts w:hint="eastAsia" w:ascii="宋体" w:hAnsi="宋体" w:eastAsia="宋体" w:cs="宋体"/>
                <w:color w:val="auto"/>
                <w:sz w:val="21"/>
                <w:szCs w:val="21"/>
                <w:highlight w:val="none"/>
                <w:lang w:val="en-US" w:eastAsia="zh-CN"/>
              </w:rPr>
              <w:t>除四害工作方案和技术方案的全面性、合理性等内容进行综合评审。</w:t>
            </w:r>
          </w:p>
          <w:p w14:paraId="05C503DF">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（1）方案完整、详细、规范，完全符合本项目需求的得6分；</w:t>
            </w:r>
          </w:p>
          <w:p w14:paraId="35841210">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（2）方案较为简单且有瑕疵，能基本符合本项目需求的得4分；</w:t>
            </w:r>
          </w:p>
          <w:p w14:paraId="223605C6">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（3）方案简单，不完整，不太满足本项目要求的得2分</w:t>
            </w:r>
            <w:r>
              <w:rPr>
                <w:rFonts w:hint="eastAsia" w:ascii="宋体" w:hAnsi="宋体" w:eastAsia="宋体" w:cs="宋体"/>
                <w:color w:val="auto"/>
                <w:sz w:val="21"/>
                <w:szCs w:val="21"/>
                <w:highlight w:val="none"/>
                <w:lang w:val="zh-CN"/>
              </w:rPr>
              <w:t>；</w:t>
            </w:r>
          </w:p>
          <w:p w14:paraId="03B721A0">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未提供不得分</w:t>
            </w:r>
            <w:r>
              <w:rPr>
                <w:rFonts w:hint="eastAsia" w:ascii="宋体" w:hAnsi="宋体" w:eastAsia="宋体" w:cs="宋体"/>
                <w:color w:val="auto"/>
                <w:sz w:val="21"/>
                <w:szCs w:val="21"/>
                <w:highlight w:val="none"/>
              </w:rPr>
              <w:t>。</w:t>
            </w:r>
          </w:p>
        </w:tc>
        <w:tc>
          <w:tcPr>
            <w:tcW w:w="780" w:type="dxa"/>
            <w:vAlign w:val="center"/>
          </w:tcPr>
          <w:p w14:paraId="39B1ABCC">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1E02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618EB61E">
            <w:pPr>
              <w:snapToGrid w:val="0"/>
              <w:spacing w:line="360" w:lineRule="auto"/>
              <w:jc w:val="center"/>
              <w:rPr>
                <w:rFonts w:hint="eastAsia" w:ascii="宋体" w:hAnsi="宋体" w:eastAsia="宋体" w:cs="宋体"/>
                <w:color w:val="auto"/>
                <w:sz w:val="21"/>
                <w:szCs w:val="21"/>
                <w:highlight w:val="none"/>
                <w:lang w:val="en-US" w:eastAsia="zh-CN"/>
              </w:rPr>
            </w:pPr>
          </w:p>
        </w:tc>
        <w:tc>
          <w:tcPr>
            <w:tcW w:w="1144" w:type="dxa"/>
            <w:vMerge w:val="continue"/>
            <w:vAlign w:val="center"/>
          </w:tcPr>
          <w:p w14:paraId="067F160C">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p>
        </w:tc>
        <w:tc>
          <w:tcPr>
            <w:tcW w:w="6547" w:type="dxa"/>
            <w:shd w:val="clear" w:color="auto" w:fill="FEFEFE"/>
            <w:vAlign w:val="center"/>
          </w:tcPr>
          <w:p w14:paraId="5D97F1CF">
            <w:pPr>
              <w:spacing w:line="36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评标委员会根据</w:t>
            </w:r>
            <w:r>
              <w:rPr>
                <w:rFonts w:hint="eastAsia" w:ascii="宋体" w:hAnsi="宋体" w:eastAsia="宋体" w:cs="宋体"/>
                <w:color w:val="auto"/>
                <w:sz w:val="21"/>
                <w:szCs w:val="21"/>
                <w:highlight w:val="none"/>
                <w:lang w:val="en-US" w:eastAsia="zh-CN"/>
              </w:rPr>
              <w:t>投标人除四害的工作性质与本项目服务区域</w:t>
            </w:r>
            <w:r>
              <w:rPr>
                <w:rFonts w:hint="eastAsia" w:ascii="宋体" w:hAnsi="宋体" w:eastAsia="宋体" w:cs="宋体"/>
                <w:color w:val="auto"/>
                <w:sz w:val="21"/>
                <w:szCs w:val="21"/>
                <w:highlight w:val="none"/>
                <w:lang w:val="zh-CN" w:eastAsia="zh-CN"/>
              </w:rPr>
              <w:t>特性</w:t>
            </w:r>
            <w:r>
              <w:rPr>
                <w:rFonts w:hint="eastAsia" w:ascii="宋体" w:hAnsi="宋体" w:eastAsia="宋体" w:cs="宋体"/>
                <w:color w:val="auto"/>
                <w:sz w:val="21"/>
                <w:szCs w:val="21"/>
                <w:highlight w:val="none"/>
                <w:lang w:val="en-US" w:eastAsia="zh-CN"/>
              </w:rPr>
              <w:t>的结合程度进行综合评审。</w:t>
            </w:r>
          </w:p>
          <w:p w14:paraId="67397AB9">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（1）提供的工作性质与服务满足区域特性，有针对性强，结合程度高的得6分；</w:t>
            </w:r>
          </w:p>
          <w:p w14:paraId="72FE8DF9">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（2）提供的工作性质与服务基本满足区域特性，有针对性一般，结合程度一般的得4分；</w:t>
            </w:r>
          </w:p>
          <w:p w14:paraId="6E8E9D77">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（3）提供的工作性质与服务在区域特性上针对性差，结合程度弱的得2分；</w:t>
            </w:r>
          </w:p>
          <w:p w14:paraId="31D84FA5">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未提供不得分</w:t>
            </w:r>
            <w:r>
              <w:rPr>
                <w:rFonts w:hint="eastAsia" w:ascii="宋体" w:hAnsi="宋体" w:eastAsia="宋体" w:cs="宋体"/>
                <w:color w:val="auto"/>
                <w:sz w:val="21"/>
                <w:szCs w:val="21"/>
                <w:highlight w:val="none"/>
              </w:rPr>
              <w:t>。</w:t>
            </w:r>
          </w:p>
        </w:tc>
        <w:tc>
          <w:tcPr>
            <w:tcW w:w="780" w:type="dxa"/>
            <w:vAlign w:val="center"/>
          </w:tcPr>
          <w:p w14:paraId="73BD43DB">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31A9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621B9CA9">
            <w:pPr>
              <w:snapToGrid w:val="0"/>
              <w:spacing w:line="360" w:lineRule="auto"/>
              <w:jc w:val="center"/>
              <w:rPr>
                <w:rFonts w:hint="eastAsia" w:ascii="宋体" w:hAnsi="宋体" w:eastAsia="宋体" w:cs="宋体"/>
                <w:color w:val="auto"/>
                <w:sz w:val="21"/>
                <w:szCs w:val="21"/>
                <w:highlight w:val="none"/>
                <w:lang w:val="en-US" w:eastAsia="zh-CN"/>
              </w:rPr>
            </w:pPr>
          </w:p>
        </w:tc>
        <w:tc>
          <w:tcPr>
            <w:tcW w:w="1144" w:type="dxa"/>
            <w:vMerge w:val="continue"/>
            <w:vAlign w:val="center"/>
          </w:tcPr>
          <w:p w14:paraId="5974954B">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p>
        </w:tc>
        <w:tc>
          <w:tcPr>
            <w:tcW w:w="6547" w:type="dxa"/>
            <w:shd w:val="clear" w:color="auto" w:fill="FEFEFE"/>
            <w:vAlign w:val="center"/>
          </w:tcPr>
          <w:p w14:paraId="57B183E6">
            <w:pPr>
              <w:spacing w:line="36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评标委员会根据</w:t>
            </w:r>
            <w:r>
              <w:rPr>
                <w:rFonts w:hint="eastAsia" w:ascii="宋体" w:hAnsi="宋体" w:eastAsia="宋体" w:cs="宋体"/>
                <w:color w:val="auto"/>
                <w:sz w:val="21"/>
                <w:szCs w:val="21"/>
                <w:highlight w:val="none"/>
                <w:lang w:val="en-US" w:eastAsia="zh-CN"/>
              </w:rPr>
              <w:t>投标人服务方案与本项目的关联程度进行综合评审。</w:t>
            </w:r>
          </w:p>
          <w:p w14:paraId="3A49423D">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（1）方案完整、详细，与本项目的关联程度强的得6分；</w:t>
            </w:r>
          </w:p>
          <w:p w14:paraId="6E5A4287">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（2）方案较为简单，与本项目的关联程度一般的得4分；</w:t>
            </w:r>
          </w:p>
          <w:p w14:paraId="46BAC7F0">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（3）方案简单，不完整，与本项目的关联程度差的得4分</w:t>
            </w:r>
            <w:r>
              <w:rPr>
                <w:rFonts w:hint="eastAsia" w:ascii="宋体" w:hAnsi="宋体" w:eastAsia="宋体" w:cs="宋体"/>
                <w:color w:val="auto"/>
                <w:sz w:val="21"/>
                <w:szCs w:val="21"/>
                <w:highlight w:val="none"/>
                <w:lang w:val="zh-CN"/>
              </w:rPr>
              <w:t>；</w:t>
            </w:r>
          </w:p>
          <w:p w14:paraId="0DFE30D9">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未提供不得分</w:t>
            </w:r>
            <w:r>
              <w:rPr>
                <w:rFonts w:hint="eastAsia" w:ascii="宋体" w:hAnsi="宋体" w:eastAsia="宋体" w:cs="宋体"/>
                <w:color w:val="auto"/>
                <w:sz w:val="21"/>
                <w:szCs w:val="21"/>
                <w:highlight w:val="none"/>
              </w:rPr>
              <w:t>。</w:t>
            </w:r>
          </w:p>
        </w:tc>
        <w:tc>
          <w:tcPr>
            <w:tcW w:w="780" w:type="dxa"/>
            <w:vAlign w:val="center"/>
          </w:tcPr>
          <w:p w14:paraId="6E47A4FD">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39C8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4F025596">
            <w:pPr>
              <w:snapToGrid w:val="0"/>
              <w:spacing w:line="360" w:lineRule="auto"/>
              <w:jc w:val="center"/>
              <w:rPr>
                <w:rFonts w:hint="eastAsia" w:ascii="宋体" w:hAnsi="宋体" w:eastAsia="宋体" w:cs="宋体"/>
                <w:color w:val="auto"/>
                <w:sz w:val="21"/>
                <w:szCs w:val="21"/>
                <w:highlight w:val="none"/>
                <w:lang w:val="en-US" w:eastAsia="zh-CN"/>
              </w:rPr>
            </w:pPr>
          </w:p>
        </w:tc>
        <w:tc>
          <w:tcPr>
            <w:tcW w:w="1144" w:type="dxa"/>
            <w:vMerge w:val="continue"/>
            <w:vAlign w:val="center"/>
          </w:tcPr>
          <w:p w14:paraId="4702E25D">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p>
        </w:tc>
        <w:tc>
          <w:tcPr>
            <w:tcW w:w="6547" w:type="dxa"/>
            <w:vAlign w:val="center"/>
          </w:tcPr>
          <w:p w14:paraId="1C1596EC">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评标委员会根据</w:t>
            </w:r>
            <w:r>
              <w:rPr>
                <w:rFonts w:hint="eastAsia" w:ascii="宋体" w:hAnsi="宋体" w:eastAsia="宋体" w:cs="宋体"/>
                <w:color w:val="auto"/>
                <w:sz w:val="21"/>
                <w:szCs w:val="21"/>
                <w:highlight w:val="none"/>
                <w:lang w:val="en-US" w:eastAsia="zh-CN"/>
              </w:rPr>
              <w:t>各投标人提供的药物中毒处置预案的全面性、合理性等内容进行综合评审。</w:t>
            </w:r>
          </w:p>
          <w:p w14:paraId="59D5AEEE">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（1）方案完整、详细，与本项目的关联程度强的得6分；</w:t>
            </w:r>
          </w:p>
          <w:p w14:paraId="4CA46E10">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（2）方案较为简单，与本项目的关联程度一般的得4分；</w:t>
            </w:r>
          </w:p>
          <w:p w14:paraId="292121F5">
            <w:pPr>
              <w:pStyle w:val="63"/>
              <w:ind w:left="0" w:leftChars="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（3）方案简单，不完整，与本项目的关联程度差的得2分</w:t>
            </w:r>
            <w:r>
              <w:rPr>
                <w:rFonts w:hint="eastAsia" w:ascii="宋体" w:hAnsi="宋体" w:eastAsia="宋体" w:cs="宋体"/>
                <w:color w:val="auto"/>
                <w:sz w:val="21"/>
                <w:szCs w:val="21"/>
                <w:highlight w:val="none"/>
                <w:lang w:val="zh-CN"/>
              </w:rPr>
              <w:t>；</w:t>
            </w:r>
          </w:p>
          <w:p w14:paraId="285D45E2">
            <w:pPr>
              <w:pStyle w:val="63"/>
              <w:ind w:left="0" w:leftChars="0" w:firstLine="0" w:firstLineChars="0"/>
              <w:rPr>
                <w:rFonts w:hint="eastAsia"/>
                <w:color w:val="auto"/>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未提供不得分</w:t>
            </w:r>
            <w:r>
              <w:rPr>
                <w:rFonts w:hint="eastAsia" w:ascii="宋体" w:hAnsi="宋体" w:eastAsia="宋体" w:cs="宋体"/>
                <w:color w:val="auto"/>
                <w:sz w:val="21"/>
                <w:szCs w:val="21"/>
                <w:highlight w:val="none"/>
              </w:rPr>
              <w:t>。</w:t>
            </w:r>
          </w:p>
        </w:tc>
        <w:tc>
          <w:tcPr>
            <w:tcW w:w="780" w:type="dxa"/>
            <w:vAlign w:val="center"/>
          </w:tcPr>
          <w:p w14:paraId="028EDA37">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1E93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2A23A9A8">
            <w:pPr>
              <w:snapToGrid w:val="0"/>
              <w:spacing w:line="360" w:lineRule="auto"/>
              <w:jc w:val="center"/>
              <w:rPr>
                <w:rFonts w:hint="eastAsia" w:ascii="宋体" w:hAnsi="宋体" w:eastAsia="宋体" w:cs="宋体"/>
                <w:color w:val="auto"/>
                <w:sz w:val="21"/>
                <w:szCs w:val="21"/>
                <w:highlight w:val="none"/>
              </w:rPr>
            </w:pPr>
          </w:p>
        </w:tc>
        <w:tc>
          <w:tcPr>
            <w:tcW w:w="1144" w:type="dxa"/>
            <w:shd w:val="clear" w:color="auto" w:fill="FEFEFE"/>
            <w:vAlign w:val="center"/>
          </w:tcPr>
          <w:p w14:paraId="4FD020D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拟投入人</w:t>
            </w:r>
            <w:r>
              <w:rPr>
                <w:rFonts w:hint="eastAsia" w:ascii="宋体" w:hAnsi="宋体" w:eastAsia="宋体" w:cs="宋体"/>
                <w:color w:val="auto"/>
                <w:sz w:val="21"/>
                <w:szCs w:val="21"/>
                <w:highlight w:val="none"/>
                <w:lang w:val="en-US" w:eastAsia="zh-CN"/>
              </w:rPr>
              <w:t>员配备</w:t>
            </w:r>
          </w:p>
          <w:p w14:paraId="3B46940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547" w:type="dxa"/>
            <w:shd w:val="clear" w:color="auto" w:fill="FEFEFE"/>
            <w:vAlign w:val="center"/>
          </w:tcPr>
          <w:p w14:paraId="304FF5C1">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评标委员会根据投标人</w:t>
            </w:r>
            <w:r>
              <w:rPr>
                <w:rFonts w:hint="eastAsia" w:ascii="宋体" w:hAnsi="宋体" w:eastAsia="宋体" w:cs="宋体"/>
                <w:color w:val="auto"/>
                <w:sz w:val="21"/>
                <w:szCs w:val="21"/>
                <w:highlight w:val="none"/>
              </w:rPr>
              <w:t>提供的针对本项目拟投入的人员数量、工作经验、技能水平等内容</w:t>
            </w:r>
            <w:r>
              <w:rPr>
                <w:rFonts w:hint="eastAsia" w:ascii="宋体" w:hAnsi="宋体" w:eastAsia="宋体" w:cs="宋体"/>
                <w:color w:val="auto"/>
                <w:sz w:val="21"/>
                <w:szCs w:val="21"/>
                <w:highlight w:val="none"/>
                <w:lang w:val="zh-CN"/>
              </w:rPr>
              <w:t>进行综合评审。</w:t>
            </w:r>
          </w:p>
          <w:p w14:paraId="549E6C9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人员配备合理、团队综合实力高的得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4BBDB86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人员配备较合理、团队综合实力较高的得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53E7B94">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人员配备简单、团队综合实力一般的得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2C751BB">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未提供不得分。</w:t>
            </w:r>
          </w:p>
        </w:tc>
        <w:tc>
          <w:tcPr>
            <w:tcW w:w="780" w:type="dxa"/>
            <w:vAlign w:val="center"/>
          </w:tcPr>
          <w:p w14:paraId="46D56A42">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2CFE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731B3C7D">
            <w:pPr>
              <w:snapToGrid w:val="0"/>
              <w:spacing w:line="360" w:lineRule="auto"/>
              <w:jc w:val="center"/>
              <w:rPr>
                <w:rFonts w:hint="eastAsia" w:ascii="宋体" w:hAnsi="宋体" w:eastAsia="宋体" w:cs="宋体"/>
                <w:color w:val="auto"/>
                <w:sz w:val="21"/>
                <w:szCs w:val="21"/>
                <w:highlight w:val="none"/>
              </w:rPr>
            </w:pPr>
          </w:p>
        </w:tc>
        <w:tc>
          <w:tcPr>
            <w:tcW w:w="1144" w:type="dxa"/>
            <w:shd w:val="clear" w:color="auto" w:fill="FEFEFE"/>
            <w:vAlign w:val="center"/>
          </w:tcPr>
          <w:p w14:paraId="4780ED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拟投入设备配置</w:t>
            </w:r>
          </w:p>
          <w:p w14:paraId="0D444E0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547" w:type="dxa"/>
            <w:shd w:val="clear" w:color="auto" w:fill="FEFEFE"/>
            <w:vAlign w:val="center"/>
          </w:tcPr>
          <w:p w14:paraId="17E9775D">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拟投入本项目的设备、工具清单及车辆，从数量及配置情况进行</w:t>
            </w:r>
            <w:r>
              <w:rPr>
                <w:rFonts w:hint="eastAsia" w:ascii="宋体" w:hAnsi="宋体" w:eastAsia="宋体" w:cs="宋体"/>
                <w:color w:val="auto"/>
                <w:sz w:val="21"/>
                <w:szCs w:val="21"/>
                <w:highlight w:val="none"/>
                <w:lang w:eastAsia="zh-CN"/>
              </w:rPr>
              <w:t>综合评审。</w:t>
            </w:r>
          </w:p>
          <w:p w14:paraId="349992D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设备配置完善、数量合理的得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5F3B549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设备配置较完善、数量较合理的得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9F388D1">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设备配置简单、数量一般的得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507B46D">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未提供不得分。</w:t>
            </w:r>
          </w:p>
        </w:tc>
        <w:tc>
          <w:tcPr>
            <w:tcW w:w="780" w:type="dxa"/>
            <w:vAlign w:val="center"/>
          </w:tcPr>
          <w:p w14:paraId="02DDBC05">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256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66684B0C">
            <w:pPr>
              <w:snapToGrid w:val="0"/>
              <w:spacing w:line="360" w:lineRule="auto"/>
              <w:jc w:val="center"/>
              <w:rPr>
                <w:rFonts w:hint="eastAsia" w:ascii="宋体" w:hAnsi="宋体" w:eastAsia="宋体" w:cs="宋体"/>
                <w:color w:val="auto"/>
                <w:sz w:val="21"/>
                <w:szCs w:val="21"/>
                <w:highlight w:val="none"/>
              </w:rPr>
            </w:pPr>
          </w:p>
        </w:tc>
        <w:tc>
          <w:tcPr>
            <w:tcW w:w="1144" w:type="dxa"/>
            <w:vMerge w:val="restart"/>
            <w:vAlign w:val="center"/>
          </w:tcPr>
          <w:p w14:paraId="3BCB7FB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管理制度及其他服务保障措施</w:t>
            </w:r>
          </w:p>
          <w:p w14:paraId="7DCD546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（12分）</w:t>
            </w:r>
          </w:p>
        </w:tc>
        <w:tc>
          <w:tcPr>
            <w:tcW w:w="6547" w:type="dxa"/>
            <w:vAlign w:val="center"/>
          </w:tcPr>
          <w:p w14:paraId="470B61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内部组织管理制度，从工作考勤、监督管理机制、员工奖罚管理等内容进行</w:t>
            </w:r>
            <w:r>
              <w:rPr>
                <w:rFonts w:hint="eastAsia" w:ascii="宋体" w:hAnsi="宋体" w:eastAsia="宋体" w:cs="宋体"/>
                <w:color w:val="auto"/>
                <w:sz w:val="21"/>
                <w:szCs w:val="21"/>
                <w:highlight w:val="none"/>
                <w:lang w:eastAsia="zh-CN"/>
              </w:rPr>
              <w:t>综合评审。</w:t>
            </w:r>
          </w:p>
          <w:p w14:paraId="560668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制度完整、合理，可执行力度高的得6分；</w:t>
            </w:r>
          </w:p>
          <w:p w14:paraId="0FCBEC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制度较完整、较合理，可执行力度较高的得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9219C9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制度简单，较一般，可执行力低的得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3EBCF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未提供不得分。</w:t>
            </w:r>
          </w:p>
        </w:tc>
        <w:tc>
          <w:tcPr>
            <w:tcW w:w="780" w:type="dxa"/>
            <w:vAlign w:val="center"/>
          </w:tcPr>
          <w:p w14:paraId="4037DA7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4BDF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086E71D0">
            <w:pPr>
              <w:snapToGrid w:val="0"/>
              <w:spacing w:line="360" w:lineRule="auto"/>
              <w:jc w:val="center"/>
              <w:rPr>
                <w:rFonts w:hint="eastAsia" w:ascii="宋体" w:hAnsi="宋体" w:eastAsia="宋体" w:cs="宋体"/>
                <w:color w:val="auto"/>
                <w:sz w:val="21"/>
                <w:szCs w:val="21"/>
                <w:highlight w:val="none"/>
              </w:rPr>
            </w:pPr>
          </w:p>
        </w:tc>
        <w:tc>
          <w:tcPr>
            <w:tcW w:w="1144" w:type="dxa"/>
            <w:vMerge w:val="continue"/>
            <w:vAlign w:val="center"/>
          </w:tcPr>
          <w:p w14:paraId="4E51B534">
            <w:pPr>
              <w:spacing w:line="360" w:lineRule="auto"/>
              <w:jc w:val="center"/>
              <w:rPr>
                <w:rFonts w:hint="eastAsia" w:ascii="宋体" w:hAnsi="宋体" w:eastAsia="宋体" w:cs="宋体"/>
                <w:color w:val="auto"/>
                <w:sz w:val="21"/>
                <w:szCs w:val="21"/>
                <w:highlight w:val="none"/>
                <w:lang w:val="en-US" w:eastAsia="zh-CN"/>
              </w:rPr>
            </w:pPr>
          </w:p>
        </w:tc>
        <w:tc>
          <w:tcPr>
            <w:tcW w:w="6547" w:type="dxa"/>
            <w:vAlign w:val="center"/>
          </w:tcPr>
          <w:p w14:paraId="407F235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项目实施人员安全文明作业的具体措施，对本项目服务工作目标及承诺，服务的便捷性等内容进行</w:t>
            </w:r>
            <w:r>
              <w:rPr>
                <w:rFonts w:hint="eastAsia" w:ascii="宋体" w:hAnsi="宋体" w:eastAsia="宋体" w:cs="宋体"/>
                <w:color w:val="auto"/>
                <w:sz w:val="21"/>
                <w:szCs w:val="21"/>
                <w:highlight w:val="none"/>
                <w:lang w:eastAsia="zh-CN"/>
              </w:rPr>
              <w:t>综合评审。</w:t>
            </w:r>
          </w:p>
          <w:p w14:paraId="3A19F5D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措施可行，服务保障完善的得6分；</w:t>
            </w:r>
          </w:p>
          <w:p w14:paraId="26647E6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措施基本可行，服务保障较完善的得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B8F60F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措施不可行，服务保障欠完善的得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2209B80">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未提供不得分。</w:t>
            </w:r>
          </w:p>
        </w:tc>
        <w:tc>
          <w:tcPr>
            <w:tcW w:w="780" w:type="dxa"/>
            <w:vAlign w:val="center"/>
          </w:tcPr>
          <w:p w14:paraId="5DD2CD5A">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0B89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731E0B37">
            <w:pPr>
              <w:snapToGrid w:val="0"/>
              <w:spacing w:line="360" w:lineRule="auto"/>
              <w:jc w:val="center"/>
              <w:rPr>
                <w:rFonts w:hint="eastAsia" w:ascii="宋体" w:hAnsi="宋体" w:eastAsia="宋体" w:cs="宋体"/>
                <w:color w:val="auto"/>
                <w:sz w:val="21"/>
                <w:szCs w:val="21"/>
                <w:highlight w:val="none"/>
              </w:rPr>
            </w:pPr>
          </w:p>
        </w:tc>
        <w:tc>
          <w:tcPr>
            <w:tcW w:w="1144" w:type="dxa"/>
            <w:vMerge w:val="restart"/>
            <w:vAlign w:val="center"/>
          </w:tcPr>
          <w:p w14:paraId="7DCAF93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6.应急预案</w:t>
            </w:r>
            <w:r>
              <w:rPr>
                <w:rFonts w:hint="eastAsia" w:ascii="宋体" w:hAnsi="宋体" w:eastAsia="宋体" w:cs="宋体"/>
                <w:color w:val="auto"/>
                <w:sz w:val="21"/>
                <w:szCs w:val="21"/>
                <w:highlight w:val="none"/>
              </w:rPr>
              <w:t>（12分）</w:t>
            </w:r>
          </w:p>
        </w:tc>
        <w:tc>
          <w:tcPr>
            <w:tcW w:w="6547" w:type="dxa"/>
            <w:vAlign w:val="center"/>
          </w:tcPr>
          <w:p w14:paraId="2BBB409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lang w:val="en-US" w:eastAsia="zh-CN"/>
              </w:rPr>
              <w:t>提出</w:t>
            </w:r>
            <w:r>
              <w:rPr>
                <w:rFonts w:hint="eastAsia" w:ascii="宋体" w:hAnsi="宋体" w:eastAsia="宋体" w:cs="宋体"/>
                <w:color w:val="auto"/>
                <w:sz w:val="21"/>
                <w:szCs w:val="21"/>
                <w:highlight w:val="none"/>
              </w:rPr>
              <w:t>的迎检应急工作预案的合理性、可操作性、全面性和药物中毒处置预案的完整性、全面性和创新性等内容进行</w:t>
            </w:r>
            <w:r>
              <w:rPr>
                <w:rFonts w:hint="eastAsia" w:ascii="宋体" w:hAnsi="宋体" w:eastAsia="宋体" w:cs="宋体"/>
                <w:color w:val="auto"/>
                <w:sz w:val="21"/>
                <w:szCs w:val="21"/>
                <w:highlight w:val="none"/>
                <w:lang w:eastAsia="zh-CN"/>
              </w:rPr>
              <w:t>综合评审。</w:t>
            </w:r>
          </w:p>
          <w:p w14:paraId="35C5553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方案完整、全面、可操作性强的得6分；</w:t>
            </w:r>
          </w:p>
          <w:p w14:paraId="7EF2362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方案较完整、较全面、可操作性较强的得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F04C14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方案简单、较一般、可操作性低的得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A69C9E3">
            <w:pPr>
              <w:pStyle w:val="63"/>
              <w:ind w:left="0" w:leftChars="0" w:firstLine="0" w:firstLineChars="0"/>
              <w:rPr>
                <w:rFonts w:hint="eastAsia"/>
                <w:color w:val="auto"/>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未提供不得分。</w:t>
            </w:r>
          </w:p>
        </w:tc>
        <w:tc>
          <w:tcPr>
            <w:tcW w:w="780" w:type="dxa"/>
            <w:vAlign w:val="center"/>
          </w:tcPr>
          <w:p w14:paraId="7E91A1C8">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484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715CE5B4">
            <w:pPr>
              <w:snapToGrid w:val="0"/>
              <w:spacing w:line="360" w:lineRule="auto"/>
              <w:jc w:val="center"/>
              <w:rPr>
                <w:rFonts w:hint="eastAsia" w:ascii="宋体" w:hAnsi="宋体" w:eastAsia="宋体" w:cs="宋体"/>
                <w:color w:val="auto"/>
                <w:sz w:val="21"/>
                <w:szCs w:val="21"/>
                <w:highlight w:val="none"/>
              </w:rPr>
            </w:pPr>
          </w:p>
        </w:tc>
        <w:tc>
          <w:tcPr>
            <w:tcW w:w="1144" w:type="dxa"/>
            <w:vMerge w:val="continue"/>
            <w:vAlign w:val="center"/>
          </w:tcPr>
          <w:p w14:paraId="3ABE32E8">
            <w:pPr>
              <w:spacing w:line="360" w:lineRule="auto"/>
              <w:jc w:val="center"/>
              <w:rPr>
                <w:rFonts w:hint="eastAsia" w:ascii="宋体" w:hAnsi="宋体" w:eastAsia="宋体" w:cs="宋体"/>
                <w:color w:val="auto"/>
                <w:sz w:val="21"/>
                <w:szCs w:val="21"/>
                <w:highlight w:val="none"/>
                <w:lang w:val="en-US" w:eastAsia="zh-CN"/>
              </w:rPr>
            </w:pPr>
          </w:p>
        </w:tc>
        <w:tc>
          <w:tcPr>
            <w:tcW w:w="6547" w:type="dxa"/>
            <w:vAlign w:val="center"/>
          </w:tcPr>
          <w:p w14:paraId="53F9C31A">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提出应对突发事件的应急方案，从方案的科学性、实用性、全面性等内容进行综合</w:t>
            </w:r>
            <w:r>
              <w:rPr>
                <w:rFonts w:hint="eastAsia" w:ascii="宋体" w:hAnsi="宋体" w:eastAsia="宋体" w:cs="宋体"/>
                <w:color w:val="auto"/>
                <w:sz w:val="21"/>
                <w:szCs w:val="21"/>
                <w:highlight w:val="none"/>
                <w:lang w:eastAsia="zh-CN"/>
              </w:rPr>
              <w:t>综合评审。</w:t>
            </w:r>
          </w:p>
          <w:p w14:paraId="39EB773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方案详实、合理、可执行力度高得6分；</w:t>
            </w:r>
          </w:p>
          <w:p w14:paraId="3AF8A6A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方案较详实、较合理，可执行力度较高的得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6F3B49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方案简单、较一般、执行力度低的得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BD7636B">
            <w:pPr>
              <w:pStyle w:val="63"/>
              <w:ind w:left="0" w:leftChars="0" w:firstLine="0" w:firstLineChars="0"/>
              <w:rPr>
                <w:rFonts w:hint="eastAsia"/>
                <w:color w:val="auto"/>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未提供不得分。</w:t>
            </w:r>
          </w:p>
        </w:tc>
        <w:tc>
          <w:tcPr>
            <w:tcW w:w="780" w:type="dxa"/>
            <w:vAlign w:val="center"/>
          </w:tcPr>
          <w:p w14:paraId="249BE74E">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32ED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5BEF1AD6">
            <w:pPr>
              <w:snapToGrid w:val="0"/>
              <w:spacing w:line="360" w:lineRule="auto"/>
              <w:jc w:val="center"/>
              <w:rPr>
                <w:rFonts w:hint="eastAsia" w:ascii="宋体" w:hAnsi="宋体" w:eastAsia="宋体" w:cs="宋体"/>
                <w:color w:val="auto"/>
                <w:sz w:val="21"/>
                <w:szCs w:val="21"/>
                <w:highlight w:val="none"/>
              </w:rPr>
            </w:pPr>
          </w:p>
        </w:tc>
        <w:tc>
          <w:tcPr>
            <w:tcW w:w="1144" w:type="dxa"/>
            <w:shd w:val="clear" w:color="auto" w:fill="FEFEFE"/>
            <w:vAlign w:val="center"/>
          </w:tcPr>
          <w:p w14:paraId="11C51D0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重点、难点分析及应对措施</w:t>
            </w:r>
          </w:p>
          <w:p w14:paraId="27570AE5">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547" w:type="dxa"/>
            <w:shd w:val="clear" w:color="auto" w:fill="FEFEFE"/>
            <w:vAlign w:val="center"/>
          </w:tcPr>
          <w:p w14:paraId="20F2307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rPr>
              <w:t>针对项目实施中重点、难点的分析以及对重点、难点和其他可预见问题所提出的应对措施等内容进行</w:t>
            </w:r>
            <w:r>
              <w:rPr>
                <w:rFonts w:hint="eastAsia" w:ascii="宋体" w:hAnsi="宋体" w:eastAsia="宋体" w:cs="宋体"/>
                <w:color w:val="auto"/>
                <w:sz w:val="21"/>
                <w:szCs w:val="21"/>
                <w:highlight w:val="none"/>
                <w:lang w:eastAsia="zh-CN"/>
              </w:rPr>
              <w:t>综合评审。</w:t>
            </w:r>
          </w:p>
          <w:p w14:paraId="1FE3274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分析到位，具有可行的应对措施的得6分；</w:t>
            </w:r>
          </w:p>
          <w:p w14:paraId="1BE5627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分析不到位，应对措施一般的得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15A4F0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分析不准确，或未能提供有效的应对措施的得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2AF5AB6">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未提供不得分。</w:t>
            </w:r>
          </w:p>
        </w:tc>
        <w:tc>
          <w:tcPr>
            <w:tcW w:w="780" w:type="dxa"/>
            <w:vAlign w:val="center"/>
          </w:tcPr>
          <w:p w14:paraId="72113E13">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4DC1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2A73E6E9">
            <w:pPr>
              <w:snapToGrid w:val="0"/>
              <w:spacing w:line="360" w:lineRule="auto"/>
              <w:jc w:val="center"/>
              <w:rPr>
                <w:rFonts w:hint="eastAsia" w:ascii="宋体" w:hAnsi="宋体" w:eastAsia="宋体" w:cs="宋体"/>
                <w:color w:val="auto"/>
                <w:sz w:val="21"/>
                <w:szCs w:val="21"/>
                <w:highlight w:val="none"/>
              </w:rPr>
            </w:pPr>
          </w:p>
        </w:tc>
        <w:tc>
          <w:tcPr>
            <w:tcW w:w="1144" w:type="dxa"/>
            <w:shd w:val="clear" w:color="auto" w:fill="FEFEFE"/>
            <w:vAlign w:val="center"/>
          </w:tcPr>
          <w:p w14:paraId="725D5458">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宣传计划（</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547" w:type="dxa"/>
            <w:shd w:val="clear" w:color="auto" w:fill="FEFEFE"/>
            <w:vAlign w:val="center"/>
          </w:tcPr>
          <w:p w14:paraId="55098BFE">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根据投标人针对本项目提供的除四害健康教育宣传计划（包括宣传形式、宣传方式等）等内容进行</w:t>
            </w:r>
            <w:r>
              <w:rPr>
                <w:rFonts w:hint="eastAsia" w:ascii="宋体" w:hAnsi="宋体" w:eastAsia="宋体" w:cs="宋体"/>
                <w:bCs/>
                <w:color w:val="auto"/>
                <w:sz w:val="21"/>
                <w:szCs w:val="21"/>
                <w:highlight w:val="none"/>
                <w:lang w:eastAsia="zh-CN"/>
              </w:rPr>
              <w:t>综合评审。</w:t>
            </w:r>
          </w:p>
          <w:p w14:paraId="720D4978">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计划合理</w:t>
            </w:r>
            <w:r>
              <w:rPr>
                <w:rFonts w:hint="eastAsia" w:ascii="宋体" w:hAnsi="宋体" w:eastAsia="宋体" w:cs="宋体"/>
                <w:color w:val="auto"/>
                <w:sz w:val="21"/>
                <w:szCs w:val="21"/>
                <w:highlight w:val="none"/>
                <w:lang w:val="zh-CN"/>
              </w:rPr>
              <w:t>，特色鲜明，展示充分的得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529322BE">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计划较合理</w:t>
            </w:r>
            <w:r>
              <w:rPr>
                <w:rFonts w:hint="eastAsia" w:ascii="宋体" w:hAnsi="宋体" w:eastAsia="宋体" w:cs="宋体"/>
                <w:color w:val="auto"/>
                <w:sz w:val="21"/>
                <w:szCs w:val="21"/>
                <w:highlight w:val="none"/>
                <w:lang w:val="zh-CN"/>
              </w:rPr>
              <w:t>，特色较鲜明，展示较充分的得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14:paraId="29EEFE6E">
            <w:pPr>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计划</w:t>
            </w:r>
            <w:r>
              <w:rPr>
                <w:rFonts w:hint="eastAsia" w:ascii="宋体" w:hAnsi="宋体" w:eastAsia="宋体" w:cs="宋体"/>
                <w:color w:val="auto"/>
                <w:sz w:val="21"/>
                <w:szCs w:val="21"/>
                <w:highlight w:val="none"/>
                <w:lang w:val="zh-CN"/>
              </w:rPr>
              <w:t>一般，特色不够鲜明，展示不够充分的得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39AC4773">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未提供不得分。</w:t>
            </w:r>
          </w:p>
        </w:tc>
        <w:tc>
          <w:tcPr>
            <w:tcW w:w="780" w:type="dxa"/>
            <w:vAlign w:val="center"/>
          </w:tcPr>
          <w:p w14:paraId="5165F415">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6360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4680E5EF">
            <w:pPr>
              <w:snapToGrid w:val="0"/>
              <w:spacing w:line="360" w:lineRule="auto"/>
              <w:jc w:val="center"/>
              <w:rPr>
                <w:rFonts w:hint="eastAsia" w:ascii="宋体" w:hAnsi="宋体" w:eastAsia="宋体" w:cs="宋体"/>
                <w:color w:val="auto"/>
                <w:sz w:val="21"/>
                <w:szCs w:val="21"/>
                <w:highlight w:val="none"/>
              </w:rPr>
            </w:pPr>
          </w:p>
        </w:tc>
        <w:tc>
          <w:tcPr>
            <w:tcW w:w="1144" w:type="dxa"/>
            <w:shd w:val="clear" w:color="auto" w:fill="FEFEFE"/>
            <w:vAlign w:val="center"/>
          </w:tcPr>
          <w:p w14:paraId="6735ADF6">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企业相关证书（</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p>
        </w:tc>
        <w:tc>
          <w:tcPr>
            <w:tcW w:w="6547" w:type="dxa"/>
            <w:shd w:val="clear" w:color="auto" w:fill="FEFEFE"/>
            <w:vAlign w:val="center"/>
          </w:tcPr>
          <w:p w14:paraId="2B274A31">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体系认证证书</w:t>
            </w:r>
            <w:r>
              <w:rPr>
                <w:rFonts w:hint="eastAsia" w:ascii="宋体" w:hAnsi="宋体" w:eastAsia="宋体" w:cs="宋体"/>
                <w:bCs/>
                <w:color w:val="auto"/>
                <w:sz w:val="21"/>
                <w:szCs w:val="21"/>
                <w:highlight w:val="none"/>
                <w:lang w:eastAsia="zh-CN"/>
              </w:rPr>
              <w:t>。</w:t>
            </w:r>
          </w:p>
          <w:p w14:paraId="535B79FB">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（1）具有质量管理认证体系证书得</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w:t>
            </w:r>
          </w:p>
          <w:p w14:paraId="590D2F73">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（2）具有环境管理认证体系证书得</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w:t>
            </w:r>
          </w:p>
          <w:p w14:paraId="20AA340E">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（3）具有职业健康安全管理认证体系证书得</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w:t>
            </w:r>
          </w:p>
          <w:p w14:paraId="76535D0D">
            <w:pPr>
              <w:spacing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Cs/>
                <w:color w:val="auto"/>
                <w:sz w:val="21"/>
                <w:szCs w:val="21"/>
                <w:highlight w:val="none"/>
              </w:rPr>
              <w:t>注:投标文件中提供有效期内的认证证书复印件</w:t>
            </w:r>
            <w:r>
              <w:rPr>
                <w:rFonts w:hint="eastAsia" w:ascii="宋体" w:hAnsi="宋体" w:eastAsia="宋体" w:cs="宋体"/>
                <w:bCs/>
                <w:color w:val="auto"/>
                <w:sz w:val="21"/>
                <w:szCs w:val="21"/>
                <w:highlight w:val="none"/>
                <w:lang w:eastAsia="zh-CN"/>
              </w:rPr>
              <w:t>，未提供不得分</w:t>
            </w:r>
            <w:r>
              <w:rPr>
                <w:rFonts w:hint="eastAsia" w:ascii="宋体" w:hAnsi="宋体" w:eastAsia="宋体" w:cs="宋体"/>
                <w:bCs/>
                <w:color w:val="auto"/>
                <w:sz w:val="21"/>
                <w:szCs w:val="21"/>
                <w:highlight w:val="none"/>
              </w:rPr>
              <w:t>。</w:t>
            </w:r>
          </w:p>
        </w:tc>
        <w:tc>
          <w:tcPr>
            <w:tcW w:w="780" w:type="dxa"/>
            <w:vAlign w:val="center"/>
          </w:tcPr>
          <w:p w14:paraId="78D7D7D8">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r>
      <w:tr w14:paraId="55A4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0" w:type="dxa"/>
            <w:vMerge w:val="continue"/>
            <w:vAlign w:val="center"/>
          </w:tcPr>
          <w:p w14:paraId="2A88A038">
            <w:pPr>
              <w:snapToGrid w:val="0"/>
              <w:spacing w:line="360" w:lineRule="auto"/>
              <w:jc w:val="center"/>
              <w:rPr>
                <w:rFonts w:hint="eastAsia" w:ascii="宋体" w:hAnsi="宋体" w:eastAsia="宋体" w:cs="宋体"/>
                <w:color w:val="auto"/>
                <w:sz w:val="21"/>
                <w:szCs w:val="21"/>
                <w:highlight w:val="none"/>
              </w:rPr>
            </w:pPr>
          </w:p>
        </w:tc>
        <w:tc>
          <w:tcPr>
            <w:tcW w:w="1144" w:type="dxa"/>
            <w:shd w:val="clear" w:color="auto" w:fill="FEFEFE"/>
            <w:vAlign w:val="center"/>
          </w:tcPr>
          <w:p w14:paraId="1C545F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类似业绩</w:t>
            </w:r>
          </w:p>
          <w:p w14:paraId="4D207A5A">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6547" w:type="dxa"/>
            <w:shd w:val="clear" w:color="auto" w:fill="FEFEFE"/>
            <w:vAlign w:val="center"/>
          </w:tcPr>
          <w:p w14:paraId="4F5129F0">
            <w:pPr>
              <w:spacing w:line="36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自202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月1日至今，</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具有类似业绩项目的，每提供一个得1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分。（时间以合同签订日期为准，证明材料为合同复印件，投标文件中须附合同复印件。）</w:t>
            </w:r>
          </w:p>
        </w:tc>
        <w:tc>
          <w:tcPr>
            <w:tcW w:w="780" w:type="dxa"/>
            <w:vAlign w:val="center"/>
          </w:tcPr>
          <w:p w14:paraId="1C3EC055">
            <w:pPr>
              <w:snapToGrid w:val="0"/>
              <w:spacing w:line="360" w:lineRule="auto"/>
              <w:jc w:val="center"/>
              <w:rPr>
                <w:rFonts w:hint="eastAsia" w:ascii="宋体" w:hAnsi="宋体" w:eastAsia="宋体" w:cs="宋体"/>
                <w:color w:val="auto"/>
                <w:sz w:val="21"/>
                <w:szCs w:val="21"/>
                <w:highlight w:val="none"/>
                <w:lang w:val="en-US" w:eastAsia="zh-CN"/>
              </w:rPr>
            </w:pPr>
          </w:p>
        </w:tc>
      </w:tr>
      <w:tr w14:paraId="1F04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954" w:type="dxa"/>
            <w:gridSpan w:val="2"/>
            <w:vAlign w:val="center"/>
          </w:tcPr>
          <w:p w14:paraId="50FE441B">
            <w:pPr>
              <w:keepNext w:val="0"/>
              <w:keepLines w:val="0"/>
              <w:pageBreakBefore w:val="0"/>
              <w:widowControl/>
              <w:shd w:val="clear" w:color="auto" w:fill="FFFFFF"/>
              <w:kinsoku/>
              <w:wordWrap/>
              <w:overflowPunct/>
              <w:topLinePunct w:val="0"/>
              <w:autoSpaceDE/>
              <w:autoSpaceDN/>
              <w:bidi w:val="0"/>
              <w:adjustRightInd/>
              <w:snapToGrid/>
              <w:spacing w:line="315" w:lineRule="atLeast"/>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价格分（15分）</w:t>
            </w:r>
          </w:p>
        </w:tc>
        <w:tc>
          <w:tcPr>
            <w:tcW w:w="6547" w:type="dxa"/>
            <w:vAlign w:val="center"/>
          </w:tcPr>
          <w:p w14:paraId="326D6EA2">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1.参与评审的价格=投标报价</w:t>
            </w:r>
          </w:p>
          <w:p w14:paraId="77421ACF">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2.评标基准价=满足招标文件要求且“参与评审的价格”中最低的价格为评标基准价。基准价得分为满分，其他投标报价得分计算公式如下：</w:t>
            </w:r>
          </w:p>
          <w:p w14:paraId="700FC864">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投标报价得分=(评标基准价/参与评审的价格)×1</w:t>
            </w:r>
            <w:r>
              <w:rPr>
                <w:rFonts w:hint="eastAsia" w:ascii="宋体" w:hAnsi="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lang w:val="en-US" w:eastAsia="zh-CN"/>
              </w:rPr>
              <w:t>%×100</w:t>
            </w:r>
          </w:p>
          <w:p w14:paraId="6CE3E588">
            <w:pPr>
              <w:pStyle w:val="344"/>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得分四舍五入保留到小数点后两位。</w:t>
            </w:r>
          </w:p>
        </w:tc>
        <w:tc>
          <w:tcPr>
            <w:tcW w:w="780" w:type="dxa"/>
            <w:vAlign w:val="center"/>
          </w:tcPr>
          <w:p w14:paraId="639860F4">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bl>
    <w:p w14:paraId="2268B159">
      <w:pPr>
        <w:rPr>
          <w:color w:val="auto"/>
          <w:highlight w:val="none"/>
        </w:rPr>
      </w:pPr>
    </w:p>
    <w:p w14:paraId="2CB3247F">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7AB56205">
      <w:pPr>
        <w:adjustRightInd/>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67572A07">
      <w:pPr>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275D20C0">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2.评标标准：</w:t>
      </w:r>
      <w:r>
        <w:rPr>
          <w:rFonts w:hint="eastAsia" w:ascii="宋体" w:hAnsi="宋体" w:eastAsia="宋体" w:cs="宋体"/>
          <w:color w:val="auto"/>
          <w:kern w:val="0"/>
          <w:sz w:val="21"/>
          <w:szCs w:val="21"/>
          <w:highlight w:val="none"/>
        </w:rPr>
        <w:t>见评标办法前附表。</w:t>
      </w:r>
    </w:p>
    <w:p w14:paraId="6F8D3A74">
      <w:pPr>
        <w:spacing w:line="360" w:lineRule="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4049D3C5">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tbl>
      <w:tblPr>
        <w:tblStyle w:val="64"/>
        <w:tblW w:w="9181"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093"/>
      </w:tblGrid>
      <w:tr w14:paraId="1F06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14:paraId="40ED2D48">
            <w:pPr>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审查类别</w:t>
            </w:r>
          </w:p>
        </w:tc>
        <w:tc>
          <w:tcPr>
            <w:tcW w:w="7093" w:type="dxa"/>
            <w:tcBorders>
              <w:top w:val="single" w:color="auto" w:sz="4" w:space="0"/>
              <w:left w:val="single" w:color="auto" w:sz="4" w:space="0"/>
              <w:bottom w:val="single" w:color="auto" w:sz="4" w:space="0"/>
              <w:right w:val="single" w:color="auto" w:sz="4" w:space="0"/>
            </w:tcBorders>
            <w:noWrap w:val="0"/>
            <w:vAlign w:val="center"/>
          </w:tcPr>
          <w:p w14:paraId="666DB528">
            <w:pPr>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审查内容</w:t>
            </w:r>
          </w:p>
        </w:tc>
      </w:tr>
      <w:tr w14:paraId="15B1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088" w:type="dxa"/>
            <w:vMerge w:val="restart"/>
            <w:tcBorders>
              <w:top w:val="nil"/>
              <w:left w:val="single" w:color="auto" w:sz="4" w:space="0"/>
              <w:right w:val="single" w:color="auto" w:sz="4" w:space="0"/>
            </w:tcBorders>
            <w:noWrap w:val="0"/>
            <w:vAlign w:val="center"/>
          </w:tcPr>
          <w:p w14:paraId="34A54F42">
            <w:pPr>
              <w:spacing w:line="240" w:lineRule="auto"/>
              <w:jc w:val="center"/>
              <w:rPr>
                <w:rFonts w:hint="eastAsia" w:ascii="宋体" w:hAnsi="宋体" w:eastAsia="宋体" w:cs="宋体"/>
                <w:color w:val="auto"/>
                <w:highlight w:val="none"/>
              </w:rPr>
            </w:pPr>
          </w:p>
          <w:p w14:paraId="08A51A05">
            <w:pPr>
              <w:spacing w:line="240" w:lineRule="auto"/>
              <w:jc w:val="center"/>
              <w:rPr>
                <w:rFonts w:hint="eastAsia" w:ascii="宋体" w:hAnsi="宋体" w:eastAsia="宋体" w:cs="宋体"/>
                <w:color w:val="auto"/>
                <w:highlight w:val="none"/>
              </w:rPr>
            </w:pPr>
          </w:p>
          <w:p w14:paraId="413FD4E4">
            <w:pPr>
              <w:spacing w:line="240" w:lineRule="auto"/>
              <w:jc w:val="center"/>
              <w:rPr>
                <w:rFonts w:hint="eastAsia" w:ascii="宋体" w:hAnsi="宋体" w:eastAsia="宋体" w:cs="宋体"/>
                <w:color w:val="auto"/>
                <w:highlight w:val="none"/>
              </w:rPr>
            </w:pPr>
          </w:p>
          <w:p w14:paraId="0203F033">
            <w:pPr>
              <w:spacing w:line="240" w:lineRule="auto"/>
              <w:jc w:val="center"/>
              <w:rPr>
                <w:rFonts w:hint="eastAsia" w:ascii="宋体" w:hAnsi="宋体" w:eastAsia="宋体" w:cs="宋体"/>
                <w:color w:val="auto"/>
                <w:highlight w:val="none"/>
              </w:rPr>
            </w:pPr>
          </w:p>
          <w:p w14:paraId="06F81E9B">
            <w:pPr>
              <w:spacing w:line="240" w:lineRule="auto"/>
              <w:jc w:val="center"/>
              <w:rPr>
                <w:rFonts w:hint="eastAsia" w:ascii="宋体" w:hAnsi="宋体" w:eastAsia="宋体" w:cs="宋体"/>
                <w:color w:val="auto"/>
                <w:highlight w:val="none"/>
              </w:rPr>
            </w:pPr>
          </w:p>
          <w:p w14:paraId="21A50C18">
            <w:pPr>
              <w:spacing w:line="240" w:lineRule="auto"/>
              <w:jc w:val="center"/>
              <w:rPr>
                <w:rFonts w:hint="eastAsia" w:ascii="宋体" w:hAnsi="宋体" w:eastAsia="宋体" w:cs="宋体"/>
                <w:color w:val="auto"/>
                <w:highlight w:val="none"/>
              </w:rPr>
            </w:pPr>
          </w:p>
          <w:p w14:paraId="5070CCBB">
            <w:pPr>
              <w:spacing w:line="240" w:lineRule="auto"/>
              <w:jc w:val="center"/>
              <w:rPr>
                <w:rFonts w:hint="eastAsia" w:ascii="宋体" w:hAnsi="宋体" w:eastAsia="宋体" w:cs="宋体"/>
                <w:color w:val="auto"/>
                <w:highlight w:val="none"/>
              </w:rPr>
            </w:pPr>
          </w:p>
          <w:p w14:paraId="44789531">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符合性审查</w:t>
            </w:r>
          </w:p>
          <w:p w14:paraId="20B25BBF">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（商务技术文件）</w:t>
            </w: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7728E72">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（一）按照</w:t>
            </w:r>
            <w:r>
              <w:rPr>
                <w:rFonts w:hint="eastAsia" w:ascii="宋体" w:hAnsi="宋体" w:cs="宋体"/>
                <w:color w:val="auto"/>
                <w:highlight w:val="none"/>
                <w:lang w:val="en-US" w:eastAsia="zh-CN"/>
              </w:rPr>
              <w:t>招标文件</w:t>
            </w:r>
            <w:r>
              <w:rPr>
                <w:rFonts w:hint="eastAsia" w:ascii="宋体" w:hAnsi="宋体" w:eastAsia="宋体" w:cs="宋体"/>
                <w:color w:val="auto"/>
                <w:highlight w:val="none"/>
              </w:rPr>
              <w:t>要求签署、盖章的；</w:t>
            </w:r>
          </w:p>
        </w:tc>
      </w:tr>
      <w:tr w14:paraId="1C1D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088" w:type="dxa"/>
            <w:vMerge w:val="continue"/>
            <w:tcBorders>
              <w:left w:val="single" w:color="auto" w:sz="4" w:space="0"/>
              <w:right w:val="single" w:color="auto" w:sz="4" w:space="0"/>
            </w:tcBorders>
            <w:noWrap w:val="0"/>
            <w:vAlign w:val="center"/>
          </w:tcPr>
          <w:p w14:paraId="5FC1F314">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3057B22E">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（二）投标文件有法定代表人签署本人姓名（或印盖本人姓名章），或签署人提供有效的法定代表人授权委托书且授权委托书填写项目齐全的；</w:t>
            </w:r>
          </w:p>
        </w:tc>
      </w:tr>
      <w:tr w14:paraId="6238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vMerge w:val="continue"/>
            <w:tcBorders>
              <w:left w:val="single" w:color="auto" w:sz="4" w:space="0"/>
              <w:right w:val="single" w:color="auto" w:sz="4" w:space="0"/>
            </w:tcBorders>
            <w:noWrap w:val="0"/>
            <w:vAlign w:val="center"/>
          </w:tcPr>
          <w:p w14:paraId="70B915DE">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584611F4">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）投标文件标明的响应或偏离与事实相符且无虚假投标的；</w:t>
            </w:r>
          </w:p>
        </w:tc>
      </w:tr>
      <w:tr w14:paraId="3539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left w:val="single" w:color="auto" w:sz="4" w:space="0"/>
              <w:right w:val="single" w:color="auto" w:sz="4" w:space="0"/>
            </w:tcBorders>
            <w:noWrap w:val="0"/>
            <w:vAlign w:val="center"/>
          </w:tcPr>
          <w:p w14:paraId="1EC0F1E6">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0207163">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）投标文件的实质性内容使用中文表述且意思表述明确，前后无矛盾且使用计量单位符合</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要求的；</w:t>
            </w:r>
          </w:p>
        </w:tc>
      </w:tr>
      <w:tr w14:paraId="73A8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left w:val="single" w:color="auto" w:sz="4" w:space="0"/>
              <w:right w:val="single" w:color="auto" w:sz="4" w:space="0"/>
            </w:tcBorders>
            <w:noWrap w:val="0"/>
            <w:vAlign w:val="center"/>
          </w:tcPr>
          <w:p w14:paraId="64F9F29F">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732A2A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）带“</w:t>
            </w:r>
            <w:r>
              <w:rPr>
                <w:rFonts w:hint="eastAsia" w:ascii="宋体" w:hAnsi="宋体" w:cs="宋体"/>
                <w:color w:val="auto"/>
                <w:sz w:val="21"/>
                <w:szCs w:val="21"/>
                <w:highlight w:val="none"/>
              </w:rPr>
              <w:t>▲</w:t>
            </w:r>
            <w:r>
              <w:rPr>
                <w:rFonts w:hint="eastAsia" w:ascii="宋体" w:hAnsi="宋体" w:eastAsia="宋体" w:cs="宋体"/>
                <w:color w:val="auto"/>
                <w:highlight w:val="none"/>
              </w:rPr>
              <w:t>”的条款满足</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要求、已实质性响应</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要求且投标文件无采购人不能接受的附加条件的；</w:t>
            </w:r>
          </w:p>
        </w:tc>
      </w:tr>
      <w:tr w14:paraId="482C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088" w:type="dxa"/>
            <w:vMerge w:val="continue"/>
            <w:tcBorders>
              <w:left w:val="single" w:color="auto" w:sz="4" w:space="0"/>
              <w:right w:val="single" w:color="auto" w:sz="4" w:space="0"/>
            </w:tcBorders>
            <w:noWrap w:val="0"/>
            <w:vAlign w:val="center"/>
          </w:tcPr>
          <w:p w14:paraId="748EA025">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2276FE81">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）投标技术方案明确，不存在一个或一个以上备选（替代）投标方案的；</w:t>
            </w:r>
          </w:p>
        </w:tc>
      </w:tr>
      <w:tr w14:paraId="6EE9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right w:val="single" w:color="auto" w:sz="4" w:space="0"/>
            </w:tcBorders>
            <w:noWrap w:val="0"/>
            <w:vAlign w:val="center"/>
          </w:tcPr>
          <w:p w14:paraId="3789430A">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65A7B18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）不存在法律、法规和</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规定的其他无效情形；</w:t>
            </w:r>
          </w:p>
        </w:tc>
      </w:tr>
      <w:tr w14:paraId="14E8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right w:val="single" w:color="auto" w:sz="4" w:space="0"/>
            </w:tcBorders>
            <w:noWrap w:val="0"/>
            <w:vAlign w:val="center"/>
          </w:tcPr>
          <w:p w14:paraId="41AC0129">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25F8271E">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）不存在投标文件的有效期不满足</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要求情形；</w:t>
            </w:r>
          </w:p>
        </w:tc>
      </w:tr>
      <w:tr w14:paraId="42F1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right w:val="single" w:color="auto" w:sz="4" w:space="0"/>
            </w:tcBorders>
            <w:noWrap w:val="0"/>
            <w:vAlign w:val="center"/>
          </w:tcPr>
          <w:p w14:paraId="02643E97">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56F892C0">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（九）不同供应商IP地址、MAC地址</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相同；</w:t>
            </w:r>
          </w:p>
        </w:tc>
      </w:tr>
      <w:tr w14:paraId="243F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bottom w:val="single" w:color="auto" w:sz="4" w:space="0"/>
              <w:right w:val="single" w:color="auto" w:sz="4" w:space="0"/>
            </w:tcBorders>
            <w:noWrap w:val="0"/>
            <w:vAlign w:val="center"/>
          </w:tcPr>
          <w:p w14:paraId="55C83477">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68EF380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（十）不同供应商计算机硬盘序列号</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相同；</w:t>
            </w:r>
          </w:p>
        </w:tc>
      </w:tr>
      <w:tr w14:paraId="1CBF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restart"/>
            <w:tcBorders>
              <w:top w:val="nil"/>
              <w:left w:val="single" w:color="auto" w:sz="4" w:space="0"/>
              <w:bottom w:val="single" w:color="auto" w:sz="4" w:space="0"/>
              <w:right w:val="single" w:color="auto" w:sz="4" w:space="0"/>
            </w:tcBorders>
            <w:noWrap w:val="0"/>
            <w:vAlign w:val="center"/>
          </w:tcPr>
          <w:p w14:paraId="475DF92C">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符合性审查</w:t>
            </w:r>
          </w:p>
          <w:p w14:paraId="26AAD319">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（报价文件）</w:t>
            </w:r>
          </w:p>
        </w:tc>
        <w:tc>
          <w:tcPr>
            <w:tcW w:w="7093" w:type="dxa"/>
            <w:tcBorders>
              <w:top w:val="single" w:color="auto" w:sz="4" w:space="0"/>
              <w:left w:val="single" w:color="auto" w:sz="4" w:space="0"/>
              <w:bottom w:val="single" w:color="auto" w:sz="4" w:space="0"/>
              <w:right w:val="single" w:color="auto" w:sz="4" w:space="0"/>
            </w:tcBorders>
            <w:noWrap w:val="0"/>
            <w:vAlign w:val="center"/>
          </w:tcPr>
          <w:p w14:paraId="435F7F34">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（一）按照</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文件规定要求签署或盖章；</w:t>
            </w:r>
          </w:p>
        </w:tc>
      </w:tr>
      <w:tr w14:paraId="3CBB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1CDBB00F">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118E0F70">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）采用人民币报价或者按照</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标明的币种报价的；</w:t>
            </w:r>
          </w:p>
        </w:tc>
      </w:tr>
      <w:tr w14:paraId="499D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25A67E37">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5A184AD3">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）不存在报价超出最高限价，或者超出采购预算金额，采购人不能支付的情形。</w:t>
            </w:r>
          </w:p>
        </w:tc>
      </w:tr>
      <w:tr w14:paraId="1210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7371F010">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5797E8A2">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）不存在投标报价具有选择性的情形；</w:t>
            </w:r>
          </w:p>
        </w:tc>
      </w:tr>
      <w:tr w14:paraId="376C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778955B9">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498564A8">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）投标报价中未出现重大缺项、漏项；</w:t>
            </w:r>
          </w:p>
        </w:tc>
      </w:tr>
      <w:tr w14:paraId="1234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6637C52A">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273F66FE">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）不存在评标委员会认为供应商的报价明显低于其他通过符合性审查供应商的报价，有可能影响产品质量或者不能诚信履约的且未能按要求提供书面说明或者提交相关证明材料，不能证明其报价合理性的；</w:t>
            </w:r>
          </w:p>
        </w:tc>
      </w:tr>
      <w:tr w14:paraId="6FD5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25E7FEBD">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34178F71">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）投标文件（报价文件）内容与投标文件（商务技术文件）内容不存在重大差异的；</w:t>
            </w:r>
          </w:p>
        </w:tc>
      </w:tr>
      <w:tr w14:paraId="3682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66692BC4">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1505004D">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）不存在法律、法规和</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规定的其他无效情形；</w:t>
            </w:r>
          </w:p>
        </w:tc>
      </w:tr>
    </w:tbl>
    <w:p w14:paraId="17A54BB2">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370E0505">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42D2F4B0">
      <w:pPr>
        <w:spacing w:line="360" w:lineRule="auto"/>
        <w:ind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44DB99B5">
      <w:pPr>
        <w:pStyle w:val="136"/>
        <w:spacing w:before="0"/>
        <w:ind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4E1B90DB">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2EC25EA8">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376A86B6">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463B0F26">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21B81770">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81961A5">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10669339">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6A71EA26">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B0D055">
      <w:pPr>
        <w:pStyle w:val="136"/>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w:t>
      </w:r>
    </w:p>
    <w:p w14:paraId="21970446">
      <w:pPr>
        <w:spacing w:line="360" w:lineRule="auto"/>
        <w:ind w:firstLine="422" w:firstLineChars="200"/>
        <w:rPr>
          <w:rFonts w:hint="eastAsia" w:ascii="宋体" w:hAnsi="宋体" w:cs="宋体"/>
          <w:color w:val="auto"/>
          <w:kern w:val="0"/>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cs="宋体"/>
          <w:color w:val="auto"/>
          <w:kern w:val="0"/>
          <w:szCs w:val="21"/>
          <w:highlight w:val="none"/>
        </w:rPr>
        <w:t>评标委员会按</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的综合得分由高到低顺序排列并推荐排序第一的为中标候选人。若供应商的综合得分相等，则投标报价低者列前；若投标报价也相同时，采取随机抽签的方式确定排序。若中标人放弃中标，或因不可抗力提出不能履行合同，或不按</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规定提交履约担保，或其它原因被依法撤销中标资格，采购人可以按照评标委员会推荐的中标候选人名单排序依次确定其他中标候选人为中标人。</w:t>
      </w:r>
    </w:p>
    <w:p w14:paraId="448A5491">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16AE52">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445122">
      <w:pPr>
        <w:widowControl/>
        <w:shd w:val="clear" w:color="auto" w:fill="FFFFFF"/>
        <w:adjustRightInd/>
        <w:spacing w:after="225" w:line="315" w:lineRule="atLeas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611E0C79">
      <w:pPr>
        <w:pStyle w:val="136"/>
        <w:spacing w:before="0"/>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C45D1F">
      <w:pPr>
        <w:pStyle w:val="26"/>
        <w:spacing w:line="360" w:lineRule="auto"/>
        <w:ind w:left="954" w:leftChars="226" w:hanging="479" w:firstLineChars="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0056C3C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3E7E4ACB">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13CEFB2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26337A9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65E7240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51CAA407">
      <w:pPr>
        <w:snapToGrid w:val="0"/>
        <w:spacing w:line="360" w:lineRule="auto"/>
        <w:ind w:firstLine="105" w:firstLineChars="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1ADA83D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2AEBCBC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报价明显低于其他通过符合性审查投标人的报价，有可能影响产品质量或者不能诚信履约的，未能按要求提供书面说明或者提交相关证明材料，不能证明其报价合理性的;</w:t>
      </w:r>
    </w:p>
    <w:p w14:paraId="0EC5023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4.2.9</w:t>
      </w:r>
      <w:r>
        <w:rPr>
          <w:rFonts w:hint="eastAsia" w:ascii="宋体" w:hAnsi="宋体" w:eastAsia="宋体" w:cs="宋体"/>
          <w:color w:val="auto"/>
          <w:kern w:val="0"/>
          <w:sz w:val="21"/>
          <w:szCs w:val="21"/>
          <w:highlight w:val="none"/>
        </w:rPr>
        <w:t>投标人对根据修正原则修正后的报价不确认的；</w:t>
      </w:r>
    </w:p>
    <w:p w14:paraId="12D6C7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投标人提供虚假材料投标的；</w:t>
      </w:r>
    </w:p>
    <w:p w14:paraId="6E068080">
      <w:pPr>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73CF27B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32F2FB26">
      <w:pPr>
        <w:pStyle w:val="5"/>
        <w:ind w:left="862" w:leftChars="205"/>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7E08371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7500884C">
      <w:pPr>
        <w:pStyle w:val="26"/>
        <w:snapToGrid w:val="0"/>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24F5CF63">
      <w:pPr>
        <w:pStyle w:val="2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28BFC831">
      <w:pPr>
        <w:pStyle w:val="2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7EE80F15">
      <w:pPr>
        <w:pStyle w:val="2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66AB4043">
      <w:pPr>
        <w:pStyle w:val="2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3B1D28DF">
      <w:pPr>
        <w:pStyle w:val="2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704A3681">
      <w:pPr>
        <w:pStyle w:val="26"/>
        <w:snapToGrid w:val="0"/>
        <w:spacing w:line="360" w:lineRule="auto"/>
        <w:ind w:firstLine="517" w:firstLineChars="2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1B5342D7">
      <w:pPr>
        <w:pStyle w:val="26"/>
        <w:snapToGrid w:val="0"/>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5F9605A4">
      <w:pPr>
        <w:pStyle w:val="2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7761E09D">
      <w:pPr>
        <w:pStyle w:val="2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6A46ACF8">
      <w:pPr>
        <w:pStyle w:val="2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20939ABA">
      <w:pPr>
        <w:pStyle w:val="2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1B985179">
      <w:pPr>
        <w:pStyle w:val="2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DF88320">
      <w:pPr>
        <w:rPr>
          <w:rFonts w:hint="eastAsia"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br w:type="page"/>
      </w:r>
    </w:p>
    <w:p w14:paraId="0D03117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4C89ACFE">
      <w:pPr>
        <w:pStyle w:val="34"/>
        <w:keepNext w:val="0"/>
        <w:keepLines w:val="0"/>
        <w:pageBreakBefore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浙江省政府采购合同指引（服务）</w:t>
      </w:r>
    </w:p>
    <w:p w14:paraId="76C93B4F">
      <w:pPr>
        <w:pStyle w:val="34"/>
        <w:keepNext w:val="0"/>
        <w:keepLines w:val="0"/>
        <w:pageBreakBefore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（合同指引文本为参考文本，采购人和中标人经过协商后签署最终合同）</w:t>
      </w:r>
    </w:p>
    <w:p w14:paraId="3C982AEE">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val="en-US" w:eastAsia="zh-CN"/>
        </w:rPr>
        <w:t>采购人</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u w:val="single"/>
        </w:rPr>
        <w:t xml:space="preserve">               </w:t>
      </w:r>
    </w:p>
    <w:p w14:paraId="375205CB">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乙方（供应商）：</w:t>
      </w:r>
      <w:r>
        <w:rPr>
          <w:rFonts w:hint="eastAsia" w:ascii="宋体" w:hAnsi="宋体" w:eastAsia="宋体" w:cs="宋体"/>
          <w:color w:val="auto"/>
          <w:sz w:val="21"/>
          <w:szCs w:val="21"/>
          <w:highlight w:val="none"/>
          <w:u w:val="single"/>
        </w:rPr>
        <w:t xml:space="preserve">               </w:t>
      </w:r>
    </w:p>
    <w:p w14:paraId="0C346CA6">
      <w:pPr>
        <w:keepNext w:val="0"/>
        <w:keepLines w:val="0"/>
        <w:pageBreakBefore w:val="0"/>
        <w:numPr>
          <w:ilvl w:val="0"/>
          <w:numId w:val="3"/>
        </w:numP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乙双方本着平等、自愿、公平和诚实信用的原则，根据</w:t>
      </w:r>
      <w:r>
        <w:rPr>
          <w:rFonts w:hint="eastAsia" w:ascii="宋体" w:hAnsi="宋体" w:cs="宋体"/>
          <w:color w:val="auto"/>
          <w:sz w:val="21"/>
          <w:szCs w:val="21"/>
          <w:highlight w:val="none"/>
          <w:u w:val="single"/>
          <w:lang w:eastAsia="zh-CN"/>
        </w:rPr>
        <w:t>庄桥街道除四害消杀服务外包项目</w:t>
      </w:r>
      <w:r>
        <w:rPr>
          <w:rFonts w:hint="eastAsia" w:ascii="宋体" w:hAnsi="宋体" w:eastAsia="宋体" w:cs="宋体"/>
          <w:color w:val="auto"/>
          <w:sz w:val="21"/>
          <w:szCs w:val="21"/>
          <w:highlight w:val="none"/>
        </w:rPr>
        <w:t>公开招标采购结果签署本合同。</w:t>
      </w:r>
    </w:p>
    <w:p w14:paraId="5BFE4495">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5E28D38B">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服务内容</w:t>
      </w:r>
      <w:r>
        <w:rPr>
          <w:rFonts w:hint="eastAsia" w:ascii="宋体" w:hAnsi="宋体" w:eastAsia="宋体" w:cs="宋体"/>
          <w:b/>
          <w:bCs/>
          <w:color w:val="auto"/>
          <w:sz w:val="21"/>
          <w:szCs w:val="21"/>
          <w:highlight w:val="none"/>
          <w:lang w:val="en-US" w:eastAsia="zh-CN"/>
        </w:rPr>
        <w:t>及范围</w:t>
      </w:r>
    </w:p>
    <w:p w14:paraId="205646D2">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防治对象：老鼠、蟑螂、苍蝇、蚊子等病媒生物。</w:t>
      </w:r>
    </w:p>
    <w:p w14:paraId="095C1934">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防治范围：1</w:t>
      </w:r>
      <w:r>
        <w:rPr>
          <w:rFonts w:hint="eastAsia" w:ascii="宋体" w:hAnsi="宋体" w:eastAsia="宋体" w:cs="宋体"/>
          <w:b w:val="0"/>
          <w:bCs/>
          <w:color w:val="auto"/>
          <w:sz w:val="21"/>
          <w:szCs w:val="21"/>
          <w:highlight w:val="none"/>
          <w:lang w:val="en-US" w:eastAsia="zh-CN"/>
        </w:rPr>
        <w:t>.庄桥街道辖区内</w:t>
      </w:r>
      <w:r>
        <w:rPr>
          <w:rFonts w:hint="eastAsia" w:ascii="宋体" w:hAnsi="宋体" w:eastAsia="宋体" w:cs="宋体"/>
          <w:b w:val="0"/>
          <w:bCs/>
          <w:color w:val="auto"/>
          <w:sz w:val="21"/>
          <w:szCs w:val="21"/>
          <w:highlight w:val="none"/>
        </w:rPr>
        <w:t>居民小区所有可能存在“四害”的外环境，含实行物业管理和尚未实行物业管理的居民区。包括地下车库、绿化带、各类水体、楼道、果壳箱、垃圾房、垃圾桶、下水道等；</w:t>
      </w:r>
      <w:r>
        <w:rPr>
          <w:rFonts w:hint="eastAsia" w:ascii="宋体" w:hAnsi="宋体" w:eastAsia="宋体" w:cs="宋体"/>
          <w:b w:val="0"/>
          <w:bCs/>
          <w:color w:val="auto"/>
          <w:sz w:val="21"/>
          <w:szCs w:val="21"/>
          <w:highlight w:val="none"/>
          <w:lang w:eastAsia="zh-CN"/>
        </w:rPr>
        <w:t>庄桥街道</w:t>
      </w:r>
      <w:r>
        <w:rPr>
          <w:rFonts w:hint="eastAsia" w:ascii="宋体" w:hAnsi="宋体" w:eastAsia="宋体" w:cs="宋体"/>
          <w:b w:val="0"/>
          <w:bCs/>
          <w:color w:val="auto"/>
          <w:sz w:val="21"/>
          <w:szCs w:val="21"/>
          <w:highlight w:val="none"/>
        </w:rPr>
        <w:t>辖区公共场所及业主指定地点</w:t>
      </w:r>
      <w:r>
        <w:rPr>
          <w:rFonts w:hint="eastAsia" w:ascii="宋体" w:hAnsi="宋体" w:eastAsia="宋体" w:cs="宋体"/>
          <w:b w:val="0"/>
          <w:bCs/>
          <w:color w:val="auto"/>
          <w:sz w:val="21"/>
          <w:szCs w:val="21"/>
          <w:highlight w:val="none"/>
          <w:lang w:eastAsia="zh-CN"/>
        </w:rPr>
        <w:t>。</w:t>
      </w:r>
    </w:p>
    <w:p w14:paraId="15CA2A0B">
      <w:pPr>
        <w:keepNext w:val="0"/>
        <w:keepLines w:val="0"/>
        <w:pageBreakBefore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庄桥街道</w:t>
      </w:r>
      <w:r>
        <w:rPr>
          <w:rFonts w:hint="eastAsia" w:ascii="宋体" w:hAnsi="宋体" w:eastAsia="宋体" w:cs="宋体"/>
          <w:color w:val="auto"/>
          <w:sz w:val="21"/>
          <w:szCs w:val="21"/>
          <w:highlight w:val="none"/>
          <w:lang w:val="en-US" w:eastAsia="zh-CN"/>
        </w:rPr>
        <w:t>辖区内，</w:t>
      </w:r>
      <w:r>
        <w:rPr>
          <w:rFonts w:hint="eastAsia" w:ascii="宋体" w:hAnsi="宋体" w:eastAsia="宋体" w:cs="宋体"/>
          <w:color w:val="auto"/>
          <w:sz w:val="21"/>
          <w:szCs w:val="21"/>
          <w:highlight w:val="none"/>
          <w:lang w:eastAsia="zh-CN"/>
        </w:rPr>
        <w:t>主要包含区域为天水社区(天水家园一期、天水家园二期)、天合社区（天合家园一期、天合家园二期、水尚阑珊、长岛花园）、天成社区（天成家园一期、天成家园二期、天成家园三期、钰鼎园、金领公寓）、天沁社区（天沁家园、李渡湾、九万里、中海枫华里）、天悦社区（天悦家园、铂悦府、云玺新里）、广厦社区（广厦怡庭南区、广厦怡庭北区、丰汇华邸）、广庭社区（三和嘉园、宁馨园、谢嘉丽苑）、广庆社区（宝丽名苑、宝翠名苑、铂翠湾）、广泰社区（宝丰茗苑、姚景花园、万达公寓）、滨江社区（海外滩花苑1期、海外滩花苑2期、君御湾、郎诗清澄、世贸新岸）、费市社区（应嘉丽园、康丽花园、费市家苑）、河东社区（孔家春秋、和诚家园、晴楠东苑、新地曙光园）、河西社区（新星都市、丽庄西苑、樟韵人家）、华庭社区（邵余华庭、胡宿联庭）、天润社区（宝龙天地、宝旭观邸、九里江湾）、甬樾社区（甬樾湾东西区、和樾湾）、广怡社区（春风云筑、郎玥序章、悦富华里）、天铭社区（宝辉尚城、云栖兰汀苑）、工业B区和服务期间新交付的小区。</w:t>
      </w:r>
    </w:p>
    <w:p w14:paraId="0BC9EA22">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3.庄桥街道辖区内</w:t>
      </w:r>
      <w:r>
        <w:rPr>
          <w:rFonts w:hint="eastAsia" w:ascii="宋体" w:hAnsi="宋体" w:eastAsia="宋体" w:cs="宋体"/>
          <w:color w:val="auto"/>
          <w:sz w:val="21"/>
          <w:szCs w:val="21"/>
          <w:highlight w:val="none"/>
        </w:rPr>
        <w:t>200平方米以下的重点场所，包括小餐饮店、小食品店、小作坊、小浴室、小美容美发、小歌舞厅、小网吧、小旅店等及外环境。</w:t>
      </w:r>
    </w:p>
    <w:p w14:paraId="49D39637">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4.庄桥街道辖区内</w:t>
      </w:r>
      <w:r>
        <w:rPr>
          <w:rFonts w:hint="eastAsia" w:ascii="宋体" w:hAnsi="宋体" w:eastAsia="宋体" w:cs="宋体"/>
          <w:color w:val="auto"/>
          <w:sz w:val="21"/>
          <w:szCs w:val="21"/>
          <w:highlight w:val="none"/>
        </w:rPr>
        <w:t>城中村及城乡结合部，</w:t>
      </w:r>
      <w:r>
        <w:rPr>
          <w:rFonts w:hint="eastAsia" w:ascii="宋体" w:hAnsi="宋体" w:eastAsia="宋体" w:cs="宋体"/>
          <w:color w:val="auto"/>
          <w:sz w:val="21"/>
          <w:szCs w:val="21"/>
          <w:highlight w:val="none"/>
          <w:lang w:eastAsia="zh-CN"/>
        </w:rPr>
        <w:t>包括建成区结合部行政村（葛家村、孔家村）</w:t>
      </w:r>
      <w:r>
        <w:rPr>
          <w:rFonts w:hint="eastAsia" w:ascii="宋体" w:hAnsi="宋体" w:eastAsia="宋体" w:cs="宋体"/>
          <w:color w:val="auto"/>
          <w:sz w:val="21"/>
          <w:szCs w:val="21"/>
          <w:highlight w:val="none"/>
        </w:rPr>
        <w:t>。</w:t>
      </w:r>
    </w:p>
    <w:p w14:paraId="616BF4CC">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5.庄桥街道辖区内</w:t>
      </w:r>
      <w:r>
        <w:rPr>
          <w:rFonts w:hint="eastAsia" w:ascii="宋体" w:hAnsi="宋体" w:eastAsia="宋体" w:cs="宋体"/>
          <w:color w:val="auto"/>
          <w:sz w:val="21"/>
          <w:szCs w:val="21"/>
          <w:highlight w:val="none"/>
          <w:lang w:eastAsia="zh-CN"/>
        </w:rPr>
        <w:t>农贸市场2处（庄桥菜场、广厦菜场）</w:t>
      </w:r>
      <w:r>
        <w:rPr>
          <w:rFonts w:hint="eastAsia" w:ascii="宋体" w:hAnsi="宋体" w:eastAsia="宋体" w:cs="宋体"/>
          <w:color w:val="auto"/>
          <w:sz w:val="21"/>
          <w:szCs w:val="21"/>
          <w:highlight w:val="none"/>
        </w:rPr>
        <w:t>。</w:t>
      </w:r>
    </w:p>
    <w:p w14:paraId="6EB6E47B">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6.庄桥街道辖区内</w:t>
      </w:r>
      <w:r>
        <w:rPr>
          <w:rFonts w:hint="eastAsia" w:ascii="宋体" w:hAnsi="宋体" w:eastAsia="宋体" w:cs="宋体"/>
          <w:color w:val="auto"/>
          <w:sz w:val="21"/>
          <w:szCs w:val="21"/>
          <w:highlight w:val="none"/>
        </w:rPr>
        <w:t>居住区外的街巷。</w:t>
      </w:r>
    </w:p>
    <w:p w14:paraId="31398BBB">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7.庄桥街道辖区内教育（除幼儿园、中小学）、卫生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机关等单位：包含但不限于街道办公地点、街道社区卫生服务中心、庄桥</w:t>
      </w:r>
      <w:r>
        <w:rPr>
          <w:rFonts w:hint="eastAsia" w:ascii="宋体" w:hAnsi="宋体" w:cs="宋体"/>
          <w:color w:val="auto"/>
          <w:sz w:val="21"/>
          <w:szCs w:val="21"/>
          <w:highlight w:val="none"/>
          <w:lang w:val="en-US" w:eastAsia="zh-CN"/>
        </w:rPr>
        <w:t>派出所</w:t>
      </w:r>
      <w:r>
        <w:rPr>
          <w:rFonts w:hint="eastAsia" w:ascii="宋体" w:hAnsi="宋体" w:eastAsia="宋体" w:cs="宋体"/>
          <w:color w:val="auto"/>
          <w:sz w:val="21"/>
          <w:szCs w:val="21"/>
          <w:highlight w:val="none"/>
          <w:lang w:val="en-US" w:eastAsia="zh-CN"/>
        </w:rPr>
        <w:t>、庄桥交警队等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300291FA">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8.庄桥街道辖区内拆迁地块、</w:t>
      </w:r>
      <w:r>
        <w:rPr>
          <w:rFonts w:hint="eastAsia" w:ascii="宋体" w:hAnsi="宋体" w:eastAsia="宋体" w:cs="宋体"/>
          <w:color w:val="auto"/>
          <w:sz w:val="21"/>
          <w:szCs w:val="21"/>
          <w:highlight w:val="none"/>
        </w:rPr>
        <w:t>拆迁待建地块</w:t>
      </w:r>
      <w:r>
        <w:rPr>
          <w:rFonts w:hint="eastAsia" w:ascii="宋体" w:hAnsi="宋体" w:eastAsia="宋体" w:cs="宋体"/>
          <w:color w:val="auto"/>
          <w:sz w:val="21"/>
          <w:szCs w:val="21"/>
          <w:highlight w:val="none"/>
          <w:lang w:val="en-US" w:eastAsia="zh-CN"/>
        </w:rPr>
        <w:t>和闲置地块</w:t>
      </w:r>
      <w:r>
        <w:rPr>
          <w:rFonts w:hint="eastAsia" w:ascii="宋体" w:hAnsi="宋体" w:eastAsia="宋体" w:cs="宋体"/>
          <w:color w:val="auto"/>
          <w:sz w:val="21"/>
          <w:szCs w:val="21"/>
          <w:highlight w:val="none"/>
        </w:rPr>
        <w:t>。</w:t>
      </w:r>
    </w:p>
    <w:p w14:paraId="4489AC6A">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9.庄桥街道辖区内</w:t>
      </w:r>
      <w:r>
        <w:rPr>
          <w:rFonts w:hint="eastAsia" w:ascii="宋体" w:hAnsi="宋体" w:eastAsia="宋体" w:cs="宋体"/>
          <w:color w:val="auto"/>
          <w:sz w:val="21"/>
          <w:szCs w:val="21"/>
          <w:highlight w:val="none"/>
        </w:rPr>
        <w:t>公共绿地、公共广场、地下通道、公共厕所等公共区域、公共场所。</w:t>
      </w:r>
    </w:p>
    <w:p w14:paraId="13C916E5">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工作标准及要求</w:t>
      </w:r>
    </w:p>
    <w:p w14:paraId="037C2DD4">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遵照方案、执行标准。消杀工作原则上按照国家《病媒生物密度控制水平》标准执行</w:t>
      </w:r>
      <w:r>
        <w:rPr>
          <w:rFonts w:hint="eastAsia" w:ascii="宋体" w:hAnsi="宋体" w:eastAsia="宋体" w:cs="宋体"/>
          <w:color w:val="auto"/>
          <w:sz w:val="21"/>
          <w:szCs w:val="21"/>
          <w:highlight w:val="none"/>
        </w:rPr>
        <w:t>。</w:t>
      </w:r>
    </w:p>
    <w:p w14:paraId="56B49394">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根据“四害”等病媒生物的生活习性和环境情况，适时对指定消杀范围内的室外环境、公共绿地、下水道、阴井等和沿街的食品行业、公共场所进行科学有效的防制，将“四害”密度常态控制在全国爱卫会标准范围内。消杀频率按消杀规范进行（每月至少二次）。</w:t>
      </w:r>
    </w:p>
    <w:p w14:paraId="104D5754">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科学用药、确保安全。必须使用全国爱卫会推荐或认可的安全卫生杀虫剂，不得使用高毒、高危药物。投放药品时要做好标记、设置警示、确保安全。若出现中毒现象，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w:t>
      </w:r>
      <w:r>
        <w:rPr>
          <w:rFonts w:hint="eastAsia" w:ascii="宋体" w:hAnsi="宋体" w:cs="宋体"/>
          <w:color w:val="auto"/>
          <w:sz w:val="21"/>
          <w:szCs w:val="21"/>
          <w:highlight w:val="none"/>
          <w:lang w:eastAsia="zh-CN"/>
        </w:rPr>
        <w:t>第一时间</w:t>
      </w:r>
      <w:r>
        <w:rPr>
          <w:rFonts w:hint="eastAsia" w:ascii="宋体" w:hAnsi="宋体" w:eastAsia="宋体" w:cs="宋体"/>
          <w:color w:val="auto"/>
          <w:sz w:val="21"/>
          <w:szCs w:val="21"/>
          <w:highlight w:val="none"/>
        </w:rPr>
        <w:t>做好抢救并做好善后工作。因违规作业而产生的后果由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自理，与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无涉。</w:t>
      </w:r>
    </w:p>
    <w:p w14:paraId="0918D50C">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规范操作、档案齐全。扎实、规范、有效开展四害消杀工作，并做好工作资料的归档整理，及时向甲方单位提供工作档案、监测数据等资料文件。</w:t>
      </w:r>
    </w:p>
    <w:p w14:paraId="0182830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服从监督、及时整改。乙方在合同期内，在各级爱卫会（办）的各种检查考核中，</w:t>
      </w:r>
      <w:r>
        <w:rPr>
          <w:rFonts w:hint="eastAsia" w:ascii="宋体" w:hAnsi="宋体" w:eastAsia="宋体" w:cs="宋体"/>
          <w:b w:val="0"/>
          <w:bCs w:val="0"/>
          <w:color w:val="auto"/>
          <w:sz w:val="21"/>
          <w:szCs w:val="21"/>
          <w:highlight w:val="none"/>
          <w:lang w:val="en-US" w:eastAsia="zh-CN"/>
        </w:rPr>
        <w:t>需</w:t>
      </w:r>
      <w:r>
        <w:rPr>
          <w:rFonts w:hint="eastAsia" w:ascii="宋体" w:hAnsi="宋体" w:eastAsia="宋体" w:cs="宋体"/>
          <w:b w:val="0"/>
          <w:bCs w:val="0"/>
          <w:color w:val="auto"/>
          <w:sz w:val="21"/>
          <w:szCs w:val="21"/>
          <w:highlight w:val="none"/>
          <w:lang w:eastAsia="zh-CN"/>
        </w:rPr>
        <w:t>能达到全国爱卫会和国家卫生城市等控制标准要求。在各级检查中四害密度控制水平未达到国家规定的C级，每次扣1万元。庄桥街道及上级卫生行政主管部门有权对乙方的工作进行监督管理和业务指导，对工作中存在的问题，乙方应当在规定期限内完成整改落实</w:t>
      </w:r>
      <w:r>
        <w:rPr>
          <w:rFonts w:hint="eastAsia" w:ascii="宋体" w:hAnsi="宋体" w:eastAsia="宋体" w:cs="宋体"/>
          <w:b w:val="0"/>
          <w:bCs w:val="0"/>
          <w:color w:val="auto"/>
          <w:sz w:val="21"/>
          <w:szCs w:val="21"/>
          <w:highlight w:val="none"/>
        </w:rPr>
        <w:t>。</w:t>
      </w:r>
    </w:p>
    <w:p w14:paraId="2A890906">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未尽事宜、友好协商。对标书和合同等相关条款中未予以明确的事宜，由双方友好协商，共同议定。</w:t>
      </w:r>
    </w:p>
    <w:p w14:paraId="1F631398">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（三）其他要求</w:t>
      </w:r>
    </w:p>
    <w:p w14:paraId="070A2566">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须在签订合同一个月内完成消杀工作实施方案、技术方案的制订，同时完成基础设施的设置、“四害”密度情况的调查摸底，上报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p>
    <w:p w14:paraId="1969E565">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合同范围内如有举报“四害”等病媒生物情况及突发相关事件的，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要求，限时做好消杀服务。</w:t>
      </w:r>
    </w:p>
    <w:p w14:paraId="621FE679">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在工作或施药期间，要对被服务单位实行告知制度，告知在规定时间内不要揩抹、挪动药物，以确保杀虫工作不留死角，同时预防意外发生。</w:t>
      </w:r>
    </w:p>
    <w:p w14:paraId="34832F52">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指导、协助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和被服务单位完善防蝇、防鼠设施，清除鼠迹、蟑迹。</w:t>
      </w:r>
    </w:p>
    <w:p w14:paraId="71C9A749">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落实人员，每月协助</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完成以街道为单位的“四害”密度监测任务。</w:t>
      </w:r>
    </w:p>
    <w:p w14:paraId="4DCBF1DA">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公布举报电话，接受社会各方监督。</w:t>
      </w:r>
    </w:p>
    <w:p w14:paraId="1203A2F6">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乙方发生重大工作失误，给甲方造成重大损失的；乙方工作人员威胁、打骂服务对象或其他市民，造成重大影响的，甲方有权随时终止合同。若乙方违约导致合同终止，乙方需按合同价的10%向甲方支付违约金，违约金不足以弥补甲方损失的，甲方有权向乙方提出赔偿要求。</w:t>
      </w:r>
    </w:p>
    <w:p w14:paraId="08E29CC7">
      <w:pPr>
        <w:pStyle w:val="25"/>
        <w:keepNext w:val="0"/>
        <w:keepLines w:val="0"/>
        <w:pageBreakBefore w:val="0"/>
        <w:kinsoku/>
        <w:wordWrap/>
        <w:overflowPunct/>
        <w:topLinePunct w:val="0"/>
        <w:bidi w:val="0"/>
        <w:adjustRightIn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8.乙方在各级检查中未达标的，需在7天内完成整改，甲方有权进行抽查、验收。</w:t>
      </w:r>
    </w:p>
    <w:p w14:paraId="31A8F9F2">
      <w:pPr>
        <w:pStyle w:val="25"/>
        <w:keepNext w:val="0"/>
        <w:keepLines w:val="0"/>
        <w:pageBreakBefore w:val="0"/>
        <w:kinsoku/>
        <w:wordWrap/>
        <w:overflowPunct/>
        <w:topLinePunct w:val="0"/>
        <w:bidi w:val="0"/>
        <w:adjustRightInd w:val="0"/>
        <w:spacing w:line="36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9.乙方在提供工作期间造成甲方、乙方或第三人的人身财产损失、安全事故的，由乙方承担全部责任，与甲方无涉，如甲方先行赔偿的，有权向乙方追偿。</w:t>
      </w:r>
    </w:p>
    <w:p w14:paraId="1FB5B3D2">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（四）人员要求</w:t>
      </w:r>
    </w:p>
    <w:p w14:paraId="2203C3D0">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1.本项目服务人员≥</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人。</w:t>
      </w:r>
    </w:p>
    <w:p w14:paraId="5C2C9916">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2.服务人员必须服从甲方的日常检查、监督和指导。</w:t>
      </w:r>
    </w:p>
    <w:p w14:paraId="3D581E1E">
      <w:pPr>
        <w:keepNext w:val="0"/>
        <w:keepLines w:val="0"/>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3.服务人员应做好工作记录。</w:t>
      </w:r>
    </w:p>
    <w:p w14:paraId="73C6912C">
      <w:pPr>
        <w:keepNext w:val="0"/>
        <w:keepLines w:val="0"/>
        <w:pageBreakBefore w:val="0"/>
        <w:numPr>
          <w:ilvl w:val="0"/>
          <w:numId w:val="0"/>
        </w:numPr>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 w:val="21"/>
          <w:szCs w:val="21"/>
          <w:highlight w:val="none"/>
          <w:lang w:val="en-US" w:eastAsia="zh-CN"/>
        </w:rPr>
        <w:t>合同金额</w:t>
      </w:r>
    </w:p>
    <w:p w14:paraId="5C56855E">
      <w:pPr>
        <w:pStyle w:val="34"/>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本合同金额为：人民币（大写）_________元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（￥__________元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w:t>
      </w:r>
    </w:p>
    <w:p w14:paraId="4E0DBE9B">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rPr>
        <w:t>本合同金额中须包含服务</w:t>
      </w:r>
      <w:r>
        <w:rPr>
          <w:rFonts w:hint="eastAsia" w:ascii="宋体" w:hAnsi="宋体" w:eastAsia="宋体" w:cs="宋体"/>
          <w:color w:val="auto"/>
          <w:kern w:val="0"/>
          <w:sz w:val="21"/>
          <w:szCs w:val="21"/>
          <w:highlight w:val="none"/>
          <w:lang w:val="zh-CN"/>
        </w:rPr>
        <w:t>所需</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sz w:val="21"/>
          <w:szCs w:val="21"/>
          <w:highlight w:val="none"/>
          <w:lang w:val="en-US" w:bidi="ar"/>
        </w:rPr>
        <w:t>人员工资、保险福利费、设备材料、药械及服装费、春秋灭鼠（蚊蝇）药物、夏季灭蟑药物、企业管理费及利润及税金等一切工作所产生的费用及服务过程中可能涉及的所有费用。</w:t>
      </w:r>
    </w:p>
    <w:p w14:paraId="4AC0AD6B">
      <w:pPr>
        <w:pStyle w:val="34"/>
        <w:keepNext w:val="0"/>
        <w:keepLines w:val="0"/>
        <w:pageBreakBefore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bCs/>
          <w:color w:val="auto"/>
          <w:sz w:val="21"/>
          <w:szCs w:val="21"/>
          <w:highlight w:val="none"/>
        </w:rPr>
        <w:t>提交服务成果时间和地点</w:t>
      </w:r>
    </w:p>
    <w:p w14:paraId="594E2CC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lang w:eastAsia="zh-CN"/>
        </w:rPr>
      </w:pPr>
      <w:r>
        <w:rPr>
          <w:rFonts w:hint="eastAsia" w:ascii="宋体" w:hAnsi="宋体" w:eastAsia="宋体" w:cs="宋体"/>
          <w:color w:val="auto"/>
          <w:sz w:val="21"/>
          <w:szCs w:val="21"/>
          <w:highlight w:val="none"/>
          <w:lang w:val="en-US" w:eastAsia="zh-CN"/>
        </w:rPr>
        <w:t>1.本合同服务期限为合同签订之日起一年。即</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日。</w:t>
      </w:r>
      <w:r>
        <w:rPr>
          <w:rFonts w:hint="eastAsia" w:ascii="宋体" w:hAnsi="宋体" w:eastAsia="宋体" w:cs="宋体"/>
          <w:snapToGrid w:val="0"/>
          <w:color w:val="auto"/>
          <w:kern w:val="28"/>
          <w:sz w:val="21"/>
          <w:szCs w:val="21"/>
          <w:highlight w:val="none"/>
          <w:lang w:eastAsia="zh-CN"/>
        </w:rPr>
        <w:t>总服务期限为自合同签订之日起</w:t>
      </w:r>
      <w:r>
        <w:rPr>
          <w:rFonts w:hint="eastAsia" w:ascii="宋体" w:hAnsi="宋体" w:cs="宋体"/>
          <w:snapToGrid w:val="0"/>
          <w:color w:val="auto"/>
          <w:kern w:val="28"/>
          <w:sz w:val="21"/>
          <w:szCs w:val="21"/>
          <w:highlight w:val="none"/>
          <w:lang w:val="en-US" w:eastAsia="zh-CN"/>
        </w:rPr>
        <w:t>两</w:t>
      </w:r>
      <w:r>
        <w:rPr>
          <w:rFonts w:hint="eastAsia" w:ascii="宋体" w:hAnsi="宋体" w:eastAsia="宋体" w:cs="宋体"/>
          <w:snapToGrid w:val="0"/>
          <w:color w:val="auto"/>
          <w:kern w:val="28"/>
          <w:sz w:val="21"/>
          <w:szCs w:val="21"/>
          <w:highlight w:val="none"/>
          <w:lang w:eastAsia="zh-CN"/>
        </w:rPr>
        <w:t>年。（合同一年一签。第一年自合同签订之日起计算。第二年</w:t>
      </w:r>
      <w:r>
        <w:rPr>
          <w:rFonts w:hint="eastAsia" w:ascii="宋体" w:hAnsi="宋体" w:eastAsia="宋体" w:cs="宋体"/>
          <w:snapToGrid w:val="0"/>
          <w:color w:val="auto"/>
          <w:kern w:val="28"/>
          <w:sz w:val="21"/>
          <w:szCs w:val="21"/>
          <w:highlight w:val="none"/>
          <w:lang w:val="en-US" w:eastAsia="zh-CN"/>
        </w:rPr>
        <w:t>甲方</w:t>
      </w:r>
      <w:r>
        <w:rPr>
          <w:rFonts w:hint="eastAsia" w:ascii="宋体" w:hAnsi="宋体" w:eastAsia="宋体" w:cs="宋体"/>
          <w:snapToGrid w:val="0"/>
          <w:color w:val="auto"/>
          <w:kern w:val="28"/>
          <w:sz w:val="21"/>
          <w:szCs w:val="21"/>
          <w:highlight w:val="none"/>
          <w:lang w:eastAsia="zh-CN"/>
        </w:rPr>
        <w:t>根据</w:t>
      </w:r>
      <w:r>
        <w:rPr>
          <w:rFonts w:hint="eastAsia" w:ascii="宋体" w:hAnsi="宋体" w:eastAsia="宋体" w:cs="宋体"/>
          <w:snapToGrid w:val="0"/>
          <w:color w:val="auto"/>
          <w:kern w:val="28"/>
          <w:sz w:val="21"/>
          <w:szCs w:val="21"/>
          <w:highlight w:val="none"/>
          <w:lang w:val="en-US" w:eastAsia="zh-CN"/>
        </w:rPr>
        <w:t>乙方</w:t>
      </w:r>
      <w:r>
        <w:rPr>
          <w:rFonts w:hint="eastAsia" w:ascii="宋体" w:hAnsi="宋体" w:eastAsia="宋体" w:cs="宋体"/>
          <w:snapToGrid w:val="0"/>
          <w:color w:val="auto"/>
          <w:kern w:val="28"/>
          <w:sz w:val="21"/>
          <w:szCs w:val="21"/>
          <w:highlight w:val="none"/>
          <w:lang w:eastAsia="zh-CN"/>
        </w:rPr>
        <w:t>在上一年度的合同履约、考核情况决定是否续签）。</w:t>
      </w:r>
    </w:p>
    <w:p w14:paraId="3FAE073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lang w:val="en-US" w:eastAsia="zh-CN"/>
        </w:rPr>
      </w:pPr>
      <w:r>
        <w:rPr>
          <w:rFonts w:hint="eastAsia" w:ascii="宋体" w:hAnsi="宋体" w:cs="宋体"/>
          <w:snapToGrid w:val="0"/>
          <w:color w:val="auto"/>
          <w:kern w:val="28"/>
          <w:sz w:val="21"/>
          <w:szCs w:val="21"/>
          <w:highlight w:val="none"/>
          <w:lang w:val="en-US" w:eastAsia="zh-CN"/>
        </w:rPr>
        <w:t>2</w:t>
      </w:r>
      <w:r>
        <w:rPr>
          <w:rFonts w:hint="eastAsia" w:ascii="宋体" w:hAnsi="宋体" w:eastAsia="宋体" w:cs="宋体"/>
          <w:snapToGrid w:val="0"/>
          <w:color w:val="auto"/>
          <w:kern w:val="28"/>
          <w:sz w:val="21"/>
          <w:szCs w:val="21"/>
          <w:highlight w:val="none"/>
          <w:lang w:val="en-US" w:eastAsia="zh-CN"/>
        </w:rPr>
        <w:t>.</w:t>
      </w:r>
      <w:r>
        <w:rPr>
          <w:rFonts w:hint="eastAsia" w:ascii="宋体" w:hAnsi="宋体" w:eastAsia="宋体" w:cs="宋体"/>
          <w:snapToGrid w:val="0"/>
          <w:color w:val="auto"/>
          <w:kern w:val="28"/>
          <w:sz w:val="21"/>
          <w:szCs w:val="21"/>
          <w:highlight w:val="none"/>
          <w:lang w:eastAsia="zh-CN"/>
        </w:rPr>
        <w:t>乙方必须按投标文件承诺的服务响应条款向甲方提供服务。</w:t>
      </w:r>
    </w:p>
    <w:p w14:paraId="5AB8845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产权</w:t>
      </w:r>
    </w:p>
    <w:p w14:paraId="24A73D9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乙方保证所交付服务的所有权完全属于乙方且无任何抵押、查封等产权瑕疵。如乙方所交付服务有产权瑕疵的，视为乙方违约，按照本合同第</w:t>
      </w:r>
      <w:r>
        <w:rPr>
          <w:rFonts w:hint="eastAsia" w:ascii="宋体" w:hAnsi="宋体" w:cs="宋体"/>
          <w:color w:val="auto"/>
          <w:sz w:val="21"/>
          <w:szCs w:val="21"/>
          <w:highlight w:val="none"/>
          <w:lang w:val="en-US" w:eastAsia="zh-CN"/>
        </w:rPr>
        <w:t>九</w:t>
      </w:r>
      <w:r>
        <w:rPr>
          <w:rFonts w:hint="eastAsia" w:ascii="宋体" w:hAnsi="宋体" w:eastAsia="宋体" w:cs="宋体"/>
          <w:color w:val="auto"/>
          <w:sz w:val="21"/>
          <w:szCs w:val="21"/>
          <w:highlight w:val="none"/>
        </w:rPr>
        <w:t>项</w:t>
      </w:r>
      <w:r>
        <w:rPr>
          <w:rFonts w:hint="eastAsia" w:ascii="宋体" w:hAnsi="宋体" w:cs="宋体"/>
          <w:color w:val="auto"/>
          <w:sz w:val="21"/>
          <w:szCs w:val="21"/>
          <w:highlight w:val="none"/>
          <w:lang w:val="en-US" w:eastAsia="zh-CN"/>
        </w:rPr>
        <w:t>第3条</w:t>
      </w:r>
      <w:r>
        <w:rPr>
          <w:rFonts w:hint="eastAsia" w:ascii="宋体" w:hAnsi="宋体" w:eastAsia="宋体" w:cs="宋体"/>
          <w:color w:val="auto"/>
          <w:sz w:val="21"/>
          <w:szCs w:val="21"/>
          <w:highlight w:val="none"/>
        </w:rPr>
        <w:t>的约定处理。但在已经全部支付完合同款后才发现有产权瑕疵的，乙方除了支付违约金还应负担甲方由此产生的一切损失。</w:t>
      </w:r>
    </w:p>
    <w:p w14:paraId="6CBECD4D">
      <w:pPr>
        <w:pStyle w:val="34"/>
        <w:keepNext w:val="0"/>
        <w:keepLines w:val="0"/>
        <w:pageBreakBefore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、技术资料</w:t>
      </w:r>
    </w:p>
    <w:p w14:paraId="15F5D990">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甲方应向乙方提供提交服务成果所必需的有关数据、资料等。</w:t>
      </w:r>
    </w:p>
    <w:p w14:paraId="0EEE54C9">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D46B51B">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验收</w:t>
      </w:r>
    </w:p>
    <w:p w14:paraId="064677A6">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乙方应对提交的服务成果作出全面检查和整理，并列出清单，作为甲方验收和使用的技术条件依据，清单应随提交的服务成果交给甲方。</w:t>
      </w:r>
    </w:p>
    <w:p w14:paraId="2165ED17">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指定地点提交服务成果后，甲方应在五个工作日内依据招标文件、乙方的投标文件等组织验收，验收完毕后作出书面验收报告。验收时乙方必须在现场。</w:t>
      </w:r>
    </w:p>
    <w:p w14:paraId="0C324491">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对复杂的服务，甲方可请国家认可的专业机构参与验收，并由其出具验收报告，相关费用由甲方承担。</w:t>
      </w:r>
    </w:p>
    <w:p w14:paraId="3E5C4319">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合同款支付</w:t>
      </w:r>
    </w:p>
    <w:p w14:paraId="54F64746">
      <w:pPr>
        <w:keepNext w:val="0"/>
        <w:keepLines w:val="0"/>
        <w:pageBreakBefore w:val="0"/>
        <w:kinsoku/>
        <w:wordWrap/>
        <w:overflowPunct/>
        <w:topLinePunct w:val="0"/>
        <w:bidi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1.甲方在合同签订后7个工作日内支付合同价的20%。</w:t>
      </w:r>
    </w:p>
    <w:p w14:paraId="7E42E934">
      <w:pPr>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2.服务费每三个月支付一次，甲方在每三个月月末7个工作日内支付合同价的15%。支付时需要附有辖区内各社区、村、农贸市场及五小行业等签字确认的消杀情况报告（每月至少两次）。</w:t>
      </w:r>
    </w:p>
    <w:p w14:paraId="4E3188E6">
      <w:pPr>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3.若合同履行时间内，乙方在各级检查中四害密度控制水平未达到国家规定的C级，每次扣1万元。</w:t>
      </w:r>
    </w:p>
    <w:p w14:paraId="7B2E9ADF">
      <w:pPr>
        <w:keepNext w:val="0"/>
        <w:keepLines w:val="0"/>
        <w:pageBreakBefore w:val="0"/>
        <w:kinsoku/>
        <w:wordWrap/>
        <w:overflowPunct/>
        <w:topLinePunct w:val="0"/>
        <w:bidi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4.合同期满后，甲方需7个工作日内支付扣除违约金后的剩余款项。</w:t>
      </w:r>
    </w:p>
    <w:p w14:paraId="61AA7E3B">
      <w:pPr>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5.如乙方连续3次工作没有达到省、市、区各级"除四害"工作相关要求，甲方有权不支付除已支付部分合同金额外的其余合同金额，同时甲方有权没收全部履约保证金，且有权解除合同。</w:t>
      </w:r>
    </w:p>
    <w:p w14:paraId="7820115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八、履约保证金</w:t>
      </w:r>
    </w:p>
    <w:p w14:paraId="3672F57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1.金额：</w:t>
      </w:r>
      <w:r>
        <w:rPr>
          <w:rFonts w:hint="eastAsia" w:ascii="宋体" w:hAnsi="宋体" w:cs="宋体"/>
          <w:color w:val="auto"/>
          <w:sz w:val="21"/>
          <w:szCs w:val="21"/>
          <w:highlight w:val="none"/>
          <w:lang w:val="en-US" w:eastAsia="zh-CN"/>
        </w:rPr>
        <w:t>合同价的0.5%</w:t>
      </w:r>
      <w:r>
        <w:rPr>
          <w:rFonts w:hint="eastAsia" w:ascii="宋体" w:hAnsi="宋体" w:eastAsia="宋体" w:cs="宋体"/>
          <w:color w:val="auto"/>
          <w:sz w:val="21"/>
          <w:szCs w:val="21"/>
          <w:highlight w:val="none"/>
          <w:lang w:val="en-US" w:eastAsia="zh-CN"/>
        </w:rPr>
        <w:t>；</w:t>
      </w:r>
    </w:p>
    <w:p w14:paraId="41674B6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2.形式：电汇、网银、支票、银行保函（</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认可的银行开具的保函）、保险保单。</w:t>
      </w:r>
    </w:p>
    <w:p w14:paraId="625805F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3.提交时间：合同签订后10个工作日内。</w:t>
      </w:r>
    </w:p>
    <w:p w14:paraId="41A0225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4.履约保证金退还：履约保证金于合同履行完毕后(除违反招标文件中规定的乙方应尽的义务造成履约保证金被罚没的情况外)一个月内</w:t>
      </w:r>
      <w:r>
        <w:rPr>
          <w:rFonts w:hint="eastAsia" w:ascii="宋体" w:hAnsi="宋体" w:cs="宋体"/>
          <w:color w:val="auto"/>
          <w:sz w:val="21"/>
          <w:szCs w:val="21"/>
          <w:highlight w:val="none"/>
          <w:lang w:val="en-US" w:eastAsia="zh-CN"/>
        </w:rPr>
        <w:t>退还</w:t>
      </w:r>
      <w:r>
        <w:rPr>
          <w:rFonts w:hint="eastAsia" w:ascii="宋体" w:hAnsi="宋体" w:eastAsia="宋体" w:cs="宋体"/>
          <w:color w:val="auto"/>
          <w:sz w:val="21"/>
          <w:szCs w:val="21"/>
          <w:highlight w:val="none"/>
          <w:lang w:val="en-US" w:eastAsia="zh-CN"/>
        </w:rPr>
        <w:t>。</w:t>
      </w:r>
    </w:p>
    <w:p w14:paraId="1AF9A302">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违约责任</w:t>
      </w:r>
    </w:p>
    <w:p w14:paraId="417F45A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甲方无正当理由拒收服务的，甲方向乙方偿付拒收</w:t>
      </w:r>
      <w:r>
        <w:rPr>
          <w:rFonts w:hint="eastAsia" w:ascii="宋体" w:hAnsi="宋体" w:cs="宋体"/>
          <w:color w:val="auto"/>
          <w:sz w:val="21"/>
          <w:szCs w:val="21"/>
          <w:highlight w:val="none"/>
          <w:lang w:val="en-US" w:eastAsia="zh-CN"/>
        </w:rPr>
        <w:t>合同总价</w:t>
      </w:r>
      <w:r>
        <w:rPr>
          <w:rFonts w:hint="eastAsia" w:ascii="宋体" w:hAnsi="宋体" w:eastAsia="宋体" w:cs="宋体"/>
          <w:color w:val="auto"/>
          <w:sz w:val="21"/>
          <w:szCs w:val="21"/>
          <w:highlight w:val="none"/>
        </w:rPr>
        <w:t>的百分之五违约金。</w:t>
      </w:r>
    </w:p>
    <w:p w14:paraId="0615047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甲方无故逾期验收或办理合同款支付手续的，甲方应按逾期付款总额每日万分之五向乙方支付违约金。</w:t>
      </w:r>
    </w:p>
    <w:p w14:paraId="0846E6F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乙方逾期交付服务的，乙方应按逾期提供服务总额每日千分之六向甲方支付违约金，甲方</w:t>
      </w:r>
      <w:r>
        <w:rPr>
          <w:rFonts w:hint="eastAsia" w:ascii="宋体" w:hAnsi="宋体" w:eastAsia="宋体" w:cs="宋体"/>
          <w:color w:val="auto"/>
          <w:sz w:val="21"/>
          <w:szCs w:val="21"/>
          <w:highlight w:val="none"/>
          <w:lang w:eastAsia="zh-CN"/>
        </w:rPr>
        <w:t>可从应付款项中扣除，不足以扣除的，甲方有权继续向乙方主张</w:t>
      </w:r>
      <w:r>
        <w:rPr>
          <w:rFonts w:hint="eastAsia" w:ascii="宋体" w:hAnsi="宋体" w:eastAsia="宋体" w:cs="宋体"/>
          <w:color w:val="auto"/>
          <w:sz w:val="21"/>
          <w:szCs w:val="21"/>
          <w:highlight w:val="none"/>
        </w:rPr>
        <w:t>。逾期超过约定日期十个工作日不能提供服务的，甲方可解除本合同。乙方因逾期提供服务或因其他违约行为导致甲方解除合同的，乙方应向甲方支付</w:t>
      </w:r>
      <w:r>
        <w:rPr>
          <w:rFonts w:hint="eastAsia" w:ascii="宋体" w:hAnsi="宋体" w:cs="宋体"/>
          <w:color w:val="auto"/>
          <w:sz w:val="21"/>
          <w:szCs w:val="21"/>
          <w:highlight w:val="none"/>
          <w:lang w:val="en-US" w:eastAsia="zh-CN"/>
        </w:rPr>
        <w:t>合同总价</w:t>
      </w:r>
      <w:r>
        <w:rPr>
          <w:rFonts w:hint="eastAsia" w:ascii="宋体" w:hAnsi="宋体" w:eastAsia="宋体" w:cs="宋体"/>
          <w:color w:val="auto"/>
          <w:sz w:val="21"/>
          <w:szCs w:val="21"/>
          <w:highlight w:val="none"/>
        </w:rPr>
        <w:t>百分之五的违约金，如造成甲方损失超过违约金的，超出部分由乙方继续承担赔偿责任。</w:t>
      </w:r>
    </w:p>
    <w:p w14:paraId="5FAE373F">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不可抗力事件处理</w:t>
      </w:r>
    </w:p>
    <w:p w14:paraId="3B451FA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w:t>
      </w:r>
    </w:p>
    <w:p w14:paraId="55CC92B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不可抗力事件发生后，应立即通知对方，并寄送有关权威机构出具的证明。</w:t>
      </w:r>
    </w:p>
    <w:p w14:paraId="3BB6560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不可抗力事件延续120天以上，双方应通过友好协商，确定是否继续履行合同。</w:t>
      </w:r>
    </w:p>
    <w:p w14:paraId="3E3B6084">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rPr>
        <w:t>诉讼</w:t>
      </w:r>
    </w:p>
    <w:p w14:paraId="411A3772">
      <w:pPr>
        <w:keepNext w:val="0"/>
        <w:keepLines w:val="0"/>
        <w:pageBreakBefore w:val="0"/>
        <w:tabs>
          <w:tab w:val="left" w:pos="0"/>
        </w:tabs>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双方在执行合同中所发生的一切争议，应通过协商解决。如协商不成，可向合同签订地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宁波市江北区）</w:t>
      </w:r>
      <w:r>
        <w:rPr>
          <w:rFonts w:hint="eastAsia" w:ascii="宋体" w:hAnsi="宋体" w:eastAsia="宋体" w:cs="宋体"/>
          <w:color w:val="auto"/>
          <w:sz w:val="21"/>
          <w:szCs w:val="21"/>
          <w:highlight w:val="none"/>
        </w:rPr>
        <w:t>法院起诉。</w:t>
      </w:r>
    </w:p>
    <w:p w14:paraId="45EE8A6E">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合同生效及其它</w:t>
      </w:r>
    </w:p>
    <w:p w14:paraId="250A5D9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合同经双方法定代表人或授权委托代理人签字并加盖单位公章后生效。</w:t>
      </w:r>
    </w:p>
    <w:p w14:paraId="3189AD3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合同执行中涉及采购资金和采购内容修改或补充的，须经江北区财政部门审批，并签书面补充协议报江北区政府采购监督管理部门备案，方可作为主合同不可分割的一部分。</w:t>
      </w:r>
    </w:p>
    <w:p w14:paraId="37C55A4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下述合同附件为本合同不可分割的部分并与本合同具有同等效力：</w:t>
      </w:r>
    </w:p>
    <w:p w14:paraId="7DE606B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14:paraId="34C045D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w:t>
      </w:r>
    </w:p>
    <w:p w14:paraId="5713ABC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w:t>
      </w:r>
    </w:p>
    <w:p w14:paraId="52CEA00F">
      <w:pPr>
        <w:keepNext w:val="0"/>
        <w:keepLines w:val="0"/>
        <w:pageBreakBefore w:val="0"/>
        <w:widowControl/>
        <w:kinsoku/>
        <w:wordWrap/>
        <w:overflowPunct/>
        <w:topLinePunct w:val="0"/>
        <w:bidi w:val="0"/>
        <w:adjustRightInd/>
        <w:spacing w:line="360" w:lineRule="auto"/>
        <w:ind w:firstLine="420"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本合同未尽事宜，遵照《中华人民共和国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》有关条文执行</w:t>
      </w:r>
      <w:r>
        <w:rPr>
          <w:rFonts w:hint="eastAsia" w:ascii="宋体" w:hAnsi="宋体" w:cs="宋体"/>
          <w:color w:val="auto"/>
          <w:sz w:val="21"/>
          <w:szCs w:val="21"/>
          <w:highlight w:val="none"/>
          <w:lang w:eastAsia="zh-CN"/>
        </w:rPr>
        <w:t>。</w:t>
      </w:r>
    </w:p>
    <w:p w14:paraId="5A873B7D">
      <w:pPr>
        <w:pStyle w:val="34"/>
        <w:keepNext w:val="0"/>
        <w:keepLines w:val="0"/>
        <w:pageBreakBefore w:val="0"/>
        <w:kinsoku/>
        <w:wordWrap/>
        <w:overflowPunct/>
        <w:topLinePunct w:val="0"/>
        <w:bidi w:val="0"/>
        <w:snapToGrid w:val="0"/>
        <w:spacing w:line="360" w:lineRule="auto"/>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甲</w:t>
      </w:r>
      <w:r>
        <w:rPr>
          <w:rFonts w:hint="eastAsia" w:ascii="宋体" w:hAnsi="宋体" w:eastAsia="宋体" w:cs="宋体"/>
          <w:color w:val="auto"/>
          <w:sz w:val="21"/>
          <w:szCs w:val="21"/>
          <w:highlight w:val="none"/>
        </w:rPr>
        <w:t xml:space="preserve">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 xml:space="preserve">： </w:t>
      </w:r>
    </w:p>
    <w:p w14:paraId="0F033C47">
      <w:pPr>
        <w:pStyle w:val="34"/>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76F9EA94">
      <w:pPr>
        <w:pStyle w:val="34"/>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                      法定（授权）代表人：</w:t>
      </w:r>
    </w:p>
    <w:p w14:paraId="551A7ADB">
      <w:pPr>
        <w:keepNext w:val="0"/>
        <w:keepLines w:val="0"/>
        <w:pageBreakBefore w:val="0"/>
        <w:kinsoku/>
        <w:wordWrap/>
        <w:overflowPunct/>
        <w:topLinePunct w:val="0"/>
        <w:bidi w:val="0"/>
        <w:spacing w:line="360" w:lineRule="auto"/>
        <w:ind w:right="-420" w:rightChars="-200" w:firstLine="420" w:firstLineChars="200"/>
        <w:jc w:val="both"/>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签字日期：      年  月  日                签字日期：      年  月  日</w:t>
      </w:r>
      <w:r>
        <w:rPr>
          <w:rFonts w:hint="eastAsia" w:ascii="宋体" w:hAnsi="宋体" w:eastAsia="宋体" w:cs="宋体"/>
          <w:color w:val="auto"/>
          <w:kern w:val="0"/>
          <w:sz w:val="21"/>
          <w:szCs w:val="21"/>
          <w:highlight w:val="none"/>
        </w:rPr>
        <w:t xml:space="preserve"> </w:t>
      </w:r>
    </w:p>
    <w:p w14:paraId="70DDDFEB">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bookmarkEnd w:id="393"/>
    <w:bookmarkEnd w:id="394"/>
    <w:p w14:paraId="51CB4154">
      <w:pPr>
        <w:numPr>
          <w:ilvl w:val="0"/>
          <w:numId w:val="4"/>
        </w:numPr>
        <w:spacing w:line="360" w:lineRule="auto"/>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应提交的有关格式范例</w:t>
      </w:r>
    </w:p>
    <w:p w14:paraId="3027ACD9">
      <w:pPr>
        <w:numPr>
          <w:ilvl w:val="0"/>
          <w:numId w:val="0"/>
        </w:num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D4A0C15">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1B7E32C">
      <w:pPr>
        <w:pStyle w:val="82"/>
        <w:rPr>
          <w:color w:val="auto"/>
          <w:highlight w:val="none"/>
        </w:rPr>
      </w:pPr>
    </w:p>
    <w:p w14:paraId="190A94A2">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（1）有效的企业法人营业执照（或事业法人登记证）、其他组织（个体工商户）的营业执照或者民办非企业单位登记证书复印件（加盖公章）； </w:t>
      </w:r>
    </w:p>
    <w:p w14:paraId="3BE6B888">
      <w:pPr>
        <w:snapToGrid w:val="0"/>
        <w:spacing w:line="360" w:lineRule="auto"/>
        <w:rPr>
          <w:rFonts w:hint="eastAsia" w:ascii="宋体" w:hAnsi="宋体" w:eastAsia="宋体" w:cs="宋体"/>
          <w:snapToGrid w:val="0"/>
          <w:color w:val="auto"/>
          <w:kern w:val="28"/>
          <w:sz w:val="24"/>
          <w:szCs w:val="24"/>
          <w:highlight w:val="none"/>
          <w:lang w:eastAsia="zh-CN"/>
        </w:rPr>
      </w:pPr>
      <w:r>
        <w:rPr>
          <w:rFonts w:hint="eastAsia" w:ascii="宋体" w:hAnsi="宋体" w:cs="宋体"/>
          <w:snapToGrid w:val="0"/>
          <w:color w:val="auto"/>
          <w:kern w:val="28"/>
          <w:sz w:val="24"/>
          <w:szCs w:val="24"/>
          <w:highlight w:val="none"/>
        </w:rPr>
        <w:t>（</w:t>
      </w:r>
      <w:r>
        <w:rPr>
          <w:rFonts w:hint="eastAsia" w:ascii="宋体" w:hAnsi="宋体" w:cs="宋体"/>
          <w:snapToGrid w:val="0"/>
          <w:color w:val="auto"/>
          <w:kern w:val="28"/>
          <w:sz w:val="24"/>
          <w:szCs w:val="24"/>
          <w:highlight w:val="none"/>
          <w:lang w:val="en-US" w:eastAsia="zh-CN"/>
        </w:rPr>
        <w:t>2</w:t>
      </w:r>
      <w:r>
        <w:rPr>
          <w:rFonts w:hint="eastAsia" w:ascii="宋体" w:hAnsi="宋体" w:cs="宋体"/>
          <w:snapToGrid w:val="0"/>
          <w:color w:val="auto"/>
          <w:kern w:val="28"/>
          <w:sz w:val="24"/>
          <w:szCs w:val="24"/>
          <w:highlight w:val="none"/>
        </w:rPr>
        <w:t>）</w:t>
      </w:r>
      <w:r>
        <w:rPr>
          <w:rFonts w:hint="eastAsia" w:ascii="宋体" w:hAnsi="宋体" w:cs="宋体"/>
          <w:color w:val="auto"/>
          <w:sz w:val="24"/>
          <w:szCs w:val="24"/>
          <w:highlight w:val="none"/>
        </w:rPr>
        <w:t>符合参加政府采购活动应当具备的一般条件的承诺函</w:t>
      </w:r>
      <w:r>
        <w:rPr>
          <w:rFonts w:hint="eastAsia" w:ascii="宋体" w:hAnsi="宋体" w:cs="宋体"/>
          <w:color w:val="auto"/>
          <w:sz w:val="24"/>
          <w:szCs w:val="24"/>
          <w:highlight w:val="none"/>
          <w:lang w:eastAsia="zh-CN"/>
        </w:rPr>
        <w:t>；</w:t>
      </w:r>
    </w:p>
    <w:p w14:paraId="1ABE998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6829D28F">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本项目的特定资格要求（如有）</w:t>
      </w:r>
      <w:r>
        <w:rPr>
          <w:rFonts w:hint="eastAsia" w:ascii="宋体" w:hAnsi="宋体" w:eastAsia="宋体" w:cs="宋体"/>
          <w:color w:val="auto"/>
          <w:sz w:val="24"/>
          <w:szCs w:val="24"/>
          <w:highlight w:val="none"/>
          <w:lang w:eastAsia="zh-CN"/>
        </w:rPr>
        <w:t>；</w:t>
      </w:r>
    </w:p>
    <w:p w14:paraId="40F6227D">
      <w:pPr>
        <w:snapToGrid w:val="0"/>
        <w:spacing w:line="360" w:lineRule="auto"/>
        <w:ind w:firstLine="480" w:firstLineChars="200"/>
        <w:rPr>
          <w:rFonts w:ascii="宋体" w:hAnsi="宋体" w:cs="宋体"/>
          <w:color w:val="auto"/>
          <w:sz w:val="24"/>
          <w:highlight w:val="none"/>
        </w:rPr>
      </w:pPr>
    </w:p>
    <w:p w14:paraId="5B1E5768">
      <w:pPr>
        <w:spacing w:line="360" w:lineRule="auto"/>
        <w:ind w:firstLine="480" w:firstLineChars="200"/>
        <w:rPr>
          <w:rFonts w:ascii="宋体" w:hAnsi="宋体" w:cs="宋体"/>
          <w:color w:val="auto"/>
          <w:sz w:val="24"/>
          <w:highlight w:val="none"/>
        </w:rPr>
      </w:pPr>
    </w:p>
    <w:p w14:paraId="7937A0EA">
      <w:pPr>
        <w:snapToGrid w:val="0"/>
        <w:spacing w:line="360" w:lineRule="auto"/>
        <w:ind w:right="480"/>
        <w:jc w:val="left"/>
        <w:rPr>
          <w:rFonts w:hint="eastAsia" w:ascii="宋体" w:hAnsi="宋体" w:cs="宋体"/>
          <w:b/>
          <w:color w:val="auto"/>
          <w:kern w:val="0"/>
          <w:sz w:val="28"/>
          <w:szCs w:val="28"/>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24"/>
          <w:szCs w:val="24"/>
          <w:highlight w:val="none"/>
        </w:rPr>
        <w:t xml:space="preserve">  一、有效的企业法人营业执照（或事业法人登记证）、其他组织（个体工商户）的营业执照或者民办非企业单位登记证书复印件（加盖公章）； </w:t>
      </w:r>
    </w:p>
    <w:p w14:paraId="4FFA95EC">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5EBE1453">
      <w:pPr>
        <w:keepNext w:val="0"/>
        <w:keepLines w:val="0"/>
        <w:pageBreakBefore w:val="0"/>
        <w:widowControl w:val="0"/>
        <w:kinsoku/>
        <w:wordWrap/>
        <w:overflowPunct/>
        <w:topLinePunct w:val="0"/>
        <w:autoSpaceDE/>
        <w:autoSpaceDN/>
        <w:bidi w:val="0"/>
        <w:adjustRightInd w:val="0"/>
        <w:snapToGrid w:val="0"/>
        <w:spacing w:line="360" w:lineRule="auto"/>
        <w:ind w:right="480" w:firstLine="643" w:firstLineChars="200"/>
        <w:jc w:val="center"/>
        <w:textAlignment w:val="auto"/>
        <w:rPr>
          <w:rFonts w:ascii="宋体" w:hAnsi="宋体" w:cs="宋体"/>
          <w:b/>
          <w:color w:val="auto"/>
          <w:kern w:val="0"/>
          <w:sz w:val="24"/>
          <w:szCs w:val="24"/>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24"/>
          <w:szCs w:val="24"/>
          <w:highlight w:val="none"/>
          <w:lang w:val="en-US" w:eastAsia="zh-CN"/>
        </w:rPr>
        <w:t>二</w:t>
      </w:r>
      <w:r>
        <w:rPr>
          <w:rFonts w:hint="eastAsia" w:ascii="宋体" w:hAnsi="宋体" w:cs="宋体"/>
          <w:b/>
          <w:color w:val="auto"/>
          <w:kern w:val="0"/>
          <w:sz w:val="24"/>
          <w:szCs w:val="24"/>
          <w:highlight w:val="none"/>
        </w:rPr>
        <w:t>、符合参加政府采购活动应当具备的一般条件的承诺函</w:t>
      </w:r>
    </w:p>
    <w:p w14:paraId="03882C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w:t>
      </w:r>
    </w:p>
    <w:p w14:paraId="1991CE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我方参与</w:t>
      </w:r>
      <w:r>
        <w:rPr>
          <w:rFonts w:hint="eastAsia" w:ascii="宋体" w:hAnsi="宋体" w:cs="宋体"/>
          <w:color w:val="auto"/>
          <w:sz w:val="24"/>
          <w:szCs w:val="24"/>
          <w:highlight w:val="none"/>
          <w:lang w:eastAsia="zh-CN"/>
        </w:rPr>
        <w:t>庄桥街道除四害消杀服务外包项目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YYCG-2025-1094</w:t>
      </w:r>
      <w:r>
        <w:rPr>
          <w:rFonts w:hint="eastAsia" w:ascii="宋体" w:hAnsi="宋体" w:cs="宋体"/>
          <w:color w:val="auto"/>
          <w:sz w:val="24"/>
          <w:szCs w:val="24"/>
          <w:highlight w:val="none"/>
        </w:rPr>
        <w:t>】政府采购活动，郑重承诺：</w:t>
      </w:r>
    </w:p>
    <w:p w14:paraId="15C508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（一）具备《中华人民共和国政府采购法》第二十二条第一款规定的条件：</w:t>
      </w:r>
    </w:p>
    <w:p w14:paraId="22BBC6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具有独立承担民事责任的能力；</w:t>
      </w:r>
    </w:p>
    <w:p w14:paraId="45C46F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具有良好的商业信誉和健全的财务会计制度； </w:t>
      </w:r>
    </w:p>
    <w:p w14:paraId="3300BD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具有履行合同所必需的设备和专业技术能力；</w:t>
      </w:r>
    </w:p>
    <w:p w14:paraId="5ADB4F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有依法缴纳税收和社会保障资金的良好记录；</w:t>
      </w:r>
    </w:p>
    <w:p w14:paraId="1A92F5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参加政府采购活动前三年内，在经营活动中没有重大违法记录；</w:t>
      </w:r>
    </w:p>
    <w:p w14:paraId="143836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具有法律、行政法规规定的其他条件。</w:t>
      </w:r>
    </w:p>
    <w:p w14:paraId="4CB3E8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499175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（三）不存在以下情况：</w:t>
      </w:r>
    </w:p>
    <w:p w14:paraId="028635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单位负责人为同一人或者存在直接控股、管理关系的不同供应商参加同一合同项下的政府采购活动的；</w:t>
      </w:r>
    </w:p>
    <w:p w14:paraId="3399C1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为采购项目提供整体设计、规范编制或者项目管理、监理、检测等服务后再参加该采购项目的其他采购活动的。</w:t>
      </w:r>
    </w:p>
    <w:p w14:paraId="056B70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szCs w:val="24"/>
          <w:highlight w:val="none"/>
          <w:lang w:val="zh-CN"/>
        </w:rPr>
      </w:pPr>
    </w:p>
    <w:p w14:paraId="51525A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75AEB2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8705C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sectPr>
          <w:pgSz w:w="11906" w:h="16838"/>
          <w:pgMar w:top="1134" w:right="1417" w:bottom="1134" w:left="1417" w:header="850" w:footer="850" w:gutter="0"/>
          <w:pgNumType w:fmt="decimal"/>
          <w:cols w:space="720" w:num="1"/>
        </w:sectPr>
      </w:pPr>
      <w:r>
        <w:rPr>
          <w:rFonts w:hint="eastAsia" w:ascii="宋体" w:hAnsi="宋体" w:cs="宋体"/>
          <w:color w:val="auto"/>
          <w:sz w:val="24"/>
          <w:szCs w:val="24"/>
          <w:highlight w:val="none"/>
        </w:rPr>
        <w:t>年    月    日</w:t>
      </w:r>
    </w:p>
    <w:p w14:paraId="1897D40D">
      <w:pPr>
        <w:rPr>
          <w:rFonts w:hint="eastAsia" w:ascii="宋体" w:hAnsi="宋体" w:cs="宋体"/>
          <w:b/>
          <w:color w:val="auto"/>
          <w:kern w:val="0"/>
          <w:sz w:val="32"/>
          <w:szCs w:val="32"/>
          <w:highlight w:val="none"/>
        </w:rPr>
      </w:pPr>
    </w:p>
    <w:p w14:paraId="514AB3AA">
      <w:pPr>
        <w:snapToGrid w:val="0"/>
        <w:spacing w:line="360" w:lineRule="auto"/>
        <w:ind w:right="48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三</w:t>
      </w:r>
      <w:r>
        <w:rPr>
          <w:rFonts w:hint="eastAsia" w:ascii="宋体" w:hAnsi="宋体" w:cs="宋体"/>
          <w:b/>
          <w:color w:val="auto"/>
          <w:kern w:val="0"/>
          <w:sz w:val="24"/>
          <w:szCs w:val="24"/>
          <w:highlight w:val="none"/>
        </w:rPr>
        <w:t>、落实政府采购政策需满足的资格要求</w:t>
      </w:r>
    </w:p>
    <w:p w14:paraId="7661C30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（根据招标公告落实政府采购政策需满足的资格要求选择提供相应的材料）</w:t>
      </w:r>
    </w:p>
    <w:p w14:paraId="272B4F1E">
      <w:pPr>
        <w:snapToGrid w:val="0"/>
        <w:spacing w:before="50" w:after="50" w:line="360" w:lineRule="auto"/>
        <w:ind w:firstLine="472" w:firstLineChars="196"/>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A</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rPr>
        <w:t xml:space="preserve">专门面向中小企业，服务全部由符合政策要求的中小企业（或小微企业）承接的，提供相应的中小企业声明函。 </w:t>
      </w:r>
    </w:p>
    <w:p w14:paraId="5F0F956D">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411942D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center"/>
        <w:textAlignment w:val="auto"/>
        <w:rPr>
          <w:color w:val="auto"/>
          <w:sz w:val="24"/>
          <w:szCs w:val="24"/>
          <w:highlight w:val="none"/>
        </w:rPr>
      </w:pPr>
      <w:r>
        <w:rPr>
          <w:rFonts w:hint="eastAsia" w:ascii="宋体" w:hAnsi="宋体" w:cs="宋体"/>
          <w:b/>
          <w:color w:val="auto"/>
          <w:sz w:val="24"/>
          <w:szCs w:val="24"/>
          <w:highlight w:val="none"/>
        </w:rPr>
        <w:t>中小企业声明函（服务）</w:t>
      </w:r>
    </w:p>
    <w:p w14:paraId="1DE504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本公司郑重声明，根据《政府采购促进中小企业发展管理办法》（财库﹝2020﹞46 号）的规定，本公司参加 </w:t>
      </w:r>
      <w:r>
        <w:rPr>
          <w:rFonts w:hint="eastAsia" w:ascii="宋体" w:hAnsi="宋体" w:cs="宋体"/>
          <w:color w:val="auto"/>
          <w:sz w:val="24"/>
          <w:szCs w:val="24"/>
          <w:highlight w:val="none"/>
          <w:u w:val="single"/>
        </w:rPr>
        <w:t xml:space="preserve">（采购人）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庄桥街道除四害消杀服务外包项目</w:t>
      </w:r>
      <w:r>
        <w:rPr>
          <w:rFonts w:hint="eastAsia" w:ascii="宋体" w:hAnsi="宋体" w:cs="宋体"/>
          <w:color w:val="auto"/>
          <w:sz w:val="24"/>
          <w:szCs w:val="24"/>
          <w:highlight w:val="none"/>
        </w:rPr>
        <w:t>采购活动，服务全部由符合政策要求的中小企业承接。</w:t>
      </w:r>
    </w:p>
    <w:p w14:paraId="7AA569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具体情况如下：</w:t>
      </w:r>
    </w:p>
    <w:p w14:paraId="267F17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招标文件</w:t>
      </w:r>
      <w:r>
        <w:rPr>
          <w:rFonts w:hint="eastAsia" w:ascii="宋体" w:hAnsi="宋体" w:cs="宋体"/>
          <w:color w:val="auto"/>
          <w:sz w:val="24"/>
          <w:szCs w:val="24"/>
          <w:highlight w:val="none"/>
          <w:u w:val="single"/>
        </w:rPr>
        <w:t>中明确的所属行业）</w:t>
      </w:r>
      <w:r>
        <w:rPr>
          <w:rFonts w:hint="eastAsia" w:ascii="宋体" w:hAnsi="宋体" w:cs="宋体"/>
          <w:color w:val="auto"/>
          <w:sz w:val="24"/>
          <w:szCs w:val="24"/>
          <w:highlight w:val="none"/>
        </w:rPr>
        <w:t xml:space="preserve"> ；承建（承接）企业为 </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w:t>
      </w:r>
    </w:p>
    <w:p w14:paraId="25FC62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（标的名称），</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招标文件</w:t>
      </w:r>
      <w:r>
        <w:rPr>
          <w:rFonts w:hint="eastAsia" w:ascii="宋体" w:hAnsi="宋体" w:cs="宋体"/>
          <w:color w:val="auto"/>
          <w:sz w:val="24"/>
          <w:szCs w:val="24"/>
          <w:highlight w:val="none"/>
          <w:u w:val="single"/>
        </w:rPr>
        <w:t xml:space="preserve">中明确的所属行业） </w:t>
      </w:r>
      <w:r>
        <w:rPr>
          <w:rFonts w:hint="eastAsia" w:ascii="宋体" w:hAnsi="宋体" w:cs="宋体"/>
          <w:color w:val="auto"/>
          <w:sz w:val="24"/>
          <w:szCs w:val="24"/>
          <w:highlight w:val="none"/>
        </w:rPr>
        <w:t xml:space="preserve">；承建（承接）企业为 </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w:t>
      </w:r>
    </w:p>
    <w:p w14:paraId="43557A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p>
    <w:p w14:paraId="549DF1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74E218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7740B115">
      <w:pPr>
        <w:keepNext w:val="0"/>
        <w:keepLines w:val="0"/>
        <w:pageBreakBefore w:val="0"/>
        <w:widowControl w:val="0"/>
        <w:kinsoku/>
        <w:wordWrap/>
        <w:overflowPunct/>
        <w:topLinePunct w:val="0"/>
        <w:autoSpaceDE/>
        <w:autoSpaceDN/>
        <w:bidi w:val="0"/>
        <w:adjustRightInd w:val="0"/>
        <w:snapToGrid/>
        <w:spacing w:line="360" w:lineRule="auto"/>
        <w:ind w:right="1760"/>
        <w:jc w:val="both"/>
        <w:textAlignment w:val="auto"/>
        <w:rPr>
          <w:rFonts w:ascii="宋体" w:hAnsi="宋体" w:cs="宋体"/>
          <w:color w:val="auto"/>
          <w:sz w:val="24"/>
          <w:szCs w:val="24"/>
          <w:highlight w:val="none"/>
        </w:rPr>
      </w:pPr>
    </w:p>
    <w:p w14:paraId="0D5204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20076E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79657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C81C077">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cs="宋体"/>
          <w:color w:val="auto"/>
          <w:sz w:val="24"/>
          <w:szCs w:val="24"/>
          <w:highlight w:val="none"/>
        </w:rPr>
      </w:pPr>
    </w:p>
    <w:p w14:paraId="01A94AA1">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eastAsia="宋体" w:cs="宋体"/>
          <w:color w:val="auto"/>
          <w:sz w:val="24"/>
          <w:szCs w:val="24"/>
          <w:highlight w:val="none"/>
        </w:rPr>
        <w:sectPr>
          <w:headerReference r:id="rId10" w:type="first"/>
          <w:footerReference r:id="rId13" w:type="first"/>
          <w:headerReference r:id="rId9" w:type="default"/>
          <w:footerReference r:id="rId11" w:type="default"/>
          <w:footerReference r:id="rId12" w:type="even"/>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从业人员、营业收入、资产总额填报上一年度数据，无上一年度数据的新成立企业可不填报</w:t>
      </w: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《中小企业声明函》中“标的名称”、“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中明确的所属行业”依据招标文件第二部分投标人须知前附表中“采购标的及其对应的中小企业划分标准所属行业”的指引，逐一填写，不得缺漏。</w:t>
      </w:r>
    </w:p>
    <w:p w14:paraId="5E9E2B99">
      <w:pPr>
        <w:keepNext w:val="0"/>
        <w:keepLines w:val="0"/>
        <w:pageBreakBefore w:val="0"/>
        <w:kinsoku/>
        <w:wordWrap/>
        <w:overflowPunct/>
        <w:topLinePunct w:val="0"/>
        <w:autoSpaceDE/>
        <w:autoSpaceDN/>
        <w:bidi w:val="0"/>
        <w:adjustRightInd w:val="0"/>
        <w:spacing w:line="360" w:lineRule="auto"/>
        <w:ind w:firstLine="506" w:firstLineChars="200"/>
        <w:jc w:val="center"/>
        <w:textAlignment w:val="auto"/>
        <w:rPr>
          <w:rFonts w:hint="default" w:ascii="宋体" w:hAnsi="宋体" w:eastAsia="宋体" w:cs="宋体"/>
          <w:b/>
          <w:color w:val="auto"/>
          <w:spacing w:val="6"/>
          <w:sz w:val="24"/>
          <w:szCs w:val="24"/>
          <w:highlight w:val="none"/>
          <w:lang w:val="en-US" w:eastAsia="zh-CN"/>
        </w:rPr>
      </w:pPr>
      <w:r>
        <w:rPr>
          <w:rFonts w:hint="eastAsia" w:ascii="宋体" w:hAnsi="宋体" w:eastAsia="宋体" w:cs="宋体"/>
          <w:b/>
          <w:color w:val="auto"/>
          <w:spacing w:val="6"/>
          <w:sz w:val="24"/>
          <w:szCs w:val="24"/>
          <w:highlight w:val="none"/>
        </w:rPr>
        <w:t>残疾人福利性单位声明函</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lang w:val="en-US" w:eastAsia="zh-CN"/>
        </w:rPr>
        <w:t>如有）</w:t>
      </w:r>
    </w:p>
    <w:p w14:paraId="675D3CC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单位的</w:t>
      </w:r>
      <w:r>
        <w:rPr>
          <w:rFonts w:hint="eastAsia" w:ascii="宋体" w:hAnsi="宋体" w:cs="宋体"/>
          <w:color w:val="auto"/>
          <w:sz w:val="24"/>
          <w:szCs w:val="24"/>
          <w:highlight w:val="none"/>
          <w:u w:val="single"/>
          <w:lang w:eastAsia="zh-CN"/>
        </w:rPr>
        <w:t>庄桥街道除四害消杀服务外包项目</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2490B35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FE48C6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2EC884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27E181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9F6E1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FE2331A">
      <w:pPr>
        <w:keepNext w:val="0"/>
        <w:keepLines w:val="0"/>
        <w:pageBreakBefore w:val="0"/>
        <w:tabs>
          <w:tab w:val="left" w:pos="4860"/>
        </w:tabs>
        <w:kinsoku/>
        <w:wordWrap/>
        <w:overflowPunct/>
        <w:topLinePunct w:val="0"/>
        <w:autoSpaceDE/>
        <w:autoSpaceDN/>
        <w:bidi w:val="0"/>
        <w:adjustRightInd w:val="0"/>
        <w:spacing w:line="360" w:lineRule="auto"/>
        <w:ind w:right="1560" w:firstLine="480" w:firstLineChars="200"/>
        <w:jc w:val="right"/>
        <w:textAlignment w:val="auto"/>
        <w:rPr>
          <w:rFonts w:hint="eastAsia" w:ascii="宋体" w:hAnsi="宋体" w:eastAsia="宋体" w:cs="宋体"/>
          <w:color w:val="auto"/>
          <w:sz w:val="24"/>
          <w:szCs w:val="24"/>
          <w:highlight w:val="none"/>
        </w:rPr>
      </w:pPr>
    </w:p>
    <w:p w14:paraId="2B33788C">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投标人如为非残疾人福利性单位的，可不提供本声明函。</w:t>
      </w:r>
    </w:p>
    <w:p w14:paraId="515BAF18">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w:t>
      </w:r>
    </w:p>
    <w:p w14:paraId="79353306">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1、如投标人为非残疾人福利性单位的可不提供本声明函。</w:t>
      </w:r>
    </w:p>
    <w:p w14:paraId="56F9CA15">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2、享受政府采购支持政策的残疾人福利性单位应当同时满足以下条件：</w:t>
      </w:r>
    </w:p>
    <w:p w14:paraId="0269690F">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（一）安置的残疾人占本单位在职职工人数的比例不低于25%（含25%），并且安置的残疾人人数不少于10人（含10人）；</w:t>
      </w:r>
    </w:p>
    <w:p w14:paraId="101B61D6">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（二）依法与安置的每位残疾人签订了一年以上（含一年）的劳动合同或服务协议；</w:t>
      </w:r>
    </w:p>
    <w:p w14:paraId="6A4F9E3D">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（三）为安置的每位残疾人按月足额缴纳了基本养老保险、基本医疗保险、失业保险、工伤保险和生育保险等社会保险费；</w:t>
      </w:r>
    </w:p>
    <w:p w14:paraId="59595606">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（四）通过银行等金融机构向安置的每位残疾人，按月支付了不低于单位所在区县适用的经省级人民政府批准的月最低工资标准的工资；</w:t>
      </w:r>
    </w:p>
    <w:p w14:paraId="10B9B29F">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AD9D14D">
      <w:pPr>
        <w:pStyle w:val="82"/>
        <w:keepNext w:val="0"/>
        <w:keepLines w:val="0"/>
        <w:pageBreakBefore w:val="0"/>
        <w:kinsoku/>
        <w:wordWrap/>
        <w:overflowPunct/>
        <w:topLinePunct w:val="0"/>
        <w:autoSpaceDE/>
        <w:autoSpaceDN/>
        <w:bidi w:val="0"/>
        <w:adjustRightInd w:val="0"/>
        <w:ind w:firstLine="504" w:firstLineChars="200"/>
        <w:textAlignment w:val="auto"/>
        <w:rPr>
          <w:rFonts w:ascii="宋体" w:hAnsi="宋体" w:cs="宋体"/>
          <w:color w:val="auto"/>
          <w:sz w:val="24"/>
          <w:highlight w:val="none"/>
        </w:rPr>
      </w:pPr>
      <w:r>
        <w:rPr>
          <w:rFonts w:hint="eastAsia" w:ascii="宋体" w:hAnsi="宋体" w:eastAsia="宋体" w:cs="宋体"/>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cs="宋体"/>
          <w:b/>
          <w:color w:val="auto"/>
          <w:sz w:val="24"/>
          <w:highlight w:val="none"/>
        </w:rPr>
        <w:t xml:space="preserve"> </w:t>
      </w:r>
    </w:p>
    <w:p w14:paraId="7E7D081A">
      <w:pPr>
        <w:rPr>
          <w:rFonts w:hint="eastAsia" w:ascii="宋体" w:hAnsi="宋体" w:cs="宋体"/>
          <w:b/>
          <w:color w:val="auto"/>
          <w:kern w:val="0"/>
          <w:sz w:val="32"/>
          <w:szCs w:val="32"/>
          <w:highlight w:val="none"/>
        </w:rPr>
      </w:pPr>
    </w:p>
    <w:p w14:paraId="570A5C68">
      <w:pPr>
        <w:widowControl/>
        <w:spacing w:line="360" w:lineRule="auto"/>
        <w:ind w:left="15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四</w:t>
      </w:r>
      <w:r>
        <w:rPr>
          <w:rFonts w:hint="eastAsia" w:ascii="宋体" w:hAnsi="宋体" w:cs="宋体"/>
          <w:b/>
          <w:color w:val="auto"/>
          <w:kern w:val="0"/>
          <w:sz w:val="24"/>
          <w:szCs w:val="24"/>
          <w:highlight w:val="none"/>
        </w:rPr>
        <w:t>、本项目的特定资格要求</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如有）</w:t>
      </w:r>
    </w:p>
    <w:p w14:paraId="4DF9ECE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（根据招标公告本项目的特定资格要求提供相应的材料；未要求的，无需提供）</w:t>
      </w:r>
    </w:p>
    <w:p w14:paraId="5A19FD83">
      <w:pPr>
        <w:rPr>
          <w:rFonts w:ascii="宋体" w:hAnsi="宋体" w:cs="宋体"/>
          <w:color w:val="auto"/>
          <w:highlight w:val="none"/>
        </w:rPr>
      </w:pPr>
    </w:p>
    <w:p w14:paraId="6E9974B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DE24A84">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4A1212F">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E1F0A06">
      <w:pPr>
        <w:pStyle w:val="82"/>
        <w:rPr>
          <w:color w:val="auto"/>
          <w:highlight w:val="none"/>
        </w:rPr>
      </w:pPr>
    </w:p>
    <w:p w14:paraId="123461C4">
      <w:pPr>
        <w:numPr>
          <w:ilvl w:val="0"/>
          <w:numId w:val="5"/>
        </w:numPr>
        <w:snapToGrid w:val="0"/>
        <w:spacing w:line="360" w:lineRule="auto"/>
        <w:ind w:left="0" w:leftChars="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投标函</w:t>
      </w:r>
      <w:r>
        <w:rPr>
          <w:rFonts w:hint="eastAsia" w:ascii="宋体" w:hAnsi="宋体" w:cs="宋体"/>
          <w:color w:val="auto"/>
          <w:sz w:val="24"/>
          <w:szCs w:val="24"/>
          <w:highlight w:val="none"/>
          <w:lang w:eastAsia="zh-CN"/>
        </w:rPr>
        <w:t>；</w:t>
      </w:r>
    </w:p>
    <w:p w14:paraId="3A38989B">
      <w:pPr>
        <w:numPr>
          <w:ilvl w:val="0"/>
          <w:numId w:val="5"/>
        </w:numPr>
        <w:snapToGrid w:val="0"/>
        <w:spacing w:line="360" w:lineRule="auto"/>
        <w:ind w:left="0" w:leftChars="0" w:firstLineChars="0"/>
        <w:rPr>
          <w:rFonts w:ascii="宋体" w:hAnsi="宋体" w:cs="宋体"/>
          <w:color w:val="auto"/>
          <w:sz w:val="24"/>
          <w:szCs w:val="24"/>
          <w:highlight w:val="none"/>
        </w:rPr>
      </w:pPr>
      <w:r>
        <w:rPr>
          <w:rFonts w:hint="eastAsia" w:ascii="宋体" w:hAnsi="宋体" w:cs="宋体"/>
          <w:color w:val="auto"/>
          <w:sz w:val="24"/>
          <w:szCs w:val="24"/>
          <w:highlight w:val="none"/>
        </w:rPr>
        <w:t>授权委托书或法定代表人（单位负责人、自然人本人）身份证明</w:t>
      </w:r>
      <w:r>
        <w:rPr>
          <w:rFonts w:hint="eastAsia" w:ascii="宋体" w:hAnsi="宋体" w:cs="宋体"/>
          <w:color w:val="auto"/>
          <w:sz w:val="24"/>
          <w:szCs w:val="24"/>
          <w:highlight w:val="none"/>
          <w:lang w:eastAsia="zh-CN"/>
        </w:rPr>
        <w:t>；</w:t>
      </w:r>
    </w:p>
    <w:p w14:paraId="7F87AE6E">
      <w:pPr>
        <w:numPr>
          <w:ilvl w:val="0"/>
          <w:numId w:val="5"/>
        </w:numPr>
        <w:snapToGrid w:val="0"/>
        <w:spacing w:line="360" w:lineRule="auto"/>
        <w:ind w:left="0" w:leftChars="0"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政府采购供应商廉洁自律承诺书；</w:t>
      </w:r>
    </w:p>
    <w:p w14:paraId="2DED83E6">
      <w:pPr>
        <w:numPr>
          <w:ilvl w:val="0"/>
          <w:numId w:val="5"/>
        </w:numPr>
        <w:snapToGrid w:val="0"/>
        <w:spacing w:line="360" w:lineRule="auto"/>
        <w:ind w:left="0" w:leftChars="0"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供应商基本情况表；</w:t>
      </w:r>
    </w:p>
    <w:p w14:paraId="65684F66">
      <w:pPr>
        <w:numPr>
          <w:ilvl w:val="0"/>
          <w:numId w:val="5"/>
        </w:numPr>
        <w:snapToGrid w:val="0"/>
        <w:spacing w:line="360" w:lineRule="auto"/>
        <w:ind w:left="0" w:leftChars="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商务技术偏离表</w:t>
      </w:r>
      <w:r>
        <w:rPr>
          <w:rFonts w:hint="eastAsia" w:ascii="宋体" w:hAnsi="宋体" w:eastAsia="宋体" w:cs="宋体"/>
          <w:color w:val="auto"/>
          <w:sz w:val="24"/>
          <w:szCs w:val="24"/>
          <w:highlight w:val="none"/>
          <w:lang w:val="zh-CN" w:eastAsia="zh-CN"/>
        </w:rPr>
        <w:t>；</w:t>
      </w:r>
    </w:p>
    <w:p w14:paraId="6C665033">
      <w:pPr>
        <w:numPr>
          <w:ilvl w:val="0"/>
          <w:numId w:val="5"/>
        </w:numPr>
        <w:snapToGrid w:val="0"/>
        <w:spacing w:line="360" w:lineRule="auto"/>
        <w:ind w:left="0" w:leftChars="0"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拟投入人员配备表；</w:t>
      </w:r>
    </w:p>
    <w:p w14:paraId="08B4AC31">
      <w:pPr>
        <w:numPr>
          <w:ilvl w:val="0"/>
          <w:numId w:val="5"/>
        </w:numPr>
        <w:snapToGrid w:val="0"/>
        <w:spacing w:line="360" w:lineRule="auto"/>
        <w:ind w:left="0" w:leftChars="0"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评标标准相应的商务技术资料；</w:t>
      </w:r>
    </w:p>
    <w:p w14:paraId="1EA11198">
      <w:pPr>
        <w:numPr>
          <w:ilvl w:val="0"/>
          <w:numId w:val="5"/>
        </w:numPr>
        <w:snapToGrid w:val="0"/>
        <w:spacing w:line="360" w:lineRule="auto"/>
        <w:ind w:left="0" w:leftChars="0" w:firstLine="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供应商认为有必要提供的其他技术资料及说明。</w:t>
      </w:r>
    </w:p>
    <w:p w14:paraId="3FD47D25">
      <w:pPr>
        <w:numPr>
          <w:ilvl w:val="0"/>
          <w:numId w:val="0"/>
        </w:numPr>
        <w:snapToGrid w:val="0"/>
        <w:spacing w:line="360" w:lineRule="auto"/>
        <w:ind w:leftChars="228"/>
        <w:rPr>
          <w:rFonts w:hint="eastAsia" w:ascii="宋体" w:hAnsi="宋体" w:eastAsia="宋体" w:cs="宋体"/>
          <w:color w:val="auto"/>
          <w:sz w:val="24"/>
          <w:highlight w:val="none"/>
        </w:rPr>
      </w:pPr>
    </w:p>
    <w:p w14:paraId="7CEEB54F">
      <w:pPr>
        <w:snapToGrid w:val="0"/>
        <w:spacing w:line="360" w:lineRule="auto"/>
        <w:jc w:val="center"/>
        <w:rPr>
          <w:rFonts w:ascii="宋体" w:hAnsi="宋体" w:cs="宋体"/>
          <w:b/>
          <w:color w:val="auto"/>
          <w:kern w:val="0"/>
          <w:sz w:val="32"/>
          <w:szCs w:val="32"/>
          <w:highlight w:val="none"/>
          <w:lang w:val="zh-CN"/>
        </w:rPr>
      </w:pPr>
    </w:p>
    <w:p w14:paraId="24E61325">
      <w:pPr>
        <w:snapToGrid w:val="0"/>
        <w:spacing w:line="360" w:lineRule="auto"/>
        <w:jc w:val="center"/>
        <w:rPr>
          <w:rFonts w:ascii="宋体" w:hAnsi="宋体" w:cs="宋体"/>
          <w:b/>
          <w:color w:val="auto"/>
          <w:kern w:val="0"/>
          <w:sz w:val="32"/>
          <w:szCs w:val="32"/>
          <w:highlight w:val="none"/>
          <w:lang w:val="zh-CN"/>
        </w:rPr>
      </w:pPr>
    </w:p>
    <w:p w14:paraId="29F43F9C">
      <w:pPr>
        <w:snapToGrid w:val="0"/>
        <w:spacing w:line="360" w:lineRule="auto"/>
        <w:jc w:val="center"/>
        <w:rPr>
          <w:rFonts w:ascii="宋体" w:hAnsi="宋体" w:cs="宋体"/>
          <w:b/>
          <w:color w:val="auto"/>
          <w:kern w:val="0"/>
          <w:sz w:val="32"/>
          <w:szCs w:val="32"/>
          <w:highlight w:val="none"/>
          <w:lang w:val="zh-CN"/>
        </w:rPr>
      </w:pPr>
    </w:p>
    <w:p w14:paraId="34E18148">
      <w:pPr>
        <w:snapToGrid w:val="0"/>
        <w:spacing w:line="360" w:lineRule="auto"/>
        <w:jc w:val="center"/>
        <w:rPr>
          <w:rFonts w:ascii="宋体" w:hAnsi="宋体" w:cs="宋体"/>
          <w:b/>
          <w:color w:val="auto"/>
          <w:kern w:val="0"/>
          <w:sz w:val="32"/>
          <w:szCs w:val="32"/>
          <w:highlight w:val="none"/>
          <w:lang w:val="zh-CN"/>
        </w:rPr>
      </w:pPr>
    </w:p>
    <w:p w14:paraId="2209C7D9">
      <w:pPr>
        <w:snapToGrid w:val="0"/>
        <w:spacing w:line="360" w:lineRule="auto"/>
        <w:jc w:val="center"/>
        <w:rPr>
          <w:rFonts w:ascii="宋体" w:hAnsi="宋体" w:cs="宋体"/>
          <w:b/>
          <w:color w:val="auto"/>
          <w:kern w:val="0"/>
          <w:sz w:val="32"/>
          <w:szCs w:val="32"/>
          <w:highlight w:val="none"/>
          <w:lang w:val="zh-CN"/>
        </w:rPr>
      </w:pPr>
    </w:p>
    <w:p w14:paraId="539712D6">
      <w:pPr>
        <w:snapToGrid w:val="0"/>
        <w:spacing w:line="360" w:lineRule="auto"/>
        <w:jc w:val="center"/>
        <w:rPr>
          <w:rFonts w:ascii="宋体" w:hAnsi="宋体" w:cs="宋体"/>
          <w:b/>
          <w:color w:val="auto"/>
          <w:kern w:val="0"/>
          <w:sz w:val="32"/>
          <w:szCs w:val="32"/>
          <w:highlight w:val="none"/>
          <w:lang w:val="zh-CN"/>
        </w:rPr>
      </w:pPr>
    </w:p>
    <w:p w14:paraId="49DC69F1">
      <w:pPr>
        <w:snapToGrid w:val="0"/>
        <w:spacing w:line="360" w:lineRule="auto"/>
        <w:jc w:val="center"/>
        <w:rPr>
          <w:rFonts w:ascii="宋体" w:hAnsi="宋体" w:cs="宋体"/>
          <w:b/>
          <w:color w:val="auto"/>
          <w:kern w:val="0"/>
          <w:sz w:val="32"/>
          <w:szCs w:val="32"/>
          <w:highlight w:val="none"/>
          <w:lang w:val="zh-CN"/>
        </w:rPr>
      </w:pPr>
    </w:p>
    <w:p w14:paraId="00B707F4">
      <w:pPr>
        <w:snapToGrid w:val="0"/>
        <w:spacing w:line="360" w:lineRule="auto"/>
        <w:jc w:val="center"/>
        <w:rPr>
          <w:rFonts w:ascii="宋体" w:hAnsi="宋体" w:cs="宋体"/>
          <w:b/>
          <w:color w:val="auto"/>
          <w:kern w:val="0"/>
          <w:sz w:val="32"/>
          <w:szCs w:val="32"/>
          <w:highlight w:val="none"/>
          <w:lang w:val="zh-CN"/>
        </w:rPr>
      </w:pPr>
    </w:p>
    <w:p w14:paraId="469C1009">
      <w:pPr>
        <w:snapToGrid w:val="0"/>
        <w:spacing w:line="360" w:lineRule="auto"/>
        <w:jc w:val="center"/>
        <w:rPr>
          <w:rFonts w:ascii="宋体" w:hAnsi="宋体" w:cs="宋体"/>
          <w:b/>
          <w:color w:val="auto"/>
          <w:kern w:val="0"/>
          <w:sz w:val="32"/>
          <w:szCs w:val="32"/>
          <w:highlight w:val="none"/>
          <w:lang w:val="zh-CN"/>
        </w:rPr>
      </w:pPr>
    </w:p>
    <w:p w14:paraId="2DBE4199">
      <w:pPr>
        <w:snapToGrid w:val="0"/>
        <w:spacing w:line="360" w:lineRule="auto"/>
        <w:jc w:val="center"/>
        <w:rPr>
          <w:rFonts w:ascii="宋体" w:hAnsi="宋体" w:cs="宋体"/>
          <w:b/>
          <w:color w:val="auto"/>
          <w:kern w:val="0"/>
          <w:sz w:val="32"/>
          <w:szCs w:val="32"/>
          <w:highlight w:val="none"/>
          <w:lang w:val="zh-CN"/>
        </w:rPr>
      </w:pPr>
    </w:p>
    <w:p w14:paraId="47163310">
      <w:pPr>
        <w:snapToGrid w:val="0"/>
        <w:spacing w:line="360" w:lineRule="auto"/>
        <w:jc w:val="center"/>
        <w:rPr>
          <w:rFonts w:ascii="宋体" w:hAnsi="宋体" w:cs="宋体"/>
          <w:b/>
          <w:color w:val="auto"/>
          <w:kern w:val="0"/>
          <w:sz w:val="32"/>
          <w:szCs w:val="32"/>
          <w:highlight w:val="none"/>
          <w:lang w:val="zh-CN"/>
        </w:rPr>
      </w:pPr>
    </w:p>
    <w:p w14:paraId="5189A2A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DE77CA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outlineLvl w:val="0"/>
        <w:rPr>
          <w:rFonts w:ascii="宋体" w:hAnsi="宋体" w:cs="宋体"/>
          <w:b/>
          <w:color w:val="auto"/>
          <w:sz w:val="24"/>
          <w:szCs w:val="24"/>
          <w:highlight w:val="none"/>
        </w:rPr>
      </w:pPr>
      <w:r>
        <w:rPr>
          <w:rFonts w:hint="eastAsia" w:ascii="宋体" w:hAnsi="宋体" w:cs="宋体"/>
          <w:b/>
          <w:color w:val="auto"/>
          <w:kern w:val="0"/>
          <w:sz w:val="24"/>
          <w:szCs w:val="24"/>
          <w:highlight w:val="none"/>
        </w:rPr>
        <w:t>一、投标</w:t>
      </w:r>
      <w:r>
        <w:rPr>
          <w:rFonts w:hint="eastAsia" w:ascii="宋体" w:hAnsi="宋体" w:cs="宋体"/>
          <w:b/>
          <w:color w:val="auto"/>
          <w:sz w:val="24"/>
          <w:szCs w:val="24"/>
          <w:highlight w:val="none"/>
        </w:rPr>
        <w:t>函</w:t>
      </w:r>
    </w:p>
    <w:p w14:paraId="3CBC21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w:t>
      </w:r>
    </w:p>
    <w:p w14:paraId="09A502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我方参加你方组织的</w:t>
      </w:r>
      <w:r>
        <w:rPr>
          <w:rFonts w:hint="eastAsia" w:ascii="宋体" w:hAnsi="宋体" w:cs="宋体"/>
          <w:color w:val="auto"/>
          <w:sz w:val="24"/>
          <w:szCs w:val="24"/>
          <w:highlight w:val="none"/>
          <w:lang w:eastAsia="zh-CN"/>
        </w:rPr>
        <w:t>庄桥街道除四害消杀服务外包项目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YYCG-2025-1094</w:t>
      </w:r>
      <w:r>
        <w:rPr>
          <w:rFonts w:hint="eastAsia" w:ascii="宋体" w:hAnsi="宋体" w:cs="宋体"/>
          <w:color w:val="auto"/>
          <w:sz w:val="24"/>
          <w:szCs w:val="24"/>
          <w:highlight w:val="none"/>
        </w:rPr>
        <w:t>】招标的有关活动，并对此项目进行投标。为此：</w:t>
      </w:r>
    </w:p>
    <w:p w14:paraId="36D44F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我方承诺投标有效期从提交投标文件的截止之日起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天（不少于90天），本投标文件在投标有效期满之前均具有约束力。</w:t>
      </w:r>
    </w:p>
    <w:p w14:paraId="32AF15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我方的投标文件包括以下内容：</w:t>
      </w:r>
    </w:p>
    <w:p w14:paraId="24D9B47A">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2.1资格文件</w:t>
      </w:r>
      <w:r>
        <w:rPr>
          <w:rFonts w:hint="eastAsia" w:ascii="宋体" w:hAnsi="宋体" w:cs="宋体"/>
          <w:color w:val="auto"/>
          <w:sz w:val="24"/>
          <w:szCs w:val="24"/>
          <w:highlight w:val="none"/>
          <w:lang w:eastAsia="zh-CN"/>
        </w:rPr>
        <w:t>；</w:t>
      </w:r>
    </w:p>
    <w:p w14:paraId="282F36C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14:paraId="1FB79361">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报价文件</w:t>
      </w:r>
      <w:r>
        <w:rPr>
          <w:rFonts w:hint="eastAsia" w:ascii="宋体" w:hAnsi="宋体" w:cs="宋体"/>
          <w:color w:val="auto"/>
          <w:sz w:val="24"/>
          <w:szCs w:val="24"/>
          <w:highlight w:val="none"/>
          <w:lang w:eastAsia="zh-CN"/>
        </w:rPr>
        <w:t>；</w:t>
      </w:r>
    </w:p>
    <w:p w14:paraId="2AFBE5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50C0A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如我方中标，我方承诺：</w:t>
      </w:r>
    </w:p>
    <w:p w14:paraId="39ADB2D0">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4.1在收到中标通知书后，在中标通知书规定的期限内与你方签订合同； </w:t>
      </w:r>
    </w:p>
    <w:p w14:paraId="49BEC9E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4.2在签订合同时不向你方提出附加条件； </w:t>
      </w:r>
    </w:p>
    <w:p w14:paraId="66A055CB">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4.3按照招标文件要求提交履约保证金； </w:t>
      </w:r>
    </w:p>
    <w:p w14:paraId="48B64CE2">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4.4在合同约定的期限内完成合同规定的全部义务。 </w:t>
      </w:r>
    </w:p>
    <w:p w14:paraId="6537F594">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DD355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其他补充说明: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D1644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szCs w:val="24"/>
          <w:highlight w:val="none"/>
        </w:rPr>
      </w:pPr>
    </w:p>
    <w:p w14:paraId="0AC257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6F067E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4B6CC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E0A4D79">
      <w:pPr>
        <w:pStyle w:val="60"/>
        <w:rPr>
          <w:rFonts w:hint="eastAsia" w:ascii="宋体" w:hAnsi="宋体" w:cs="宋体"/>
          <w:color w:val="auto"/>
          <w:sz w:val="24"/>
          <w:szCs w:val="24"/>
          <w:highlight w:val="none"/>
        </w:rPr>
      </w:pPr>
    </w:p>
    <w:p w14:paraId="569EBF31">
      <w:pPr>
        <w:rPr>
          <w:rFonts w:hint="eastAsia" w:ascii="宋体" w:hAnsi="宋体" w:cs="宋体"/>
          <w:color w:val="auto"/>
          <w:sz w:val="24"/>
          <w:szCs w:val="24"/>
          <w:highlight w:val="none"/>
        </w:rPr>
      </w:pPr>
    </w:p>
    <w:p w14:paraId="202CA2CE">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3D3C87EB">
      <w:pPr>
        <w:pStyle w:val="60"/>
        <w:rPr>
          <w:rFonts w:hint="eastAsia"/>
          <w:color w:val="auto"/>
          <w:highlight w:val="none"/>
        </w:rPr>
        <w:sectPr>
          <w:pgSz w:w="11906" w:h="16838"/>
          <w:pgMar w:top="1247" w:right="1417" w:bottom="1247" w:left="1417" w:header="850" w:footer="850" w:gutter="0"/>
          <w:pgNumType w:fmt="decimal"/>
          <w:cols w:space="720" w:num="1"/>
        </w:sectPr>
      </w:pPr>
    </w:p>
    <w:p w14:paraId="0ED8CDCF">
      <w:pPr>
        <w:numPr>
          <w:ilvl w:val="0"/>
          <w:numId w:val="0"/>
        </w:numPr>
        <w:spacing w:line="360" w:lineRule="auto"/>
        <w:ind w:left="0" w:leftChars="0" w:firstLine="482" w:firstLineChars="200"/>
        <w:jc w:val="center"/>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en-US" w:eastAsia="zh-CN" w:bidi="ar-SA"/>
        </w:rPr>
        <w:t>二</w:t>
      </w:r>
      <w:r>
        <w:rPr>
          <w:rFonts w:hint="eastAsia" w:ascii="宋体" w:hAnsi="宋体" w:eastAsia="宋体" w:cs="宋体"/>
          <w:b/>
          <w:color w:val="auto"/>
          <w:kern w:val="0"/>
          <w:sz w:val="24"/>
          <w:szCs w:val="24"/>
          <w:highlight w:val="none"/>
          <w:lang w:val="zh-CN" w:eastAsia="zh-CN" w:bidi="ar-SA"/>
        </w:rPr>
        <w:t>、</w:t>
      </w:r>
      <w:r>
        <w:rPr>
          <w:rFonts w:hint="eastAsia" w:ascii="宋体" w:hAnsi="宋体" w:cs="宋体"/>
          <w:b/>
          <w:color w:val="auto"/>
          <w:kern w:val="0"/>
          <w:sz w:val="24"/>
          <w:szCs w:val="24"/>
          <w:highlight w:val="none"/>
          <w:lang w:val="zh-CN"/>
        </w:rPr>
        <w:t>授权委托书或法定代表人（单位负责人、自然人本人）身份证明</w:t>
      </w:r>
    </w:p>
    <w:p w14:paraId="231E5173">
      <w:pPr>
        <w:numPr>
          <w:ilvl w:val="0"/>
          <w:numId w:val="0"/>
        </w:numPr>
        <w:spacing w:line="360" w:lineRule="auto"/>
        <w:ind w:leftChars="200"/>
        <w:jc w:val="center"/>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授权委托书</w:t>
      </w:r>
    </w:p>
    <w:p w14:paraId="20316979">
      <w:pPr>
        <w:snapToGrid w:val="0"/>
        <w:spacing w:line="360" w:lineRule="auto"/>
        <w:ind w:firstLine="2145" w:firstLineChars="894"/>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722D08F">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4ED95CAD">
      <w:pPr>
        <w:snapToGrid w:val="0"/>
        <w:spacing w:line="360" w:lineRule="auto"/>
        <w:ind w:firstLine="576"/>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（姓名）为我方代理人（身份证号码：</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，手机：</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none"/>
          <w:lang w:val="en-US" w:eastAsia="zh-CN"/>
        </w:rPr>
        <w:t>，所在单位：</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sz w:val="24"/>
          <w:szCs w:val="24"/>
          <w:highlight w:val="none"/>
          <w:lang w:eastAsia="zh-CN"/>
        </w:rPr>
        <w:t>庄桥街道除四害消杀服务外包项目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YYCG-2025-1094</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政府采购投标的一切事项，其法律后果由我方承担。</w:t>
      </w:r>
    </w:p>
    <w:p w14:paraId="74A3C691">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日起至</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日止。</w:t>
      </w:r>
    </w:p>
    <w:p w14:paraId="66BAAB9D">
      <w:pPr>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特此告知。</w:t>
      </w:r>
    </w:p>
    <w:p w14:paraId="7AB3A159">
      <w:pPr>
        <w:snapToGrid w:val="0"/>
        <w:spacing w:line="360" w:lineRule="auto"/>
        <w:ind w:firstLine="480"/>
        <w:jc w:val="left"/>
        <w:rPr>
          <w:rFonts w:hint="eastAsia" w:ascii="宋体" w:hAnsi="宋体" w:cs="宋体"/>
          <w:color w:val="auto"/>
          <w:sz w:val="24"/>
          <w:szCs w:val="24"/>
          <w:highlight w:val="none"/>
        </w:rPr>
      </w:pPr>
    </w:p>
    <w:p w14:paraId="5604BEA2">
      <w:pPr>
        <w:snapToGrid w:val="0"/>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3DA39F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E1A37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02169CE7">
      <w:pPr>
        <w:snapToGrid w:val="0"/>
        <w:spacing w:line="360" w:lineRule="auto"/>
        <w:rPr>
          <w:rFonts w:ascii="宋体" w:hAnsi="宋体" w:cs="宋体"/>
          <w:color w:val="auto"/>
          <w:kern w:val="0"/>
          <w:sz w:val="24"/>
          <w:szCs w:val="24"/>
          <w:highlight w:val="none"/>
          <w:lang w:val="zh-CN"/>
        </w:rPr>
      </w:pPr>
    </w:p>
    <w:p w14:paraId="7D0BFFCF">
      <w:pPr>
        <w:snapToGrid w:val="0"/>
        <w:spacing w:line="360" w:lineRule="auto"/>
        <w:rPr>
          <w:rFonts w:ascii="宋体" w:hAnsi="宋体" w:cs="宋体"/>
          <w:color w:val="auto"/>
          <w:sz w:val="24"/>
          <w:szCs w:val="24"/>
          <w:highlight w:val="none"/>
        </w:rPr>
      </w:pPr>
    </w:p>
    <w:p w14:paraId="77083A5F">
      <w:pPr>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zh-CN"/>
        </w:rPr>
        <w:t xml:space="preserve">      </w:t>
      </w:r>
      <w:r>
        <w:rPr>
          <w:rFonts w:hint="eastAsia" w:ascii="宋体" w:hAnsi="宋体" w:cs="宋体"/>
          <w:b/>
          <w:color w:val="auto"/>
          <w:kern w:val="0"/>
          <w:sz w:val="24"/>
          <w:szCs w:val="24"/>
          <w:highlight w:val="none"/>
        </w:rPr>
        <w:t xml:space="preserve"> </w:t>
      </w:r>
    </w:p>
    <w:p w14:paraId="41661FC2">
      <w:pPr>
        <w:autoSpaceDE w:val="0"/>
        <w:autoSpaceDN w:val="0"/>
        <w:spacing w:line="360" w:lineRule="auto"/>
        <w:jc w:val="center"/>
        <w:rPr>
          <w:rFonts w:ascii="宋体" w:hAnsi="宋体" w:cs="宋体"/>
          <w:b/>
          <w:color w:val="auto"/>
          <w:kern w:val="0"/>
          <w:sz w:val="32"/>
          <w:szCs w:val="32"/>
          <w:highlight w:val="none"/>
          <w:lang w:val="zh-CN"/>
        </w:rPr>
      </w:pPr>
    </w:p>
    <w:p w14:paraId="56153F3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20B9FECD">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val="zh-CN"/>
        </w:rPr>
        <w:t>法定代表人、单位负责人或自然人本人</w:t>
      </w:r>
      <w:r>
        <w:rPr>
          <w:rFonts w:hint="eastAsia" w:ascii="宋体" w:hAnsi="宋体" w:cs="宋体"/>
          <w:b/>
          <w:color w:val="auto"/>
          <w:sz w:val="24"/>
          <w:szCs w:val="24"/>
          <w:highlight w:val="none"/>
        </w:rPr>
        <w:t>的身份证明（适用于法定代表人、单位负责人或者自然人本人代表投标人参加投标）</w:t>
      </w:r>
    </w:p>
    <w:p w14:paraId="09FDFE3E">
      <w:pPr>
        <w:pStyle w:val="154"/>
        <w:spacing w:line="360" w:lineRule="auto"/>
        <w:rPr>
          <w:rFonts w:hAnsi="宋体" w:cs="宋体"/>
          <w:bCs/>
          <w:color w:val="auto"/>
          <w:sz w:val="24"/>
          <w:szCs w:val="24"/>
          <w:highlight w:val="none"/>
        </w:rPr>
      </w:pPr>
      <w:r>
        <w:rPr>
          <w:rFonts w:hint="eastAsia" w:hAnsi="宋体" w:cs="宋体"/>
          <w:bCs/>
          <w:color w:val="auto"/>
          <w:sz w:val="24"/>
          <w:szCs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72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B1F7E91">
            <w:pPr>
              <w:pStyle w:val="154"/>
              <w:adjustRightInd w:val="0"/>
              <w:spacing w:line="360" w:lineRule="auto"/>
              <w:rPr>
                <w:rFonts w:hAnsi="宋体" w:cs="宋体"/>
                <w:bCs/>
                <w:color w:val="auto"/>
                <w:sz w:val="24"/>
                <w:szCs w:val="24"/>
                <w:highlight w:val="none"/>
              </w:rPr>
            </w:pPr>
            <w:r>
              <w:rPr>
                <w:rFonts w:hint="eastAsia" w:hAnsi="宋体" w:cs="宋体"/>
                <w:bCs/>
                <w:color w:val="auto"/>
                <w:sz w:val="24"/>
                <w:szCs w:val="24"/>
                <w:highlight w:val="none"/>
              </w:rPr>
              <w:t>正面：                                 反面：</w:t>
            </w:r>
          </w:p>
          <w:p w14:paraId="67B55C57">
            <w:pPr>
              <w:pStyle w:val="154"/>
              <w:adjustRightInd w:val="0"/>
              <w:spacing w:line="360" w:lineRule="auto"/>
              <w:rPr>
                <w:rFonts w:hAnsi="宋体" w:cs="宋体"/>
                <w:bCs/>
                <w:color w:val="auto"/>
                <w:sz w:val="24"/>
                <w:szCs w:val="24"/>
                <w:highlight w:val="none"/>
              </w:rPr>
            </w:pPr>
          </w:p>
        </w:tc>
      </w:tr>
    </w:tbl>
    <w:p w14:paraId="531E58D5">
      <w:pPr>
        <w:snapToGrid w:val="0"/>
        <w:spacing w:line="360" w:lineRule="auto"/>
        <w:ind w:firstLine="576"/>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w:t>
      </w:r>
    </w:p>
    <w:p w14:paraId="11D445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p>
    <w:p w14:paraId="3D9D49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3C40C2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0D17A8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46196FD3">
      <w:pPr>
        <w:spacing w:line="360" w:lineRule="auto"/>
        <w:jc w:val="center"/>
        <w:rPr>
          <w:rFonts w:ascii="宋体" w:hAnsi="宋体" w:cs="宋体"/>
          <w:color w:val="auto"/>
          <w:kern w:val="0"/>
          <w:sz w:val="24"/>
          <w:szCs w:val="24"/>
          <w:highlight w:val="none"/>
          <w:lang w:val="zh-CN"/>
        </w:rPr>
      </w:pPr>
    </w:p>
    <w:p w14:paraId="0D744672">
      <w:pPr>
        <w:jc w:val="center"/>
        <w:rPr>
          <w:rFonts w:ascii="宋体" w:hAnsi="宋体" w:cs="宋体"/>
          <w:b/>
          <w:color w:val="auto"/>
          <w:kern w:val="0"/>
          <w:sz w:val="32"/>
          <w:szCs w:val="32"/>
          <w:highlight w:val="none"/>
        </w:rPr>
      </w:pPr>
    </w:p>
    <w:p w14:paraId="7C2CEB98">
      <w:pPr>
        <w:jc w:val="center"/>
        <w:rPr>
          <w:rFonts w:ascii="宋体" w:hAnsi="宋体" w:cs="宋体"/>
          <w:b/>
          <w:color w:val="auto"/>
          <w:kern w:val="0"/>
          <w:sz w:val="32"/>
          <w:szCs w:val="32"/>
          <w:highlight w:val="none"/>
        </w:rPr>
      </w:pPr>
    </w:p>
    <w:p w14:paraId="620C3489">
      <w:pPr>
        <w:jc w:val="center"/>
        <w:rPr>
          <w:rFonts w:ascii="宋体" w:hAnsi="宋体" w:cs="宋体"/>
          <w:b/>
          <w:color w:val="auto"/>
          <w:kern w:val="0"/>
          <w:sz w:val="32"/>
          <w:szCs w:val="32"/>
          <w:highlight w:val="none"/>
        </w:rPr>
      </w:pPr>
    </w:p>
    <w:p w14:paraId="2A1F9836">
      <w:pPr>
        <w:jc w:val="center"/>
        <w:rPr>
          <w:rFonts w:ascii="宋体" w:hAnsi="宋体" w:cs="宋体"/>
          <w:b/>
          <w:color w:val="auto"/>
          <w:kern w:val="0"/>
          <w:sz w:val="32"/>
          <w:szCs w:val="32"/>
          <w:highlight w:val="none"/>
        </w:rPr>
      </w:pPr>
    </w:p>
    <w:p w14:paraId="35A3AF74">
      <w:pPr>
        <w:jc w:val="center"/>
        <w:rPr>
          <w:rFonts w:ascii="宋体" w:hAnsi="宋体" w:cs="宋体"/>
          <w:b/>
          <w:color w:val="auto"/>
          <w:kern w:val="0"/>
          <w:sz w:val="32"/>
          <w:szCs w:val="32"/>
          <w:highlight w:val="none"/>
        </w:rPr>
      </w:pPr>
    </w:p>
    <w:p w14:paraId="4F37C062">
      <w:pPr>
        <w:jc w:val="center"/>
        <w:rPr>
          <w:rFonts w:ascii="宋体" w:hAnsi="宋体" w:cs="宋体"/>
          <w:b/>
          <w:color w:val="auto"/>
          <w:kern w:val="0"/>
          <w:sz w:val="32"/>
          <w:szCs w:val="32"/>
          <w:highlight w:val="none"/>
        </w:rPr>
      </w:pPr>
    </w:p>
    <w:p w14:paraId="2ABA2B5C">
      <w:pPr>
        <w:jc w:val="center"/>
        <w:rPr>
          <w:rFonts w:ascii="宋体" w:hAnsi="宋体" w:cs="宋体"/>
          <w:b/>
          <w:color w:val="auto"/>
          <w:kern w:val="0"/>
          <w:sz w:val="32"/>
          <w:szCs w:val="32"/>
          <w:highlight w:val="none"/>
        </w:rPr>
      </w:pPr>
    </w:p>
    <w:p w14:paraId="1A96BA59">
      <w:pPr>
        <w:jc w:val="center"/>
        <w:rPr>
          <w:rFonts w:ascii="宋体" w:hAnsi="宋体" w:cs="宋体"/>
          <w:b/>
          <w:color w:val="auto"/>
          <w:kern w:val="0"/>
          <w:sz w:val="32"/>
          <w:szCs w:val="32"/>
          <w:highlight w:val="none"/>
        </w:rPr>
      </w:pPr>
    </w:p>
    <w:p w14:paraId="26CBFD47">
      <w:pPr>
        <w:spacing w:line="360" w:lineRule="auto"/>
        <w:ind w:right="420"/>
        <w:jc w:val="both"/>
        <w:rPr>
          <w:rFonts w:hint="eastAsia" w:ascii="宋体" w:hAnsi="宋体" w:cs="宋体"/>
          <w:color w:val="auto"/>
          <w:sz w:val="24"/>
          <w:szCs w:val="24"/>
          <w:highlight w:val="none"/>
        </w:rPr>
        <w:sectPr>
          <w:headerReference r:id="rId15" w:type="first"/>
          <w:footerReference r:id="rId17" w:type="first"/>
          <w:headerReference r:id="rId14" w:type="default"/>
          <w:footerReference r:id="rId16" w:type="default"/>
          <w:pgSz w:w="11906" w:h="16838"/>
          <w:pgMar w:top="1134" w:right="1418" w:bottom="1134" w:left="1418" w:header="851" w:footer="992" w:gutter="0"/>
          <w:pgNumType w:fmt="decimal"/>
          <w:cols w:space="0" w:num="1"/>
          <w:rtlGutter w:val="0"/>
          <w:docGrid w:linePitch="312" w:charSpace="0"/>
        </w:sectPr>
      </w:pPr>
    </w:p>
    <w:p w14:paraId="2C6A99AA">
      <w:pPr>
        <w:keepNext w:val="0"/>
        <w:keepLines w:val="0"/>
        <w:pageBreakBefore w:val="0"/>
        <w:widowControl/>
        <w:kinsoku/>
        <w:wordWrap/>
        <w:overflowPunct/>
        <w:topLinePunct w:val="0"/>
        <w:bidi w:val="0"/>
        <w:adjustRightInd/>
        <w:spacing w:line="360" w:lineRule="auto"/>
        <w:jc w:val="center"/>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三、</w:t>
      </w:r>
      <w:r>
        <w:rPr>
          <w:rFonts w:hint="eastAsia" w:ascii="宋体" w:hAnsi="宋体" w:cs="宋体"/>
          <w:b/>
          <w:color w:val="auto"/>
          <w:kern w:val="0"/>
          <w:sz w:val="24"/>
          <w:szCs w:val="24"/>
          <w:highlight w:val="none"/>
          <w:lang w:val="zh-CN"/>
        </w:rPr>
        <w:t>政府采购供应商廉洁自律承诺书</w:t>
      </w:r>
    </w:p>
    <w:p w14:paraId="1CE473E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szCs w:val="24"/>
          <w:highlight w:val="none"/>
        </w:rPr>
      </w:pPr>
    </w:p>
    <w:p w14:paraId="7FDA975F">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15CED446">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14:paraId="467D6FA1">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555A7C09">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3F20E63F">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三、不向项目有关人员及部门提供有可能影响公正的宴请和健身娱乐等活动； </w:t>
      </w:r>
    </w:p>
    <w:p w14:paraId="2D2D23B7">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0167063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0788549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政府采购法》《</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招标投标法》</w:t>
      </w:r>
      <w:r>
        <w:rPr>
          <w:rFonts w:hint="eastAsia" w:ascii="宋体" w:hAnsi="宋体" w:cs="宋体"/>
          <w:color w:val="auto"/>
          <w:sz w:val="24"/>
          <w:szCs w:val="24"/>
          <w:highlight w:val="none"/>
          <w:lang w:val="zh-CN"/>
        </w:rPr>
        <w:t>《中华人民共和国民法典》</w:t>
      </w:r>
      <w:r>
        <w:rPr>
          <w:rFonts w:hint="eastAsia" w:ascii="宋体" w:hAnsi="宋体" w:cs="宋体"/>
          <w:color w:val="auto"/>
          <w:kern w:val="0"/>
          <w:sz w:val="24"/>
          <w:szCs w:val="24"/>
          <w:highlight w:val="none"/>
          <w:lang w:val="zh-CN"/>
        </w:rPr>
        <w:t xml:space="preserve">等法律法规，诚实守信，合法经营，坚决抵制各种违法违纪行为。 </w:t>
      </w:r>
    </w:p>
    <w:p w14:paraId="3234DDA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有权立即取消我单位投标、中标或在建项目的建设资格，有权拒绝我单位在一定时期内进入你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进行项目建设或其他经营活动，并通报市财政局。由此引起的相应损失均由我单位承担。</w:t>
      </w:r>
    </w:p>
    <w:p w14:paraId="0D228B6F">
      <w:pPr>
        <w:keepNext w:val="0"/>
        <w:keepLines w:val="0"/>
        <w:pageBreakBefore w:val="0"/>
        <w:kinsoku/>
        <w:wordWrap/>
        <w:overflowPunct/>
        <w:topLinePunct w:val="0"/>
        <w:autoSpaceDE w:val="0"/>
        <w:autoSpaceDN w:val="0"/>
        <w:bidi w:val="0"/>
        <w:spacing w:line="360" w:lineRule="auto"/>
        <w:ind w:left="2" w:firstLine="480" w:firstLineChars="200"/>
        <w:jc w:val="left"/>
        <w:textAlignment w:val="auto"/>
        <w:rPr>
          <w:rFonts w:ascii="宋体" w:hAnsi="宋体" w:cs="宋体"/>
          <w:color w:val="auto"/>
          <w:kern w:val="0"/>
          <w:sz w:val="24"/>
          <w:szCs w:val="24"/>
          <w:highlight w:val="none"/>
          <w:lang w:val="zh-CN"/>
        </w:rPr>
      </w:pPr>
    </w:p>
    <w:p w14:paraId="3B008EEC">
      <w:pPr>
        <w:keepNext w:val="0"/>
        <w:keepLines w:val="0"/>
        <w:pageBreakBefore w:val="0"/>
        <w:kinsoku/>
        <w:wordWrap/>
        <w:overflowPunct/>
        <w:topLinePunct w:val="0"/>
        <w:autoSpaceDE w:val="0"/>
        <w:autoSpaceDN w:val="0"/>
        <w:bidi w:val="0"/>
        <w:spacing w:line="360" w:lineRule="auto"/>
        <w:ind w:left="2" w:firstLine="480" w:firstLineChars="200"/>
        <w:jc w:val="left"/>
        <w:textAlignment w:val="auto"/>
        <w:rPr>
          <w:rFonts w:ascii="宋体" w:hAnsi="宋体" w:cs="宋体"/>
          <w:color w:val="auto"/>
          <w:kern w:val="0"/>
          <w:sz w:val="24"/>
          <w:szCs w:val="24"/>
          <w:highlight w:val="none"/>
          <w:lang w:val="zh-CN"/>
        </w:rPr>
      </w:pPr>
    </w:p>
    <w:p w14:paraId="504DBE52">
      <w:pPr>
        <w:keepNext w:val="0"/>
        <w:keepLines w:val="0"/>
        <w:pageBreakBefore w:val="0"/>
        <w:kinsoku/>
        <w:wordWrap/>
        <w:overflowPunct/>
        <w:topLinePunct w:val="0"/>
        <w:autoSpaceDE w:val="0"/>
        <w:autoSpaceDN w:val="0"/>
        <w:bidi w:val="0"/>
        <w:spacing w:line="360" w:lineRule="auto"/>
        <w:ind w:left="2" w:firstLine="480" w:firstLineChars="200"/>
        <w:jc w:val="left"/>
        <w:textAlignment w:val="auto"/>
        <w:rPr>
          <w:rFonts w:ascii="宋体" w:hAnsi="宋体" w:cs="宋体"/>
          <w:color w:val="auto"/>
          <w:kern w:val="0"/>
          <w:sz w:val="24"/>
          <w:szCs w:val="24"/>
          <w:highlight w:val="none"/>
          <w:lang w:val="zh-CN"/>
        </w:rPr>
      </w:pPr>
    </w:p>
    <w:p w14:paraId="344F72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228085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4C8BB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0C05F893">
      <w:pPr>
        <w:spacing w:line="360" w:lineRule="auto"/>
        <w:jc w:val="center"/>
        <w:rPr>
          <w:rFonts w:ascii="宋体" w:hAnsi="宋体" w:cs="宋体"/>
          <w:b/>
          <w:bCs/>
          <w:color w:val="auto"/>
          <w:sz w:val="24"/>
          <w:highlight w:val="none"/>
        </w:rPr>
      </w:pPr>
    </w:p>
    <w:p w14:paraId="323E2CF7">
      <w:pPr>
        <w:spacing w:line="360" w:lineRule="auto"/>
        <w:ind w:right="420"/>
        <w:rPr>
          <w:rFonts w:hint="eastAsia" w:ascii="宋体" w:hAnsi="宋体" w:cs="宋体"/>
          <w:color w:val="auto"/>
          <w:sz w:val="24"/>
          <w:highlight w:val="none"/>
        </w:rPr>
        <w:sectPr>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color w:val="auto"/>
          <w:sz w:val="24"/>
          <w:highlight w:val="none"/>
        </w:rPr>
        <w:t>注：按本格式和要求提供</w:t>
      </w:r>
    </w:p>
    <w:p w14:paraId="25D51FE7">
      <w:pPr>
        <w:numPr>
          <w:ilvl w:val="0"/>
          <w:numId w:val="0"/>
        </w:numPr>
        <w:spacing w:line="360" w:lineRule="auto"/>
        <w:jc w:val="center"/>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四、</w:t>
      </w:r>
      <w:r>
        <w:rPr>
          <w:rFonts w:hint="eastAsia" w:ascii="宋体" w:hAnsi="宋体" w:eastAsia="宋体" w:cs="宋体"/>
          <w:b/>
          <w:bCs w:val="0"/>
          <w:color w:val="auto"/>
          <w:kern w:val="0"/>
          <w:sz w:val="24"/>
          <w:szCs w:val="24"/>
          <w:highlight w:val="none"/>
          <w:lang w:val="en-US" w:eastAsia="zh-CN"/>
        </w:rPr>
        <w:t>供应商基本情况表</w:t>
      </w:r>
    </w:p>
    <w:tbl>
      <w:tblPr>
        <w:tblStyle w:val="64"/>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50"/>
        <w:gridCol w:w="1099"/>
        <w:gridCol w:w="1059"/>
        <w:gridCol w:w="538"/>
        <w:gridCol w:w="872"/>
        <w:gridCol w:w="1455"/>
        <w:gridCol w:w="728"/>
        <w:gridCol w:w="1123"/>
      </w:tblGrid>
      <w:tr w14:paraId="5056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3" w:hRule="atLeast"/>
          <w:jc w:val="center"/>
        </w:trPr>
        <w:tc>
          <w:tcPr>
            <w:tcW w:w="2250" w:type="dxa"/>
            <w:tcBorders>
              <w:top w:val="double" w:color="auto" w:sz="4" w:space="0"/>
              <w:left w:val="double" w:color="auto" w:sz="4" w:space="0"/>
              <w:bottom w:val="single" w:color="auto" w:sz="6" w:space="0"/>
              <w:right w:val="single" w:color="auto" w:sz="6" w:space="0"/>
            </w:tcBorders>
            <w:noWrap w:val="0"/>
            <w:vAlign w:val="center"/>
          </w:tcPr>
          <w:p w14:paraId="753E88FA">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874" w:type="dxa"/>
            <w:gridSpan w:val="7"/>
            <w:tcBorders>
              <w:top w:val="double" w:color="auto" w:sz="4" w:space="0"/>
              <w:left w:val="single" w:color="auto" w:sz="6" w:space="0"/>
              <w:bottom w:val="single" w:color="auto" w:sz="6" w:space="0"/>
              <w:right w:val="double" w:color="auto" w:sz="4" w:space="0"/>
            </w:tcBorders>
            <w:noWrap w:val="0"/>
            <w:vAlign w:val="center"/>
          </w:tcPr>
          <w:p w14:paraId="123E607C">
            <w:pPr>
              <w:spacing w:line="240" w:lineRule="exact"/>
              <w:jc w:val="center"/>
              <w:rPr>
                <w:rFonts w:hint="eastAsia" w:ascii="宋体" w:hAnsi="宋体" w:eastAsia="宋体" w:cs="宋体"/>
                <w:color w:val="auto"/>
                <w:sz w:val="24"/>
                <w:szCs w:val="24"/>
                <w:highlight w:val="none"/>
              </w:rPr>
            </w:pPr>
          </w:p>
        </w:tc>
      </w:tr>
      <w:tr w14:paraId="08B0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250" w:type="dxa"/>
            <w:tcBorders>
              <w:top w:val="single" w:color="auto" w:sz="6" w:space="0"/>
              <w:left w:val="double" w:color="auto" w:sz="4" w:space="0"/>
              <w:bottom w:val="single" w:color="auto" w:sz="6" w:space="0"/>
              <w:right w:val="single" w:color="auto" w:sz="6" w:space="0"/>
            </w:tcBorders>
            <w:noWrap w:val="0"/>
            <w:vAlign w:val="center"/>
          </w:tcPr>
          <w:p w14:paraId="5754BADF">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68" w:type="dxa"/>
            <w:gridSpan w:val="4"/>
            <w:tcBorders>
              <w:top w:val="single" w:color="auto" w:sz="6" w:space="0"/>
              <w:left w:val="single" w:color="auto" w:sz="6" w:space="0"/>
              <w:bottom w:val="single" w:color="auto" w:sz="6" w:space="0"/>
              <w:right w:val="single" w:color="auto" w:sz="6" w:space="0"/>
            </w:tcBorders>
            <w:noWrap w:val="0"/>
            <w:vAlign w:val="center"/>
          </w:tcPr>
          <w:p w14:paraId="2A843BFF">
            <w:pPr>
              <w:spacing w:line="240" w:lineRule="exact"/>
              <w:jc w:val="center"/>
              <w:rPr>
                <w:rFonts w:hint="eastAsia" w:ascii="宋体" w:hAnsi="宋体" w:eastAsia="宋体" w:cs="宋体"/>
                <w:color w:val="auto"/>
                <w:sz w:val="24"/>
                <w:szCs w:val="24"/>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61EB568">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851" w:type="dxa"/>
            <w:gridSpan w:val="2"/>
            <w:tcBorders>
              <w:top w:val="single" w:color="auto" w:sz="6" w:space="0"/>
              <w:left w:val="single" w:color="auto" w:sz="6" w:space="0"/>
              <w:bottom w:val="single" w:color="auto" w:sz="6" w:space="0"/>
              <w:right w:val="double" w:color="auto" w:sz="4" w:space="0"/>
            </w:tcBorders>
            <w:noWrap w:val="0"/>
            <w:vAlign w:val="center"/>
          </w:tcPr>
          <w:p w14:paraId="7D8BBDBB">
            <w:pPr>
              <w:spacing w:line="240" w:lineRule="exact"/>
              <w:jc w:val="center"/>
              <w:rPr>
                <w:rFonts w:hint="eastAsia" w:ascii="宋体" w:hAnsi="宋体" w:eastAsia="宋体" w:cs="宋体"/>
                <w:color w:val="auto"/>
                <w:sz w:val="24"/>
                <w:szCs w:val="24"/>
                <w:highlight w:val="none"/>
              </w:rPr>
            </w:pPr>
          </w:p>
        </w:tc>
      </w:tr>
      <w:tr w14:paraId="2CA6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250" w:type="dxa"/>
            <w:vMerge w:val="restart"/>
            <w:tcBorders>
              <w:top w:val="single" w:color="auto" w:sz="6" w:space="0"/>
              <w:left w:val="double" w:color="auto" w:sz="4" w:space="0"/>
              <w:bottom w:val="single" w:color="auto" w:sz="6" w:space="0"/>
              <w:right w:val="single" w:color="auto" w:sz="6" w:space="0"/>
            </w:tcBorders>
            <w:noWrap w:val="0"/>
            <w:vAlign w:val="center"/>
          </w:tcPr>
          <w:p w14:paraId="1AC1BED6">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99" w:type="dxa"/>
            <w:tcBorders>
              <w:top w:val="single" w:color="auto" w:sz="6" w:space="0"/>
              <w:left w:val="single" w:color="auto" w:sz="6" w:space="0"/>
              <w:bottom w:val="single" w:color="auto" w:sz="6" w:space="0"/>
              <w:right w:val="single" w:color="auto" w:sz="6" w:space="0"/>
            </w:tcBorders>
            <w:noWrap w:val="0"/>
            <w:vAlign w:val="center"/>
          </w:tcPr>
          <w:p w14:paraId="3BC9C0E1">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69" w:type="dxa"/>
            <w:gridSpan w:val="3"/>
            <w:tcBorders>
              <w:top w:val="single" w:color="auto" w:sz="6" w:space="0"/>
              <w:left w:val="single" w:color="auto" w:sz="6" w:space="0"/>
              <w:bottom w:val="single" w:color="auto" w:sz="6" w:space="0"/>
              <w:right w:val="single" w:color="auto" w:sz="6" w:space="0"/>
            </w:tcBorders>
            <w:noWrap w:val="0"/>
            <w:vAlign w:val="center"/>
          </w:tcPr>
          <w:p w14:paraId="4E6D9900">
            <w:pPr>
              <w:spacing w:line="240" w:lineRule="exact"/>
              <w:jc w:val="center"/>
              <w:rPr>
                <w:rFonts w:hint="eastAsia" w:ascii="宋体" w:hAnsi="宋体" w:eastAsia="宋体" w:cs="宋体"/>
                <w:color w:val="auto"/>
                <w:sz w:val="24"/>
                <w:szCs w:val="24"/>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F5655DD">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51" w:type="dxa"/>
            <w:gridSpan w:val="2"/>
            <w:tcBorders>
              <w:top w:val="single" w:color="auto" w:sz="6" w:space="0"/>
              <w:left w:val="single" w:color="auto" w:sz="6" w:space="0"/>
              <w:bottom w:val="single" w:color="auto" w:sz="6" w:space="0"/>
              <w:right w:val="double" w:color="auto" w:sz="4" w:space="0"/>
            </w:tcBorders>
            <w:noWrap w:val="0"/>
            <w:vAlign w:val="center"/>
          </w:tcPr>
          <w:p w14:paraId="75003179">
            <w:pPr>
              <w:spacing w:line="240" w:lineRule="exact"/>
              <w:jc w:val="center"/>
              <w:rPr>
                <w:rFonts w:hint="eastAsia" w:ascii="宋体" w:hAnsi="宋体" w:eastAsia="宋体" w:cs="宋体"/>
                <w:color w:val="auto"/>
                <w:sz w:val="24"/>
                <w:szCs w:val="24"/>
                <w:highlight w:val="none"/>
              </w:rPr>
            </w:pPr>
          </w:p>
        </w:tc>
      </w:tr>
      <w:tr w14:paraId="7577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250" w:type="dxa"/>
            <w:vMerge w:val="continue"/>
            <w:tcBorders>
              <w:top w:val="single" w:color="auto" w:sz="6" w:space="0"/>
              <w:left w:val="double" w:color="auto" w:sz="4" w:space="0"/>
              <w:bottom w:val="single" w:color="auto" w:sz="6" w:space="0"/>
              <w:right w:val="single" w:color="auto" w:sz="6" w:space="0"/>
            </w:tcBorders>
            <w:noWrap w:val="0"/>
            <w:vAlign w:val="center"/>
          </w:tcPr>
          <w:p w14:paraId="1F3E3F4D">
            <w:pPr>
              <w:spacing w:line="240" w:lineRule="exact"/>
              <w:jc w:val="center"/>
              <w:rPr>
                <w:rFonts w:hint="eastAsia" w:ascii="宋体" w:hAnsi="宋体" w:eastAsia="宋体" w:cs="宋体"/>
                <w:color w:val="auto"/>
                <w:sz w:val="24"/>
                <w:szCs w:val="24"/>
                <w:highlight w:val="none"/>
              </w:rPr>
            </w:pPr>
          </w:p>
        </w:tc>
        <w:tc>
          <w:tcPr>
            <w:tcW w:w="1099" w:type="dxa"/>
            <w:tcBorders>
              <w:top w:val="single" w:color="auto" w:sz="6" w:space="0"/>
              <w:left w:val="single" w:color="auto" w:sz="6" w:space="0"/>
              <w:bottom w:val="single" w:color="auto" w:sz="6" w:space="0"/>
              <w:right w:val="single" w:color="auto" w:sz="6" w:space="0"/>
            </w:tcBorders>
            <w:noWrap w:val="0"/>
            <w:vAlign w:val="center"/>
          </w:tcPr>
          <w:p w14:paraId="1628E0C8">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69" w:type="dxa"/>
            <w:gridSpan w:val="3"/>
            <w:tcBorders>
              <w:top w:val="single" w:color="auto" w:sz="6" w:space="0"/>
              <w:left w:val="single" w:color="auto" w:sz="6" w:space="0"/>
              <w:bottom w:val="single" w:color="auto" w:sz="6" w:space="0"/>
              <w:right w:val="single" w:color="auto" w:sz="6" w:space="0"/>
            </w:tcBorders>
            <w:noWrap w:val="0"/>
            <w:vAlign w:val="center"/>
          </w:tcPr>
          <w:p w14:paraId="0079D46B">
            <w:pPr>
              <w:spacing w:line="240" w:lineRule="exact"/>
              <w:jc w:val="center"/>
              <w:rPr>
                <w:rFonts w:hint="eastAsia" w:ascii="宋体" w:hAnsi="宋体" w:eastAsia="宋体" w:cs="宋体"/>
                <w:color w:val="auto"/>
                <w:sz w:val="24"/>
                <w:szCs w:val="24"/>
                <w:highlight w:val="none"/>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0D78B61A">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w:t>
            </w:r>
          </w:p>
        </w:tc>
        <w:tc>
          <w:tcPr>
            <w:tcW w:w="1851" w:type="dxa"/>
            <w:gridSpan w:val="2"/>
            <w:tcBorders>
              <w:top w:val="single" w:color="auto" w:sz="6" w:space="0"/>
              <w:left w:val="single" w:color="auto" w:sz="6" w:space="0"/>
              <w:bottom w:val="single" w:color="auto" w:sz="6" w:space="0"/>
              <w:right w:val="double" w:color="auto" w:sz="4" w:space="0"/>
            </w:tcBorders>
            <w:noWrap w:val="0"/>
            <w:vAlign w:val="center"/>
          </w:tcPr>
          <w:p w14:paraId="68D20DA3">
            <w:pPr>
              <w:spacing w:line="240" w:lineRule="exact"/>
              <w:jc w:val="center"/>
              <w:rPr>
                <w:rFonts w:hint="eastAsia" w:ascii="宋体" w:hAnsi="宋体" w:eastAsia="宋体" w:cs="宋体"/>
                <w:color w:val="auto"/>
                <w:sz w:val="24"/>
                <w:szCs w:val="24"/>
                <w:highlight w:val="none"/>
              </w:rPr>
            </w:pPr>
          </w:p>
        </w:tc>
      </w:tr>
      <w:tr w14:paraId="3038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250" w:type="dxa"/>
            <w:tcBorders>
              <w:top w:val="single" w:color="auto" w:sz="6" w:space="0"/>
              <w:left w:val="double" w:color="auto" w:sz="4" w:space="0"/>
              <w:bottom w:val="single" w:color="auto" w:sz="6" w:space="0"/>
              <w:right w:val="single" w:color="auto" w:sz="6" w:space="0"/>
            </w:tcBorders>
            <w:noWrap w:val="0"/>
            <w:vAlign w:val="center"/>
          </w:tcPr>
          <w:p w14:paraId="6BD37F7A">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99" w:type="dxa"/>
            <w:tcBorders>
              <w:top w:val="single" w:color="auto" w:sz="6" w:space="0"/>
              <w:left w:val="single" w:color="auto" w:sz="6" w:space="0"/>
              <w:bottom w:val="single" w:color="auto" w:sz="6" w:space="0"/>
              <w:right w:val="single" w:color="auto" w:sz="6" w:space="0"/>
            </w:tcBorders>
            <w:noWrap w:val="0"/>
            <w:vAlign w:val="center"/>
          </w:tcPr>
          <w:p w14:paraId="13F480E2">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020F08CC">
            <w:pPr>
              <w:spacing w:line="240" w:lineRule="exact"/>
              <w:jc w:val="center"/>
              <w:rPr>
                <w:rFonts w:hint="eastAsia" w:ascii="宋体" w:hAnsi="宋体" w:eastAsia="宋体" w:cs="宋体"/>
                <w:color w:val="auto"/>
                <w:sz w:val="24"/>
                <w:szCs w:val="24"/>
                <w:highlight w:val="none"/>
              </w:rPr>
            </w:pPr>
          </w:p>
        </w:tc>
        <w:tc>
          <w:tcPr>
            <w:tcW w:w="1410" w:type="dxa"/>
            <w:gridSpan w:val="2"/>
            <w:tcBorders>
              <w:top w:val="single" w:color="auto" w:sz="6" w:space="0"/>
              <w:left w:val="single" w:color="auto" w:sz="6" w:space="0"/>
              <w:bottom w:val="single" w:color="auto" w:sz="6" w:space="0"/>
              <w:right w:val="single" w:color="auto" w:sz="6" w:space="0"/>
            </w:tcBorders>
            <w:noWrap w:val="0"/>
            <w:vAlign w:val="center"/>
          </w:tcPr>
          <w:p w14:paraId="3675C083">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A6AACB6">
            <w:pPr>
              <w:spacing w:line="240" w:lineRule="exact"/>
              <w:jc w:val="center"/>
              <w:rPr>
                <w:rFonts w:hint="eastAsia" w:ascii="宋体" w:hAnsi="宋体" w:eastAsia="宋体" w:cs="宋体"/>
                <w:color w:val="auto"/>
                <w:sz w:val="24"/>
                <w:szCs w:val="24"/>
                <w:highlight w:val="none"/>
              </w:rPr>
            </w:pPr>
          </w:p>
        </w:tc>
        <w:tc>
          <w:tcPr>
            <w:tcW w:w="728" w:type="dxa"/>
            <w:tcBorders>
              <w:top w:val="single" w:color="auto" w:sz="6" w:space="0"/>
              <w:left w:val="single" w:color="auto" w:sz="6" w:space="0"/>
              <w:bottom w:val="single" w:color="auto" w:sz="6" w:space="0"/>
              <w:right w:val="single" w:color="auto" w:sz="6" w:space="0"/>
            </w:tcBorders>
            <w:noWrap w:val="0"/>
            <w:vAlign w:val="center"/>
          </w:tcPr>
          <w:p w14:paraId="0D7F42F8">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123" w:type="dxa"/>
            <w:tcBorders>
              <w:top w:val="single" w:color="auto" w:sz="6" w:space="0"/>
              <w:left w:val="single" w:color="auto" w:sz="6" w:space="0"/>
              <w:bottom w:val="single" w:color="auto" w:sz="6" w:space="0"/>
              <w:right w:val="double" w:color="auto" w:sz="4" w:space="0"/>
            </w:tcBorders>
            <w:noWrap w:val="0"/>
            <w:vAlign w:val="center"/>
          </w:tcPr>
          <w:p w14:paraId="00DE0156">
            <w:pPr>
              <w:spacing w:line="240" w:lineRule="exact"/>
              <w:jc w:val="center"/>
              <w:rPr>
                <w:rFonts w:hint="eastAsia" w:ascii="宋体" w:hAnsi="宋体" w:eastAsia="宋体" w:cs="宋体"/>
                <w:color w:val="auto"/>
                <w:sz w:val="24"/>
                <w:szCs w:val="24"/>
                <w:highlight w:val="none"/>
              </w:rPr>
            </w:pPr>
          </w:p>
        </w:tc>
      </w:tr>
      <w:tr w14:paraId="10BA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250" w:type="dxa"/>
            <w:tcBorders>
              <w:top w:val="single" w:color="auto" w:sz="6" w:space="0"/>
              <w:left w:val="double" w:color="auto" w:sz="4" w:space="0"/>
              <w:bottom w:val="single" w:color="auto" w:sz="6" w:space="0"/>
              <w:right w:val="single" w:color="auto" w:sz="6" w:space="0"/>
            </w:tcBorders>
            <w:noWrap w:val="0"/>
            <w:vAlign w:val="center"/>
          </w:tcPr>
          <w:p w14:paraId="2A465A54">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99" w:type="dxa"/>
            <w:tcBorders>
              <w:top w:val="single" w:color="auto" w:sz="6" w:space="0"/>
              <w:left w:val="single" w:color="auto" w:sz="6" w:space="0"/>
              <w:bottom w:val="single" w:color="auto" w:sz="6" w:space="0"/>
              <w:right w:val="single" w:color="auto" w:sz="6" w:space="0"/>
            </w:tcBorders>
            <w:noWrap w:val="0"/>
            <w:vAlign w:val="center"/>
          </w:tcPr>
          <w:p w14:paraId="76862248">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59" w:type="dxa"/>
            <w:tcBorders>
              <w:top w:val="single" w:color="auto" w:sz="6" w:space="0"/>
              <w:left w:val="single" w:color="auto" w:sz="6" w:space="0"/>
              <w:bottom w:val="single" w:color="auto" w:sz="6" w:space="0"/>
              <w:right w:val="single" w:color="auto" w:sz="6" w:space="0"/>
            </w:tcBorders>
            <w:noWrap w:val="0"/>
            <w:vAlign w:val="center"/>
          </w:tcPr>
          <w:p w14:paraId="069C2207">
            <w:pPr>
              <w:spacing w:line="240" w:lineRule="exact"/>
              <w:jc w:val="center"/>
              <w:rPr>
                <w:rFonts w:hint="eastAsia" w:ascii="宋体" w:hAnsi="宋体" w:eastAsia="宋体" w:cs="宋体"/>
                <w:color w:val="auto"/>
                <w:sz w:val="24"/>
                <w:szCs w:val="24"/>
                <w:highlight w:val="none"/>
              </w:rPr>
            </w:pPr>
          </w:p>
        </w:tc>
        <w:tc>
          <w:tcPr>
            <w:tcW w:w="1410" w:type="dxa"/>
            <w:gridSpan w:val="2"/>
            <w:tcBorders>
              <w:top w:val="single" w:color="auto" w:sz="6" w:space="0"/>
              <w:left w:val="single" w:color="auto" w:sz="6" w:space="0"/>
              <w:bottom w:val="single" w:color="auto" w:sz="6" w:space="0"/>
              <w:right w:val="single" w:color="auto" w:sz="6" w:space="0"/>
            </w:tcBorders>
            <w:noWrap w:val="0"/>
            <w:vAlign w:val="center"/>
          </w:tcPr>
          <w:p w14:paraId="1DEA27C7">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7E55B5EA">
            <w:pPr>
              <w:spacing w:line="240" w:lineRule="exact"/>
              <w:jc w:val="center"/>
              <w:rPr>
                <w:rFonts w:hint="eastAsia" w:ascii="宋体" w:hAnsi="宋体" w:eastAsia="宋体" w:cs="宋体"/>
                <w:color w:val="auto"/>
                <w:sz w:val="24"/>
                <w:szCs w:val="24"/>
                <w:highlight w:val="none"/>
              </w:rPr>
            </w:pPr>
          </w:p>
        </w:tc>
        <w:tc>
          <w:tcPr>
            <w:tcW w:w="728" w:type="dxa"/>
            <w:tcBorders>
              <w:top w:val="single" w:color="auto" w:sz="6" w:space="0"/>
              <w:left w:val="single" w:color="auto" w:sz="6" w:space="0"/>
              <w:bottom w:val="single" w:color="auto" w:sz="6" w:space="0"/>
              <w:right w:val="single" w:color="auto" w:sz="6" w:space="0"/>
            </w:tcBorders>
            <w:noWrap w:val="0"/>
            <w:vAlign w:val="center"/>
          </w:tcPr>
          <w:p w14:paraId="1470EBD7">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123" w:type="dxa"/>
            <w:tcBorders>
              <w:top w:val="single" w:color="auto" w:sz="6" w:space="0"/>
              <w:left w:val="single" w:color="auto" w:sz="6" w:space="0"/>
              <w:bottom w:val="single" w:color="auto" w:sz="6" w:space="0"/>
              <w:right w:val="double" w:color="auto" w:sz="4" w:space="0"/>
            </w:tcBorders>
            <w:noWrap w:val="0"/>
            <w:vAlign w:val="center"/>
          </w:tcPr>
          <w:p w14:paraId="35A6CDBC">
            <w:pPr>
              <w:spacing w:line="240" w:lineRule="exact"/>
              <w:jc w:val="center"/>
              <w:rPr>
                <w:rFonts w:hint="eastAsia" w:ascii="宋体" w:hAnsi="宋体" w:eastAsia="宋体" w:cs="宋体"/>
                <w:color w:val="auto"/>
                <w:sz w:val="24"/>
                <w:szCs w:val="24"/>
                <w:highlight w:val="none"/>
              </w:rPr>
            </w:pPr>
          </w:p>
        </w:tc>
      </w:tr>
      <w:tr w14:paraId="6EA5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250" w:type="dxa"/>
            <w:tcBorders>
              <w:top w:val="single" w:color="auto" w:sz="6" w:space="0"/>
              <w:left w:val="double" w:color="auto" w:sz="4" w:space="0"/>
              <w:bottom w:val="single" w:color="auto" w:sz="6" w:space="0"/>
              <w:right w:val="single" w:color="auto" w:sz="6" w:space="0"/>
            </w:tcBorders>
            <w:noWrap w:val="0"/>
            <w:vAlign w:val="center"/>
          </w:tcPr>
          <w:p w14:paraId="71FBE0FF">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158" w:type="dxa"/>
            <w:gridSpan w:val="2"/>
            <w:tcBorders>
              <w:top w:val="single" w:color="auto" w:sz="6" w:space="0"/>
              <w:left w:val="single" w:color="auto" w:sz="6" w:space="0"/>
              <w:bottom w:val="single" w:color="auto" w:sz="6" w:space="0"/>
              <w:right w:val="single" w:color="auto" w:sz="6" w:space="0"/>
            </w:tcBorders>
            <w:noWrap w:val="0"/>
            <w:vAlign w:val="center"/>
          </w:tcPr>
          <w:p w14:paraId="284197CC">
            <w:pPr>
              <w:spacing w:line="240" w:lineRule="exact"/>
              <w:jc w:val="center"/>
              <w:rPr>
                <w:rFonts w:hint="eastAsia" w:ascii="宋体" w:hAnsi="宋体" w:eastAsia="宋体" w:cs="宋体"/>
                <w:color w:val="auto"/>
                <w:sz w:val="24"/>
                <w:szCs w:val="24"/>
                <w:highlight w:val="none"/>
              </w:rPr>
            </w:pPr>
          </w:p>
        </w:tc>
        <w:tc>
          <w:tcPr>
            <w:tcW w:w="4716" w:type="dxa"/>
            <w:gridSpan w:val="5"/>
            <w:tcBorders>
              <w:top w:val="single" w:color="auto" w:sz="6" w:space="0"/>
              <w:left w:val="single" w:color="auto" w:sz="6" w:space="0"/>
              <w:bottom w:val="single" w:color="auto" w:sz="6" w:space="0"/>
              <w:right w:val="double" w:color="auto" w:sz="4" w:space="0"/>
            </w:tcBorders>
            <w:noWrap w:val="0"/>
            <w:vAlign w:val="center"/>
          </w:tcPr>
          <w:p w14:paraId="3EBDFF08">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324B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250" w:type="dxa"/>
            <w:tcBorders>
              <w:top w:val="single" w:color="auto" w:sz="6" w:space="0"/>
              <w:left w:val="double" w:color="auto" w:sz="4" w:space="0"/>
              <w:bottom w:val="single" w:color="auto" w:sz="6" w:space="0"/>
              <w:right w:val="single" w:color="auto" w:sz="6" w:space="0"/>
            </w:tcBorders>
            <w:noWrap w:val="0"/>
            <w:vAlign w:val="center"/>
          </w:tcPr>
          <w:p w14:paraId="3F944AE3">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企业资质等级（如有）</w:t>
            </w:r>
          </w:p>
        </w:tc>
        <w:tc>
          <w:tcPr>
            <w:tcW w:w="2158" w:type="dxa"/>
            <w:gridSpan w:val="2"/>
            <w:tcBorders>
              <w:top w:val="single" w:color="auto" w:sz="6" w:space="0"/>
              <w:left w:val="single" w:color="auto" w:sz="6" w:space="0"/>
              <w:bottom w:val="single" w:color="auto" w:sz="6" w:space="0"/>
              <w:right w:val="single" w:color="auto" w:sz="6" w:space="0"/>
            </w:tcBorders>
            <w:noWrap w:val="0"/>
            <w:vAlign w:val="center"/>
          </w:tcPr>
          <w:p w14:paraId="56BFD244">
            <w:pPr>
              <w:spacing w:line="240" w:lineRule="exact"/>
              <w:jc w:val="center"/>
              <w:rPr>
                <w:rFonts w:hint="eastAsia" w:ascii="宋体" w:hAnsi="宋体" w:eastAsia="宋体" w:cs="宋体"/>
                <w:color w:val="auto"/>
                <w:sz w:val="24"/>
                <w:szCs w:val="24"/>
                <w:highlight w:val="none"/>
              </w:rPr>
            </w:pPr>
          </w:p>
        </w:tc>
        <w:tc>
          <w:tcPr>
            <w:tcW w:w="538" w:type="dxa"/>
            <w:vMerge w:val="restart"/>
            <w:tcBorders>
              <w:top w:val="single" w:color="auto" w:sz="6" w:space="0"/>
              <w:left w:val="single" w:color="auto" w:sz="6" w:space="0"/>
              <w:bottom w:val="single" w:color="auto" w:sz="6" w:space="0"/>
              <w:right w:val="single" w:color="auto" w:sz="6" w:space="0"/>
            </w:tcBorders>
            <w:noWrap w:val="0"/>
            <w:vAlign w:val="center"/>
          </w:tcPr>
          <w:p w14:paraId="5720057E">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327" w:type="dxa"/>
            <w:gridSpan w:val="2"/>
            <w:tcBorders>
              <w:top w:val="single" w:color="auto" w:sz="6" w:space="0"/>
              <w:left w:val="single" w:color="auto" w:sz="6" w:space="0"/>
              <w:bottom w:val="single" w:color="auto" w:sz="6" w:space="0"/>
              <w:right w:val="single" w:color="auto" w:sz="6" w:space="0"/>
            </w:tcBorders>
            <w:noWrap w:val="0"/>
            <w:vAlign w:val="center"/>
          </w:tcPr>
          <w:p w14:paraId="2433F3DB">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w:t>
            </w:r>
          </w:p>
        </w:tc>
        <w:tc>
          <w:tcPr>
            <w:tcW w:w="1851" w:type="dxa"/>
            <w:gridSpan w:val="2"/>
            <w:tcBorders>
              <w:top w:val="single" w:color="auto" w:sz="6" w:space="0"/>
              <w:left w:val="single" w:color="auto" w:sz="6" w:space="0"/>
              <w:bottom w:val="single" w:color="auto" w:sz="6" w:space="0"/>
              <w:right w:val="double" w:color="auto" w:sz="4" w:space="0"/>
            </w:tcBorders>
            <w:noWrap w:val="0"/>
            <w:vAlign w:val="center"/>
          </w:tcPr>
          <w:p w14:paraId="228ABFC7">
            <w:pPr>
              <w:spacing w:line="240" w:lineRule="exact"/>
              <w:jc w:val="center"/>
              <w:rPr>
                <w:rFonts w:hint="eastAsia" w:ascii="宋体" w:hAnsi="宋体" w:eastAsia="宋体" w:cs="宋体"/>
                <w:color w:val="auto"/>
                <w:sz w:val="24"/>
                <w:szCs w:val="24"/>
                <w:highlight w:val="none"/>
              </w:rPr>
            </w:pPr>
          </w:p>
        </w:tc>
      </w:tr>
      <w:tr w14:paraId="0B03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250" w:type="dxa"/>
            <w:tcBorders>
              <w:top w:val="single" w:color="auto" w:sz="6" w:space="0"/>
              <w:left w:val="double" w:color="auto" w:sz="4" w:space="0"/>
              <w:bottom w:val="single" w:color="auto" w:sz="6" w:space="0"/>
              <w:right w:val="single" w:color="auto" w:sz="6" w:space="0"/>
            </w:tcBorders>
            <w:noWrap w:val="0"/>
            <w:vAlign w:val="center"/>
          </w:tcPr>
          <w:p w14:paraId="3F593B6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营业执照（法人证书）号</w:t>
            </w:r>
          </w:p>
        </w:tc>
        <w:tc>
          <w:tcPr>
            <w:tcW w:w="2158" w:type="dxa"/>
            <w:gridSpan w:val="2"/>
            <w:tcBorders>
              <w:top w:val="single" w:color="auto" w:sz="6" w:space="0"/>
              <w:left w:val="single" w:color="auto" w:sz="6" w:space="0"/>
              <w:bottom w:val="single" w:color="auto" w:sz="6" w:space="0"/>
              <w:right w:val="single" w:color="auto" w:sz="6" w:space="0"/>
            </w:tcBorders>
            <w:noWrap w:val="0"/>
            <w:vAlign w:val="center"/>
          </w:tcPr>
          <w:p w14:paraId="03D5BF52">
            <w:pPr>
              <w:spacing w:line="240" w:lineRule="exact"/>
              <w:jc w:val="center"/>
              <w:rPr>
                <w:rFonts w:hint="eastAsia" w:ascii="宋体" w:hAnsi="宋体" w:eastAsia="宋体" w:cs="宋体"/>
                <w:color w:val="auto"/>
                <w:sz w:val="24"/>
                <w:szCs w:val="24"/>
                <w:highlight w:val="none"/>
              </w:rPr>
            </w:pPr>
          </w:p>
        </w:tc>
        <w:tc>
          <w:tcPr>
            <w:tcW w:w="538" w:type="dxa"/>
            <w:vMerge w:val="continue"/>
            <w:tcBorders>
              <w:top w:val="single" w:color="auto" w:sz="6" w:space="0"/>
              <w:left w:val="single" w:color="auto" w:sz="6" w:space="0"/>
              <w:bottom w:val="single" w:color="auto" w:sz="6" w:space="0"/>
              <w:right w:val="single" w:color="auto" w:sz="6" w:space="0"/>
            </w:tcBorders>
            <w:noWrap w:val="0"/>
            <w:vAlign w:val="center"/>
          </w:tcPr>
          <w:p w14:paraId="7890B071">
            <w:pPr>
              <w:spacing w:line="240" w:lineRule="exact"/>
              <w:jc w:val="center"/>
              <w:rPr>
                <w:rFonts w:hint="eastAsia" w:ascii="宋体" w:hAnsi="宋体" w:eastAsia="宋体" w:cs="宋体"/>
                <w:color w:val="auto"/>
                <w:sz w:val="24"/>
                <w:szCs w:val="24"/>
                <w:highlight w:val="none"/>
              </w:rPr>
            </w:pPr>
          </w:p>
        </w:tc>
        <w:tc>
          <w:tcPr>
            <w:tcW w:w="2327" w:type="dxa"/>
            <w:gridSpan w:val="2"/>
            <w:tcBorders>
              <w:top w:val="single" w:color="auto" w:sz="6" w:space="0"/>
              <w:left w:val="single" w:color="auto" w:sz="6" w:space="0"/>
              <w:bottom w:val="single" w:color="auto" w:sz="6" w:space="0"/>
              <w:right w:val="single" w:color="auto" w:sz="6" w:space="0"/>
            </w:tcBorders>
            <w:noWrap w:val="0"/>
            <w:vAlign w:val="center"/>
          </w:tcPr>
          <w:p w14:paraId="01F296F7">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w:t>
            </w:r>
          </w:p>
        </w:tc>
        <w:tc>
          <w:tcPr>
            <w:tcW w:w="1851" w:type="dxa"/>
            <w:gridSpan w:val="2"/>
            <w:tcBorders>
              <w:top w:val="single" w:color="auto" w:sz="6" w:space="0"/>
              <w:left w:val="single" w:color="auto" w:sz="6" w:space="0"/>
              <w:bottom w:val="single" w:color="auto" w:sz="6" w:space="0"/>
              <w:right w:val="double" w:color="auto" w:sz="4" w:space="0"/>
            </w:tcBorders>
            <w:noWrap w:val="0"/>
            <w:vAlign w:val="center"/>
          </w:tcPr>
          <w:p w14:paraId="558F0A73">
            <w:pPr>
              <w:spacing w:line="240" w:lineRule="exact"/>
              <w:jc w:val="center"/>
              <w:rPr>
                <w:rFonts w:hint="eastAsia" w:ascii="宋体" w:hAnsi="宋体" w:eastAsia="宋体" w:cs="宋体"/>
                <w:color w:val="auto"/>
                <w:sz w:val="24"/>
                <w:szCs w:val="24"/>
                <w:highlight w:val="none"/>
              </w:rPr>
            </w:pPr>
          </w:p>
        </w:tc>
      </w:tr>
      <w:tr w14:paraId="3E14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250" w:type="dxa"/>
            <w:tcBorders>
              <w:top w:val="single" w:color="auto" w:sz="6" w:space="0"/>
              <w:left w:val="double" w:color="auto" w:sz="4" w:space="0"/>
              <w:bottom w:val="single" w:color="auto" w:sz="4" w:space="0"/>
              <w:right w:val="single" w:color="auto" w:sz="6" w:space="0"/>
            </w:tcBorders>
            <w:noWrap w:val="0"/>
            <w:vAlign w:val="center"/>
          </w:tcPr>
          <w:p w14:paraId="0F63D43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158" w:type="dxa"/>
            <w:gridSpan w:val="2"/>
            <w:tcBorders>
              <w:top w:val="single" w:color="auto" w:sz="6" w:space="0"/>
              <w:left w:val="single" w:color="auto" w:sz="6" w:space="0"/>
              <w:bottom w:val="single" w:color="auto" w:sz="4" w:space="0"/>
              <w:right w:val="single" w:color="auto" w:sz="6" w:space="0"/>
            </w:tcBorders>
            <w:noWrap w:val="0"/>
            <w:vAlign w:val="center"/>
          </w:tcPr>
          <w:p w14:paraId="6478DCAC">
            <w:pPr>
              <w:spacing w:line="240" w:lineRule="exact"/>
              <w:jc w:val="center"/>
              <w:rPr>
                <w:rFonts w:hint="eastAsia" w:ascii="宋体" w:hAnsi="宋体" w:eastAsia="宋体" w:cs="宋体"/>
                <w:color w:val="auto"/>
                <w:sz w:val="24"/>
                <w:szCs w:val="24"/>
                <w:highlight w:val="none"/>
              </w:rPr>
            </w:pPr>
          </w:p>
        </w:tc>
        <w:tc>
          <w:tcPr>
            <w:tcW w:w="538" w:type="dxa"/>
            <w:vMerge w:val="continue"/>
            <w:tcBorders>
              <w:top w:val="single" w:color="auto" w:sz="6" w:space="0"/>
              <w:left w:val="single" w:color="auto" w:sz="6" w:space="0"/>
              <w:bottom w:val="single" w:color="auto" w:sz="4" w:space="0"/>
              <w:right w:val="single" w:color="auto" w:sz="6" w:space="0"/>
            </w:tcBorders>
            <w:noWrap w:val="0"/>
            <w:vAlign w:val="center"/>
          </w:tcPr>
          <w:p w14:paraId="2356C40E">
            <w:pPr>
              <w:spacing w:line="240" w:lineRule="exact"/>
              <w:jc w:val="center"/>
              <w:rPr>
                <w:rFonts w:hint="eastAsia" w:ascii="宋体" w:hAnsi="宋体" w:eastAsia="宋体" w:cs="宋体"/>
                <w:color w:val="auto"/>
                <w:sz w:val="24"/>
                <w:szCs w:val="24"/>
                <w:highlight w:val="none"/>
              </w:rPr>
            </w:pPr>
          </w:p>
        </w:tc>
        <w:tc>
          <w:tcPr>
            <w:tcW w:w="2327" w:type="dxa"/>
            <w:gridSpan w:val="2"/>
            <w:tcBorders>
              <w:top w:val="single" w:color="auto" w:sz="6" w:space="0"/>
              <w:left w:val="single" w:color="auto" w:sz="6" w:space="0"/>
              <w:bottom w:val="single" w:color="auto" w:sz="4" w:space="0"/>
              <w:right w:val="single" w:color="auto" w:sz="6" w:space="0"/>
            </w:tcBorders>
            <w:noWrap w:val="0"/>
            <w:vAlign w:val="center"/>
          </w:tcPr>
          <w:p w14:paraId="0DE5120C">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851" w:type="dxa"/>
            <w:gridSpan w:val="2"/>
            <w:tcBorders>
              <w:top w:val="single" w:color="auto" w:sz="6" w:space="0"/>
              <w:left w:val="single" w:color="auto" w:sz="6" w:space="0"/>
              <w:bottom w:val="single" w:color="auto" w:sz="6" w:space="0"/>
              <w:right w:val="double" w:color="auto" w:sz="4" w:space="0"/>
            </w:tcBorders>
            <w:noWrap w:val="0"/>
            <w:vAlign w:val="center"/>
          </w:tcPr>
          <w:p w14:paraId="23859ABD">
            <w:pPr>
              <w:spacing w:line="240" w:lineRule="exact"/>
              <w:jc w:val="center"/>
              <w:rPr>
                <w:rFonts w:hint="eastAsia" w:ascii="宋体" w:hAnsi="宋体" w:eastAsia="宋体" w:cs="宋体"/>
                <w:color w:val="auto"/>
                <w:sz w:val="24"/>
                <w:szCs w:val="24"/>
                <w:highlight w:val="none"/>
              </w:rPr>
            </w:pPr>
          </w:p>
        </w:tc>
      </w:tr>
      <w:tr w14:paraId="04FA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250" w:type="dxa"/>
            <w:tcBorders>
              <w:top w:val="single" w:color="auto" w:sz="6" w:space="0"/>
              <w:left w:val="double" w:color="auto" w:sz="4" w:space="0"/>
              <w:bottom w:val="single" w:color="auto" w:sz="6" w:space="0"/>
              <w:right w:val="single" w:color="auto" w:sz="6" w:space="0"/>
            </w:tcBorders>
            <w:noWrap w:val="0"/>
            <w:vAlign w:val="center"/>
          </w:tcPr>
          <w:p w14:paraId="5E87BDD2">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基本帐户开户银行</w:t>
            </w:r>
          </w:p>
        </w:tc>
        <w:tc>
          <w:tcPr>
            <w:tcW w:w="6874" w:type="dxa"/>
            <w:gridSpan w:val="7"/>
            <w:tcBorders>
              <w:top w:val="single" w:color="auto" w:sz="6" w:space="0"/>
              <w:left w:val="single" w:color="auto" w:sz="6" w:space="0"/>
              <w:bottom w:val="single" w:color="auto" w:sz="6" w:space="0"/>
              <w:right w:val="double" w:color="auto" w:sz="4" w:space="0"/>
            </w:tcBorders>
            <w:noWrap w:val="0"/>
            <w:vAlign w:val="center"/>
          </w:tcPr>
          <w:p w14:paraId="6C8A8E6F">
            <w:pPr>
              <w:spacing w:line="240" w:lineRule="exact"/>
              <w:jc w:val="center"/>
              <w:rPr>
                <w:rFonts w:hint="eastAsia" w:ascii="宋体" w:hAnsi="宋体" w:eastAsia="宋体" w:cs="宋体"/>
                <w:color w:val="auto"/>
                <w:sz w:val="24"/>
                <w:szCs w:val="24"/>
                <w:highlight w:val="none"/>
              </w:rPr>
            </w:pPr>
          </w:p>
        </w:tc>
      </w:tr>
      <w:tr w14:paraId="7F45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jc w:val="center"/>
        </w:trPr>
        <w:tc>
          <w:tcPr>
            <w:tcW w:w="2250" w:type="dxa"/>
            <w:tcBorders>
              <w:top w:val="single" w:color="auto" w:sz="6" w:space="0"/>
              <w:left w:val="double" w:color="auto" w:sz="4" w:space="0"/>
              <w:bottom w:val="single" w:color="auto" w:sz="6" w:space="0"/>
              <w:right w:val="single" w:color="auto" w:sz="6" w:space="0"/>
            </w:tcBorders>
            <w:noWrap w:val="0"/>
            <w:vAlign w:val="center"/>
          </w:tcPr>
          <w:p w14:paraId="72F08DC5">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基本帐户帐号</w:t>
            </w:r>
          </w:p>
        </w:tc>
        <w:tc>
          <w:tcPr>
            <w:tcW w:w="6874" w:type="dxa"/>
            <w:gridSpan w:val="7"/>
            <w:tcBorders>
              <w:top w:val="single" w:color="auto" w:sz="6" w:space="0"/>
              <w:left w:val="single" w:color="auto" w:sz="6" w:space="0"/>
              <w:bottom w:val="single" w:color="auto" w:sz="6" w:space="0"/>
              <w:right w:val="double" w:color="auto" w:sz="4" w:space="0"/>
            </w:tcBorders>
            <w:noWrap w:val="0"/>
            <w:vAlign w:val="center"/>
          </w:tcPr>
          <w:p w14:paraId="1C5BA906">
            <w:pPr>
              <w:spacing w:line="240" w:lineRule="exact"/>
              <w:jc w:val="center"/>
              <w:rPr>
                <w:rFonts w:hint="eastAsia" w:ascii="宋体" w:hAnsi="宋体" w:eastAsia="宋体" w:cs="宋体"/>
                <w:color w:val="auto"/>
                <w:sz w:val="24"/>
                <w:szCs w:val="24"/>
                <w:highlight w:val="none"/>
              </w:rPr>
            </w:pPr>
          </w:p>
        </w:tc>
      </w:tr>
      <w:tr w14:paraId="3505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jc w:val="center"/>
        </w:trPr>
        <w:tc>
          <w:tcPr>
            <w:tcW w:w="2250" w:type="dxa"/>
            <w:tcBorders>
              <w:top w:val="single" w:color="auto" w:sz="6" w:space="0"/>
              <w:left w:val="double" w:color="auto" w:sz="4" w:space="0"/>
              <w:bottom w:val="single" w:color="auto" w:sz="6" w:space="0"/>
              <w:right w:val="single" w:color="auto" w:sz="6" w:space="0"/>
            </w:tcBorders>
            <w:noWrap w:val="0"/>
            <w:vAlign w:val="center"/>
          </w:tcPr>
          <w:p w14:paraId="5257CB97">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874" w:type="dxa"/>
            <w:gridSpan w:val="7"/>
            <w:tcBorders>
              <w:top w:val="single" w:color="auto" w:sz="6" w:space="0"/>
              <w:left w:val="single" w:color="auto" w:sz="6" w:space="0"/>
              <w:bottom w:val="single" w:color="auto" w:sz="6" w:space="0"/>
              <w:right w:val="double" w:color="auto" w:sz="4" w:space="0"/>
            </w:tcBorders>
            <w:noWrap w:val="0"/>
            <w:vAlign w:val="center"/>
          </w:tcPr>
          <w:p w14:paraId="4B63B130">
            <w:pPr>
              <w:spacing w:line="240" w:lineRule="exact"/>
              <w:jc w:val="center"/>
              <w:rPr>
                <w:rFonts w:hint="eastAsia" w:ascii="宋体" w:hAnsi="宋体" w:eastAsia="宋体" w:cs="宋体"/>
                <w:color w:val="auto"/>
                <w:sz w:val="24"/>
                <w:szCs w:val="24"/>
                <w:highlight w:val="none"/>
              </w:rPr>
            </w:pPr>
          </w:p>
        </w:tc>
      </w:tr>
      <w:tr w14:paraId="0C4D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4" w:hRule="atLeast"/>
          <w:jc w:val="center"/>
        </w:trPr>
        <w:tc>
          <w:tcPr>
            <w:tcW w:w="2250" w:type="dxa"/>
            <w:tcBorders>
              <w:top w:val="single" w:color="auto" w:sz="6" w:space="0"/>
              <w:left w:val="double" w:color="auto" w:sz="4" w:space="0"/>
              <w:bottom w:val="double" w:color="auto" w:sz="4" w:space="0"/>
              <w:right w:val="single" w:color="auto" w:sz="6" w:space="0"/>
            </w:tcBorders>
            <w:noWrap w:val="0"/>
            <w:vAlign w:val="center"/>
          </w:tcPr>
          <w:p w14:paraId="19F0F55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74" w:type="dxa"/>
            <w:gridSpan w:val="7"/>
            <w:tcBorders>
              <w:top w:val="single" w:color="auto" w:sz="6" w:space="0"/>
              <w:left w:val="single" w:color="auto" w:sz="6" w:space="0"/>
              <w:bottom w:val="double" w:color="auto" w:sz="4" w:space="0"/>
              <w:right w:val="double" w:color="auto" w:sz="4" w:space="0"/>
            </w:tcBorders>
            <w:noWrap w:val="0"/>
            <w:vAlign w:val="center"/>
          </w:tcPr>
          <w:p w14:paraId="1BD67549">
            <w:pPr>
              <w:spacing w:line="240" w:lineRule="exact"/>
              <w:rPr>
                <w:rFonts w:hint="eastAsia" w:ascii="宋体" w:hAnsi="宋体" w:eastAsia="宋体" w:cs="宋体"/>
                <w:color w:val="auto"/>
                <w:sz w:val="24"/>
                <w:szCs w:val="24"/>
                <w:highlight w:val="none"/>
              </w:rPr>
            </w:pPr>
          </w:p>
        </w:tc>
      </w:tr>
    </w:tbl>
    <w:p w14:paraId="346E33ED">
      <w:pPr>
        <w:pStyle w:val="21"/>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注：在本表后应附企业法人营业执照或事业法人登记证副本或其他登记证明材料的复印件加盖投标人单位章。</w:t>
      </w:r>
    </w:p>
    <w:p w14:paraId="655001D2">
      <w:pPr>
        <w:pStyle w:val="21"/>
        <w:rPr>
          <w:rFonts w:hint="eastAsia" w:ascii="宋体" w:hAnsi="宋体" w:eastAsia="宋体" w:cs="宋体"/>
          <w:b/>
          <w:bCs/>
          <w:color w:val="auto"/>
          <w:sz w:val="24"/>
          <w:szCs w:val="24"/>
          <w:highlight w:val="none"/>
        </w:rPr>
      </w:pPr>
    </w:p>
    <w:p w14:paraId="3792FB0B">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698EA503">
      <w:pPr>
        <w:pStyle w:val="21"/>
        <w:rPr>
          <w:rFonts w:hint="eastAsia" w:ascii="宋体" w:hAnsi="宋体" w:eastAsia="宋体" w:cs="宋体"/>
          <w:b/>
          <w:bCs/>
          <w:color w:val="auto"/>
          <w:sz w:val="24"/>
          <w:szCs w:val="24"/>
          <w:highlight w:val="none"/>
        </w:rPr>
      </w:pPr>
    </w:p>
    <w:p w14:paraId="6BA7731B">
      <w:pPr>
        <w:pStyle w:val="21"/>
        <w:rPr>
          <w:rFonts w:hint="eastAsia" w:ascii="宋体" w:hAnsi="宋体" w:cs="宋体"/>
          <w:color w:val="auto"/>
          <w:sz w:val="24"/>
          <w:szCs w:val="24"/>
          <w:highlight w:val="none"/>
        </w:rPr>
      </w:pPr>
      <w:r>
        <w:rPr>
          <w:rFonts w:hint="eastAsia"/>
          <w:b/>
          <w:bCs/>
          <w:color w:val="auto"/>
          <w:highlight w:val="none"/>
        </w:rPr>
        <w:t xml:space="preserve">      </w:t>
      </w:r>
    </w:p>
    <w:p w14:paraId="6AD93DC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4CB9C48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62DCA2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46EEA297">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7D0C23DC">
      <w:pPr>
        <w:rPr>
          <w:rFonts w:hint="eastAsia" w:ascii="宋体" w:hAnsi="宋体" w:cs="宋体"/>
          <w:b/>
          <w:color w:val="auto"/>
          <w:kern w:val="0"/>
          <w:sz w:val="24"/>
          <w:szCs w:val="24"/>
          <w:highlight w:val="none"/>
          <w:lang w:val="en-US" w:eastAsia="zh-CN"/>
        </w:rPr>
      </w:pPr>
    </w:p>
    <w:p w14:paraId="6D736C94">
      <w:pPr>
        <w:numPr>
          <w:ilvl w:val="0"/>
          <w:numId w:val="6"/>
        </w:num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商务技术偏离表</w:t>
      </w:r>
    </w:p>
    <w:tbl>
      <w:tblPr>
        <w:tblStyle w:val="65"/>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612"/>
        <w:gridCol w:w="3479"/>
        <w:gridCol w:w="1252"/>
      </w:tblGrid>
      <w:tr w14:paraId="701C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433B2A91">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612" w:type="dxa"/>
          </w:tcPr>
          <w:p w14:paraId="3EDD6344">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招标文件章节及具体内容</w:t>
            </w:r>
          </w:p>
        </w:tc>
        <w:tc>
          <w:tcPr>
            <w:tcW w:w="3479" w:type="dxa"/>
          </w:tcPr>
          <w:p w14:paraId="3C10904B">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投标文件章节及具体内容</w:t>
            </w:r>
          </w:p>
        </w:tc>
        <w:tc>
          <w:tcPr>
            <w:tcW w:w="1252" w:type="dxa"/>
          </w:tcPr>
          <w:p w14:paraId="340ABD2A">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偏离说明</w:t>
            </w:r>
          </w:p>
        </w:tc>
      </w:tr>
      <w:tr w14:paraId="0427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ACE88CD">
            <w:pPr>
              <w:keepNext w:val="0"/>
              <w:keepLines w:val="0"/>
              <w:pageBreakBefore w:val="0"/>
              <w:kinsoku/>
              <w:wordWrap/>
              <w:overflowPunct/>
              <w:topLinePunct w:val="0"/>
              <w:autoSpaceDE/>
              <w:autoSpaceDN/>
              <w:bidi w:val="0"/>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3612" w:type="dxa"/>
          </w:tcPr>
          <w:p w14:paraId="48428052">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3479" w:type="dxa"/>
          </w:tcPr>
          <w:p w14:paraId="4BE7135B">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1252" w:type="dxa"/>
          </w:tcPr>
          <w:p w14:paraId="3891AF10">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r>
      <w:tr w14:paraId="39EA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597463D7">
            <w:pPr>
              <w:keepNext w:val="0"/>
              <w:keepLines w:val="0"/>
              <w:pageBreakBefore w:val="0"/>
              <w:kinsoku/>
              <w:wordWrap/>
              <w:overflowPunct/>
              <w:topLinePunct w:val="0"/>
              <w:autoSpaceDE/>
              <w:autoSpaceDN/>
              <w:bidi w:val="0"/>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3612" w:type="dxa"/>
          </w:tcPr>
          <w:p w14:paraId="50FDDD35">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3479" w:type="dxa"/>
          </w:tcPr>
          <w:p w14:paraId="4BE67265">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1252" w:type="dxa"/>
          </w:tcPr>
          <w:p w14:paraId="2C8FB256">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r>
      <w:tr w14:paraId="204E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A42A4B7">
            <w:pPr>
              <w:keepNext w:val="0"/>
              <w:keepLines w:val="0"/>
              <w:pageBreakBefore w:val="0"/>
              <w:kinsoku/>
              <w:wordWrap/>
              <w:overflowPunct/>
              <w:topLinePunct w:val="0"/>
              <w:autoSpaceDE/>
              <w:autoSpaceDN/>
              <w:bidi w:val="0"/>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612" w:type="dxa"/>
          </w:tcPr>
          <w:p w14:paraId="7651BC50">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3479" w:type="dxa"/>
          </w:tcPr>
          <w:p w14:paraId="5A19B909">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1252" w:type="dxa"/>
          </w:tcPr>
          <w:p w14:paraId="184B7727">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r>
    </w:tbl>
    <w:p w14:paraId="19026C78">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bCs/>
          <w:color w:val="auto"/>
          <w:sz w:val="24"/>
          <w:szCs w:val="24"/>
          <w:highlight w:val="none"/>
        </w:rPr>
      </w:pPr>
    </w:p>
    <w:p w14:paraId="0E746D9E">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供应商须按第</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章《采购需求》的相应要求，在偏离说明栏如实填写“正偏离”、“无偏离”或“负偏离”，若“正偏离”或“负偏离”的，请在备注栏对偏离情况进行说明。如招标文件中所有</w:t>
      </w:r>
      <w:r>
        <w:rPr>
          <w:rFonts w:hint="eastAsia" w:ascii="宋体" w:hAnsi="宋体" w:eastAsia="宋体" w:cs="宋体"/>
          <w:b/>
          <w:bCs/>
          <w:color w:val="auto"/>
          <w:sz w:val="24"/>
          <w:szCs w:val="24"/>
          <w:highlight w:val="none"/>
          <w:lang w:val="en-US" w:eastAsia="zh-CN"/>
        </w:rPr>
        <w:t>商务</w:t>
      </w:r>
      <w:r>
        <w:rPr>
          <w:rFonts w:hint="eastAsia" w:ascii="宋体" w:hAnsi="宋体" w:eastAsia="宋体" w:cs="宋体"/>
          <w:b/>
          <w:bCs/>
          <w:color w:val="auto"/>
          <w:sz w:val="24"/>
          <w:szCs w:val="24"/>
          <w:highlight w:val="none"/>
        </w:rPr>
        <w:t>技术条款（包含“</w:t>
      </w:r>
      <w:r>
        <w:rPr>
          <w:rFonts w:hint="eastAsia" w:ascii="宋体" w:hAnsi="宋体" w:cs="宋体"/>
          <w:b w:val="0"/>
          <w:bCs w:val="0"/>
          <w:color w:val="auto"/>
          <w:kern w:val="0"/>
          <w:sz w:val="24"/>
          <w:szCs w:val="24"/>
          <w:highlight w:val="none"/>
        </w:rPr>
        <w:t>▲</w:t>
      </w:r>
      <w:r>
        <w:rPr>
          <w:rFonts w:hint="eastAsia" w:ascii="宋体" w:hAnsi="宋体" w:eastAsia="宋体" w:cs="宋体"/>
          <w:b/>
          <w:bCs/>
          <w:color w:val="auto"/>
          <w:sz w:val="24"/>
          <w:szCs w:val="24"/>
          <w:highlight w:val="none"/>
        </w:rPr>
        <w:t>”条款）均未有负偏离，在“偏离情况”处填写“全部响应”即可。</w:t>
      </w:r>
    </w:p>
    <w:p w14:paraId="4DCB18C2">
      <w:pPr>
        <w:pStyle w:val="63"/>
        <w:keepNext w:val="0"/>
        <w:keepLines w:val="0"/>
        <w:pageBreakBefore w:val="0"/>
        <w:kinsoku/>
        <w:wordWrap/>
        <w:overflowPunct/>
        <w:topLinePunct w:val="0"/>
        <w:autoSpaceDE/>
        <w:autoSpaceDN/>
        <w:bidi w:val="0"/>
        <w:spacing w:after="0" w:line="360" w:lineRule="auto"/>
        <w:ind w:firstLine="420"/>
        <w:textAlignment w:val="auto"/>
        <w:rPr>
          <w:rFonts w:hint="eastAsia" w:cs="宋体"/>
          <w:color w:val="auto"/>
          <w:sz w:val="24"/>
          <w:szCs w:val="24"/>
          <w:highlight w:val="none"/>
        </w:rPr>
      </w:pPr>
    </w:p>
    <w:p w14:paraId="55C37D01">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4A17F1B6">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p>
    <w:p w14:paraId="114816B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44F9384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88D3F2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24CCCE27">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p>
    <w:p w14:paraId="32EFDCFA">
      <w:pPr>
        <w:spacing w:line="360" w:lineRule="auto"/>
        <w:ind w:right="420"/>
        <w:rPr>
          <w:rFonts w:hint="eastAsia" w:ascii="宋体" w:hAnsi="宋体" w:cs="宋体"/>
          <w:color w:val="auto"/>
          <w:sz w:val="24"/>
          <w:highlight w:val="none"/>
        </w:rPr>
      </w:pPr>
    </w:p>
    <w:p w14:paraId="2CFB0FA5">
      <w:pPr>
        <w:rPr>
          <w:rFonts w:hint="eastAsia" w:ascii="宋体" w:hAnsi="宋体" w:cs="宋体"/>
          <w:b/>
          <w:color w:val="auto"/>
          <w:kern w:val="0"/>
          <w:sz w:val="32"/>
          <w:szCs w:val="32"/>
          <w:highlight w:val="none"/>
          <w:lang w:val="en-US" w:eastAsia="zh-CN"/>
        </w:rPr>
        <w:sectPr>
          <w:headerReference r:id="rId19" w:type="first"/>
          <w:footerReference r:id="rId21" w:type="first"/>
          <w:headerReference r:id="rId18" w:type="default"/>
          <w:footerReference r:id="rId20" w:type="default"/>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b/>
          <w:color w:val="auto"/>
          <w:kern w:val="0"/>
          <w:sz w:val="32"/>
          <w:szCs w:val="32"/>
          <w:highlight w:val="none"/>
          <w:lang w:val="en-US" w:eastAsia="zh-CN"/>
        </w:rPr>
        <w:br w:type="page"/>
      </w:r>
    </w:p>
    <w:p w14:paraId="21EADE03">
      <w:pPr>
        <w:numPr>
          <w:ilvl w:val="0"/>
          <w:numId w:val="6"/>
        </w:num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拟投入的人员配备表</w:t>
      </w:r>
    </w:p>
    <w:tbl>
      <w:tblPr>
        <w:tblStyle w:val="6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038"/>
        <w:gridCol w:w="1116"/>
        <w:gridCol w:w="945"/>
        <w:gridCol w:w="1146"/>
        <w:gridCol w:w="1363"/>
        <w:gridCol w:w="1382"/>
        <w:gridCol w:w="1073"/>
      </w:tblGrid>
      <w:tr w14:paraId="4CA9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55C0AA7E">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142A3363">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性别</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38F204B">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F6C6AE5">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学历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5FA8C33">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8FCC91C">
            <w:pPr>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工作年限</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399025A">
            <w:pPr>
              <w:spacing w:line="300" w:lineRule="exact"/>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岗位</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970C97A">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C2C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67E833DE">
            <w:pPr>
              <w:spacing w:line="300" w:lineRule="exact"/>
              <w:jc w:val="center"/>
              <w:rPr>
                <w:rFonts w:hint="eastAsia" w:ascii="宋体" w:hAnsi="宋体" w:eastAsia="宋体" w:cs="宋体"/>
                <w:bCs/>
                <w:color w:val="auto"/>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25B59CF4">
            <w:pPr>
              <w:spacing w:line="300" w:lineRule="exact"/>
              <w:jc w:val="center"/>
              <w:rPr>
                <w:rFonts w:hint="eastAsia" w:ascii="宋体" w:hAnsi="宋体" w:eastAsia="宋体" w:cs="宋体"/>
                <w:bCs/>
                <w:color w:val="auto"/>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3B5AC6D">
            <w:pPr>
              <w:spacing w:line="300" w:lineRule="exact"/>
              <w:jc w:val="center"/>
              <w:rPr>
                <w:rFonts w:hint="eastAsia" w:ascii="宋体" w:hAnsi="宋体" w:eastAsia="宋体" w:cs="宋体"/>
                <w:bCs/>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6CCDCBE">
            <w:pPr>
              <w:spacing w:line="300" w:lineRule="exact"/>
              <w:jc w:val="center"/>
              <w:rPr>
                <w:rFonts w:hint="eastAsia" w:ascii="宋体" w:hAnsi="宋体" w:eastAsia="宋体" w:cs="宋体"/>
                <w:bCs/>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3848DB1">
            <w:pPr>
              <w:spacing w:line="300" w:lineRule="exact"/>
              <w:jc w:val="center"/>
              <w:rPr>
                <w:rFonts w:hint="eastAsia" w:ascii="宋体" w:hAnsi="宋体" w:eastAsia="宋体" w:cs="宋体"/>
                <w:bCs/>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66BE277">
            <w:pPr>
              <w:spacing w:line="300" w:lineRule="exact"/>
              <w:jc w:val="center"/>
              <w:rPr>
                <w:rFonts w:hint="eastAsia" w:ascii="宋体" w:hAnsi="宋体" w:eastAsia="宋体" w:cs="宋体"/>
                <w:bCs/>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2C8EF8C7">
            <w:pPr>
              <w:spacing w:line="300" w:lineRule="exact"/>
              <w:jc w:val="center"/>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61CCE2B">
            <w:pPr>
              <w:spacing w:line="300" w:lineRule="exact"/>
              <w:jc w:val="center"/>
              <w:rPr>
                <w:rFonts w:hint="eastAsia" w:ascii="宋体" w:hAnsi="宋体" w:eastAsia="宋体" w:cs="宋体"/>
                <w:color w:val="auto"/>
                <w:sz w:val="24"/>
                <w:szCs w:val="24"/>
                <w:highlight w:val="none"/>
              </w:rPr>
            </w:pPr>
          </w:p>
        </w:tc>
      </w:tr>
      <w:tr w14:paraId="72C9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1EE5BD13">
            <w:pPr>
              <w:spacing w:line="300" w:lineRule="exact"/>
              <w:jc w:val="center"/>
              <w:rPr>
                <w:rFonts w:hint="eastAsia" w:ascii="宋体" w:hAnsi="宋体" w:eastAsia="宋体" w:cs="宋体"/>
                <w:bCs/>
                <w:color w:val="auto"/>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12CDD0F7">
            <w:pPr>
              <w:spacing w:line="300" w:lineRule="exact"/>
              <w:jc w:val="center"/>
              <w:rPr>
                <w:rFonts w:hint="eastAsia" w:ascii="宋体" w:hAnsi="宋体" w:eastAsia="宋体" w:cs="宋体"/>
                <w:bCs/>
                <w:color w:val="auto"/>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F6793E5">
            <w:pPr>
              <w:spacing w:line="300" w:lineRule="exact"/>
              <w:jc w:val="center"/>
              <w:rPr>
                <w:rFonts w:hint="eastAsia" w:ascii="宋体" w:hAnsi="宋体" w:eastAsia="宋体" w:cs="宋体"/>
                <w:bCs/>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6169130">
            <w:pPr>
              <w:spacing w:line="300" w:lineRule="exact"/>
              <w:jc w:val="center"/>
              <w:rPr>
                <w:rFonts w:hint="eastAsia" w:ascii="宋体" w:hAnsi="宋体" w:eastAsia="宋体" w:cs="宋体"/>
                <w:bCs/>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CB191D7">
            <w:pPr>
              <w:spacing w:line="300" w:lineRule="exact"/>
              <w:jc w:val="center"/>
              <w:rPr>
                <w:rFonts w:hint="eastAsia" w:ascii="宋体" w:hAnsi="宋体" w:eastAsia="宋体" w:cs="宋体"/>
                <w:bCs/>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0E99EE2">
            <w:pPr>
              <w:spacing w:line="300" w:lineRule="exact"/>
              <w:jc w:val="center"/>
              <w:rPr>
                <w:rFonts w:hint="eastAsia" w:ascii="宋体" w:hAnsi="宋体" w:eastAsia="宋体" w:cs="宋体"/>
                <w:bCs/>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26692F1">
            <w:pPr>
              <w:spacing w:line="300" w:lineRule="exact"/>
              <w:jc w:val="center"/>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2195C05">
            <w:pPr>
              <w:spacing w:line="300" w:lineRule="exact"/>
              <w:jc w:val="center"/>
              <w:rPr>
                <w:rFonts w:hint="eastAsia" w:ascii="宋体" w:hAnsi="宋体" w:eastAsia="宋体" w:cs="宋体"/>
                <w:color w:val="auto"/>
                <w:sz w:val="24"/>
                <w:szCs w:val="24"/>
                <w:highlight w:val="none"/>
              </w:rPr>
            </w:pPr>
          </w:p>
        </w:tc>
      </w:tr>
      <w:tr w14:paraId="48A1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165078D5">
            <w:pPr>
              <w:spacing w:line="300" w:lineRule="exact"/>
              <w:jc w:val="center"/>
              <w:rPr>
                <w:rFonts w:hint="eastAsia" w:ascii="宋体" w:hAnsi="宋体" w:eastAsia="宋体" w:cs="宋体"/>
                <w:bCs/>
                <w:color w:val="auto"/>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60220193">
            <w:pPr>
              <w:spacing w:line="300" w:lineRule="exact"/>
              <w:jc w:val="center"/>
              <w:rPr>
                <w:rFonts w:hint="eastAsia" w:ascii="宋体" w:hAnsi="宋体" w:eastAsia="宋体" w:cs="宋体"/>
                <w:bCs/>
                <w:color w:val="auto"/>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3D17F41">
            <w:pPr>
              <w:spacing w:line="300" w:lineRule="exact"/>
              <w:jc w:val="center"/>
              <w:rPr>
                <w:rFonts w:hint="eastAsia" w:ascii="宋体" w:hAnsi="宋体" w:eastAsia="宋体" w:cs="宋体"/>
                <w:bCs/>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9E5B0AF">
            <w:pPr>
              <w:spacing w:line="300" w:lineRule="exact"/>
              <w:jc w:val="center"/>
              <w:rPr>
                <w:rFonts w:hint="eastAsia" w:ascii="宋体" w:hAnsi="宋体" w:eastAsia="宋体" w:cs="宋体"/>
                <w:bCs/>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98DD417">
            <w:pPr>
              <w:spacing w:line="300" w:lineRule="exact"/>
              <w:jc w:val="center"/>
              <w:rPr>
                <w:rFonts w:hint="eastAsia" w:ascii="宋体" w:hAnsi="宋体" w:eastAsia="宋体" w:cs="宋体"/>
                <w:bCs/>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61553DE9">
            <w:pPr>
              <w:spacing w:line="300" w:lineRule="exact"/>
              <w:jc w:val="center"/>
              <w:rPr>
                <w:rFonts w:hint="eastAsia" w:ascii="宋体" w:hAnsi="宋体" w:eastAsia="宋体" w:cs="宋体"/>
                <w:bCs/>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A2D9032">
            <w:pPr>
              <w:spacing w:line="300" w:lineRule="exact"/>
              <w:jc w:val="center"/>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07B2ADC">
            <w:pPr>
              <w:spacing w:line="300" w:lineRule="exact"/>
              <w:jc w:val="center"/>
              <w:rPr>
                <w:rFonts w:hint="eastAsia" w:ascii="宋体" w:hAnsi="宋体" w:eastAsia="宋体" w:cs="宋体"/>
                <w:color w:val="auto"/>
                <w:sz w:val="24"/>
                <w:szCs w:val="24"/>
                <w:highlight w:val="none"/>
              </w:rPr>
            </w:pPr>
          </w:p>
        </w:tc>
      </w:tr>
      <w:tr w14:paraId="0874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7B2ECEF7">
            <w:pPr>
              <w:spacing w:line="300" w:lineRule="exact"/>
              <w:jc w:val="center"/>
              <w:rPr>
                <w:rFonts w:hint="eastAsia" w:ascii="宋体" w:hAnsi="宋体" w:eastAsia="宋体" w:cs="宋体"/>
                <w:bCs/>
                <w:color w:val="auto"/>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3F6F3EF8">
            <w:pPr>
              <w:spacing w:line="300" w:lineRule="exact"/>
              <w:jc w:val="center"/>
              <w:rPr>
                <w:rFonts w:hint="eastAsia" w:ascii="宋体" w:hAnsi="宋体" w:eastAsia="宋体" w:cs="宋体"/>
                <w:bCs/>
                <w:color w:val="auto"/>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5F96661">
            <w:pPr>
              <w:spacing w:line="300" w:lineRule="exact"/>
              <w:jc w:val="center"/>
              <w:rPr>
                <w:rFonts w:hint="eastAsia" w:ascii="宋体" w:hAnsi="宋体" w:eastAsia="宋体" w:cs="宋体"/>
                <w:bCs/>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55EF24D">
            <w:pPr>
              <w:spacing w:line="300" w:lineRule="exact"/>
              <w:jc w:val="center"/>
              <w:rPr>
                <w:rFonts w:hint="eastAsia" w:ascii="宋体" w:hAnsi="宋体" w:eastAsia="宋体" w:cs="宋体"/>
                <w:bCs/>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D98EB43">
            <w:pPr>
              <w:spacing w:line="300" w:lineRule="exact"/>
              <w:jc w:val="center"/>
              <w:rPr>
                <w:rFonts w:hint="eastAsia" w:ascii="宋体" w:hAnsi="宋体" w:eastAsia="宋体" w:cs="宋体"/>
                <w:bCs/>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7273779">
            <w:pPr>
              <w:spacing w:line="300" w:lineRule="exact"/>
              <w:jc w:val="center"/>
              <w:rPr>
                <w:rFonts w:hint="eastAsia" w:ascii="宋体" w:hAnsi="宋体" w:eastAsia="宋体" w:cs="宋体"/>
                <w:bCs/>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24EB969">
            <w:pPr>
              <w:spacing w:line="300" w:lineRule="exact"/>
              <w:jc w:val="center"/>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0591DEA">
            <w:pPr>
              <w:spacing w:line="300" w:lineRule="exact"/>
              <w:jc w:val="center"/>
              <w:rPr>
                <w:rFonts w:hint="eastAsia" w:ascii="宋体" w:hAnsi="宋体" w:eastAsia="宋体" w:cs="宋体"/>
                <w:color w:val="auto"/>
                <w:sz w:val="24"/>
                <w:szCs w:val="24"/>
                <w:highlight w:val="none"/>
              </w:rPr>
            </w:pPr>
          </w:p>
        </w:tc>
      </w:tr>
      <w:tr w14:paraId="22B4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572BDE3E">
            <w:pPr>
              <w:spacing w:line="300" w:lineRule="exact"/>
              <w:jc w:val="center"/>
              <w:rPr>
                <w:rFonts w:hint="eastAsia" w:ascii="宋体" w:hAnsi="宋体" w:eastAsia="宋体" w:cs="宋体"/>
                <w:bCs/>
                <w:color w:val="auto"/>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22F52266">
            <w:pPr>
              <w:spacing w:line="300" w:lineRule="exact"/>
              <w:jc w:val="center"/>
              <w:rPr>
                <w:rFonts w:hint="eastAsia" w:ascii="宋体" w:hAnsi="宋体" w:eastAsia="宋体" w:cs="宋体"/>
                <w:bCs/>
                <w:color w:val="auto"/>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75E291E">
            <w:pPr>
              <w:spacing w:line="300" w:lineRule="exact"/>
              <w:jc w:val="center"/>
              <w:rPr>
                <w:rFonts w:hint="eastAsia" w:ascii="宋体" w:hAnsi="宋体" w:eastAsia="宋体" w:cs="宋体"/>
                <w:bCs/>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B909BAB">
            <w:pPr>
              <w:spacing w:line="300" w:lineRule="exact"/>
              <w:jc w:val="center"/>
              <w:rPr>
                <w:rFonts w:hint="eastAsia" w:ascii="宋体" w:hAnsi="宋体" w:eastAsia="宋体" w:cs="宋体"/>
                <w:bCs/>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3C8C460">
            <w:pPr>
              <w:spacing w:line="300" w:lineRule="exact"/>
              <w:jc w:val="center"/>
              <w:rPr>
                <w:rFonts w:hint="eastAsia" w:ascii="宋体" w:hAnsi="宋体" w:eastAsia="宋体" w:cs="宋体"/>
                <w:bCs/>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C69B4E1">
            <w:pPr>
              <w:spacing w:line="300" w:lineRule="exact"/>
              <w:jc w:val="center"/>
              <w:rPr>
                <w:rFonts w:hint="eastAsia" w:ascii="宋体" w:hAnsi="宋体" w:eastAsia="宋体" w:cs="宋体"/>
                <w:bCs/>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6B38B6F7">
            <w:pPr>
              <w:spacing w:line="300" w:lineRule="exact"/>
              <w:jc w:val="center"/>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36CADDF">
            <w:pPr>
              <w:spacing w:line="300" w:lineRule="exact"/>
              <w:jc w:val="center"/>
              <w:rPr>
                <w:rFonts w:hint="eastAsia" w:ascii="宋体" w:hAnsi="宋体" w:eastAsia="宋体" w:cs="宋体"/>
                <w:color w:val="auto"/>
                <w:sz w:val="24"/>
                <w:szCs w:val="24"/>
                <w:highlight w:val="none"/>
              </w:rPr>
            </w:pPr>
          </w:p>
        </w:tc>
      </w:tr>
      <w:tr w14:paraId="2C05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110161CE">
            <w:pPr>
              <w:spacing w:line="300" w:lineRule="exact"/>
              <w:jc w:val="center"/>
              <w:rPr>
                <w:rFonts w:hint="eastAsia" w:ascii="宋体" w:hAnsi="宋体" w:eastAsia="宋体" w:cs="宋体"/>
                <w:bCs/>
                <w:color w:val="auto"/>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F4231E6">
            <w:pPr>
              <w:spacing w:line="300" w:lineRule="exact"/>
              <w:jc w:val="center"/>
              <w:rPr>
                <w:rFonts w:hint="eastAsia" w:ascii="宋体" w:hAnsi="宋体" w:eastAsia="宋体" w:cs="宋体"/>
                <w:bCs/>
                <w:color w:val="auto"/>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B76F203">
            <w:pPr>
              <w:spacing w:line="300" w:lineRule="exact"/>
              <w:jc w:val="center"/>
              <w:rPr>
                <w:rFonts w:hint="eastAsia" w:ascii="宋体" w:hAnsi="宋体" w:eastAsia="宋体" w:cs="宋体"/>
                <w:bCs/>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C72B708">
            <w:pPr>
              <w:spacing w:line="300" w:lineRule="exact"/>
              <w:jc w:val="center"/>
              <w:rPr>
                <w:rFonts w:hint="eastAsia" w:ascii="宋体" w:hAnsi="宋体" w:eastAsia="宋体" w:cs="宋体"/>
                <w:bCs/>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A4A40B6">
            <w:pPr>
              <w:spacing w:line="300" w:lineRule="exact"/>
              <w:jc w:val="center"/>
              <w:rPr>
                <w:rFonts w:hint="eastAsia" w:ascii="宋体" w:hAnsi="宋体" w:eastAsia="宋体" w:cs="宋体"/>
                <w:bCs/>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7C125D76">
            <w:pPr>
              <w:spacing w:line="300" w:lineRule="exact"/>
              <w:jc w:val="center"/>
              <w:rPr>
                <w:rFonts w:hint="eastAsia" w:ascii="宋体" w:hAnsi="宋体" w:eastAsia="宋体" w:cs="宋体"/>
                <w:bCs/>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470DE58F">
            <w:pPr>
              <w:spacing w:line="300" w:lineRule="exact"/>
              <w:jc w:val="center"/>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2F36AACB">
            <w:pPr>
              <w:spacing w:line="300" w:lineRule="exact"/>
              <w:jc w:val="center"/>
              <w:rPr>
                <w:rFonts w:hint="eastAsia" w:ascii="宋体" w:hAnsi="宋体" w:eastAsia="宋体" w:cs="宋体"/>
                <w:color w:val="auto"/>
                <w:sz w:val="24"/>
                <w:szCs w:val="24"/>
                <w:highlight w:val="none"/>
              </w:rPr>
            </w:pPr>
          </w:p>
        </w:tc>
      </w:tr>
      <w:tr w14:paraId="434A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26DBC082">
            <w:pPr>
              <w:spacing w:line="300" w:lineRule="exact"/>
              <w:jc w:val="center"/>
              <w:rPr>
                <w:rFonts w:hint="eastAsia" w:ascii="宋体" w:hAnsi="宋体" w:eastAsia="宋体" w:cs="宋体"/>
                <w:bCs/>
                <w:color w:val="auto"/>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3EB5DD8C">
            <w:pPr>
              <w:spacing w:line="300" w:lineRule="exact"/>
              <w:jc w:val="center"/>
              <w:rPr>
                <w:rFonts w:hint="eastAsia" w:ascii="宋体" w:hAnsi="宋体" w:eastAsia="宋体" w:cs="宋体"/>
                <w:bCs/>
                <w:color w:val="auto"/>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455560C">
            <w:pPr>
              <w:spacing w:line="300" w:lineRule="exact"/>
              <w:jc w:val="center"/>
              <w:rPr>
                <w:rFonts w:hint="eastAsia" w:ascii="宋体" w:hAnsi="宋体" w:eastAsia="宋体" w:cs="宋体"/>
                <w:bCs/>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A0FD9CE">
            <w:pPr>
              <w:spacing w:line="300" w:lineRule="exact"/>
              <w:jc w:val="center"/>
              <w:rPr>
                <w:rFonts w:hint="eastAsia" w:ascii="宋体" w:hAnsi="宋体" w:eastAsia="宋体" w:cs="宋体"/>
                <w:bCs/>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A0F5C22">
            <w:pPr>
              <w:spacing w:line="300" w:lineRule="exact"/>
              <w:jc w:val="center"/>
              <w:rPr>
                <w:rFonts w:hint="eastAsia" w:ascii="宋体" w:hAnsi="宋体" w:eastAsia="宋体" w:cs="宋体"/>
                <w:bCs/>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7F788A4">
            <w:pPr>
              <w:spacing w:line="300" w:lineRule="exact"/>
              <w:jc w:val="center"/>
              <w:rPr>
                <w:rFonts w:hint="eastAsia" w:ascii="宋体" w:hAnsi="宋体" w:eastAsia="宋体" w:cs="宋体"/>
                <w:bCs/>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59CA2E47">
            <w:pPr>
              <w:spacing w:line="300" w:lineRule="exact"/>
              <w:jc w:val="center"/>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FA3F72E">
            <w:pPr>
              <w:spacing w:line="300" w:lineRule="exact"/>
              <w:jc w:val="center"/>
              <w:rPr>
                <w:rFonts w:hint="eastAsia" w:ascii="宋体" w:hAnsi="宋体" w:eastAsia="宋体" w:cs="宋体"/>
                <w:color w:val="auto"/>
                <w:sz w:val="24"/>
                <w:szCs w:val="24"/>
                <w:highlight w:val="none"/>
              </w:rPr>
            </w:pPr>
          </w:p>
        </w:tc>
      </w:tr>
      <w:tr w14:paraId="0D46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18D1793D">
            <w:pPr>
              <w:spacing w:line="300" w:lineRule="exact"/>
              <w:jc w:val="center"/>
              <w:rPr>
                <w:rFonts w:hint="eastAsia" w:ascii="宋体" w:hAnsi="宋体" w:eastAsia="宋体" w:cs="宋体"/>
                <w:bCs/>
                <w:color w:val="auto"/>
                <w:sz w:val="24"/>
                <w:szCs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25FCD69F">
            <w:pPr>
              <w:spacing w:line="300" w:lineRule="exact"/>
              <w:jc w:val="center"/>
              <w:rPr>
                <w:rFonts w:hint="eastAsia" w:ascii="宋体" w:hAnsi="宋体" w:eastAsia="宋体" w:cs="宋体"/>
                <w:bCs/>
                <w:color w:val="auto"/>
                <w:sz w:val="24"/>
                <w:szCs w:val="24"/>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C652969">
            <w:pPr>
              <w:spacing w:line="300" w:lineRule="exact"/>
              <w:jc w:val="center"/>
              <w:rPr>
                <w:rFonts w:hint="eastAsia" w:ascii="宋体" w:hAnsi="宋体" w:eastAsia="宋体" w:cs="宋体"/>
                <w:bCs/>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A4FEC15">
            <w:pPr>
              <w:spacing w:line="300" w:lineRule="exact"/>
              <w:jc w:val="center"/>
              <w:rPr>
                <w:rFonts w:hint="eastAsia" w:ascii="宋体" w:hAnsi="宋体" w:eastAsia="宋体" w:cs="宋体"/>
                <w:bCs/>
                <w:color w:val="auto"/>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28FCAF0">
            <w:pPr>
              <w:spacing w:line="300" w:lineRule="exact"/>
              <w:jc w:val="center"/>
              <w:rPr>
                <w:rFonts w:hint="eastAsia" w:ascii="宋体" w:hAnsi="宋体" w:eastAsia="宋体" w:cs="宋体"/>
                <w:bCs/>
                <w:color w:val="auto"/>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591CE4C">
            <w:pPr>
              <w:spacing w:line="300" w:lineRule="exact"/>
              <w:jc w:val="center"/>
              <w:rPr>
                <w:rFonts w:hint="eastAsia" w:ascii="宋体" w:hAnsi="宋体" w:eastAsia="宋体" w:cs="宋体"/>
                <w:bCs/>
                <w:color w:val="auto"/>
                <w:sz w:val="24"/>
                <w:szCs w:val="24"/>
                <w:highlight w:val="none"/>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10627596">
            <w:pPr>
              <w:spacing w:line="300" w:lineRule="exact"/>
              <w:jc w:val="center"/>
              <w:rPr>
                <w:rFonts w:hint="eastAsia" w:ascii="宋体" w:hAnsi="宋体" w:eastAsia="宋体" w:cs="宋体"/>
                <w:color w:val="auto"/>
                <w:sz w:val="24"/>
                <w:szCs w:val="24"/>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4F8A0DC1">
            <w:pPr>
              <w:spacing w:line="300" w:lineRule="exact"/>
              <w:jc w:val="center"/>
              <w:rPr>
                <w:rFonts w:hint="eastAsia" w:ascii="宋体" w:hAnsi="宋体" w:eastAsia="宋体" w:cs="宋体"/>
                <w:color w:val="auto"/>
                <w:sz w:val="24"/>
                <w:szCs w:val="24"/>
                <w:highlight w:val="none"/>
              </w:rPr>
            </w:pPr>
          </w:p>
        </w:tc>
      </w:tr>
    </w:tbl>
    <w:p w14:paraId="03F2D48E">
      <w:pPr>
        <w:pStyle w:val="2"/>
        <w:rPr>
          <w:rFonts w:hint="eastAsia"/>
          <w:color w:val="auto"/>
          <w:highlight w:val="none"/>
          <w:lang w:val="en-US" w:eastAsia="zh-CN"/>
        </w:rPr>
      </w:pPr>
    </w:p>
    <w:p w14:paraId="61F7AA5F">
      <w:pPr>
        <w:pStyle w:val="2"/>
        <w:rPr>
          <w:rFonts w:hint="eastAsia"/>
          <w:color w:val="auto"/>
          <w:highlight w:val="none"/>
          <w:lang w:val="en-US" w:eastAsia="zh-CN"/>
        </w:rPr>
      </w:pPr>
    </w:p>
    <w:p w14:paraId="5C79FCC9">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347284B0">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p>
    <w:p w14:paraId="7497A21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651A426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4B2C3E2">
      <w:pPr>
        <w:pStyle w:val="2"/>
        <w:ind w:left="0" w:leftChars="0" w:firstLine="0" w:firstLineChars="0"/>
        <w:jc w:val="both"/>
        <w:rPr>
          <w:rFonts w:hint="eastAsia"/>
          <w:color w:val="auto"/>
          <w:highlight w:val="none"/>
          <w:lang w:val="en-US" w:eastAsia="zh-CN"/>
        </w:rPr>
        <w:sectPr>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color w:val="auto"/>
          <w:sz w:val="24"/>
          <w:szCs w:val="24"/>
          <w:highlight w:val="none"/>
        </w:rPr>
        <w:t>年    月    日</w:t>
      </w:r>
    </w:p>
    <w:p w14:paraId="1AA10FF4">
      <w:pPr>
        <w:numPr>
          <w:ilvl w:val="0"/>
          <w:numId w:val="6"/>
        </w:num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评标标准相应的商务技术资料</w:t>
      </w:r>
    </w:p>
    <w:p w14:paraId="23F3FD2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2EA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54ED9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5465" w:type="dxa"/>
          </w:tcPr>
          <w:p w14:paraId="73D46B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投标文件中评标标准相应的商务技术资料目录*</w:t>
            </w:r>
          </w:p>
        </w:tc>
        <w:tc>
          <w:tcPr>
            <w:tcW w:w="3046" w:type="dxa"/>
          </w:tcPr>
          <w:p w14:paraId="6196BB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rPr>
              <w:t>投标文件中的页码位置</w:t>
            </w:r>
          </w:p>
        </w:tc>
      </w:tr>
      <w:tr w14:paraId="0EB7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F9A8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5465" w:type="dxa"/>
          </w:tcPr>
          <w:p w14:paraId="635E94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XXX</w:t>
            </w:r>
          </w:p>
        </w:tc>
        <w:tc>
          <w:tcPr>
            <w:tcW w:w="3046" w:type="dxa"/>
          </w:tcPr>
          <w:p w14:paraId="1E31CC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7DA8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D498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5465" w:type="dxa"/>
          </w:tcPr>
          <w:p w14:paraId="2FC20E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XXX</w:t>
            </w:r>
          </w:p>
        </w:tc>
        <w:tc>
          <w:tcPr>
            <w:tcW w:w="3046" w:type="dxa"/>
          </w:tcPr>
          <w:p w14:paraId="731218D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6C83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1D6A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kern w:val="0"/>
                <w:sz w:val="24"/>
                <w:szCs w:val="24"/>
                <w:highlight w:val="none"/>
              </w:rPr>
              <w:t>……</w:t>
            </w:r>
          </w:p>
        </w:tc>
        <w:tc>
          <w:tcPr>
            <w:tcW w:w="5465" w:type="dxa"/>
          </w:tcPr>
          <w:p w14:paraId="00811E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rPr>
            </w:pPr>
          </w:p>
        </w:tc>
        <w:tc>
          <w:tcPr>
            <w:tcW w:w="3046" w:type="dxa"/>
          </w:tcPr>
          <w:p w14:paraId="4A282BC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bl>
    <w:p w14:paraId="2F206F50">
      <w:pPr>
        <w:pStyle w:val="84"/>
        <w:rPr>
          <w:color w:val="auto"/>
          <w:highlight w:val="none"/>
        </w:rPr>
      </w:pPr>
    </w:p>
    <w:p w14:paraId="753346C5">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3FCDE093">
      <w:pPr>
        <w:bidi w:val="0"/>
        <w:ind w:left="0" w:leftChars="0"/>
        <w:jc w:val="left"/>
        <w:rPr>
          <w:rFonts w:hint="eastAsia" w:ascii="Times New Roman" w:hAnsi="Times New Roman" w:eastAsia="宋体" w:cs="Times New Roman"/>
          <w:color w:val="auto"/>
          <w:kern w:val="2"/>
          <w:sz w:val="21"/>
          <w:szCs w:val="24"/>
          <w:highlight w:val="none"/>
          <w:lang w:val="en-US" w:eastAsia="zh-CN" w:bidi="ar-SA"/>
        </w:rPr>
      </w:pPr>
    </w:p>
    <w:p w14:paraId="6EC8A621">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业绩一览表</w:t>
      </w:r>
    </w:p>
    <w:tbl>
      <w:tblPr>
        <w:tblStyle w:val="64"/>
        <w:tblW w:w="92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
        <w:gridCol w:w="2093"/>
        <w:gridCol w:w="2791"/>
        <w:gridCol w:w="1566"/>
        <w:gridCol w:w="1857"/>
      </w:tblGrid>
      <w:tr w14:paraId="537C5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53A7DE00">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序号</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B4EE7B0">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项目名称</w:t>
            </w:r>
          </w:p>
        </w:tc>
        <w:tc>
          <w:tcPr>
            <w:tcW w:w="2791" w:type="dxa"/>
            <w:tcBorders>
              <w:top w:val="single" w:color="auto" w:sz="4" w:space="0"/>
              <w:left w:val="single" w:color="auto" w:sz="4" w:space="0"/>
              <w:right w:val="single" w:color="auto" w:sz="4" w:space="0"/>
            </w:tcBorders>
            <w:noWrap w:val="0"/>
            <w:vAlign w:val="center"/>
          </w:tcPr>
          <w:p w14:paraId="2DB802EB">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合同签订时间</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6B0F2C9">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金额</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22A51C48">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项目甲方联系人/联系电话</w:t>
            </w:r>
          </w:p>
        </w:tc>
      </w:tr>
      <w:tr w14:paraId="7C8F2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2E48EC7E">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335346AC">
            <w:pPr>
              <w:spacing w:line="360" w:lineRule="exact"/>
              <w:jc w:val="left"/>
              <w:rPr>
                <w:rFonts w:hint="eastAsia" w:ascii="宋体" w:hAnsi="宋体" w:eastAsia="宋体" w:cs="宋体"/>
                <w:color w:val="auto"/>
                <w:kern w:val="0"/>
                <w:sz w:val="24"/>
                <w:szCs w:val="24"/>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14:paraId="4F806BB2">
            <w:pPr>
              <w:spacing w:line="360" w:lineRule="exact"/>
              <w:jc w:val="left"/>
              <w:rPr>
                <w:rFonts w:hint="eastAsia" w:ascii="宋体" w:hAnsi="宋体" w:eastAsia="宋体" w:cs="宋体"/>
                <w:color w:val="auto"/>
                <w:kern w:val="0"/>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AD3D51A">
            <w:pPr>
              <w:spacing w:line="360" w:lineRule="exact"/>
              <w:jc w:val="left"/>
              <w:rPr>
                <w:rFonts w:hint="eastAsia" w:ascii="宋体" w:hAnsi="宋体" w:eastAsia="宋体" w:cs="宋体"/>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14:paraId="426EA82C">
            <w:pPr>
              <w:spacing w:line="360" w:lineRule="exact"/>
              <w:jc w:val="left"/>
              <w:rPr>
                <w:rFonts w:hint="eastAsia" w:ascii="宋体" w:hAnsi="宋体" w:eastAsia="宋体" w:cs="宋体"/>
                <w:color w:val="auto"/>
                <w:kern w:val="0"/>
                <w:sz w:val="24"/>
                <w:szCs w:val="24"/>
                <w:highlight w:val="none"/>
              </w:rPr>
            </w:pPr>
          </w:p>
        </w:tc>
      </w:tr>
      <w:tr w14:paraId="57A62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6D68F47A">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7B9C32CB">
            <w:pPr>
              <w:spacing w:line="360" w:lineRule="exact"/>
              <w:jc w:val="left"/>
              <w:rPr>
                <w:rFonts w:hint="eastAsia" w:ascii="宋体" w:hAnsi="宋体" w:eastAsia="宋体" w:cs="宋体"/>
                <w:color w:val="auto"/>
                <w:kern w:val="0"/>
                <w:sz w:val="24"/>
                <w:szCs w:val="24"/>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14:paraId="65A4B25A">
            <w:pPr>
              <w:spacing w:line="360" w:lineRule="exact"/>
              <w:jc w:val="left"/>
              <w:rPr>
                <w:rFonts w:hint="eastAsia" w:ascii="宋体" w:hAnsi="宋体" w:eastAsia="宋体" w:cs="宋体"/>
                <w:color w:val="auto"/>
                <w:kern w:val="0"/>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6587CED">
            <w:pPr>
              <w:spacing w:line="360" w:lineRule="exact"/>
              <w:jc w:val="left"/>
              <w:rPr>
                <w:rFonts w:hint="eastAsia" w:ascii="宋体" w:hAnsi="宋体" w:eastAsia="宋体" w:cs="宋体"/>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14:paraId="51852DB7">
            <w:pPr>
              <w:spacing w:line="360" w:lineRule="exact"/>
              <w:jc w:val="left"/>
              <w:rPr>
                <w:rFonts w:hint="eastAsia" w:ascii="宋体" w:hAnsi="宋体" w:eastAsia="宋体" w:cs="宋体"/>
                <w:color w:val="auto"/>
                <w:kern w:val="0"/>
                <w:sz w:val="24"/>
                <w:szCs w:val="24"/>
                <w:highlight w:val="none"/>
              </w:rPr>
            </w:pPr>
          </w:p>
        </w:tc>
      </w:tr>
      <w:tr w14:paraId="22678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02BD7C6D">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1AA53ECF">
            <w:pPr>
              <w:spacing w:line="360" w:lineRule="exact"/>
              <w:jc w:val="left"/>
              <w:rPr>
                <w:rFonts w:hint="eastAsia" w:ascii="宋体" w:hAnsi="宋体" w:eastAsia="宋体" w:cs="宋体"/>
                <w:color w:val="auto"/>
                <w:kern w:val="0"/>
                <w:sz w:val="24"/>
                <w:szCs w:val="24"/>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14:paraId="14DCDF4F">
            <w:pPr>
              <w:spacing w:line="360" w:lineRule="exact"/>
              <w:jc w:val="left"/>
              <w:rPr>
                <w:rFonts w:hint="eastAsia" w:ascii="宋体" w:hAnsi="宋体" w:eastAsia="宋体" w:cs="宋体"/>
                <w:color w:val="auto"/>
                <w:kern w:val="0"/>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96B32AA">
            <w:pPr>
              <w:spacing w:line="360" w:lineRule="exact"/>
              <w:jc w:val="left"/>
              <w:rPr>
                <w:rFonts w:hint="eastAsia" w:ascii="宋体" w:hAnsi="宋体" w:eastAsia="宋体" w:cs="宋体"/>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14:paraId="5EA58E2F">
            <w:pPr>
              <w:spacing w:line="360" w:lineRule="exact"/>
              <w:jc w:val="left"/>
              <w:rPr>
                <w:rFonts w:hint="eastAsia" w:ascii="宋体" w:hAnsi="宋体" w:eastAsia="宋体" w:cs="宋体"/>
                <w:color w:val="auto"/>
                <w:kern w:val="0"/>
                <w:sz w:val="24"/>
                <w:szCs w:val="24"/>
                <w:highlight w:val="none"/>
              </w:rPr>
            </w:pPr>
          </w:p>
        </w:tc>
      </w:tr>
      <w:tr w14:paraId="1127D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0258D399">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0FBDFDDA">
            <w:pPr>
              <w:spacing w:line="360" w:lineRule="exact"/>
              <w:jc w:val="left"/>
              <w:rPr>
                <w:rFonts w:hint="eastAsia" w:ascii="宋体" w:hAnsi="宋体" w:eastAsia="宋体" w:cs="宋体"/>
                <w:color w:val="auto"/>
                <w:kern w:val="0"/>
                <w:sz w:val="24"/>
                <w:szCs w:val="24"/>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14:paraId="2585C068">
            <w:pPr>
              <w:spacing w:line="360" w:lineRule="exact"/>
              <w:jc w:val="left"/>
              <w:rPr>
                <w:rFonts w:hint="eastAsia" w:ascii="宋体" w:hAnsi="宋体" w:eastAsia="宋体" w:cs="宋体"/>
                <w:color w:val="auto"/>
                <w:kern w:val="0"/>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30611F7">
            <w:pPr>
              <w:spacing w:line="360" w:lineRule="exact"/>
              <w:jc w:val="left"/>
              <w:rPr>
                <w:rFonts w:hint="eastAsia" w:ascii="宋体" w:hAnsi="宋体" w:eastAsia="宋体" w:cs="宋体"/>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14:paraId="61738112">
            <w:pPr>
              <w:spacing w:line="360" w:lineRule="exact"/>
              <w:jc w:val="left"/>
              <w:rPr>
                <w:rFonts w:hint="eastAsia" w:ascii="宋体" w:hAnsi="宋体" w:eastAsia="宋体" w:cs="宋体"/>
                <w:color w:val="auto"/>
                <w:kern w:val="0"/>
                <w:sz w:val="24"/>
                <w:szCs w:val="24"/>
                <w:highlight w:val="none"/>
              </w:rPr>
            </w:pPr>
          </w:p>
        </w:tc>
      </w:tr>
      <w:tr w14:paraId="366E6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650FA384">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093" w:type="dxa"/>
            <w:tcBorders>
              <w:top w:val="single" w:color="auto" w:sz="4" w:space="0"/>
              <w:left w:val="single" w:color="auto" w:sz="4" w:space="0"/>
              <w:bottom w:val="single" w:color="auto" w:sz="4" w:space="0"/>
              <w:right w:val="single" w:color="auto" w:sz="4" w:space="0"/>
            </w:tcBorders>
            <w:noWrap w:val="0"/>
            <w:vAlign w:val="center"/>
          </w:tcPr>
          <w:p w14:paraId="247E8C56">
            <w:pPr>
              <w:spacing w:line="360" w:lineRule="exact"/>
              <w:jc w:val="left"/>
              <w:rPr>
                <w:rFonts w:hint="eastAsia" w:ascii="宋体" w:hAnsi="宋体" w:eastAsia="宋体" w:cs="宋体"/>
                <w:color w:val="auto"/>
                <w:kern w:val="0"/>
                <w:sz w:val="24"/>
                <w:szCs w:val="24"/>
                <w:highlight w:val="none"/>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14:paraId="4CF63FBE">
            <w:pPr>
              <w:spacing w:line="360" w:lineRule="exact"/>
              <w:jc w:val="left"/>
              <w:rPr>
                <w:rFonts w:hint="eastAsia" w:ascii="宋体" w:hAnsi="宋体" w:eastAsia="宋体" w:cs="宋体"/>
                <w:color w:val="auto"/>
                <w:kern w:val="0"/>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064F9F0">
            <w:pPr>
              <w:spacing w:line="360" w:lineRule="exact"/>
              <w:jc w:val="left"/>
              <w:rPr>
                <w:rFonts w:hint="eastAsia" w:ascii="宋体" w:hAnsi="宋体" w:eastAsia="宋体" w:cs="宋体"/>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14:paraId="6F7F8528">
            <w:pPr>
              <w:spacing w:line="360" w:lineRule="exact"/>
              <w:jc w:val="left"/>
              <w:rPr>
                <w:rFonts w:hint="eastAsia" w:ascii="宋体" w:hAnsi="宋体" w:eastAsia="宋体" w:cs="宋体"/>
                <w:color w:val="auto"/>
                <w:kern w:val="0"/>
                <w:sz w:val="24"/>
                <w:szCs w:val="24"/>
                <w:highlight w:val="none"/>
              </w:rPr>
            </w:pPr>
          </w:p>
        </w:tc>
      </w:tr>
    </w:tbl>
    <w:p w14:paraId="36F2EC36">
      <w:pPr>
        <w:spacing w:line="360" w:lineRule="auto"/>
        <w:jc w:val="left"/>
        <w:rPr>
          <w:rFonts w:hint="eastAsia" w:ascii="宋体" w:hAnsi="宋体" w:eastAsia="宋体" w:cs="宋体"/>
          <w:color w:val="auto"/>
          <w:kern w:val="0"/>
          <w:sz w:val="24"/>
          <w:szCs w:val="24"/>
          <w:highlight w:val="none"/>
        </w:rPr>
      </w:pPr>
    </w:p>
    <w:p w14:paraId="1E24191E">
      <w:pPr>
        <w:pStyle w:val="82"/>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注：本表后附评标细则要求提供的证明资料。</w:t>
      </w:r>
    </w:p>
    <w:p w14:paraId="24B29ECB">
      <w:pPr>
        <w:pStyle w:val="7"/>
        <w:rPr>
          <w:rFonts w:hint="eastAsia" w:ascii="宋体" w:hAnsi="宋体" w:eastAsia="宋体" w:cs="宋体"/>
          <w:color w:val="auto"/>
          <w:sz w:val="24"/>
          <w:szCs w:val="24"/>
          <w:highlight w:val="none"/>
        </w:rPr>
      </w:pPr>
    </w:p>
    <w:p w14:paraId="003ED3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15EB1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9D703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30A41062">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B2B6F2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EDF66E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FCF97E8">
      <w:pPr>
        <w:spacing w:line="360" w:lineRule="auto"/>
        <w:jc w:val="center"/>
        <w:outlineLvl w:val="0"/>
        <w:rPr>
          <w:rFonts w:ascii="宋体" w:hAnsi="宋体" w:cs="宋体"/>
          <w:b/>
          <w:color w:val="auto"/>
          <w:kern w:val="0"/>
          <w:sz w:val="36"/>
          <w:szCs w:val="36"/>
          <w:highlight w:val="none"/>
        </w:rPr>
      </w:pPr>
    </w:p>
    <w:p w14:paraId="1F420A11">
      <w:pPr>
        <w:numPr>
          <w:ilvl w:val="0"/>
          <w:numId w:val="7"/>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r>
        <w:rPr>
          <w:rFonts w:hint="eastAsia" w:ascii="宋体" w:hAnsi="宋体" w:eastAsia="宋体" w:cs="宋体"/>
          <w:color w:val="auto"/>
          <w:sz w:val="24"/>
          <w:szCs w:val="24"/>
          <w:highlight w:val="none"/>
          <w:lang w:eastAsia="zh-CN"/>
        </w:rPr>
        <w:t>；</w:t>
      </w:r>
    </w:p>
    <w:p w14:paraId="5FD750E0">
      <w:pPr>
        <w:numPr>
          <w:ilvl w:val="0"/>
          <w:numId w:val="7"/>
        </w:num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投标分项报价表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lang w:eastAsia="zh-CN"/>
        </w:rPr>
        <w:t>；</w:t>
      </w:r>
    </w:p>
    <w:p w14:paraId="22932745">
      <w:pPr>
        <w:pStyle w:val="60"/>
        <w:rPr>
          <w:rFonts w:hint="eastAsia"/>
          <w:color w:val="auto"/>
          <w:highlight w:val="none"/>
        </w:rPr>
      </w:pPr>
    </w:p>
    <w:p w14:paraId="43639415">
      <w:pPr>
        <w:pStyle w:val="85"/>
        <w:rPr>
          <w:color w:val="auto"/>
          <w:highlight w:val="none"/>
        </w:rPr>
      </w:pPr>
    </w:p>
    <w:p w14:paraId="3797CC18">
      <w:pPr>
        <w:snapToGrid w:val="0"/>
        <w:spacing w:line="360" w:lineRule="auto"/>
        <w:ind w:right="480"/>
        <w:jc w:val="center"/>
        <w:rPr>
          <w:rFonts w:ascii="宋体" w:hAnsi="宋体" w:cs="宋体"/>
          <w:b/>
          <w:color w:val="auto"/>
          <w:kern w:val="0"/>
          <w:sz w:val="32"/>
          <w:szCs w:val="32"/>
          <w:highlight w:val="none"/>
        </w:rPr>
      </w:pPr>
    </w:p>
    <w:p w14:paraId="23E20BA9">
      <w:pPr>
        <w:snapToGrid w:val="0"/>
        <w:spacing w:line="360" w:lineRule="auto"/>
        <w:ind w:right="480"/>
        <w:jc w:val="center"/>
        <w:rPr>
          <w:rFonts w:ascii="宋体" w:hAnsi="宋体" w:cs="宋体"/>
          <w:b/>
          <w:color w:val="auto"/>
          <w:kern w:val="0"/>
          <w:sz w:val="32"/>
          <w:szCs w:val="32"/>
          <w:highlight w:val="none"/>
        </w:rPr>
      </w:pPr>
    </w:p>
    <w:p w14:paraId="11C51B24">
      <w:pPr>
        <w:snapToGrid w:val="0"/>
        <w:spacing w:line="360" w:lineRule="auto"/>
        <w:ind w:right="480"/>
        <w:jc w:val="center"/>
        <w:rPr>
          <w:rFonts w:ascii="宋体" w:hAnsi="宋体" w:cs="宋体"/>
          <w:b/>
          <w:color w:val="auto"/>
          <w:kern w:val="0"/>
          <w:sz w:val="32"/>
          <w:szCs w:val="32"/>
          <w:highlight w:val="none"/>
        </w:rPr>
      </w:pPr>
    </w:p>
    <w:p w14:paraId="12EEC49A">
      <w:pPr>
        <w:snapToGrid w:val="0"/>
        <w:spacing w:line="360" w:lineRule="auto"/>
        <w:ind w:right="480"/>
        <w:jc w:val="center"/>
        <w:rPr>
          <w:rFonts w:ascii="宋体" w:hAnsi="宋体" w:cs="宋体"/>
          <w:b/>
          <w:color w:val="auto"/>
          <w:kern w:val="0"/>
          <w:sz w:val="32"/>
          <w:szCs w:val="32"/>
          <w:highlight w:val="none"/>
        </w:rPr>
      </w:pPr>
    </w:p>
    <w:p w14:paraId="073AA74F">
      <w:pPr>
        <w:snapToGrid w:val="0"/>
        <w:spacing w:line="360" w:lineRule="auto"/>
        <w:ind w:right="480"/>
        <w:jc w:val="center"/>
        <w:rPr>
          <w:rFonts w:ascii="宋体" w:hAnsi="宋体" w:cs="宋体"/>
          <w:b/>
          <w:color w:val="auto"/>
          <w:kern w:val="0"/>
          <w:sz w:val="32"/>
          <w:szCs w:val="32"/>
          <w:highlight w:val="none"/>
        </w:rPr>
      </w:pPr>
    </w:p>
    <w:p w14:paraId="056F7B9D">
      <w:pPr>
        <w:snapToGrid w:val="0"/>
        <w:spacing w:line="360" w:lineRule="auto"/>
        <w:ind w:right="480"/>
        <w:jc w:val="center"/>
        <w:rPr>
          <w:rFonts w:ascii="宋体" w:hAnsi="宋体" w:cs="宋体"/>
          <w:b/>
          <w:color w:val="auto"/>
          <w:kern w:val="0"/>
          <w:sz w:val="32"/>
          <w:szCs w:val="32"/>
          <w:highlight w:val="none"/>
        </w:rPr>
      </w:pPr>
    </w:p>
    <w:p w14:paraId="4046BA24">
      <w:pPr>
        <w:snapToGrid w:val="0"/>
        <w:spacing w:line="360" w:lineRule="auto"/>
        <w:ind w:right="480"/>
        <w:jc w:val="center"/>
        <w:rPr>
          <w:rFonts w:ascii="宋体" w:hAnsi="宋体" w:cs="宋体"/>
          <w:b/>
          <w:color w:val="auto"/>
          <w:kern w:val="0"/>
          <w:sz w:val="32"/>
          <w:szCs w:val="32"/>
          <w:highlight w:val="none"/>
        </w:rPr>
      </w:pPr>
    </w:p>
    <w:p w14:paraId="00C0BF4D">
      <w:pPr>
        <w:snapToGrid w:val="0"/>
        <w:spacing w:line="360" w:lineRule="auto"/>
        <w:ind w:right="480"/>
        <w:jc w:val="center"/>
        <w:rPr>
          <w:rFonts w:ascii="宋体" w:hAnsi="宋体" w:cs="宋体"/>
          <w:b/>
          <w:color w:val="auto"/>
          <w:kern w:val="0"/>
          <w:sz w:val="32"/>
          <w:szCs w:val="32"/>
          <w:highlight w:val="none"/>
        </w:rPr>
      </w:pPr>
    </w:p>
    <w:p w14:paraId="527C48AC">
      <w:pPr>
        <w:snapToGrid w:val="0"/>
        <w:spacing w:line="360" w:lineRule="auto"/>
        <w:ind w:right="480"/>
        <w:jc w:val="center"/>
        <w:rPr>
          <w:rFonts w:ascii="宋体" w:hAnsi="宋体" w:cs="宋体"/>
          <w:b/>
          <w:color w:val="auto"/>
          <w:kern w:val="0"/>
          <w:sz w:val="32"/>
          <w:szCs w:val="32"/>
          <w:highlight w:val="none"/>
        </w:rPr>
      </w:pPr>
    </w:p>
    <w:p w14:paraId="04FD45FA">
      <w:pPr>
        <w:snapToGrid w:val="0"/>
        <w:spacing w:line="360" w:lineRule="auto"/>
        <w:ind w:right="480"/>
        <w:jc w:val="center"/>
        <w:rPr>
          <w:rFonts w:ascii="宋体" w:hAnsi="宋体" w:cs="宋体"/>
          <w:b/>
          <w:color w:val="auto"/>
          <w:kern w:val="0"/>
          <w:sz w:val="32"/>
          <w:szCs w:val="32"/>
          <w:highlight w:val="none"/>
        </w:rPr>
      </w:pPr>
    </w:p>
    <w:p w14:paraId="44277BB2">
      <w:pPr>
        <w:snapToGrid w:val="0"/>
        <w:spacing w:line="360" w:lineRule="auto"/>
        <w:ind w:right="480"/>
        <w:jc w:val="center"/>
        <w:rPr>
          <w:rFonts w:ascii="宋体" w:hAnsi="宋体" w:cs="宋体"/>
          <w:b/>
          <w:color w:val="auto"/>
          <w:kern w:val="0"/>
          <w:sz w:val="32"/>
          <w:szCs w:val="32"/>
          <w:highlight w:val="none"/>
        </w:rPr>
      </w:pPr>
    </w:p>
    <w:p w14:paraId="1AB0213D">
      <w:pPr>
        <w:snapToGrid w:val="0"/>
        <w:spacing w:line="360" w:lineRule="auto"/>
        <w:ind w:right="480"/>
        <w:jc w:val="center"/>
        <w:rPr>
          <w:rFonts w:ascii="宋体" w:hAnsi="宋体" w:cs="宋体"/>
          <w:b/>
          <w:color w:val="auto"/>
          <w:kern w:val="0"/>
          <w:sz w:val="32"/>
          <w:szCs w:val="32"/>
          <w:highlight w:val="none"/>
        </w:rPr>
      </w:pPr>
    </w:p>
    <w:p w14:paraId="580F1ACE">
      <w:pPr>
        <w:snapToGrid w:val="0"/>
        <w:spacing w:line="360" w:lineRule="auto"/>
        <w:ind w:right="480"/>
        <w:jc w:val="center"/>
        <w:rPr>
          <w:rFonts w:ascii="宋体" w:hAnsi="宋体" w:cs="宋体"/>
          <w:b/>
          <w:color w:val="auto"/>
          <w:kern w:val="0"/>
          <w:sz w:val="32"/>
          <w:szCs w:val="32"/>
          <w:highlight w:val="none"/>
        </w:rPr>
      </w:pPr>
    </w:p>
    <w:p w14:paraId="462BDB5B">
      <w:pPr>
        <w:pStyle w:val="697"/>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pgSz w:w="11906" w:h="16838"/>
          <w:pgMar w:top="1134" w:right="1418" w:bottom="1134" w:left="1418" w:header="851" w:footer="992" w:gutter="0"/>
          <w:pgNumType w:fmt="decimal"/>
          <w:cols w:space="0" w:num="1"/>
          <w:titlePg/>
          <w:rtlGutter w:val="0"/>
          <w:docGrid w:linePitch="312" w:charSpace="0"/>
        </w:sectPr>
      </w:pPr>
    </w:p>
    <w:p w14:paraId="43A25963">
      <w:pPr>
        <w:pStyle w:val="697"/>
        <w:keepNext w:val="0"/>
        <w:pageBreakBefore w:val="0"/>
        <w:tabs>
          <w:tab w:val="clear" w:pos="720"/>
        </w:tabs>
        <w:snapToGrid w:val="0"/>
        <w:spacing w:before="120" w:after="12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一、开标一览表</w:t>
      </w:r>
    </w:p>
    <w:p w14:paraId="3D9401F0">
      <w:pPr>
        <w:tabs>
          <w:tab w:val="left" w:pos="420"/>
        </w:tabs>
        <w:spacing w:line="360" w:lineRule="auto"/>
        <w:rPr>
          <w:rFonts w:hint="eastAsia" w:ascii="宋体" w:hAnsi="宋体" w:eastAsia="宋体" w:cs="宋体"/>
          <w:color w:val="auto"/>
          <w:sz w:val="24"/>
          <w:szCs w:val="24"/>
          <w:highlight w:val="none"/>
        </w:rPr>
      </w:pPr>
    </w:p>
    <w:p w14:paraId="259B366A">
      <w:pPr>
        <w:tabs>
          <w:tab w:val="left" w:pos="420"/>
        </w:tabs>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1E7EC86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项目名称：</w:t>
      </w:r>
      <w:r>
        <w:rPr>
          <w:rFonts w:hint="eastAsia" w:ascii="宋体" w:hAnsi="宋体" w:eastAsia="宋体" w:cs="宋体"/>
          <w:color w:val="auto"/>
          <w:sz w:val="24"/>
          <w:szCs w:val="24"/>
          <w:highlight w:val="none"/>
          <w:u w:val="single"/>
        </w:rPr>
        <w:t xml:space="preserve">                 </w:t>
      </w:r>
    </w:p>
    <w:tbl>
      <w:tblPr>
        <w:tblStyle w:val="6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5"/>
        <w:gridCol w:w="5055"/>
      </w:tblGrid>
      <w:tr w14:paraId="40AD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225" w:type="dxa"/>
            <w:tcBorders>
              <w:top w:val="single" w:color="auto" w:sz="4" w:space="0"/>
              <w:left w:val="single" w:color="auto" w:sz="4" w:space="0"/>
              <w:bottom w:val="single" w:color="auto" w:sz="4" w:space="0"/>
              <w:right w:val="single" w:color="auto" w:sz="4" w:space="0"/>
            </w:tcBorders>
            <w:noWrap w:val="0"/>
            <w:vAlign w:val="center"/>
          </w:tcPr>
          <w:p w14:paraId="24BD17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055" w:type="dxa"/>
            <w:tcBorders>
              <w:top w:val="single" w:color="auto" w:sz="4" w:space="0"/>
              <w:left w:val="single" w:color="auto" w:sz="4" w:space="0"/>
              <w:bottom w:val="single" w:color="auto" w:sz="4" w:space="0"/>
              <w:right w:val="single" w:color="auto" w:sz="4" w:space="0"/>
            </w:tcBorders>
            <w:noWrap w:val="0"/>
            <w:vAlign w:val="center"/>
          </w:tcPr>
          <w:p w14:paraId="01E2A9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投标总报价（元</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w:t>
            </w:r>
          </w:p>
        </w:tc>
      </w:tr>
      <w:tr w14:paraId="368C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4225" w:type="dxa"/>
            <w:tcBorders>
              <w:top w:val="single" w:color="auto" w:sz="4" w:space="0"/>
              <w:left w:val="single" w:color="auto" w:sz="4" w:space="0"/>
              <w:bottom w:val="single" w:color="auto" w:sz="4" w:space="0"/>
              <w:right w:val="single" w:color="auto" w:sz="4" w:space="0"/>
            </w:tcBorders>
            <w:noWrap w:val="0"/>
            <w:vAlign w:val="center"/>
          </w:tcPr>
          <w:p w14:paraId="4D75AD29">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庄桥街道除四害消杀服务外包项目</w:t>
            </w:r>
          </w:p>
        </w:tc>
        <w:tc>
          <w:tcPr>
            <w:tcW w:w="5055" w:type="dxa"/>
            <w:tcBorders>
              <w:top w:val="single" w:color="auto" w:sz="4" w:space="0"/>
              <w:left w:val="single" w:color="auto" w:sz="4" w:space="0"/>
              <w:bottom w:val="single" w:color="auto" w:sz="4" w:space="0"/>
              <w:right w:val="single" w:color="auto" w:sz="4" w:space="0"/>
            </w:tcBorders>
            <w:noWrap w:val="0"/>
            <w:vAlign w:val="center"/>
          </w:tcPr>
          <w:p w14:paraId="4418199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/年</w:t>
            </w:r>
          </w:p>
          <w:p w14:paraId="2DCC6F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/年</w:t>
            </w:r>
          </w:p>
        </w:tc>
      </w:tr>
      <w:tr w14:paraId="49F8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4225" w:type="dxa"/>
            <w:tcBorders>
              <w:top w:val="single" w:color="auto" w:sz="4" w:space="0"/>
              <w:left w:val="single" w:color="auto" w:sz="4" w:space="0"/>
              <w:bottom w:val="single" w:color="auto" w:sz="4" w:space="0"/>
              <w:right w:val="single" w:color="auto" w:sz="4" w:space="0"/>
            </w:tcBorders>
            <w:noWrap w:val="0"/>
            <w:vAlign w:val="center"/>
          </w:tcPr>
          <w:p w14:paraId="4BC223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投标声明</w:t>
            </w:r>
          </w:p>
        </w:tc>
        <w:tc>
          <w:tcPr>
            <w:tcW w:w="5055" w:type="dxa"/>
            <w:tcBorders>
              <w:top w:val="single" w:color="auto" w:sz="4" w:space="0"/>
              <w:left w:val="single" w:color="auto" w:sz="4" w:space="0"/>
              <w:bottom w:val="single" w:color="auto" w:sz="4" w:space="0"/>
              <w:right w:val="single" w:color="auto" w:sz="4" w:space="0"/>
            </w:tcBorders>
            <w:noWrap w:val="0"/>
            <w:vAlign w:val="center"/>
          </w:tcPr>
          <w:p w14:paraId="05F7C4F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若无，请写“/”</w:t>
            </w:r>
          </w:p>
        </w:tc>
      </w:tr>
    </w:tbl>
    <w:p w14:paraId="302E4A1E">
      <w:pPr>
        <w:pageBreakBefore w:val="0"/>
        <w:topLinePunct w:val="0"/>
        <w:bidi w:val="0"/>
        <w:snapToGrid w:val="0"/>
        <w:spacing w:before="50" w:after="5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报价一经涂改，应在涂改处加盖单位公章或者由</w:t>
      </w:r>
      <w:r>
        <w:rPr>
          <w:rFonts w:hint="eastAsia"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lang w:eastAsia="zh-CN"/>
        </w:rPr>
        <w:t>企业负责人）</w:t>
      </w:r>
      <w:r>
        <w:rPr>
          <w:rFonts w:hint="eastAsia" w:ascii="宋体" w:hAnsi="宋体" w:eastAsia="宋体" w:cs="宋体"/>
          <w:color w:val="auto"/>
          <w:sz w:val="24"/>
          <w:szCs w:val="24"/>
          <w:highlight w:val="none"/>
        </w:rPr>
        <w:t>或授权委托人签字或盖章，否则其投标作无效标处理。</w:t>
      </w:r>
    </w:p>
    <w:p w14:paraId="7AE8070E">
      <w:pPr>
        <w:pageBreakBefore w:val="0"/>
        <w:topLinePunct w:val="0"/>
        <w:bidi w:val="0"/>
        <w:snapToGrid w:val="0"/>
        <w:spacing w:before="50" w:after="50" w:line="44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本项目的投标报价须包含完成本项目服务所需的所有费用，</w:t>
      </w:r>
      <w:r>
        <w:rPr>
          <w:rFonts w:hint="eastAsia" w:ascii="宋体" w:hAnsi="宋体" w:eastAsia="宋体" w:cs="宋体"/>
          <w:color w:val="auto"/>
          <w:sz w:val="24"/>
          <w:szCs w:val="24"/>
          <w:highlight w:val="none"/>
          <w:lang w:val="zh-CN" w:eastAsia="zh-CN"/>
        </w:rPr>
        <w:t>包括但不限于</w:t>
      </w:r>
      <w:r>
        <w:rPr>
          <w:rFonts w:hint="eastAsia" w:ascii="宋体" w:hAnsi="宋体" w:eastAsia="宋体" w:cs="宋体"/>
          <w:color w:val="auto"/>
          <w:sz w:val="24"/>
          <w:szCs w:val="24"/>
          <w:highlight w:val="none"/>
          <w:lang w:val="en-US"/>
        </w:rPr>
        <w:t>人员工资、保险福利费、设备材料、药械及服装费、春秋灭鼠（蚊蝇）药物、夏季灭蟑药物、企业管理费及利润及税金等一切工作所产生的费用及服务过程中可能涉及的所有费用。</w:t>
      </w:r>
    </w:p>
    <w:p w14:paraId="01E907B2">
      <w:pPr>
        <w:pageBreakBefore w:val="0"/>
        <w:numPr>
          <w:ilvl w:val="0"/>
          <w:numId w:val="0"/>
        </w:numPr>
        <w:topLinePunct w:val="0"/>
        <w:bidi w:val="0"/>
        <w:snapToGrid w:val="0"/>
        <w:spacing w:before="50" w:after="50" w:line="440" w:lineRule="exact"/>
        <w:ind w:leftChars="0"/>
        <w:textAlignment w:val="auto"/>
        <w:outlineLvl w:val="9"/>
        <w:rPr>
          <w:rFonts w:hint="eastAsia" w:ascii="宋体" w:hAnsi="宋体" w:eastAsia="宋体" w:cs="宋体"/>
          <w:color w:val="auto"/>
          <w:sz w:val="24"/>
          <w:szCs w:val="24"/>
          <w:highlight w:val="none"/>
          <w:lang w:val="zh-CN" w:eastAsia="zh-CN"/>
        </w:rPr>
      </w:pPr>
    </w:p>
    <w:p w14:paraId="40EE14D7">
      <w:pPr>
        <w:pStyle w:val="82"/>
        <w:widowControl w:val="0"/>
        <w:numPr>
          <w:ilvl w:val="0"/>
          <w:numId w:val="0"/>
        </w:numPr>
        <w:adjustRightInd w:val="0"/>
        <w:spacing w:line="360" w:lineRule="auto"/>
        <w:jc w:val="both"/>
        <w:rPr>
          <w:rFonts w:hint="eastAsia" w:ascii="宋体" w:hAnsi="宋体" w:eastAsia="宋体" w:cs="宋体"/>
          <w:color w:val="auto"/>
          <w:sz w:val="24"/>
          <w:szCs w:val="24"/>
          <w:highlight w:val="none"/>
          <w:lang w:val="zh-CN" w:eastAsia="zh-CN"/>
        </w:rPr>
      </w:pPr>
    </w:p>
    <w:p w14:paraId="098A8917">
      <w:pPr>
        <w:pStyle w:val="83"/>
        <w:rPr>
          <w:rFonts w:hint="eastAsia" w:ascii="宋体" w:hAnsi="宋体" w:eastAsia="宋体" w:cs="宋体"/>
          <w:color w:val="auto"/>
          <w:sz w:val="24"/>
          <w:szCs w:val="24"/>
          <w:highlight w:val="none"/>
          <w:lang w:val="zh-CN" w:eastAsia="zh-CN"/>
        </w:rPr>
      </w:pPr>
    </w:p>
    <w:p w14:paraId="6F7296A3">
      <w:pPr>
        <w:rPr>
          <w:rFonts w:hint="eastAsia" w:ascii="宋体" w:hAnsi="宋体" w:eastAsia="宋体" w:cs="宋体"/>
          <w:color w:val="auto"/>
          <w:sz w:val="24"/>
          <w:szCs w:val="24"/>
          <w:highlight w:val="none"/>
          <w:lang w:val="zh-CN" w:eastAsia="zh-CN"/>
        </w:rPr>
      </w:pPr>
    </w:p>
    <w:p w14:paraId="0F2AD8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3D6B9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1A913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60F54DE4">
      <w:pPr>
        <w:spacing w:line="360" w:lineRule="auto"/>
        <w:jc w:val="center"/>
        <w:rPr>
          <w:rFonts w:hint="eastAsia" w:ascii="宋体" w:hAnsi="宋体" w:eastAsia="宋体" w:cs="宋体"/>
          <w:color w:val="auto"/>
          <w:kern w:val="0"/>
          <w:sz w:val="24"/>
          <w:szCs w:val="24"/>
          <w:highlight w:val="none"/>
          <w:lang w:val="zh-CN"/>
        </w:rPr>
      </w:pPr>
    </w:p>
    <w:p w14:paraId="77AC77D2">
      <w:pPr>
        <w:pStyle w:val="82"/>
        <w:rPr>
          <w:rFonts w:hint="default"/>
          <w:color w:val="auto"/>
          <w:highlight w:val="none"/>
          <w:lang w:val="zh-CN" w:eastAsia="zh-CN"/>
        </w:rPr>
        <w:sectPr>
          <w:pgSz w:w="11906" w:h="16838"/>
          <w:pgMar w:top="1134" w:right="1418" w:bottom="1134" w:left="1418" w:header="851" w:footer="992" w:gutter="0"/>
          <w:pgNumType w:fmt="decimal"/>
          <w:cols w:space="0" w:num="1"/>
          <w:titlePg/>
          <w:rtlGutter w:val="0"/>
          <w:docGrid w:linePitch="312" w:charSpace="0"/>
        </w:sectPr>
      </w:pPr>
    </w:p>
    <w:p w14:paraId="20CEF997">
      <w:pPr>
        <w:pStyle w:val="697"/>
        <w:keepNext w:val="0"/>
        <w:pageBreakBefore w:val="0"/>
        <w:tabs>
          <w:tab w:val="clear" w:pos="720"/>
        </w:tabs>
        <w:snapToGrid w:val="0"/>
        <w:spacing w:before="120" w:after="120"/>
        <w:jc w:val="center"/>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二、投标分项报价表（格式自拟）</w:t>
      </w:r>
    </w:p>
    <w:p w14:paraId="07C815FC">
      <w:pPr>
        <w:tabs>
          <w:tab w:val="left" w:pos="420"/>
        </w:tabs>
        <w:spacing w:line="360" w:lineRule="auto"/>
        <w:rPr>
          <w:rFonts w:hint="eastAsia"/>
          <w:color w:val="auto"/>
          <w:sz w:val="24"/>
          <w:szCs w:val="24"/>
          <w:highlight w:val="none"/>
        </w:rPr>
      </w:pPr>
    </w:p>
    <w:p w14:paraId="6CB732B0">
      <w:pPr>
        <w:tabs>
          <w:tab w:val="left" w:pos="420"/>
        </w:tabs>
        <w:spacing w:line="360" w:lineRule="auto"/>
        <w:rPr>
          <w:color w:val="auto"/>
          <w:sz w:val="24"/>
          <w:szCs w:val="24"/>
          <w:highlight w:val="none"/>
          <w:u w:val="single"/>
        </w:rPr>
      </w:pPr>
      <w:r>
        <w:rPr>
          <w:rFonts w:hint="eastAsia"/>
          <w:color w:val="auto"/>
          <w:sz w:val="24"/>
          <w:szCs w:val="24"/>
          <w:highlight w:val="none"/>
        </w:rPr>
        <w:t>项目编号：</w:t>
      </w:r>
      <w:r>
        <w:rPr>
          <w:rFonts w:hint="eastAsia"/>
          <w:color w:val="auto"/>
          <w:sz w:val="24"/>
          <w:szCs w:val="24"/>
          <w:highlight w:val="none"/>
          <w:u w:val="single"/>
        </w:rPr>
        <w:t xml:space="preserve"> </w:t>
      </w:r>
      <w:r>
        <w:rPr>
          <w:color w:val="auto"/>
          <w:sz w:val="24"/>
          <w:szCs w:val="24"/>
          <w:highlight w:val="none"/>
          <w:u w:val="single"/>
        </w:rPr>
        <w:t xml:space="preserve">                </w:t>
      </w:r>
    </w:p>
    <w:p w14:paraId="2449991D">
      <w:pPr>
        <w:spacing w:line="360" w:lineRule="auto"/>
        <w:rPr>
          <w:rFonts w:hint="eastAsia" w:ascii="宋体" w:hAnsi="宋体" w:eastAsia="宋体" w:cs="宋体"/>
          <w:color w:val="auto"/>
          <w:kern w:val="2"/>
          <w:sz w:val="24"/>
          <w:szCs w:val="24"/>
          <w:highlight w:val="none"/>
          <w:lang w:val="en-US" w:eastAsia="zh-CN"/>
        </w:rPr>
      </w:pPr>
      <w:r>
        <w:rPr>
          <w:rFonts w:hint="eastAsia"/>
          <w:bCs/>
          <w:color w:val="auto"/>
          <w:sz w:val="24"/>
          <w:szCs w:val="24"/>
          <w:highlight w:val="none"/>
        </w:rPr>
        <w:t>项目名称：</w:t>
      </w:r>
      <w:r>
        <w:rPr>
          <w:rFonts w:hint="eastAsia"/>
          <w:color w:val="auto"/>
          <w:sz w:val="24"/>
          <w:szCs w:val="24"/>
          <w:highlight w:val="none"/>
          <w:u w:val="single"/>
        </w:rPr>
        <w:t xml:space="preserve"> </w:t>
      </w:r>
      <w:r>
        <w:rPr>
          <w:color w:val="auto"/>
          <w:sz w:val="24"/>
          <w:szCs w:val="24"/>
          <w:highlight w:val="none"/>
          <w:u w:val="single"/>
        </w:rPr>
        <w:t xml:space="preserve">                </w:t>
      </w:r>
    </w:p>
    <w:tbl>
      <w:tblPr>
        <w:tblStyle w:val="6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1857"/>
        <w:gridCol w:w="1858"/>
      </w:tblGrid>
      <w:tr w14:paraId="115F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104CFEA9">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604E3DE1">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6EE0DE82">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0BD1AD87">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4492DAEB">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r w14:paraId="3794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62F38011">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767FBBDD">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1CB9CC87">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6F5195FF">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50B3D684">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r w14:paraId="36FF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C17C02E">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0BA8CE76">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0A06710D">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1C793B5C">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04582D1E">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r w14:paraId="4E0D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01B37034">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2DB485F2">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5F2B7929">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75B474F7">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1597DD4E">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bl>
    <w:p w14:paraId="2660A160">
      <w:pPr>
        <w:pStyle w:val="697"/>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lang w:val="en-US" w:eastAsia="zh-CN"/>
        </w:rPr>
      </w:pPr>
    </w:p>
    <w:p w14:paraId="1FBE36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7A9028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036AEE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7752244E">
      <w:pPr>
        <w:pStyle w:val="2"/>
        <w:ind w:left="0" w:leftChars="0" w:firstLine="0" w:firstLineChars="0"/>
        <w:rPr>
          <w:rFonts w:hint="eastAsia"/>
          <w:color w:val="auto"/>
          <w:highlight w:val="none"/>
          <w:lang w:val="en-US" w:eastAsia="zh-CN"/>
        </w:rPr>
      </w:pPr>
    </w:p>
    <w:sectPr>
      <w:headerReference r:id="rId23" w:type="first"/>
      <w:footerReference r:id="rId25" w:type="first"/>
      <w:headerReference r:id="rId22" w:type="default"/>
      <w:footerReference r:id="rId24" w:type="default"/>
      <w:pgSz w:w="11906" w:h="16838"/>
      <w:pgMar w:top="1134" w:right="1418" w:bottom="1134" w:left="1418"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HP Simplified Han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HP Simplified Han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HP Simplified Hans"/>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AFD3">
    <w:pPr>
      <w:pStyle w:val="41"/>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CE788">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4E942">
                          <w:pPr>
                            <w:pStyle w:val="4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2D4E942">
                    <w:pPr>
                      <w:pStyle w:val="4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4588F">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9CD0E">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139CD0E">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0347">
    <w:pPr>
      <w:pStyle w:val="41"/>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4E160">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F4E160">
                    <w:pPr>
                      <w:pStyle w:val="4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FE1C">
    <w:pPr>
      <w:pStyle w:val="41"/>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955D3">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82955D3">
                    <w:pPr>
                      <w:pStyle w:val="4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D2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9157D">
    <w:pPr>
      <w:pStyle w:val="41"/>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1443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691443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340D">
    <w:pPr>
      <w:pStyle w:val="41"/>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0DFEA">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C0DFEA">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E3D3A">
    <w:pPr>
      <w:pStyle w:val="41"/>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9EF5B">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F9EF5B">
                    <w:pPr>
                      <w:pStyle w:val="4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B996B">
    <w:pPr>
      <w:pStyle w:val="41"/>
      <w:framePr w:wrap="around" w:vAnchor="text" w:hAnchor="margin" w:xAlign="right" w:y="1"/>
      <w:rPr>
        <w:rStyle w:val="74"/>
      </w:rPr>
    </w:pPr>
    <w:r>
      <w:fldChar w:fldCharType="begin"/>
    </w:r>
    <w:r>
      <w:rPr>
        <w:rStyle w:val="74"/>
      </w:rPr>
      <w:instrText xml:space="preserve">PAGE  </w:instrText>
    </w:r>
    <w:r>
      <w:fldChar w:fldCharType="end"/>
    </w:r>
  </w:p>
  <w:p w14:paraId="5E487856">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0869">
    <w:pPr>
      <w:pStyle w:val="41"/>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3A34B">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03A34B">
                    <w:pPr>
                      <w:pStyle w:val="4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B9B5">
    <w:pPr>
      <w:rPr>
        <w:rFonts w:ascii="仿宋_GB2312" w:eastAsia="仿宋_GB231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ADFE7">
                          <w:pPr>
                            <w:pStyle w:val="4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FADFE7">
                    <w:pPr>
                      <w:pStyle w:val="4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38E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A1B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757C">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5306">
    <w:pPr>
      <w:pStyle w:val="4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8B4A">
    <w:pPr>
      <w:pStyle w:val="42"/>
      <w:pBdr>
        <w:bottom w:val="none" w:color="auto" w:sz="0" w:space="1"/>
      </w:pBdr>
      <w:jc w:val="right"/>
      <w:rPr>
        <w:rFonts w:ascii="仿宋_GB2312" w:eastAsia="仿宋_GB2312"/>
        <w:b/>
        <w:i/>
        <w:iCs/>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CBC5">
    <w:pPr>
      <w:pStyle w:val="4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E474">
    <w:pPr>
      <w:pStyle w:val="42"/>
      <w:pBdr>
        <w:bottom w:val="none" w:color="auto" w:sz="0" w:space="1"/>
      </w:pBdr>
      <w:rPr>
        <w:rFonts w:ascii="仿宋_GB2312" w:eastAsia="仿宋_GB2312"/>
        <w:b/>
        <w:i/>
        <w:u w:val="single"/>
      </w:rPr>
    </w:pPr>
    <w:r>
      <w:t></w:t>
    </w:r>
    <w:r>
      <w:rPr>
        <w:rFonts w:hint="eastAsia"/>
      </w:rPr>
      <w:t xml:space="preserve">                                   </w:t>
    </w:r>
  </w:p>
  <w:p w14:paraId="563BD66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4948">
    <w:pPr>
      <w:pStyle w:val="4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179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2C7F">
    <w:pPr>
      <w:pStyle w:val="4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B0F0B">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0ECF"/>
    <w:multiLevelType w:val="singleLevel"/>
    <w:tmpl w:val="84650ECF"/>
    <w:lvl w:ilvl="0" w:tentative="0">
      <w:start w:val="3"/>
      <w:numFmt w:val="chineseCounting"/>
      <w:suff w:val="space"/>
      <w:lvlText w:val="第%1部分"/>
      <w:lvlJc w:val="left"/>
      <w:rPr>
        <w:rFonts w:hint="eastAsia"/>
      </w:rPr>
    </w:lvl>
  </w:abstractNum>
  <w:abstractNum w:abstractNumId="1">
    <w:nsid w:val="8E427D3A"/>
    <w:multiLevelType w:val="singleLevel"/>
    <w:tmpl w:val="8E427D3A"/>
    <w:lvl w:ilvl="0" w:tentative="0">
      <w:start w:val="6"/>
      <w:numFmt w:val="chineseCounting"/>
      <w:suff w:val="space"/>
      <w:lvlText w:val="第%1部分"/>
      <w:lvlJc w:val="left"/>
      <w:rPr>
        <w:rFonts w:hint="eastAsia"/>
      </w:rPr>
    </w:lvl>
  </w:abstractNum>
  <w:abstractNum w:abstractNumId="2">
    <w:nsid w:val="C1B78A80"/>
    <w:multiLevelType w:val="singleLevel"/>
    <w:tmpl w:val="C1B78A80"/>
    <w:lvl w:ilvl="0" w:tentative="0">
      <w:start w:val="29"/>
      <w:numFmt w:val="decimal"/>
      <w:lvlText w:val="%1."/>
      <w:lvlJc w:val="left"/>
      <w:pPr>
        <w:tabs>
          <w:tab w:val="left" w:pos="312"/>
        </w:tabs>
      </w:pPr>
    </w:lvl>
  </w:abstractNum>
  <w:abstractNum w:abstractNumId="3">
    <w:nsid w:val="E26F27C8"/>
    <w:multiLevelType w:val="singleLevel"/>
    <w:tmpl w:val="E26F27C8"/>
    <w:lvl w:ilvl="0" w:tentative="0">
      <w:start w:val="1"/>
      <w:numFmt w:val="decimal"/>
      <w:suff w:val="nothing"/>
      <w:lvlText w:val="（%1）"/>
      <w:lvlJc w:val="left"/>
      <w:pPr>
        <w:ind w:left="-479"/>
      </w:pPr>
    </w:lvl>
  </w:abstractNum>
  <w:abstractNum w:abstractNumId="4">
    <w:nsid w:val="F65A6F9E"/>
    <w:multiLevelType w:val="singleLevel"/>
    <w:tmpl w:val="F65A6F9E"/>
    <w:lvl w:ilvl="0" w:tentative="0">
      <w:start w:val="5"/>
      <w:numFmt w:val="chineseCounting"/>
      <w:suff w:val="nothing"/>
      <w:lvlText w:val="%1、"/>
      <w:lvlJc w:val="left"/>
      <w:rPr>
        <w:rFonts w:hint="eastAsia"/>
      </w:rPr>
    </w:lvl>
  </w:abstractNum>
  <w:abstractNum w:abstractNumId="5">
    <w:nsid w:val="2C4FA690"/>
    <w:multiLevelType w:val="singleLevel"/>
    <w:tmpl w:val="2C4FA690"/>
    <w:lvl w:ilvl="0" w:tentative="0">
      <w:start w:val="1"/>
      <w:numFmt w:val="ideographTraditional"/>
      <w:suff w:val="nothing"/>
      <w:lvlText w:val="%1、"/>
      <w:lvlJc w:val="left"/>
      <w:rPr>
        <w:rFonts w:hint="eastAsia"/>
      </w:rPr>
    </w:lvl>
  </w:abstractNum>
  <w:abstractNum w:abstractNumId="6">
    <w:nsid w:val="41892D21"/>
    <w:multiLevelType w:val="singleLevel"/>
    <w:tmpl w:val="41892D21"/>
    <w:lvl w:ilvl="0" w:tentative="0">
      <w:start w:val="1"/>
      <w:numFmt w:val="decimal"/>
      <w:suff w:val="nothing"/>
      <w:lvlText w:val="（%1）"/>
      <w:lvlJc w:val="left"/>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NDljOTNiOGQ3OTM2YjgyZDg3ZTNhMzRkNmI2ZD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B1"/>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44BE"/>
    <w:rsid w:val="011F6449"/>
    <w:rsid w:val="01236AFB"/>
    <w:rsid w:val="01336C8A"/>
    <w:rsid w:val="019F7441"/>
    <w:rsid w:val="01B37585"/>
    <w:rsid w:val="01D55165"/>
    <w:rsid w:val="01DF6BF8"/>
    <w:rsid w:val="01EC2C57"/>
    <w:rsid w:val="020B4CCA"/>
    <w:rsid w:val="02351DD4"/>
    <w:rsid w:val="02583F4E"/>
    <w:rsid w:val="025F0711"/>
    <w:rsid w:val="026B2E25"/>
    <w:rsid w:val="02824D4D"/>
    <w:rsid w:val="02A601A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C523A"/>
    <w:rsid w:val="06493CA7"/>
    <w:rsid w:val="065A6178"/>
    <w:rsid w:val="066F1CF3"/>
    <w:rsid w:val="06930BB8"/>
    <w:rsid w:val="06C158EB"/>
    <w:rsid w:val="06D86FD5"/>
    <w:rsid w:val="0712477B"/>
    <w:rsid w:val="071C6FC5"/>
    <w:rsid w:val="07245D42"/>
    <w:rsid w:val="07264C62"/>
    <w:rsid w:val="074960E6"/>
    <w:rsid w:val="0779354C"/>
    <w:rsid w:val="08061376"/>
    <w:rsid w:val="08452D77"/>
    <w:rsid w:val="086401F8"/>
    <w:rsid w:val="08751CAA"/>
    <w:rsid w:val="087E4C40"/>
    <w:rsid w:val="08A871D0"/>
    <w:rsid w:val="08AA23AF"/>
    <w:rsid w:val="08BA0844"/>
    <w:rsid w:val="08D66AD6"/>
    <w:rsid w:val="08DA33A3"/>
    <w:rsid w:val="08DD28FF"/>
    <w:rsid w:val="08E80F13"/>
    <w:rsid w:val="09280DA2"/>
    <w:rsid w:val="09335624"/>
    <w:rsid w:val="0944690F"/>
    <w:rsid w:val="09535675"/>
    <w:rsid w:val="095F057D"/>
    <w:rsid w:val="09642282"/>
    <w:rsid w:val="09733572"/>
    <w:rsid w:val="09772C16"/>
    <w:rsid w:val="098353B5"/>
    <w:rsid w:val="0995305F"/>
    <w:rsid w:val="09A92330"/>
    <w:rsid w:val="09B06B87"/>
    <w:rsid w:val="09C13146"/>
    <w:rsid w:val="09E04166"/>
    <w:rsid w:val="0A1C0718"/>
    <w:rsid w:val="0A3E7710"/>
    <w:rsid w:val="0A4E70E3"/>
    <w:rsid w:val="0A5B5249"/>
    <w:rsid w:val="0A5B7E63"/>
    <w:rsid w:val="0A60565A"/>
    <w:rsid w:val="0AA374A5"/>
    <w:rsid w:val="0AAB7649"/>
    <w:rsid w:val="0ABC5606"/>
    <w:rsid w:val="0AE27FB8"/>
    <w:rsid w:val="0AF90242"/>
    <w:rsid w:val="0B30404E"/>
    <w:rsid w:val="0B4C6C14"/>
    <w:rsid w:val="0B547599"/>
    <w:rsid w:val="0B631A88"/>
    <w:rsid w:val="0B683D45"/>
    <w:rsid w:val="0B7F3F11"/>
    <w:rsid w:val="0B884417"/>
    <w:rsid w:val="0BF6188C"/>
    <w:rsid w:val="0BF73C91"/>
    <w:rsid w:val="0C1429D4"/>
    <w:rsid w:val="0C170175"/>
    <w:rsid w:val="0C571A41"/>
    <w:rsid w:val="0C5C1171"/>
    <w:rsid w:val="0C5E1CBC"/>
    <w:rsid w:val="0C615B50"/>
    <w:rsid w:val="0C8445DA"/>
    <w:rsid w:val="0C87121B"/>
    <w:rsid w:val="0CC007F7"/>
    <w:rsid w:val="0CC617AC"/>
    <w:rsid w:val="0CD0679B"/>
    <w:rsid w:val="0CE618DF"/>
    <w:rsid w:val="0CFE707A"/>
    <w:rsid w:val="0D063BDA"/>
    <w:rsid w:val="0D08375F"/>
    <w:rsid w:val="0D184CFB"/>
    <w:rsid w:val="0D4A7419"/>
    <w:rsid w:val="0D827401"/>
    <w:rsid w:val="0D84094E"/>
    <w:rsid w:val="0D8A00E9"/>
    <w:rsid w:val="0D8D589E"/>
    <w:rsid w:val="0DA01C73"/>
    <w:rsid w:val="0DD63300"/>
    <w:rsid w:val="0DE93979"/>
    <w:rsid w:val="0DF50604"/>
    <w:rsid w:val="0DF702FE"/>
    <w:rsid w:val="0E045213"/>
    <w:rsid w:val="0E060E51"/>
    <w:rsid w:val="0E5604B2"/>
    <w:rsid w:val="0E6D5D79"/>
    <w:rsid w:val="0E7B020D"/>
    <w:rsid w:val="0E9D0089"/>
    <w:rsid w:val="0EB803EE"/>
    <w:rsid w:val="0EF94D4B"/>
    <w:rsid w:val="0F3216B5"/>
    <w:rsid w:val="0F467F22"/>
    <w:rsid w:val="0F4958DC"/>
    <w:rsid w:val="0F515DF7"/>
    <w:rsid w:val="0F596BA8"/>
    <w:rsid w:val="0F6248D2"/>
    <w:rsid w:val="0F693536"/>
    <w:rsid w:val="0F7B0511"/>
    <w:rsid w:val="0F7B76D9"/>
    <w:rsid w:val="0F816ACD"/>
    <w:rsid w:val="0F9832DB"/>
    <w:rsid w:val="0FBF3FD2"/>
    <w:rsid w:val="0FBF7FF3"/>
    <w:rsid w:val="0FCB77DB"/>
    <w:rsid w:val="10646583"/>
    <w:rsid w:val="106C7BF1"/>
    <w:rsid w:val="1075670C"/>
    <w:rsid w:val="107D4B15"/>
    <w:rsid w:val="10826590"/>
    <w:rsid w:val="108A3C80"/>
    <w:rsid w:val="10C26171"/>
    <w:rsid w:val="10F33360"/>
    <w:rsid w:val="10FC16EA"/>
    <w:rsid w:val="110F1D40"/>
    <w:rsid w:val="11266F33"/>
    <w:rsid w:val="114E3F4F"/>
    <w:rsid w:val="118963A1"/>
    <w:rsid w:val="11C6522A"/>
    <w:rsid w:val="11E104CC"/>
    <w:rsid w:val="11E20309"/>
    <w:rsid w:val="12255233"/>
    <w:rsid w:val="12530213"/>
    <w:rsid w:val="127723A9"/>
    <w:rsid w:val="12862074"/>
    <w:rsid w:val="12883966"/>
    <w:rsid w:val="128F52CB"/>
    <w:rsid w:val="129E45B4"/>
    <w:rsid w:val="12AF1367"/>
    <w:rsid w:val="12D81596"/>
    <w:rsid w:val="13072A44"/>
    <w:rsid w:val="132536A6"/>
    <w:rsid w:val="13426006"/>
    <w:rsid w:val="135875D7"/>
    <w:rsid w:val="135F4BE2"/>
    <w:rsid w:val="139B1A0A"/>
    <w:rsid w:val="139D25C7"/>
    <w:rsid w:val="13BF3CE4"/>
    <w:rsid w:val="13CE750E"/>
    <w:rsid w:val="141008D8"/>
    <w:rsid w:val="14125FE6"/>
    <w:rsid w:val="14592CC2"/>
    <w:rsid w:val="146975C2"/>
    <w:rsid w:val="146D271E"/>
    <w:rsid w:val="14982588"/>
    <w:rsid w:val="149A5AD9"/>
    <w:rsid w:val="14A7619D"/>
    <w:rsid w:val="14D013EF"/>
    <w:rsid w:val="150536C3"/>
    <w:rsid w:val="150C1963"/>
    <w:rsid w:val="151447A0"/>
    <w:rsid w:val="15350C4F"/>
    <w:rsid w:val="154A6454"/>
    <w:rsid w:val="15762120"/>
    <w:rsid w:val="15C9146F"/>
    <w:rsid w:val="15F555B1"/>
    <w:rsid w:val="161C5228"/>
    <w:rsid w:val="16A8729C"/>
    <w:rsid w:val="16B33777"/>
    <w:rsid w:val="16BC70A7"/>
    <w:rsid w:val="16C6339E"/>
    <w:rsid w:val="17296C05"/>
    <w:rsid w:val="172F2D79"/>
    <w:rsid w:val="17557BEF"/>
    <w:rsid w:val="17A53209"/>
    <w:rsid w:val="17D349C1"/>
    <w:rsid w:val="1830729E"/>
    <w:rsid w:val="185034D7"/>
    <w:rsid w:val="1870062C"/>
    <w:rsid w:val="18817102"/>
    <w:rsid w:val="18830A15"/>
    <w:rsid w:val="18852B28"/>
    <w:rsid w:val="188B5321"/>
    <w:rsid w:val="194E24E2"/>
    <w:rsid w:val="19502AFF"/>
    <w:rsid w:val="19932372"/>
    <w:rsid w:val="19A20DD5"/>
    <w:rsid w:val="19AE03F1"/>
    <w:rsid w:val="19FA0027"/>
    <w:rsid w:val="1A071A03"/>
    <w:rsid w:val="1A1F16AE"/>
    <w:rsid w:val="1A3348FA"/>
    <w:rsid w:val="1A3B5C77"/>
    <w:rsid w:val="1A531D21"/>
    <w:rsid w:val="1A7C336C"/>
    <w:rsid w:val="1A984BAD"/>
    <w:rsid w:val="1AB8220E"/>
    <w:rsid w:val="1AE4166C"/>
    <w:rsid w:val="1AF06CFB"/>
    <w:rsid w:val="1AF11B8D"/>
    <w:rsid w:val="1B11359C"/>
    <w:rsid w:val="1B2A271F"/>
    <w:rsid w:val="1B530544"/>
    <w:rsid w:val="1B6455A3"/>
    <w:rsid w:val="1B713184"/>
    <w:rsid w:val="1BA209CF"/>
    <w:rsid w:val="1BB4777D"/>
    <w:rsid w:val="1BD75AB8"/>
    <w:rsid w:val="1C0459C2"/>
    <w:rsid w:val="1C1B3B4A"/>
    <w:rsid w:val="1C88086E"/>
    <w:rsid w:val="1D266CE1"/>
    <w:rsid w:val="1D3963AF"/>
    <w:rsid w:val="1D4209B0"/>
    <w:rsid w:val="1D6A673C"/>
    <w:rsid w:val="1D9247AE"/>
    <w:rsid w:val="1DAE6E1D"/>
    <w:rsid w:val="1DB567EC"/>
    <w:rsid w:val="1DF51A98"/>
    <w:rsid w:val="1E3D060F"/>
    <w:rsid w:val="1E3F7D2E"/>
    <w:rsid w:val="1E4134E4"/>
    <w:rsid w:val="1E5062B3"/>
    <w:rsid w:val="1E523514"/>
    <w:rsid w:val="1E714A66"/>
    <w:rsid w:val="1E796654"/>
    <w:rsid w:val="1E802593"/>
    <w:rsid w:val="1E8B6156"/>
    <w:rsid w:val="1EA703CC"/>
    <w:rsid w:val="1EB7330C"/>
    <w:rsid w:val="1ECC2C27"/>
    <w:rsid w:val="1EEC4EAB"/>
    <w:rsid w:val="1F063580"/>
    <w:rsid w:val="1F0A0FF3"/>
    <w:rsid w:val="1F5771FF"/>
    <w:rsid w:val="1F7F7F96"/>
    <w:rsid w:val="1F871298"/>
    <w:rsid w:val="1FD52DD5"/>
    <w:rsid w:val="1FE868A9"/>
    <w:rsid w:val="1FF233D2"/>
    <w:rsid w:val="20034907"/>
    <w:rsid w:val="20173E4B"/>
    <w:rsid w:val="204E48BC"/>
    <w:rsid w:val="208921B3"/>
    <w:rsid w:val="20973DEB"/>
    <w:rsid w:val="20B26522"/>
    <w:rsid w:val="20B44310"/>
    <w:rsid w:val="211116EB"/>
    <w:rsid w:val="216133FC"/>
    <w:rsid w:val="21B448EC"/>
    <w:rsid w:val="21D56769"/>
    <w:rsid w:val="21E52EF3"/>
    <w:rsid w:val="21FB5D7B"/>
    <w:rsid w:val="22015E94"/>
    <w:rsid w:val="220B1C3D"/>
    <w:rsid w:val="221D1D20"/>
    <w:rsid w:val="22334A87"/>
    <w:rsid w:val="226D06CE"/>
    <w:rsid w:val="22702742"/>
    <w:rsid w:val="22725764"/>
    <w:rsid w:val="228E4DC3"/>
    <w:rsid w:val="22BE6801"/>
    <w:rsid w:val="22C24A6D"/>
    <w:rsid w:val="22CB5999"/>
    <w:rsid w:val="233500BF"/>
    <w:rsid w:val="23377FF7"/>
    <w:rsid w:val="236239E2"/>
    <w:rsid w:val="236B425F"/>
    <w:rsid w:val="236B5EE3"/>
    <w:rsid w:val="23836192"/>
    <w:rsid w:val="23901F29"/>
    <w:rsid w:val="239C0061"/>
    <w:rsid w:val="23B908A4"/>
    <w:rsid w:val="23E95BEF"/>
    <w:rsid w:val="23FD0064"/>
    <w:rsid w:val="23FF341B"/>
    <w:rsid w:val="242D23BA"/>
    <w:rsid w:val="245375B0"/>
    <w:rsid w:val="24642C0A"/>
    <w:rsid w:val="24816407"/>
    <w:rsid w:val="24B22173"/>
    <w:rsid w:val="24B95AD9"/>
    <w:rsid w:val="24BE24DA"/>
    <w:rsid w:val="24CF5825"/>
    <w:rsid w:val="24D663E6"/>
    <w:rsid w:val="24D77F2B"/>
    <w:rsid w:val="252E5863"/>
    <w:rsid w:val="258B00E2"/>
    <w:rsid w:val="258B7398"/>
    <w:rsid w:val="25A917A6"/>
    <w:rsid w:val="25AB575C"/>
    <w:rsid w:val="25BE27CC"/>
    <w:rsid w:val="25CC6230"/>
    <w:rsid w:val="25D56865"/>
    <w:rsid w:val="25F74A5C"/>
    <w:rsid w:val="2628662C"/>
    <w:rsid w:val="262D45DE"/>
    <w:rsid w:val="26871DC8"/>
    <w:rsid w:val="26A53EF9"/>
    <w:rsid w:val="26A94201"/>
    <w:rsid w:val="26AC274F"/>
    <w:rsid w:val="26F83F35"/>
    <w:rsid w:val="27044A29"/>
    <w:rsid w:val="271D34C8"/>
    <w:rsid w:val="276142BF"/>
    <w:rsid w:val="27783712"/>
    <w:rsid w:val="278F67EF"/>
    <w:rsid w:val="27907362"/>
    <w:rsid w:val="27946607"/>
    <w:rsid w:val="27BF6206"/>
    <w:rsid w:val="28013A56"/>
    <w:rsid w:val="28216165"/>
    <w:rsid w:val="28333E1D"/>
    <w:rsid w:val="28454BD6"/>
    <w:rsid w:val="28455253"/>
    <w:rsid w:val="28551971"/>
    <w:rsid w:val="285B1C53"/>
    <w:rsid w:val="289F7086"/>
    <w:rsid w:val="28C32028"/>
    <w:rsid w:val="28CC490F"/>
    <w:rsid w:val="28DE40AA"/>
    <w:rsid w:val="29345E77"/>
    <w:rsid w:val="294C65AD"/>
    <w:rsid w:val="29806583"/>
    <w:rsid w:val="298B3C4C"/>
    <w:rsid w:val="29EE439A"/>
    <w:rsid w:val="29F26D24"/>
    <w:rsid w:val="2A15033F"/>
    <w:rsid w:val="2A1662C1"/>
    <w:rsid w:val="2A1C7367"/>
    <w:rsid w:val="2A2815FA"/>
    <w:rsid w:val="2A6D6092"/>
    <w:rsid w:val="2A7D76B4"/>
    <w:rsid w:val="2AFE060C"/>
    <w:rsid w:val="2B012BA7"/>
    <w:rsid w:val="2B346108"/>
    <w:rsid w:val="2B40163B"/>
    <w:rsid w:val="2B437463"/>
    <w:rsid w:val="2B6B37E2"/>
    <w:rsid w:val="2B7807EE"/>
    <w:rsid w:val="2BA50BF7"/>
    <w:rsid w:val="2BBF00EC"/>
    <w:rsid w:val="2BC37CFD"/>
    <w:rsid w:val="2BCC1106"/>
    <w:rsid w:val="2BD5237F"/>
    <w:rsid w:val="2BE536CE"/>
    <w:rsid w:val="2BE758D9"/>
    <w:rsid w:val="2C09049E"/>
    <w:rsid w:val="2C0A653C"/>
    <w:rsid w:val="2C191F85"/>
    <w:rsid w:val="2CB905B0"/>
    <w:rsid w:val="2CE82D6F"/>
    <w:rsid w:val="2CFE0766"/>
    <w:rsid w:val="2D343236"/>
    <w:rsid w:val="2D365D2D"/>
    <w:rsid w:val="2D3D1B83"/>
    <w:rsid w:val="2DC434A2"/>
    <w:rsid w:val="2DD15014"/>
    <w:rsid w:val="2DE81100"/>
    <w:rsid w:val="2DF665A1"/>
    <w:rsid w:val="2DF72DE4"/>
    <w:rsid w:val="2E0220AF"/>
    <w:rsid w:val="2E4B082A"/>
    <w:rsid w:val="2E5D4E86"/>
    <w:rsid w:val="2E5D790B"/>
    <w:rsid w:val="2E7F39BA"/>
    <w:rsid w:val="2E9A3C18"/>
    <w:rsid w:val="2EBB0FEE"/>
    <w:rsid w:val="2EC63002"/>
    <w:rsid w:val="2F0A6B38"/>
    <w:rsid w:val="2F5620E6"/>
    <w:rsid w:val="2F5B00C1"/>
    <w:rsid w:val="2F8C200A"/>
    <w:rsid w:val="2F946CCB"/>
    <w:rsid w:val="2FD25781"/>
    <w:rsid w:val="2FDC745C"/>
    <w:rsid w:val="2FE204FD"/>
    <w:rsid w:val="2FFD7934"/>
    <w:rsid w:val="30733ACD"/>
    <w:rsid w:val="3080079F"/>
    <w:rsid w:val="308C3862"/>
    <w:rsid w:val="309379D8"/>
    <w:rsid w:val="309978F6"/>
    <w:rsid w:val="30A270F7"/>
    <w:rsid w:val="30B22105"/>
    <w:rsid w:val="30DF1478"/>
    <w:rsid w:val="30EC586F"/>
    <w:rsid w:val="310402C4"/>
    <w:rsid w:val="314550B7"/>
    <w:rsid w:val="319C6071"/>
    <w:rsid w:val="31AC1C27"/>
    <w:rsid w:val="31AC537E"/>
    <w:rsid w:val="31B16024"/>
    <w:rsid w:val="31E3679B"/>
    <w:rsid w:val="31E732FD"/>
    <w:rsid w:val="31F35C74"/>
    <w:rsid w:val="320F1351"/>
    <w:rsid w:val="32517576"/>
    <w:rsid w:val="32A64A64"/>
    <w:rsid w:val="32AC697D"/>
    <w:rsid w:val="32BE5C2C"/>
    <w:rsid w:val="32CF5773"/>
    <w:rsid w:val="32EF1684"/>
    <w:rsid w:val="32FB6478"/>
    <w:rsid w:val="33263B3F"/>
    <w:rsid w:val="336963EB"/>
    <w:rsid w:val="33816EEB"/>
    <w:rsid w:val="33C56BFE"/>
    <w:rsid w:val="33EB55CD"/>
    <w:rsid w:val="33EC4C02"/>
    <w:rsid w:val="340D2360"/>
    <w:rsid w:val="3410665D"/>
    <w:rsid w:val="341E1D1F"/>
    <w:rsid w:val="34211214"/>
    <w:rsid w:val="342E63AB"/>
    <w:rsid w:val="345F2ACF"/>
    <w:rsid w:val="34950E68"/>
    <w:rsid w:val="34986E94"/>
    <w:rsid w:val="34AF2210"/>
    <w:rsid w:val="34AF62C9"/>
    <w:rsid w:val="34B61F58"/>
    <w:rsid w:val="34CB4388"/>
    <w:rsid w:val="34FA6E12"/>
    <w:rsid w:val="351720CE"/>
    <w:rsid w:val="353D7F83"/>
    <w:rsid w:val="354D7158"/>
    <w:rsid w:val="358D5588"/>
    <w:rsid w:val="363A3B40"/>
    <w:rsid w:val="36427103"/>
    <w:rsid w:val="365302AE"/>
    <w:rsid w:val="36607A0A"/>
    <w:rsid w:val="366E227C"/>
    <w:rsid w:val="366F2E0D"/>
    <w:rsid w:val="367B6A5C"/>
    <w:rsid w:val="36A74ADA"/>
    <w:rsid w:val="36AD60D5"/>
    <w:rsid w:val="36B224F9"/>
    <w:rsid w:val="36BB6CB6"/>
    <w:rsid w:val="36EC0CC9"/>
    <w:rsid w:val="373F410B"/>
    <w:rsid w:val="374C4B96"/>
    <w:rsid w:val="378F142A"/>
    <w:rsid w:val="37EE7094"/>
    <w:rsid w:val="38296C89"/>
    <w:rsid w:val="383002EB"/>
    <w:rsid w:val="38586797"/>
    <w:rsid w:val="38805CE8"/>
    <w:rsid w:val="38B86D83"/>
    <w:rsid w:val="38BC0149"/>
    <w:rsid w:val="38D65CB7"/>
    <w:rsid w:val="38D87D1C"/>
    <w:rsid w:val="38E4489E"/>
    <w:rsid w:val="39636459"/>
    <w:rsid w:val="396B7F6C"/>
    <w:rsid w:val="397F3F36"/>
    <w:rsid w:val="39B417A9"/>
    <w:rsid w:val="39FC5695"/>
    <w:rsid w:val="3A006D8E"/>
    <w:rsid w:val="3A24420C"/>
    <w:rsid w:val="3A3651E5"/>
    <w:rsid w:val="3A744481"/>
    <w:rsid w:val="3A8C7BEF"/>
    <w:rsid w:val="3A906246"/>
    <w:rsid w:val="3AC87D71"/>
    <w:rsid w:val="3B2349B7"/>
    <w:rsid w:val="3B5C759D"/>
    <w:rsid w:val="3B616CFF"/>
    <w:rsid w:val="3B6259F6"/>
    <w:rsid w:val="3B7F7D3A"/>
    <w:rsid w:val="3B976654"/>
    <w:rsid w:val="3BC01EFC"/>
    <w:rsid w:val="3BCA786A"/>
    <w:rsid w:val="3BD31E2F"/>
    <w:rsid w:val="3BF15831"/>
    <w:rsid w:val="3C0D06AF"/>
    <w:rsid w:val="3C105946"/>
    <w:rsid w:val="3C1B439C"/>
    <w:rsid w:val="3C3C59E3"/>
    <w:rsid w:val="3C471448"/>
    <w:rsid w:val="3C5F759A"/>
    <w:rsid w:val="3C6C525A"/>
    <w:rsid w:val="3C8069F4"/>
    <w:rsid w:val="3CCE23CB"/>
    <w:rsid w:val="3CD17D17"/>
    <w:rsid w:val="3D3C7F39"/>
    <w:rsid w:val="3D440F09"/>
    <w:rsid w:val="3D4504A0"/>
    <w:rsid w:val="3D8734BB"/>
    <w:rsid w:val="3D9A11D4"/>
    <w:rsid w:val="3DA16D89"/>
    <w:rsid w:val="3DA364BE"/>
    <w:rsid w:val="3DE041CB"/>
    <w:rsid w:val="3DEC4562"/>
    <w:rsid w:val="3DEE759F"/>
    <w:rsid w:val="3E092095"/>
    <w:rsid w:val="3E0D48F6"/>
    <w:rsid w:val="3E1868B4"/>
    <w:rsid w:val="3E377251"/>
    <w:rsid w:val="3E42664B"/>
    <w:rsid w:val="3E5A7334"/>
    <w:rsid w:val="3E7B5D6B"/>
    <w:rsid w:val="3E843E66"/>
    <w:rsid w:val="3E8F51FE"/>
    <w:rsid w:val="3E926F87"/>
    <w:rsid w:val="3E9A59DE"/>
    <w:rsid w:val="3EA5765F"/>
    <w:rsid w:val="3EAF4836"/>
    <w:rsid w:val="3EC33DFA"/>
    <w:rsid w:val="3EF57673"/>
    <w:rsid w:val="3F060E16"/>
    <w:rsid w:val="3F072ED3"/>
    <w:rsid w:val="3F1D1096"/>
    <w:rsid w:val="3F267899"/>
    <w:rsid w:val="3F2F0234"/>
    <w:rsid w:val="3F6363FE"/>
    <w:rsid w:val="3F756B8F"/>
    <w:rsid w:val="3F935E11"/>
    <w:rsid w:val="3F95482B"/>
    <w:rsid w:val="3FA3332C"/>
    <w:rsid w:val="3FA3480D"/>
    <w:rsid w:val="3FC512A1"/>
    <w:rsid w:val="3FCC760F"/>
    <w:rsid w:val="4019356B"/>
    <w:rsid w:val="40592157"/>
    <w:rsid w:val="406E1CAE"/>
    <w:rsid w:val="40904B2C"/>
    <w:rsid w:val="409E0DFA"/>
    <w:rsid w:val="409E38ED"/>
    <w:rsid w:val="40A0133A"/>
    <w:rsid w:val="40C31A53"/>
    <w:rsid w:val="40F736DC"/>
    <w:rsid w:val="40FF545D"/>
    <w:rsid w:val="410067C8"/>
    <w:rsid w:val="411D1A5C"/>
    <w:rsid w:val="41892EE4"/>
    <w:rsid w:val="418F0D2A"/>
    <w:rsid w:val="41D01505"/>
    <w:rsid w:val="423F533B"/>
    <w:rsid w:val="42474939"/>
    <w:rsid w:val="424C3C57"/>
    <w:rsid w:val="42613FF3"/>
    <w:rsid w:val="42660D96"/>
    <w:rsid w:val="428667D2"/>
    <w:rsid w:val="42CD1CE0"/>
    <w:rsid w:val="42E1381E"/>
    <w:rsid w:val="42ED6459"/>
    <w:rsid w:val="42FE58DD"/>
    <w:rsid w:val="43012E27"/>
    <w:rsid w:val="43174B3D"/>
    <w:rsid w:val="4339439D"/>
    <w:rsid w:val="434B790E"/>
    <w:rsid w:val="4360274F"/>
    <w:rsid w:val="437234EE"/>
    <w:rsid w:val="43875D2E"/>
    <w:rsid w:val="43963680"/>
    <w:rsid w:val="43977AB6"/>
    <w:rsid w:val="43A3342B"/>
    <w:rsid w:val="43C77C27"/>
    <w:rsid w:val="43DE09EE"/>
    <w:rsid w:val="44002FAD"/>
    <w:rsid w:val="448C1DBA"/>
    <w:rsid w:val="449101DD"/>
    <w:rsid w:val="449A71A0"/>
    <w:rsid w:val="44A26055"/>
    <w:rsid w:val="44DE1391"/>
    <w:rsid w:val="44F80E4E"/>
    <w:rsid w:val="451B225C"/>
    <w:rsid w:val="452410C9"/>
    <w:rsid w:val="45317DFB"/>
    <w:rsid w:val="45333E46"/>
    <w:rsid w:val="45366DB8"/>
    <w:rsid w:val="456D3CE4"/>
    <w:rsid w:val="4579042C"/>
    <w:rsid w:val="457F0571"/>
    <w:rsid w:val="45851176"/>
    <w:rsid w:val="458F46CB"/>
    <w:rsid w:val="45C63B94"/>
    <w:rsid w:val="460E7DA5"/>
    <w:rsid w:val="46422483"/>
    <w:rsid w:val="4654480E"/>
    <w:rsid w:val="4659254A"/>
    <w:rsid w:val="465B0637"/>
    <w:rsid w:val="465E3F0D"/>
    <w:rsid w:val="466A16E6"/>
    <w:rsid w:val="467C6146"/>
    <w:rsid w:val="46893F2B"/>
    <w:rsid w:val="46C4686E"/>
    <w:rsid w:val="46D36B40"/>
    <w:rsid w:val="46F4608E"/>
    <w:rsid w:val="470D4FF2"/>
    <w:rsid w:val="473E1636"/>
    <w:rsid w:val="477B778F"/>
    <w:rsid w:val="478203EC"/>
    <w:rsid w:val="47A713BA"/>
    <w:rsid w:val="47B025FA"/>
    <w:rsid w:val="47EF2A21"/>
    <w:rsid w:val="4809698F"/>
    <w:rsid w:val="4811697D"/>
    <w:rsid w:val="48254FD3"/>
    <w:rsid w:val="485B4D3B"/>
    <w:rsid w:val="48724382"/>
    <w:rsid w:val="487A3E25"/>
    <w:rsid w:val="488B5503"/>
    <w:rsid w:val="48937E21"/>
    <w:rsid w:val="489A0361"/>
    <w:rsid w:val="48B94FF3"/>
    <w:rsid w:val="48CD3E24"/>
    <w:rsid w:val="48DD53FB"/>
    <w:rsid w:val="48E37AAB"/>
    <w:rsid w:val="48FD4B4C"/>
    <w:rsid w:val="490A68E0"/>
    <w:rsid w:val="491055FE"/>
    <w:rsid w:val="49431072"/>
    <w:rsid w:val="495F5B3E"/>
    <w:rsid w:val="496F77D7"/>
    <w:rsid w:val="497654FD"/>
    <w:rsid w:val="49B64211"/>
    <w:rsid w:val="49E56AF9"/>
    <w:rsid w:val="49F6167F"/>
    <w:rsid w:val="4A064FA0"/>
    <w:rsid w:val="4A16615C"/>
    <w:rsid w:val="4A4424D7"/>
    <w:rsid w:val="4A653DAC"/>
    <w:rsid w:val="4AB82D0F"/>
    <w:rsid w:val="4AEB7664"/>
    <w:rsid w:val="4AFD7C19"/>
    <w:rsid w:val="4B0567D1"/>
    <w:rsid w:val="4B0D394E"/>
    <w:rsid w:val="4B236AAE"/>
    <w:rsid w:val="4B65492A"/>
    <w:rsid w:val="4B683B54"/>
    <w:rsid w:val="4B707271"/>
    <w:rsid w:val="4B9739F7"/>
    <w:rsid w:val="4BA6467C"/>
    <w:rsid w:val="4BC44B03"/>
    <w:rsid w:val="4BEE2503"/>
    <w:rsid w:val="4C245A30"/>
    <w:rsid w:val="4CB6685F"/>
    <w:rsid w:val="4CC367FE"/>
    <w:rsid w:val="4D077F3C"/>
    <w:rsid w:val="4D123355"/>
    <w:rsid w:val="4D2A3B31"/>
    <w:rsid w:val="4D312C52"/>
    <w:rsid w:val="4D447CA9"/>
    <w:rsid w:val="4D537464"/>
    <w:rsid w:val="4D706CF0"/>
    <w:rsid w:val="4D905305"/>
    <w:rsid w:val="4D964A72"/>
    <w:rsid w:val="4D9C1254"/>
    <w:rsid w:val="4DC05945"/>
    <w:rsid w:val="4DF53699"/>
    <w:rsid w:val="4E256925"/>
    <w:rsid w:val="4E793892"/>
    <w:rsid w:val="4E800872"/>
    <w:rsid w:val="4E891FB7"/>
    <w:rsid w:val="4EC569ED"/>
    <w:rsid w:val="4ED50EA1"/>
    <w:rsid w:val="4EEC050C"/>
    <w:rsid w:val="4F104EC3"/>
    <w:rsid w:val="4F113F75"/>
    <w:rsid w:val="4F47354A"/>
    <w:rsid w:val="4F6D4A83"/>
    <w:rsid w:val="4F910067"/>
    <w:rsid w:val="4F911C54"/>
    <w:rsid w:val="4FAB48F5"/>
    <w:rsid w:val="4FE625E0"/>
    <w:rsid w:val="5021480F"/>
    <w:rsid w:val="502E2498"/>
    <w:rsid w:val="505232A5"/>
    <w:rsid w:val="50574197"/>
    <w:rsid w:val="50954C17"/>
    <w:rsid w:val="50962ECB"/>
    <w:rsid w:val="50A42E38"/>
    <w:rsid w:val="50A4577F"/>
    <w:rsid w:val="50B73D1F"/>
    <w:rsid w:val="50BD5BC9"/>
    <w:rsid w:val="50C11EEE"/>
    <w:rsid w:val="50E97CFC"/>
    <w:rsid w:val="50FA4028"/>
    <w:rsid w:val="510D65B7"/>
    <w:rsid w:val="511157AB"/>
    <w:rsid w:val="51385697"/>
    <w:rsid w:val="5142540C"/>
    <w:rsid w:val="51532BB1"/>
    <w:rsid w:val="51822890"/>
    <w:rsid w:val="518832C8"/>
    <w:rsid w:val="519D3C50"/>
    <w:rsid w:val="51A0432A"/>
    <w:rsid w:val="51A86090"/>
    <w:rsid w:val="51B7396D"/>
    <w:rsid w:val="522E4CC3"/>
    <w:rsid w:val="5244713B"/>
    <w:rsid w:val="52615633"/>
    <w:rsid w:val="526F4DE4"/>
    <w:rsid w:val="52860D64"/>
    <w:rsid w:val="528D4715"/>
    <w:rsid w:val="52977FD4"/>
    <w:rsid w:val="52A25790"/>
    <w:rsid w:val="52A96B6F"/>
    <w:rsid w:val="52B45975"/>
    <w:rsid w:val="52CA637D"/>
    <w:rsid w:val="52D94AA4"/>
    <w:rsid w:val="52EA3A62"/>
    <w:rsid w:val="52F50BB8"/>
    <w:rsid w:val="52F56E59"/>
    <w:rsid w:val="53097272"/>
    <w:rsid w:val="53544462"/>
    <w:rsid w:val="535C50DA"/>
    <w:rsid w:val="5397158E"/>
    <w:rsid w:val="53FA523E"/>
    <w:rsid w:val="54013861"/>
    <w:rsid w:val="54487265"/>
    <w:rsid w:val="544D6070"/>
    <w:rsid w:val="54605E1E"/>
    <w:rsid w:val="5466251C"/>
    <w:rsid w:val="54B3506A"/>
    <w:rsid w:val="54B6582A"/>
    <w:rsid w:val="54CA0D16"/>
    <w:rsid w:val="54DD4057"/>
    <w:rsid w:val="54E3424B"/>
    <w:rsid w:val="54E7490F"/>
    <w:rsid w:val="550764A4"/>
    <w:rsid w:val="550B2BF6"/>
    <w:rsid w:val="55214EB5"/>
    <w:rsid w:val="55364EFD"/>
    <w:rsid w:val="555D4828"/>
    <w:rsid w:val="55767EF4"/>
    <w:rsid w:val="557A4C8B"/>
    <w:rsid w:val="558931E1"/>
    <w:rsid w:val="55923347"/>
    <w:rsid w:val="55925180"/>
    <w:rsid w:val="55983B1B"/>
    <w:rsid w:val="55A8376B"/>
    <w:rsid w:val="55DC29B6"/>
    <w:rsid w:val="55DD4241"/>
    <w:rsid w:val="561A242E"/>
    <w:rsid w:val="56286892"/>
    <w:rsid w:val="566B6D1E"/>
    <w:rsid w:val="5693110A"/>
    <w:rsid w:val="56D30E38"/>
    <w:rsid w:val="57032A2C"/>
    <w:rsid w:val="570F5219"/>
    <w:rsid w:val="575D12B5"/>
    <w:rsid w:val="57610A87"/>
    <w:rsid w:val="577B1140"/>
    <w:rsid w:val="577B7F21"/>
    <w:rsid w:val="577F181B"/>
    <w:rsid w:val="579112CF"/>
    <w:rsid w:val="57921984"/>
    <w:rsid w:val="579737F0"/>
    <w:rsid w:val="57AB7B30"/>
    <w:rsid w:val="57AF5251"/>
    <w:rsid w:val="57B26373"/>
    <w:rsid w:val="57B63F04"/>
    <w:rsid w:val="57CD20C2"/>
    <w:rsid w:val="57D675AB"/>
    <w:rsid w:val="57D95FDD"/>
    <w:rsid w:val="582E57DE"/>
    <w:rsid w:val="58564D34"/>
    <w:rsid w:val="58917D2F"/>
    <w:rsid w:val="5894085C"/>
    <w:rsid w:val="58AE4F0C"/>
    <w:rsid w:val="58B85899"/>
    <w:rsid w:val="58D04AE7"/>
    <w:rsid w:val="58E363A9"/>
    <w:rsid w:val="58EC6049"/>
    <w:rsid w:val="590D1600"/>
    <w:rsid w:val="592C2E0C"/>
    <w:rsid w:val="595E1678"/>
    <w:rsid w:val="596D5BD4"/>
    <w:rsid w:val="597E3DD8"/>
    <w:rsid w:val="59F80043"/>
    <w:rsid w:val="5A09252F"/>
    <w:rsid w:val="5A0B2778"/>
    <w:rsid w:val="5A164922"/>
    <w:rsid w:val="5A2A7C7B"/>
    <w:rsid w:val="5A3E2560"/>
    <w:rsid w:val="5A5D3B6E"/>
    <w:rsid w:val="5A637A76"/>
    <w:rsid w:val="5A6D33BA"/>
    <w:rsid w:val="5A792B1F"/>
    <w:rsid w:val="5A874767"/>
    <w:rsid w:val="5AA31AD3"/>
    <w:rsid w:val="5AA85BE2"/>
    <w:rsid w:val="5AAD6F28"/>
    <w:rsid w:val="5AD63A24"/>
    <w:rsid w:val="5B2E1A1D"/>
    <w:rsid w:val="5B843A1C"/>
    <w:rsid w:val="5B873E3F"/>
    <w:rsid w:val="5C02690E"/>
    <w:rsid w:val="5C196DA7"/>
    <w:rsid w:val="5C2A048C"/>
    <w:rsid w:val="5C734A4A"/>
    <w:rsid w:val="5C80234E"/>
    <w:rsid w:val="5C8A680C"/>
    <w:rsid w:val="5CF35D1E"/>
    <w:rsid w:val="5CFB06F8"/>
    <w:rsid w:val="5D0C4701"/>
    <w:rsid w:val="5D0E2082"/>
    <w:rsid w:val="5D0F0395"/>
    <w:rsid w:val="5D221076"/>
    <w:rsid w:val="5D397964"/>
    <w:rsid w:val="5D5A391C"/>
    <w:rsid w:val="5D5F10C0"/>
    <w:rsid w:val="5D891B7B"/>
    <w:rsid w:val="5DAD38EE"/>
    <w:rsid w:val="5DAD53F7"/>
    <w:rsid w:val="5DCB1D21"/>
    <w:rsid w:val="5DE54B90"/>
    <w:rsid w:val="5E006862"/>
    <w:rsid w:val="5E0207B9"/>
    <w:rsid w:val="5E1834A1"/>
    <w:rsid w:val="5E261785"/>
    <w:rsid w:val="5E3A0775"/>
    <w:rsid w:val="5E4A7017"/>
    <w:rsid w:val="5E552BBA"/>
    <w:rsid w:val="5E60690D"/>
    <w:rsid w:val="5E611C10"/>
    <w:rsid w:val="5E7678E9"/>
    <w:rsid w:val="5E7A0F3F"/>
    <w:rsid w:val="5EA40776"/>
    <w:rsid w:val="5EF86B7E"/>
    <w:rsid w:val="5EFC7377"/>
    <w:rsid w:val="5F032186"/>
    <w:rsid w:val="5F06174D"/>
    <w:rsid w:val="5F242207"/>
    <w:rsid w:val="5F3A3602"/>
    <w:rsid w:val="5F44067E"/>
    <w:rsid w:val="5F45733B"/>
    <w:rsid w:val="5F6277C6"/>
    <w:rsid w:val="5F6D0B1D"/>
    <w:rsid w:val="5F8D0B82"/>
    <w:rsid w:val="5FCC5339"/>
    <w:rsid w:val="5FE34A5B"/>
    <w:rsid w:val="5FFE1E36"/>
    <w:rsid w:val="60232584"/>
    <w:rsid w:val="60275DC6"/>
    <w:rsid w:val="604A33D1"/>
    <w:rsid w:val="60624BBE"/>
    <w:rsid w:val="607330CE"/>
    <w:rsid w:val="60825176"/>
    <w:rsid w:val="609F2AC4"/>
    <w:rsid w:val="60B42F40"/>
    <w:rsid w:val="60E00C13"/>
    <w:rsid w:val="60FA2EE8"/>
    <w:rsid w:val="60FC0DF8"/>
    <w:rsid w:val="61054A27"/>
    <w:rsid w:val="610A52BC"/>
    <w:rsid w:val="611D2366"/>
    <w:rsid w:val="61421856"/>
    <w:rsid w:val="61467F1B"/>
    <w:rsid w:val="615227C4"/>
    <w:rsid w:val="616066B2"/>
    <w:rsid w:val="61654E3F"/>
    <w:rsid w:val="6182292A"/>
    <w:rsid w:val="619F7F92"/>
    <w:rsid w:val="61D47F47"/>
    <w:rsid w:val="61F94C26"/>
    <w:rsid w:val="62000E56"/>
    <w:rsid w:val="62436329"/>
    <w:rsid w:val="624F3E49"/>
    <w:rsid w:val="62632286"/>
    <w:rsid w:val="62635485"/>
    <w:rsid w:val="62885958"/>
    <w:rsid w:val="62B1691A"/>
    <w:rsid w:val="62F40B65"/>
    <w:rsid w:val="62FC2CFE"/>
    <w:rsid w:val="62FD6A68"/>
    <w:rsid w:val="63024505"/>
    <w:rsid w:val="635600A5"/>
    <w:rsid w:val="635B1DB5"/>
    <w:rsid w:val="63711FED"/>
    <w:rsid w:val="638135AD"/>
    <w:rsid w:val="63880DDC"/>
    <w:rsid w:val="638D750D"/>
    <w:rsid w:val="63AC6CC0"/>
    <w:rsid w:val="64055776"/>
    <w:rsid w:val="64240056"/>
    <w:rsid w:val="643E143A"/>
    <w:rsid w:val="64491666"/>
    <w:rsid w:val="648B6EEF"/>
    <w:rsid w:val="64C158BF"/>
    <w:rsid w:val="64CD637E"/>
    <w:rsid w:val="64CE2EAA"/>
    <w:rsid w:val="653C3090"/>
    <w:rsid w:val="65504EF6"/>
    <w:rsid w:val="65854376"/>
    <w:rsid w:val="658767BE"/>
    <w:rsid w:val="65892531"/>
    <w:rsid w:val="65F34046"/>
    <w:rsid w:val="66195831"/>
    <w:rsid w:val="662E75B1"/>
    <w:rsid w:val="66342C2E"/>
    <w:rsid w:val="663E784C"/>
    <w:rsid w:val="668B6A45"/>
    <w:rsid w:val="66AD6DFD"/>
    <w:rsid w:val="66E0683D"/>
    <w:rsid w:val="66EE2624"/>
    <w:rsid w:val="67011F07"/>
    <w:rsid w:val="671F1AAF"/>
    <w:rsid w:val="672F3F24"/>
    <w:rsid w:val="673D77EB"/>
    <w:rsid w:val="673E055F"/>
    <w:rsid w:val="67412D17"/>
    <w:rsid w:val="67551CE3"/>
    <w:rsid w:val="67896ED4"/>
    <w:rsid w:val="67A22552"/>
    <w:rsid w:val="67B22DCC"/>
    <w:rsid w:val="67BE71AA"/>
    <w:rsid w:val="67CC5F51"/>
    <w:rsid w:val="67D04DBA"/>
    <w:rsid w:val="67D90273"/>
    <w:rsid w:val="67DE5875"/>
    <w:rsid w:val="67E55852"/>
    <w:rsid w:val="67EB1AB4"/>
    <w:rsid w:val="67F021FD"/>
    <w:rsid w:val="67FA1285"/>
    <w:rsid w:val="68551F4F"/>
    <w:rsid w:val="687C10C9"/>
    <w:rsid w:val="68840C16"/>
    <w:rsid w:val="68872541"/>
    <w:rsid w:val="68876EFB"/>
    <w:rsid w:val="68884654"/>
    <w:rsid w:val="689F444F"/>
    <w:rsid w:val="68B96DBB"/>
    <w:rsid w:val="68CA2805"/>
    <w:rsid w:val="68E937A3"/>
    <w:rsid w:val="691664E5"/>
    <w:rsid w:val="691B1F32"/>
    <w:rsid w:val="691B3B1C"/>
    <w:rsid w:val="692C3FBB"/>
    <w:rsid w:val="693E15D3"/>
    <w:rsid w:val="69566E11"/>
    <w:rsid w:val="695A033C"/>
    <w:rsid w:val="69627681"/>
    <w:rsid w:val="6977531D"/>
    <w:rsid w:val="699D6C67"/>
    <w:rsid w:val="69CC2BFF"/>
    <w:rsid w:val="69FD55B8"/>
    <w:rsid w:val="69FF347E"/>
    <w:rsid w:val="6A0B1C62"/>
    <w:rsid w:val="6A2406C8"/>
    <w:rsid w:val="6A3A44B6"/>
    <w:rsid w:val="6ADE0BD1"/>
    <w:rsid w:val="6AE96859"/>
    <w:rsid w:val="6B147746"/>
    <w:rsid w:val="6B24787C"/>
    <w:rsid w:val="6B2976F6"/>
    <w:rsid w:val="6B573233"/>
    <w:rsid w:val="6B5B6274"/>
    <w:rsid w:val="6B715CB5"/>
    <w:rsid w:val="6B935D53"/>
    <w:rsid w:val="6BF863D7"/>
    <w:rsid w:val="6BFB5EC7"/>
    <w:rsid w:val="6C196F71"/>
    <w:rsid w:val="6C226FCB"/>
    <w:rsid w:val="6C31226F"/>
    <w:rsid w:val="6C552F0B"/>
    <w:rsid w:val="6C8C67B7"/>
    <w:rsid w:val="6C9D744C"/>
    <w:rsid w:val="6D167928"/>
    <w:rsid w:val="6D26299B"/>
    <w:rsid w:val="6D4772EC"/>
    <w:rsid w:val="6D89633F"/>
    <w:rsid w:val="6D9078AF"/>
    <w:rsid w:val="6DAA3FEF"/>
    <w:rsid w:val="6DC0172B"/>
    <w:rsid w:val="6DCB690C"/>
    <w:rsid w:val="6DD41A5B"/>
    <w:rsid w:val="6DF43C2E"/>
    <w:rsid w:val="6DF51CA3"/>
    <w:rsid w:val="6E3637AF"/>
    <w:rsid w:val="6E5D3CCF"/>
    <w:rsid w:val="6E6733A0"/>
    <w:rsid w:val="6E8335BD"/>
    <w:rsid w:val="6E8E12EF"/>
    <w:rsid w:val="6E972936"/>
    <w:rsid w:val="6ED446C5"/>
    <w:rsid w:val="6F2A7D94"/>
    <w:rsid w:val="6F40256E"/>
    <w:rsid w:val="6F5D066C"/>
    <w:rsid w:val="6F8331F1"/>
    <w:rsid w:val="6FAE1A09"/>
    <w:rsid w:val="6FD75BF8"/>
    <w:rsid w:val="701118F5"/>
    <w:rsid w:val="70241B23"/>
    <w:rsid w:val="70430726"/>
    <w:rsid w:val="704B4683"/>
    <w:rsid w:val="70744DE3"/>
    <w:rsid w:val="707723D0"/>
    <w:rsid w:val="70DE3B4B"/>
    <w:rsid w:val="70DF5DB7"/>
    <w:rsid w:val="70F5661B"/>
    <w:rsid w:val="71360107"/>
    <w:rsid w:val="713B688E"/>
    <w:rsid w:val="715D1D52"/>
    <w:rsid w:val="71D43752"/>
    <w:rsid w:val="71F1796A"/>
    <w:rsid w:val="72154626"/>
    <w:rsid w:val="72262B5D"/>
    <w:rsid w:val="72283FF7"/>
    <w:rsid w:val="722E7212"/>
    <w:rsid w:val="723A0474"/>
    <w:rsid w:val="725923E4"/>
    <w:rsid w:val="72864BF7"/>
    <w:rsid w:val="729023FC"/>
    <w:rsid w:val="72AD68BE"/>
    <w:rsid w:val="73C0646E"/>
    <w:rsid w:val="73E7CF11"/>
    <w:rsid w:val="73EF00BF"/>
    <w:rsid w:val="73FA75C9"/>
    <w:rsid w:val="742222F5"/>
    <w:rsid w:val="74310D45"/>
    <w:rsid w:val="74476126"/>
    <w:rsid w:val="74706664"/>
    <w:rsid w:val="747F3682"/>
    <w:rsid w:val="749B262E"/>
    <w:rsid w:val="749C4185"/>
    <w:rsid w:val="74AE7F7A"/>
    <w:rsid w:val="75067759"/>
    <w:rsid w:val="752E6DCD"/>
    <w:rsid w:val="753F0F2E"/>
    <w:rsid w:val="7551380D"/>
    <w:rsid w:val="75600BE5"/>
    <w:rsid w:val="7564475C"/>
    <w:rsid w:val="7583797F"/>
    <w:rsid w:val="75974FFA"/>
    <w:rsid w:val="75D20F1D"/>
    <w:rsid w:val="75DA2C18"/>
    <w:rsid w:val="75F54412"/>
    <w:rsid w:val="76171B4F"/>
    <w:rsid w:val="761D08E0"/>
    <w:rsid w:val="765D347C"/>
    <w:rsid w:val="76826699"/>
    <w:rsid w:val="76913A3E"/>
    <w:rsid w:val="76A51F11"/>
    <w:rsid w:val="76C87133"/>
    <w:rsid w:val="76CD08D5"/>
    <w:rsid w:val="76DB4B92"/>
    <w:rsid w:val="76FD013A"/>
    <w:rsid w:val="77052AA4"/>
    <w:rsid w:val="77136511"/>
    <w:rsid w:val="7730111A"/>
    <w:rsid w:val="77340A39"/>
    <w:rsid w:val="77351FD0"/>
    <w:rsid w:val="77472422"/>
    <w:rsid w:val="776F3C10"/>
    <w:rsid w:val="777F31F2"/>
    <w:rsid w:val="77D1700D"/>
    <w:rsid w:val="77E36B97"/>
    <w:rsid w:val="77EC04CC"/>
    <w:rsid w:val="77F41A69"/>
    <w:rsid w:val="78675530"/>
    <w:rsid w:val="78775729"/>
    <w:rsid w:val="78A42DB0"/>
    <w:rsid w:val="78A656AB"/>
    <w:rsid w:val="78B2245C"/>
    <w:rsid w:val="78B914C6"/>
    <w:rsid w:val="78C935D5"/>
    <w:rsid w:val="78E172CC"/>
    <w:rsid w:val="78EA1D1F"/>
    <w:rsid w:val="7904172F"/>
    <w:rsid w:val="790F7E27"/>
    <w:rsid w:val="792A231A"/>
    <w:rsid w:val="79316829"/>
    <w:rsid w:val="797E66A9"/>
    <w:rsid w:val="798518A4"/>
    <w:rsid w:val="79A97383"/>
    <w:rsid w:val="79C96EB1"/>
    <w:rsid w:val="79E27E8B"/>
    <w:rsid w:val="79F850CE"/>
    <w:rsid w:val="79FD443C"/>
    <w:rsid w:val="7A1D1975"/>
    <w:rsid w:val="7A3A1A31"/>
    <w:rsid w:val="7A3E5150"/>
    <w:rsid w:val="7A4670D6"/>
    <w:rsid w:val="7A527E3C"/>
    <w:rsid w:val="7A534B63"/>
    <w:rsid w:val="7A592143"/>
    <w:rsid w:val="7A615382"/>
    <w:rsid w:val="7A67303B"/>
    <w:rsid w:val="7AAB1D04"/>
    <w:rsid w:val="7ABA4368"/>
    <w:rsid w:val="7AD05746"/>
    <w:rsid w:val="7B257FFD"/>
    <w:rsid w:val="7B273D20"/>
    <w:rsid w:val="7B343476"/>
    <w:rsid w:val="7B5A2978"/>
    <w:rsid w:val="7B5A7E4C"/>
    <w:rsid w:val="7B637A5A"/>
    <w:rsid w:val="7B667AF9"/>
    <w:rsid w:val="7B7468F8"/>
    <w:rsid w:val="7BA9702E"/>
    <w:rsid w:val="7BC168A4"/>
    <w:rsid w:val="7BEE0103"/>
    <w:rsid w:val="7BFE17E7"/>
    <w:rsid w:val="7C0A0FE4"/>
    <w:rsid w:val="7C254906"/>
    <w:rsid w:val="7C52743D"/>
    <w:rsid w:val="7C590818"/>
    <w:rsid w:val="7C7B7C1A"/>
    <w:rsid w:val="7C7C10F6"/>
    <w:rsid w:val="7C820E86"/>
    <w:rsid w:val="7C853BEA"/>
    <w:rsid w:val="7C881368"/>
    <w:rsid w:val="7CB07F99"/>
    <w:rsid w:val="7CC16371"/>
    <w:rsid w:val="7CE27788"/>
    <w:rsid w:val="7D0C32F1"/>
    <w:rsid w:val="7D0F408D"/>
    <w:rsid w:val="7D491C6C"/>
    <w:rsid w:val="7D5429C0"/>
    <w:rsid w:val="7D5C5350"/>
    <w:rsid w:val="7D6E6D43"/>
    <w:rsid w:val="7D733B0F"/>
    <w:rsid w:val="7DB36601"/>
    <w:rsid w:val="7DB57A34"/>
    <w:rsid w:val="7DBE3A17"/>
    <w:rsid w:val="7DE60973"/>
    <w:rsid w:val="7DEF0916"/>
    <w:rsid w:val="7E1E5218"/>
    <w:rsid w:val="7E6A73EB"/>
    <w:rsid w:val="7E855D04"/>
    <w:rsid w:val="7E9A4E1F"/>
    <w:rsid w:val="7EA62974"/>
    <w:rsid w:val="7EA7723A"/>
    <w:rsid w:val="7EBA5B40"/>
    <w:rsid w:val="7EF173E1"/>
    <w:rsid w:val="7EF56FBB"/>
    <w:rsid w:val="7F0768EB"/>
    <w:rsid w:val="7F143BEC"/>
    <w:rsid w:val="7F715AF2"/>
    <w:rsid w:val="7F886E69"/>
    <w:rsid w:val="7FB671DB"/>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99"/>
    <w:pPr>
      <w:ind w:firstLine="420"/>
    </w:pPr>
  </w:style>
  <w:style w:type="paragraph" w:customStyle="1" w:styleId="3">
    <w:name w:val="Body Text Indent1"/>
    <w:basedOn w:val="1"/>
    <w:qFormat/>
    <w:uiPriority w:val="99"/>
    <w:pPr>
      <w:ind w:left="420" w:leftChars="200"/>
    </w:pPr>
    <w:rPr>
      <w:rFonts w:ascii="Times New Roman" w:hAnsi="Times New Roman"/>
    </w:rPr>
  </w:style>
  <w:style w:type="paragraph" w:styleId="7">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2"/>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6"/>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1"/>
    <w:qFormat/>
    <w:uiPriority w:val="0"/>
    <w:rPr>
      <w:b/>
      <w:bCs/>
    </w:rPr>
  </w:style>
  <w:style w:type="paragraph" w:styleId="62">
    <w:name w:val="Body Text First Indent"/>
    <w:basedOn w:val="25"/>
    <w:link w:val="325"/>
    <w:qFormat/>
    <w:uiPriority w:val="0"/>
    <w:pPr>
      <w:ind w:firstLine="420"/>
    </w:pPr>
    <w:rPr>
      <w:rFonts w:hAnsi="Calibri" w:cs="Times New Roman"/>
      <w:snapToGrid/>
      <w:szCs w:val="20"/>
    </w:rPr>
  </w:style>
  <w:style w:type="paragraph" w:styleId="63">
    <w:name w:val="Body Text First Indent 2"/>
    <w:basedOn w:val="26"/>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paragraph" w:customStyle="1" w:styleId="83">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2"/>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4"/>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2"/>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8"/>
    <w:qFormat/>
    <w:uiPriority w:val="0"/>
    <w:rPr>
      <w:rFonts w:ascii="黑体" w:hAnsi="Courier New" w:eastAsia="黑体"/>
    </w:rPr>
  </w:style>
  <w:style w:type="character" w:customStyle="1" w:styleId="306">
    <w:name w:val="正文文本 2 Char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99"/>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7"/>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0"/>
    <w:next w:val="240"/>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40"/>
    <w:next w:val="240"/>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0"/>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9"/>
    <w:next w:val="1"/>
    <w:qFormat/>
    <w:uiPriority w:val="0"/>
    <w:pPr>
      <w:tabs>
        <w:tab w:val="left" w:pos="1080"/>
      </w:tabs>
      <w:ind w:left="1080" w:hanging="1080"/>
    </w:pPr>
  </w:style>
  <w:style w:type="paragraph" w:customStyle="1" w:styleId="901">
    <w:name w:val="数字标题1"/>
    <w:basedOn w:val="4"/>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39"/>
    <w:qFormat/>
    <w:uiPriority w:val="0"/>
    <w:rPr>
      <w:kern w:val="2"/>
      <w:sz w:val="21"/>
      <w:szCs w:val="24"/>
      <w:lang w:val="zh-CN"/>
    </w:rPr>
  </w:style>
  <w:style w:type="character" w:customStyle="1" w:styleId="937">
    <w:name w:val="无间隔 Char"/>
    <w:link w:val="487"/>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2"/>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二级标题"/>
    <w:basedOn w:val="34"/>
    <w:qFormat/>
    <w:uiPriority w:val="0"/>
    <w:pPr>
      <w:snapToGrid w:val="0"/>
      <w:spacing w:before="50" w:after="50" w:line="240" w:lineRule="auto"/>
      <w:ind w:firstLine="200" w:firstLineChars="200"/>
      <w:outlineLvl w:val="1"/>
    </w:pPr>
    <w:rPr>
      <w:rFonts w:hAnsi="宋体"/>
      <w:b/>
      <w:sz w:val="21"/>
      <w:szCs w:val="21"/>
      <w:lang w:val="en-US" w:eastAsia="zh-CN"/>
    </w:rPr>
  </w:style>
  <w:style w:type="paragraph" w:customStyle="1" w:styleId="970">
    <w:name w:val="表格用"/>
    <w:basedOn w:val="1"/>
    <w:qFormat/>
    <w:uiPriority w:val="0"/>
    <w:pPr>
      <w:widowControl/>
      <w:spacing w:line="360" w:lineRule="auto"/>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53</Pages>
  <Words>30696</Words>
  <Characters>32210</Characters>
  <Lines>281</Lines>
  <Paragraphs>79</Paragraphs>
  <TotalTime>3</TotalTime>
  <ScaleCrop>false</ScaleCrop>
  <LinksUpToDate>false</LinksUpToDate>
  <CharactersWithSpaces>33556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简</cp:lastModifiedBy>
  <cp:lastPrinted>2021-12-28T03:06:00Z</cp:lastPrinted>
  <dcterms:modified xsi:type="dcterms:W3CDTF">2025-08-25T07:11:47Z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5FA4CB304E80416CB5B60911959497D5_13</vt:lpwstr>
  </property>
  <property fmtid="{D5CDD505-2E9C-101B-9397-08002B2CF9AE}" pid="5" name="KSOTemplateDocerSaveRecord">
    <vt:lpwstr>eyJoZGlkIjoiNTg0MzMyNGJiMDEzODc5ODNlMGVjODViOWRkZjg1MDgiLCJ1c2VySWQiOiI5MjY3Mzk4MTMifQ==</vt:lpwstr>
  </property>
</Properties>
</file>