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04868">
      <w:pPr>
        <w:pStyle w:val="13"/>
        <w:adjustRightInd w:val="0"/>
        <w:snapToGrid w:val="0"/>
        <w:spacing w:line="240" w:lineRule="atLeast"/>
        <w:jc w:val="center"/>
        <w:rPr>
          <w:rFonts w:hAnsi="宋体"/>
          <w:color w:val="auto"/>
          <w:highlight w:val="none"/>
        </w:rPr>
      </w:pPr>
    </w:p>
    <w:p w14:paraId="225B88B7">
      <w:pPr>
        <w:pStyle w:val="13"/>
        <w:adjustRightInd w:val="0"/>
        <w:snapToGrid w:val="0"/>
        <w:spacing w:line="240" w:lineRule="atLeast"/>
        <w:jc w:val="center"/>
        <w:rPr>
          <w:rFonts w:hAnsi="宋体"/>
          <w:color w:val="auto"/>
          <w:highlight w:val="none"/>
        </w:rPr>
      </w:pPr>
    </w:p>
    <w:p w14:paraId="6C256A88">
      <w:pPr>
        <w:pStyle w:val="13"/>
        <w:adjustRightInd w:val="0"/>
        <w:snapToGrid w:val="0"/>
        <w:spacing w:line="240" w:lineRule="atLeast"/>
        <w:jc w:val="center"/>
        <w:rPr>
          <w:rFonts w:hAnsi="宋体"/>
          <w:color w:val="auto"/>
          <w:highlight w:val="none"/>
        </w:rPr>
      </w:pPr>
    </w:p>
    <w:p w14:paraId="2589A7E3">
      <w:pPr>
        <w:pStyle w:val="13"/>
        <w:adjustRightInd w:val="0"/>
        <w:snapToGrid w:val="0"/>
        <w:spacing w:line="240" w:lineRule="atLeast"/>
        <w:jc w:val="center"/>
        <w:rPr>
          <w:rFonts w:hAnsi="宋体"/>
          <w:color w:val="auto"/>
          <w:highlight w:val="none"/>
        </w:rPr>
      </w:pPr>
    </w:p>
    <w:p w14:paraId="162DE0AD">
      <w:pPr>
        <w:pStyle w:val="13"/>
        <w:adjustRightInd w:val="0"/>
        <w:snapToGrid w:val="0"/>
        <w:spacing w:line="240" w:lineRule="atLeast"/>
        <w:jc w:val="center"/>
        <w:rPr>
          <w:rFonts w:ascii="华文中宋" w:hAnsi="华文中宋" w:eastAsia="华文中宋"/>
          <w:bCs/>
          <w:color w:val="auto"/>
          <w:sz w:val="72"/>
          <w:szCs w:val="72"/>
          <w:highlight w:val="none"/>
        </w:rPr>
      </w:pPr>
      <w:r>
        <w:rPr>
          <w:rFonts w:hint="eastAsia" w:ascii="华文中宋" w:hAnsi="华文中宋" w:eastAsia="华文中宋"/>
          <w:bCs/>
          <w:color w:val="auto"/>
          <w:sz w:val="72"/>
          <w:szCs w:val="72"/>
          <w:highlight w:val="none"/>
        </w:rPr>
        <w:t>政府采购</w:t>
      </w:r>
    </w:p>
    <w:p w14:paraId="421109FA">
      <w:pPr>
        <w:pStyle w:val="13"/>
        <w:adjustRightInd w:val="0"/>
        <w:snapToGrid w:val="0"/>
        <w:spacing w:line="240" w:lineRule="atLeast"/>
        <w:jc w:val="center"/>
        <w:rPr>
          <w:rFonts w:ascii="华文中宋" w:hAnsi="华文中宋" w:eastAsia="华文中宋"/>
          <w:b/>
          <w:bCs/>
          <w:color w:val="auto"/>
          <w:sz w:val="84"/>
          <w:szCs w:val="84"/>
          <w:highlight w:val="none"/>
        </w:rPr>
      </w:pPr>
      <w:r>
        <w:rPr>
          <w:rFonts w:hint="eastAsia" w:ascii="华文中宋" w:hAnsi="华文中宋" w:eastAsia="华文中宋"/>
          <w:b/>
          <w:bCs/>
          <w:color w:val="auto"/>
          <w:sz w:val="84"/>
          <w:szCs w:val="84"/>
          <w:highlight w:val="none"/>
        </w:rPr>
        <w:t>招 标 文 件</w:t>
      </w:r>
    </w:p>
    <w:p w14:paraId="0056AA72">
      <w:pPr>
        <w:pStyle w:val="13"/>
        <w:adjustRightInd w:val="0"/>
        <w:snapToGrid w:val="0"/>
        <w:spacing w:line="240" w:lineRule="atLeast"/>
        <w:jc w:val="center"/>
        <w:rPr>
          <w:rFonts w:ascii="华文中宋" w:hAnsi="华文中宋" w:eastAsia="华文中宋"/>
          <w:b/>
          <w:bCs/>
          <w:color w:val="auto"/>
          <w:sz w:val="44"/>
          <w:szCs w:val="44"/>
          <w:highlight w:val="none"/>
        </w:rPr>
      </w:pPr>
    </w:p>
    <w:p w14:paraId="3FBFEEFE">
      <w:pPr>
        <w:pStyle w:val="13"/>
        <w:adjustRightInd w:val="0"/>
        <w:snapToGrid w:val="0"/>
        <w:spacing w:line="240" w:lineRule="atLeast"/>
        <w:jc w:val="center"/>
        <w:rPr>
          <w:rFonts w:hint="eastAsia" w:ascii="华文中宋" w:hAnsi="华文中宋" w:eastAsia="华文中宋"/>
          <w:b/>
          <w:bCs/>
          <w:color w:val="auto"/>
          <w:sz w:val="44"/>
          <w:szCs w:val="44"/>
          <w:highlight w:val="none"/>
        </w:rPr>
      </w:pPr>
    </w:p>
    <w:p w14:paraId="5953BE64">
      <w:pPr>
        <w:pStyle w:val="13"/>
        <w:adjustRightInd w:val="0"/>
        <w:snapToGrid w:val="0"/>
        <w:spacing w:line="240" w:lineRule="atLeast"/>
        <w:jc w:val="center"/>
        <w:rPr>
          <w:rFonts w:hint="eastAsia" w:ascii="华文中宋" w:hAnsi="华文中宋" w:eastAsia="华文中宋"/>
          <w:b/>
          <w:bCs/>
          <w:color w:val="auto"/>
          <w:sz w:val="44"/>
          <w:szCs w:val="44"/>
          <w:highlight w:val="none"/>
        </w:rPr>
      </w:pPr>
    </w:p>
    <w:p w14:paraId="3713B680">
      <w:pPr>
        <w:pStyle w:val="13"/>
        <w:adjustRightInd w:val="0"/>
        <w:snapToGrid w:val="0"/>
        <w:spacing w:line="240" w:lineRule="atLeast"/>
        <w:jc w:val="center"/>
        <w:rPr>
          <w:rFonts w:ascii="Times New Roman" w:hAnsi="宋体" w:cs="Times New Roman"/>
          <w:b/>
          <w:color w:val="auto"/>
          <w:sz w:val="32"/>
          <w:szCs w:val="32"/>
          <w:highlight w:val="none"/>
        </w:rPr>
      </w:pPr>
    </w:p>
    <w:p w14:paraId="4E0EBF69">
      <w:pPr>
        <w:adjustRightInd w:val="0"/>
        <w:snapToGrid w:val="0"/>
        <w:spacing w:line="360" w:lineRule="auto"/>
        <w:ind w:left="2249" w:hanging="2249" w:hangingChars="700"/>
        <w:rPr>
          <w:rFonts w:hint="eastAsia" w:ascii="宋体" w:hAnsi="宋体"/>
          <w:b/>
          <w:color w:val="auto"/>
          <w:sz w:val="32"/>
          <w:szCs w:val="32"/>
          <w:highlight w:val="none"/>
        </w:rPr>
      </w:pPr>
      <w:r>
        <w:rPr>
          <w:rFonts w:hint="eastAsia" w:ascii="宋体" w:hAnsi="宋体"/>
          <w:b/>
          <w:color w:val="auto"/>
          <w:sz w:val="32"/>
          <w:szCs w:val="32"/>
          <w:highlight w:val="none"/>
        </w:rPr>
        <w:t>采购项目名称：</w:t>
      </w:r>
      <w:r>
        <w:rPr>
          <w:rFonts w:hint="eastAsia" w:ascii="宋体" w:hAnsi="宋体"/>
          <w:b/>
          <w:color w:val="auto"/>
          <w:sz w:val="32"/>
          <w:szCs w:val="32"/>
          <w:highlight w:val="none"/>
          <w:u w:val="single"/>
          <w:lang w:eastAsia="zh-CN"/>
        </w:rPr>
        <w:t>双峰县2024年度水库及堤防堤坝白蚁等害堤动物综合治理项目</w:t>
      </w:r>
      <w:r>
        <w:rPr>
          <w:rFonts w:hint="eastAsia" w:ascii="宋体" w:hAnsi="宋体"/>
          <w:b/>
          <w:color w:val="auto"/>
          <w:sz w:val="32"/>
          <w:szCs w:val="32"/>
          <w:highlight w:val="none"/>
        </w:rPr>
        <w:t xml:space="preserve"> </w:t>
      </w:r>
    </w:p>
    <w:p w14:paraId="7ED85782">
      <w:pPr>
        <w:adjustRightInd w:val="0"/>
        <w:snapToGrid w:val="0"/>
        <w:spacing w:line="360" w:lineRule="auto"/>
        <w:rPr>
          <w:rFonts w:hint="eastAsia" w:ascii="宋体" w:hAnsi="宋体" w:eastAsia="宋体"/>
          <w:b/>
          <w:color w:val="auto"/>
          <w:sz w:val="32"/>
          <w:szCs w:val="32"/>
          <w:highlight w:val="none"/>
          <w:u w:val="single"/>
          <w:lang w:eastAsia="zh-CN"/>
        </w:rPr>
      </w:pPr>
      <w:r>
        <w:rPr>
          <w:rFonts w:hint="eastAsia" w:ascii="宋体" w:hAnsi="宋体"/>
          <w:b/>
          <w:color w:val="auto"/>
          <w:sz w:val="32"/>
          <w:szCs w:val="32"/>
          <w:highlight w:val="none"/>
        </w:rPr>
        <w:t>政府采购计划编号：</w:t>
      </w:r>
      <w:r>
        <w:rPr>
          <w:rFonts w:hint="eastAsia" w:ascii="宋体" w:hAnsi="宋体"/>
          <w:b/>
          <w:color w:val="auto"/>
          <w:sz w:val="32"/>
          <w:szCs w:val="32"/>
          <w:highlight w:val="none"/>
          <w:u w:val="single"/>
          <w:lang w:eastAsia="zh-CN"/>
        </w:rPr>
        <w:t>双峰财采计【2025】0045</w:t>
      </w:r>
    </w:p>
    <w:p w14:paraId="01F3B4E9">
      <w:pPr>
        <w:adjustRightInd w:val="0"/>
        <w:snapToGrid w:val="0"/>
        <w:spacing w:line="360" w:lineRule="auto"/>
        <w:rPr>
          <w:rFonts w:hint="eastAsia" w:ascii="宋体" w:hAnsi="宋体" w:eastAsia="宋体"/>
          <w:b/>
          <w:color w:val="auto"/>
          <w:sz w:val="32"/>
          <w:szCs w:val="32"/>
          <w:highlight w:val="none"/>
          <w:u w:val="single"/>
          <w:lang w:eastAsia="zh-CN"/>
        </w:rPr>
      </w:pPr>
      <w:r>
        <w:rPr>
          <w:rFonts w:hint="eastAsia" w:ascii="宋体" w:hAnsi="宋体"/>
          <w:b/>
          <w:color w:val="auto"/>
          <w:sz w:val="32"/>
          <w:szCs w:val="32"/>
          <w:highlight w:val="none"/>
        </w:rPr>
        <w:t>委托代理编号：</w:t>
      </w:r>
      <w:r>
        <w:rPr>
          <w:rFonts w:hint="eastAsia" w:ascii="宋体" w:hAnsi="宋体"/>
          <w:b/>
          <w:color w:val="auto"/>
          <w:sz w:val="32"/>
          <w:szCs w:val="32"/>
          <w:highlight w:val="none"/>
          <w:u w:val="single"/>
          <w:lang w:eastAsia="zh-CN"/>
        </w:rPr>
        <w:t>XNZX-2025ZB003</w:t>
      </w:r>
    </w:p>
    <w:p w14:paraId="1E15F06D">
      <w:pPr>
        <w:adjustRightInd w:val="0"/>
        <w:snapToGrid w:val="0"/>
        <w:spacing w:line="360" w:lineRule="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rPr>
        <w:t>采</w:t>
      </w:r>
      <w:r>
        <w:rPr>
          <w:rFonts w:ascii="宋体" w:hAnsi="宋体"/>
          <w:b/>
          <w:color w:val="auto"/>
          <w:sz w:val="32"/>
          <w:szCs w:val="32"/>
          <w:highlight w:val="none"/>
        </w:rPr>
        <w:t xml:space="preserve">   </w:t>
      </w:r>
      <w:r>
        <w:rPr>
          <w:rFonts w:hint="eastAsia" w:ascii="宋体" w:hAnsi="宋体"/>
          <w:b/>
          <w:color w:val="auto"/>
          <w:sz w:val="32"/>
          <w:szCs w:val="32"/>
          <w:highlight w:val="none"/>
        </w:rPr>
        <w:t>购</w:t>
      </w:r>
      <w:r>
        <w:rPr>
          <w:rFonts w:ascii="宋体" w:hAnsi="宋体"/>
          <w:b/>
          <w:color w:val="auto"/>
          <w:sz w:val="32"/>
          <w:szCs w:val="32"/>
          <w:highlight w:val="none"/>
        </w:rPr>
        <w:t xml:space="preserve">   </w:t>
      </w:r>
      <w:r>
        <w:rPr>
          <w:rFonts w:hint="eastAsia" w:ascii="宋体" w:hAnsi="宋体"/>
          <w:b/>
          <w:color w:val="auto"/>
          <w:sz w:val="32"/>
          <w:szCs w:val="32"/>
          <w:highlight w:val="none"/>
        </w:rPr>
        <w:t>人：</w:t>
      </w:r>
      <w:r>
        <w:rPr>
          <w:rFonts w:hint="eastAsia" w:ascii="宋体" w:hAnsi="宋体"/>
          <w:b/>
          <w:color w:val="auto"/>
          <w:sz w:val="32"/>
          <w:szCs w:val="32"/>
          <w:highlight w:val="none"/>
          <w:u w:val="single"/>
          <w:lang w:eastAsia="zh-CN"/>
        </w:rPr>
        <w:t>双峰县水利局</w:t>
      </w:r>
    </w:p>
    <w:p w14:paraId="2688E56A">
      <w:pPr>
        <w:adjustRightInd w:val="0"/>
        <w:snapToGrid w:val="0"/>
        <w:spacing w:line="360" w:lineRule="auto"/>
        <w:rPr>
          <w:rFonts w:hint="eastAsia" w:ascii="宋体" w:hAnsi="宋体"/>
          <w:b/>
          <w:color w:val="auto"/>
          <w:sz w:val="32"/>
          <w:szCs w:val="21"/>
          <w:highlight w:val="none"/>
        </w:rPr>
      </w:pPr>
      <w:r>
        <w:rPr>
          <w:rFonts w:hint="eastAsia" w:ascii="宋体" w:hAnsi="宋体"/>
          <w:b/>
          <w:color w:val="auto"/>
          <w:sz w:val="32"/>
          <w:szCs w:val="21"/>
          <w:highlight w:val="none"/>
        </w:rPr>
        <w:t>采购代理机构：</w:t>
      </w:r>
      <w:r>
        <w:rPr>
          <w:rFonts w:hint="eastAsia" w:ascii="宋体" w:hAnsi="宋体"/>
          <w:b/>
          <w:color w:val="auto"/>
          <w:sz w:val="32"/>
          <w:szCs w:val="32"/>
          <w:highlight w:val="none"/>
          <w:u w:val="single"/>
        </w:rPr>
        <w:t>湘能卓信项目管理有限公司</w:t>
      </w:r>
    </w:p>
    <w:p w14:paraId="32E9E458">
      <w:pPr>
        <w:pStyle w:val="13"/>
        <w:adjustRightInd w:val="0"/>
        <w:snapToGrid w:val="0"/>
        <w:spacing w:line="360" w:lineRule="auto"/>
        <w:jc w:val="center"/>
        <w:rPr>
          <w:rFonts w:hAnsi="宋体"/>
          <w:bCs/>
          <w:color w:val="auto"/>
          <w:sz w:val="32"/>
          <w:szCs w:val="32"/>
          <w:highlight w:val="none"/>
        </w:rPr>
      </w:pPr>
    </w:p>
    <w:p w14:paraId="7691537F">
      <w:pPr>
        <w:pStyle w:val="13"/>
        <w:adjustRightInd w:val="0"/>
        <w:snapToGrid w:val="0"/>
        <w:spacing w:line="240" w:lineRule="atLeast"/>
        <w:jc w:val="center"/>
        <w:rPr>
          <w:rFonts w:hAnsi="宋体"/>
          <w:bCs/>
          <w:color w:val="auto"/>
          <w:sz w:val="32"/>
          <w:szCs w:val="32"/>
          <w:highlight w:val="none"/>
        </w:rPr>
      </w:pPr>
    </w:p>
    <w:p w14:paraId="081C3ED4">
      <w:pPr>
        <w:pStyle w:val="13"/>
        <w:adjustRightInd w:val="0"/>
        <w:snapToGrid w:val="0"/>
        <w:spacing w:line="240" w:lineRule="atLeast"/>
        <w:jc w:val="center"/>
        <w:rPr>
          <w:rFonts w:hAnsi="宋体"/>
          <w:bCs/>
          <w:color w:val="auto"/>
          <w:sz w:val="32"/>
          <w:szCs w:val="32"/>
          <w:highlight w:val="none"/>
        </w:rPr>
      </w:pPr>
    </w:p>
    <w:p w14:paraId="56F23C42">
      <w:pPr>
        <w:pStyle w:val="13"/>
        <w:adjustRightInd w:val="0"/>
        <w:snapToGrid w:val="0"/>
        <w:spacing w:line="240" w:lineRule="atLeast"/>
        <w:jc w:val="center"/>
        <w:rPr>
          <w:rFonts w:hAnsi="宋体"/>
          <w:bCs/>
          <w:color w:val="auto"/>
          <w:sz w:val="32"/>
          <w:szCs w:val="32"/>
          <w:highlight w:val="none"/>
        </w:rPr>
      </w:pPr>
    </w:p>
    <w:p w14:paraId="79F8D1A8">
      <w:pPr>
        <w:pStyle w:val="13"/>
        <w:adjustRightInd w:val="0"/>
        <w:snapToGrid w:val="0"/>
        <w:spacing w:line="240" w:lineRule="atLeast"/>
        <w:jc w:val="center"/>
        <w:rPr>
          <w:rFonts w:hAnsi="宋体"/>
          <w:b/>
          <w:bCs/>
          <w:color w:val="auto"/>
          <w:sz w:val="32"/>
          <w:szCs w:val="32"/>
          <w:highlight w:val="none"/>
        </w:rPr>
      </w:pPr>
      <w:r>
        <w:rPr>
          <w:rFonts w:hAnsi="宋体"/>
          <w:b/>
          <w:color w:val="auto"/>
          <w:sz w:val="32"/>
          <w:highlight w:val="none"/>
        </w:rPr>
        <w:t>202</w:t>
      </w:r>
      <w:r>
        <w:rPr>
          <w:rFonts w:hint="eastAsia" w:hAnsi="宋体"/>
          <w:b/>
          <w:color w:val="auto"/>
          <w:sz w:val="32"/>
          <w:highlight w:val="none"/>
          <w:lang w:val="en-US" w:eastAsia="zh-CN"/>
        </w:rPr>
        <w:t>5</w:t>
      </w:r>
      <w:r>
        <w:rPr>
          <w:rFonts w:hint="eastAsia" w:hAnsi="宋体"/>
          <w:b/>
          <w:color w:val="auto"/>
          <w:sz w:val="32"/>
          <w:highlight w:val="none"/>
        </w:rPr>
        <w:t>年</w:t>
      </w:r>
      <w:r>
        <w:rPr>
          <w:rFonts w:hint="eastAsia" w:hAnsi="宋体"/>
          <w:b/>
          <w:color w:val="auto"/>
          <w:sz w:val="32"/>
          <w:highlight w:val="none"/>
          <w:lang w:val="en-US" w:eastAsia="zh-CN"/>
        </w:rPr>
        <w:t>8</w:t>
      </w:r>
      <w:r>
        <w:rPr>
          <w:rFonts w:hint="eastAsia" w:hAnsi="宋体"/>
          <w:b/>
          <w:color w:val="auto"/>
          <w:sz w:val="32"/>
          <w:highlight w:val="none"/>
        </w:rPr>
        <w:t>月</w:t>
      </w:r>
    </w:p>
    <w:p w14:paraId="6F0EC85E">
      <w:pPr>
        <w:pStyle w:val="13"/>
        <w:adjustRightInd w:val="0"/>
        <w:snapToGrid w:val="0"/>
        <w:spacing w:line="240" w:lineRule="atLeast"/>
        <w:jc w:val="center"/>
        <w:rPr>
          <w:rFonts w:hAnsi="宋体"/>
          <w:b/>
          <w:bCs/>
          <w:color w:val="auto"/>
          <w:sz w:val="32"/>
          <w:szCs w:val="32"/>
          <w:highlight w:val="none"/>
        </w:rPr>
      </w:pPr>
    </w:p>
    <w:p w14:paraId="4D368832">
      <w:pPr>
        <w:pStyle w:val="13"/>
        <w:adjustRightInd w:val="0"/>
        <w:snapToGrid w:val="0"/>
        <w:spacing w:line="240" w:lineRule="atLeast"/>
        <w:jc w:val="center"/>
        <w:rPr>
          <w:rFonts w:hAnsi="宋体"/>
          <w:b/>
          <w:bCs/>
          <w:color w:val="auto"/>
          <w:sz w:val="32"/>
          <w:szCs w:val="32"/>
          <w:highlight w:val="none"/>
        </w:rPr>
        <w:sectPr>
          <w:headerReference r:id="rId3" w:type="default"/>
          <w:pgSz w:w="11906" w:h="16838"/>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pPr>
    </w:p>
    <w:p w14:paraId="712254BC">
      <w:pPr>
        <w:pStyle w:val="13"/>
        <w:adjustRightInd w:val="0"/>
        <w:snapToGrid w:val="0"/>
        <w:spacing w:line="360" w:lineRule="auto"/>
        <w:jc w:val="center"/>
        <w:rPr>
          <w:rFonts w:ascii="华文中宋" w:hAnsi="华文中宋" w:eastAsia="华文中宋"/>
          <w:b/>
          <w:color w:val="auto"/>
          <w:spacing w:val="160"/>
          <w:sz w:val="36"/>
          <w:szCs w:val="36"/>
          <w:highlight w:val="none"/>
        </w:rPr>
      </w:pPr>
      <w:r>
        <w:rPr>
          <w:rFonts w:hint="eastAsia" w:ascii="华文中宋" w:hAnsi="华文中宋" w:eastAsia="华文中宋"/>
          <w:b/>
          <w:color w:val="auto"/>
          <w:spacing w:val="160"/>
          <w:sz w:val="36"/>
          <w:szCs w:val="36"/>
          <w:highlight w:val="none"/>
        </w:rPr>
        <w:br w:type="page"/>
      </w:r>
      <w:r>
        <w:rPr>
          <w:rFonts w:hint="eastAsia" w:ascii="华文中宋" w:hAnsi="华文中宋" w:eastAsia="华文中宋"/>
          <w:b/>
          <w:color w:val="auto"/>
          <w:spacing w:val="160"/>
          <w:sz w:val="36"/>
          <w:szCs w:val="36"/>
          <w:highlight w:val="none"/>
        </w:rPr>
        <w:t>目录</w:t>
      </w:r>
    </w:p>
    <w:p w14:paraId="323C7E3E">
      <w:pPr>
        <w:pStyle w:val="20"/>
        <w:tabs>
          <w:tab w:val="right" w:leader="dot" w:pos="8844"/>
        </w:tabs>
        <w:rPr>
          <w:color w:val="auto"/>
          <w:highlight w:val="none"/>
        </w:rPr>
      </w:pPr>
      <w:r>
        <w:rPr>
          <w:rStyle w:val="29"/>
          <w:b w:val="0"/>
          <w:color w:val="auto"/>
          <w:highlight w:val="none"/>
        </w:rPr>
        <w:fldChar w:fldCharType="begin"/>
      </w:r>
      <w:r>
        <w:rPr>
          <w:rStyle w:val="29"/>
          <w:b w:val="0"/>
          <w:color w:val="auto"/>
          <w:highlight w:val="none"/>
        </w:rPr>
        <w:instrText xml:space="preserve"> TOC \o "1-4" \h \z \u </w:instrText>
      </w:r>
      <w:r>
        <w:rPr>
          <w:rStyle w:val="29"/>
          <w:b w:val="0"/>
          <w:color w:val="auto"/>
          <w:highlight w:val="none"/>
        </w:rPr>
        <w:fldChar w:fldCharType="separate"/>
      </w:r>
      <w:r>
        <w:rPr>
          <w:color w:val="auto"/>
          <w:highlight w:val="none"/>
        </w:rPr>
        <w:fldChar w:fldCharType="begin"/>
      </w:r>
      <w:r>
        <w:rPr>
          <w:color w:val="auto"/>
          <w:highlight w:val="none"/>
        </w:rPr>
        <w:instrText xml:space="preserve"> HYPERLINK \l _Toc1987 </w:instrText>
      </w:r>
      <w:r>
        <w:rPr>
          <w:color w:val="auto"/>
          <w:highlight w:val="none"/>
        </w:rPr>
        <w:fldChar w:fldCharType="separate"/>
      </w:r>
      <w:r>
        <w:rPr>
          <w:rFonts w:hint="eastAsia" w:ascii="黑体" w:hAnsi="华文中宋" w:eastAsia="黑体"/>
          <w:color w:val="auto"/>
          <w:szCs w:val="32"/>
          <w:highlight w:val="none"/>
        </w:rPr>
        <w:t>第一章 投标邀请（公开招标）</w:t>
      </w:r>
      <w:r>
        <w:rPr>
          <w:color w:val="auto"/>
          <w:highlight w:val="none"/>
        </w:rPr>
        <w:tab/>
      </w:r>
      <w:r>
        <w:rPr>
          <w:color w:val="auto"/>
          <w:highlight w:val="none"/>
        </w:rPr>
        <w:fldChar w:fldCharType="begin"/>
      </w:r>
      <w:r>
        <w:rPr>
          <w:color w:val="auto"/>
          <w:highlight w:val="none"/>
        </w:rPr>
        <w:instrText xml:space="preserve"> PAGEREF _Toc1987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4F6CAAF0">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_Toc17315 </w:instrText>
      </w:r>
      <w:r>
        <w:rPr>
          <w:rFonts w:hAnsi="宋体" w:cs="Times New Roman"/>
          <w:color w:val="auto"/>
          <w:highlight w:val="none"/>
        </w:rPr>
        <w:fldChar w:fldCharType="separate"/>
      </w:r>
      <w:r>
        <w:rPr>
          <w:rFonts w:hint="eastAsia" w:ascii="黑体" w:hAnsi="华文中宋" w:eastAsia="黑体"/>
          <w:color w:val="auto"/>
          <w:szCs w:val="32"/>
          <w:highlight w:val="none"/>
        </w:rPr>
        <w:t>第二章 投标须知</w:t>
      </w:r>
      <w:r>
        <w:rPr>
          <w:color w:val="auto"/>
          <w:highlight w:val="none"/>
        </w:rPr>
        <w:tab/>
      </w:r>
      <w:r>
        <w:rPr>
          <w:color w:val="auto"/>
          <w:highlight w:val="none"/>
        </w:rPr>
        <w:fldChar w:fldCharType="begin"/>
      </w:r>
      <w:r>
        <w:rPr>
          <w:color w:val="auto"/>
          <w:highlight w:val="none"/>
        </w:rPr>
        <w:instrText xml:space="preserve"> PAGEREF _Toc17315 \h </w:instrText>
      </w:r>
      <w:r>
        <w:rPr>
          <w:color w:val="auto"/>
          <w:highlight w:val="none"/>
        </w:rPr>
        <w:fldChar w:fldCharType="separate"/>
      </w:r>
      <w:r>
        <w:rPr>
          <w:color w:val="auto"/>
          <w:highlight w:val="none"/>
        </w:rPr>
        <w:t>9</w:t>
      </w:r>
      <w:r>
        <w:rPr>
          <w:color w:val="auto"/>
          <w:highlight w:val="none"/>
        </w:rPr>
        <w:fldChar w:fldCharType="end"/>
      </w:r>
      <w:r>
        <w:rPr>
          <w:rFonts w:hAnsi="宋体" w:cs="Times New Roman"/>
          <w:color w:val="auto"/>
          <w:highlight w:val="none"/>
        </w:rPr>
        <w:fldChar w:fldCharType="end"/>
      </w:r>
    </w:p>
    <w:p w14:paraId="29A35DCB">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_Toc8054 </w:instrText>
      </w:r>
      <w:r>
        <w:rPr>
          <w:rFonts w:hAnsi="宋体" w:cs="Times New Roman"/>
          <w:color w:val="auto"/>
          <w:highlight w:val="none"/>
        </w:rPr>
        <w:fldChar w:fldCharType="separate"/>
      </w:r>
      <w:r>
        <w:rPr>
          <w:rFonts w:hint="eastAsia" w:ascii="黑体" w:hAnsi="华文中宋" w:eastAsia="黑体"/>
          <w:color w:val="auto"/>
          <w:szCs w:val="28"/>
          <w:highlight w:val="none"/>
        </w:rPr>
        <w:t>第一节 投标须知前附表</w:t>
      </w:r>
      <w:r>
        <w:rPr>
          <w:color w:val="auto"/>
          <w:highlight w:val="none"/>
        </w:rPr>
        <w:tab/>
      </w:r>
      <w:r>
        <w:rPr>
          <w:color w:val="auto"/>
          <w:highlight w:val="none"/>
        </w:rPr>
        <w:fldChar w:fldCharType="begin"/>
      </w:r>
      <w:r>
        <w:rPr>
          <w:color w:val="auto"/>
          <w:highlight w:val="none"/>
        </w:rPr>
        <w:instrText xml:space="preserve"> PAGEREF _Toc8054 \h </w:instrText>
      </w:r>
      <w:r>
        <w:rPr>
          <w:color w:val="auto"/>
          <w:highlight w:val="none"/>
        </w:rPr>
        <w:fldChar w:fldCharType="separate"/>
      </w:r>
      <w:r>
        <w:rPr>
          <w:color w:val="auto"/>
          <w:highlight w:val="none"/>
        </w:rPr>
        <w:t>9</w:t>
      </w:r>
      <w:r>
        <w:rPr>
          <w:color w:val="auto"/>
          <w:highlight w:val="none"/>
        </w:rPr>
        <w:fldChar w:fldCharType="end"/>
      </w:r>
      <w:r>
        <w:rPr>
          <w:rFonts w:hAnsi="宋体" w:cs="Times New Roman"/>
          <w:color w:val="auto"/>
          <w:highlight w:val="none"/>
        </w:rPr>
        <w:fldChar w:fldCharType="end"/>
      </w:r>
    </w:p>
    <w:p w14:paraId="3AD57C1F">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_Toc22358 </w:instrText>
      </w:r>
      <w:r>
        <w:rPr>
          <w:rFonts w:hAnsi="宋体" w:cs="Times New Roman"/>
          <w:color w:val="auto"/>
          <w:highlight w:val="none"/>
        </w:rPr>
        <w:fldChar w:fldCharType="separate"/>
      </w:r>
      <w:r>
        <w:rPr>
          <w:rFonts w:hint="eastAsia" w:ascii="黑体" w:hAnsi="黑体" w:eastAsia="黑体"/>
          <w:color w:val="auto"/>
          <w:szCs w:val="28"/>
          <w:highlight w:val="none"/>
        </w:rPr>
        <w:t>第二节 投标须知</w:t>
      </w:r>
      <w:r>
        <w:rPr>
          <w:color w:val="auto"/>
          <w:highlight w:val="none"/>
        </w:rPr>
        <w:tab/>
      </w:r>
      <w:r>
        <w:rPr>
          <w:color w:val="auto"/>
          <w:highlight w:val="none"/>
        </w:rPr>
        <w:fldChar w:fldCharType="begin"/>
      </w:r>
      <w:r>
        <w:rPr>
          <w:color w:val="auto"/>
          <w:highlight w:val="none"/>
        </w:rPr>
        <w:instrText xml:space="preserve"> PAGEREF _Toc22358 \h </w:instrText>
      </w:r>
      <w:r>
        <w:rPr>
          <w:color w:val="auto"/>
          <w:highlight w:val="none"/>
        </w:rPr>
        <w:fldChar w:fldCharType="separate"/>
      </w:r>
      <w:r>
        <w:rPr>
          <w:color w:val="auto"/>
          <w:highlight w:val="none"/>
        </w:rPr>
        <w:t>14</w:t>
      </w:r>
      <w:r>
        <w:rPr>
          <w:color w:val="auto"/>
          <w:highlight w:val="none"/>
        </w:rPr>
        <w:fldChar w:fldCharType="end"/>
      </w:r>
      <w:r>
        <w:rPr>
          <w:rFonts w:hAnsi="宋体" w:cs="Times New Roman"/>
          <w:color w:val="auto"/>
          <w:highlight w:val="none"/>
        </w:rPr>
        <w:fldChar w:fldCharType="end"/>
      </w:r>
    </w:p>
    <w:p w14:paraId="172ECFB0">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_Toc8350 </w:instrText>
      </w:r>
      <w:r>
        <w:rPr>
          <w:rFonts w:hAnsi="宋体" w:cs="Times New Roman"/>
          <w:color w:val="auto"/>
          <w:highlight w:val="none"/>
        </w:rPr>
        <w:fldChar w:fldCharType="separate"/>
      </w:r>
      <w:r>
        <w:rPr>
          <w:rFonts w:hint="eastAsia" w:ascii="黑体" w:hAnsi="黑体" w:eastAsia="黑体"/>
          <w:color w:val="auto"/>
          <w:szCs w:val="28"/>
          <w:highlight w:val="none"/>
        </w:rPr>
        <w:t>一、总则</w:t>
      </w:r>
      <w:r>
        <w:rPr>
          <w:color w:val="auto"/>
          <w:highlight w:val="none"/>
        </w:rPr>
        <w:tab/>
      </w:r>
      <w:r>
        <w:rPr>
          <w:color w:val="auto"/>
          <w:highlight w:val="none"/>
        </w:rPr>
        <w:fldChar w:fldCharType="begin"/>
      </w:r>
      <w:r>
        <w:rPr>
          <w:color w:val="auto"/>
          <w:highlight w:val="none"/>
        </w:rPr>
        <w:instrText xml:space="preserve"> PAGEREF _Toc8350 \h </w:instrText>
      </w:r>
      <w:r>
        <w:rPr>
          <w:color w:val="auto"/>
          <w:highlight w:val="none"/>
        </w:rPr>
        <w:fldChar w:fldCharType="separate"/>
      </w:r>
      <w:r>
        <w:rPr>
          <w:color w:val="auto"/>
          <w:highlight w:val="none"/>
        </w:rPr>
        <w:t>14</w:t>
      </w:r>
      <w:r>
        <w:rPr>
          <w:color w:val="auto"/>
          <w:highlight w:val="none"/>
        </w:rPr>
        <w:fldChar w:fldCharType="end"/>
      </w:r>
      <w:r>
        <w:rPr>
          <w:rFonts w:hAnsi="宋体" w:cs="Times New Roman"/>
          <w:color w:val="auto"/>
          <w:highlight w:val="none"/>
        </w:rPr>
        <w:fldChar w:fldCharType="end"/>
      </w:r>
    </w:p>
    <w:p w14:paraId="142FDAF3">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_Toc14655 </w:instrText>
      </w:r>
      <w:r>
        <w:rPr>
          <w:rFonts w:hAnsi="宋体" w:cs="Times New Roman"/>
          <w:color w:val="auto"/>
          <w:highlight w:val="none"/>
        </w:rPr>
        <w:fldChar w:fldCharType="separate"/>
      </w:r>
      <w:r>
        <w:rPr>
          <w:rFonts w:hint="eastAsia" w:ascii="黑体" w:hAnsi="黑体" w:eastAsia="黑体"/>
          <w:color w:val="auto"/>
          <w:szCs w:val="28"/>
          <w:highlight w:val="none"/>
        </w:rPr>
        <w:t>二、招标文件</w:t>
      </w:r>
      <w:r>
        <w:rPr>
          <w:color w:val="auto"/>
          <w:highlight w:val="none"/>
        </w:rPr>
        <w:tab/>
      </w:r>
      <w:r>
        <w:rPr>
          <w:color w:val="auto"/>
          <w:highlight w:val="none"/>
        </w:rPr>
        <w:fldChar w:fldCharType="begin"/>
      </w:r>
      <w:r>
        <w:rPr>
          <w:color w:val="auto"/>
          <w:highlight w:val="none"/>
        </w:rPr>
        <w:instrText xml:space="preserve"> PAGEREF _Toc14655 \h </w:instrText>
      </w:r>
      <w:r>
        <w:rPr>
          <w:color w:val="auto"/>
          <w:highlight w:val="none"/>
        </w:rPr>
        <w:fldChar w:fldCharType="separate"/>
      </w:r>
      <w:r>
        <w:rPr>
          <w:color w:val="auto"/>
          <w:highlight w:val="none"/>
        </w:rPr>
        <w:t>15</w:t>
      </w:r>
      <w:r>
        <w:rPr>
          <w:color w:val="auto"/>
          <w:highlight w:val="none"/>
        </w:rPr>
        <w:fldChar w:fldCharType="end"/>
      </w:r>
      <w:r>
        <w:rPr>
          <w:rFonts w:hAnsi="宋体" w:cs="Times New Roman"/>
          <w:color w:val="auto"/>
          <w:highlight w:val="none"/>
        </w:rPr>
        <w:fldChar w:fldCharType="end"/>
      </w:r>
    </w:p>
    <w:p w14:paraId="10C0A851">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_Toc31844 </w:instrText>
      </w:r>
      <w:r>
        <w:rPr>
          <w:rFonts w:hAnsi="宋体" w:cs="Times New Roman"/>
          <w:color w:val="auto"/>
          <w:highlight w:val="none"/>
        </w:rPr>
        <w:fldChar w:fldCharType="separate"/>
      </w:r>
      <w:r>
        <w:rPr>
          <w:rFonts w:hint="eastAsia" w:ascii="黑体" w:hAnsi="黑体" w:eastAsia="黑体"/>
          <w:color w:val="auto"/>
          <w:szCs w:val="28"/>
          <w:highlight w:val="none"/>
        </w:rPr>
        <w:t>三、投标文件</w:t>
      </w:r>
      <w:r>
        <w:rPr>
          <w:color w:val="auto"/>
          <w:highlight w:val="none"/>
        </w:rPr>
        <w:tab/>
      </w:r>
      <w:r>
        <w:rPr>
          <w:color w:val="auto"/>
          <w:highlight w:val="none"/>
        </w:rPr>
        <w:fldChar w:fldCharType="begin"/>
      </w:r>
      <w:r>
        <w:rPr>
          <w:color w:val="auto"/>
          <w:highlight w:val="none"/>
        </w:rPr>
        <w:instrText xml:space="preserve"> PAGEREF _Toc31844 \h </w:instrText>
      </w:r>
      <w:r>
        <w:rPr>
          <w:color w:val="auto"/>
          <w:highlight w:val="none"/>
        </w:rPr>
        <w:fldChar w:fldCharType="separate"/>
      </w:r>
      <w:r>
        <w:rPr>
          <w:color w:val="auto"/>
          <w:highlight w:val="none"/>
        </w:rPr>
        <w:t>16</w:t>
      </w:r>
      <w:r>
        <w:rPr>
          <w:color w:val="auto"/>
          <w:highlight w:val="none"/>
        </w:rPr>
        <w:fldChar w:fldCharType="end"/>
      </w:r>
      <w:r>
        <w:rPr>
          <w:rFonts w:hAnsi="宋体" w:cs="Times New Roman"/>
          <w:color w:val="auto"/>
          <w:highlight w:val="none"/>
        </w:rPr>
        <w:fldChar w:fldCharType="end"/>
      </w:r>
    </w:p>
    <w:p w14:paraId="7DB2601B">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_Toc3210 </w:instrText>
      </w:r>
      <w:r>
        <w:rPr>
          <w:rFonts w:hAnsi="宋体" w:cs="Times New Roman"/>
          <w:color w:val="auto"/>
          <w:highlight w:val="none"/>
        </w:rPr>
        <w:fldChar w:fldCharType="separate"/>
      </w:r>
      <w:r>
        <w:rPr>
          <w:rFonts w:hint="eastAsia" w:ascii="黑体" w:hAnsi="黑体" w:eastAsia="黑体"/>
          <w:color w:val="auto"/>
          <w:szCs w:val="28"/>
          <w:highlight w:val="none"/>
        </w:rPr>
        <w:t>四、投标</w:t>
      </w:r>
      <w:r>
        <w:rPr>
          <w:color w:val="auto"/>
          <w:highlight w:val="none"/>
        </w:rPr>
        <w:tab/>
      </w:r>
      <w:r>
        <w:rPr>
          <w:color w:val="auto"/>
          <w:highlight w:val="none"/>
        </w:rPr>
        <w:fldChar w:fldCharType="begin"/>
      </w:r>
      <w:r>
        <w:rPr>
          <w:color w:val="auto"/>
          <w:highlight w:val="none"/>
        </w:rPr>
        <w:instrText xml:space="preserve"> PAGEREF _Toc3210 \h </w:instrText>
      </w:r>
      <w:r>
        <w:rPr>
          <w:color w:val="auto"/>
          <w:highlight w:val="none"/>
        </w:rPr>
        <w:fldChar w:fldCharType="separate"/>
      </w:r>
      <w:r>
        <w:rPr>
          <w:color w:val="auto"/>
          <w:highlight w:val="none"/>
        </w:rPr>
        <w:t>19</w:t>
      </w:r>
      <w:r>
        <w:rPr>
          <w:color w:val="auto"/>
          <w:highlight w:val="none"/>
        </w:rPr>
        <w:fldChar w:fldCharType="end"/>
      </w:r>
      <w:r>
        <w:rPr>
          <w:rFonts w:hAnsi="宋体" w:cs="Times New Roman"/>
          <w:color w:val="auto"/>
          <w:highlight w:val="none"/>
        </w:rPr>
        <w:fldChar w:fldCharType="end"/>
      </w:r>
    </w:p>
    <w:p w14:paraId="05CD4F6F">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_Toc3396 </w:instrText>
      </w:r>
      <w:r>
        <w:rPr>
          <w:rFonts w:hAnsi="宋体" w:cs="Times New Roman"/>
          <w:color w:val="auto"/>
          <w:highlight w:val="none"/>
        </w:rPr>
        <w:fldChar w:fldCharType="separate"/>
      </w:r>
      <w:r>
        <w:rPr>
          <w:rFonts w:hint="eastAsia" w:ascii="黑体" w:hAnsi="黑体" w:eastAsia="黑体"/>
          <w:color w:val="auto"/>
          <w:szCs w:val="28"/>
          <w:highlight w:val="none"/>
        </w:rPr>
        <w:t>五、开标，资格审查和评标</w:t>
      </w:r>
      <w:r>
        <w:rPr>
          <w:color w:val="auto"/>
          <w:highlight w:val="none"/>
        </w:rPr>
        <w:tab/>
      </w:r>
      <w:r>
        <w:rPr>
          <w:color w:val="auto"/>
          <w:highlight w:val="none"/>
        </w:rPr>
        <w:fldChar w:fldCharType="begin"/>
      </w:r>
      <w:r>
        <w:rPr>
          <w:color w:val="auto"/>
          <w:highlight w:val="none"/>
        </w:rPr>
        <w:instrText xml:space="preserve"> PAGEREF _Toc3396 \h </w:instrText>
      </w:r>
      <w:r>
        <w:rPr>
          <w:color w:val="auto"/>
          <w:highlight w:val="none"/>
        </w:rPr>
        <w:fldChar w:fldCharType="separate"/>
      </w:r>
      <w:r>
        <w:rPr>
          <w:color w:val="auto"/>
          <w:highlight w:val="none"/>
        </w:rPr>
        <w:t>21</w:t>
      </w:r>
      <w:r>
        <w:rPr>
          <w:color w:val="auto"/>
          <w:highlight w:val="none"/>
        </w:rPr>
        <w:fldChar w:fldCharType="end"/>
      </w:r>
      <w:r>
        <w:rPr>
          <w:rFonts w:hAnsi="宋体" w:cs="Times New Roman"/>
          <w:color w:val="auto"/>
          <w:highlight w:val="none"/>
        </w:rPr>
        <w:fldChar w:fldCharType="end"/>
      </w:r>
    </w:p>
    <w:p w14:paraId="04D74AB6">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_Toc32194 </w:instrText>
      </w:r>
      <w:r>
        <w:rPr>
          <w:rFonts w:hAnsi="宋体" w:cs="Times New Roman"/>
          <w:color w:val="auto"/>
          <w:highlight w:val="none"/>
        </w:rPr>
        <w:fldChar w:fldCharType="separate"/>
      </w:r>
      <w:r>
        <w:rPr>
          <w:rFonts w:hint="eastAsia" w:ascii="黑体" w:hAnsi="黑体" w:eastAsia="黑体"/>
          <w:color w:val="auto"/>
          <w:szCs w:val="28"/>
          <w:highlight w:val="none"/>
        </w:rPr>
        <w:t>六、中标信息公布</w:t>
      </w:r>
      <w:r>
        <w:rPr>
          <w:color w:val="auto"/>
          <w:highlight w:val="none"/>
        </w:rPr>
        <w:tab/>
      </w:r>
      <w:r>
        <w:rPr>
          <w:color w:val="auto"/>
          <w:highlight w:val="none"/>
        </w:rPr>
        <w:fldChar w:fldCharType="begin"/>
      </w:r>
      <w:r>
        <w:rPr>
          <w:color w:val="auto"/>
          <w:highlight w:val="none"/>
        </w:rPr>
        <w:instrText xml:space="preserve"> PAGEREF _Toc32194 \h </w:instrText>
      </w:r>
      <w:r>
        <w:rPr>
          <w:color w:val="auto"/>
          <w:highlight w:val="none"/>
        </w:rPr>
        <w:fldChar w:fldCharType="separate"/>
      </w:r>
      <w:r>
        <w:rPr>
          <w:color w:val="auto"/>
          <w:highlight w:val="none"/>
        </w:rPr>
        <w:t>22</w:t>
      </w:r>
      <w:r>
        <w:rPr>
          <w:color w:val="auto"/>
          <w:highlight w:val="none"/>
        </w:rPr>
        <w:fldChar w:fldCharType="end"/>
      </w:r>
      <w:r>
        <w:rPr>
          <w:rFonts w:hAnsi="宋体" w:cs="Times New Roman"/>
          <w:color w:val="auto"/>
          <w:highlight w:val="none"/>
        </w:rPr>
        <w:fldChar w:fldCharType="end"/>
      </w:r>
    </w:p>
    <w:p w14:paraId="1355C124">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_Toc434 </w:instrText>
      </w:r>
      <w:r>
        <w:rPr>
          <w:rFonts w:hAnsi="宋体" w:cs="Times New Roman"/>
          <w:color w:val="auto"/>
          <w:highlight w:val="none"/>
        </w:rPr>
        <w:fldChar w:fldCharType="separate"/>
      </w:r>
      <w:r>
        <w:rPr>
          <w:rFonts w:hint="eastAsia" w:ascii="黑体" w:hAnsi="黑体" w:eastAsia="黑体"/>
          <w:color w:val="auto"/>
          <w:szCs w:val="28"/>
          <w:highlight w:val="none"/>
        </w:rPr>
        <w:t>七、合同签订</w:t>
      </w:r>
      <w:r>
        <w:rPr>
          <w:color w:val="auto"/>
          <w:highlight w:val="none"/>
        </w:rPr>
        <w:tab/>
      </w:r>
      <w:r>
        <w:rPr>
          <w:color w:val="auto"/>
          <w:highlight w:val="none"/>
        </w:rPr>
        <w:fldChar w:fldCharType="begin"/>
      </w:r>
      <w:r>
        <w:rPr>
          <w:color w:val="auto"/>
          <w:highlight w:val="none"/>
        </w:rPr>
        <w:instrText xml:space="preserve"> PAGEREF _Toc434 \h </w:instrText>
      </w:r>
      <w:r>
        <w:rPr>
          <w:color w:val="auto"/>
          <w:highlight w:val="none"/>
        </w:rPr>
        <w:fldChar w:fldCharType="separate"/>
      </w:r>
      <w:r>
        <w:rPr>
          <w:color w:val="auto"/>
          <w:highlight w:val="none"/>
        </w:rPr>
        <w:t>23</w:t>
      </w:r>
      <w:r>
        <w:rPr>
          <w:color w:val="auto"/>
          <w:highlight w:val="none"/>
        </w:rPr>
        <w:fldChar w:fldCharType="end"/>
      </w:r>
      <w:r>
        <w:rPr>
          <w:rFonts w:hAnsi="宋体" w:cs="Times New Roman"/>
          <w:color w:val="auto"/>
          <w:highlight w:val="none"/>
        </w:rPr>
        <w:fldChar w:fldCharType="end"/>
      </w:r>
    </w:p>
    <w:p w14:paraId="4077F0BA">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_Toc11604 </w:instrText>
      </w:r>
      <w:r>
        <w:rPr>
          <w:rFonts w:hAnsi="宋体" w:cs="Times New Roman"/>
          <w:color w:val="auto"/>
          <w:highlight w:val="none"/>
        </w:rPr>
        <w:fldChar w:fldCharType="separate"/>
      </w:r>
      <w:r>
        <w:rPr>
          <w:rFonts w:hint="eastAsia" w:ascii="黑体" w:hAnsi="黑体" w:eastAsia="黑体"/>
          <w:color w:val="auto"/>
          <w:szCs w:val="28"/>
          <w:highlight w:val="none"/>
        </w:rPr>
        <w:t>八、政府采购政策</w:t>
      </w:r>
      <w:r>
        <w:rPr>
          <w:color w:val="auto"/>
          <w:highlight w:val="none"/>
        </w:rPr>
        <w:tab/>
      </w:r>
      <w:r>
        <w:rPr>
          <w:color w:val="auto"/>
          <w:highlight w:val="none"/>
        </w:rPr>
        <w:fldChar w:fldCharType="begin"/>
      </w:r>
      <w:r>
        <w:rPr>
          <w:color w:val="auto"/>
          <w:highlight w:val="none"/>
        </w:rPr>
        <w:instrText xml:space="preserve"> PAGEREF _Toc11604 \h </w:instrText>
      </w:r>
      <w:r>
        <w:rPr>
          <w:color w:val="auto"/>
          <w:highlight w:val="none"/>
        </w:rPr>
        <w:fldChar w:fldCharType="separate"/>
      </w:r>
      <w:r>
        <w:rPr>
          <w:color w:val="auto"/>
          <w:highlight w:val="none"/>
        </w:rPr>
        <w:t>24</w:t>
      </w:r>
      <w:r>
        <w:rPr>
          <w:color w:val="auto"/>
          <w:highlight w:val="none"/>
        </w:rPr>
        <w:fldChar w:fldCharType="end"/>
      </w:r>
      <w:r>
        <w:rPr>
          <w:rFonts w:hAnsi="宋体" w:cs="Times New Roman"/>
          <w:color w:val="auto"/>
          <w:highlight w:val="none"/>
        </w:rPr>
        <w:fldChar w:fldCharType="end"/>
      </w:r>
    </w:p>
    <w:p w14:paraId="0F1C130B">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_Toc7434 </w:instrText>
      </w:r>
      <w:r>
        <w:rPr>
          <w:rFonts w:hAnsi="宋体" w:cs="Times New Roman"/>
          <w:color w:val="auto"/>
          <w:highlight w:val="none"/>
        </w:rPr>
        <w:fldChar w:fldCharType="separate"/>
      </w:r>
      <w:r>
        <w:rPr>
          <w:rFonts w:hint="eastAsia" w:ascii="黑体" w:hAnsi="黑体" w:eastAsia="黑体"/>
          <w:color w:val="auto"/>
          <w:szCs w:val="28"/>
          <w:highlight w:val="none"/>
        </w:rPr>
        <w:t>九、其他规定</w:t>
      </w:r>
      <w:r>
        <w:rPr>
          <w:color w:val="auto"/>
          <w:highlight w:val="none"/>
        </w:rPr>
        <w:tab/>
      </w:r>
      <w:r>
        <w:rPr>
          <w:color w:val="auto"/>
          <w:highlight w:val="none"/>
        </w:rPr>
        <w:fldChar w:fldCharType="begin"/>
      </w:r>
      <w:r>
        <w:rPr>
          <w:color w:val="auto"/>
          <w:highlight w:val="none"/>
        </w:rPr>
        <w:instrText xml:space="preserve"> PAGEREF _Toc7434 \h </w:instrText>
      </w:r>
      <w:r>
        <w:rPr>
          <w:color w:val="auto"/>
          <w:highlight w:val="none"/>
        </w:rPr>
        <w:fldChar w:fldCharType="separate"/>
      </w:r>
      <w:r>
        <w:rPr>
          <w:color w:val="auto"/>
          <w:highlight w:val="none"/>
        </w:rPr>
        <w:t>26</w:t>
      </w:r>
      <w:r>
        <w:rPr>
          <w:color w:val="auto"/>
          <w:highlight w:val="none"/>
        </w:rPr>
        <w:fldChar w:fldCharType="end"/>
      </w:r>
      <w:r>
        <w:rPr>
          <w:rFonts w:hAnsi="宋体" w:cs="Times New Roman"/>
          <w:color w:val="auto"/>
          <w:highlight w:val="none"/>
        </w:rPr>
        <w:fldChar w:fldCharType="end"/>
      </w:r>
    </w:p>
    <w:p w14:paraId="4E1CA173">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_Toc27462 </w:instrText>
      </w:r>
      <w:r>
        <w:rPr>
          <w:rFonts w:hAnsi="宋体" w:cs="Times New Roman"/>
          <w:color w:val="auto"/>
          <w:highlight w:val="none"/>
        </w:rPr>
        <w:fldChar w:fldCharType="separate"/>
      </w:r>
      <w:r>
        <w:rPr>
          <w:rFonts w:hint="eastAsia" w:ascii="黑体" w:hAnsi="黑体" w:eastAsia="黑体"/>
          <w:color w:val="auto"/>
          <w:szCs w:val="32"/>
          <w:highlight w:val="none"/>
        </w:rPr>
        <w:t>第三章 资格审查</w:t>
      </w:r>
      <w:r>
        <w:rPr>
          <w:color w:val="auto"/>
          <w:highlight w:val="none"/>
        </w:rPr>
        <w:tab/>
      </w:r>
      <w:r>
        <w:rPr>
          <w:color w:val="auto"/>
          <w:highlight w:val="none"/>
        </w:rPr>
        <w:fldChar w:fldCharType="begin"/>
      </w:r>
      <w:r>
        <w:rPr>
          <w:color w:val="auto"/>
          <w:highlight w:val="none"/>
        </w:rPr>
        <w:instrText xml:space="preserve"> PAGEREF _Toc27462 \h </w:instrText>
      </w:r>
      <w:r>
        <w:rPr>
          <w:color w:val="auto"/>
          <w:highlight w:val="none"/>
        </w:rPr>
        <w:fldChar w:fldCharType="separate"/>
      </w:r>
      <w:r>
        <w:rPr>
          <w:color w:val="auto"/>
          <w:highlight w:val="none"/>
        </w:rPr>
        <w:t>28</w:t>
      </w:r>
      <w:r>
        <w:rPr>
          <w:color w:val="auto"/>
          <w:highlight w:val="none"/>
        </w:rPr>
        <w:fldChar w:fldCharType="end"/>
      </w:r>
      <w:r>
        <w:rPr>
          <w:rFonts w:hAnsi="宋体" w:cs="Times New Roman"/>
          <w:color w:val="auto"/>
          <w:highlight w:val="none"/>
        </w:rPr>
        <w:fldChar w:fldCharType="end"/>
      </w:r>
    </w:p>
    <w:p w14:paraId="57C01240">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_Toc2281 </w:instrText>
      </w:r>
      <w:r>
        <w:rPr>
          <w:rFonts w:hAnsi="宋体" w:cs="Times New Roman"/>
          <w:color w:val="auto"/>
          <w:highlight w:val="none"/>
        </w:rPr>
        <w:fldChar w:fldCharType="separate"/>
      </w:r>
      <w:r>
        <w:rPr>
          <w:rFonts w:hint="eastAsia" w:ascii="黑体" w:hAnsi="黑体" w:eastAsia="黑体"/>
          <w:color w:val="auto"/>
          <w:szCs w:val="24"/>
          <w:highlight w:val="none"/>
        </w:rPr>
        <w:t>1．资格审查主体</w:t>
      </w:r>
      <w:r>
        <w:rPr>
          <w:color w:val="auto"/>
          <w:highlight w:val="none"/>
        </w:rPr>
        <w:tab/>
      </w:r>
      <w:r>
        <w:rPr>
          <w:color w:val="auto"/>
          <w:highlight w:val="none"/>
        </w:rPr>
        <w:fldChar w:fldCharType="begin"/>
      </w:r>
      <w:r>
        <w:rPr>
          <w:color w:val="auto"/>
          <w:highlight w:val="none"/>
        </w:rPr>
        <w:instrText xml:space="preserve"> PAGEREF _Toc2281 \h </w:instrText>
      </w:r>
      <w:r>
        <w:rPr>
          <w:color w:val="auto"/>
          <w:highlight w:val="none"/>
        </w:rPr>
        <w:fldChar w:fldCharType="separate"/>
      </w:r>
      <w:r>
        <w:rPr>
          <w:color w:val="auto"/>
          <w:highlight w:val="none"/>
        </w:rPr>
        <w:t>28</w:t>
      </w:r>
      <w:r>
        <w:rPr>
          <w:color w:val="auto"/>
          <w:highlight w:val="none"/>
        </w:rPr>
        <w:fldChar w:fldCharType="end"/>
      </w:r>
      <w:r>
        <w:rPr>
          <w:rFonts w:hAnsi="宋体" w:cs="Times New Roman"/>
          <w:color w:val="auto"/>
          <w:highlight w:val="none"/>
        </w:rPr>
        <w:fldChar w:fldCharType="end"/>
      </w:r>
    </w:p>
    <w:p w14:paraId="2146128D">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_Toc13738 </w:instrText>
      </w:r>
      <w:r>
        <w:rPr>
          <w:rFonts w:hAnsi="宋体" w:cs="Times New Roman"/>
          <w:color w:val="auto"/>
          <w:highlight w:val="none"/>
        </w:rPr>
        <w:fldChar w:fldCharType="separate"/>
      </w:r>
      <w:r>
        <w:rPr>
          <w:rFonts w:hint="eastAsia" w:ascii="黑体" w:hAnsi="黑体" w:eastAsia="黑体"/>
          <w:color w:val="auto"/>
          <w:szCs w:val="24"/>
          <w:highlight w:val="none"/>
        </w:rPr>
        <w:t>2．资格审查（未进行资格预审的）</w:t>
      </w:r>
      <w:r>
        <w:rPr>
          <w:color w:val="auto"/>
          <w:highlight w:val="none"/>
        </w:rPr>
        <w:tab/>
      </w:r>
      <w:r>
        <w:rPr>
          <w:color w:val="auto"/>
          <w:highlight w:val="none"/>
        </w:rPr>
        <w:fldChar w:fldCharType="begin"/>
      </w:r>
      <w:r>
        <w:rPr>
          <w:color w:val="auto"/>
          <w:highlight w:val="none"/>
        </w:rPr>
        <w:instrText xml:space="preserve"> PAGEREF _Toc13738 \h </w:instrText>
      </w:r>
      <w:r>
        <w:rPr>
          <w:color w:val="auto"/>
          <w:highlight w:val="none"/>
        </w:rPr>
        <w:fldChar w:fldCharType="separate"/>
      </w:r>
      <w:r>
        <w:rPr>
          <w:color w:val="auto"/>
          <w:highlight w:val="none"/>
        </w:rPr>
        <w:t>28</w:t>
      </w:r>
      <w:r>
        <w:rPr>
          <w:color w:val="auto"/>
          <w:highlight w:val="none"/>
        </w:rPr>
        <w:fldChar w:fldCharType="end"/>
      </w:r>
      <w:r>
        <w:rPr>
          <w:rFonts w:hAnsi="宋体" w:cs="Times New Roman"/>
          <w:color w:val="auto"/>
          <w:highlight w:val="none"/>
        </w:rPr>
        <w:fldChar w:fldCharType="end"/>
      </w:r>
    </w:p>
    <w:p w14:paraId="706033B3">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_Toc606 </w:instrText>
      </w:r>
      <w:r>
        <w:rPr>
          <w:rFonts w:hAnsi="宋体" w:cs="Times New Roman"/>
          <w:color w:val="auto"/>
          <w:highlight w:val="none"/>
        </w:rPr>
        <w:fldChar w:fldCharType="separate"/>
      </w:r>
      <w:r>
        <w:rPr>
          <w:rFonts w:hint="eastAsia" w:ascii="黑体" w:hAnsi="黑体" w:eastAsia="黑体"/>
          <w:color w:val="auto"/>
          <w:szCs w:val="24"/>
          <w:highlight w:val="none"/>
        </w:rPr>
        <w:t>2．资格审查（已进行资格预审的）</w:t>
      </w:r>
      <w:r>
        <w:rPr>
          <w:color w:val="auto"/>
          <w:highlight w:val="none"/>
        </w:rPr>
        <w:tab/>
      </w:r>
      <w:r>
        <w:rPr>
          <w:color w:val="auto"/>
          <w:highlight w:val="none"/>
        </w:rPr>
        <w:fldChar w:fldCharType="begin"/>
      </w:r>
      <w:r>
        <w:rPr>
          <w:color w:val="auto"/>
          <w:highlight w:val="none"/>
        </w:rPr>
        <w:instrText xml:space="preserve"> PAGEREF _Toc606 \h </w:instrText>
      </w:r>
      <w:r>
        <w:rPr>
          <w:color w:val="auto"/>
          <w:highlight w:val="none"/>
        </w:rPr>
        <w:fldChar w:fldCharType="separate"/>
      </w:r>
      <w:r>
        <w:rPr>
          <w:color w:val="auto"/>
          <w:highlight w:val="none"/>
        </w:rPr>
        <w:t>29</w:t>
      </w:r>
      <w:r>
        <w:rPr>
          <w:color w:val="auto"/>
          <w:highlight w:val="none"/>
        </w:rPr>
        <w:fldChar w:fldCharType="end"/>
      </w:r>
      <w:r>
        <w:rPr>
          <w:rFonts w:hAnsi="宋体" w:cs="Times New Roman"/>
          <w:color w:val="auto"/>
          <w:highlight w:val="none"/>
        </w:rPr>
        <w:fldChar w:fldCharType="end"/>
      </w:r>
    </w:p>
    <w:p w14:paraId="6FB27672">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_Toc14218 </w:instrText>
      </w:r>
      <w:r>
        <w:rPr>
          <w:rFonts w:hAnsi="宋体" w:cs="Times New Roman"/>
          <w:color w:val="auto"/>
          <w:highlight w:val="none"/>
        </w:rPr>
        <w:fldChar w:fldCharType="separate"/>
      </w:r>
      <w:r>
        <w:rPr>
          <w:rFonts w:hint="eastAsia" w:ascii="黑体" w:hAnsi="黑体" w:eastAsia="黑体"/>
          <w:color w:val="auto"/>
          <w:szCs w:val="24"/>
          <w:highlight w:val="none"/>
        </w:rPr>
        <w:t>3．资格审查结果</w:t>
      </w:r>
      <w:r>
        <w:rPr>
          <w:color w:val="auto"/>
          <w:highlight w:val="none"/>
        </w:rPr>
        <w:tab/>
      </w:r>
      <w:r>
        <w:rPr>
          <w:color w:val="auto"/>
          <w:highlight w:val="none"/>
        </w:rPr>
        <w:fldChar w:fldCharType="begin"/>
      </w:r>
      <w:r>
        <w:rPr>
          <w:color w:val="auto"/>
          <w:highlight w:val="none"/>
        </w:rPr>
        <w:instrText xml:space="preserve"> PAGEREF _Toc14218 \h </w:instrText>
      </w:r>
      <w:r>
        <w:rPr>
          <w:color w:val="auto"/>
          <w:highlight w:val="none"/>
        </w:rPr>
        <w:fldChar w:fldCharType="separate"/>
      </w:r>
      <w:r>
        <w:rPr>
          <w:color w:val="auto"/>
          <w:highlight w:val="none"/>
        </w:rPr>
        <w:t>29</w:t>
      </w:r>
      <w:r>
        <w:rPr>
          <w:color w:val="auto"/>
          <w:highlight w:val="none"/>
        </w:rPr>
        <w:fldChar w:fldCharType="end"/>
      </w:r>
      <w:r>
        <w:rPr>
          <w:rFonts w:hAnsi="宋体" w:cs="Times New Roman"/>
          <w:color w:val="auto"/>
          <w:highlight w:val="none"/>
        </w:rPr>
        <w:fldChar w:fldCharType="end"/>
      </w:r>
    </w:p>
    <w:p w14:paraId="0C4492A6">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_Toc18840 </w:instrText>
      </w:r>
      <w:r>
        <w:rPr>
          <w:rFonts w:hAnsi="宋体" w:cs="Times New Roman"/>
          <w:color w:val="auto"/>
          <w:highlight w:val="none"/>
        </w:rPr>
        <w:fldChar w:fldCharType="separate"/>
      </w:r>
      <w:r>
        <w:rPr>
          <w:rFonts w:hint="eastAsia" w:ascii="黑体" w:hAnsi="黑体"/>
          <w:color w:val="auto"/>
          <w:szCs w:val="21"/>
          <w:highlight w:val="none"/>
        </w:rPr>
        <w:t>附表2 资格审查结果一览表</w:t>
      </w:r>
      <w:r>
        <w:rPr>
          <w:color w:val="auto"/>
          <w:highlight w:val="none"/>
        </w:rPr>
        <w:tab/>
      </w:r>
      <w:r>
        <w:rPr>
          <w:color w:val="auto"/>
          <w:highlight w:val="none"/>
        </w:rPr>
        <w:fldChar w:fldCharType="begin"/>
      </w:r>
      <w:r>
        <w:rPr>
          <w:color w:val="auto"/>
          <w:highlight w:val="none"/>
        </w:rPr>
        <w:instrText xml:space="preserve"> PAGEREF _Toc18840 \h </w:instrText>
      </w:r>
      <w:r>
        <w:rPr>
          <w:color w:val="auto"/>
          <w:highlight w:val="none"/>
        </w:rPr>
        <w:fldChar w:fldCharType="separate"/>
      </w:r>
      <w:r>
        <w:rPr>
          <w:color w:val="auto"/>
          <w:highlight w:val="none"/>
        </w:rPr>
        <w:t>31</w:t>
      </w:r>
      <w:r>
        <w:rPr>
          <w:color w:val="auto"/>
          <w:highlight w:val="none"/>
        </w:rPr>
        <w:fldChar w:fldCharType="end"/>
      </w:r>
      <w:r>
        <w:rPr>
          <w:rFonts w:hAnsi="宋体" w:cs="Times New Roman"/>
          <w:color w:val="auto"/>
          <w:highlight w:val="none"/>
        </w:rPr>
        <w:fldChar w:fldCharType="end"/>
      </w:r>
    </w:p>
    <w:p w14:paraId="46052D9B">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_Toc13418 </w:instrText>
      </w:r>
      <w:r>
        <w:rPr>
          <w:rFonts w:hAnsi="宋体" w:cs="Times New Roman"/>
          <w:color w:val="auto"/>
          <w:highlight w:val="none"/>
        </w:rPr>
        <w:fldChar w:fldCharType="separate"/>
      </w:r>
      <w:r>
        <w:rPr>
          <w:rFonts w:hint="eastAsia" w:ascii="黑体" w:hAnsi="华文中宋" w:eastAsia="黑体"/>
          <w:color w:val="auto"/>
          <w:szCs w:val="32"/>
          <w:highlight w:val="none"/>
        </w:rPr>
        <w:t>第四章 评标方法及标准</w:t>
      </w:r>
      <w:r>
        <w:rPr>
          <w:color w:val="auto"/>
          <w:highlight w:val="none"/>
        </w:rPr>
        <w:tab/>
      </w:r>
      <w:r>
        <w:rPr>
          <w:color w:val="auto"/>
          <w:highlight w:val="none"/>
        </w:rPr>
        <w:fldChar w:fldCharType="begin"/>
      </w:r>
      <w:r>
        <w:rPr>
          <w:color w:val="auto"/>
          <w:highlight w:val="none"/>
        </w:rPr>
        <w:instrText xml:space="preserve"> PAGEREF _Toc13418 \h </w:instrText>
      </w:r>
      <w:r>
        <w:rPr>
          <w:color w:val="auto"/>
          <w:highlight w:val="none"/>
        </w:rPr>
        <w:fldChar w:fldCharType="separate"/>
      </w:r>
      <w:r>
        <w:rPr>
          <w:color w:val="auto"/>
          <w:highlight w:val="none"/>
        </w:rPr>
        <w:t>33</w:t>
      </w:r>
      <w:r>
        <w:rPr>
          <w:color w:val="auto"/>
          <w:highlight w:val="none"/>
        </w:rPr>
        <w:fldChar w:fldCharType="end"/>
      </w:r>
      <w:r>
        <w:rPr>
          <w:rFonts w:hAnsi="宋体" w:cs="Times New Roman"/>
          <w:color w:val="auto"/>
          <w:highlight w:val="none"/>
        </w:rPr>
        <w:fldChar w:fldCharType="end"/>
      </w:r>
    </w:p>
    <w:p w14:paraId="425FC7B5">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_Toc12275 </w:instrText>
      </w:r>
      <w:r>
        <w:rPr>
          <w:rFonts w:hAnsi="宋体" w:cs="Times New Roman"/>
          <w:color w:val="auto"/>
          <w:highlight w:val="none"/>
        </w:rPr>
        <w:fldChar w:fldCharType="separate"/>
      </w:r>
      <w:r>
        <w:rPr>
          <w:rFonts w:hint="eastAsia" w:ascii="黑体" w:hAnsi="华文中宋" w:eastAsia="黑体"/>
          <w:color w:val="auto"/>
          <w:szCs w:val="28"/>
          <w:highlight w:val="none"/>
        </w:rPr>
        <w:t>第一节 评标方法及标准前附表</w:t>
      </w:r>
      <w:r>
        <w:rPr>
          <w:color w:val="auto"/>
          <w:highlight w:val="none"/>
        </w:rPr>
        <w:tab/>
      </w:r>
      <w:r>
        <w:rPr>
          <w:color w:val="auto"/>
          <w:highlight w:val="none"/>
        </w:rPr>
        <w:fldChar w:fldCharType="begin"/>
      </w:r>
      <w:r>
        <w:rPr>
          <w:color w:val="auto"/>
          <w:highlight w:val="none"/>
        </w:rPr>
        <w:instrText xml:space="preserve"> PAGEREF _Toc12275 \h </w:instrText>
      </w:r>
      <w:r>
        <w:rPr>
          <w:color w:val="auto"/>
          <w:highlight w:val="none"/>
        </w:rPr>
        <w:fldChar w:fldCharType="separate"/>
      </w:r>
      <w:r>
        <w:rPr>
          <w:color w:val="auto"/>
          <w:highlight w:val="none"/>
        </w:rPr>
        <w:t>33</w:t>
      </w:r>
      <w:r>
        <w:rPr>
          <w:color w:val="auto"/>
          <w:highlight w:val="none"/>
        </w:rPr>
        <w:fldChar w:fldCharType="end"/>
      </w:r>
      <w:r>
        <w:rPr>
          <w:rFonts w:hAnsi="宋体" w:cs="Times New Roman"/>
          <w:color w:val="auto"/>
          <w:highlight w:val="none"/>
        </w:rPr>
        <w:fldChar w:fldCharType="end"/>
      </w:r>
    </w:p>
    <w:p w14:paraId="5727F5EC">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_Toc27787 </w:instrText>
      </w:r>
      <w:r>
        <w:rPr>
          <w:rFonts w:hAnsi="宋体" w:cs="Times New Roman"/>
          <w:color w:val="auto"/>
          <w:highlight w:val="none"/>
        </w:rPr>
        <w:fldChar w:fldCharType="separate"/>
      </w:r>
      <w:r>
        <w:rPr>
          <w:rFonts w:hint="eastAsia" w:ascii="黑体" w:hAnsi="华文中宋" w:eastAsia="黑体"/>
          <w:color w:val="auto"/>
          <w:szCs w:val="28"/>
          <w:highlight w:val="none"/>
        </w:rPr>
        <w:t>第二节 评标方法及标准</w:t>
      </w:r>
      <w:r>
        <w:rPr>
          <w:color w:val="auto"/>
          <w:highlight w:val="none"/>
        </w:rPr>
        <w:tab/>
      </w:r>
      <w:r>
        <w:rPr>
          <w:color w:val="auto"/>
          <w:highlight w:val="none"/>
        </w:rPr>
        <w:fldChar w:fldCharType="begin"/>
      </w:r>
      <w:r>
        <w:rPr>
          <w:color w:val="auto"/>
          <w:highlight w:val="none"/>
        </w:rPr>
        <w:instrText xml:space="preserve"> PAGEREF _Toc27787 \h </w:instrText>
      </w:r>
      <w:r>
        <w:rPr>
          <w:color w:val="auto"/>
          <w:highlight w:val="none"/>
        </w:rPr>
        <w:fldChar w:fldCharType="separate"/>
      </w:r>
      <w:r>
        <w:rPr>
          <w:color w:val="auto"/>
          <w:highlight w:val="none"/>
        </w:rPr>
        <w:t>34</w:t>
      </w:r>
      <w:r>
        <w:rPr>
          <w:color w:val="auto"/>
          <w:highlight w:val="none"/>
        </w:rPr>
        <w:fldChar w:fldCharType="end"/>
      </w:r>
      <w:r>
        <w:rPr>
          <w:rFonts w:hAnsi="宋体" w:cs="Times New Roman"/>
          <w:color w:val="auto"/>
          <w:highlight w:val="none"/>
        </w:rPr>
        <w:fldChar w:fldCharType="end"/>
      </w:r>
    </w:p>
    <w:p w14:paraId="5D56D0CA">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_Toc16283 </w:instrText>
      </w:r>
      <w:r>
        <w:rPr>
          <w:rFonts w:hAnsi="宋体" w:cs="Times New Roman"/>
          <w:color w:val="auto"/>
          <w:highlight w:val="none"/>
        </w:rPr>
        <w:fldChar w:fldCharType="separate"/>
      </w:r>
      <w:r>
        <w:rPr>
          <w:rFonts w:hint="eastAsia" w:ascii="黑体" w:hAnsi="黑体" w:eastAsia="黑体"/>
          <w:color w:val="auto"/>
          <w:szCs w:val="24"/>
          <w:highlight w:val="none"/>
        </w:rPr>
        <w:t>1．评标方法</w:t>
      </w:r>
      <w:r>
        <w:rPr>
          <w:color w:val="auto"/>
          <w:highlight w:val="none"/>
        </w:rPr>
        <w:tab/>
      </w:r>
      <w:r>
        <w:rPr>
          <w:color w:val="auto"/>
          <w:highlight w:val="none"/>
        </w:rPr>
        <w:fldChar w:fldCharType="begin"/>
      </w:r>
      <w:r>
        <w:rPr>
          <w:color w:val="auto"/>
          <w:highlight w:val="none"/>
        </w:rPr>
        <w:instrText xml:space="preserve"> PAGEREF _Toc16283 \h </w:instrText>
      </w:r>
      <w:r>
        <w:rPr>
          <w:color w:val="auto"/>
          <w:highlight w:val="none"/>
        </w:rPr>
        <w:fldChar w:fldCharType="separate"/>
      </w:r>
      <w:r>
        <w:rPr>
          <w:color w:val="auto"/>
          <w:highlight w:val="none"/>
        </w:rPr>
        <w:t>34</w:t>
      </w:r>
      <w:r>
        <w:rPr>
          <w:color w:val="auto"/>
          <w:highlight w:val="none"/>
        </w:rPr>
        <w:fldChar w:fldCharType="end"/>
      </w:r>
      <w:r>
        <w:rPr>
          <w:rFonts w:hAnsi="宋体" w:cs="Times New Roman"/>
          <w:color w:val="auto"/>
          <w:highlight w:val="none"/>
        </w:rPr>
        <w:fldChar w:fldCharType="end"/>
      </w:r>
    </w:p>
    <w:p w14:paraId="2816612D">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_Toc10387 </w:instrText>
      </w:r>
      <w:r>
        <w:rPr>
          <w:rFonts w:hAnsi="宋体" w:cs="Times New Roman"/>
          <w:color w:val="auto"/>
          <w:highlight w:val="none"/>
        </w:rPr>
        <w:fldChar w:fldCharType="separate"/>
      </w:r>
      <w:r>
        <w:rPr>
          <w:rFonts w:hint="eastAsia" w:ascii="黑体" w:hAnsi="黑体" w:eastAsia="黑体"/>
          <w:bCs w:val="0"/>
          <w:color w:val="auto"/>
          <w:szCs w:val="24"/>
          <w:highlight w:val="none"/>
        </w:rPr>
        <w:t>2．评标程序</w:t>
      </w:r>
      <w:r>
        <w:rPr>
          <w:color w:val="auto"/>
          <w:highlight w:val="none"/>
        </w:rPr>
        <w:tab/>
      </w:r>
      <w:r>
        <w:rPr>
          <w:color w:val="auto"/>
          <w:highlight w:val="none"/>
        </w:rPr>
        <w:fldChar w:fldCharType="begin"/>
      </w:r>
      <w:r>
        <w:rPr>
          <w:color w:val="auto"/>
          <w:highlight w:val="none"/>
        </w:rPr>
        <w:instrText xml:space="preserve"> PAGEREF _Toc10387 \h </w:instrText>
      </w:r>
      <w:r>
        <w:rPr>
          <w:color w:val="auto"/>
          <w:highlight w:val="none"/>
        </w:rPr>
        <w:fldChar w:fldCharType="separate"/>
      </w:r>
      <w:r>
        <w:rPr>
          <w:color w:val="auto"/>
          <w:highlight w:val="none"/>
        </w:rPr>
        <w:t>34</w:t>
      </w:r>
      <w:r>
        <w:rPr>
          <w:color w:val="auto"/>
          <w:highlight w:val="none"/>
        </w:rPr>
        <w:fldChar w:fldCharType="end"/>
      </w:r>
      <w:r>
        <w:rPr>
          <w:rFonts w:hAnsi="宋体" w:cs="Times New Roman"/>
          <w:color w:val="auto"/>
          <w:highlight w:val="none"/>
        </w:rPr>
        <w:fldChar w:fldCharType="end"/>
      </w:r>
    </w:p>
    <w:p w14:paraId="0D67E14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_Toc4383 </w:instrText>
      </w:r>
      <w:r>
        <w:rPr>
          <w:rFonts w:hAnsi="宋体" w:cs="Times New Roman"/>
          <w:color w:val="auto"/>
          <w:highlight w:val="none"/>
        </w:rPr>
        <w:fldChar w:fldCharType="separate"/>
      </w:r>
      <w:r>
        <w:rPr>
          <w:rFonts w:hint="eastAsia" w:ascii="黑体" w:hAnsi="黑体" w:eastAsia="黑体"/>
          <w:bCs w:val="0"/>
          <w:color w:val="auto"/>
          <w:szCs w:val="24"/>
          <w:highlight w:val="none"/>
        </w:rPr>
        <w:t>3．投标文件的符合性审查</w:t>
      </w:r>
      <w:r>
        <w:rPr>
          <w:color w:val="auto"/>
          <w:highlight w:val="none"/>
        </w:rPr>
        <w:tab/>
      </w:r>
      <w:r>
        <w:rPr>
          <w:color w:val="auto"/>
          <w:highlight w:val="none"/>
        </w:rPr>
        <w:fldChar w:fldCharType="begin"/>
      </w:r>
      <w:r>
        <w:rPr>
          <w:color w:val="auto"/>
          <w:highlight w:val="none"/>
        </w:rPr>
        <w:instrText xml:space="preserve"> PAGEREF _Toc4383 \h </w:instrText>
      </w:r>
      <w:r>
        <w:rPr>
          <w:color w:val="auto"/>
          <w:highlight w:val="none"/>
        </w:rPr>
        <w:fldChar w:fldCharType="separate"/>
      </w:r>
      <w:r>
        <w:rPr>
          <w:color w:val="auto"/>
          <w:highlight w:val="none"/>
        </w:rPr>
        <w:t>34</w:t>
      </w:r>
      <w:r>
        <w:rPr>
          <w:color w:val="auto"/>
          <w:highlight w:val="none"/>
        </w:rPr>
        <w:fldChar w:fldCharType="end"/>
      </w:r>
      <w:r>
        <w:rPr>
          <w:rFonts w:hAnsi="宋体" w:cs="Times New Roman"/>
          <w:color w:val="auto"/>
          <w:highlight w:val="none"/>
        </w:rPr>
        <w:fldChar w:fldCharType="end"/>
      </w:r>
    </w:p>
    <w:p w14:paraId="13789E38">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_Toc20308 </w:instrText>
      </w:r>
      <w:r>
        <w:rPr>
          <w:rFonts w:hAnsi="宋体" w:cs="Times New Roman"/>
          <w:color w:val="auto"/>
          <w:highlight w:val="none"/>
        </w:rPr>
        <w:fldChar w:fldCharType="separate"/>
      </w:r>
      <w:r>
        <w:rPr>
          <w:rFonts w:hint="eastAsia" w:ascii="黑体" w:hAnsi="黑体" w:eastAsia="黑体"/>
          <w:bCs w:val="0"/>
          <w:color w:val="auto"/>
          <w:szCs w:val="24"/>
          <w:highlight w:val="none"/>
        </w:rPr>
        <w:t>4．投标文件的澄清</w:t>
      </w:r>
      <w:r>
        <w:rPr>
          <w:color w:val="auto"/>
          <w:highlight w:val="none"/>
        </w:rPr>
        <w:tab/>
      </w:r>
      <w:r>
        <w:rPr>
          <w:color w:val="auto"/>
          <w:highlight w:val="none"/>
        </w:rPr>
        <w:fldChar w:fldCharType="begin"/>
      </w:r>
      <w:r>
        <w:rPr>
          <w:color w:val="auto"/>
          <w:highlight w:val="none"/>
        </w:rPr>
        <w:instrText xml:space="preserve"> PAGEREF _Toc20308 \h </w:instrText>
      </w:r>
      <w:r>
        <w:rPr>
          <w:color w:val="auto"/>
          <w:highlight w:val="none"/>
        </w:rPr>
        <w:fldChar w:fldCharType="separate"/>
      </w:r>
      <w:r>
        <w:rPr>
          <w:color w:val="auto"/>
          <w:highlight w:val="none"/>
        </w:rPr>
        <w:t>34</w:t>
      </w:r>
      <w:r>
        <w:rPr>
          <w:color w:val="auto"/>
          <w:highlight w:val="none"/>
        </w:rPr>
        <w:fldChar w:fldCharType="end"/>
      </w:r>
      <w:r>
        <w:rPr>
          <w:rFonts w:hAnsi="宋体" w:cs="Times New Roman"/>
          <w:color w:val="auto"/>
          <w:highlight w:val="none"/>
        </w:rPr>
        <w:fldChar w:fldCharType="end"/>
      </w:r>
    </w:p>
    <w:p w14:paraId="2D55B4EA">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_Toc18077 </w:instrText>
      </w:r>
      <w:r>
        <w:rPr>
          <w:rFonts w:hAnsi="宋体" w:cs="Times New Roman"/>
          <w:color w:val="auto"/>
          <w:highlight w:val="none"/>
        </w:rPr>
        <w:fldChar w:fldCharType="separate"/>
      </w:r>
      <w:r>
        <w:rPr>
          <w:rFonts w:hint="eastAsia" w:ascii="黑体" w:hAnsi="黑体" w:eastAsia="黑体"/>
          <w:bCs w:val="0"/>
          <w:color w:val="auto"/>
          <w:szCs w:val="24"/>
          <w:highlight w:val="none"/>
        </w:rPr>
        <w:t>5．投标文件的比较与评价</w:t>
      </w:r>
      <w:r>
        <w:rPr>
          <w:color w:val="auto"/>
          <w:highlight w:val="none"/>
        </w:rPr>
        <w:tab/>
      </w:r>
      <w:r>
        <w:rPr>
          <w:color w:val="auto"/>
          <w:highlight w:val="none"/>
        </w:rPr>
        <w:fldChar w:fldCharType="begin"/>
      </w:r>
      <w:r>
        <w:rPr>
          <w:color w:val="auto"/>
          <w:highlight w:val="none"/>
        </w:rPr>
        <w:instrText xml:space="preserve"> PAGEREF _Toc18077 \h </w:instrText>
      </w:r>
      <w:r>
        <w:rPr>
          <w:color w:val="auto"/>
          <w:highlight w:val="none"/>
        </w:rPr>
        <w:fldChar w:fldCharType="separate"/>
      </w:r>
      <w:r>
        <w:rPr>
          <w:color w:val="auto"/>
          <w:highlight w:val="none"/>
        </w:rPr>
        <w:t>35</w:t>
      </w:r>
      <w:r>
        <w:rPr>
          <w:color w:val="auto"/>
          <w:highlight w:val="none"/>
        </w:rPr>
        <w:fldChar w:fldCharType="end"/>
      </w:r>
      <w:r>
        <w:rPr>
          <w:rFonts w:hAnsi="宋体" w:cs="Times New Roman"/>
          <w:color w:val="auto"/>
          <w:highlight w:val="none"/>
        </w:rPr>
        <w:fldChar w:fldCharType="end"/>
      </w:r>
    </w:p>
    <w:p w14:paraId="183D2BB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_Toc16053 </w:instrText>
      </w:r>
      <w:r>
        <w:rPr>
          <w:rFonts w:hAnsi="宋体" w:cs="Times New Roman"/>
          <w:color w:val="auto"/>
          <w:highlight w:val="none"/>
        </w:rPr>
        <w:fldChar w:fldCharType="separate"/>
      </w:r>
      <w:r>
        <w:rPr>
          <w:rFonts w:hint="eastAsia" w:ascii="黑体" w:hAnsi="黑体" w:eastAsia="黑体"/>
          <w:bCs w:val="0"/>
          <w:color w:val="auto"/>
          <w:szCs w:val="24"/>
          <w:highlight w:val="none"/>
        </w:rPr>
        <w:t>6．</w:t>
      </w:r>
      <w:r>
        <w:rPr>
          <w:rFonts w:hint="eastAsia" w:ascii="黑体" w:hAnsi="黑体" w:eastAsia="黑体"/>
          <w:color w:val="auto"/>
          <w:szCs w:val="24"/>
          <w:highlight w:val="none"/>
        </w:rPr>
        <w:t>推荐中标候选人</w:t>
      </w:r>
      <w:r>
        <w:rPr>
          <w:color w:val="auto"/>
          <w:highlight w:val="none"/>
        </w:rPr>
        <w:tab/>
      </w:r>
      <w:r>
        <w:rPr>
          <w:color w:val="auto"/>
          <w:highlight w:val="none"/>
        </w:rPr>
        <w:fldChar w:fldCharType="begin"/>
      </w:r>
      <w:r>
        <w:rPr>
          <w:color w:val="auto"/>
          <w:highlight w:val="none"/>
        </w:rPr>
        <w:instrText xml:space="preserve"> PAGEREF _Toc16053 \h </w:instrText>
      </w:r>
      <w:r>
        <w:rPr>
          <w:color w:val="auto"/>
          <w:highlight w:val="none"/>
        </w:rPr>
        <w:fldChar w:fldCharType="separate"/>
      </w:r>
      <w:r>
        <w:rPr>
          <w:color w:val="auto"/>
          <w:highlight w:val="none"/>
        </w:rPr>
        <w:t>36</w:t>
      </w:r>
      <w:r>
        <w:rPr>
          <w:color w:val="auto"/>
          <w:highlight w:val="none"/>
        </w:rPr>
        <w:fldChar w:fldCharType="end"/>
      </w:r>
      <w:r>
        <w:rPr>
          <w:rFonts w:hAnsi="宋体" w:cs="Times New Roman"/>
          <w:color w:val="auto"/>
          <w:highlight w:val="none"/>
        </w:rPr>
        <w:fldChar w:fldCharType="end"/>
      </w:r>
    </w:p>
    <w:p w14:paraId="023A8809">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_Toc8577 </w:instrText>
      </w:r>
      <w:r>
        <w:rPr>
          <w:rFonts w:hAnsi="宋体" w:cs="Times New Roman"/>
          <w:color w:val="auto"/>
          <w:highlight w:val="none"/>
        </w:rPr>
        <w:fldChar w:fldCharType="separate"/>
      </w:r>
      <w:r>
        <w:rPr>
          <w:rFonts w:hint="eastAsia" w:ascii="黑体" w:hAnsi="黑体" w:eastAsia="黑体"/>
          <w:bCs w:val="0"/>
          <w:color w:val="auto"/>
          <w:szCs w:val="24"/>
          <w:highlight w:val="none"/>
        </w:rPr>
        <w:t>7．</w:t>
      </w:r>
      <w:r>
        <w:rPr>
          <w:rFonts w:hint="eastAsia" w:ascii="黑体" w:hAnsi="黑体" w:eastAsia="黑体"/>
          <w:color w:val="auto"/>
          <w:szCs w:val="24"/>
          <w:highlight w:val="none"/>
        </w:rPr>
        <w:t>编写评标报告</w:t>
      </w:r>
      <w:r>
        <w:rPr>
          <w:color w:val="auto"/>
          <w:highlight w:val="none"/>
        </w:rPr>
        <w:tab/>
      </w:r>
      <w:r>
        <w:rPr>
          <w:color w:val="auto"/>
          <w:highlight w:val="none"/>
        </w:rPr>
        <w:fldChar w:fldCharType="begin"/>
      </w:r>
      <w:r>
        <w:rPr>
          <w:color w:val="auto"/>
          <w:highlight w:val="none"/>
        </w:rPr>
        <w:instrText xml:space="preserve"> PAGEREF _Toc8577 \h </w:instrText>
      </w:r>
      <w:r>
        <w:rPr>
          <w:color w:val="auto"/>
          <w:highlight w:val="none"/>
        </w:rPr>
        <w:fldChar w:fldCharType="separate"/>
      </w:r>
      <w:r>
        <w:rPr>
          <w:color w:val="auto"/>
          <w:highlight w:val="none"/>
        </w:rPr>
        <w:t>36</w:t>
      </w:r>
      <w:r>
        <w:rPr>
          <w:color w:val="auto"/>
          <w:highlight w:val="none"/>
        </w:rPr>
        <w:fldChar w:fldCharType="end"/>
      </w:r>
      <w:r>
        <w:rPr>
          <w:rFonts w:hAnsi="宋体" w:cs="Times New Roman"/>
          <w:color w:val="auto"/>
          <w:highlight w:val="none"/>
        </w:rPr>
        <w:fldChar w:fldCharType="end"/>
      </w:r>
    </w:p>
    <w:p w14:paraId="417A9B91">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_Toc10518 </w:instrText>
      </w:r>
      <w:r>
        <w:rPr>
          <w:rFonts w:hAnsi="宋体" w:cs="Times New Roman"/>
          <w:color w:val="auto"/>
          <w:highlight w:val="none"/>
        </w:rPr>
        <w:fldChar w:fldCharType="separate"/>
      </w:r>
      <w:r>
        <w:rPr>
          <w:rFonts w:hint="eastAsia" w:ascii="黑体" w:hAnsi="黑体" w:eastAsia="黑体"/>
          <w:bCs w:val="0"/>
          <w:color w:val="auto"/>
          <w:szCs w:val="24"/>
          <w:highlight w:val="none"/>
        </w:rPr>
        <w:t>8．</w:t>
      </w:r>
      <w:r>
        <w:rPr>
          <w:rFonts w:hint="eastAsia" w:ascii="黑体" w:hAnsi="黑体" w:eastAsia="黑体"/>
          <w:color w:val="auto"/>
          <w:szCs w:val="24"/>
          <w:highlight w:val="none"/>
        </w:rPr>
        <w:t>评标报告</w:t>
      </w:r>
      <w:r>
        <w:rPr>
          <w:rFonts w:hint="eastAsia" w:ascii="黑体" w:hAnsi="黑体" w:eastAsia="黑体"/>
          <w:bCs w:val="0"/>
          <w:color w:val="auto"/>
          <w:szCs w:val="24"/>
          <w:highlight w:val="none"/>
        </w:rPr>
        <w:t>复核</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36</w:t>
      </w:r>
      <w:r>
        <w:rPr>
          <w:color w:val="auto"/>
          <w:highlight w:val="none"/>
        </w:rPr>
        <w:fldChar w:fldCharType="end"/>
      </w:r>
      <w:r>
        <w:rPr>
          <w:rFonts w:hAnsi="宋体" w:cs="Times New Roman"/>
          <w:color w:val="auto"/>
          <w:highlight w:val="none"/>
        </w:rPr>
        <w:fldChar w:fldCharType="end"/>
      </w:r>
    </w:p>
    <w:p w14:paraId="111F8C2C">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_Toc3804 </w:instrText>
      </w:r>
      <w:r>
        <w:rPr>
          <w:rFonts w:hAnsi="宋体" w:cs="Times New Roman"/>
          <w:color w:val="auto"/>
          <w:highlight w:val="none"/>
        </w:rPr>
        <w:fldChar w:fldCharType="separate"/>
      </w:r>
      <w:r>
        <w:rPr>
          <w:rFonts w:hint="eastAsia" w:ascii="黑体" w:hAnsi="黑体" w:eastAsia="黑体"/>
          <w:color w:val="auto"/>
          <w:szCs w:val="24"/>
          <w:highlight w:val="none"/>
        </w:rPr>
        <w:t>9．</w:t>
      </w:r>
      <w:r>
        <w:rPr>
          <w:rFonts w:hint="eastAsia" w:ascii="黑体" w:hAnsi="黑体" w:eastAsia="黑体"/>
          <w:bCs w:val="0"/>
          <w:color w:val="auto"/>
          <w:szCs w:val="24"/>
          <w:highlight w:val="none"/>
        </w:rPr>
        <w:t>停止评标</w:t>
      </w:r>
      <w:r>
        <w:rPr>
          <w:color w:val="auto"/>
          <w:highlight w:val="none"/>
        </w:rPr>
        <w:tab/>
      </w:r>
      <w:r>
        <w:rPr>
          <w:color w:val="auto"/>
          <w:highlight w:val="none"/>
        </w:rPr>
        <w:fldChar w:fldCharType="begin"/>
      </w:r>
      <w:r>
        <w:rPr>
          <w:color w:val="auto"/>
          <w:highlight w:val="none"/>
        </w:rPr>
        <w:instrText xml:space="preserve"> PAGEREF _Toc3804 \h </w:instrText>
      </w:r>
      <w:r>
        <w:rPr>
          <w:color w:val="auto"/>
          <w:highlight w:val="none"/>
        </w:rPr>
        <w:fldChar w:fldCharType="separate"/>
      </w:r>
      <w:r>
        <w:rPr>
          <w:color w:val="auto"/>
          <w:highlight w:val="none"/>
        </w:rPr>
        <w:t>36</w:t>
      </w:r>
      <w:r>
        <w:rPr>
          <w:color w:val="auto"/>
          <w:highlight w:val="none"/>
        </w:rPr>
        <w:fldChar w:fldCharType="end"/>
      </w:r>
      <w:r>
        <w:rPr>
          <w:rFonts w:hAnsi="宋体" w:cs="Times New Roman"/>
          <w:color w:val="auto"/>
          <w:highlight w:val="none"/>
        </w:rPr>
        <w:fldChar w:fldCharType="end"/>
      </w:r>
    </w:p>
    <w:p w14:paraId="6BDCBDB3">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_Toc678 </w:instrText>
      </w:r>
      <w:r>
        <w:rPr>
          <w:rFonts w:hAnsi="宋体" w:cs="Times New Roman"/>
          <w:color w:val="auto"/>
          <w:highlight w:val="none"/>
        </w:rPr>
        <w:fldChar w:fldCharType="separate"/>
      </w:r>
      <w:r>
        <w:rPr>
          <w:rFonts w:hint="eastAsia" w:ascii="黑体" w:hAnsi="黑体" w:eastAsia="黑体"/>
          <w:color w:val="auto"/>
          <w:szCs w:val="24"/>
          <w:highlight w:val="none"/>
        </w:rPr>
        <w:t>10</w:t>
      </w:r>
      <w:r>
        <w:rPr>
          <w:rFonts w:hint="eastAsia" w:ascii="黑体" w:hAnsi="黑体" w:eastAsia="黑体" w:cs="宋体"/>
          <w:color w:val="auto"/>
          <w:kern w:val="0"/>
          <w:szCs w:val="24"/>
          <w:highlight w:val="none"/>
        </w:rPr>
        <w:t>．</w:t>
      </w:r>
      <w:r>
        <w:rPr>
          <w:rFonts w:hint="eastAsia" w:ascii="黑体" w:hAnsi="黑体" w:eastAsia="黑体"/>
          <w:color w:val="auto"/>
          <w:szCs w:val="24"/>
          <w:highlight w:val="none"/>
        </w:rPr>
        <w:t>废标</w:t>
      </w:r>
      <w:r>
        <w:rPr>
          <w:color w:val="auto"/>
          <w:highlight w:val="none"/>
        </w:rPr>
        <w:tab/>
      </w:r>
      <w:r>
        <w:rPr>
          <w:color w:val="auto"/>
          <w:highlight w:val="none"/>
        </w:rPr>
        <w:fldChar w:fldCharType="begin"/>
      </w:r>
      <w:r>
        <w:rPr>
          <w:color w:val="auto"/>
          <w:highlight w:val="none"/>
        </w:rPr>
        <w:instrText xml:space="preserve"> PAGEREF _Toc678 \h </w:instrText>
      </w:r>
      <w:r>
        <w:rPr>
          <w:color w:val="auto"/>
          <w:highlight w:val="none"/>
        </w:rPr>
        <w:fldChar w:fldCharType="separate"/>
      </w:r>
      <w:r>
        <w:rPr>
          <w:color w:val="auto"/>
          <w:highlight w:val="none"/>
        </w:rPr>
        <w:t>37</w:t>
      </w:r>
      <w:r>
        <w:rPr>
          <w:color w:val="auto"/>
          <w:highlight w:val="none"/>
        </w:rPr>
        <w:fldChar w:fldCharType="end"/>
      </w:r>
      <w:r>
        <w:rPr>
          <w:rFonts w:hAnsi="宋体" w:cs="Times New Roman"/>
          <w:color w:val="auto"/>
          <w:highlight w:val="none"/>
        </w:rPr>
        <w:fldChar w:fldCharType="end"/>
      </w:r>
    </w:p>
    <w:p w14:paraId="15A8D24B">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_Toc10214 </w:instrText>
      </w:r>
      <w:r>
        <w:rPr>
          <w:rFonts w:hAnsi="宋体" w:cs="Times New Roman"/>
          <w:color w:val="auto"/>
          <w:highlight w:val="none"/>
        </w:rPr>
        <w:fldChar w:fldCharType="separate"/>
      </w:r>
      <w:r>
        <w:rPr>
          <w:rFonts w:hint="eastAsia" w:ascii="黑体" w:hAnsi="黑体" w:eastAsia="黑体" w:cs="宋体"/>
          <w:color w:val="auto"/>
          <w:kern w:val="0"/>
          <w:szCs w:val="24"/>
          <w:highlight w:val="none"/>
        </w:rPr>
        <w:t>11．重新组建评标委员会进行评标</w:t>
      </w:r>
      <w:r>
        <w:rPr>
          <w:color w:val="auto"/>
          <w:highlight w:val="none"/>
        </w:rPr>
        <w:tab/>
      </w:r>
      <w:r>
        <w:rPr>
          <w:color w:val="auto"/>
          <w:highlight w:val="none"/>
        </w:rPr>
        <w:fldChar w:fldCharType="begin"/>
      </w:r>
      <w:r>
        <w:rPr>
          <w:color w:val="auto"/>
          <w:highlight w:val="none"/>
        </w:rPr>
        <w:instrText xml:space="preserve"> PAGEREF _Toc10214 \h </w:instrText>
      </w:r>
      <w:r>
        <w:rPr>
          <w:color w:val="auto"/>
          <w:highlight w:val="none"/>
        </w:rPr>
        <w:fldChar w:fldCharType="separate"/>
      </w:r>
      <w:r>
        <w:rPr>
          <w:color w:val="auto"/>
          <w:highlight w:val="none"/>
        </w:rPr>
        <w:t>37</w:t>
      </w:r>
      <w:r>
        <w:rPr>
          <w:color w:val="auto"/>
          <w:highlight w:val="none"/>
        </w:rPr>
        <w:fldChar w:fldCharType="end"/>
      </w:r>
      <w:r>
        <w:rPr>
          <w:rFonts w:hAnsi="宋体" w:cs="Times New Roman"/>
          <w:color w:val="auto"/>
          <w:highlight w:val="none"/>
        </w:rPr>
        <w:fldChar w:fldCharType="end"/>
      </w:r>
    </w:p>
    <w:p w14:paraId="034055DF">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_Toc9851 </w:instrText>
      </w:r>
      <w:r>
        <w:rPr>
          <w:rFonts w:hAnsi="宋体" w:cs="Times New Roman"/>
          <w:color w:val="auto"/>
          <w:highlight w:val="none"/>
        </w:rPr>
        <w:fldChar w:fldCharType="separate"/>
      </w:r>
      <w:r>
        <w:rPr>
          <w:rFonts w:hint="eastAsia" w:ascii="黑体" w:hAnsi="华文中宋" w:eastAsia="黑体"/>
          <w:color w:val="auto"/>
          <w:szCs w:val="28"/>
          <w:highlight w:val="none"/>
        </w:rPr>
        <w:t>第三节 投标文件的符合性审查</w:t>
      </w:r>
      <w:r>
        <w:rPr>
          <w:color w:val="auto"/>
          <w:highlight w:val="none"/>
        </w:rPr>
        <w:tab/>
      </w:r>
      <w:r>
        <w:rPr>
          <w:color w:val="auto"/>
          <w:highlight w:val="none"/>
        </w:rPr>
        <w:fldChar w:fldCharType="begin"/>
      </w:r>
      <w:r>
        <w:rPr>
          <w:color w:val="auto"/>
          <w:highlight w:val="none"/>
        </w:rPr>
        <w:instrText xml:space="preserve"> PAGEREF _Toc9851 \h </w:instrText>
      </w:r>
      <w:r>
        <w:rPr>
          <w:color w:val="auto"/>
          <w:highlight w:val="none"/>
        </w:rPr>
        <w:fldChar w:fldCharType="separate"/>
      </w:r>
      <w:r>
        <w:rPr>
          <w:color w:val="auto"/>
          <w:highlight w:val="none"/>
        </w:rPr>
        <w:t>38</w:t>
      </w:r>
      <w:r>
        <w:rPr>
          <w:color w:val="auto"/>
          <w:highlight w:val="none"/>
        </w:rPr>
        <w:fldChar w:fldCharType="end"/>
      </w:r>
      <w:r>
        <w:rPr>
          <w:rFonts w:hAnsi="宋体" w:cs="Times New Roman"/>
          <w:color w:val="auto"/>
          <w:highlight w:val="none"/>
        </w:rPr>
        <w:fldChar w:fldCharType="end"/>
      </w:r>
    </w:p>
    <w:p w14:paraId="31336F62">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_Toc20268 </w:instrText>
      </w:r>
      <w:r>
        <w:rPr>
          <w:rFonts w:hAnsi="宋体" w:cs="Times New Roman"/>
          <w:color w:val="auto"/>
          <w:highlight w:val="none"/>
        </w:rPr>
        <w:fldChar w:fldCharType="separate"/>
      </w:r>
      <w:r>
        <w:rPr>
          <w:rFonts w:hint="eastAsia" w:ascii="黑体" w:hAnsi="华文中宋" w:eastAsia="黑体"/>
          <w:color w:val="auto"/>
          <w:szCs w:val="28"/>
          <w:highlight w:val="none"/>
        </w:rPr>
        <w:t>第四节 投标文件的比较与评价（综合评分法）</w:t>
      </w:r>
      <w:r>
        <w:rPr>
          <w:color w:val="auto"/>
          <w:highlight w:val="none"/>
        </w:rPr>
        <w:tab/>
      </w:r>
      <w:r>
        <w:rPr>
          <w:color w:val="auto"/>
          <w:highlight w:val="none"/>
        </w:rPr>
        <w:fldChar w:fldCharType="begin"/>
      </w:r>
      <w:r>
        <w:rPr>
          <w:color w:val="auto"/>
          <w:highlight w:val="none"/>
        </w:rPr>
        <w:instrText xml:space="preserve"> PAGEREF _Toc20268 \h </w:instrText>
      </w:r>
      <w:r>
        <w:rPr>
          <w:color w:val="auto"/>
          <w:highlight w:val="none"/>
        </w:rPr>
        <w:fldChar w:fldCharType="separate"/>
      </w:r>
      <w:r>
        <w:rPr>
          <w:color w:val="auto"/>
          <w:highlight w:val="none"/>
        </w:rPr>
        <w:t>42</w:t>
      </w:r>
      <w:r>
        <w:rPr>
          <w:color w:val="auto"/>
          <w:highlight w:val="none"/>
        </w:rPr>
        <w:fldChar w:fldCharType="end"/>
      </w:r>
      <w:r>
        <w:rPr>
          <w:rFonts w:hAnsi="宋体" w:cs="Times New Roman"/>
          <w:color w:val="auto"/>
          <w:highlight w:val="none"/>
        </w:rPr>
        <w:fldChar w:fldCharType="end"/>
      </w:r>
    </w:p>
    <w:p w14:paraId="4D9C9E01">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_Toc22903 </w:instrText>
      </w:r>
      <w:r>
        <w:rPr>
          <w:rFonts w:hAnsi="宋体" w:cs="Times New Roman"/>
          <w:color w:val="auto"/>
          <w:highlight w:val="none"/>
        </w:rPr>
        <w:fldChar w:fldCharType="separate"/>
      </w:r>
      <w:r>
        <w:rPr>
          <w:rFonts w:hint="eastAsia" w:ascii="黑体" w:hAnsi="黑体" w:eastAsia="黑体" w:cs="黑体"/>
          <w:bCs w:val="0"/>
          <w:color w:val="auto"/>
          <w:szCs w:val="21"/>
          <w:highlight w:val="none"/>
        </w:rPr>
        <w:t>附表1 评标方法及标准表</w:t>
      </w:r>
      <w:r>
        <w:rPr>
          <w:color w:val="auto"/>
          <w:highlight w:val="none"/>
        </w:rPr>
        <w:tab/>
      </w:r>
      <w:r>
        <w:rPr>
          <w:color w:val="auto"/>
          <w:highlight w:val="none"/>
        </w:rPr>
        <w:fldChar w:fldCharType="begin"/>
      </w:r>
      <w:r>
        <w:rPr>
          <w:color w:val="auto"/>
          <w:highlight w:val="none"/>
        </w:rPr>
        <w:instrText xml:space="preserve"> PAGEREF _Toc22903 \h </w:instrText>
      </w:r>
      <w:r>
        <w:rPr>
          <w:color w:val="auto"/>
          <w:highlight w:val="none"/>
        </w:rPr>
        <w:fldChar w:fldCharType="separate"/>
      </w:r>
      <w:r>
        <w:rPr>
          <w:color w:val="auto"/>
          <w:highlight w:val="none"/>
        </w:rPr>
        <w:t>44</w:t>
      </w:r>
      <w:r>
        <w:rPr>
          <w:color w:val="auto"/>
          <w:highlight w:val="none"/>
        </w:rPr>
        <w:fldChar w:fldCharType="end"/>
      </w:r>
      <w:r>
        <w:rPr>
          <w:rFonts w:hAnsi="宋体" w:cs="Times New Roman"/>
          <w:color w:val="auto"/>
          <w:highlight w:val="none"/>
        </w:rPr>
        <w:fldChar w:fldCharType="end"/>
      </w:r>
    </w:p>
    <w:p w14:paraId="2E3D3D34">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_Toc6253 </w:instrText>
      </w:r>
      <w:r>
        <w:rPr>
          <w:rFonts w:hAnsi="宋体" w:cs="Times New Roman"/>
          <w:color w:val="auto"/>
          <w:highlight w:val="none"/>
        </w:rPr>
        <w:fldChar w:fldCharType="separate"/>
      </w:r>
      <w:r>
        <w:rPr>
          <w:rFonts w:hint="eastAsia" w:ascii="黑体" w:hAnsi="华文中宋" w:eastAsia="黑体"/>
          <w:color w:val="auto"/>
          <w:szCs w:val="32"/>
          <w:highlight w:val="none"/>
        </w:rPr>
        <w:t>第五章 采购需求</w:t>
      </w:r>
      <w:r>
        <w:rPr>
          <w:color w:val="auto"/>
          <w:highlight w:val="none"/>
        </w:rPr>
        <w:tab/>
      </w:r>
      <w:r>
        <w:rPr>
          <w:color w:val="auto"/>
          <w:highlight w:val="none"/>
        </w:rPr>
        <w:fldChar w:fldCharType="begin"/>
      </w:r>
      <w:r>
        <w:rPr>
          <w:color w:val="auto"/>
          <w:highlight w:val="none"/>
        </w:rPr>
        <w:instrText xml:space="preserve"> PAGEREF _Toc6253 \h </w:instrText>
      </w:r>
      <w:r>
        <w:rPr>
          <w:color w:val="auto"/>
          <w:highlight w:val="none"/>
        </w:rPr>
        <w:fldChar w:fldCharType="separate"/>
      </w:r>
      <w:r>
        <w:rPr>
          <w:color w:val="auto"/>
          <w:highlight w:val="none"/>
        </w:rPr>
        <w:t>49</w:t>
      </w:r>
      <w:r>
        <w:rPr>
          <w:color w:val="auto"/>
          <w:highlight w:val="none"/>
        </w:rPr>
        <w:fldChar w:fldCharType="end"/>
      </w:r>
      <w:r>
        <w:rPr>
          <w:rFonts w:hAnsi="宋体" w:cs="Times New Roman"/>
          <w:color w:val="auto"/>
          <w:highlight w:val="none"/>
        </w:rPr>
        <w:fldChar w:fldCharType="end"/>
      </w:r>
    </w:p>
    <w:p w14:paraId="41D60745">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_Toc16696 </w:instrText>
      </w:r>
      <w:r>
        <w:rPr>
          <w:rFonts w:hAnsi="宋体" w:cs="Times New Roman"/>
          <w:color w:val="auto"/>
          <w:highlight w:val="none"/>
        </w:rPr>
        <w:fldChar w:fldCharType="separate"/>
      </w:r>
      <w:r>
        <w:rPr>
          <w:rFonts w:hint="eastAsia" w:ascii="黑体" w:hAnsi="黑体" w:eastAsia="黑体"/>
          <w:color w:val="auto"/>
          <w:szCs w:val="28"/>
          <w:highlight w:val="none"/>
        </w:rPr>
        <w:t>第一节 采购清单一览表</w:t>
      </w:r>
      <w:r>
        <w:rPr>
          <w:color w:val="auto"/>
          <w:highlight w:val="none"/>
        </w:rPr>
        <w:tab/>
      </w:r>
      <w:r>
        <w:rPr>
          <w:color w:val="auto"/>
          <w:highlight w:val="none"/>
        </w:rPr>
        <w:fldChar w:fldCharType="begin"/>
      </w:r>
      <w:r>
        <w:rPr>
          <w:color w:val="auto"/>
          <w:highlight w:val="none"/>
        </w:rPr>
        <w:instrText xml:space="preserve"> PAGEREF _Toc16696 \h </w:instrText>
      </w:r>
      <w:r>
        <w:rPr>
          <w:color w:val="auto"/>
          <w:highlight w:val="none"/>
        </w:rPr>
        <w:fldChar w:fldCharType="separate"/>
      </w:r>
      <w:r>
        <w:rPr>
          <w:color w:val="auto"/>
          <w:highlight w:val="none"/>
        </w:rPr>
        <w:t>49</w:t>
      </w:r>
      <w:r>
        <w:rPr>
          <w:color w:val="auto"/>
          <w:highlight w:val="none"/>
        </w:rPr>
        <w:fldChar w:fldCharType="end"/>
      </w:r>
      <w:r>
        <w:rPr>
          <w:rFonts w:hAnsi="宋体" w:cs="Times New Roman"/>
          <w:color w:val="auto"/>
          <w:highlight w:val="none"/>
        </w:rPr>
        <w:fldChar w:fldCharType="end"/>
      </w:r>
    </w:p>
    <w:p w14:paraId="4873B8AC">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_Toc22591 </w:instrText>
      </w:r>
      <w:r>
        <w:rPr>
          <w:rFonts w:hAnsi="宋体" w:cs="Times New Roman"/>
          <w:color w:val="auto"/>
          <w:highlight w:val="none"/>
        </w:rPr>
        <w:fldChar w:fldCharType="separate"/>
      </w:r>
      <w:r>
        <w:rPr>
          <w:rFonts w:hint="eastAsia"/>
          <w:color w:val="auto"/>
          <w:highlight w:val="none"/>
        </w:rPr>
        <w:t xml:space="preserve">第二节 </w:t>
      </w:r>
      <w:r>
        <w:rPr>
          <w:color w:val="auto"/>
          <w:highlight w:val="none"/>
        </w:rPr>
        <w:t>技术要求</w:t>
      </w:r>
      <w:r>
        <w:rPr>
          <w:color w:val="auto"/>
          <w:highlight w:val="none"/>
        </w:rPr>
        <w:tab/>
      </w:r>
      <w:r>
        <w:rPr>
          <w:color w:val="auto"/>
          <w:highlight w:val="none"/>
        </w:rPr>
        <w:fldChar w:fldCharType="begin"/>
      </w:r>
      <w:r>
        <w:rPr>
          <w:color w:val="auto"/>
          <w:highlight w:val="none"/>
        </w:rPr>
        <w:instrText xml:space="preserve"> PAGEREF _Toc22591 \h </w:instrText>
      </w:r>
      <w:r>
        <w:rPr>
          <w:color w:val="auto"/>
          <w:highlight w:val="none"/>
        </w:rPr>
        <w:fldChar w:fldCharType="separate"/>
      </w:r>
      <w:r>
        <w:rPr>
          <w:color w:val="auto"/>
          <w:highlight w:val="none"/>
        </w:rPr>
        <w:t>50</w:t>
      </w:r>
      <w:r>
        <w:rPr>
          <w:color w:val="auto"/>
          <w:highlight w:val="none"/>
        </w:rPr>
        <w:fldChar w:fldCharType="end"/>
      </w:r>
      <w:r>
        <w:rPr>
          <w:rFonts w:hAnsi="宋体" w:cs="Times New Roman"/>
          <w:color w:val="auto"/>
          <w:highlight w:val="none"/>
        </w:rPr>
        <w:fldChar w:fldCharType="end"/>
      </w:r>
    </w:p>
    <w:p w14:paraId="7F5A5B16">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_Toc22438 </w:instrText>
      </w:r>
      <w:r>
        <w:rPr>
          <w:rFonts w:hAnsi="宋体" w:cs="Times New Roman"/>
          <w:color w:val="auto"/>
          <w:highlight w:val="none"/>
        </w:rPr>
        <w:fldChar w:fldCharType="separate"/>
      </w:r>
      <w:r>
        <w:rPr>
          <w:rFonts w:hint="eastAsia"/>
          <w:color w:val="auto"/>
          <w:highlight w:val="none"/>
        </w:rPr>
        <w:t>第三节 商务要求</w:t>
      </w:r>
      <w:r>
        <w:rPr>
          <w:color w:val="auto"/>
          <w:highlight w:val="none"/>
        </w:rPr>
        <w:tab/>
      </w:r>
      <w:r>
        <w:rPr>
          <w:color w:val="auto"/>
          <w:highlight w:val="none"/>
        </w:rPr>
        <w:fldChar w:fldCharType="begin"/>
      </w:r>
      <w:r>
        <w:rPr>
          <w:color w:val="auto"/>
          <w:highlight w:val="none"/>
        </w:rPr>
        <w:instrText xml:space="preserve"> PAGEREF _Toc22438 \h </w:instrText>
      </w:r>
      <w:r>
        <w:rPr>
          <w:color w:val="auto"/>
          <w:highlight w:val="none"/>
        </w:rPr>
        <w:fldChar w:fldCharType="separate"/>
      </w:r>
      <w:r>
        <w:rPr>
          <w:color w:val="auto"/>
          <w:highlight w:val="none"/>
        </w:rPr>
        <w:t>50</w:t>
      </w:r>
      <w:r>
        <w:rPr>
          <w:color w:val="auto"/>
          <w:highlight w:val="none"/>
        </w:rPr>
        <w:fldChar w:fldCharType="end"/>
      </w:r>
      <w:r>
        <w:rPr>
          <w:rFonts w:hAnsi="宋体" w:cs="Times New Roman"/>
          <w:color w:val="auto"/>
          <w:highlight w:val="none"/>
        </w:rPr>
        <w:fldChar w:fldCharType="end"/>
      </w:r>
    </w:p>
    <w:p w14:paraId="2DC964F6">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_Toc25066 </w:instrText>
      </w:r>
      <w:r>
        <w:rPr>
          <w:rFonts w:hAnsi="宋体" w:cs="Times New Roman"/>
          <w:color w:val="auto"/>
          <w:highlight w:val="none"/>
        </w:rPr>
        <w:fldChar w:fldCharType="separate"/>
      </w:r>
      <w:r>
        <w:rPr>
          <w:rFonts w:hint="eastAsia" w:ascii="黑体" w:hAnsi="华文中宋" w:eastAsia="黑体"/>
          <w:color w:val="auto"/>
          <w:szCs w:val="32"/>
          <w:highlight w:val="none"/>
        </w:rPr>
        <w:t>第六章 政府采购合同</w:t>
      </w:r>
      <w:r>
        <w:rPr>
          <w:color w:val="auto"/>
          <w:highlight w:val="none"/>
        </w:rPr>
        <w:tab/>
      </w:r>
      <w:r>
        <w:rPr>
          <w:color w:val="auto"/>
          <w:highlight w:val="none"/>
        </w:rPr>
        <w:fldChar w:fldCharType="begin"/>
      </w:r>
      <w:r>
        <w:rPr>
          <w:color w:val="auto"/>
          <w:highlight w:val="none"/>
        </w:rPr>
        <w:instrText xml:space="preserve"> PAGEREF _Toc25066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6683E9EE">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_Toc26594 </w:instrText>
      </w:r>
      <w:r>
        <w:rPr>
          <w:rFonts w:hAnsi="宋体" w:cs="Times New Roman"/>
          <w:color w:val="auto"/>
          <w:highlight w:val="none"/>
        </w:rPr>
        <w:fldChar w:fldCharType="separate"/>
      </w:r>
      <w:r>
        <w:rPr>
          <w:rFonts w:hint="eastAsia" w:ascii="黑体" w:hAnsi="华文中宋" w:eastAsia="黑体"/>
          <w:color w:val="auto"/>
          <w:szCs w:val="28"/>
          <w:highlight w:val="none"/>
        </w:rPr>
        <w:t xml:space="preserve">第一节 </w:t>
      </w:r>
      <w:r>
        <w:rPr>
          <w:rFonts w:hint="eastAsia" w:ascii="宋体" w:hAnsi="宋体" w:cs="黑体"/>
          <w:color w:val="auto"/>
          <w:highlight w:val="none"/>
        </w:rPr>
        <w:t xml:space="preserve"> 政府采购合同协议书</w:t>
      </w:r>
      <w:r>
        <w:rPr>
          <w:color w:val="auto"/>
          <w:highlight w:val="none"/>
        </w:rPr>
        <w:tab/>
      </w:r>
      <w:r>
        <w:rPr>
          <w:color w:val="auto"/>
          <w:highlight w:val="none"/>
        </w:rPr>
        <w:fldChar w:fldCharType="begin"/>
      </w:r>
      <w:r>
        <w:rPr>
          <w:color w:val="auto"/>
          <w:highlight w:val="none"/>
        </w:rPr>
        <w:instrText xml:space="preserve"> PAGEREF _Toc26594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694832F3">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_Toc27939 </w:instrText>
      </w:r>
      <w:r>
        <w:rPr>
          <w:rFonts w:hAnsi="宋体" w:cs="Times New Roman"/>
          <w:color w:val="auto"/>
          <w:highlight w:val="none"/>
        </w:rPr>
        <w:fldChar w:fldCharType="separate"/>
      </w:r>
      <w:r>
        <w:rPr>
          <w:rFonts w:ascii="黑体" w:hAnsi="华文中宋" w:eastAsia="黑体"/>
          <w:color w:val="auto"/>
          <w:szCs w:val="24"/>
          <w:highlight w:val="none"/>
        </w:rPr>
        <w:t>1.项目信息</w:t>
      </w:r>
      <w:r>
        <w:rPr>
          <w:color w:val="auto"/>
          <w:highlight w:val="none"/>
        </w:rPr>
        <w:tab/>
      </w:r>
      <w:r>
        <w:rPr>
          <w:color w:val="auto"/>
          <w:highlight w:val="none"/>
        </w:rPr>
        <w:fldChar w:fldCharType="begin"/>
      </w:r>
      <w:r>
        <w:rPr>
          <w:color w:val="auto"/>
          <w:highlight w:val="none"/>
        </w:rPr>
        <w:instrText xml:space="preserve"> PAGEREF _Toc27939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070EC1D6">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_Toc18325 </w:instrText>
      </w:r>
      <w:r>
        <w:rPr>
          <w:rFonts w:hAnsi="宋体" w:cs="Times New Roman"/>
          <w:color w:val="auto"/>
          <w:highlight w:val="none"/>
        </w:rPr>
        <w:fldChar w:fldCharType="separate"/>
      </w:r>
      <w:r>
        <w:rPr>
          <w:rFonts w:ascii="黑体" w:hAnsi="华文中宋" w:eastAsia="黑体"/>
          <w:color w:val="auto"/>
          <w:szCs w:val="24"/>
          <w:highlight w:val="none"/>
        </w:rPr>
        <w:t>2.合同金额</w:t>
      </w:r>
      <w:r>
        <w:rPr>
          <w:color w:val="auto"/>
          <w:highlight w:val="none"/>
        </w:rPr>
        <w:tab/>
      </w:r>
      <w:r>
        <w:rPr>
          <w:color w:val="auto"/>
          <w:highlight w:val="none"/>
        </w:rPr>
        <w:fldChar w:fldCharType="begin"/>
      </w:r>
      <w:r>
        <w:rPr>
          <w:color w:val="auto"/>
          <w:highlight w:val="none"/>
        </w:rPr>
        <w:instrText xml:space="preserve"> PAGEREF _Toc18325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531F1E2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_Toc10889 </w:instrText>
      </w:r>
      <w:r>
        <w:rPr>
          <w:rFonts w:hAnsi="宋体" w:cs="Times New Roman"/>
          <w:color w:val="auto"/>
          <w:highlight w:val="none"/>
        </w:rPr>
        <w:fldChar w:fldCharType="separate"/>
      </w:r>
      <w:r>
        <w:rPr>
          <w:rFonts w:ascii="黑体" w:hAnsi="华文中宋" w:eastAsia="黑体"/>
          <w:color w:val="auto"/>
          <w:szCs w:val="24"/>
          <w:highlight w:val="none"/>
        </w:rPr>
        <w:t>3.履行合同的时间、地点及方式</w:t>
      </w:r>
      <w:r>
        <w:rPr>
          <w:color w:val="auto"/>
          <w:highlight w:val="none"/>
        </w:rPr>
        <w:tab/>
      </w:r>
      <w:r>
        <w:rPr>
          <w:color w:val="auto"/>
          <w:highlight w:val="none"/>
        </w:rPr>
        <w:fldChar w:fldCharType="begin"/>
      </w:r>
      <w:r>
        <w:rPr>
          <w:color w:val="auto"/>
          <w:highlight w:val="none"/>
        </w:rPr>
        <w:instrText xml:space="preserve"> PAGEREF _Toc10889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293FBE5F">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_Toc22530 </w:instrText>
      </w:r>
      <w:r>
        <w:rPr>
          <w:rFonts w:hAnsi="宋体" w:cs="Times New Roman"/>
          <w:color w:val="auto"/>
          <w:highlight w:val="none"/>
        </w:rPr>
        <w:fldChar w:fldCharType="separate"/>
      </w:r>
      <w:r>
        <w:rPr>
          <w:rFonts w:ascii="黑体" w:hAnsi="华文中宋" w:eastAsia="黑体"/>
          <w:color w:val="auto"/>
          <w:szCs w:val="24"/>
          <w:highlight w:val="none"/>
        </w:rPr>
        <w:t>4.付款</w:t>
      </w:r>
      <w:r>
        <w:rPr>
          <w:color w:val="auto"/>
          <w:highlight w:val="none"/>
        </w:rPr>
        <w:tab/>
      </w:r>
      <w:r>
        <w:rPr>
          <w:color w:val="auto"/>
          <w:highlight w:val="none"/>
        </w:rPr>
        <w:fldChar w:fldCharType="begin"/>
      </w:r>
      <w:r>
        <w:rPr>
          <w:color w:val="auto"/>
          <w:highlight w:val="none"/>
        </w:rPr>
        <w:instrText xml:space="preserve"> PAGEREF _Toc22530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7513142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_Toc1292 </w:instrText>
      </w:r>
      <w:r>
        <w:rPr>
          <w:rFonts w:hAnsi="宋体" w:cs="Times New Roman"/>
          <w:color w:val="auto"/>
          <w:highlight w:val="none"/>
        </w:rPr>
        <w:fldChar w:fldCharType="separate"/>
      </w:r>
      <w:r>
        <w:rPr>
          <w:rFonts w:ascii="黑体" w:hAnsi="华文中宋" w:eastAsia="黑体"/>
          <w:color w:val="auto"/>
          <w:szCs w:val="24"/>
          <w:highlight w:val="none"/>
        </w:rPr>
        <w:t>5.解决合同纠纷方式</w:t>
      </w:r>
      <w:r>
        <w:rPr>
          <w:color w:val="auto"/>
          <w:highlight w:val="none"/>
        </w:rPr>
        <w:tab/>
      </w:r>
      <w:r>
        <w:rPr>
          <w:color w:val="auto"/>
          <w:highlight w:val="none"/>
        </w:rPr>
        <w:fldChar w:fldCharType="begin"/>
      </w:r>
      <w:r>
        <w:rPr>
          <w:color w:val="auto"/>
          <w:highlight w:val="none"/>
        </w:rPr>
        <w:instrText xml:space="preserve"> PAGEREF _Toc1292 \h </w:instrText>
      </w:r>
      <w:r>
        <w:rPr>
          <w:color w:val="auto"/>
          <w:highlight w:val="none"/>
        </w:rPr>
        <w:fldChar w:fldCharType="separate"/>
      </w:r>
      <w:r>
        <w:rPr>
          <w:color w:val="auto"/>
          <w:highlight w:val="none"/>
        </w:rPr>
        <w:t>55</w:t>
      </w:r>
      <w:r>
        <w:rPr>
          <w:color w:val="auto"/>
          <w:highlight w:val="none"/>
        </w:rPr>
        <w:fldChar w:fldCharType="end"/>
      </w:r>
      <w:r>
        <w:rPr>
          <w:rFonts w:hAnsi="宋体" w:cs="Times New Roman"/>
          <w:color w:val="auto"/>
          <w:highlight w:val="none"/>
        </w:rPr>
        <w:fldChar w:fldCharType="end"/>
      </w:r>
    </w:p>
    <w:p w14:paraId="45E3928D">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_Toc29755 </w:instrText>
      </w:r>
      <w:r>
        <w:rPr>
          <w:rFonts w:hAnsi="宋体" w:cs="Times New Roman"/>
          <w:color w:val="auto"/>
          <w:highlight w:val="none"/>
        </w:rPr>
        <w:fldChar w:fldCharType="separate"/>
      </w:r>
      <w:r>
        <w:rPr>
          <w:rFonts w:ascii="黑体" w:hAnsi="华文中宋" w:eastAsia="黑体"/>
          <w:color w:val="auto"/>
          <w:szCs w:val="24"/>
          <w:highlight w:val="none"/>
        </w:rPr>
        <w:t>6.组成合同的文件</w:t>
      </w:r>
      <w:r>
        <w:rPr>
          <w:color w:val="auto"/>
          <w:highlight w:val="none"/>
        </w:rPr>
        <w:tab/>
      </w:r>
      <w:r>
        <w:rPr>
          <w:color w:val="auto"/>
          <w:highlight w:val="none"/>
        </w:rPr>
        <w:fldChar w:fldCharType="begin"/>
      </w:r>
      <w:r>
        <w:rPr>
          <w:color w:val="auto"/>
          <w:highlight w:val="none"/>
        </w:rPr>
        <w:instrText xml:space="preserve"> PAGEREF _Toc29755 \h </w:instrText>
      </w:r>
      <w:r>
        <w:rPr>
          <w:color w:val="auto"/>
          <w:highlight w:val="none"/>
        </w:rPr>
        <w:fldChar w:fldCharType="separate"/>
      </w:r>
      <w:r>
        <w:rPr>
          <w:color w:val="auto"/>
          <w:highlight w:val="none"/>
        </w:rPr>
        <w:t>56</w:t>
      </w:r>
      <w:r>
        <w:rPr>
          <w:color w:val="auto"/>
          <w:highlight w:val="none"/>
        </w:rPr>
        <w:fldChar w:fldCharType="end"/>
      </w:r>
      <w:r>
        <w:rPr>
          <w:rFonts w:hAnsi="宋体" w:cs="Times New Roman"/>
          <w:color w:val="auto"/>
          <w:highlight w:val="none"/>
        </w:rPr>
        <w:fldChar w:fldCharType="end"/>
      </w:r>
    </w:p>
    <w:p w14:paraId="1BA3FC12">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_Toc16308 </w:instrText>
      </w:r>
      <w:r>
        <w:rPr>
          <w:rFonts w:hAnsi="宋体" w:cs="Times New Roman"/>
          <w:color w:val="auto"/>
          <w:highlight w:val="none"/>
        </w:rPr>
        <w:fldChar w:fldCharType="separate"/>
      </w:r>
      <w:r>
        <w:rPr>
          <w:rFonts w:ascii="黑体" w:hAnsi="华文中宋" w:eastAsia="黑体"/>
          <w:color w:val="auto"/>
          <w:szCs w:val="24"/>
          <w:highlight w:val="none"/>
        </w:rPr>
        <w:t>7.合同生效</w:t>
      </w:r>
      <w:r>
        <w:rPr>
          <w:color w:val="auto"/>
          <w:highlight w:val="none"/>
        </w:rPr>
        <w:tab/>
      </w:r>
      <w:r>
        <w:rPr>
          <w:color w:val="auto"/>
          <w:highlight w:val="none"/>
        </w:rPr>
        <w:fldChar w:fldCharType="begin"/>
      </w:r>
      <w:r>
        <w:rPr>
          <w:color w:val="auto"/>
          <w:highlight w:val="none"/>
        </w:rPr>
        <w:instrText xml:space="preserve"> PAGEREF _Toc16308 \h </w:instrText>
      </w:r>
      <w:r>
        <w:rPr>
          <w:color w:val="auto"/>
          <w:highlight w:val="none"/>
        </w:rPr>
        <w:fldChar w:fldCharType="separate"/>
      </w:r>
      <w:r>
        <w:rPr>
          <w:color w:val="auto"/>
          <w:highlight w:val="none"/>
        </w:rPr>
        <w:t>56</w:t>
      </w:r>
      <w:r>
        <w:rPr>
          <w:color w:val="auto"/>
          <w:highlight w:val="none"/>
        </w:rPr>
        <w:fldChar w:fldCharType="end"/>
      </w:r>
      <w:r>
        <w:rPr>
          <w:rFonts w:hAnsi="宋体" w:cs="Times New Roman"/>
          <w:color w:val="auto"/>
          <w:highlight w:val="none"/>
        </w:rPr>
        <w:fldChar w:fldCharType="end"/>
      </w:r>
    </w:p>
    <w:p w14:paraId="6ACD116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_Toc24171 </w:instrText>
      </w:r>
      <w:r>
        <w:rPr>
          <w:rFonts w:hAnsi="宋体" w:cs="Times New Roman"/>
          <w:color w:val="auto"/>
          <w:highlight w:val="none"/>
        </w:rPr>
        <w:fldChar w:fldCharType="separate"/>
      </w:r>
      <w:r>
        <w:rPr>
          <w:rFonts w:ascii="黑体" w:hAnsi="华文中宋" w:eastAsia="黑体"/>
          <w:color w:val="auto"/>
          <w:szCs w:val="24"/>
          <w:highlight w:val="none"/>
        </w:rPr>
        <w:t>8.合同份数</w:t>
      </w:r>
      <w:r>
        <w:rPr>
          <w:color w:val="auto"/>
          <w:highlight w:val="none"/>
        </w:rPr>
        <w:tab/>
      </w:r>
      <w:r>
        <w:rPr>
          <w:color w:val="auto"/>
          <w:highlight w:val="none"/>
        </w:rPr>
        <w:fldChar w:fldCharType="begin"/>
      </w:r>
      <w:r>
        <w:rPr>
          <w:color w:val="auto"/>
          <w:highlight w:val="none"/>
        </w:rPr>
        <w:instrText xml:space="preserve"> PAGEREF _Toc24171 \h </w:instrText>
      </w:r>
      <w:r>
        <w:rPr>
          <w:color w:val="auto"/>
          <w:highlight w:val="none"/>
        </w:rPr>
        <w:fldChar w:fldCharType="separate"/>
      </w:r>
      <w:r>
        <w:rPr>
          <w:color w:val="auto"/>
          <w:highlight w:val="none"/>
        </w:rPr>
        <w:t>56</w:t>
      </w:r>
      <w:r>
        <w:rPr>
          <w:color w:val="auto"/>
          <w:highlight w:val="none"/>
        </w:rPr>
        <w:fldChar w:fldCharType="end"/>
      </w:r>
      <w:r>
        <w:rPr>
          <w:rFonts w:hAnsi="宋体" w:cs="Times New Roman"/>
          <w:color w:val="auto"/>
          <w:highlight w:val="none"/>
        </w:rPr>
        <w:fldChar w:fldCharType="end"/>
      </w:r>
    </w:p>
    <w:p w14:paraId="0AE49504">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_Toc23124 </w:instrText>
      </w:r>
      <w:r>
        <w:rPr>
          <w:rFonts w:hAnsi="宋体" w:cs="Times New Roman"/>
          <w:color w:val="auto"/>
          <w:highlight w:val="none"/>
        </w:rPr>
        <w:fldChar w:fldCharType="separate"/>
      </w:r>
      <w:r>
        <w:rPr>
          <w:rFonts w:hint="eastAsia" w:ascii="黑体" w:hAnsi="黑体" w:eastAsia="黑体"/>
          <w:color w:val="auto"/>
          <w:szCs w:val="28"/>
          <w:highlight w:val="none"/>
        </w:rPr>
        <w:t>第二节 政府采购合同通用条款</w:t>
      </w:r>
      <w:r>
        <w:rPr>
          <w:color w:val="auto"/>
          <w:highlight w:val="none"/>
        </w:rPr>
        <w:tab/>
      </w:r>
      <w:r>
        <w:rPr>
          <w:color w:val="auto"/>
          <w:highlight w:val="none"/>
        </w:rPr>
        <w:fldChar w:fldCharType="begin"/>
      </w:r>
      <w:r>
        <w:rPr>
          <w:color w:val="auto"/>
          <w:highlight w:val="none"/>
        </w:rPr>
        <w:instrText xml:space="preserve"> PAGEREF _Toc23124 \h </w:instrText>
      </w:r>
      <w:r>
        <w:rPr>
          <w:color w:val="auto"/>
          <w:highlight w:val="none"/>
        </w:rPr>
        <w:fldChar w:fldCharType="separate"/>
      </w:r>
      <w:r>
        <w:rPr>
          <w:color w:val="auto"/>
          <w:highlight w:val="none"/>
        </w:rPr>
        <w:t>57</w:t>
      </w:r>
      <w:r>
        <w:rPr>
          <w:color w:val="auto"/>
          <w:highlight w:val="none"/>
        </w:rPr>
        <w:fldChar w:fldCharType="end"/>
      </w:r>
      <w:r>
        <w:rPr>
          <w:rFonts w:hAnsi="宋体" w:cs="Times New Roman"/>
          <w:color w:val="auto"/>
          <w:highlight w:val="none"/>
        </w:rPr>
        <w:fldChar w:fldCharType="end"/>
      </w:r>
    </w:p>
    <w:p w14:paraId="2A456F6F">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_Toc3098 </w:instrText>
      </w:r>
      <w:r>
        <w:rPr>
          <w:rFonts w:hAnsi="宋体" w:cs="Times New Roman"/>
          <w:color w:val="auto"/>
          <w:highlight w:val="none"/>
        </w:rPr>
        <w:fldChar w:fldCharType="separate"/>
      </w:r>
      <w:r>
        <w:rPr>
          <w:rFonts w:hint="eastAsia" w:ascii="黑体" w:hAnsi="华文中宋" w:eastAsia="黑体"/>
          <w:color w:val="auto"/>
          <w:szCs w:val="28"/>
          <w:highlight w:val="none"/>
        </w:rPr>
        <w:t>第三节 政府采购合同专用条款</w:t>
      </w:r>
      <w:r>
        <w:rPr>
          <w:color w:val="auto"/>
          <w:highlight w:val="none"/>
        </w:rPr>
        <w:tab/>
      </w:r>
      <w:r>
        <w:rPr>
          <w:color w:val="auto"/>
          <w:highlight w:val="none"/>
        </w:rPr>
        <w:fldChar w:fldCharType="begin"/>
      </w:r>
      <w:r>
        <w:rPr>
          <w:color w:val="auto"/>
          <w:highlight w:val="none"/>
        </w:rPr>
        <w:instrText xml:space="preserve"> PAGEREF _Toc3098 \h </w:instrText>
      </w:r>
      <w:r>
        <w:rPr>
          <w:color w:val="auto"/>
          <w:highlight w:val="none"/>
        </w:rPr>
        <w:fldChar w:fldCharType="separate"/>
      </w:r>
      <w:r>
        <w:rPr>
          <w:color w:val="auto"/>
          <w:highlight w:val="none"/>
        </w:rPr>
        <w:t>63</w:t>
      </w:r>
      <w:r>
        <w:rPr>
          <w:color w:val="auto"/>
          <w:highlight w:val="none"/>
        </w:rPr>
        <w:fldChar w:fldCharType="end"/>
      </w:r>
      <w:r>
        <w:rPr>
          <w:rFonts w:hAnsi="宋体" w:cs="Times New Roman"/>
          <w:color w:val="auto"/>
          <w:highlight w:val="none"/>
        </w:rPr>
        <w:fldChar w:fldCharType="end"/>
      </w:r>
    </w:p>
    <w:p w14:paraId="6B99BA3A">
      <w:pPr>
        <w:pStyle w:val="20"/>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_Toc15670 </w:instrText>
      </w:r>
      <w:r>
        <w:rPr>
          <w:rFonts w:hAnsi="宋体" w:cs="Times New Roman"/>
          <w:color w:val="auto"/>
          <w:highlight w:val="none"/>
        </w:rPr>
        <w:fldChar w:fldCharType="separate"/>
      </w:r>
      <w:r>
        <w:rPr>
          <w:rFonts w:hint="eastAsia" w:ascii="黑体" w:hAnsi="华文中宋" w:eastAsia="黑体"/>
          <w:color w:val="auto"/>
          <w:szCs w:val="32"/>
          <w:highlight w:val="none"/>
        </w:rPr>
        <w:t>第七章 投标文件的组成</w:t>
      </w:r>
      <w:r>
        <w:rPr>
          <w:color w:val="auto"/>
          <w:highlight w:val="none"/>
        </w:rPr>
        <w:tab/>
      </w:r>
      <w:r>
        <w:rPr>
          <w:color w:val="auto"/>
          <w:highlight w:val="none"/>
        </w:rPr>
        <w:fldChar w:fldCharType="begin"/>
      </w:r>
      <w:r>
        <w:rPr>
          <w:color w:val="auto"/>
          <w:highlight w:val="none"/>
        </w:rPr>
        <w:instrText xml:space="preserve"> PAGEREF _Toc15670 \h </w:instrText>
      </w:r>
      <w:r>
        <w:rPr>
          <w:color w:val="auto"/>
          <w:highlight w:val="none"/>
        </w:rPr>
        <w:fldChar w:fldCharType="separate"/>
      </w:r>
      <w:r>
        <w:rPr>
          <w:color w:val="auto"/>
          <w:highlight w:val="none"/>
        </w:rPr>
        <w:t>64</w:t>
      </w:r>
      <w:r>
        <w:rPr>
          <w:color w:val="auto"/>
          <w:highlight w:val="none"/>
        </w:rPr>
        <w:fldChar w:fldCharType="end"/>
      </w:r>
      <w:r>
        <w:rPr>
          <w:rFonts w:hAnsi="宋体" w:cs="Times New Roman"/>
          <w:color w:val="auto"/>
          <w:highlight w:val="none"/>
        </w:rPr>
        <w:fldChar w:fldCharType="end"/>
      </w:r>
    </w:p>
    <w:p w14:paraId="5A509670">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_Toc29131 </w:instrText>
      </w:r>
      <w:r>
        <w:rPr>
          <w:rFonts w:hAnsi="宋体" w:cs="Times New Roman"/>
          <w:color w:val="auto"/>
          <w:highlight w:val="none"/>
        </w:rPr>
        <w:fldChar w:fldCharType="separate"/>
      </w:r>
      <w:r>
        <w:rPr>
          <w:rFonts w:hint="eastAsia" w:ascii="黑体" w:hAnsi="黑体" w:eastAsia="黑体"/>
          <w:color w:val="auto"/>
          <w:szCs w:val="44"/>
          <w:highlight w:val="none"/>
        </w:rPr>
        <w:t>第一部分 资格证明文件</w:t>
      </w:r>
      <w:r>
        <w:rPr>
          <w:color w:val="auto"/>
          <w:highlight w:val="none"/>
        </w:rPr>
        <w:tab/>
      </w:r>
      <w:r>
        <w:rPr>
          <w:color w:val="auto"/>
          <w:highlight w:val="none"/>
        </w:rPr>
        <w:fldChar w:fldCharType="begin"/>
      </w:r>
      <w:r>
        <w:rPr>
          <w:color w:val="auto"/>
          <w:highlight w:val="none"/>
        </w:rPr>
        <w:instrText xml:space="preserve"> PAGEREF _Toc29131 \h </w:instrText>
      </w:r>
      <w:r>
        <w:rPr>
          <w:color w:val="auto"/>
          <w:highlight w:val="none"/>
        </w:rPr>
        <w:fldChar w:fldCharType="separate"/>
      </w:r>
      <w:r>
        <w:rPr>
          <w:color w:val="auto"/>
          <w:highlight w:val="none"/>
        </w:rPr>
        <w:t>65</w:t>
      </w:r>
      <w:r>
        <w:rPr>
          <w:color w:val="auto"/>
          <w:highlight w:val="none"/>
        </w:rPr>
        <w:fldChar w:fldCharType="end"/>
      </w:r>
      <w:r>
        <w:rPr>
          <w:rFonts w:hAnsi="宋体" w:cs="Times New Roman"/>
          <w:color w:val="auto"/>
          <w:highlight w:val="none"/>
        </w:rPr>
        <w:fldChar w:fldCharType="end"/>
      </w:r>
    </w:p>
    <w:p w14:paraId="4A049480">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_Toc27328 </w:instrText>
      </w:r>
      <w:r>
        <w:rPr>
          <w:rFonts w:hAnsi="宋体" w:cs="Times New Roman"/>
          <w:color w:val="auto"/>
          <w:highlight w:val="none"/>
        </w:rPr>
        <w:fldChar w:fldCharType="separate"/>
      </w:r>
      <w:r>
        <w:rPr>
          <w:rFonts w:hint="eastAsia" w:ascii="黑体" w:hAnsi="宋体" w:eastAsia="黑体"/>
          <w:color w:val="auto"/>
          <w:szCs w:val="28"/>
          <w:highlight w:val="none"/>
        </w:rPr>
        <w:t>一、开标一览表</w:t>
      </w:r>
      <w:r>
        <w:rPr>
          <w:color w:val="auto"/>
          <w:highlight w:val="none"/>
        </w:rPr>
        <w:tab/>
      </w:r>
      <w:r>
        <w:rPr>
          <w:color w:val="auto"/>
          <w:highlight w:val="none"/>
        </w:rPr>
        <w:fldChar w:fldCharType="begin"/>
      </w:r>
      <w:r>
        <w:rPr>
          <w:color w:val="auto"/>
          <w:highlight w:val="none"/>
        </w:rPr>
        <w:instrText xml:space="preserve"> PAGEREF _Toc27328 \h </w:instrText>
      </w:r>
      <w:r>
        <w:rPr>
          <w:color w:val="auto"/>
          <w:highlight w:val="none"/>
        </w:rPr>
        <w:fldChar w:fldCharType="separate"/>
      </w:r>
      <w:r>
        <w:rPr>
          <w:color w:val="auto"/>
          <w:highlight w:val="none"/>
        </w:rPr>
        <w:t>66</w:t>
      </w:r>
      <w:r>
        <w:rPr>
          <w:color w:val="auto"/>
          <w:highlight w:val="none"/>
        </w:rPr>
        <w:fldChar w:fldCharType="end"/>
      </w:r>
      <w:r>
        <w:rPr>
          <w:rFonts w:hAnsi="宋体" w:cs="Times New Roman"/>
          <w:color w:val="auto"/>
          <w:highlight w:val="none"/>
        </w:rPr>
        <w:fldChar w:fldCharType="end"/>
      </w:r>
    </w:p>
    <w:p w14:paraId="5BB55F8C">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_Toc12401 </w:instrText>
      </w:r>
      <w:r>
        <w:rPr>
          <w:rFonts w:hAnsi="宋体" w:cs="Times New Roman"/>
          <w:color w:val="auto"/>
          <w:highlight w:val="none"/>
        </w:rPr>
        <w:fldChar w:fldCharType="separate"/>
      </w:r>
      <w:r>
        <w:rPr>
          <w:rFonts w:hint="eastAsia" w:ascii="黑体" w:hAnsi="宋体" w:eastAsia="黑体"/>
          <w:color w:val="auto"/>
          <w:szCs w:val="28"/>
          <w:highlight w:val="none"/>
        </w:rPr>
        <w:t>二、授权委托书</w:t>
      </w:r>
      <w:r>
        <w:rPr>
          <w:color w:val="auto"/>
          <w:highlight w:val="none"/>
        </w:rPr>
        <w:tab/>
      </w:r>
      <w:r>
        <w:rPr>
          <w:color w:val="auto"/>
          <w:highlight w:val="none"/>
        </w:rPr>
        <w:fldChar w:fldCharType="begin"/>
      </w:r>
      <w:r>
        <w:rPr>
          <w:color w:val="auto"/>
          <w:highlight w:val="none"/>
        </w:rPr>
        <w:instrText xml:space="preserve"> PAGEREF _Toc12401 \h </w:instrText>
      </w:r>
      <w:r>
        <w:rPr>
          <w:color w:val="auto"/>
          <w:highlight w:val="none"/>
        </w:rPr>
        <w:fldChar w:fldCharType="separate"/>
      </w:r>
      <w:r>
        <w:rPr>
          <w:color w:val="auto"/>
          <w:highlight w:val="none"/>
        </w:rPr>
        <w:t>67</w:t>
      </w:r>
      <w:r>
        <w:rPr>
          <w:color w:val="auto"/>
          <w:highlight w:val="none"/>
        </w:rPr>
        <w:fldChar w:fldCharType="end"/>
      </w:r>
      <w:r>
        <w:rPr>
          <w:rFonts w:hAnsi="宋体" w:cs="Times New Roman"/>
          <w:color w:val="auto"/>
          <w:highlight w:val="none"/>
        </w:rPr>
        <w:fldChar w:fldCharType="end"/>
      </w:r>
    </w:p>
    <w:p w14:paraId="3A21236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_Toc12192 </w:instrText>
      </w:r>
      <w:r>
        <w:rPr>
          <w:rFonts w:hAnsi="宋体" w:cs="Times New Roman"/>
          <w:color w:val="auto"/>
          <w:highlight w:val="none"/>
        </w:rPr>
        <w:fldChar w:fldCharType="separate"/>
      </w:r>
      <w:r>
        <w:rPr>
          <w:rFonts w:hint="eastAsia" w:ascii="黑体" w:hAnsi="宋体" w:eastAsia="黑体"/>
          <w:color w:val="auto"/>
          <w:szCs w:val="28"/>
          <w:highlight w:val="none"/>
        </w:rPr>
        <w:t>三、投标人提供的资格证明文件</w:t>
      </w:r>
      <w:r>
        <w:rPr>
          <w:color w:val="auto"/>
          <w:highlight w:val="none"/>
        </w:rPr>
        <w:tab/>
      </w:r>
      <w:r>
        <w:rPr>
          <w:color w:val="auto"/>
          <w:highlight w:val="none"/>
        </w:rPr>
        <w:fldChar w:fldCharType="begin"/>
      </w:r>
      <w:r>
        <w:rPr>
          <w:color w:val="auto"/>
          <w:highlight w:val="none"/>
        </w:rPr>
        <w:instrText xml:space="preserve"> PAGEREF _Toc12192 \h </w:instrText>
      </w:r>
      <w:r>
        <w:rPr>
          <w:color w:val="auto"/>
          <w:highlight w:val="none"/>
        </w:rPr>
        <w:fldChar w:fldCharType="separate"/>
      </w:r>
      <w:r>
        <w:rPr>
          <w:color w:val="auto"/>
          <w:highlight w:val="none"/>
        </w:rPr>
        <w:t>69</w:t>
      </w:r>
      <w:r>
        <w:rPr>
          <w:color w:val="auto"/>
          <w:highlight w:val="none"/>
        </w:rPr>
        <w:fldChar w:fldCharType="end"/>
      </w:r>
      <w:r>
        <w:rPr>
          <w:rFonts w:hAnsi="宋体" w:cs="Times New Roman"/>
          <w:color w:val="auto"/>
          <w:highlight w:val="none"/>
        </w:rPr>
        <w:fldChar w:fldCharType="end"/>
      </w:r>
    </w:p>
    <w:p w14:paraId="1A65A745">
      <w:pPr>
        <w:pStyle w:val="2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_Toc23425 </w:instrText>
      </w:r>
      <w:r>
        <w:rPr>
          <w:rFonts w:hAnsi="宋体" w:cs="Times New Roman"/>
          <w:color w:val="auto"/>
          <w:highlight w:val="none"/>
        </w:rPr>
        <w:fldChar w:fldCharType="separate"/>
      </w:r>
      <w:r>
        <w:rPr>
          <w:rFonts w:hint="eastAsia" w:ascii="黑体" w:hAnsi="黑体" w:eastAsia="黑体"/>
          <w:color w:val="auto"/>
          <w:szCs w:val="44"/>
          <w:highlight w:val="none"/>
        </w:rPr>
        <w:t>第二部分 商务技术文件</w:t>
      </w:r>
      <w:r>
        <w:rPr>
          <w:color w:val="auto"/>
          <w:highlight w:val="none"/>
        </w:rPr>
        <w:tab/>
      </w:r>
      <w:r>
        <w:rPr>
          <w:color w:val="auto"/>
          <w:highlight w:val="none"/>
        </w:rPr>
        <w:fldChar w:fldCharType="begin"/>
      </w:r>
      <w:r>
        <w:rPr>
          <w:color w:val="auto"/>
          <w:highlight w:val="none"/>
        </w:rPr>
        <w:instrText xml:space="preserve"> PAGEREF _Toc23425 \h </w:instrText>
      </w:r>
      <w:r>
        <w:rPr>
          <w:color w:val="auto"/>
          <w:highlight w:val="none"/>
        </w:rPr>
        <w:fldChar w:fldCharType="separate"/>
      </w:r>
      <w:r>
        <w:rPr>
          <w:color w:val="auto"/>
          <w:highlight w:val="none"/>
        </w:rPr>
        <w:t>76</w:t>
      </w:r>
      <w:r>
        <w:rPr>
          <w:color w:val="auto"/>
          <w:highlight w:val="none"/>
        </w:rPr>
        <w:fldChar w:fldCharType="end"/>
      </w:r>
      <w:r>
        <w:rPr>
          <w:rFonts w:hAnsi="宋体" w:cs="Times New Roman"/>
          <w:color w:val="auto"/>
          <w:highlight w:val="none"/>
        </w:rPr>
        <w:fldChar w:fldCharType="end"/>
      </w:r>
    </w:p>
    <w:p w14:paraId="57BC88FE">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_Toc19717 </w:instrText>
      </w:r>
      <w:r>
        <w:rPr>
          <w:rFonts w:hAnsi="宋体" w:cs="Times New Roman"/>
          <w:color w:val="auto"/>
          <w:highlight w:val="none"/>
        </w:rPr>
        <w:fldChar w:fldCharType="separate"/>
      </w:r>
      <w:r>
        <w:rPr>
          <w:rFonts w:hint="eastAsia" w:ascii="黑体" w:hAnsi="宋体" w:eastAsia="黑体"/>
          <w:color w:val="auto"/>
          <w:szCs w:val="28"/>
          <w:highlight w:val="none"/>
        </w:rPr>
        <w:t>四</w:t>
      </w:r>
      <w:r>
        <w:rPr>
          <w:rFonts w:ascii="黑体" w:hAnsi="宋体" w:eastAsia="黑体"/>
          <w:color w:val="auto"/>
          <w:szCs w:val="28"/>
          <w:highlight w:val="none"/>
        </w:rPr>
        <w:t>、</w:t>
      </w:r>
      <w:r>
        <w:rPr>
          <w:rFonts w:hint="eastAsia" w:ascii="黑体" w:hAnsi="宋体" w:eastAsia="黑体"/>
          <w:color w:val="auto"/>
          <w:szCs w:val="28"/>
          <w:highlight w:val="none"/>
        </w:rPr>
        <w:t>投标函</w:t>
      </w:r>
      <w:r>
        <w:rPr>
          <w:color w:val="auto"/>
          <w:highlight w:val="none"/>
        </w:rPr>
        <w:tab/>
      </w:r>
      <w:r>
        <w:rPr>
          <w:color w:val="auto"/>
          <w:highlight w:val="none"/>
        </w:rPr>
        <w:fldChar w:fldCharType="begin"/>
      </w:r>
      <w:r>
        <w:rPr>
          <w:color w:val="auto"/>
          <w:highlight w:val="none"/>
        </w:rPr>
        <w:instrText xml:space="preserve"> PAGEREF _Toc19717 \h </w:instrText>
      </w:r>
      <w:r>
        <w:rPr>
          <w:color w:val="auto"/>
          <w:highlight w:val="none"/>
        </w:rPr>
        <w:fldChar w:fldCharType="separate"/>
      </w:r>
      <w:r>
        <w:rPr>
          <w:color w:val="auto"/>
          <w:highlight w:val="none"/>
        </w:rPr>
        <w:t>77</w:t>
      </w:r>
      <w:r>
        <w:rPr>
          <w:color w:val="auto"/>
          <w:highlight w:val="none"/>
        </w:rPr>
        <w:fldChar w:fldCharType="end"/>
      </w:r>
      <w:r>
        <w:rPr>
          <w:rFonts w:hAnsi="宋体" w:cs="Times New Roman"/>
          <w:color w:val="auto"/>
          <w:highlight w:val="none"/>
        </w:rPr>
        <w:fldChar w:fldCharType="end"/>
      </w:r>
    </w:p>
    <w:p w14:paraId="2D7CDF47">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_Toc1202 </w:instrText>
      </w:r>
      <w:r>
        <w:rPr>
          <w:rFonts w:hAnsi="宋体" w:cs="Times New Roman"/>
          <w:color w:val="auto"/>
          <w:highlight w:val="none"/>
        </w:rPr>
        <w:fldChar w:fldCharType="separate"/>
      </w:r>
      <w:r>
        <w:rPr>
          <w:rFonts w:hint="eastAsia"/>
          <w:color w:val="auto"/>
          <w:szCs w:val="28"/>
          <w:highlight w:val="none"/>
        </w:rPr>
        <w:t>五、分项报价</w:t>
      </w:r>
      <w:r>
        <w:rPr>
          <w:color w:val="auto"/>
          <w:highlight w:val="none"/>
        </w:rPr>
        <w:tab/>
      </w:r>
      <w:r>
        <w:rPr>
          <w:color w:val="auto"/>
          <w:highlight w:val="none"/>
        </w:rPr>
        <w:fldChar w:fldCharType="begin"/>
      </w:r>
      <w:r>
        <w:rPr>
          <w:color w:val="auto"/>
          <w:highlight w:val="none"/>
        </w:rPr>
        <w:instrText xml:space="preserve"> PAGEREF _Toc1202 \h </w:instrText>
      </w:r>
      <w:r>
        <w:rPr>
          <w:color w:val="auto"/>
          <w:highlight w:val="none"/>
        </w:rPr>
        <w:fldChar w:fldCharType="separate"/>
      </w:r>
      <w:r>
        <w:rPr>
          <w:color w:val="auto"/>
          <w:highlight w:val="none"/>
        </w:rPr>
        <w:t>79</w:t>
      </w:r>
      <w:r>
        <w:rPr>
          <w:color w:val="auto"/>
          <w:highlight w:val="none"/>
        </w:rPr>
        <w:fldChar w:fldCharType="end"/>
      </w:r>
      <w:r>
        <w:rPr>
          <w:rFonts w:hAnsi="宋体" w:cs="Times New Roman"/>
          <w:color w:val="auto"/>
          <w:highlight w:val="none"/>
        </w:rPr>
        <w:fldChar w:fldCharType="end"/>
      </w:r>
    </w:p>
    <w:p w14:paraId="4AEF528B">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_Toc13803 </w:instrText>
      </w:r>
      <w:r>
        <w:rPr>
          <w:rFonts w:hAnsi="宋体" w:cs="Times New Roman"/>
          <w:color w:val="auto"/>
          <w:highlight w:val="none"/>
        </w:rPr>
        <w:fldChar w:fldCharType="separate"/>
      </w:r>
      <w:r>
        <w:rPr>
          <w:rFonts w:hint="eastAsia" w:ascii="黑体" w:hAnsi="华文中宋" w:cs="宋体"/>
          <w:bCs w:val="0"/>
          <w:color w:val="auto"/>
          <w:spacing w:val="6"/>
          <w:kern w:val="0"/>
          <w:szCs w:val="21"/>
          <w:highlight w:val="none"/>
        </w:rPr>
        <w:t>附件</w:t>
      </w:r>
      <w:r>
        <w:rPr>
          <w:rFonts w:ascii="黑体" w:hAnsi="华文中宋" w:cs="宋体"/>
          <w:bCs w:val="0"/>
          <w:color w:val="auto"/>
          <w:spacing w:val="6"/>
          <w:kern w:val="0"/>
          <w:szCs w:val="21"/>
          <w:highlight w:val="none"/>
        </w:rPr>
        <w:t>5</w:t>
      </w:r>
      <w:r>
        <w:rPr>
          <w:rFonts w:hint="eastAsia" w:ascii="黑体" w:hAnsi="华文中宋" w:cs="宋体"/>
          <w:bCs w:val="0"/>
          <w:color w:val="auto"/>
          <w:spacing w:val="6"/>
          <w:kern w:val="0"/>
          <w:szCs w:val="21"/>
          <w:highlight w:val="none"/>
        </w:rPr>
        <w:t xml:space="preserve">-1 </w:t>
      </w:r>
      <w:r>
        <w:rPr>
          <w:rFonts w:hint="eastAsia" w:ascii="黑体" w:hAnsi="宋体" w:cs="微软雅黑"/>
          <w:color w:val="auto"/>
          <w:spacing w:val="-2"/>
          <w:kern w:val="0"/>
          <w:szCs w:val="21"/>
          <w:highlight w:val="none"/>
        </w:rPr>
        <w:t>分</w:t>
      </w:r>
      <w:r>
        <w:rPr>
          <w:rFonts w:hint="eastAsia" w:ascii="黑体" w:hAnsi="宋体" w:cs="微软雅黑"/>
          <w:color w:val="auto"/>
          <w:kern w:val="0"/>
          <w:szCs w:val="21"/>
          <w:highlight w:val="none"/>
        </w:rPr>
        <w:t>项</w:t>
      </w:r>
      <w:r>
        <w:rPr>
          <w:rFonts w:hint="eastAsia" w:ascii="黑体" w:hAnsi="宋体" w:cs="微软雅黑"/>
          <w:color w:val="auto"/>
          <w:spacing w:val="-2"/>
          <w:kern w:val="0"/>
          <w:szCs w:val="21"/>
          <w:highlight w:val="none"/>
        </w:rPr>
        <w:t>报</w:t>
      </w:r>
      <w:r>
        <w:rPr>
          <w:rFonts w:hint="eastAsia" w:ascii="黑体" w:hAnsi="宋体" w:cs="微软雅黑"/>
          <w:color w:val="auto"/>
          <w:kern w:val="0"/>
          <w:szCs w:val="21"/>
          <w:highlight w:val="none"/>
        </w:rPr>
        <w:t>价说明</w:t>
      </w:r>
      <w:r>
        <w:rPr>
          <w:color w:val="auto"/>
          <w:highlight w:val="none"/>
        </w:rPr>
        <w:tab/>
      </w:r>
      <w:r>
        <w:rPr>
          <w:color w:val="auto"/>
          <w:highlight w:val="none"/>
        </w:rPr>
        <w:fldChar w:fldCharType="begin"/>
      </w:r>
      <w:r>
        <w:rPr>
          <w:color w:val="auto"/>
          <w:highlight w:val="none"/>
        </w:rPr>
        <w:instrText xml:space="preserve"> PAGEREF _Toc13803 \h </w:instrText>
      </w:r>
      <w:r>
        <w:rPr>
          <w:color w:val="auto"/>
          <w:highlight w:val="none"/>
        </w:rPr>
        <w:fldChar w:fldCharType="separate"/>
      </w:r>
      <w:r>
        <w:rPr>
          <w:color w:val="auto"/>
          <w:highlight w:val="none"/>
        </w:rPr>
        <w:t>79</w:t>
      </w:r>
      <w:r>
        <w:rPr>
          <w:color w:val="auto"/>
          <w:highlight w:val="none"/>
        </w:rPr>
        <w:fldChar w:fldCharType="end"/>
      </w:r>
      <w:r>
        <w:rPr>
          <w:rFonts w:hAnsi="宋体" w:cs="Times New Roman"/>
          <w:color w:val="auto"/>
          <w:highlight w:val="none"/>
        </w:rPr>
        <w:fldChar w:fldCharType="end"/>
      </w:r>
    </w:p>
    <w:p w14:paraId="2B1BCD6B">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_Toc25262 </w:instrText>
      </w:r>
      <w:r>
        <w:rPr>
          <w:rFonts w:hAnsi="宋体" w:cs="Times New Roman"/>
          <w:color w:val="auto"/>
          <w:highlight w:val="none"/>
        </w:rPr>
        <w:fldChar w:fldCharType="separate"/>
      </w:r>
      <w:r>
        <w:rPr>
          <w:rFonts w:hint="eastAsia" w:ascii="黑体" w:hAnsi="华文中宋" w:cs="宋体"/>
          <w:bCs w:val="0"/>
          <w:color w:val="auto"/>
          <w:spacing w:val="6"/>
          <w:kern w:val="0"/>
          <w:szCs w:val="21"/>
          <w:highlight w:val="none"/>
        </w:rPr>
        <w:t>附件</w:t>
      </w:r>
      <w:r>
        <w:rPr>
          <w:rFonts w:ascii="黑体" w:hAnsi="华文中宋" w:cs="宋体"/>
          <w:bCs w:val="0"/>
          <w:color w:val="auto"/>
          <w:spacing w:val="6"/>
          <w:kern w:val="0"/>
          <w:szCs w:val="21"/>
          <w:highlight w:val="none"/>
        </w:rPr>
        <w:t>5</w:t>
      </w:r>
      <w:r>
        <w:rPr>
          <w:rFonts w:hint="eastAsia" w:ascii="黑体" w:hAnsi="华文中宋" w:cs="宋体"/>
          <w:bCs w:val="0"/>
          <w:color w:val="auto"/>
          <w:spacing w:val="6"/>
          <w:kern w:val="0"/>
          <w:szCs w:val="21"/>
          <w:highlight w:val="none"/>
        </w:rPr>
        <w:t xml:space="preserve">-2 </w:t>
      </w:r>
      <w:r>
        <w:rPr>
          <w:rFonts w:hint="eastAsia" w:ascii="黑体" w:hAnsi="宋体" w:cs="微软雅黑"/>
          <w:color w:val="auto"/>
          <w:spacing w:val="-2"/>
          <w:kern w:val="0"/>
          <w:position w:val="-3"/>
          <w:szCs w:val="21"/>
          <w:highlight w:val="none"/>
        </w:rPr>
        <w:t>分</w:t>
      </w:r>
      <w:r>
        <w:rPr>
          <w:rFonts w:hint="eastAsia" w:ascii="黑体" w:hAnsi="宋体" w:cs="微软雅黑"/>
          <w:color w:val="auto"/>
          <w:kern w:val="0"/>
          <w:position w:val="-3"/>
          <w:szCs w:val="21"/>
          <w:highlight w:val="none"/>
        </w:rPr>
        <w:t>项</w:t>
      </w:r>
      <w:r>
        <w:rPr>
          <w:rFonts w:hint="eastAsia" w:ascii="黑体" w:hAnsi="宋体" w:cs="微软雅黑"/>
          <w:color w:val="auto"/>
          <w:spacing w:val="-2"/>
          <w:kern w:val="0"/>
          <w:position w:val="-3"/>
          <w:szCs w:val="21"/>
          <w:highlight w:val="none"/>
        </w:rPr>
        <w:t>报</w:t>
      </w:r>
      <w:r>
        <w:rPr>
          <w:rFonts w:hint="eastAsia" w:ascii="黑体" w:hAnsi="宋体" w:cs="微软雅黑"/>
          <w:color w:val="auto"/>
          <w:kern w:val="0"/>
          <w:position w:val="-3"/>
          <w:szCs w:val="21"/>
          <w:highlight w:val="none"/>
        </w:rPr>
        <w:t>价明细表</w:t>
      </w:r>
      <w:r>
        <w:rPr>
          <w:color w:val="auto"/>
          <w:highlight w:val="none"/>
        </w:rPr>
        <w:tab/>
      </w:r>
      <w:r>
        <w:rPr>
          <w:color w:val="auto"/>
          <w:highlight w:val="none"/>
        </w:rPr>
        <w:fldChar w:fldCharType="begin"/>
      </w:r>
      <w:r>
        <w:rPr>
          <w:color w:val="auto"/>
          <w:highlight w:val="none"/>
        </w:rPr>
        <w:instrText xml:space="preserve"> PAGEREF _Toc25262 \h </w:instrText>
      </w:r>
      <w:r>
        <w:rPr>
          <w:color w:val="auto"/>
          <w:highlight w:val="none"/>
        </w:rPr>
        <w:fldChar w:fldCharType="separate"/>
      </w:r>
      <w:r>
        <w:rPr>
          <w:color w:val="auto"/>
          <w:highlight w:val="none"/>
        </w:rPr>
        <w:t>80</w:t>
      </w:r>
      <w:r>
        <w:rPr>
          <w:color w:val="auto"/>
          <w:highlight w:val="none"/>
        </w:rPr>
        <w:fldChar w:fldCharType="end"/>
      </w:r>
      <w:r>
        <w:rPr>
          <w:rFonts w:hAnsi="宋体" w:cs="Times New Roman"/>
          <w:color w:val="auto"/>
          <w:highlight w:val="none"/>
        </w:rPr>
        <w:fldChar w:fldCharType="end"/>
      </w:r>
    </w:p>
    <w:p w14:paraId="33302162">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_Toc32651 </w:instrText>
      </w:r>
      <w:r>
        <w:rPr>
          <w:rFonts w:hAnsi="宋体" w:cs="Times New Roman"/>
          <w:color w:val="auto"/>
          <w:highlight w:val="none"/>
        </w:rPr>
        <w:fldChar w:fldCharType="separate"/>
      </w:r>
      <w:r>
        <w:rPr>
          <w:rFonts w:hint="eastAsia" w:ascii="黑体" w:hAnsi="宋体" w:eastAsia="黑体"/>
          <w:color w:val="auto"/>
          <w:szCs w:val="28"/>
          <w:highlight w:val="none"/>
        </w:rPr>
        <w:t>六、采购需求响应</w:t>
      </w:r>
      <w:r>
        <w:rPr>
          <w:color w:val="auto"/>
          <w:highlight w:val="none"/>
        </w:rPr>
        <w:tab/>
      </w:r>
      <w:r>
        <w:rPr>
          <w:color w:val="auto"/>
          <w:highlight w:val="none"/>
        </w:rPr>
        <w:fldChar w:fldCharType="begin"/>
      </w:r>
      <w:r>
        <w:rPr>
          <w:color w:val="auto"/>
          <w:highlight w:val="none"/>
        </w:rPr>
        <w:instrText xml:space="preserve"> PAGEREF _Toc32651 \h </w:instrText>
      </w:r>
      <w:r>
        <w:rPr>
          <w:color w:val="auto"/>
          <w:highlight w:val="none"/>
        </w:rPr>
        <w:fldChar w:fldCharType="separate"/>
      </w:r>
      <w:r>
        <w:rPr>
          <w:color w:val="auto"/>
          <w:highlight w:val="none"/>
        </w:rPr>
        <w:t>79</w:t>
      </w:r>
      <w:r>
        <w:rPr>
          <w:color w:val="auto"/>
          <w:highlight w:val="none"/>
        </w:rPr>
        <w:fldChar w:fldCharType="end"/>
      </w:r>
      <w:r>
        <w:rPr>
          <w:rFonts w:hAnsi="宋体" w:cs="Times New Roman"/>
          <w:color w:val="auto"/>
          <w:highlight w:val="none"/>
        </w:rPr>
        <w:fldChar w:fldCharType="end"/>
      </w:r>
    </w:p>
    <w:p w14:paraId="10A908D9">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_Toc21046 </w:instrText>
      </w:r>
      <w:r>
        <w:rPr>
          <w:rFonts w:hAnsi="宋体" w:cs="Times New Roman"/>
          <w:color w:val="auto"/>
          <w:highlight w:val="none"/>
        </w:rPr>
        <w:fldChar w:fldCharType="separate"/>
      </w:r>
      <w:r>
        <w:rPr>
          <w:rFonts w:hint="eastAsia" w:ascii="黑体" w:hAnsi="黑体" w:cs="宋体"/>
          <w:color w:val="auto"/>
          <w:spacing w:val="6"/>
          <w:kern w:val="0"/>
          <w:szCs w:val="21"/>
          <w:highlight w:val="none"/>
        </w:rPr>
        <w:t>附件</w:t>
      </w:r>
      <w:r>
        <w:rPr>
          <w:rFonts w:ascii="黑体" w:hAnsi="黑体" w:cs="宋体"/>
          <w:color w:val="auto"/>
          <w:spacing w:val="6"/>
          <w:kern w:val="0"/>
          <w:szCs w:val="21"/>
          <w:highlight w:val="none"/>
        </w:rPr>
        <w:t>6</w:t>
      </w:r>
      <w:r>
        <w:rPr>
          <w:rFonts w:hint="eastAsia" w:ascii="黑体" w:hAnsi="黑体" w:cs="宋体"/>
          <w:color w:val="auto"/>
          <w:spacing w:val="6"/>
          <w:kern w:val="0"/>
          <w:szCs w:val="21"/>
          <w:highlight w:val="none"/>
        </w:rPr>
        <w:t>-1 响应</w:t>
      </w:r>
      <w:r>
        <w:rPr>
          <w:rFonts w:hint="eastAsia" w:ascii="黑体" w:hAnsi="黑体"/>
          <w:color w:val="auto"/>
          <w:szCs w:val="21"/>
          <w:highlight w:val="none"/>
        </w:rPr>
        <w:t>一览表</w:t>
      </w:r>
      <w:r>
        <w:rPr>
          <w:color w:val="auto"/>
          <w:highlight w:val="none"/>
        </w:rPr>
        <w:tab/>
      </w:r>
      <w:r>
        <w:rPr>
          <w:color w:val="auto"/>
          <w:highlight w:val="none"/>
        </w:rPr>
        <w:fldChar w:fldCharType="begin"/>
      </w:r>
      <w:r>
        <w:rPr>
          <w:color w:val="auto"/>
          <w:highlight w:val="none"/>
        </w:rPr>
        <w:instrText xml:space="preserve"> PAGEREF _Toc21046 \h </w:instrText>
      </w:r>
      <w:r>
        <w:rPr>
          <w:color w:val="auto"/>
          <w:highlight w:val="none"/>
        </w:rPr>
        <w:fldChar w:fldCharType="separate"/>
      </w:r>
      <w:r>
        <w:rPr>
          <w:color w:val="auto"/>
          <w:highlight w:val="none"/>
        </w:rPr>
        <w:t>79</w:t>
      </w:r>
      <w:r>
        <w:rPr>
          <w:color w:val="auto"/>
          <w:highlight w:val="none"/>
        </w:rPr>
        <w:fldChar w:fldCharType="end"/>
      </w:r>
      <w:r>
        <w:rPr>
          <w:rFonts w:hAnsi="宋体" w:cs="Times New Roman"/>
          <w:color w:val="auto"/>
          <w:highlight w:val="none"/>
        </w:rPr>
        <w:fldChar w:fldCharType="end"/>
      </w:r>
    </w:p>
    <w:p w14:paraId="5ADDB316">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_Toc26208 </w:instrText>
      </w:r>
      <w:r>
        <w:rPr>
          <w:rFonts w:hAnsi="宋体" w:cs="Times New Roman"/>
          <w:color w:val="auto"/>
          <w:highlight w:val="none"/>
        </w:rPr>
        <w:fldChar w:fldCharType="separate"/>
      </w:r>
      <w:r>
        <w:rPr>
          <w:rFonts w:hint="eastAsia" w:ascii="黑体" w:hAnsi="黑体" w:eastAsia="黑体"/>
          <w:color w:val="auto"/>
          <w:szCs w:val="28"/>
          <w:highlight w:val="none"/>
        </w:rPr>
        <w:t>七、合同条款偏离表</w:t>
      </w:r>
      <w:r>
        <w:rPr>
          <w:color w:val="auto"/>
          <w:highlight w:val="none"/>
        </w:rPr>
        <w:tab/>
      </w:r>
      <w:r>
        <w:rPr>
          <w:color w:val="auto"/>
          <w:highlight w:val="none"/>
        </w:rPr>
        <w:fldChar w:fldCharType="begin"/>
      </w:r>
      <w:r>
        <w:rPr>
          <w:color w:val="auto"/>
          <w:highlight w:val="none"/>
        </w:rPr>
        <w:instrText xml:space="preserve"> PAGEREF _Toc26208 \h </w:instrText>
      </w:r>
      <w:r>
        <w:rPr>
          <w:color w:val="auto"/>
          <w:highlight w:val="none"/>
        </w:rPr>
        <w:fldChar w:fldCharType="separate"/>
      </w:r>
      <w:r>
        <w:rPr>
          <w:color w:val="auto"/>
          <w:highlight w:val="none"/>
        </w:rPr>
        <w:t>80</w:t>
      </w:r>
      <w:r>
        <w:rPr>
          <w:color w:val="auto"/>
          <w:highlight w:val="none"/>
        </w:rPr>
        <w:fldChar w:fldCharType="end"/>
      </w:r>
      <w:r>
        <w:rPr>
          <w:rFonts w:hAnsi="宋体" w:cs="Times New Roman"/>
          <w:color w:val="auto"/>
          <w:highlight w:val="none"/>
        </w:rPr>
        <w:fldChar w:fldCharType="end"/>
      </w:r>
    </w:p>
    <w:p w14:paraId="1D5F4478">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_Toc11663 </w:instrText>
      </w:r>
      <w:r>
        <w:rPr>
          <w:rFonts w:hAnsi="宋体" w:cs="Times New Roman"/>
          <w:color w:val="auto"/>
          <w:highlight w:val="none"/>
        </w:rPr>
        <w:fldChar w:fldCharType="separate"/>
      </w:r>
      <w:r>
        <w:rPr>
          <w:rFonts w:hint="eastAsia" w:ascii="黑体" w:hAnsi="宋体" w:eastAsia="黑体"/>
          <w:color w:val="auto"/>
          <w:szCs w:val="28"/>
          <w:highlight w:val="none"/>
        </w:rPr>
        <w:t>八、采购需求偏离表</w:t>
      </w:r>
      <w:r>
        <w:rPr>
          <w:color w:val="auto"/>
          <w:highlight w:val="none"/>
        </w:rPr>
        <w:tab/>
      </w:r>
      <w:r>
        <w:rPr>
          <w:color w:val="auto"/>
          <w:highlight w:val="none"/>
        </w:rPr>
        <w:fldChar w:fldCharType="begin"/>
      </w:r>
      <w:r>
        <w:rPr>
          <w:color w:val="auto"/>
          <w:highlight w:val="none"/>
        </w:rPr>
        <w:instrText xml:space="preserve"> PAGEREF _Toc11663 \h </w:instrText>
      </w:r>
      <w:r>
        <w:rPr>
          <w:color w:val="auto"/>
          <w:highlight w:val="none"/>
        </w:rPr>
        <w:fldChar w:fldCharType="separate"/>
      </w:r>
      <w:r>
        <w:rPr>
          <w:color w:val="auto"/>
          <w:highlight w:val="none"/>
        </w:rPr>
        <w:t>81</w:t>
      </w:r>
      <w:r>
        <w:rPr>
          <w:color w:val="auto"/>
          <w:highlight w:val="none"/>
        </w:rPr>
        <w:fldChar w:fldCharType="end"/>
      </w:r>
      <w:r>
        <w:rPr>
          <w:rFonts w:hAnsi="宋体" w:cs="Times New Roman"/>
          <w:color w:val="auto"/>
          <w:highlight w:val="none"/>
        </w:rPr>
        <w:fldChar w:fldCharType="end"/>
      </w:r>
    </w:p>
    <w:p w14:paraId="1B26C406">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_Toc5232 </w:instrText>
      </w:r>
      <w:r>
        <w:rPr>
          <w:rFonts w:hAnsi="宋体" w:cs="Times New Roman"/>
          <w:color w:val="auto"/>
          <w:highlight w:val="none"/>
        </w:rPr>
        <w:fldChar w:fldCharType="separate"/>
      </w:r>
      <w:r>
        <w:rPr>
          <w:rFonts w:hint="eastAsia" w:ascii="宋体" w:hAnsi="宋体"/>
          <w:color w:val="auto"/>
          <w:szCs w:val="21"/>
          <w:highlight w:val="none"/>
        </w:rPr>
        <w:t>九</w:t>
      </w:r>
      <w:r>
        <w:rPr>
          <w:rFonts w:hint="eastAsia" w:ascii="黑体" w:hAnsi="宋体" w:eastAsia="黑体"/>
          <w:color w:val="auto"/>
          <w:szCs w:val="28"/>
          <w:highlight w:val="none"/>
        </w:rPr>
        <w:t>、享受政府采购政策优惠的证明资料</w:t>
      </w:r>
      <w:r>
        <w:rPr>
          <w:color w:val="auto"/>
          <w:highlight w:val="none"/>
        </w:rPr>
        <w:tab/>
      </w:r>
      <w:r>
        <w:rPr>
          <w:color w:val="auto"/>
          <w:highlight w:val="none"/>
        </w:rPr>
        <w:fldChar w:fldCharType="begin"/>
      </w:r>
      <w:r>
        <w:rPr>
          <w:color w:val="auto"/>
          <w:highlight w:val="none"/>
        </w:rPr>
        <w:instrText xml:space="preserve"> PAGEREF _Toc5232 \h </w:instrText>
      </w:r>
      <w:r>
        <w:rPr>
          <w:color w:val="auto"/>
          <w:highlight w:val="none"/>
        </w:rPr>
        <w:fldChar w:fldCharType="separate"/>
      </w:r>
      <w:r>
        <w:rPr>
          <w:color w:val="auto"/>
          <w:highlight w:val="none"/>
        </w:rPr>
        <w:t>82</w:t>
      </w:r>
      <w:r>
        <w:rPr>
          <w:color w:val="auto"/>
          <w:highlight w:val="none"/>
        </w:rPr>
        <w:fldChar w:fldCharType="end"/>
      </w:r>
      <w:r>
        <w:rPr>
          <w:rFonts w:hAnsi="宋体" w:cs="Times New Roman"/>
          <w:color w:val="auto"/>
          <w:highlight w:val="none"/>
        </w:rPr>
        <w:fldChar w:fldCharType="end"/>
      </w:r>
    </w:p>
    <w:p w14:paraId="5507762F">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_Toc5168 </w:instrText>
      </w:r>
      <w:r>
        <w:rPr>
          <w:rFonts w:hAnsi="宋体" w:cs="Times New Roman"/>
          <w:color w:val="auto"/>
          <w:highlight w:val="none"/>
        </w:rPr>
        <w:fldChar w:fldCharType="separate"/>
      </w:r>
      <w:r>
        <w:rPr>
          <w:rFonts w:hint="eastAsia" w:ascii="黑体" w:hAnsi="华文中宋" w:cs="宋体"/>
          <w:bCs w:val="0"/>
          <w:color w:val="auto"/>
          <w:spacing w:val="6"/>
          <w:kern w:val="0"/>
          <w:szCs w:val="21"/>
          <w:highlight w:val="none"/>
        </w:rPr>
        <w:t>附件</w:t>
      </w:r>
      <w:r>
        <w:rPr>
          <w:rFonts w:ascii="黑体" w:hAnsi="华文中宋" w:cs="宋体"/>
          <w:bCs w:val="0"/>
          <w:color w:val="auto"/>
          <w:spacing w:val="6"/>
          <w:kern w:val="0"/>
          <w:szCs w:val="21"/>
          <w:highlight w:val="none"/>
        </w:rPr>
        <w:t>9</w:t>
      </w:r>
      <w:r>
        <w:rPr>
          <w:rFonts w:hint="eastAsia" w:ascii="黑体" w:hAnsi="华文中宋" w:cs="宋体"/>
          <w:bCs w:val="0"/>
          <w:color w:val="auto"/>
          <w:spacing w:val="6"/>
          <w:kern w:val="0"/>
          <w:szCs w:val="21"/>
          <w:highlight w:val="none"/>
        </w:rPr>
        <w:t xml:space="preserve">-1 </w:t>
      </w:r>
      <w:r>
        <w:rPr>
          <w:rFonts w:hint="eastAsia" w:ascii="黑体" w:hAnsi="宋体"/>
          <w:bCs w:val="0"/>
          <w:color w:val="auto"/>
          <w:szCs w:val="21"/>
          <w:highlight w:val="none"/>
        </w:rPr>
        <w:t>中小企业声明函</w:t>
      </w:r>
      <w:r>
        <w:rPr>
          <w:color w:val="auto"/>
          <w:highlight w:val="none"/>
        </w:rPr>
        <w:tab/>
      </w:r>
      <w:r>
        <w:rPr>
          <w:color w:val="auto"/>
          <w:highlight w:val="none"/>
        </w:rPr>
        <w:fldChar w:fldCharType="begin"/>
      </w:r>
      <w:r>
        <w:rPr>
          <w:color w:val="auto"/>
          <w:highlight w:val="none"/>
        </w:rPr>
        <w:instrText xml:space="preserve"> PAGEREF _Toc5168 \h </w:instrText>
      </w:r>
      <w:r>
        <w:rPr>
          <w:color w:val="auto"/>
          <w:highlight w:val="none"/>
        </w:rPr>
        <w:fldChar w:fldCharType="separate"/>
      </w:r>
      <w:r>
        <w:rPr>
          <w:color w:val="auto"/>
          <w:highlight w:val="none"/>
        </w:rPr>
        <w:t>82</w:t>
      </w:r>
      <w:r>
        <w:rPr>
          <w:color w:val="auto"/>
          <w:highlight w:val="none"/>
        </w:rPr>
        <w:fldChar w:fldCharType="end"/>
      </w:r>
      <w:r>
        <w:rPr>
          <w:rFonts w:hAnsi="宋体" w:cs="Times New Roman"/>
          <w:color w:val="auto"/>
          <w:highlight w:val="none"/>
        </w:rPr>
        <w:fldChar w:fldCharType="end"/>
      </w:r>
    </w:p>
    <w:p w14:paraId="5404E524">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_Toc31413 </w:instrText>
      </w:r>
      <w:r>
        <w:rPr>
          <w:rFonts w:hAnsi="宋体" w:cs="Times New Roman"/>
          <w:color w:val="auto"/>
          <w:highlight w:val="none"/>
        </w:rPr>
        <w:fldChar w:fldCharType="separate"/>
      </w:r>
      <w:r>
        <w:rPr>
          <w:rFonts w:hint="eastAsia" w:ascii="黑体" w:hAnsi="黑体" w:cs="宋体"/>
          <w:bCs w:val="0"/>
          <w:color w:val="auto"/>
          <w:kern w:val="0"/>
          <w:szCs w:val="21"/>
          <w:highlight w:val="none"/>
        </w:rPr>
        <w:t>附件</w:t>
      </w:r>
      <w:r>
        <w:rPr>
          <w:rFonts w:ascii="黑体" w:hAnsi="黑体" w:cs="宋体"/>
          <w:bCs w:val="0"/>
          <w:color w:val="auto"/>
          <w:kern w:val="0"/>
          <w:szCs w:val="21"/>
          <w:highlight w:val="none"/>
        </w:rPr>
        <w:t>9</w:t>
      </w:r>
      <w:r>
        <w:rPr>
          <w:rFonts w:hint="eastAsia" w:ascii="黑体" w:hAnsi="黑体" w:cs="宋体"/>
          <w:bCs w:val="0"/>
          <w:color w:val="auto"/>
          <w:kern w:val="0"/>
          <w:szCs w:val="21"/>
          <w:highlight w:val="none"/>
        </w:rPr>
        <w:t xml:space="preserve">-2 </w:t>
      </w:r>
      <w:r>
        <w:rPr>
          <w:rFonts w:hint="eastAsia" w:ascii="黑体" w:hAnsi="黑体"/>
          <w:bCs w:val="0"/>
          <w:color w:val="auto"/>
          <w:szCs w:val="21"/>
          <w:highlight w:val="none"/>
        </w:rPr>
        <w:t>残疾人福利性单位声明函</w:t>
      </w:r>
      <w:r>
        <w:rPr>
          <w:color w:val="auto"/>
          <w:highlight w:val="none"/>
        </w:rPr>
        <w:tab/>
      </w:r>
      <w:r>
        <w:rPr>
          <w:color w:val="auto"/>
          <w:highlight w:val="none"/>
        </w:rPr>
        <w:fldChar w:fldCharType="begin"/>
      </w:r>
      <w:r>
        <w:rPr>
          <w:color w:val="auto"/>
          <w:highlight w:val="none"/>
        </w:rPr>
        <w:instrText xml:space="preserve"> PAGEREF _Toc31413 \h </w:instrText>
      </w:r>
      <w:r>
        <w:rPr>
          <w:color w:val="auto"/>
          <w:highlight w:val="none"/>
        </w:rPr>
        <w:fldChar w:fldCharType="separate"/>
      </w:r>
      <w:r>
        <w:rPr>
          <w:color w:val="auto"/>
          <w:highlight w:val="none"/>
        </w:rPr>
        <w:t>83</w:t>
      </w:r>
      <w:r>
        <w:rPr>
          <w:color w:val="auto"/>
          <w:highlight w:val="none"/>
        </w:rPr>
        <w:fldChar w:fldCharType="end"/>
      </w:r>
      <w:r>
        <w:rPr>
          <w:rFonts w:hAnsi="宋体" w:cs="Times New Roman"/>
          <w:color w:val="auto"/>
          <w:highlight w:val="none"/>
        </w:rPr>
        <w:fldChar w:fldCharType="end"/>
      </w:r>
    </w:p>
    <w:p w14:paraId="3C420C88">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_Toc19722 </w:instrText>
      </w:r>
      <w:r>
        <w:rPr>
          <w:rFonts w:hAnsi="宋体" w:cs="Times New Roman"/>
          <w:color w:val="auto"/>
          <w:highlight w:val="none"/>
        </w:rPr>
        <w:fldChar w:fldCharType="separate"/>
      </w:r>
      <w:r>
        <w:rPr>
          <w:rFonts w:hint="eastAsia" w:ascii="黑体" w:hAnsi="华文中宋" w:cs="宋体"/>
          <w:bCs w:val="0"/>
          <w:color w:val="auto"/>
          <w:spacing w:val="6"/>
          <w:kern w:val="0"/>
          <w:szCs w:val="21"/>
          <w:highlight w:val="none"/>
        </w:rPr>
        <w:t>附件</w:t>
      </w:r>
      <w:r>
        <w:rPr>
          <w:rFonts w:ascii="黑体" w:hAnsi="华文中宋" w:cs="宋体"/>
          <w:bCs w:val="0"/>
          <w:color w:val="auto"/>
          <w:spacing w:val="6"/>
          <w:kern w:val="0"/>
          <w:szCs w:val="21"/>
          <w:highlight w:val="none"/>
        </w:rPr>
        <w:t>9</w:t>
      </w:r>
      <w:r>
        <w:rPr>
          <w:rFonts w:hint="eastAsia" w:ascii="黑体" w:hAnsi="华文中宋" w:cs="宋体"/>
          <w:bCs w:val="0"/>
          <w:color w:val="auto"/>
          <w:spacing w:val="6"/>
          <w:kern w:val="0"/>
          <w:szCs w:val="21"/>
          <w:highlight w:val="none"/>
        </w:rPr>
        <w:t xml:space="preserve">-4 </w:t>
      </w:r>
      <w:r>
        <w:rPr>
          <w:rFonts w:hint="eastAsia" w:ascii="黑体" w:hAnsi="宋体"/>
          <w:bCs w:val="0"/>
          <w:color w:val="auto"/>
          <w:szCs w:val="21"/>
          <w:highlight w:val="none"/>
        </w:rPr>
        <w:t>强制采购或者优先采购产品的证明材料</w:t>
      </w:r>
      <w:r>
        <w:rPr>
          <w:color w:val="auto"/>
          <w:highlight w:val="none"/>
        </w:rPr>
        <w:tab/>
      </w:r>
      <w:r>
        <w:rPr>
          <w:color w:val="auto"/>
          <w:highlight w:val="none"/>
        </w:rPr>
        <w:fldChar w:fldCharType="begin"/>
      </w:r>
      <w:r>
        <w:rPr>
          <w:color w:val="auto"/>
          <w:highlight w:val="none"/>
        </w:rPr>
        <w:instrText xml:space="preserve"> PAGEREF _Toc19722 \h </w:instrText>
      </w:r>
      <w:r>
        <w:rPr>
          <w:color w:val="auto"/>
          <w:highlight w:val="none"/>
        </w:rPr>
        <w:fldChar w:fldCharType="separate"/>
      </w:r>
      <w:r>
        <w:rPr>
          <w:color w:val="auto"/>
          <w:highlight w:val="none"/>
        </w:rPr>
        <w:t>85</w:t>
      </w:r>
      <w:r>
        <w:rPr>
          <w:color w:val="auto"/>
          <w:highlight w:val="none"/>
        </w:rPr>
        <w:fldChar w:fldCharType="end"/>
      </w:r>
      <w:r>
        <w:rPr>
          <w:rFonts w:hAnsi="宋体" w:cs="Times New Roman"/>
          <w:color w:val="auto"/>
          <w:highlight w:val="none"/>
        </w:rPr>
        <w:fldChar w:fldCharType="end"/>
      </w:r>
    </w:p>
    <w:p w14:paraId="68F13071">
      <w:pPr>
        <w:pStyle w:val="21"/>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_Toc24272 </w:instrText>
      </w:r>
      <w:r>
        <w:rPr>
          <w:rFonts w:hAnsi="宋体" w:cs="Times New Roman"/>
          <w:color w:val="auto"/>
          <w:highlight w:val="none"/>
        </w:rPr>
        <w:fldChar w:fldCharType="separate"/>
      </w:r>
      <w:r>
        <w:rPr>
          <w:rFonts w:hint="eastAsia" w:ascii="黑体" w:hAnsi="华文中宋" w:cs="宋体"/>
          <w:bCs w:val="0"/>
          <w:color w:val="auto"/>
          <w:spacing w:val="6"/>
          <w:kern w:val="0"/>
          <w:szCs w:val="21"/>
          <w:highlight w:val="none"/>
        </w:rPr>
        <w:t xml:space="preserve">附页 1 </w:t>
      </w:r>
      <w:r>
        <w:rPr>
          <w:rFonts w:hint="eastAsia" w:ascii="黑体" w:hAnsi="宋体"/>
          <w:color w:val="auto"/>
          <w:szCs w:val="21"/>
          <w:highlight w:val="none"/>
        </w:rPr>
        <w:t>优先采购产品清单</w:t>
      </w:r>
      <w:r>
        <w:rPr>
          <w:color w:val="auto"/>
          <w:highlight w:val="none"/>
        </w:rPr>
        <w:tab/>
      </w:r>
      <w:r>
        <w:rPr>
          <w:color w:val="auto"/>
          <w:highlight w:val="none"/>
        </w:rPr>
        <w:fldChar w:fldCharType="begin"/>
      </w:r>
      <w:r>
        <w:rPr>
          <w:color w:val="auto"/>
          <w:highlight w:val="none"/>
        </w:rPr>
        <w:instrText xml:space="preserve"> PAGEREF _Toc24272 \h </w:instrText>
      </w:r>
      <w:r>
        <w:rPr>
          <w:color w:val="auto"/>
          <w:highlight w:val="none"/>
        </w:rPr>
        <w:fldChar w:fldCharType="separate"/>
      </w:r>
      <w:r>
        <w:rPr>
          <w:color w:val="auto"/>
          <w:highlight w:val="none"/>
        </w:rPr>
        <w:t>86</w:t>
      </w:r>
      <w:r>
        <w:rPr>
          <w:color w:val="auto"/>
          <w:highlight w:val="none"/>
        </w:rPr>
        <w:fldChar w:fldCharType="end"/>
      </w:r>
      <w:r>
        <w:rPr>
          <w:rFonts w:hAnsi="宋体" w:cs="Times New Roman"/>
          <w:color w:val="auto"/>
          <w:highlight w:val="none"/>
        </w:rPr>
        <w:fldChar w:fldCharType="end"/>
      </w:r>
    </w:p>
    <w:p w14:paraId="35103989">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_Toc32736 </w:instrText>
      </w:r>
      <w:r>
        <w:rPr>
          <w:rFonts w:hAnsi="宋体" w:cs="Times New Roman"/>
          <w:color w:val="auto"/>
          <w:highlight w:val="none"/>
        </w:rPr>
        <w:fldChar w:fldCharType="separate"/>
      </w:r>
      <w:r>
        <w:rPr>
          <w:rFonts w:hint="eastAsia" w:ascii="黑体" w:hAnsi="宋体" w:eastAsia="黑体"/>
          <w:color w:val="auto"/>
          <w:szCs w:val="28"/>
          <w:highlight w:val="none"/>
        </w:rPr>
        <w:t>十、投标人软件符合招标文件规定的证明文件</w:t>
      </w:r>
      <w:r>
        <w:rPr>
          <w:color w:val="auto"/>
          <w:highlight w:val="none"/>
        </w:rPr>
        <w:tab/>
      </w:r>
      <w:r>
        <w:rPr>
          <w:color w:val="auto"/>
          <w:highlight w:val="none"/>
        </w:rPr>
        <w:fldChar w:fldCharType="begin"/>
      </w:r>
      <w:r>
        <w:rPr>
          <w:color w:val="auto"/>
          <w:highlight w:val="none"/>
        </w:rPr>
        <w:instrText xml:space="preserve"> PAGEREF _Toc32736 \h </w:instrText>
      </w:r>
      <w:r>
        <w:rPr>
          <w:color w:val="auto"/>
          <w:highlight w:val="none"/>
        </w:rPr>
        <w:fldChar w:fldCharType="separate"/>
      </w:r>
      <w:r>
        <w:rPr>
          <w:color w:val="auto"/>
          <w:highlight w:val="none"/>
        </w:rPr>
        <w:t>87</w:t>
      </w:r>
      <w:r>
        <w:rPr>
          <w:color w:val="auto"/>
          <w:highlight w:val="none"/>
        </w:rPr>
        <w:fldChar w:fldCharType="end"/>
      </w:r>
      <w:r>
        <w:rPr>
          <w:rFonts w:hAnsi="宋体" w:cs="Times New Roman"/>
          <w:color w:val="auto"/>
          <w:highlight w:val="none"/>
        </w:rPr>
        <w:fldChar w:fldCharType="end"/>
      </w:r>
    </w:p>
    <w:p w14:paraId="43A272F6">
      <w:pPr>
        <w:pStyle w:val="12"/>
        <w:tabs>
          <w:tab w:val="right" w:leader="dot" w:pos="8844"/>
        </w:tabs>
        <w:rPr>
          <w:color w:val="auto"/>
          <w:highlight w:val="none"/>
        </w:rPr>
      </w:pPr>
      <w:r>
        <w:rPr>
          <w:rFonts w:hAnsi="宋体" w:cs="Times New Roman"/>
          <w:color w:val="auto"/>
          <w:highlight w:val="none"/>
        </w:rPr>
        <w:fldChar w:fldCharType="begin"/>
      </w:r>
      <w:r>
        <w:rPr>
          <w:rFonts w:hAnsi="宋体" w:cs="Times New Roman"/>
          <w:color w:val="auto"/>
          <w:highlight w:val="none"/>
        </w:rPr>
        <w:instrText xml:space="preserve"> HYPERLINK \l _Toc1913 </w:instrText>
      </w:r>
      <w:r>
        <w:rPr>
          <w:rFonts w:hAnsi="宋体" w:cs="Times New Roman"/>
          <w:color w:val="auto"/>
          <w:highlight w:val="none"/>
        </w:rPr>
        <w:fldChar w:fldCharType="separate"/>
      </w:r>
      <w:r>
        <w:rPr>
          <w:rFonts w:hint="eastAsia" w:ascii="黑体" w:hAnsi="宋体" w:eastAsia="黑体"/>
          <w:color w:val="auto"/>
          <w:szCs w:val="28"/>
          <w:highlight w:val="none"/>
        </w:rPr>
        <w:t>十一、投标人认为需提供的其他资料</w:t>
      </w:r>
      <w:r>
        <w:rPr>
          <w:color w:val="auto"/>
          <w:highlight w:val="none"/>
        </w:rPr>
        <w:tab/>
      </w:r>
      <w:r>
        <w:rPr>
          <w:color w:val="auto"/>
          <w:highlight w:val="none"/>
        </w:rPr>
        <w:fldChar w:fldCharType="begin"/>
      </w:r>
      <w:r>
        <w:rPr>
          <w:color w:val="auto"/>
          <w:highlight w:val="none"/>
        </w:rPr>
        <w:instrText xml:space="preserve"> PAGEREF _Toc1913 \h </w:instrText>
      </w:r>
      <w:r>
        <w:rPr>
          <w:color w:val="auto"/>
          <w:highlight w:val="none"/>
        </w:rPr>
        <w:fldChar w:fldCharType="separate"/>
      </w:r>
      <w:r>
        <w:rPr>
          <w:color w:val="auto"/>
          <w:highlight w:val="none"/>
        </w:rPr>
        <w:t>88</w:t>
      </w:r>
      <w:r>
        <w:rPr>
          <w:color w:val="auto"/>
          <w:highlight w:val="none"/>
        </w:rPr>
        <w:fldChar w:fldCharType="end"/>
      </w:r>
      <w:r>
        <w:rPr>
          <w:rFonts w:hAnsi="宋体" w:cs="Times New Roman"/>
          <w:color w:val="auto"/>
          <w:highlight w:val="none"/>
        </w:rPr>
        <w:fldChar w:fldCharType="end"/>
      </w:r>
    </w:p>
    <w:p w14:paraId="7AA8447B">
      <w:pPr>
        <w:pStyle w:val="13"/>
        <w:adjustRightInd w:val="0"/>
        <w:snapToGrid w:val="0"/>
        <w:spacing w:line="360" w:lineRule="auto"/>
        <w:rPr>
          <w:rFonts w:hAnsi="宋体"/>
          <w:color w:val="auto"/>
          <w:highlight w:val="none"/>
        </w:rPr>
      </w:pPr>
      <w:r>
        <w:rPr>
          <w:rFonts w:hAnsi="宋体" w:cs="Times New Roman"/>
          <w:color w:val="auto"/>
          <w:highlight w:val="none"/>
        </w:rPr>
        <w:fldChar w:fldCharType="end"/>
      </w:r>
      <w:r>
        <w:rPr>
          <w:rFonts w:hAnsi="宋体"/>
          <w:color w:val="auto"/>
          <w:highlight w:val="none"/>
        </w:rPr>
        <w:t xml:space="preserve"> </w:t>
      </w:r>
    </w:p>
    <w:p w14:paraId="571AAF2E">
      <w:pPr>
        <w:pStyle w:val="13"/>
        <w:adjustRightInd w:val="0"/>
        <w:snapToGrid w:val="0"/>
        <w:spacing w:line="360" w:lineRule="auto"/>
        <w:rPr>
          <w:rFonts w:hAnsi="宋体"/>
          <w:color w:val="auto"/>
          <w:highlight w:val="none"/>
        </w:rPr>
      </w:pPr>
    </w:p>
    <w:p w14:paraId="1893D4AA">
      <w:pPr>
        <w:pStyle w:val="13"/>
        <w:adjustRightInd w:val="0"/>
        <w:snapToGrid w:val="0"/>
        <w:spacing w:line="360" w:lineRule="auto"/>
        <w:rPr>
          <w:rFonts w:hAnsi="宋体"/>
          <w:color w:val="auto"/>
          <w:highlight w:val="none"/>
        </w:rPr>
      </w:pPr>
    </w:p>
    <w:p w14:paraId="476B377F">
      <w:pPr>
        <w:pStyle w:val="13"/>
        <w:adjustRightInd w:val="0"/>
        <w:snapToGrid w:val="0"/>
        <w:spacing w:line="360" w:lineRule="auto"/>
        <w:rPr>
          <w:rFonts w:hAnsi="宋体"/>
          <w:color w:val="auto"/>
          <w:highlight w:val="none"/>
        </w:rPr>
      </w:pPr>
    </w:p>
    <w:p w14:paraId="4C9CC5D3">
      <w:pPr>
        <w:pStyle w:val="13"/>
        <w:adjustRightInd w:val="0"/>
        <w:snapToGrid w:val="0"/>
        <w:spacing w:line="360" w:lineRule="auto"/>
        <w:rPr>
          <w:rFonts w:hAnsi="宋体"/>
          <w:color w:val="auto"/>
          <w:highlight w:val="none"/>
        </w:rPr>
      </w:pPr>
    </w:p>
    <w:p w14:paraId="6648F9CB">
      <w:pPr>
        <w:pStyle w:val="13"/>
        <w:adjustRightInd w:val="0"/>
        <w:snapToGrid w:val="0"/>
        <w:spacing w:line="360" w:lineRule="auto"/>
        <w:rPr>
          <w:rFonts w:hAnsi="宋体"/>
          <w:color w:val="auto"/>
          <w:highlight w:val="none"/>
        </w:rPr>
      </w:pPr>
    </w:p>
    <w:p w14:paraId="56DC56D6">
      <w:pPr>
        <w:pStyle w:val="13"/>
        <w:adjustRightInd w:val="0"/>
        <w:snapToGrid w:val="0"/>
        <w:spacing w:line="360" w:lineRule="auto"/>
        <w:rPr>
          <w:rFonts w:hAnsi="宋体"/>
          <w:color w:val="auto"/>
          <w:highlight w:val="none"/>
        </w:rPr>
      </w:pPr>
    </w:p>
    <w:p w14:paraId="4F1BDD92">
      <w:pPr>
        <w:pStyle w:val="13"/>
        <w:adjustRightInd w:val="0"/>
        <w:snapToGrid w:val="0"/>
        <w:spacing w:line="360" w:lineRule="auto"/>
        <w:rPr>
          <w:rFonts w:hAnsi="宋体"/>
          <w:color w:val="auto"/>
          <w:highlight w:val="none"/>
        </w:rPr>
      </w:pPr>
    </w:p>
    <w:p w14:paraId="6434F9A8">
      <w:pPr>
        <w:pStyle w:val="13"/>
        <w:adjustRightInd w:val="0"/>
        <w:snapToGrid w:val="0"/>
        <w:spacing w:line="360" w:lineRule="auto"/>
        <w:rPr>
          <w:rFonts w:hAnsi="宋体"/>
          <w:color w:val="auto"/>
          <w:highlight w:val="none"/>
        </w:rPr>
      </w:pPr>
    </w:p>
    <w:p w14:paraId="1E71A02B">
      <w:pPr>
        <w:pStyle w:val="13"/>
        <w:adjustRightInd w:val="0"/>
        <w:snapToGrid w:val="0"/>
        <w:spacing w:line="360" w:lineRule="auto"/>
        <w:rPr>
          <w:rFonts w:hAnsi="宋体"/>
          <w:color w:val="auto"/>
          <w:highlight w:val="none"/>
        </w:rPr>
      </w:pPr>
    </w:p>
    <w:p w14:paraId="634FFC45">
      <w:pPr>
        <w:pStyle w:val="13"/>
        <w:adjustRightInd w:val="0"/>
        <w:snapToGrid w:val="0"/>
        <w:spacing w:line="360" w:lineRule="auto"/>
        <w:rPr>
          <w:rFonts w:hAnsi="宋体"/>
          <w:color w:val="auto"/>
          <w:highlight w:val="none"/>
        </w:rPr>
      </w:pPr>
    </w:p>
    <w:p w14:paraId="55607116">
      <w:pPr>
        <w:pStyle w:val="13"/>
        <w:adjustRightInd w:val="0"/>
        <w:snapToGrid w:val="0"/>
        <w:spacing w:line="360" w:lineRule="auto"/>
        <w:rPr>
          <w:rFonts w:hAnsi="宋体"/>
          <w:color w:val="auto"/>
          <w:highlight w:val="none"/>
        </w:rPr>
      </w:pPr>
    </w:p>
    <w:p w14:paraId="02411F85">
      <w:pPr>
        <w:pStyle w:val="13"/>
        <w:adjustRightInd w:val="0"/>
        <w:snapToGrid w:val="0"/>
        <w:spacing w:line="360" w:lineRule="auto"/>
        <w:rPr>
          <w:rFonts w:hAnsi="宋体"/>
          <w:color w:val="auto"/>
          <w:highlight w:val="none"/>
        </w:rPr>
      </w:pPr>
    </w:p>
    <w:p w14:paraId="305A5C3B">
      <w:pPr>
        <w:pStyle w:val="13"/>
        <w:adjustRightInd w:val="0"/>
        <w:snapToGrid w:val="0"/>
        <w:spacing w:line="360" w:lineRule="auto"/>
        <w:rPr>
          <w:rFonts w:hAnsi="宋体"/>
          <w:color w:val="auto"/>
          <w:highlight w:val="none"/>
        </w:rPr>
      </w:pPr>
    </w:p>
    <w:p w14:paraId="1B18B6ED">
      <w:pPr>
        <w:pStyle w:val="13"/>
        <w:adjustRightInd w:val="0"/>
        <w:snapToGrid w:val="0"/>
        <w:spacing w:line="360" w:lineRule="auto"/>
        <w:rPr>
          <w:rFonts w:hAnsi="宋体"/>
          <w:color w:val="auto"/>
          <w:highlight w:val="none"/>
        </w:rPr>
      </w:pPr>
    </w:p>
    <w:p w14:paraId="4EB53BCF">
      <w:pPr>
        <w:pStyle w:val="13"/>
        <w:adjustRightInd w:val="0"/>
        <w:snapToGrid w:val="0"/>
        <w:spacing w:line="360" w:lineRule="auto"/>
        <w:rPr>
          <w:rFonts w:hAnsi="宋体"/>
          <w:color w:val="auto"/>
          <w:highlight w:val="none"/>
        </w:rPr>
      </w:pPr>
    </w:p>
    <w:p w14:paraId="56955399">
      <w:pPr>
        <w:pStyle w:val="13"/>
        <w:adjustRightInd w:val="0"/>
        <w:snapToGrid w:val="0"/>
        <w:spacing w:line="360" w:lineRule="auto"/>
        <w:rPr>
          <w:rFonts w:hAnsi="宋体"/>
          <w:color w:val="auto"/>
          <w:highlight w:val="none"/>
        </w:rPr>
      </w:pPr>
    </w:p>
    <w:p w14:paraId="0C03E568">
      <w:pPr>
        <w:pStyle w:val="13"/>
        <w:adjustRightInd w:val="0"/>
        <w:snapToGrid w:val="0"/>
        <w:spacing w:line="360" w:lineRule="auto"/>
        <w:rPr>
          <w:rFonts w:hint="eastAsia" w:hAnsi="宋体"/>
          <w:color w:val="auto"/>
          <w:highlight w:val="none"/>
        </w:rPr>
      </w:pPr>
    </w:p>
    <w:p w14:paraId="7DC05141">
      <w:pPr>
        <w:pStyle w:val="13"/>
        <w:adjustRightInd w:val="0"/>
        <w:snapToGrid w:val="0"/>
        <w:spacing w:line="360" w:lineRule="auto"/>
        <w:rPr>
          <w:rFonts w:hAnsi="宋体"/>
          <w:color w:val="auto"/>
          <w:highlight w:val="none"/>
        </w:rPr>
      </w:pPr>
    </w:p>
    <w:p w14:paraId="430308D6">
      <w:pPr>
        <w:pStyle w:val="13"/>
        <w:adjustRightInd w:val="0"/>
        <w:snapToGrid w:val="0"/>
        <w:spacing w:line="360" w:lineRule="auto"/>
        <w:rPr>
          <w:rFonts w:hAnsi="宋体"/>
          <w:color w:val="auto"/>
          <w:highlight w:val="none"/>
        </w:rPr>
      </w:pPr>
    </w:p>
    <w:p w14:paraId="02FF9338">
      <w:pPr>
        <w:pStyle w:val="13"/>
        <w:adjustRightInd w:val="0"/>
        <w:snapToGrid w:val="0"/>
        <w:spacing w:line="360" w:lineRule="auto"/>
        <w:rPr>
          <w:rFonts w:hAnsi="宋体"/>
          <w:color w:val="auto"/>
          <w:highlight w:val="none"/>
        </w:rPr>
      </w:pPr>
    </w:p>
    <w:p w14:paraId="0536D243">
      <w:pPr>
        <w:pStyle w:val="13"/>
        <w:adjustRightInd w:val="0"/>
        <w:snapToGrid w:val="0"/>
        <w:spacing w:line="360" w:lineRule="auto"/>
        <w:rPr>
          <w:rFonts w:hAnsi="宋体"/>
          <w:color w:val="auto"/>
          <w:highlight w:val="none"/>
        </w:rPr>
      </w:pPr>
    </w:p>
    <w:p w14:paraId="0C4DB4BA">
      <w:pPr>
        <w:pStyle w:val="13"/>
        <w:adjustRightInd w:val="0"/>
        <w:snapToGrid w:val="0"/>
        <w:spacing w:line="360" w:lineRule="auto"/>
        <w:rPr>
          <w:rFonts w:hAnsi="宋体"/>
          <w:color w:val="auto"/>
          <w:highlight w:val="none"/>
        </w:rPr>
      </w:pPr>
    </w:p>
    <w:p w14:paraId="7D83A5D9">
      <w:pPr>
        <w:pStyle w:val="13"/>
        <w:adjustRightInd w:val="0"/>
        <w:snapToGrid w:val="0"/>
        <w:spacing w:line="360" w:lineRule="auto"/>
        <w:rPr>
          <w:rFonts w:hAnsi="宋体"/>
          <w:color w:val="auto"/>
          <w:highlight w:val="none"/>
        </w:rPr>
      </w:pPr>
    </w:p>
    <w:p w14:paraId="10FC8230">
      <w:pPr>
        <w:pStyle w:val="4"/>
        <w:rPr>
          <w:rFonts w:ascii="黑体" w:hAnsi="华文中宋" w:eastAsia="黑体"/>
          <w:color w:val="auto"/>
          <w:sz w:val="32"/>
          <w:szCs w:val="32"/>
          <w:highlight w:val="none"/>
        </w:rPr>
      </w:pPr>
      <w:bookmarkStart w:id="0" w:name="_Toc1987"/>
      <w:bookmarkStart w:id="1" w:name="_Toc35421027"/>
      <w:bookmarkStart w:id="2" w:name="_Toc34720698"/>
      <w:bookmarkStart w:id="3" w:name="_Toc53472201"/>
      <w:bookmarkStart w:id="4" w:name="_Toc20642243"/>
      <w:bookmarkStart w:id="5" w:name="_Toc20988241"/>
      <w:bookmarkStart w:id="6" w:name="_Toc21000471"/>
      <w:bookmarkStart w:id="7" w:name="_Toc20816073"/>
      <w:bookmarkStart w:id="8" w:name="_Toc21001314"/>
      <w:r>
        <w:rPr>
          <w:rFonts w:hint="eastAsia" w:ascii="黑体" w:hAnsi="华文中宋" w:eastAsia="黑体"/>
          <w:color w:val="auto"/>
          <w:sz w:val="32"/>
          <w:szCs w:val="32"/>
          <w:highlight w:val="none"/>
        </w:rPr>
        <w:t>第一章 投标邀请（公开招标）</w:t>
      </w:r>
      <w:bookmarkEnd w:id="0"/>
    </w:p>
    <w:p w14:paraId="098583A4">
      <w:pPr>
        <w:adjustRightInd w:val="0"/>
        <w:snapToGrid w:val="0"/>
        <w:spacing w:line="360" w:lineRule="auto"/>
        <w:ind w:firstLine="420" w:firstLineChars="200"/>
        <w:rPr>
          <w:rFonts w:ascii="宋体" w:hAnsi="宋体"/>
          <w:color w:val="auto"/>
          <w:szCs w:val="21"/>
          <w:highlight w:val="none"/>
          <w:u w:val="single"/>
        </w:rPr>
      </w:pPr>
    </w:p>
    <w:p w14:paraId="62331E5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lang w:eastAsia="zh-CN"/>
        </w:rPr>
        <w:t>双峰县水利局</w:t>
      </w:r>
      <w:r>
        <w:rPr>
          <w:rFonts w:hint="eastAsia" w:ascii="宋体" w:hAnsi="宋体"/>
          <w:color w:val="auto"/>
          <w:szCs w:val="21"/>
          <w:highlight w:val="none"/>
        </w:rPr>
        <w:t>（采购人名称）的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双峰县2024年度水库及堤防堤坝白蚁等害堤动物综合治理项目</w:t>
      </w:r>
      <w:r>
        <w:rPr>
          <w:rFonts w:hint="eastAsia" w:ascii="宋体" w:hAnsi="宋体"/>
          <w:color w:val="auto"/>
          <w:szCs w:val="21"/>
          <w:highlight w:val="none"/>
        </w:rPr>
        <w:t>(项目名称)进行公开招标采购，现邀请合格投标人参加投标。</w:t>
      </w:r>
    </w:p>
    <w:p w14:paraId="14CD2F91">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一、采购项目基本信息</w:t>
      </w:r>
    </w:p>
    <w:p w14:paraId="6B2FD1D0">
      <w:pPr>
        <w:adjustRightInd w:val="0"/>
        <w:snapToGrid w:val="0"/>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1、采购项目名称：</w:t>
      </w:r>
      <w:r>
        <w:rPr>
          <w:rFonts w:hint="eastAsia" w:ascii="宋体" w:hAnsi="宋体"/>
          <w:color w:val="auto"/>
          <w:szCs w:val="21"/>
          <w:highlight w:val="none"/>
          <w:u w:val="single"/>
          <w:lang w:eastAsia="zh-CN"/>
        </w:rPr>
        <w:t>双峰县2024年度水库及堤防堤坝白蚁等害堤动物综合治理项目</w:t>
      </w:r>
    </w:p>
    <w:p w14:paraId="383DC0E1">
      <w:pPr>
        <w:adjustRightInd w:val="0"/>
        <w:snapToGrid w:val="0"/>
        <w:spacing w:line="360" w:lineRule="auto"/>
        <w:ind w:firstLine="420" w:firstLineChars="200"/>
        <w:rPr>
          <w:rFonts w:hint="eastAsia" w:ascii="宋体" w:hAnsi="宋体" w:eastAsia="宋体"/>
          <w:color w:val="auto"/>
          <w:szCs w:val="21"/>
          <w:highlight w:val="none"/>
          <w:u w:val="single"/>
          <w:lang w:val="en-US" w:eastAsia="zh-CN"/>
        </w:rPr>
      </w:pPr>
      <w:r>
        <w:rPr>
          <w:rFonts w:hint="eastAsia" w:ascii="宋体" w:hAnsi="宋体"/>
          <w:color w:val="auto"/>
          <w:szCs w:val="21"/>
          <w:highlight w:val="none"/>
        </w:rPr>
        <w:t>2、政府采购计划编号：</w:t>
      </w:r>
      <w:r>
        <w:rPr>
          <w:rFonts w:hint="eastAsia" w:ascii="宋体" w:hAnsi="宋体"/>
          <w:color w:val="auto"/>
          <w:szCs w:val="21"/>
          <w:highlight w:val="none"/>
          <w:u w:val="single"/>
          <w:lang w:eastAsia="zh-CN"/>
        </w:rPr>
        <w:t>双峰财采计【2025】0045</w:t>
      </w:r>
    </w:p>
    <w:p w14:paraId="63CBF614">
      <w:pPr>
        <w:adjustRightInd w:val="0"/>
        <w:snapToGrid w:val="0"/>
        <w:spacing w:line="360" w:lineRule="auto"/>
        <w:ind w:firstLine="420" w:firstLineChars="200"/>
        <w:rPr>
          <w:rFonts w:ascii="宋体" w:hAnsi="宋体"/>
          <w:i/>
          <w:color w:val="auto"/>
          <w:szCs w:val="21"/>
          <w:highlight w:val="none"/>
        </w:rPr>
      </w:pPr>
      <w:r>
        <w:rPr>
          <w:rFonts w:hint="eastAsia" w:ascii="宋体" w:hAnsi="宋体"/>
          <w:color w:val="auto"/>
          <w:szCs w:val="21"/>
          <w:highlight w:val="none"/>
        </w:rPr>
        <w:t>3、委托代理编号：</w:t>
      </w:r>
      <w:r>
        <w:rPr>
          <w:rFonts w:hint="eastAsia" w:ascii="宋体" w:hAnsi="宋体"/>
          <w:color w:val="auto"/>
          <w:szCs w:val="21"/>
          <w:highlight w:val="none"/>
          <w:u w:val="single"/>
          <w:lang w:eastAsia="zh-CN"/>
        </w:rPr>
        <w:t>XNZX-2025ZB003</w:t>
      </w:r>
      <w:r>
        <w:rPr>
          <w:rFonts w:ascii="宋体" w:hAnsi="宋体"/>
          <w:color w:val="auto"/>
          <w:szCs w:val="21"/>
          <w:highlight w:val="none"/>
          <w:u w:val="single"/>
        </w:rPr>
        <w:t xml:space="preserve">  </w:t>
      </w:r>
    </w:p>
    <w:p w14:paraId="4A53457C">
      <w:pPr>
        <w:adjustRightInd w:val="0"/>
        <w:snapToGrid w:val="0"/>
        <w:spacing w:line="360" w:lineRule="auto"/>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4、采购项目预算：</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eastAsia="zh-CN"/>
        </w:rPr>
        <w:t>2211580.00</w:t>
      </w:r>
      <w:r>
        <w:rPr>
          <w:rFonts w:hint="eastAsia" w:ascii="宋体" w:hAnsi="宋体"/>
          <w:bCs/>
          <w:color w:val="auto"/>
          <w:szCs w:val="21"/>
          <w:highlight w:val="none"/>
          <w:u w:val="single"/>
          <w:lang w:val="en-US" w:eastAsia="zh-CN"/>
        </w:rPr>
        <w:t>元</w:t>
      </w:r>
      <w:r>
        <w:rPr>
          <w:rFonts w:hint="eastAsia" w:ascii="宋体" w:hAnsi="宋体"/>
          <w:bCs/>
          <w:color w:val="auto"/>
          <w:szCs w:val="21"/>
          <w:highlight w:val="none"/>
          <w:u w:val="single"/>
        </w:rPr>
        <w:t>。</w:t>
      </w:r>
    </w:p>
    <w:p w14:paraId="47939276">
      <w:pPr>
        <w:adjustRightInd w:val="0"/>
        <w:snapToGrid w:val="0"/>
        <w:spacing w:line="360" w:lineRule="auto"/>
        <w:ind w:firstLine="735" w:firstLineChars="350"/>
        <w:rPr>
          <w:rFonts w:ascii="宋体" w:hAnsi="宋体"/>
          <w:bCs/>
          <w:color w:val="auto"/>
          <w:szCs w:val="21"/>
          <w:highlight w:val="none"/>
          <w:u w:val="single"/>
        </w:rPr>
      </w:pP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支持</w:t>
      </w:r>
      <w:r>
        <w:rPr>
          <w:rFonts w:hint="eastAsia" w:ascii="宋体" w:hAnsi="宋体"/>
          <w:bCs/>
          <w:color w:val="auto"/>
          <w:szCs w:val="21"/>
          <w:highlight w:val="none"/>
        </w:rPr>
        <w:t>预付款，预付比例：</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w:t>
      </w:r>
      <w:r>
        <w:rPr>
          <w:rFonts w:hint="eastAsia" w:ascii="宋体" w:hAnsi="宋体"/>
          <w:bCs/>
          <w:color w:val="auto"/>
          <w:szCs w:val="21"/>
          <w:highlight w:val="none"/>
          <w:u w:val="single"/>
        </w:rPr>
        <w:t xml:space="preserve">   </w:t>
      </w:r>
    </w:p>
    <w:p w14:paraId="014C3354">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5、本项目</w:t>
      </w:r>
      <w:r>
        <w:rPr>
          <w:rFonts w:hint="eastAsia" w:ascii="宋体" w:hAnsi="宋体"/>
          <w:color w:val="auto"/>
          <w:szCs w:val="21"/>
          <w:highlight w:val="none"/>
        </w:rPr>
        <w:t>对应的中小企业划分标准所属行业：</w:t>
      </w:r>
      <w:r>
        <w:rPr>
          <w:rFonts w:hint="eastAsia" w:ascii="宋体" w:hAnsi="宋体"/>
          <w:color w:val="auto"/>
          <w:szCs w:val="21"/>
          <w:highlight w:val="none"/>
          <w:u w:val="single"/>
          <w:lang w:eastAsia="zh-CN"/>
        </w:rPr>
        <w:t>其他未列明行业</w:t>
      </w:r>
      <w:r>
        <w:rPr>
          <w:rFonts w:hint="eastAsia" w:ascii="宋体" w:hAnsi="宋体"/>
          <w:color w:val="auto"/>
          <w:szCs w:val="21"/>
          <w:highlight w:val="none"/>
          <w:u w:val="single"/>
        </w:rPr>
        <w:t xml:space="preserve"> </w:t>
      </w:r>
    </w:p>
    <w:p w14:paraId="3CA85C56">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6、评标方法：</w:t>
      </w:r>
      <w:r>
        <w:rPr>
          <w:rFonts w:hint="eastAsia" w:ascii="黑体" w:hAnsi="黑体" w:eastAsia="黑体"/>
          <w:b/>
          <w:iCs/>
          <w:color w:val="auto"/>
          <w:sz w:val="24"/>
          <w:highlight w:val="none"/>
        </w:rPr>
        <w:sym w:font="Wingdings" w:char="00FE"/>
      </w:r>
      <w:r>
        <w:rPr>
          <w:rFonts w:hint="eastAsia" w:ascii="宋体" w:hAnsi="宋体"/>
          <w:iCs/>
          <w:color w:val="auto"/>
          <w:szCs w:val="21"/>
          <w:highlight w:val="none"/>
        </w:rPr>
        <w:t xml:space="preserve">综合评分法  </w:t>
      </w:r>
      <w:r>
        <w:rPr>
          <w:rFonts w:ascii="宋体" w:hAnsi="宋体"/>
          <w:iCs/>
          <w:color w:val="auto"/>
          <w:szCs w:val="21"/>
          <w:highlight w:val="none"/>
        </w:rPr>
        <w:t xml:space="preserve">   </w:t>
      </w: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最低评标价法</w:t>
      </w:r>
    </w:p>
    <w:p w14:paraId="5E49B3DC">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7、合同定价方式</w:t>
      </w:r>
      <w:r>
        <w:rPr>
          <w:rFonts w:hint="eastAsia" w:ascii="宋体" w:hAnsi="宋体"/>
          <w:iCs/>
          <w:color w:val="auto"/>
          <w:szCs w:val="21"/>
          <w:highlight w:val="none"/>
        </w:rPr>
        <w:t>：</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黑体" w:hAnsi="黑体" w:eastAsia="黑体"/>
          <w:b/>
          <w:iCs/>
          <w:color w:val="auto"/>
          <w:sz w:val="24"/>
          <w:highlight w:val="none"/>
        </w:rPr>
        <w:sym w:font="Wingdings" w:char="00FE"/>
      </w:r>
      <w:r>
        <w:rPr>
          <w:rFonts w:hint="eastAsia" w:ascii="宋体" w:hAnsi="宋体"/>
          <w:iCs/>
          <w:color w:val="auto"/>
          <w:szCs w:val="21"/>
          <w:highlight w:val="none"/>
        </w:rPr>
        <w:t>固定单价</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绩效激励</w:t>
      </w:r>
    </w:p>
    <w:p w14:paraId="2A66B851">
      <w:pPr>
        <w:adjustRightInd w:val="0"/>
        <w:snapToGrid w:val="0"/>
        <w:spacing w:line="360" w:lineRule="auto"/>
        <w:ind w:firstLine="420" w:firstLineChars="200"/>
        <w:rPr>
          <w:rFonts w:ascii="宋体" w:hAnsi="宋体"/>
          <w:bCs/>
          <w:color w:val="auto"/>
          <w:szCs w:val="21"/>
          <w:highlight w:val="none"/>
          <w:u w:val="single"/>
        </w:rPr>
      </w:pPr>
      <w:r>
        <w:rPr>
          <w:rFonts w:hint="eastAsia" w:ascii="宋体" w:hAnsi="宋体"/>
          <w:bCs/>
          <w:color w:val="auto"/>
          <w:szCs w:val="21"/>
          <w:highlight w:val="none"/>
        </w:rPr>
        <w:t>8、</w:t>
      </w:r>
      <w:r>
        <w:rPr>
          <w:rFonts w:hint="eastAsia" w:ascii="宋体" w:hAnsi="宋体"/>
          <w:bCs/>
          <w:color w:val="auto"/>
          <w:szCs w:val="21"/>
          <w:highlight w:val="none"/>
          <w:lang w:val="en-US" w:eastAsia="zh-CN"/>
        </w:rPr>
        <w:t>服务期限</w:t>
      </w:r>
      <w:r>
        <w:rPr>
          <w:rFonts w:hint="eastAsia" w:ascii="宋体" w:hAnsi="宋体"/>
          <w:bCs/>
          <w:color w:val="auto"/>
          <w:szCs w:val="21"/>
          <w:highlight w:val="none"/>
        </w:rPr>
        <w:t>：</w:t>
      </w:r>
      <w:r>
        <w:rPr>
          <w:rFonts w:hint="eastAsia" w:ascii="宋体" w:hAnsi="宋体"/>
          <w:bCs/>
          <w:color w:val="auto"/>
          <w:szCs w:val="21"/>
          <w:highlight w:val="none"/>
          <w:u w:val="single"/>
          <w:lang w:val="en-US" w:eastAsia="zh-CN"/>
        </w:rPr>
        <w:t>120日历天内。</w:t>
      </w:r>
      <w:r>
        <w:rPr>
          <w:rFonts w:hint="eastAsia" w:ascii="宋体" w:hAnsi="宋体"/>
          <w:bCs/>
          <w:color w:val="auto"/>
          <w:szCs w:val="21"/>
          <w:highlight w:val="none"/>
          <w:u w:val="single"/>
        </w:rPr>
        <w:t xml:space="preserve"> </w:t>
      </w:r>
    </w:p>
    <w:p w14:paraId="356898C5">
      <w:pPr>
        <w:pStyle w:val="47"/>
        <w:rPr>
          <w:color w:val="auto"/>
          <w:highlight w:val="none"/>
        </w:rPr>
      </w:pPr>
      <w:r>
        <w:rPr>
          <w:rFonts w:hint="eastAsia" w:ascii="宋体" w:hAnsi="宋体"/>
          <w:bCs/>
          <w:color w:val="auto"/>
          <w:highlight w:val="none"/>
        </w:rPr>
        <w:t>9、</w:t>
      </w:r>
      <w:r>
        <w:rPr>
          <w:rFonts w:hint="eastAsia"/>
          <w:color w:val="auto"/>
          <w:highlight w:val="none"/>
        </w:rPr>
        <w:t>本项目分阶段要求投标人提供以下保证：</w:t>
      </w:r>
    </w:p>
    <w:p w14:paraId="7C873FE9">
      <w:pPr>
        <w:pStyle w:val="47"/>
        <w:spacing w:line="360" w:lineRule="auto"/>
        <w:ind w:left="630" w:leftChars="300" w:firstLine="0" w:firstLineChars="0"/>
        <w:rPr>
          <w:rFonts w:hint="default" w:ascii="宋体" w:hAnsi="宋体" w:eastAsia="宋体"/>
          <w:iCs/>
          <w:color w:val="auto"/>
          <w:highlight w:val="none"/>
          <w:lang w:val="en-US" w:eastAsia="zh-CN"/>
        </w:rPr>
      </w:pPr>
      <w:r>
        <w:rPr>
          <w:rFonts w:hint="eastAsia" w:ascii="宋体" w:hAnsi="宋体"/>
          <w:iCs/>
          <w:color w:val="auto"/>
          <w:highlight w:val="none"/>
        </w:rPr>
        <w:sym w:font="Wingdings" w:char="00A8"/>
      </w:r>
      <w:r>
        <w:rPr>
          <w:rFonts w:ascii="宋体" w:hAnsi="宋体"/>
          <w:iCs/>
          <w:color w:val="auto"/>
          <w:highlight w:val="none"/>
        </w:rPr>
        <w:t xml:space="preserve"> </w:t>
      </w:r>
      <w:r>
        <w:rPr>
          <w:rFonts w:hint="eastAsia" w:ascii="宋体" w:hAnsi="宋体"/>
          <w:color w:val="auto"/>
          <w:highlight w:val="none"/>
        </w:rPr>
        <w:t>履约保证金：</w:t>
      </w:r>
      <w:r>
        <w:rPr>
          <w:rFonts w:hint="eastAsia" w:ascii="宋体" w:hAnsi="宋体"/>
          <w:color w:val="auto"/>
          <w:highlight w:val="none"/>
          <w:u w:val="single"/>
          <w:lang w:val="en-US" w:eastAsia="zh-CN"/>
        </w:rPr>
        <w:t xml:space="preserve"> / </w:t>
      </w:r>
    </w:p>
    <w:p w14:paraId="76F0A26D">
      <w:pPr>
        <w:pStyle w:val="47"/>
        <w:spacing w:line="360" w:lineRule="auto"/>
        <w:ind w:left="630" w:leftChars="300" w:firstLine="0" w:firstLineChars="0"/>
        <w:rPr>
          <w:rFonts w:hint="eastAsia" w:ascii="宋体" w:hAnsi="宋体"/>
          <w:iCs/>
          <w:color w:val="auto"/>
          <w:highlight w:val="none"/>
        </w:rPr>
      </w:pPr>
      <w:r>
        <w:rPr>
          <w:rFonts w:hint="eastAsia" w:ascii="宋体" w:hAnsi="宋体"/>
          <w:iCs/>
          <w:color w:val="auto"/>
          <w:highlight w:val="none"/>
        </w:rPr>
        <w:sym w:font="Wingdings" w:char="00A8"/>
      </w:r>
      <w:r>
        <w:rPr>
          <w:rFonts w:ascii="宋体" w:hAnsi="宋体"/>
          <w:iCs/>
          <w:color w:val="auto"/>
          <w:highlight w:val="none"/>
        </w:rPr>
        <w:t xml:space="preserve"> </w:t>
      </w:r>
      <w:r>
        <w:rPr>
          <w:rFonts w:hint="eastAsia" w:ascii="宋体" w:hAnsi="宋体"/>
          <w:iCs/>
          <w:color w:val="auto"/>
          <w:highlight w:val="none"/>
        </w:rPr>
        <w:t>预付款保证金：预付款的</w:t>
      </w:r>
      <w:r>
        <w:rPr>
          <w:rFonts w:hint="eastAsia" w:ascii="宋体" w:hAnsi="宋体"/>
          <w:iCs/>
          <w:color w:val="auto"/>
          <w:highlight w:val="none"/>
          <w:u w:val="single"/>
        </w:rPr>
        <w:t xml:space="preserve"> </w:t>
      </w:r>
      <w:r>
        <w:rPr>
          <w:rFonts w:ascii="宋体" w:hAnsi="宋体"/>
          <w:iCs/>
          <w:color w:val="auto"/>
          <w:highlight w:val="none"/>
          <w:u w:val="single"/>
        </w:rPr>
        <w:t xml:space="preserve">/  </w:t>
      </w:r>
    </w:p>
    <w:p w14:paraId="0A455A38">
      <w:pPr>
        <w:adjustRightInd w:val="0"/>
        <w:snapToGrid w:val="0"/>
        <w:spacing w:line="360" w:lineRule="auto"/>
        <w:ind w:leftChars="300"/>
        <w:rPr>
          <w:rFonts w:hint="eastAsia" w:ascii="宋体" w:hAnsi="宋体"/>
          <w:iCs/>
          <w:color w:val="auto"/>
          <w:highlight w:val="none"/>
        </w:rPr>
      </w:pPr>
      <w:r>
        <w:rPr>
          <w:rFonts w:hint="eastAsia" w:ascii="宋体" w:hAnsi="宋体"/>
          <w:iCs/>
          <w:color w:val="auto"/>
          <w:highlight w:val="none"/>
        </w:rPr>
        <w:sym w:font="Wingdings" w:char="00A8"/>
      </w:r>
      <w:r>
        <w:rPr>
          <w:rFonts w:ascii="宋体" w:hAnsi="宋体"/>
          <w:iCs/>
          <w:color w:val="auto"/>
          <w:highlight w:val="none"/>
        </w:rPr>
        <w:t xml:space="preserve"> </w:t>
      </w:r>
      <w:r>
        <w:rPr>
          <w:rFonts w:hint="eastAsia" w:ascii="宋体" w:hAnsi="宋体"/>
          <w:iCs/>
          <w:color w:val="auto"/>
          <w:highlight w:val="none"/>
        </w:rPr>
        <w:t>质量保证金：合同金额的</w:t>
      </w:r>
      <w:r>
        <w:rPr>
          <w:rFonts w:hint="eastAsia" w:ascii="宋体" w:hAnsi="宋体"/>
          <w:iCs/>
          <w:color w:val="auto"/>
          <w:highlight w:val="none"/>
          <w:u w:val="single"/>
        </w:rPr>
        <w:t xml:space="preserve"> </w:t>
      </w:r>
      <w:r>
        <w:rPr>
          <w:rFonts w:ascii="宋体" w:hAnsi="宋体"/>
          <w:iCs/>
          <w:color w:val="auto"/>
          <w:highlight w:val="none"/>
          <w:u w:val="single"/>
        </w:rPr>
        <w:t>/</w:t>
      </w:r>
      <w:r>
        <w:rPr>
          <w:rFonts w:hint="eastAsia" w:ascii="宋体" w:hAnsi="宋体"/>
          <w:iCs/>
          <w:color w:val="auto"/>
          <w:highlight w:val="none"/>
          <w:u w:val="single"/>
        </w:rPr>
        <w:t xml:space="preserve"> </w:t>
      </w:r>
      <w:r>
        <w:rPr>
          <w:rFonts w:hint="eastAsia" w:ascii="宋体" w:hAnsi="宋体"/>
          <w:iCs/>
          <w:color w:val="auto"/>
          <w:highlight w:val="none"/>
        </w:rPr>
        <w:t>%。</w:t>
      </w:r>
    </w:p>
    <w:p w14:paraId="36E35466">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二、采购人的采购需求</w:t>
      </w:r>
    </w:p>
    <w:tbl>
      <w:tblPr>
        <w:tblStyle w:val="26"/>
        <w:tblW w:w="1026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14"/>
        <w:gridCol w:w="1926"/>
        <w:gridCol w:w="4213"/>
        <w:gridCol w:w="920"/>
        <w:gridCol w:w="1039"/>
        <w:gridCol w:w="1093"/>
        <w:gridCol w:w="655"/>
      </w:tblGrid>
      <w:tr w14:paraId="1DE04B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67" w:hRule="atLeast"/>
          <w:jc w:val="center"/>
        </w:trPr>
        <w:tc>
          <w:tcPr>
            <w:tcW w:w="414" w:type="dxa"/>
            <w:noWrap w:val="0"/>
            <w:vAlign w:val="center"/>
          </w:tcPr>
          <w:p w14:paraId="203E5BA3">
            <w:pPr>
              <w:adjustRightInd w:val="0"/>
              <w:snapToGrid w:val="0"/>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包号</w:t>
            </w:r>
          </w:p>
        </w:tc>
        <w:tc>
          <w:tcPr>
            <w:tcW w:w="1926" w:type="dxa"/>
            <w:tcBorders>
              <w:left w:val="single" w:color="auto" w:sz="4" w:space="0"/>
            </w:tcBorders>
            <w:noWrap w:val="0"/>
            <w:vAlign w:val="center"/>
          </w:tcPr>
          <w:p w14:paraId="38E8380A">
            <w:pPr>
              <w:adjustRightInd w:val="0"/>
              <w:snapToGrid w:val="0"/>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标的（包）名称</w:t>
            </w:r>
          </w:p>
        </w:tc>
        <w:tc>
          <w:tcPr>
            <w:tcW w:w="4213" w:type="dxa"/>
            <w:tcBorders>
              <w:left w:val="single" w:color="auto" w:sz="4" w:space="0"/>
            </w:tcBorders>
            <w:noWrap w:val="0"/>
            <w:vAlign w:val="center"/>
          </w:tcPr>
          <w:p w14:paraId="2C6597EA">
            <w:pPr>
              <w:adjustRightInd w:val="0"/>
              <w:snapToGrid w:val="0"/>
              <w:jc w:val="center"/>
              <w:rPr>
                <w:rFonts w:ascii="宋体" w:hAnsi="宋体" w:eastAsia="宋体" w:cs="宋体"/>
                <w:color w:val="auto"/>
                <w:kern w:val="0"/>
                <w:szCs w:val="21"/>
                <w:highlight w:val="none"/>
              </w:rPr>
            </w:pPr>
            <w:r>
              <w:rPr>
                <w:rFonts w:hint="eastAsia" w:ascii="Times New Roman" w:hAnsi="Times New Roman" w:eastAsia="宋体" w:cs="Times New Roman"/>
                <w:color w:val="auto"/>
                <w:szCs w:val="21"/>
                <w:highlight w:val="none"/>
              </w:rPr>
              <w:t>简要技术要求</w:t>
            </w:r>
          </w:p>
        </w:tc>
        <w:tc>
          <w:tcPr>
            <w:tcW w:w="920" w:type="dxa"/>
            <w:noWrap w:val="0"/>
            <w:vAlign w:val="center"/>
          </w:tcPr>
          <w:p w14:paraId="73724C67">
            <w:pPr>
              <w:adjustRightInd w:val="0"/>
              <w:snapToGrid w:val="0"/>
              <w:jc w:val="center"/>
              <w:rPr>
                <w:rFonts w:hint="eastAsia" w:ascii="Times New Roman" w:hAnsi="Times New Roman" w:eastAsia="宋体" w:cs="Times New Roman"/>
                <w:color w:val="auto"/>
                <w:highlight w:val="none"/>
              </w:rPr>
            </w:pPr>
            <w:r>
              <w:rPr>
                <w:rFonts w:hint="eastAsia" w:ascii="宋体" w:hAnsi="宋体" w:eastAsia="宋体" w:cs="Times New Roman"/>
                <w:bCs/>
                <w:color w:val="auto"/>
                <w:szCs w:val="21"/>
                <w:highlight w:val="none"/>
                <w:lang w:val="en-US" w:eastAsia="zh-CN"/>
              </w:rPr>
              <w:t>服务期限</w:t>
            </w:r>
          </w:p>
        </w:tc>
        <w:tc>
          <w:tcPr>
            <w:tcW w:w="1039" w:type="dxa"/>
            <w:noWrap w:val="0"/>
            <w:vAlign w:val="center"/>
          </w:tcPr>
          <w:p w14:paraId="29CE0376">
            <w:pPr>
              <w:adjustRightInd w:val="0"/>
              <w:snapToGrid w:val="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rPr>
              <w:t>标的预算</w:t>
            </w:r>
          </w:p>
        </w:tc>
        <w:tc>
          <w:tcPr>
            <w:tcW w:w="1093" w:type="dxa"/>
            <w:noWrap w:val="0"/>
            <w:vAlign w:val="center"/>
          </w:tcPr>
          <w:p w14:paraId="2B02DB5E">
            <w:pPr>
              <w:adjustRightInd w:val="0"/>
              <w:snapToGrid w:val="0"/>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最高限价</w:t>
            </w:r>
          </w:p>
        </w:tc>
        <w:tc>
          <w:tcPr>
            <w:tcW w:w="655" w:type="dxa"/>
            <w:noWrap w:val="0"/>
            <w:vAlign w:val="center"/>
          </w:tcPr>
          <w:p w14:paraId="5242CD84">
            <w:pPr>
              <w:adjustRightInd w:val="0"/>
              <w:snapToGrid w:val="0"/>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进口产品</w:t>
            </w:r>
          </w:p>
        </w:tc>
      </w:tr>
      <w:tr w14:paraId="0447D2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707" w:hRule="atLeast"/>
          <w:jc w:val="center"/>
        </w:trPr>
        <w:tc>
          <w:tcPr>
            <w:tcW w:w="414" w:type="dxa"/>
            <w:noWrap w:val="0"/>
            <w:vAlign w:val="center"/>
          </w:tcPr>
          <w:p w14:paraId="7161C089">
            <w:pPr>
              <w:adjustRightInd w:val="0"/>
              <w:snapToGrid w:val="0"/>
              <w:spacing w:before="156" w:beforeLines="50" w:line="360" w:lineRule="auto"/>
              <w:jc w:val="center"/>
              <w:rPr>
                <w:rFonts w:hint="eastAsia"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lang w:val="en-US" w:eastAsia="zh-CN"/>
              </w:rPr>
              <w:t>1</w:t>
            </w:r>
          </w:p>
          <w:p w14:paraId="332AF543">
            <w:pPr>
              <w:adjustRightInd w:val="0"/>
              <w:snapToGrid w:val="0"/>
              <w:spacing w:before="156" w:beforeLines="50" w:line="360" w:lineRule="auto"/>
              <w:jc w:val="center"/>
              <w:rPr>
                <w:rFonts w:ascii="Times New Roman" w:hAnsi="Times New Roman" w:eastAsia="宋体" w:cs="Times New Roman"/>
                <w:color w:val="auto"/>
                <w:sz w:val="20"/>
                <w:szCs w:val="20"/>
                <w:highlight w:val="none"/>
              </w:rPr>
            </w:pPr>
          </w:p>
        </w:tc>
        <w:tc>
          <w:tcPr>
            <w:tcW w:w="1926" w:type="dxa"/>
            <w:tcBorders>
              <w:left w:val="single" w:color="auto" w:sz="4" w:space="0"/>
            </w:tcBorders>
            <w:noWrap w:val="0"/>
            <w:vAlign w:val="top"/>
          </w:tcPr>
          <w:p w14:paraId="7910C82F">
            <w:pPr>
              <w:adjustRightInd w:val="0"/>
              <w:snapToGrid w:val="0"/>
              <w:spacing w:before="156" w:beforeLines="50" w:line="360" w:lineRule="auto"/>
              <w:rPr>
                <w:rFonts w:hint="eastAsia" w:ascii="Times New Roman" w:hAnsi="Times New Roman" w:eastAsia="宋体" w:cs="Times New Roman"/>
                <w:color w:val="auto"/>
                <w:sz w:val="20"/>
                <w:szCs w:val="20"/>
                <w:highlight w:val="none"/>
              </w:rPr>
            </w:pPr>
            <w:r>
              <w:rPr>
                <w:rFonts w:hint="eastAsia" w:cs="Times New Roman"/>
                <w:color w:val="auto"/>
                <w:sz w:val="20"/>
                <w:szCs w:val="20"/>
                <w:highlight w:val="none"/>
                <w:lang w:eastAsia="zh-CN"/>
              </w:rPr>
              <w:t>双峰县2024年度水库及堤防堤坝白蚁等害堤动物综合治理项目</w:t>
            </w:r>
          </w:p>
        </w:tc>
        <w:tc>
          <w:tcPr>
            <w:tcW w:w="4213" w:type="dxa"/>
            <w:tcBorders>
              <w:left w:val="single" w:color="auto" w:sz="4" w:space="0"/>
            </w:tcBorders>
            <w:noWrap w:val="0"/>
            <w:vAlign w:val="top"/>
          </w:tcPr>
          <w:p w14:paraId="452FEDF4">
            <w:pPr>
              <w:adjustRightInd w:val="0"/>
              <w:snapToGrid w:val="0"/>
              <w:spacing w:before="156" w:beforeLines="50" w:line="360" w:lineRule="auto"/>
              <w:rPr>
                <w:rFonts w:hint="eastAsia" w:ascii="Times New Roman" w:hAnsi="Times New Roman" w:eastAsia="宋体" w:cs="Times New Roman"/>
                <w:color w:val="auto"/>
                <w:sz w:val="20"/>
                <w:szCs w:val="20"/>
                <w:highlight w:val="none"/>
              </w:rPr>
            </w:pPr>
            <w:r>
              <w:rPr>
                <w:rFonts w:hint="eastAsia" w:ascii="宋体" w:hAnsi="宋体" w:cs="Times New Roman"/>
                <w:color w:val="auto"/>
                <w:szCs w:val="21"/>
                <w:highlight w:val="none"/>
                <w:lang w:eastAsia="zh-CN"/>
              </w:rPr>
              <w:t>本项目为双峰县2024年水库及堤防堤坝白蚁等害堤动物综合治理项目，包含</w:t>
            </w:r>
            <w:r>
              <w:rPr>
                <w:rFonts w:hint="eastAsia" w:ascii="宋体" w:hAnsi="宋体" w:cs="Times New Roman"/>
                <w:color w:val="auto"/>
                <w:szCs w:val="21"/>
                <w:highlight w:val="none"/>
                <w:lang w:val="en-US" w:eastAsia="zh-CN"/>
              </w:rPr>
              <w:t>对</w:t>
            </w:r>
            <w:r>
              <w:rPr>
                <w:rFonts w:hint="eastAsia" w:ascii="宋体" w:hAnsi="宋体" w:cs="Times New Roman"/>
                <w:color w:val="auto"/>
                <w:szCs w:val="21"/>
                <w:highlight w:val="none"/>
                <w:lang w:eastAsia="zh-CN"/>
              </w:rPr>
              <w:t>117座水库、53.8km堤防白蚁等害堤动物综合治理。</w:t>
            </w:r>
            <w:r>
              <w:rPr>
                <w:rFonts w:hint="eastAsia" w:ascii="Times New Roman" w:hAnsi="Times New Roman" w:eastAsia="宋体" w:cs="Times New Roman"/>
                <w:color w:val="auto"/>
                <w:sz w:val="20"/>
                <w:szCs w:val="20"/>
                <w:highlight w:val="none"/>
              </w:rPr>
              <w:t>具体内容详见第五章采购需求。</w:t>
            </w:r>
          </w:p>
        </w:tc>
        <w:tc>
          <w:tcPr>
            <w:tcW w:w="920" w:type="dxa"/>
            <w:noWrap w:val="0"/>
            <w:vAlign w:val="center"/>
          </w:tcPr>
          <w:p w14:paraId="779A6163">
            <w:pPr>
              <w:adjustRightInd w:val="0"/>
              <w:snapToGrid w:val="0"/>
              <w:spacing w:before="156" w:beforeLines="50"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120日历天内。</w:t>
            </w:r>
          </w:p>
        </w:tc>
        <w:tc>
          <w:tcPr>
            <w:tcW w:w="1039" w:type="dxa"/>
            <w:noWrap w:val="0"/>
            <w:vAlign w:val="center"/>
          </w:tcPr>
          <w:p w14:paraId="3AAA34D7">
            <w:pPr>
              <w:adjustRightInd w:val="0"/>
              <w:snapToGrid w:val="0"/>
              <w:spacing w:before="156" w:beforeLines="50" w:line="360" w:lineRule="auto"/>
              <w:rPr>
                <w:rFonts w:ascii="宋体" w:hAnsi="宋体" w:eastAsia="宋体" w:cs="Times New Roman"/>
                <w:color w:val="auto"/>
                <w:szCs w:val="21"/>
                <w:highlight w:val="none"/>
              </w:rPr>
            </w:pPr>
            <w:r>
              <w:rPr>
                <w:rFonts w:hint="eastAsia" w:ascii="宋体" w:hAnsi="宋体" w:cs="Times New Roman"/>
                <w:bCs/>
                <w:color w:val="auto"/>
                <w:szCs w:val="21"/>
                <w:highlight w:val="none"/>
                <w:u w:val="single"/>
                <w:lang w:eastAsia="zh-CN"/>
              </w:rPr>
              <w:t>2211580</w:t>
            </w:r>
            <w:r>
              <w:rPr>
                <w:rFonts w:hint="eastAsia" w:ascii="宋体" w:hAnsi="宋体" w:eastAsia="宋体" w:cs="Times New Roman"/>
                <w:bCs/>
                <w:color w:val="auto"/>
                <w:szCs w:val="21"/>
                <w:highlight w:val="none"/>
                <w:u w:val="single"/>
                <w:lang w:eastAsia="zh-CN"/>
              </w:rPr>
              <w:t>.00</w:t>
            </w:r>
            <w:r>
              <w:rPr>
                <w:rFonts w:hint="eastAsia" w:ascii="宋体" w:hAnsi="宋体" w:eastAsia="宋体" w:cs="Times New Roman"/>
                <w:bCs/>
                <w:color w:val="auto"/>
                <w:szCs w:val="21"/>
                <w:highlight w:val="none"/>
                <w:u w:val="single"/>
              </w:rPr>
              <w:t>元</w:t>
            </w:r>
          </w:p>
        </w:tc>
        <w:tc>
          <w:tcPr>
            <w:tcW w:w="1093" w:type="dxa"/>
            <w:noWrap w:val="0"/>
            <w:vAlign w:val="center"/>
          </w:tcPr>
          <w:p w14:paraId="31DD1D3B">
            <w:pPr>
              <w:adjustRightInd w:val="0"/>
              <w:snapToGrid w:val="0"/>
              <w:spacing w:before="156" w:beforeLines="50" w:line="360" w:lineRule="auto"/>
              <w:rPr>
                <w:rFonts w:ascii="Times New Roman" w:hAnsi="Times New Roman" w:eastAsia="宋体" w:cs="Times New Roman"/>
                <w:color w:val="auto"/>
                <w:szCs w:val="21"/>
                <w:highlight w:val="none"/>
              </w:rPr>
            </w:pPr>
            <w:r>
              <w:rPr>
                <w:rFonts w:hint="eastAsia" w:ascii="宋体" w:hAnsi="宋体" w:cs="Times New Roman"/>
                <w:bCs/>
                <w:color w:val="auto"/>
                <w:szCs w:val="21"/>
                <w:highlight w:val="none"/>
                <w:u w:val="single"/>
                <w:lang w:eastAsia="zh-CN"/>
              </w:rPr>
              <w:t>2211580</w:t>
            </w:r>
            <w:r>
              <w:rPr>
                <w:rFonts w:hint="eastAsia" w:ascii="宋体" w:hAnsi="宋体" w:eastAsia="宋体" w:cs="Times New Roman"/>
                <w:bCs/>
                <w:color w:val="auto"/>
                <w:szCs w:val="21"/>
                <w:highlight w:val="none"/>
                <w:u w:val="single"/>
                <w:lang w:eastAsia="zh-CN"/>
              </w:rPr>
              <w:t>.00</w:t>
            </w:r>
            <w:r>
              <w:rPr>
                <w:rFonts w:hint="eastAsia" w:ascii="宋体" w:hAnsi="宋体" w:eastAsia="宋体" w:cs="Times New Roman"/>
                <w:bCs/>
                <w:color w:val="auto"/>
                <w:szCs w:val="21"/>
                <w:highlight w:val="none"/>
                <w:u w:val="single"/>
              </w:rPr>
              <w:t>元</w:t>
            </w:r>
          </w:p>
        </w:tc>
        <w:tc>
          <w:tcPr>
            <w:tcW w:w="655" w:type="dxa"/>
            <w:noWrap w:val="0"/>
            <w:vAlign w:val="center"/>
          </w:tcPr>
          <w:p w14:paraId="3FAA18E0">
            <w:pPr>
              <w:adjustRightInd w:val="0"/>
              <w:snapToGrid w:val="0"/>
              <w:spacing w:before="156" w:beforeLines="50" w:line="360" w:lineRule="auto"/>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否</w:t>
            </w:r>
          </w:p>
        </w:tc>
      </w:tr>
    </w:tbl>
    <w:p w14:paraId="38459E3A">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三、采购项目需落实的政府采购政策</w:t>
      </w:r>
      <w:r>
        <w:rPr>
          <w:rFonts w:hint="eastAsia" w:ascii="宋体" w:hAnsi="宋体"/>
          <w:color w:val="auto"/>
          <w:szCs w:val="21"/>
          <w:highlight w:val="none"/>
        </w:rPr>
        <w:t>：</w:t>
      </w:r>
    </w:p>
    <w:p w14:paraId="4A90F520">
      <w:pPr>
        <w:adjustRightInd w:val="0"/>
        <w:snapToGrid w:val="0"/>
        <w:spacing w:line="360" w:lineRule="auto"/>
        <w:rPr>
          <w:rFonts w:hint="eastAsia" w:ascii="宋体" w:hAnsi="宋体"/>
          <w:color w:val="auto"/>
          <w:szCs w:val="21"/>
          <w:highlight w:val="none"/>
        </w:rPr>
      </w:pPr>
      <w:r>
        <w:rPr>
          <w:rFonts w:hint="eastAsia" w:ascii="宋体" w:hAnsi="宋体"/>
          <w:iCs/>
          <w:color w:val="auto"/>
          <w:highlight w:val="none"/>
        </w:rPr>
        <w:sym w:font="Wingdings" w:char="00A8"/>
      </w:r>
      <w:r>
        <w:rPr>
          <w:rFonts w:hint="eastAsia" w:ascii="宋体" w:hAnsi="宋体"/>
          <w:color w:val="auto"/>
          <w:szCs w:val="21"/>
          <w:highlight w:val="none"/>
        </w:rPr>
        <w:t>1、优先采购：节能产品、环境标志产品享受加分或价格折扣。</w:t>
      </w:r>
    </w:p>
    <w:p w14:paraId="53E2119E">
      <w:pPr>
        <w:spacing w:line="360" w:lineRule="auto"/>
        <w:rPr>
          <w:rFonts w:hint="eastAsia" w:ascii="宋体" w:hAnsi="宋体"/>
          <w:color w:val="auto"/>
          <w:szCs w:val="21"/>
          <w:highlight w:val="none"/>
        </w:rPr>
      </w:pPr>
      <w:r>
        <w:rPr>
          <w:rFonts w:hint="eastAsia" w:ascii="黑体" w:hAnsi="黑体" w:eastAsia="黑体"/>
          <w:b/>
          <w:iCs/>
          <w:color w:val="auto"/>
          <w:sz w:val="24"/>
          <w:highlight w:val="none"/>
        </w:rPr>
        <w:sym w:font="Wingdings" w:char="00FE"/>
      </w:r>
      <w:r>
        <w:rPr>
          <w:rFonts w:hint="eastAsia" w:ascii="宋体" w:hAnsi="宋体"/>
          <w:color w:val="auto"/>
          <w:szCs w:val="21"/>
          <w:highlight w:val="none"/>
        </w:rPr>
        <w:t>2、支持中小企业：</w:t>
      </w:r>
      <w:r>
        <w:rPr>
          <w:rFonts w:hint="eastAsia" w:ascii="宋体" w:hAnsi="宋体"/>
          <w:b/>
          <w:bCs/>
          <w:color w:val="auto"/>
          <w:szCs w:val="21"/>
          <w:highlight w:val="none"/>
        </w:rPr>
        <w:t>本项目非专门面向中小企业采购，各投标人为小微企业的在价格评审时进行价格扣除优惠，具体比例见招标文件正文。</w:t>
      </w:r>
      <w:r>
        <w:rPr>
          <w:rFonts w:hint="eastAsia" w:ascii="宋体" w:hAnsi="宋体"/>
          <w:color w:val="auto"/>
          <w:szCs w:val="21"/>
          <w:highlight w:val="none"/>
        </w:rPr>
        <w:t>监狱企业、残疾人福利性单位视同小型、微型企业。本采购项目对应的中小企业划分标准所属行业为《中小企业划型标准规定》（工信部联企业【2011】300号）中的</w:t>
      </w:r>
      <w:r>
        <w:rPr>
          <w:rFonts w:hint="eastAsia" w:ascii="宋体" w:hAnsi="宋体"/>
          <w:color w:val="auto"/>
          <w:szCs w:val="21"/>
          <w:highlight w:val="none"/>
          <w:u w:val="single"/>
        </w:rPr>
        <w:t>“</w:t>
      </w:r>
      <w:r>
        <w:rPr>
          <w:rFonts w:hint="eastAsia" w:ascii="宋体" w:hAnsi="宋体"/>
          <w:color w:val="auto"/>
          <w:szCs w:val="21"/>
          <w:highlight w:val="none"/>
          <w:u w:val="single"/>
          <w:lang w:eastAsia="zh-CN"/>
        </w:rPr>
        <w:t>其他未列明行业”</w:t>
      </w:r>
      <w:r>
        <w:rPr>
          <w:rFonts w:hint="eastAsia" w:ascii="宋体" w:hAnsi="宋体"/>
          <w:color w:val="auto"/>
          <w:szCs w:val="21"/>
          <w:highlight w:val="none"/>
          <w:u w:val="single"/>
        </w:rPr>
        <w:t>。</w:t>
      </w:r>
    </w:p>
    <w:p w14:paraId="61D0BC81">
      <w:pPr>
        <w:adjustRightInd w:val="0"/>
        <w:snapToGrid w:val="0"/>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四、投标人的资格要求（</w:t>
      </w:r>
      <w:r>
        <w:rPr>
          <w:rFonts w:ascii="宋体" w:hAnsi="宋体"/>
          <w:b/>
          <w:color w:val="auto"/>
          <w:szCs w:val="21"/>
          <w:highlight w:val="none"/>
        </w:rPr>
        <w:t>资格后</w:t>
      </w:r>
      <w:r>
        <w:rPr>
          <w:rFonts w:hint="eastAsia" w:ascii="宋体" w:hAnsi="宋体"/>
          <w:b/>
          <w:color w:val="auto"/>
          <w:szCs w:val="21"/>
          <w:highlight w:val="none"/>
        </w:rPr>
        <w:t>审</w:t>
      </w:r>
      <w:r>
        <w:rPr>
          <w:rFonts w:ascii="宋体" w:hAnsi="宋体"/>
          <w:b/>
          <w:color w:val="auto"/>
          <w:szCs w:val="21"/>
          <w:highlight w:val="none"/>
        </w:rPr>
        <w:t>）</w:t>
      </w:r>
      <w:r>
        <w:rPr>
          <w:rFonts w:hint="eastAsia" w:ascii="宋体" w:hAnsi="宋体"/>
          <w:color w:val="auto"/>
          <w:szCs w:val="21"/>
          <w:highlight w:val="none"/>
        </w:rPr>
        <w:t>：</w:t>
      </w:r>
    </w:p>
    <w:p w14:paraId="6730ECFD">
      <w:pPr>
        <w:snapToGrid w:val="0"/>
        <w:spacing w:line="360" w:lineRule="auto"/>
        <w:ind w:firstLine="420" w:firstLineChars="200"/>
        <w:jc w:val="left"/>
        <w:textAlignment w:val="baseline"/>
        <w:rPr>
          <w:rFonts w:ascii="宋体" w:hAnsi="宋体" w:cs="Arial"/>
          <w:bCs/>
          <w:color w:val="auto"/>
          <w:sz w:val="20"/>
          <w:szCs w:val="21"/>
          <w:highlight w:val="none"/>
        </w:rPr>
      </w:pPr>
      <w:r>
        <w:rPr>
          <w:rFonts w:hint="eastAsia" w:ascii="宋体" w:hAnsi="宋体"/>
          <w:color w:val="auto"/>
          <w:szCs w:val="21"/>
          <w:highlight w:val="none"/>
        </w:rPr>
        <w:t>1、投标人的基本资格条件：投标人必须是在中华人民共和国境内注册登记的法人、其他组织或者自然人，且应当符合《政府采购法》第二十二条第一款的规定即：</w:t>
      </w:r>
      <w:r>
        <w:rPr>
          <w:rFonts w:ascii="宋体" w:hAnsi="宋体" w:cs="Arial"/>
          <w:bCs/>
          <w:color w:val="auto"/>
          <w:szCs w:val="21"/>
          <w:highlight w:val="none"/>
        </w:rPr>
        <w:t xml:space="preserve"> </w:t>
      </w:r>
    </w:p>
    <w:p w14:paraId="04658488">
      <w:pPr>
        <w:snapToGrid w:val="0"/>
        <w:spacing w:line="360" w:lineRule="auto"/>
        <w:textAlignment w:val="baseline"/>
        <w:rPr>
          <w:rFonts w:ascii="宋体" w:hAnsi="宋体"/>
          <w:color w:val="auto"/>
          <w:sz w:val="20"/>
          <w:szCs w:val="21"/>
          <w:highlight w:val="none"/>
        </w:rPr>
      </w:pPr>
      <w:r>
        <w:rPr>
          <w:rFonts w:hint="eastAsia" w:ascii="宋体" w:hAnsi="宋体"/>
          <w:color w:val="auto"/>
          <w:szCs w:val="21"/>
          <w:highlight w:val="none"/>
        </w:rPr>
        <w:t>（1）具有独立承担民事责任的能力；</w:t>
      </w:r>
      <w:r>
        <w:rPr>
          <w:rFonts w:ascii="宋体" w:hAnsi="宋体"/>
          <w:color w:val="auto"/>
          <w:szCs w:val="21"/>
          <w:highlight w:val="none"/>
        </w:rPr>
        <w:t xml:space="preserve"> </w:t>
      </w:r>
    </w:p>
    <w:p w14:paraId="09528A73">
      <w:pPr>
        <w:snapToGrid w:val="0"/>
        <w:spacing w:line="360" w:lineRule="auto"/>
        <w:textAlignment w:val="baseline"/>
        <w:rPr>
          <w:rFonts w:ascii="宋体" w:hAnsi="宋体"/>
          <w:color w:val="auto"/>
          <w:sz w:val="20"/>
          <w:szCs w:val="21"/>
          <w:highlight w:val="none"/>
        </w:rPr>
      </w:pPr>
      <w:r>
        <w:rPr>
          <w:rFonts w:hint="eastAsia" w:ascii="宋体" w:hAnsi="宋体"/>
          <w:color w:val="auto"/>
          <w:szCs w:val="21"/>
          <w:highlight w:val="none"/>
        </w:rPr>
        <w:t>（2）具有良好的商业信誉和健全的财务会计制度；</w:t>
      </w:r>
    </w:p>
    <w:p w14:paraId="7BDBE6A3">
      <w:pPr>
        <w:snapToGrid w:val="0"/>
        <w:spacing w:line="360" w:lineRule="auto"/>
        <w:textAlignment w:val="baseline"/>
        <w:rPr>
          <w:rFonts w:ascii="宋体" w:hAnsi="宋体"/>
          <w:color w:val="auto"/>
          <w:sz w:val="20"/>
          <w:szCs w:val="21"/>
          <w:highlight w:val="none"/>
        </w:rPr>
      </w:pPr>
      <w:r>
        <w:rPr>
          <w:rFonts w:hint="eastAsia" w:ascii="宋体" w:hAnsi="宋体"/>
          <w:color w:val="auto"/>
          <w:szCs w:val="21"/>
          <w:highlight w:val="none"/>
        </w:rPr>
        <w:t>（3）具有履行合同所必需的设备和专业技术能力；</w:t>
      </w:r>
    </w:p>
    <w:p w14:paraId="5D777AC4">
      <w:pPr>
        <w:snapToGrid w:val="0"/>
        <w:spacing w:line="360" w:lineRule="auto"/>
        <w:textAlignment w:val="baseline"/>
        <w:rPr>
          <w:rFonts w:ascii="宋体" w:hAnsi="宋体"/>
          <w:color w:val="auto"/>
          <w:sz w:val="20"/>
          <w:szCs w:val="21"/>
          <w:highlight w:val="none"/>
        </w:rPr>
      </w:pPr>
      <w:r>
        <w:rPr>
          <w:rFonts w:hint="eastAsia" w:ascii="宋体" w:hAnsi="宋体"/>
          <w:color w:val="auto"/>
          <w:szCs w:val="21"/>
          <w:highlight w:val="none"/>
        </w:rPr>
        <w:t>（4）有依法缴纳税收和社会保障资金的良好记录；</w:t>
      </w:r>
    </w:p>
    <w:p w14:paraId="28C45082">
      <w:pPr>
        <w:snapToGrid w:val="0"/>
        <w:spacing w:line="360" w:lineRule="auto"/>
        <w:textAlignment w:val="baseline"/>
        <w:rPr>
          <w:rFonts w:ascii="宋体" w:hAnsi="宋体"/>
          <w:color w:val="auto"/>
          <w:sz w:val="20"/>
          <w:szCs w:val="21"/>
          <w:highlight w:val="none"/>
        </w:rPr>
      </w:pPr>
      <w:r>
        <w:rPr>
          <w:rFonts w:hint="eastAsia" w:ascii="宋体" w:hAnsi="宋体"/>
          <w:color w:val="auto"/>
          <w:szCs w:val="21"/>
          <w:highlight w:val="none"/>
        </w:rPr>
        <w:t>（5）参加政府采购活动前三年内，在经营活动中没有重大违法记录；</w:t>
      </w:r>
    </w:p>
    <w:p w14:paraId="470AEC23">
      <w:pPr>
        <w:snapToGrid w:val="0"/>
        <w:spacing w:line="360" w:lineRule="auto"/>
        <w:textAlignment w:val="baseline"/>
        <w:rPr>
          <w:rFonts w:hint="eastAsia" w:ascii="宋体" w:hAnsi="宋体"/>
          <w:color w:val="auto"/>
          <w:sz w:val="20"/>
          <w:szCs w:val="21"/>
          <w:highlight w:val="none"/>
        </w:rPr>
      </w:pPr>
      <w:r>
        <w:rPr>
          <w:rFonts w:hint="eastAsia" w:ascii="宋体" w:hAnsi="宋体"/>
          <w:color w:val="auto"/>
          <w:szCs w:val="21"/>
          <w:highlight w:val="none"/>
        </w:rPr>
        <w:t>（6）法律、行政法规规定的其他条件。</w:t>
      </w:r>
    </w:p>
    <w:p w14:paraId="701EAB1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2、落实政府采购政策需满足的资格要求：</w:t>
      </w:r>
    </w:p>
    <w:p w14:paraId="1A90D839">
      <w:pPr>
        <w:adjustRightInd w:val="0"/>
        <w:snapToGrid w:val="0"/>
        <w:spacing w:line="360" w:lineRule="auto"/>
        <w:ind w:firstLine="566" w:firstLineChars="235"/>
        <w:rPr>
          <w:rFonts w:hint="eastAsia" w:ascii="宋体" w:hAnsi="宋体"/>
          <w:b/>
          <w:iCs/>
          <w:color w:val="auto"/>
          <w:szCs w:val="21"/>
          <w:highlight w:val="none"/>
        </w:rPr>
      </w:pPr>
      <w:r>
        <w:rPr>
          <w:rFonts w:hint="eastAsia" w:ascii="黑体" w:hAnsi="黑体" w:eastAsia="黑体"/>
          <w:b/>
          <w:iCs/>
          <w:color w:val="auto"/>
          <w:sz w:val="24"/>
          <w:highlight w:val="none"/>
        </w:rPr>
        <w:sym w:font="Wingdings" w:char="00FE"/>
      </w:r>
      <w:r>
        <w:rPr>
          <w:rFonts w:ascii="宋体" w:hAnsi="宋体"/>
          <w:b/>
          <w:iCs/>
          <w:color w:val="auto"/>
          <w:szCs w:val="21"/>
          <w:highlight w:val="none"/>
        </w:rPr>
        <w:t xml:space="preserve"> </w:t>
      </w:r>
      <w:r>
        <w:rPr>
          <w:rFonts w:hint="eastAsia" w:ascii="宋体" w:hAnsi="宋体"/>
          <w:iCs/>
          <w:color w:val="auto"/>
          <w:szCs w:val="21"/>
          <w:highlight w:val="none"/>
        </w:rPr>
        <w:t>非专门面向中小企业。</w:t>
      </w:r>
    </w:p>
    <w:p w14:paraId="29A995C3">
      <w:pPr>
        <w:adjustRightInd w:val="0"/>
        <w:snapToGrid w:val="0"/>
        <w:spacing w:line="360" w:lineRule="auto"/>
        <w:ind w:firstLine="525" w:firstLineChars="250"/>
        <w:rPr>
          <w:rFonts w:ascii="宋体" w:hAnsi="宋体"/>
          <w:iCs/>
          <w:color w:val="auto"/>
          <w:szCs w:val="21"/>
          <w:highlight w:val="none"/>
        </w:rPr>
      </w:pP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 xml:space="preserve">专门面向：  </w:t>
      </w: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中小企业、</w:t>
      </w:r>
      <w:r>
        <w:rPr>
          <w:rFonts w:ascii="宋体" w:hAnsi="宋体"/>
          <w:iCs/>
          <w:color w:val="auto"/>
          <w:szCs w:val="21"/>
          <w:highlight w:val="none"/>
        </w:rPr>
        <w:t xml:space="preserve"> </w:t>
      </w: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小微企业、</w:t>
      </w:r>
      <w:r>
        <w:rPr>
          <w:rFonts w:ascii="宋体" w:hAnsi="宋体"/>
          <w:iCs/>
          <w:color w:val="auto"/>
          <w:szCs w:val="21"/>
          <w:highlight w:val="none"/>
        </w:rPr>
        <w:t xml:space="preserve"> </w:t>
      </w: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监狱企业、</w:t>
      </w:r>
      <w:r>
        <w:rPr>
          <w:rFonts w:ascii="宋体" w:hAnsi="宋体"/>
          <w:iCs/>
          <w:color w:val="auto"/>
          <w:szCs w:val="21"/>
          <w:highlight w:val="none"/>
        </w:rPr>
        <w:t xml:space="preserve"> </w:t>
      </w: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福利性单位。</w:t>
      </w:r>
    </w:p>
    <w:p w14:paraId="764BD7D6">
      <w:pPr>
        <w:adjustRightInd w:val="0"/>
        <w:snapToGrid w:val="0"/>
        <w:spacing w:line="360" w:lineRule="auto"/>
        <w:ind w:firstLine="525" w:firstLineChars="250"/>
        <w:rPr>
          <w:rFonts w:ascii="宋体" w:hAnsi="宋体"/>
          <w:iCs/>
          <w:color w:val="auto"/>
          <w:szCs w:val="21"/>
          <w:highlight w:val="none"/>
        </w:rPr>
      </w:pPr>
      <w:r>
        <w:rPr>
          <w:rFonts w:hint="eastAsia" w:ascii="宋体" w:hAnsi="宋体"/>
          <w:iCs/>
          <w:color w:val="auto"/>
          <w:szCs w:val="21"/>
          <w:highlight w:val="none"/>
        </w:rPr>
        <w:sym w:font="Wingdings" w:char="00A8"/>
      </w:r>
      <w:r>
        <w:rPr>
          <w:rFonts w:ascii="宋体" w:hAnsi="宋体"/>
          <w:iCs/>
          <w:color w:val="auto"/>
          <w:szCs w:val="21"/>
          <w:highlight w:val="none"/>
        </w:rPr>
        <w:t xml:space="preserve"> </w:t>
      </w:r>
      <w:r>
        <w:rPr>
          <w:rFonts w:hint="eastAsia" w:ascii="宋体" w:hAnsi="宋体"/>
          <w:iCs/>
          <w:color w:val="auto"/>
          <w:szCs w:val="21"/>
          <w:highlight w:val="none"/>
        </w:rPr>
        <w:t>强制分包：</w:t>
      </w:r>
      <w:r>
        <w:rPr>
          <w:rFonts w:ascii="宋体" w:hAnsi="宋体"/>
          <w:iCs/>
          <w:color w:val="auto"/>
          <w:szCs w:val="21"/>
          <w:highlight w:val="none"/>
        </w:rPr>
        <w:t xml:space="preserve"> </w:t>
      </w:r>
      <w:r>
        <w:rPr>
          <w:rFonts w:hint="eastAsia" w:ascii="宋体" w:hAnsi="宋体"/>
          <w:iCs/>
          <w:color w:val="auto"/>
          <w:szCs w:val="21"/>
          <w:highlight w:val="none"/>
        </w:rPr>
        <w:t>大型企业应将采购份额的</w:t>
      </w:r>
      <w:r>
        <w:rPr>
          <w:rFonts w:hint="eastAsia" w:ascii="宋体" w:hAnsi="宋体"/>
          <w:iCs/>
          <w:color w:val="auto"/>
          <w:szCs w:val="21"/>
          <w:highlight w:val="none"/>
          <w:u w:val="single"/>
        </w:rPr>
        <w:t xml:space="preserve">    /     </w:t>
      </w:r>
      <w:r>
        <w:rPr>
          <w:rFonts w:hint="eastAsia" w:ascii="宋体" w:hAnsi="宋体"/>
          <w:iCs/>
          <w:color w:val="auto"/>
          <w:szCs w:val="21"/>
          <w:highlight w:val="none"/>
        </w:rPr>
        <w:t>%分包给中小企业。</w:t>
      </w:r>
    </w:p>
    <w:p w14:paraId="2F79EF27">
      <w:pPr>
        <w:adjustRightInd w:val="0"/>
        <w:snapToGrid w:val="0"/>
        <w:spacing w:line="360" w:lineRule="auto"/>
        <w:ind w:firstLine="420" w:firstLineChars="200"/>
        <w:rPr>
          <w:rFonts w:hint="eastAsia" w:ascii="宋体" w:hAnsi="宋体"/>
          <w:iCs/>
          <w:color w:val="auto"/>
          <w:szCs w:val="21"/>
          <w:highlight w:val="none"/>
        </w:rPr>
      </w:pPr>
      <w:r>
        <w:rPr>
          <w:rFonts w:hint="eastAsia" w:ascii="宋体" w:hAnsi="宋体"/>
          <w:iCs/>
          <w:color w:val="auto"/>
          <w:szCs w:val="21"/>
          <w:highlight w:val="none"/>
        </w:rPr>
        <w:t>3、采购项目的特定资格条件：</w:t>
      </w:r>
      <w:r>
        <w:rPr>
          <w:rFonts w:hint="eastAsia" w:ascii="宋体" w:hAnsi="宋体"/>
          <w:iCs/>
          <w:color w:val="auto"/>
          <w:szCs w:val="21"/>
          <w:highlight w:val="none"/>
          <w:lang w:val="en-US" w:eastAsia="zh-CN"/>
        </w:rPr>
        <w:t>无</w:t>
      </w:r>
      <w:r>
        <w:rPr>
          <w:rFonts w:hint="eastAsia" w:ascii="宋体" w:hAnsi="宋体"/>
          <w:iCs/>
          <w:color w:val="auto"/>
          <w:szCs w:val="21"/>
          <w:highlight w:val="none"/>
        </w:rPr>
        <w:t>。</w:t>
      </w:r>
    </w:p>
    <w:p w14:paraId="7069B2B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4、单位负责人为同一人或者存在直接控股、管理关系的不同投标人，不得参加同一合同项下的政府采购活动。</w:t>
      </w:r>
    </w:p>
    <w:p w14:paraId="57D4C8E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5、为本采购项目提供整体设计、规范编制或者项目管理、监理、检测等服务的，不得再参加此项目的其他采购活动。</w:t>
      </w:r>
    </w:p>
    <w:p w14:paraId="1223E03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6、列入失信被执行人、重大税收违法失信主体名单、政府采购严重违法失信行为记录名单的，拒绝其参与政府采购活动。</w:t>
      </w:r>
    </w:p>
    <w:p w14:paraId="756147D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7、联合体投标。本次招标</w:t>
      </w:r>
      <w:r>
        <w:rPr>
          <w:rFonts w:hint="eastAsia" w:ascii="宋体" w:hAnsi="宋体"/>
          <w:color w:val="auto"/>
          <w:szCs w:val="21"/>
          <w:highlight w:val="none"/>
          <w:u w:val="single"/>
        </w:rPr>
        <w:t xml:space="preserve">  不</w:t>
      </w:r>
      <w:r>
        <w:rPr>
          <w:rFonts w:ascii="宋体" w:hAnsi="宋体"/>
          <w:color w:val="auto"/>
          <w:szCs w:val="21"/>
          <w:highlight w:val="none"/>
          <w:u w:val="single"/>
        </w:rPr>
        <w:t>接受</w:t>
      </w:r>
      <w:r>
        <w:rPr>
          <w:rFonts w:hint="eastAsia" w:ascii="宋体" w:hAnsi="宋体"/>
          <w:color w:val="auto"/>
          <w:szCs w:val="21"/>
          <w:highlight w:val="none"/>
          <w:u w:val="single"/>
        </w:rPr>
        <w:t xml:space="preserve">   </w:t>
      </w:r>
      <w:r>
        <w:rPr>
          <w:rFonts w:hint="eastAsia" w:ascii="宋体" w:hAnsi="宋体"/>
          <w:color w:val="auto"/>
          <w:szCs w:val="21"/>
          <w:highlight w:val="none"/>
        </w:rPr>
        <w:t>(接受或不接受)联合体投标。</w:t>
      </w:r>
    </w:p>
    <w:p w14:paraId="06782313">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五、获取招标文件的时间、期限、地点及方式</w:t>
      </w:r>
    </w:p>
    <w:p w14:paraId="00557E1C">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s="微软雅黑"/>
          <w:color w:val="auto"/>
          <w:spacing w:val="-14"/>
          <w:kern w:val="0"/>
          <w:szCs w:val="21"/>
          <w:highlight w:val="none"/>
        </w:rPr>
      </w:pPr>
      <w:r>
        <w:rPr>
          <w:rFonts w:hint="eastAsia" w:ascii="宋体" w:hAnsi="宋体"/>
          <w:iCs/>
          <w:color w:val="auto"/>
          <w:szCs w:val="21"/>
          <w:highlight w:val="none"/>
        </w:rPr>
        <w:t>1、项目</w:t>
      </w:r>
      <w:r>
        <w:rPr>
          <w:rFonts w:hint="eastAsia" w:ascii="宋体" w:hAnsi="宋体" w:cs="微软雅黑"/>
          <w:color w:val="auto"/>
          <w:spacing w:val="-14"/>
          <w:kern w:val="0"/>
          <w:szCs w:val="21"/>
          <w:highlight w:val="none"/>
        </w:rPr>
        <w:t>实行电子交易，</w:t>
      </w:r>
      <w:r>
        <w:rPr>
          <w:rFonts w:hint="eastAsia" w:ascii="宋体" w:hAnsi="宋体" w:cs="微软雅黑"/>
          <w:color w:val="auto"/>
          <w:kern w:val="0"/>
          <w:szCs w:val="21"/>
          <w:highlight w:val="none"/>
        </w:rPr>
        <w:t>有</w:t>
      </w:r>
      <w:r>
        <w:rPr>
          <w:rFonts w:hint="eastAsia" w:ascii="宋体" w:hAnsi="宋体" w:cs="微软雅黑"/>
          <w:color w:val="auto"/>
          <w:spacing w:val="-2"/>
          <w:kern w:val="0"/>
          <w:szCs w:val="21"/>
          <w:highlight w:val="none"/>
        </w:rPr>
        <w:t>意</w:t>
      </w:r>
      <w:r>
        <w:rPr>
          <w:rFonts w:hint="eastAsia" w:ascii="宋体" w:hAnsi="宋体" w:cs="微软雅黑"/>
          <w:color w:val="auto"/>
          <w:kern w:val="0"/>
          <w:szCs w:val="21"/>
          <w:highlight w:val="none"/>
        </w:rPr>
        <w:t>参</w:t>
      </w:r>
      <w:r>
        <w:rPr>
          <w:rFonts w:hint="eastAsia" w:ascii="宋体" w:hAnsi="宋体" w:cs="微软雅黑"/>
          <w:color w:val="auto"/>
          <w:spacing w:val="-2"/>
          <w:kern w:val="0"/>
          <w:szCs w:val="21"/>
          <w:highlight w:val="none"/>
        </w:rPr>
        <w:t>加</w:t>
      </w:r>
      <w:r>
        <w:rPr>
          <w:rFonts w:hint="eastAsia" w:ascii="宋体" w:hAnsi="宋体" w:cs="微软雅黑"/>
          <w:color w:val="auto"/>
          <w:kern w:val="0"/>
          <w:szCs w:val="21"/>
          <w:highlight w:val="none"/>
        </w:rPr>
        <w:t>投</w:t>
      </w:r>
      <w:r>
        <w:rPr>
          <w:rFonts w:hint="eastAsia" w:ascii="宋体" w:hAnsi="宋体" w:cs="微软雅黑"/>
          <w:color w:val="auto"/>
          <w:spacing w:val="-2"/>
          <w:kern w:val="0"/>
          <w:szCs w:val="21"/>
          <w:highlight w:val="none"/>
        </w:rPr>
        <w:t>标</w:t>
      </w:r>
      <w:r>
        <w:rPr>
          <w:rFonts w:hint="eastAsia" w:ascii="宋体" w:hAnsi="宋体" w:cs="微软雅黑"/>
          <w:color w:val="auto"/>
          <w:kern w:val="0"/>
          <w:szCs w:val="21"/>
          <w:highlight w:val="none"/>
        </w:rPr>
        <w:t>者，</w:t>
      </w:r>
      <w:r>
        <w:rPr>
          <w:rFonts w:hint="eastAsia" w:ascii="宋体" w:hAnsi="宋体" w:cs="宋体"/>
          <w:color w:val="auto"/>
          <w:kern w:val="0"/>
          <w:szCs w:val="21"/>
          <w:highlight w:val="none"/>
        </w:rPr>
        <w:t>请</w:t>
      </w:r>
      <w:r>
        <w:rPr>
          <w:rFonts w:hint="eastAsia" w:ascii="宋体" w:hAnsi="宋体" w:cs="微软雅黑"/>
          <w:color w:val="auto"/>
          <w:kern w:val="0"/>
          <w:szCs w:val="21"/>
          <w:highlight w:val="none"/>
        </w:rPr>
        <w:t>于公告日起至投标截止时间以</w:t>
      </w:r>
      <w:r>
        <w:rPr>
          <w:rFonts w:hint="eastAsia" w:ascii="宋体" w:hAnsi="宋体" w:cs="微软雅黑"/>
          <w:color w:val="auto"/>
          <w:spacing w:val="-2"/>
          <w:kern w:val="0"/>
          <w:szCs w:val="21"/>
          <w:highlight w:val="none"/>
        </w:rPr>
        <w:t>前</w:t>
      </w:r>
      <w:r>
        <w:rPr>
          <w:rFonts w:hint="eastAsia" w:ascii="宋体" w:hAnsi="宋体" w:cs="Arial"/>
          <w:color w:val="auto"/>
          <w:kern w:val="0"/>
          <w:szCs w:val="21"/>
          <w:highlight w:val="none"/>
        </w:rPr>
        <w:t>用湖南CA自行</w:t>
      </w:r>
      <w:r>
        <w:rPr>
          <w:rFonts w:hint="eastAsia" w:ascii="宋体" w:hAnsi="宋体" w:cs="宋体"/>
          <w:color w:val="auto"/>
          <w:kern w:val="0"/>
          <w:szCs w:val="21"/>
          <w:highlight w:val="none"/>
        </w:rPr>
        <w:t>从“娄底市公共资源交易网</w:t>
      </w:r>
      <w:r>
        <w:rPr>
          <w:rFonts w:ascii="宋体" w:hAnsi="宋体" w:cs="宋体"/>
          <w:color w:val="auto"/>
          <w:kern w:val="0"/>
          <w:szCs w:val="21"/>
          <w:highlight w:val="none"/>
        </w:rPr>
        <w:t>http://ldggzy.hnloudi.gov.cn/</w:t>
      </w:r>
      <w:r>
        <w:rPr>
          <w:rFonts w:hint="eastAsia" w:ascii="宋体" w:hAnsi="宋体" w:cs="宋体"/>
          <w:color w:val="auto"/>
          <w:kern w:val="0"/>
          <w:szCs w:val="21"/>
          <w:highlight w:val="none"/>
        </w:rPr>
        <w:t>”或“</w:t>
      </w:r>
      <w:r>
        <w:rPr>
          <w:rFonts w:hint="eastAsia" w:ascii="宋体" w:hAnsi="宋体"/>
          <w:color w:val="auto"/>
          <w:szCs w:val="21"/>
          <w:highlight w:val="none"/>
        </w:rPr>
        <w:t>中国湖南政府采购网</w:t>
      </w:r>
      <w:r>
        <w:rPr>
          <w:rFonts w:ascii="宋体" w:hAnsi="宋体" w:cs="宋体"/>
          <w:color w:val="auto"/>
          <w:kern w:val="0"/>
          <w:szCs w:val="21"/>
          <w:highlight w:val="none"/>
        </w:rPr>
        <w:t>http://www.ccgp-hunan.gov.cn/portal_city.jsp?areaCode=lds”</w:t>
      </w:r>
      <w:r>
        <w:rPr>
          <w:rFonts w:hint="eastAsia" w:ascii="宋体" w:hAnsi="宋体" w:cs="微软雅黑"/>
          <w:color w:val="auto"/>
          <w:spacing w:val="-2"/>
          <w:kern w:val="0"/>
          <w:szCs w:val="21"/>
          <w:highlight w:val="none"/>
        </w:rPr>
        <w:t>获取电子版</w:t>
      </w:r>
      <w:r>
        <w:rPr>
          <w:rFonts w:hint="eastAsia" w:ascii="宋体" w:hAnsi="宋体" w:cs="微软雅黑"/>
          <w:color w:val="auto"/>
          <w:kern w:val="0"/>
          <w:szCs w:val="21"/>
          <w:highlight w:val="none"/>
        </w:rPr>
        <w:t>招标</w:t>
      </w:r>
      <w:r>
        <w:rPr>
          <w:rFonts w:hint="eastAsia" w:ascii="宋体" w:hAnsi="宋体" w:cs="微软雅黑"/>
          <w:color w:val="auto"/>
          <w:spacing w:val="-2"/>
          <w:kern w:val="0"/>
          <w:szCs w:val="21"/>
          <w:highlight w:val="none"/>
        </w:rPr>
        <w:t>文件</w:t>
      </w:r>
      <w:r>
        <w:rPr>
          <w:rFonts w:hint="eastAsia" w:ascii="宋体" w:hAnsi="宋体" w:cs="微软雅黑"/>
          <w:color w:val="auto"/>
          <w:spacing w:val="-14"/>
          <w:kern w:val="0"/>
          <w:szCs w:val="21"/>
          <w:highlight w:val="none"/>
        </w:rPr>
        <w:t>。</w:t>
      </w:r>
    </w:p>
    <w:p w14:paraId="014FD043">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color w:val="auto"/>
          <w:highlight w:val="none"/>
        </w:rPr>
      </w:pPr>
      <w:r>
        <w:rPr>
          <w:rFonts w:ascii="宋体" w:hAnsi="宋体"/>
          <w:iCs/>
          <w:color w:val="auto"/>
          <w:szCs w:val="21"/>
          <w:highlight w:val="none"/>
        </w:rPr>
        <w:t>2</w:t>
      </w:r>
      <w:r>
        <w:rPr>
          <w:rFonts w:hint="eastAsia" w:ascii="宋体" w:hAnsi="宋体"/>
          <w:iCs/>
          <w:color w:val="auto"/>
          <w:szCs w:val="21"/>
          <w:highlight w:val="none"/>
        </w:rPr>
        <w:t>、项目进行资格</w:t>
      </w:r>
      <w:r>
        <w:rPr>
          <w:rFonts w:hint="eastAsia"/>
          <w:color w:val="auto"/>
          <w:szCs w:val="21"/>
          <w:highlight w:val="none"/>
        </w:rPr>
        <w:t>后审</w:t>
      </w:r>
      <w:r>
        <w:rPr>
          <w:rFonts w:hint="eastAsia" w:ascii="宋体" w:hAnsi="宋体"/>
          <w:iCs/>
          <w:color w:val="auto"/>
          <w:szCs w:val="21"/>
          <w:highlight w:val="none"/>
        </w:rPr>
        <w:t>。</w:t>
      </w:r>
    </w:p>
    <w:p w14:paraId="4F8DB26D">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六、投标截止时间、开标时间及地点</w:t>
      </w:r>
    </w:p>
    <w:p w14:paraId="6C1D20C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1、提交投标文件的截止时间：</w:t>
      </w:r>
      <w:r>
        <w:rPr>
          <w:rFonts w:hint="eastAsia" w:ascii="宋体" w:hAnsi="宋体"/>
          <w:color w:val="auto"/>
          <w:szCs w:val="21"/>
          <w:highlight w:val="none"/>
          <w:u w:val="single"/>
        </w:rPr>
        <w:t>详见外网公告</w:t>
      </w:r>
      <w:r>
        <w:rPr>
          <w:rFonts w:hint="eastAsia" w:ascii="宋体" w:hAnsi="宋体"/>
          <w:color w:val="auto"/>
          <w:szCs w:val="21"/>
          <w:highlight w:val="none"/>
        </w:rPr>
        <w:t>（北京时间）；</w:t>
      </w:r>
    </w:p>
    <w:p w14:paraId="6CF8F1F0">
      <w:pPr>
        <w:adjustRightInd w:val="0"/>
        <w:snapToGrid w:val="0"/>
        <w:spacing w:line="360" w:lineRule="auto"/>
        <w:ind w:firstLine="420" w:firstLineChars="200"/>
        <w:rPr>
          <w:rFonts w:ascii="宋体" w:hAnsi="宋体" w:cs="宋体"/>
          <w:color w:val="auto"/>
          <w:highlight w:val="none"/>
        </w:rPr>
      </w:pPr>
      <w:r>
        <w:rPr>
          <w:rFonts w:hint="eastAsia" w:ascii="宋体" w:hAnsi="宋体"/>
          <w:color w:val="auto"/>
          <w:szCs w:val="21"/>
          <w:highlight w:val="none"/>
        </w:rPr>
        <w:t>2、投标地点：</w:t>
      </w:r>
      <w:r>
        <w:rPr>
          <w:rFonts w:hint="eastAsia" w:ascii="宋体" w:hAnsi="宋体"/>
          <w:color w:val="auto"/>
          <w:szCs w:val="21"/>
          <w:highlight w:val="none"/>
          <w:u w:val="single"/>
        </w:rPr>
        <w:t xml:space="preserve"> 娄底市公共资源交易平台（http://ldggzy.hnloudi.gov.cn/）  </w:t>
      </w:r>
    </w:p>
    <w:p w14:paraId="07416BC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3、开标时间及解密开始时间：</w:t>
      </w:r>
      <w:r>
        <w:rPr>
          <w:rFonts w:hint="eastAsia" w:ascii="宋体" w:hAnsi="宋体"/>
          <w:color w:val="auto"/>
          <w:szCs w:val="21"/>
          <w:highlight w:val="none"/>
          <w:u w:val="single"/>
        </w:rPr>
        <w:t>详见外网公告</w:t>
      </w:r>
      <w:r>
        <w:rPr>
          <w:rFonts w:hint="eastAsia" w:ascii="宋体" w:hAnsi="宋体"/>
          <w:color w:val="auto"/>
          <w:szCs w:val="21"/>
          <w:highlight w:val="none"/>
        </w:rPr>
        <w:t xml:space="preserve">（北京时间）。 </w:t>
      </w:r>
    </w:p>
    <w:p w14:paraId="33499B57">
      <w:pPr>
        <w:snapToGrid w:val="0"/>
        <w:spacing w:line="360" w:lineRule="auto"/>
        <w:ind w:firstLine="420" w:firstLineChars="200"/>
        <w:textAlignment w:val="baseline"/>
        <w:rPr>
          <w:rFonts w:hint="eastAsia" w:ascii="宋体" w:hAnsi="宋体"/>
          <w:color w:val="auto"/>
          <w:sz w:val="20"/>
          <w:szCs w:val="21"/>
          <w:highlight w:val="none"/>
        </w:rPr>
      </w:pPr>
      <w:r>
        <w:rPr>
          <w:rFonts w:hint="eastAsia" w:ascii="宋体" w:hAnsi="宋体"/>
          <w:color w:val="auto"/>
          <w:szCs w:val="21"/>
          <w:highlight w:val="none"/>
        </w:rPr>
        <w:t>4、解密截止时间：</w:t>
      </w:r>
      <w:r>
        <w:rPr>
          <w:rFonts w:hint="eastAsia" w:ascii="宋体" w:hAnsi="宋体"/>
          <w:color w:val="auto"/>
          <w:szCs w:val="21"/>
          <w:highlight w:val="none"/>
          <w:u w:val="single"/>
        </w:rPr>
        <w:t>详见外网公告</w:t>
      </w:r>
      <w:r>
        <w:rPr>
          <w:rFonts w:hint="eastAsia" w:ascii="宋体" w:hAnsi="宋体"/>
          <w:color w:val="auto"/>
          <w:szCs w:val="21"/>
          <w:highlight w:val="none"/>
        </w:rPr>
        <w:t>（投标截止时间后30分钟内），请投标人确保投标响应文件如期解密。</w:t>
      </w:r>
    </w:p>
    <w:p w14:paraId="4E596CAB">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lang w:val="en-US" w:eastAsia="zh-CN"/>
        </w:rPr>
        <w:t>5</w:t>
      </w:r>
      <w:r>
        <w:rPr>
          <w:rFonts w:hint="eastAsia" w:ascii="宋体" w:hAnsi="宋体"/>
          <w:color w:val="auto"/>
          <w:szCs w:val="21"/>
          <w:highlight w:val="none"/>
        </w:rPr>
        <w:t>、开标地点：</w:t>
      </w:r>
      <w:r>
        <w:rPr>
          <w:rFonts w:hint="eastAsia" w:ascii="宋体" w:hAnsi="宋体"/>
          <w:color w:val="auto"/>
          <w:szCs w:val="21"/>
          <w:highlight w:val="none"/>
          <w:u w:val="single"/>
        </w:rPr>
        <w:t xml:space="preserve">娄底市公共资源交易平台（http://ldggzy.hnloudi.gov.cn/） </w:t>
      </w:r>
    </w:p>
    <w:p w14:paraId="1369B25B">
      <w:pPr>
        <w:snapToGrid w:val="0"/>
        <w:spacing w:line="360" w:lineRule="auto"/>
        <w:ind w:firstLine="420" w:firstLineChars="200"/>
        <w:textAlignment w:val="baseline"/>
        <w:rPr>
          <w:rFonts w:ascii="宋体" w:hAnsi="宋体"/>
          <w:color w:val="auto"/>
          <w:sz w:val="20"/>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、投标文件编制说明与递交</w:t>
      </w:r>
    </w:p>
    <w:p w14:paraId="3B30A364">
      <w:pPr>
        <w:snapToGrid w:val="0"/>
        <w:spacing w:line="360" w:lineRule="auto"/>
        <w:ind w:firstLine="630" w:firstLineChars="300"/>
        <w:textAlignment w:val="baseline"/>
        <w:rPr>
          <w:rFonts w:ascii="宋体" w:hAnsi="宋体"/>
          <w:color w:val="auto"/>
          <w:sz w:val="20"/>
          <w:szCs w:val="21"/>
          <w:highlight w:val="none"/>
        </w:rPr>
      </w:pPr>
      <w:r>
        <w:rPr>
          <w:rFonts w:hint="eastAsia" w:ascii="宋体" w:hAnsi="宋体"/>
          <w:color w:val="auto"/>
          <w:szCs w:val="21"/>
          <w:highlight w:val="none"/>
          <w:lang w:val="en-US" w:eastAsia="zh-CN"/>
        </w:rPr>
        <w:t>6</w:t>
      </w:r>
      <w:r>
        <w:rPr>
          <w:rFonts w:ascii="宋体" w:hAnsi="宋体"/>
          <w:color w:val="auto"/>
          <w:szCs w:val="21"/>
          <w:highlight w:val="none"/>
        </w:rPr>
        <w:t>.1</w:t>
      </w:r>
      <w:r>
        <w:rPr>
          <w:rFonts w:hint="eastAsia" w:ascii="宋体" w:hAnsi="宋体"/>
          <w:color w:val="auto"/>
          <w:szCs w:val="21"/>
          <w:highlight w:val="none"/>
        </w:rPr>
        <w:t>本项目采用电子网上投标：凡有意参加采购活动者，请使用企业数字证书（key）登录娄底市公共资源交易中心网站（http://ldggzy.hnloudi.gov.cn/）登陆后选择投标项目按照页面提示网上投标，下载招标资料（电子招标文件为gef格式）、项目投标的壳文件和加密程序，申请和查询电子保函/保证金账号，网上递交电子投标文件。</w:t>
      </w:r>
    </w:p>
    <w:p w14:paraId="796E369C">
      <w:pPr>
        <w:snapToGrid w:val="0"/>
        <w:spacing w:line="360" w:lineRule="auto"/>
        <w:ind w:firstLine="630" w:firstLineChars="300"/>
        <w:textAlignment w:val="baseline"/>
        <w:rPr>
          <w:rFonts w:ascii="宋体" w:hAnsi="宋体"/>
          <w:color w:val="auto"/>
          <w:sz w:val="20"/>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.2注意事项说明：电子投标文件制作工具（金润投标人工具箱6.</w:t>
      </w:r>
      <w:r>
        <w:rPr>
          <w:rFonts w:hint="eastAsia" w:ascii="宋体" w:hAnsi="宋体"/>
          <w:color w:val="auto"/>
          <w:szCs w:val="21"/>
          <w:highlight w:val="none"/>
          <w:lang w:val="en-US" w:eastAsia="zh-CN"/>
        </w:rPr>
        <w:t>7</w:t>
      </w:r>
      <w:r>
        <w:rPr>
          <w:rFonts w:hint="eastAsia" w:ascii="宋体" w:hAnsi="宋体"/>
          <w:color w:val="auto"/>
          <w:szCs w:val="21"/>
          <w:highlight w:val="none"/>
        </w:rPr>
        <w:t>.0版本）和操作说明书请自行下载。</w:t>
      </w:r>
    </w:p>
    <w:p w14:paraId="4187F4DC">
      <w:pPr>
        <w:snapToGrid w:val="0"/>
        <w:spacing w:line="360" w:lineRule="auto"/>
        <w:ind w:firstLine="630" w:firstLineChars="300"/>
        <w:textAlignment w:val="baseline"/>
        <w:rPr>
          <w:rFonts w:ascii="宋体" w:hAnsi="宋体"/>
          <w:color w:val="auto"/>
          <w:sz w:val="20"/>
          <w:szCs w:val="21"/>
          <w:highlight w:val="none"/>
        </w:rPr>
      </w:pPr>
      <w:r>
        <w:rPr>
          <w:rFonts w:hint="eastAsia" w:ascii="宋体" w:hAnsi="宋体"/>
          <w:color w:val="auto"/>
          <w:szCs w:val="21"/>
          <w:highlight w:val="none"/>
        </w:rPr>
        <w:t>①请各投标人务必要提前熟悉系统操作和软件操作，电子投标文件为gef格式。投标过程中如遇问题可联系金润技术客服：客服电话：4008199995，客服QQ：2159511823，如因不会操作所造成的投标失败或损失由投标人自行负责。</w:t>
      </w:r>
    </w:p>
    <w:p w14:paraId="0DFB52CA">
      <w:pPr>
        <w:snapToGrid w:val="0"/>
        <w:spacing w:line="360" w:lineRule="auto"/>
        <w:ind w:firstLine="630" w:firstLineChars="300"/>
        <w:textAlignment w:val="baseline"/>
        <w:rPr>
          <w:rFonts w:ascii="宋体" w:hAnsi="宋体"/>
          <w:color w:val="auto"/>
          <w:sz w:val="20"/>
          <w:szCs w:val="21"/>
          <w:highlight w:val="none"/>
        </w:rPr>
      </w:pPr>
      <w:r>
        <w:rPr>
          <w:rFonts w:hint="eastAsia" w:ascii="宋体" w:hAnsi="宋体"/>
          <w:color w:val="auto"/>
          <w:szCs w:val="21"/>
          <w:highlight w:val="none"/>
        </w:rPr>
        <w:t>②由于对网上招投标操作不熟悉或自身电脑、个人网络等原因导致不能在投标截止时间之前完成投标文件上传的，相应责任由投标人自行承担。在使用系统过程中有疑问或困难请及时进行咨询。</w:t>
      </w:r>
    </w:p>
    <w:p w14:paraId="44793DCF">
      <w:pPr>
        <w:snapToGrid w:val="0"/>
        <w:spacing w:line="360" w:lineRule="auto"/>
        <w:ind w:firstLine="525" w:firstLineChars="250"/>
        <w:jc w:val="left"/>
        <w:textAlignment w:val="baseline"/>
        <w:rPr>
          <w:rFonts w:hint="eastAsia"/>
          <w:color w:val="auto"/>
          <w:highlight w:val="none"/>
        </w:rPr>
      </w:pPr>
      <w:r>
        <w:rPr>
          <w:rFonts w:hint="eastAsia" w:ascii="宋体" w:hAnsi="宋体"/>
          <w:color w:val="auto"/>
          <w:szCs w:val="21"/>
          <w:highlight w:val="none"/>
        </w:rPr>
        <w:t>③开标注意事项：投标人自行完成投标文件解密，因投标人自身原因未在规定时间内完成解密或无法解密的投标文件视为撤销其投标文件，相应责任由投标人自行承担。</w:t>
      </w:r>
    </w:p>
    <w:p w14:paraId="4CC4C3FB">
      <w:pPr>
        <w:adjustRightInd w:val="0"/>
        <w:snapToGrid w:val="0"/>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七、公告期限</w:t>
      </w:r>
      <w:r>
        <w:rPr>
          <w:rFonts w:hint="eastAsia" w:ascii="宋体" w:hAnsi="宋体"/>
          <w:color w:val="auto"/>
          <w:szCs w:val="21"/>
          <w:highlight w:val="none"/>
        </w:rPr>
        <w:t>：</w:t>
      </w:r>
    </w:p>
    <w:p w14:paraId="143D94C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1、本招标公告在中国湖南政府采购网（www.ccgp-hunan.gov.cn）和娄底市公共资源交易网（http://ldggzy.hnloudi.gov.cn/）发布。公告期限从本招标公告发布之日起5个工作日。</w:t>
      </w:r>
    </w:p>
    <w:p w14:paraId="78BC813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2、在其他媒体发布的招标公告，公告内容以本招标公告指定媒体发布的公告为准；公告期限自本招标公告指定媒体最先发布公告之日起算。</w:t>
      </w:r>
    </w:p>
    <w:p w14:paraId="03A1CC3D">
      <w:pPr>
        <w:adjustRightInd w:val="0"/>
        <w:snapToGrid w:val="0"/>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八、询问及质疑</w:t>
      </w:r>
      <w:r>
        <w:rPr>
          <w:rFonts w:hint="eastAsia" w:ascii="宋体" w:hAnsi="宋体"/>
          <w:color w:val="auto"/>
          <w:szCs w:val="21"/>
          <w:highlight w:val="none"/>
        </w:rPr>
        <w:t>：</w:t>
      </w:r>
    </w:p>
    <w:p w14:paraId="3F6C87B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1、投标人对政府采购活动事项如有疑问的，可以向采购人、采购代理机构提出询问。采购人、采购代理机构将在3个工作日内作出答复。</w:t>
      </w:r>
    </w:p>
    <w:p w14:paraId="54B6C73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2、投标人对电子交易平台办理CA证书、操作等如有疑问，请咨询电子交易平台服务机构。</w:t>
      </w:r>
    </w:p>
    <w:p w14:paraId="23BEC3A1">
      <w:pPr>
        <w:widowControl/>
        <w:spacing w:line="50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宋体" w:hAnsi="宋体"/>
          <w:color w:val="auto"/>
          <w:szCs w:val="21"/>
          <w:highlight w:val="none"/>
        </w:rPr>
        <w:t>3、潜在投标人认为招标文件或招标公告使自己的合法权益受到损害的，可以在收到招标文</w:t>
      </w:r>
      <w:bookmarkStart w:id="122" w:name="_GoBack"/>
      <w:bookmarkEnd w:id="122"/>
      <w:r>
        <w:rPr>
          <w:rFonts w:hint="eastAsia" w:ascii="宋体" w:hAnsi="宋体"/>
          <w:color w:val="auto"/>
          <w:szCs w:val="21"/>
          <w:highlight w:val="none"/>
        </w:rPr>
        <w:t>件之日或招标公告期限届满之日起7个工作日内，</w:t>
      </w:r>
      <w:r>
        <w:rPr>
          <w:rFonts w:hint="eastAsia" w:ascii="宋体" w:hAnsi="宋体" w:cs="宋体"/>
          <w:szCs w:val="21"/>
          <w:highlight w:val="none"/>
        </w:rPr>
        <w:t>按</w:t>
      </w:r>
      <w:r>
        <w:rPr>
          <w:rFonts w:hint="eastAsia" w:ascii="宋体" w:hAnsi="宋体" w:cs="宋体"/>
          <w:color w:val="auto"/>
          <w:szCs w:val="21"/>
          <w:highlight w:val="none"/>
        </w:rPr>
        <w:t>《湖南省财政厅关于印发＜政府采购质疑答复和投诉处理操作规程＞的</w:t>
      </w:r>
      <w:r>
        <w:rPr>
          <w:rFonts w:hint="eastAsia" w:ascii="宋体" w:hAnsi="宋体" w:eastAsia="宋体" w:cs="宋体"/>
          <w:color w:val="auto"/>
          <w:szCs w:val="21"/>
          <w:highlight w:val="none"/>
        </w:rPr>
        <w:t>通知》〔20</w:t>
      </w:r>
      <w:r>
        <w:rPr>
          <w:rFonts w:hint="eastAsia" w:ascii="宋体" w:hAnsi="宋体" w:eastAsia="宋体" w:cs="宋体"/>
          <w:color w:val="auto"/>
          <w:szCs w:val="21"/>
          <w:highlight w:val="none"/>
          <w:lang w:val="en-US" w:eastAsia="zh-CN"/>
        </w:rPr>
        <w:t>24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67</w:t>
      </w:r>
      <w:r>
        <w:rPr>
          <w:rFonts w:hint="eastAsia" w:ascii="宋体" w:hAnsi="宋体" w:eastAsia="宋体" w:cs="宋体"/>
          <w:color w:val="auto"/>
          <w:szCs w:val="21"/>
          <w:highlight w:val="none"/>
        </w:rPr>
        <w:t>号))</w:t>
      </w:r>
      <w:r>
        <w:rPr>
          <w:rFonts w:hint="eastAsia" w:ascii="宋体" w:hAnsi="宋体" w:cs="宋体"/>
          <w:color w:val="auto"/>
          <w:szCs w:val="21"/>
          <w:highlight w:val="none"/>
        </w:rPr>
        <w:t>规定，以纸质书面形式向采购人、采购代理机构提出质疑</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投标人应当在法定质疑期内一次性提出针对同一采购程序环节的质疑</w:t>
      </w:r>
      <w:r>
        <w:rPr>
          <w:rFonts w:hint="eastAsia" w:ascii="宋体" w:hAnsi="宋体" w:eastAsia="宋体" w:cs="宋体"/>
          <w:color w:val="auto"/>
          <w:szCs w:val="21"/>
          <w:highlight w:val="none"/>
        </w:rPr>
        <w:t>。</w:t>
      </w:r>
    </w:p>
    <w:p w14:paraId="546F8E68">
      <w:pPr>
        <w:adjustRightInd w:val="0"/>
        <w:snapToGrid w:val="0"/>
        <w:spacing w:line="360" w:lineRule="auto"/>
        <w:ind w:firstLine="420" w:firstLineChars="200"/>
        <w:rPr>
          <w:rFonts w:ascii="宋体" w:hAnsi="宋体"/>
          <w:color w:val="auto"/>
          <w:szCs w:val="21"/>
          <w:highlight w:val="none"/>
        </w:rPr>
      </w:pPr>
    </w:p>
    <w:p w14:paraId="5059F067">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九、投标说明</w:t>
      </w:r>
    </w:p>
    <w:p w14:paraId="229FEDBD">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olor w:val="auto"/>
          <w:szCs w:val="21"/>
          <w:highlight w:val="none"/>
        </w:rPr>
      </w:pPr>
      <w:r>
        <w:rPr>
          <w:rFonts w:hint="eastAsia" w:ascii="宋体" w:hAnsi="宋体"/>
          <w:color w:val="auto"/>
          <w:szCs w:val="21"/>
          <w:highlight w:val="none"/>
        </w:rPr>
        <w:t>1、本公告选项：</w:t>
      </w:r>
      <w:r>
        <w:rPr>
          <w:rFonts w:hint="eastAsia" w:ascii="黑体" w:hAnsi="黑体" w:eastAsia="黑体"/>
          <w:b/>
          <w:iCs/>
          <w:color w:val="auto"/>
          <w:sz w:val="24"/>
          <w:highlight w:val="none"/>
        </w:rPr>
        <w:sym w:font="Wingdings" w:char="00FE"/>
      </w:r>
      <w:r>
        <w:rPr>
          <w:rFonts w:hint="eastAsia" w:ascii="宋体" w:hAnsi="宋体"/>
          <w:color w:val="auto"/>
          <w:szCs w:val="21"/>
          <w:highlight w:val="none"/>
        </w:rPr>
        <w:t xml:space="preserve">表示选择，  </w:t>
      </w:r>
      <w:r>
        <w:rPr>
          <w:rFonts w:hint="eastAsia" w:ascii="宋体" w:hAnsi="宋体"/>
          <w:color w:val="auto"/>
          <w:szCs w:val="21"/>
          <w:highlight w:val="none"/>
        </w:rPr>
        <w:sym w:font="Wingdings" w:char="00A8"/>
      </w:r>
      <w:r>
        <w:rPr>
          <w:rFonts w:hint="eastAsia" w:ascii="宋体" w:hAnsi="宋体"/>
          <w:color w:val="auto"/>
          <w:szCs w:val="21"/>
          <w:highlight w:val="none"/>
        </w:rPr>
        <w:t>表示未选择。</w:t>
      </w:r>
    </w:p>
    <w:p w14:paraId="04EC404D">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color w:val="auto"/>
          <w:highlight w:val="none"/>
        </w:rPr>
      </w:pPr>
      <w:r>
        <w:rPr>
          <w:rFonts w:hint="eastAsia" w:ascii="宋体" w:hAnsi="宋体"/>
          <w:color w:val="auto"/>
          <w:szCs w:val="21"/>
          <w:highlight w:val="none"/>
        </w:rPr>
        <w:t>2、投标人参与政府采购活动，无需向采购人、代理机构、交易平台缴纳任何报名费用。</w:t>
      </w:r>
    </w:p>
    <w:p w14:paraId="4D720593">
      <w:pPr>
        <w:snapToGrid w:val="0"/>
        <w:spacing w:line="360" w:lineRule="auto"/>
        <w:ind w:firstLine="413" w:firstLineChars="196"/>
        <w:textAlignment w:val="baseline"/>
        <w:rPr>
          <w:rFonts w:ascii="宋体" w:hAnsi="宋体"/>
          <w:b/>
          <w:bCs/>
          <w:color w:val="auto"/>
          <w:sz w:val="20"/>
          <w:szCs w:val="21"/>
          <w:highlight w:val="none"/>
        </w:rPr>
      </w:pPr>
      <w:r>
        <w:rPr>
          <w:rFonts w:hint="eastAsia" w:ascii="宋体" w:hAnsi="宋体"/>
          <w:b/>
          <w:bCs/>
          <w:color w:val="auto"/>
          <w:szCs w:val="21"/>
          <w:highlight w:val="none"/>
        </w:rPr>
        <w:t>十、采购人和采购代理机构及监督部门的名称、地址和联系方法</w:t>
      </w:r>
    </w:p>
    <w:p w14:paraId="0B6B205C">
      <w:pPr>
        <w:adjustRightInd w:val="0"/>
        <w:snapToGrid w:val="0"/>
        <w:spacing w:line="420" w:lineRule="exact"/>
        <w:ind w:firstLine="413" w:firstLineChars="196"/>
        <w:rPr>
          <w:rFonts w:hint="eastAsia" w:ascii="宋体" w:hAnsi="宋体" w:cs="宋体"/>
          <w:b/>
          <w:bCs/>
          <w:color w:val="auto"/>
          <w:szCs w:val="21"/>
          <w:highlight w:val="none"/>
        </w:rPr>
      </w:pPr>
      <w:r>
        <w:rPr>
          <w:rFonts w:hint="eastAsia" w:ascii="宋体" w:hAnsi="宋体" w:cs="宋体"/>
          <w:b/>
          <w:bCs/>
          <w:color w:val="auto"/>
          <w:szCs w:val="21"/>
          <w:highlight w:val="none"/>
        </w:rPr>
        <w:t>1</w:t>
      </w:r>
      <w:r>
        <w:rPr>
          <w:rFonts w:hint="eastAsia" w:ascii="宋体" w:hAnsi="宋体" w:cs="宋体"/>
          <w:color w:val="auto"/>
          <w:szCs w:val="21"/>
          <w:highlight w:val="none"/>
        </w:rPr>
        <w:t>、</w:t>
      </w:r>
      <w:r>
        <w:rPr>
          <w:rFonts w:hint="eastAsia" w:ascii="宋体" w:hAnsi="宋体" w:cs="宋体"/>
          <w:b/>
          <w:bCs/>
          <w:color w:val="auto"/>
          <w:szCs w:val="21"/>
          <w:highlight w:val="none"/>
        </w:rPr>
        <w:t>采购人信息</w:t>
      </w:r>
    </w:p>
    <w:p w14:paraId="388C0B92">
      <w:pPr>
        <w:adjustRightInd w:val="0"/>
        <w:snapToGrid w:val="0"/>
        <w:spacing w:line="420" w:lineRule="exact"/>
        <w:ind w:firstLine="411" w:firstLineChars="196"/>
        <w:rPr>
          <w:rFonts w:hint="eastAsia" w:ascii="宋体" w:hAnsi="宋体" w:cs="宋体"/>
          <w:color w:val="auto"/>
          <w:szCs w:val="21"/>
          <w:highlight w:val="none"/>
          <w:u w:val="none"/>
        </w:rPr>
      </w:pPr>
      <w:r>
        <w:rPr>
          <w:rFonts w:hint="eastAsia" w:ascii="宋体" w:hAnsi="宋体" w:cs="宋体"/>
          <w:color w:val="auto"/>
          <w:szCs w:val="21"/>
          <w:highlight w:val="none"/>
          <w:u w:val="none"/>
        </w:rPr>
        <w:t>（1）名  称：</w:t>
      </w:r>
      <w:r>
        <w:rPr>
          <w:rFonts w:hint="eastAsia" w:ascii="宋体" w:hAnsi="宋体" w:cs="宋体"/>
          <w:color w:val="auto"/>
          <w:szCs w:val="21"/>
          <w:highlight w:val="none"/>
          <w:u w:val="none"/>
          <w:lang w:eastAsia="zh-CN"/>
        </w:rPr>
        <w:t>双峰县水利局</w:t>
      </w:r>
      <w:r>
        <w:rPr>
          <w:rFonts w:hint="eastAsia" w:ascii="宋体" w:hAnsi="宋体" w:cs="宋体"/>
          <w:color w:val="auto"/>
          <w:szCs w:val="21"/>
          <w:highlight w:val="none"/>
          <w:u w:val="none"/>
        </w:rPr>
        <w:t xml:space="preserve">                             </w:t>
      </w:r>
    </w:p>
    <w:p w14:paraId="255FD316">
      <w:pPr>
        <w:adjustRightInd w:val="0"/>
        <w:snapToGrid w:val="0"/>
        <w:spacing w:line="420" w:lineRule="exact"/>
        <w:ind w:firstLine="411" w:firstLineChars="196"/>
        <w:rPr>
          <w:rFonts w:hint="eastAsia" w:ascii="宋体" w:hAnsi="宋体" w:eastAsia="宋体" w:cs="宋体"/>
          <w:color w:val="auto"/>
          <w:szCs w:val="21"/>
          <w:highlight w:val="none"/>
          <w:u w:val="none"/>
          <w:lang w:eastAsia="zh-CN"/>
        </w:rPr>
      </w:pPr>
      <w:r>
        <w:rPr>
          <w:rFonts w:hint="eastAsia" w:ascii="宋体" w:hAnsi="宋体" w:cs="宋体"/>
          <w:color w:val="auto"/>
          <w:szCs w:val="21"/>
          <w:highlight w:val="none"/>
          <w:u w:val="none"/>
        </w:rPr>
        <w:t>（2）地  址：</w:t>
      </w:r>
      <w:r>
        <w:rPr>
          <w:rFonts w:hint="eastAsia" w:ascii="宋体" w:hAnsi="宋体" w:cs="宋体"/>
          <w:color w:val="auto"/>
          <w:szCs w:val="21"/>
          <w:highlight w:val="none"/>
          <w:u w:val="none"/>
          <w:lang w:eastAsia="zh-CN"/>
        </w:rPr>
        <w:t>双峰县永丰街道沿河北路1号</w:t>
      </w:r>
    </w:p>
    <w:p w14:paraId="33D9255B">
      <w:pPr>
        <w:adjustRightInd w:val="0"/>
        <w:snapToGrid w:val="0"/>
        <w:spacing w:line="420" w:lineRule="exact"/>
        <w:ind w:firstLine="420" w:firstLineChars="200"/>
        <w:rPr>
          <w:rFonts w:hint="eastAsia" w:ascii="宋体" w:hAnsi="宋体" w:cs="宋体"/>
          <w:bCs/>
          <w:color w:val="auto"/>
          <w:szCs w:val="21"/>
          <w:highlight w:val="none"/>
          <w:u w:val="none"/>
        </w:rPr>
      </w:pPr>
      <w:r>
        <w:rPr>
          <w:rFonts w:hint="eastAsia" w:ascii="宋体" w:hAnsi="宋体" w:cs="宋体"/>
          <w:color w:val="auto"/>
          <w:szCs w:val="21"/>
          <w:highlight w:val="none"/>
          <w:u w:val="none"/>
        </w:rPr>
        <w:t>（3）</w:t>
      </w:r>
      <w:r>
        <w:rPr>
          <w:rFonts w:hint="eastAsia" w:ascii="宋体" w:hAnsi="宋体" w:cs="宋体"/>
          <w:bCs/>
          <w:color w:val="auto"/>
          <w:szCs w:val="21"/>
          <w:highlight w:val="none"/>
          <w:u w:val="none"/>
        </w:rPr>
        <w:t>联系人：</w:t>
      </w:r>
      <w:r>
        <w:rPr>
          <w:rFonts w:hint="eastAsia" w:ascii="宋体" w:hAnsi="宋体" w:cs="宋体"/>
          <w:color w:val="auto"/>
          <w:szCs w:val="21"/>
          <w:highlight w:val="none"/>
          <w:u w:val="none"/>
          <w:lang w:val="en-US" w:eastAsia="zh-CN"/>
        </w:rPr>
        <w:t>梁先生</w:t>
      </w:r>
      <w:r>
        <w:rPr>
          <w:rFonts w:hint="eastAsia" w:ascii="宋体" w:hAnsi="宋体" w:cs="宋体"/>
          <w:bCs/>
          <w:color w:val="auto"/>
          <w:szCs w:val="21"/>
          <w:highlight w:val="none"/>
          <w:u w:val="none"/>
        </w:rPr>
        <w:t xml:space="preserve">                </w:t>
      </w:r>
    </w:p>
    <w:p w14:paraId="61A4BCFD">
      <w:pPr>
        <w:adjustRightInd w:val="0"/>
        <w:snapToGrid w:val="0"/>
        <w:spacing w:line="420" w:lineRule="exact"/>
        <w:ind w:firstLine="420" w:firstLineChars="200"/>
        <w:rPr>
          <w:rFonts w:hint="eastAsia" w:ascii="宋体" w:hAnsi="宋体" w:eastAsia="宋体" w:cs="宋体"/>
          <w:color w:val="auto"/>
          <w:szCs w:val="21"/>
          <w:highlight w:val="none"/>
          <w:u w:val="none"/>
          <w:lang w:eastAsia="zh-CN"/>
        </w:rPr>
      </w:pPr>
      <w:r>
        <w:rPr>
          <w:rFonts w:hint="eastAsia" w:ascii="宋体" w:hAnsi="宋体" w:cs="宋体"/>
          <w:color w:val="auto"/>
          <w:szCs w:val="21"/>
          <w:highlight w:val="none"/>
          <w:u w:val="none"/>
        </w:rPr>
        <w:t>（4）</w:t>
      </w:r>
      <w:r>
        <w:rPr>
          <w:rFonts w:hint="eastAsia" w:ascii="宋体" w:hAnsi="宋体" w:cs="宋体"/>
          <w:bCs/>
          <w:color w:val="auto"/>
          <w:szCs w:val="21"/>
          <w:highlight w:val="none"/>
          <w:u w:val="none"/>
        </w:rPr>
        <w:t>电  话：</w:t>
      </w:r>
      <w:r>
        <w:rPr>
          <w:rFonts w:hint="eastAsia" w:ascii="宋体" w:hAnsi="宋体" w:cs="宋体"/>
          <w:color w:val="auto"/>
          <w:szCs w:val="21"/>
          <w:highlight w:val="none"/>
          <w:u w:val="none"/>
          <w:lang w:eastAsia="zh-CN"/>
        </w:rPr>
        <w:t>13873896295</w:t>
      </w:r>
    </w:p>
    <w:p w14:paraId="5DA79444">
      <w:pPr>
        <w:adjustRightInd w:val="0"/>
        <w:snapToGrid w:val="0"/>
        <w:spacing w:line="420" w:lineRule="exact"/>
        <w:ind w:firstLine="413" w:firstLineChars="196"/>
        <w:rPr>
          <w:rFonts w:hint="eastAsia" w:ascii="宋体" w:hAnsi="宋体" w:cs="宋体"/>
          <w:b/>
          <w:bCs/>
          <w:color w:val="auto"/>
          <w:szCs w:val="21"/>
          <w:highlight w:val="none"/>
          <w:u w:val="none"/>
        </w:rPr>
      </w:pPr>
      <w:r>
        <w:rPr>
          <w:rFonts w:hint="eastAsia" w:ascii="宋体" w:hAnsi="宋体" w:cs="宋体"/>
          <w:b/>
          <w:bCs/>
          <w:color w:val="auto"/>
          <w:szCs w:val="21"/>
          <w:highlight w:val="none"/>
          <w:u w:val="none"/>
        </w:rPr>
        <w:t>2</w:t>
      </w:r>
      <w:r>
        <w:rPr>
          <w:rFonts w:hint="eastAsia" w:ascii="宋体" w:hAnsi="宋体" w:cs="宋体"/>
          <w:color w:val="auto"/>
          <w:szCs w:val="21"/>
          <w:highlight w:val="none"/>
          <w:u w:val="none"/>
        </w:rPr>
        <w:t>、</w:t>
      </w:r>
      <w:r>
        <w:rPr>
          <w:rFonts w:hint="eastAsia" w:ascii="宋体" w:hAnsi="宋体" w:cs="宋体"/>
          <w:b/>
          <w:bCs/>
          <w:color w:val="auto"/>
          <w:szCs w:val="21"/>
          <w:highlight w:val="none"/>
          <w:u w:val="none"/>
        </w:rPr>
        <w:t>采购代理机构信息</w:t>
      </w:r>
    </w:p>
    <w:p w14:paraId="3006CB08">
      <w:pPr>
        <w:adjustRightInd w:val="0"/>
        <w:snapToGrid w:val="0"/>
        <w:spacing w:line="420" w:lineRule="exact"/>
        <w:ind w:firstLine="411" w:firstLineChars="196"/>
        <w:rPr>
          <w:rFonts w:ascii="宋体" w:hAnsi="宋体" w:cs="宋体"/>
          <w:color w:val="auto"/>
          <w:szCs w:val="21"/>
          <w:highlight w:val="none"/>
          <w:u w:val="none"/>
        </w:rPr>
      </w:pPr>
      <w:r>
        <w:rPr>
          <w:rFonts w:hint="eastAsia" w:ascii="宋体" w:hAnsi="宋体" w:cs="宋体"/>
          <w:color w:val="auto"/>
          <w:szCs w:val="21"/>
          <w:highlight w:val="none"/>
          <w:u w:val="none"/>
        </w:rPr>
        <w:t>（1）</w:t>
      </w:r>
      <w:r>
        <w:rPr>
          <w:rFonts w:hint="eastAsia" w:ascii="宋体" w:hAnsi="宋体" w:cs="宋体"/>
          <w:bCs/>
          <w:color w:val="auto"/>
          <w:szCs w:val="21"/>
          <w:highlight w:val="none"/>
          <w:u w:val="none"/>
        </w:rPr>
        <w:t>名    称：</w:t>
      </w:r>
      <w:r>
        <w:rPr>
          <w:rFonts w:hint="eastAsia" w:ascii="宋体" w:hAnsi="宋体" w:cs="宋体"/>
          <w:color w:val="auto"/>
          <w:szCs w:val="21"/>
          <w:highlight w:val="none"/>
          <w:u w:val="none"/>
        </w:rPr>
        <w:t>湘能卓信项目管理有限公司</w:t>
      </w:r>
    </w:p>
    <w:p w14:paraId="55CAD8A4">
      <w:pPr>
        <w:adjustRightInd w:val="0"/>
        <w:snapToGrid w:val="0"/>
        <w:spacing w:line="420" w:lineRule="exact"/>
        <w:ind w:firstLine="420" w:firstLineChars="200"/>
        <w:rPr>
          <w:rFonts w:ascii="宋体" w:hAnsi="宋体" w:cs="宋体"/>
          <w:color w:val="auto"/>
          <w:szCs w:val="21"/>
          <w:highlight w:val="none"/>
          <w:u w:val="none"/>
        </w:rPr>
      </w:pPr>
      <w:r>
        <w:rPr>
          <w:rFonts w:hint="eastAsia" w:ascii="宋体" w:hAnsi="宋体" w:cs="宋体"/>
          <w:color w:val="auto"/>
          <w:szCs w:val="21"/>
          <w:highlight w:val="none"/>
          <w:u w:val="none"/>
        </w:rPr>
        <w:t xml:space="preserve">（2）地    址：娄底市娄星区吉星南路3大桥对江村 </w:t>
      </w:r>
    </w:p>
    <w:p w14:paraId="11EA5B79">
      <w:pPr>
        <w:adjustRightInd w:val="0"/>
        <w:snapToGrid w:val="0"/>
        <w:spacing w:line="420" w:lineRule="exact"/>
        <w:ind w:firstLine="420" w:firstLineChars="200"/>
        <w:rPr>
          <w:rFonts w:hint="eastAsia" w:ascii="宋体" w:hAnsi="宋体" w:cs="宋体"/>
          <w:color w:val="auto"/>
          <w:szCs w:val="21"/>
          <w:highlight w:val="none"/>
          <w:u w:val="none"/>
        </w:rPr>
      </w:pPr>
      <w:r>
        <w:rPr>
          <w:rFonts w:hint="eastAsia" w:ascii="宋体" w:hAnsi="宋体" w:cs="宋体"/>
          <w:color w:val="auto"/>
          <w:szCs w:val="21"/>
          <w:highlight w:val="none"/>
          <w:u w:val="none"/>
        </w:rPr>
        <w:t>（3）联 系 人：罗小波</w:t>
      </w:r>
    </w:p>
    <w:p w14:paraId="08177709">
      <w:pPr>
        <w:adjustRightInd w:val="0"/>
        <w:snapToGrid w:val="0"/>
        <w:spacing w:line="420" w:lineRule="exact"/>
        <w:ind w:firstLine="420" w:firstLineChars="200"/>
        <w:rPr>
          <w:rFonts w:ascii="宋体" w:hAnsi="宋体" w:cs="宋体"/>
          <w:color w:val="auto"/>
          <w:szCs w:val="21"/>
          <w:highlight w:val="none"/>
          <w:u w:val="none"/>
        </w:rPr>
      </w:pPr>
      <w:r>
        <w:rPr>
          <w:rFonts w:hint="eastAsia" w:ascii="宋体" w:hAnsi="宋体" w:cs="宋体"/>
          <w:color w:val="auto"/>
          <w:szCs w:val="21"/>
          <w:highlight w:val="none"/>
          <w:u w:val="none"/>
        </w:rPr>
        <w:t xml:space="preserve">（4）电    话：18081278587 </w:t>
      </w:r>
    </w:p>
    <w:p w14:paraId="10B33DA3">
      <w:pPr>
        <w:adjustRightInd w:val="0"/>
        <w:snapToGrid w:val="0"/>
        <w:spacing w:line="420" w:lineRule="exact"/>
        <w:ind w:firstLine="420" w:firstLineChars="200"/>
        <w:rPr>
          <w:rFonts w:ascii="宋体" w:hAnsi="宋体"/>
          <w:color w:val="auto"/>
          <w:szCs w:val="21"/>
          <w:highlight w:val="none"/>
          <w:u w:val="none"/>
        </w:rPr>
      </w:pPr>
      <w:r>
        <w:rPr>
          <w:rFonts w:hint="eastAsia" w:ascii="宋体" w:hAnsi="宋体" w:cs="宋体"/>
          <w:color w:val="auto"/>
          <w:szCs w:val="21"/>
          <w:highlight w:val="none"/>
          <w:u w:val="none"/>
        </w:rPr>
        <w:t>（5）电子邮箱：2411051772@qq.com</w:t>
      </w:r>
    </w:p>
    <w:p w14:paraId="6779A7E0">
      <w:pPr>
        <w:adjustRightInd w:val="0"/>
        <w:snapToGrid w:val="0"/>
        <w:spacing w:line="420" w:lineRule="exact"/>
        <w:ind w:firstLine="413" w:firstLineChars="196"/>
        <w:rPr>
          <w:rFonts w:hint="eastAsia" w:ascii="宋体" w:hAnsi="宋体" w:cs="宋体"/>
          <w:color w:val="auto"/>
          <w:szCs w:val="21"/>
          <w:highlight w:val="none"/>
        </w:rPr>
      </w:pPr>
      <w:r>
        <w:rPr>
          <w:rFonts w:hint="eastAsia" w:ascii="宋体" w:hAnsi="宋体" w:cs="宋体"/>
          <w:b/>
          <w:bCs/>
          <w:color w:val="auto"/>
          <w:szCs w:val="21"/>
          <w:highlight w:val="none"/>
        </w:rPr>
        <w:t>3、监管部门联系方式</w:t>
      </w:r>
    </w:p>
    <w:p w14:paraId="63C25F97">
      <w:pPr>
        <w:adjustRightInd w:val="0"/>
        <w:snapToGrid w:val="0"/>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（1）监督部门：双峰县政府采购管理股</w:t>
      </w:r>
    </w:p>
    <w:p w14:paraId="2C60535C">
      <w:pPr>
        <w:adjustRightInd w:val="0"/>
        <w:snapToGrid w:val="0"/>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（2）地址：双峰县政务中心4楼</w:t>
      </w:r>
    </w:p>
    <w:p w14:paraId="51798265">
      <w:pPr>
        <w:adjustRightInd w:val="0"/>
        <w:snapToGrid w:val="0"/>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（3）联系电话：0738-6827388</w:t>
      </w:r>
    </w:p>
    <w:p w14:paraId="4CD140C4">
      <w:pPr>
        <w:pStyle w:val="47"/>
        <w:spacing w:line="360" w:lineRule="auto"/>
        <w:ind w:firstLine="211" w:firstLineChars="100"/>
        <w:rPr>
          <w:rFonts w:hint="eastAsia" w:ascii="宋体" w:hAnsi="宋体"/>
          <w:b/>
          <w:color w:val="auto"/>
          <w:highlight w:val="none"/>
        </w:rPr>
      </w:pPr>
      <w:r>
        <w:rPr>
          <w:rFonts w:hint="eastAsia" w:ascii="宋体" w:hAnsi="宋体"/>
          <w:b/>
          <w:color w:val="auto"/>
          <w:highlight w:val="none"/>
        </w:rPr>
        <w:t>4、电子交易平台服务机构信息</w:t>
      </w:r>
    </w:p>
    <w:p w14:paraId="2713F043">
      <w:pPr>
        <w:adjustRightInd w:val="0"/>
        <w:snapToGrid w:val="0"/>
        <w:spacing w:line="420" w:lineRule="exact"/>
        <w:ind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（1）名 称：娄底市公共资源交易中心</w:t>
      </w:r>
    </w:p>
    <w:p w14:paraId="7BC2994A">
      <w:pPr>
        <w:adjustRightInd w:val="0"/>
        <w:snapToGrid w:val="0"/>
        <w:spacing w:line="420" w:lineRule="exact"/>
        <w:ind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（2）联系人：金润软件 </w:t>
      </w:r>
    </w:p>
    <w:p w14:paraId="1071F2AD">
      <w:pPr>
        <w:adjustRightInd w:val="0"/>
        <w:snapToGrid w:val="0"/>
        <w:spacing w:line="420" w:lineRule="exact"/>
        <w:ind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（3）电 话：0738-6371199 400819999</w:t>
      </w:r>
    </w:p>
    <w:p w14:paraId="620917E8">
      <w:pPr>
        <w:adjustRightInd w:val="0"/>
        <w:snapToGrid w:val="0"/>
        <w:spacing w:line="42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（4）电子邮箱：2159511823@qq.com</w:t>
      </w:r>
    </w:p>
    <w:p w14:paraId="24C17CDB">
      <w:pPr>
        <w:adjustRightInd w:val="0"/>
        <w:snapToGrid w:val="0"/>
        <w:spacing w:line="360" w:lineRule="auto"/>
        <w:ind w:firstLine="726" w:firstLineChars="346"/>
        <w:rPr>
          <w:rFonts w:ascii="宋体" w:hAnsi="宋体"/>
          <w:color w:val="auto"/>
          <w:szCs w:val="21"/>
          <w:highlight w:val="none"/>
        </w:rPr>
      </w:pPr>
    </w:p>
    <w:p w14:paraId="26C83D0E">
      <w:pPr>
        <w:snapToGrid w:val="0"/>
        <w:spacing w:line="360" w:lineRule="auto"/>
        <w:ind w:firstLine="211" w:firstLineChars="100"/>
        <w:textAlignment w:val="baseline"/>
        <w:rPr>
          <w:rFonts w:ascii="宋体" w:hAnsi="宋体"/>
          <w:b/>
          <w:bCs/>
          <w:color w:val="auto"/>
          <w:sz w:val="20"/>
          <w:szCs w:val="21"/>
          <w:highlight w:val="none"/>
        </w:rPr>
      </w:pPr>
      <w:r>
        <w:rPr>
          <w:rFonts w:hint="eastAsia" w:ascii="宋体" w:hAnsi="宋体"/>
          <w:b/>
          <w:bCs/>
          <w:color w:val="auto"/>
          <w:szCs w:val="21"/>
          <w:highlight w:val="none"/>
        </w:rPr>
        <w:t>十一</w:t>
      </w:r>
      <w:r>
        <w:rPr>
          <w:rFonts w:ascii="宋体" w:hAnsi="宋体"/>
          <w:b/>
          <w:bCs/>
          <w:color w:val="auto"/>
          <w:szCs w:val="21"/>
          <w:highlight w:val="none"/>
        </w:rPr>
        <w:t>、</w:t>
      </w:r>
      <w:r>
        <w:rPr>
          <w:rFonts w:hint="eastAsia" w:ascii="宋体" w:hAnsi="宋体"/>
          <w:b/>
          <w:bCs/>
          <w:color w:val="auto"/>
          <w:szCs w:val="21"/>
          <w:highlight w:val="none"/>
        </w:rPr>
        <w:t>其他补充事宜：</w:t>
      </w:r>
    </w:p>
    <w:p w14:paraId="327C4AF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1、本项目为线上不见面开标，评标委员会按投标人提交的电子投标文件进行评审，资料的真实性、合法性由投标人负责，如有虚假，已中标的将取消中标资格，并依法承担相应责任。</w:t>
      </w:r>
    </w:p>
    <w:p w14:paraId="7F9A608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线上澄清注意事项：评标小组专家在评标室，对需要进行答疑的单位进行提问，投标单位收到短信后在规定时间内在交易平台进行澄清（快捷导航-澄清答疑-选择进行答疑的项目）查看问题并上传答疑附件（答疑附件以PDF格式上传）。</w:t>
      </w:r>
    </w:p>
    <w:p w14:paraId="2F0C62DB">
      <w:pPr>
        <w:adjustRightInd w:val="0"/>
        <w:snapToGrid w:val="0"/>
        <w:spacing w:line="360" w:lineRule="auto"/>
        <w:ind w:firstLine="413" w:firstLineChars="196"/>
        <w:rPr>
          <w:rFonts w:ascii="宋体" w:hAnsi="宋体"/>
          <w:b/>
          <w:bCs/>
          <w:color w:val="auto"/>
          <w:szCs w:val="21"/>
          <w:highlight w:val="none"/>
        </w:rPr>
      </w:pPr>
    </w:p>
    <w:p w14:paraId="303C3C4E">
      <w:pPr>
        <w:adjustRightInd w:val="0"/>
        <w:snapToGrid w:val="0"/>
        <w:spacing w:line="360" w:lineRule="auto"/>
        <w:ind w:firstLine="413" w:firstLineChars="196"/>
        <w:rPr>
          <w:rFonts w:ascii="宋体" w:hAnsi="宋体"/>
          <w:b/>
          <w:bCs/>
          <w:color w:val="auto"/>
          <w:szCs w:val="21"/>
          <w:highlight w:val="none"/>
        </w:rPr>
      </w:pPr>
    </w:p>
    <w:p w14:paraId="37BD016D">
      <w:pPr>
        <w:rPr>
          <w:rFonts w:hint="eastAsia" w:ascii="黑体" w:hAnsi="华文中宋" w:eastAsia="黑体"/>
          <w:b/>
          <w:color w:val="auto"/>
          <w:sz w:val="32"/>
          <w:szCs w:val="32"/>
          <w:highlight w:val="none"/>
        </w:rPr>
      </w:pPr>
      <w:bookmarkStart w:id="9" w:name="_Toc17315"/>
      <w:r>
        <w:rPr>
          <w:rFonts w:hint="eastAsia" w:ascii="黑体" w:hAnsi="华文中宋" w:eastAsia="黑体"/>
          <w:b/>
          <w:color w:val="auto"/>
          <w:sz w:val="32"/>
          <w:szCs w:val="32"/>
          <w:highlight w:val="none"/>
        </w:rPr>
        <w:br w:type="page"/>
      </w:r>
    </w:p>
    <w:p w14:paraId="5F28DA4F">
      <w:pPr>
        <w:pStyle w:val="13"/>
        <w:adjustRightInd w:val="0"/>
        <w:snapToGrid w:val="0"/>
        <w:spacing w:line="360" w:lineRule="auto"/>
        <w:jc w:val="center"/>
        <w:outlineLvl w:val="0"/>
        <w:rPr>
          <w:rFonts w:ascii="黑体" w:hAnsi="华文中宋" w:eastAsia="黑体"/>
          <w:b/>
          <w:color w:val="auto"/>
          <w:spacing w:val="100"/>
          <w:sz w:val="32"/>
          <w:szCs w:val="32"/>
          <w:highlight w:val="none"/>
        </w:rPr>
      </w:pPr>
      <w:r>
        <w:rPr>
          <w:rFonts w:hint="eastAsia" w:ascii="黑体" w:hAnsi="华文中宋" w:eastAsia="黑体"/>
          <w:b/>
          <w:color w:val="auto"/>
          <w:sz w:val="32"/>
          <w:szCs w:val="32"/>
          <w:highlight w:val="none"/>
        </w:rPr>
        <w:t>第二章 投标须知</w:t>
      </w:r>
      <w:bookmarkEnd w:id="1"/>
      <w:bookmarkEnd w:id="2"/>
      <w:bookmarkEnd w:id="3"/>
      <w:bookmarkEnd w:id="4"/>
      <w:bookmarkEnd w:id="5"/>
      <w:bookmarkEnd w:id="6"/>
      <w:bookmarkEnd w:id="7"/>
      <w:bookmarkEnd w:id="8"/>
      <w:bookmarkEnd w:id="9"/>
    </w:p>
    <w:p w14:paraId="35CC5BE5">
      <w:pPr>
        <w:pStyle w:val="5"/>
        <w:adjustRightInd w:val="0"/>
        <w:snapToGrid w:val="0"/>
        <w:jc w:val="center"/>
        <w:rPr>
          <w:rFonts w:ascii="黑体" w:hAnsi="华文中宋" w:eastAsia="黑体"/>
          <w:color w:val="auto"/>
          <w:spacing w:val="100"/>
          <w:sz w:val="28"/>
          <w:szCs w:val="28"/>
          <w:highlight w:val="none"/>
        </w:rPr>
      </w:pPr>
      <w:bookmarkStart w:id="10" w:name="_Toc8054"/>
      <w:r>
        <w:rPr>
          <w:rFonts w:hint="eastAsia" w:ascii="黑体" w:hAnsi="华文中宋" w:eastAsia="黑体"/>
          <w:color w:val="auto"/>
          <w:sz w:val="28"/>
          <w:szCs w:val="28"/>
          <w:highlight w:val="none"/>
        </w:rPr>
        <w:t>第一节 投标须知前附表</w:t>
      </w:r>
      <w:bookmarkEnd w:id="10"/>
    </w:p>
    <w:p w14:paraId="4D546322">
      <w:pPr>
        <w:adjustRightInd w:val="0"/>
        <w:snapToGrid w:val="0"/>
        <w:spacing w:line="360" w:lineRule="auto"/>
        <w:ind w:right="31" w:rightChars="15"/>
        <w:jc w:val="left"/>
        <w:rPr>
          <w:rFonts w:ascii="宋体" w:hAnsi="宋体"/>
          <w:color w:val="auto"/>
          <w:szCs w:val="21"/>
          <w:highlight w:val="none"/>
        </w:rPr>
      </w:pPr>
      <w:r>
        <w:rPr>
          <w:rFonts w:hint="eastAsia" w:ascii="宋体" w:hAnsi="宋体"/>
          <w:color w:val="auto"/>
          <w:szCs w:val="21"/>
          <w:highlight w:val="none"/>
        </w:rPr>
        <w:t>注：本项目启用的条款在“编列内容规定”栏内以“</w:t>
      </w:r>
      <w:r>
        <w:rPr>
          <w:rFonts w:hint="eastAsia" w:ascii="黑体" w:hAnsi="黑体" w:eastAsia="黑体"/>
          <w:b/>
          <w:iCs/>
          <w:color w:val="auto"/>
          <w:sz w:val="24"/>
          <w:highlight w:val="none"/>
        </w:rPr>
        <w:sym w:font="Wingdings" w:char="00FE"/>
      </w:r>
      <w:r>
        <w:rPr>
          <w:rFonts w:hint="eastAsia" w:ascii="宋体" w:hAnsi="宋体"/>
          <w:color w:val="auto"/>
          <w:szCs w:val="21"/>
          <w:highlight w:val="none"/>
        </w:rPr>
        <w:t>”标注。</w:t>
      </w:r>
      <w:r>
        <w:rPr>
          <w:rFonts w:hint="eastAsia" w:ascii="黑体" w:hAnsi="黑体" w:eastAsia="黑体"/>
          <w:b/>
          <w:iCs/>
          <w:color w:val="auto"/>
          <w:sz w:val="24"/>
          <w:highlight w:val="none"/>
        </w:rPr>
        <w:sym w:font="Wingdings" w:char="00FE"/>
      </w:r>
      <w:r>
        <w:rPr>
          <w:rFonts w:hint="eastAsia" w:ascii="宋体" w:hAnsi="宋体"/>
          <w:color w:val="auto"/>
          <w:szCs w:val="21"/>
          <w:highlight w:val="none"/>
        </w:rPr>
        <w:t>表示选择，</w:t>
      </w:r>
      <w:r>
        <w:rPr>
          <w:rFonts w:hint="eastAsia" w:ascii="宋体" w:hAnsi="宋体"/>
          <w:color w:val="auto"/>
          <w:szCs w:val="21"/>
          <w:highlight w:val="none"/>
        </w:rPr>
        <w:sym w:font="Wingdings" w:char="00A8"/>
      </w:r>
      <w:r>
        <w:rPr>
          <w:rFonts w:hint="eastAsia" w:ascii="宋体" w:hAnsi="宋体"/>
          <w:color w:val="auto"/>
          <w:szCs w:val="21"/>
          <w:highlight w:val="none"/>
        </w:rPr>
        <w:t>表示未选择</w:t>
      </w:r>
    </w:p>
    <w:tbl>
      <w:tblPr>
        <w:tblStyle w:val="26"/>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863"/>
        <w:gridCol w:w="4508"/>
      </w:tblGrid>
      <w:tr w14:paraId="63FB2F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560" w:type="dxa"/>
            <w:noWrap w:val="0"/>
            <w:vAlign w:val="center"/>
          </w:tcPr>
          <w:p w14:paraId="48A48F1D">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条款号</w:t>
            </w:r>
          </w:p>
        </w:tc>
        <w:tc>
          <w:tcPr>
            <w:tcW w:w="2863" w:type="dxa"/>
            <w:noWrap w:val="0"/>
            <w:vAlign w:val="center"/>
          </w:tcPr>
          <w:p w14:paraId="50CB5FFC">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条款名称</w:t>
            </w:r>
          </w:p>
        </w:tc>
        <w:tc>
          <w:tcPr>
            <w:tcW w:w="4508" w:type="dxa"/>
            <w:noWrap w:val="0"/>
            <w:vAlign w:val="center"/>
          </w:tcPr>
          <w:p w14:paraId="7611E93A">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编列内容规定</w:t>
            </w:r>
          </w:p>
        </w:tc>
      </w:tr>
      <w:tr w14:paraId="2E7602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noWrap w:val="0"/>
            <w:vAlign w:val="center"/>
          </w:tcPr>
          <w:p w14:paraId="4A6AF5AF">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color w:val="auto"/>
                <w:szCs w:val="21"/>
                <w:highlight w:val="none"/>
              </w:rPr>
              <w:t>一、说明</w:t>
            </w:r>
          </w:p>
        </w:tc>
      </w:tr>
      <w:tr w14:paraId="5D07AD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DD11F96">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第1.1款</w:t>
            </w:r>
          </w:p>
        </w:tc>
        <w:tc>
          <w:tcPr>
            <w:tcW w:w="2863" w:type="dxa"/>
            <w:noWrap w:val="0"/>
            <w:vAlign w:val="center"/>
          </w:tcPr>
          <w:p w14:paraId="55C2E542">
            <w:pPr>
              <w:adjustRightInd w:val="0"/>
              <w:snapToGrid w:val="0"/>
              <w:spacing w:line="360" w:lineRule="auto"/>
              <w:rPr>
                <w:rFonts w:ascii="Times New Roman" w:hAnsi="宋体" w:eastAsia="宋体" w:cs="Times New Roman"/>
                <w:color w:val="auto"/>
                <w:szCs w:val="21"/>
                <w:highlight w:val="none"/>
              </w:rPr>
            </w:pPr>
            <w:r>
              <w:rPr>
                <w:rFonts w:hint="eastAsia" w:ascii="Times New Roman" w:hAnsi="宋体" w:eastAsia="宋体" w:cs="Times New Roman"/>
                <w:color w:val="auto"/>
                <w:szCs w:val="21"/>
                <w:highlight w:val="none"/>
              </w:rPr>
              <w:t>采购项目</w:t>
            </w:r>
          </w:p>
        </w:tc>
        <w:tc>
          <w:tcPr>
            <w:tcW w:w="4508" w:type="dxa"/>
            <w:noWrap w:val="0"/>
            <w:vAlign w:val="center"/>
          </w:tcPr>
          <w:p w14:paraId="077AD751">
            <w:pPr>
              <w:adjustRightInd w:val="0"/>
              <w:snapToGrid w:val="0"/>
              <w:spacing w:line="420" w:lineRule="exact"/>
              <w:rPr>
                <w:rFonts w:hint="eastAsia" w:ascii="Times New Roman" w:hAnsi="宋体" w:eastAsia="宋体" w:cs="Times New Roman"/>
                <w:color w:val="auto"/>
                <w:szCs w:val="21"/>
                <w:highlight w:val="none"/>
              </w:rPr>
            </w:pPr>
            <w:r>
              <w:rPr>
                <w:rFonts w:hint="eastAsia" w:hAnsi="宋体" w:cs="Times New Roman"/>
                <w:color w:val="auto"/>
                <w:szCs w:val="21"/>
                <w:highlight w:val="none"/>
                <w:lang w:eastAsia="zh-CN"/>
              </w:rPr>
              <w:t>双峰县2024年度水库及堤防堤坝白蚁等害堤动物综合治理项目</w:t>
            </w:r>
            <w:r>
              <w:rPr>
                <w:rFonts w:hint="eastAsia" w:ascii="Times New Roman" w:hAnsi="宋体" w:eastAsia="宋体" w:cs="Times New Roman"/>
                <w:color w:val="auto"/>
                <w:szCs w:val="21"/>
                <w:highlight w:val="none"/>
              </w:rPr>
              <w:t xml:space="preserve"> </w:t>
            </w:r>
          </w:p>
        </w:tc>
      </w:tr>
      <w:tr w14:paraId="071DB0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E881F15">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第1.2款</w:t>
            </w:r>
          </w:p>
        </w:tc>
        <w:tc>
          <w:tcPr>
            <w:tcW w:w="2863" w:type="dxa"/>
            <w:noWrap w:val="0"/>
            <w:vAlign w:val="center"/>
          </w:tcPr>
          <w:p w14:paraId="5BA77A66">
            <w:pPr>
              <w:adjustRightInd w:val="0"/>
              <w:snapToGrid w:val="0"/>
              <w:spacing w:line="360" w:lineRule="auto"/>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是否预留采购份额</w:t>
            </w:r>
          </w:p>
        </w:tc>
        <w:tc>
          <w:tcPr>
            <w:tcW w:w="4508" w:type="dxa"/>
            <w:noWrap w:val="0"/>
            <w:vAlign w:val="center"/>
          </w:tcPr>
          <w:p w14:paraId="0AEE98E6">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sym w:font="Wingdings" w:char="00A8"/>
            </w:r>
            <w:r>
              <w:rPr>
                <w:rFonts w:ascii="宋体" w:hAnsi="宋体" w:eastAsia="宋体" w:cs="Times New Roman"/>
                <w:color w:val="auto"/>
                <w:szCs w:val="21"/>
                <w:highlight w:val="none"/>
              </w:rPr>
              <w:t xml:space="preserve"> </w:t>
            </w:r>
            <w:r>
              <w:rPr>
                <w:rFonts w:hint="eastAsia" w:ascii="Times New Roman" w:hAnsi="宋体" w:eastAsia="宋体" w:cs="Times New Roman"/>
                <w:color w:val="auto"/>
                <w:szCs w:val="21"/>
                <w:highlight w:val="none"/>
              </w:rPr>
              <w:t xml:space="preserve">是 </w:t>
            </w:r>
          </w:p>
          <w:p w14:paraId="6A38B519">
            <w:pPr>
              <w:adjustRightInd w:val="0"/>
              <w:snapToGrid w:val="0"/>
              <w:spacing w:line="420" w:lineRule="exact"/>
              <w:rPr>
                <w:rFonts w:hint="eastAsia" w:ascii="Times New Roman" w:hAnsi="宋体" w:eastAsia="宋体" w:cs="Times New Roman"/>
                <w:color w:val="auto"/>
                <w:szCs w:val="21"/>
                <w:highlight w:val="none"/>
              </w:rPr>
            </w:pPr>
            <w:r>
              <w:rPr>
                <w:rFonts w:hint="eastAsia" w:ascii="黑体" w:hAnsi="黑体" w:eastAsia="黑体" w:cs="Times New Roman"/>
                <w:b/>
                <w:iCs/>
                <w:color w:val="auto"/>
                <w:sz w:val="24"/>
                <w:highlight w:val="none"/>
              </w:rPr>
              <w:sym w:font="Wingdings" w:char="00FE"/>
            </w:r>
            <w:r>
              <w:rPr>
                <w:rFonts w:ascii="Times New Roman" w:hAnsi="宋体" w:eastAsia="宋体" w:cs="Times New Roman"/>
                <w:color w:val="auto"/>
                <w:szCs w:val="21"/>
                <w:highlight w:val="none"/>
              </w:rPr>
              <w:t>否</w:t>
            </w:r>
          </w:p>
        </w:tc>
      </w:tr>
      <w:tr w14:paraId="230E80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5EED00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第2.1</w:t>
            </w:r>
            <w:r>
              <w:rPr>
                <w:rFonts w:hint="eastAsia" w:ascii="宋体" w:hAnsi="宋体" w:eastAsia="宋体" w:cs="宋体"/>
                <w:color w:val="auto"/>
                <w:kern w:val="0"/>
                <w:szCs w:val="21"/>
                <w:highlight w:val="none"/>
                <w:lang w:val="zh-CN"/>
              </w:rPr>
              <w:t>款</w:t>
            </w:r>
          </w:p>
        </w:tc>
        <w:tc>
          <w:tcPr>
            <w:tcW w:w="2863" w:type="dxa"/>
            <w:noWrap w:val="0"/>
            <w:vAlign w:val="top"/>
          </w:tcPr>
          <w:p w14:paraId="1160B708">
            <w:pPr>
              <w:adjustRightInd w:val="0"/>
              <w:snapToGrid w:val="0"/>
              <w:spacing w:line="360" w:lineRule="auto"/>
              <w:rPr>
                <w:rFonts w:ascii="宋体" w:hAnsi="宋体" w:eastAsia="宋体" w:cs="Times New Roman"/>
                <w:color w:val="auto"/>
                <w:szCs w:val="21"/>
                <w:highlight w:val="none"/>
              </w:rPr>
            </w:pPr>
            <w:r>
              <w:rPr>
                <w:rFonts w:hint="eastAsia" w:ascii="Times New Roman" w:hAnsi="宋体" w:eastAsia="宋体" w:cs="Times New Roman"/>
                <w:color w:val="auto"/>
                <w:szCs w:val="21"/>
                <w:highlight w:val="none"/>
              </w:rPr>
              <w:t>采购项目联系人姓名和电话</w:t>
            </w:r>
          </w:p>
        </w:tc>
        <w:tc>
          <w:tcPr>
            <w:tcW w:w="4508" w:type="dxa"/>
            <w:noWrap w:val="0"/>
            <w:vAlign w:val="center"/>
          </w:tcPr>
          <w:p w14:paraId="24811BAB">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0D59D8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BFED975">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第2.2</w:t>
            </w:r>
            <w:r>
              <w:rPr>
                <w:rFonts w:hint="eastAsia" w:ascii="宋体" w:hAnsi="宋体" w:eastAsia="宋体" w:cs="宋体"/>
                <w:color w:val="auto"/>
                <w:kern w:val="0"/>
                <w:szCs w:val="21"/>
                <w:highlight w:val="none"/>
                <w:lang w:val="zh-CN"/>
              </w:rPr>
              <w:t>款</w:t>
            </w:r>
          </w:p>
        </w:tc>
        <w:tc>
          <w:tcPr>
            <w:tcW w:w="2863" w:type="dxa"/>
            <w:noWrap w:val="0"/>
            <w:vAlign w:val="center"/>
          </w:tcPr>
          <w:p w14:paraId="69399BAD">
            <w:pPr>
              <w:adjustRightInd w:val="0"/>
              <w:snapToGrid w:val="0"/>
              <w:spacing w:line="360" w:lineRule="auto"/>
              <w:jc w:val="left"/>
              <w:rPr>
                <w:rFonts w:ascii="宋体" w:hAnsi="宋体" w:eastAsia="宋体" w:cs="Times New Roman"/>
                <w:color w:val="auto"/>
                <w:szCs w:val="21"/>
                <w:highlight w:val="none"/>
              </w:rPr>
            </w:pPr>
            <w:r>
              <w:rPr>
                <w:rFonts w:hint="eastAsia" w:ascii="Times New Roman" w:hAnsi="宋体" w:eastAsia="宋体" w:cs="Times New Roman"/>
                <w:color w:val="auto"/>
                <w:szCs w:val="21"/>
                <w:highlight w:val="none"/>
              </w:rPr>
              <w:t>采购人名称、地址、电话、联系人</w:t>
            </w:r>
          </w:p>
        </w:tc>
        <w:tc>
          <w:tcPr>
            <w:tcW w:w="4508" w:type="dxa"/>
            <w:noWrap w:val="0"/>
            <w:vAlign w:val="center"/>
          </w:tcPr>
          <w:p w14:paraId="0C4CCB7B">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262E9A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A5CAD93">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第2.3</w:t>
            </w:r>
            <w:r>
              <w:rPr>
                <w:rFonts w:hint="eastAsia" w:ascii="宋体" w:hAnsi="宋体" w:eastAsia="宋体" w:cs="宋体"/>
                <w:color w:val="auto"/>
                <w:kern w:val="0"/>
                <w:szCs w:val="21"/>
                <w:highlight w:val="none"/>
                <w:lang w:val="zh-CN"/>
              </w:rPr>
              <w:t>款</w:t>
            </w:r>
          </w:p>
        </w:tc>
        <w:tc>
          <w:tcPr>
            <w:tcW w:w="2863" w:type="dxa"/>
            <w:noWrap w:val="0"/>
            <w:vAlign w:val="center"/>
          </w:tcPr>
          <w:p w14:paraId="5EFBFC8D">
            <w:pPr>
              <w:adjustRightInd w:val="0"/>
              <w:snapToGrid w:val="0"/>
              <w:spacing w:line="360" w:lineRule="auto"/>
              <w:jc w:val="left"/>
              <w:rPr>
                <w:rFonts w:ascii="宋体" w:hAnsi="宋体" w:eastAsia="宋体" w:cs="Times New Roman"/>
                <w:color w:val="auto"/>
                <w:szCs w:val="21"/>
                <w:highlight w:val="none"/>
              </w:rPr>
            </w:pPr>
            <w:r>
              <w:rPr>
                <w:rFonts w:hint="eastAsia" w:ascii="Times New Roman" w:hAnsi="宋体" w:eastAsia="宋体" w:cs="Times New Roman"/>
                <w:color w:val="auto"/>
                <w:szCs w:val="21"/>
                <w:highlight w:val="none"/>
              </w:rPr>
              <w:t>采购代理机构名称、地址、电话、联系人</w:t>
            </w:r>
          </w:p>
        </w:tc>
        <w:tc>
          <w:tcPr>
            <w:tcW w:w="4508" w:type="dxa"/>
            <w:noWrap w:val="0"/>
            <w:vAlign w:val="center"/>
          </w:tcPr>
          <w:p w14:paraId="52CB7AE2">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2231E9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915EC0E">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第3.1</w:t>
            </w:r>
            <w:r>
              <w:rPr>
                <w:rFonts w:hint="eastAsia" w:ascii="宋体" w:hAnsi="宋体" w:eastAsia="宋体" w:cs="宋体"/>
                <w:color w:val="auto"/>
                <w:kern w:val="0"/>
                <w:szCs w:val="21"/>
                <w:highlight w:val="none"/>
                <w:lang w:val="zh-CN"/>
              </w:rPr>
              <w:t>款</w:t>
            </w:r>
          </w:p>
        </w:tc>
        <w:tc>
          <w:tcPr>
            <w:tcW w:w="2863" w:type="dxa"/>
            <w:noWrap w:val="0"/>
            <w:vAlign w:val="center"/>
          </w:tcPr>
          <w:p w14:paraId="459AD2BB">
            <w:pPr>
              <w:adjustRightInd w:val="0"/>
              <w:snapToGrid w:val="0"/>
              <w:spacing w:line="360" w:lineRule="auto"/>
              <w:jc w:val="lef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投标人资格条件</w:t>
            </w:r>
          </w:p>
        </w:tc>
        <w:tc>
          <w:tcPr>
            <w:tcW w:w="4508" w:type="dxa"/>
            <w:noWrap w:val="0"/>
            <w:vAlign w:val="center"/>
          </w:tcPr>
          <w:p w14:paraId="54AE8C20">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6FFBC9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C09882C">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第3.2</w:t>
            </w:r>
            <w:r>
              <w:rPr>
                <w:rFonts w:hint="eastAsia" w:ascii="宋体" w:hAnsi="宋体" w:eastAsia="宋体" w:cs="宋体"/>
                <w:color w:val="auto"/>
                <w:kern w:val="0"/>
                <w:szCs w:val="21"/>
                <w:highlight w:val="none"/>
                <w:lang w:val="zh-CN"/>
              </w:rPr>
              <w:t>款</w:t>
            </w:r>
          </w:p>
        </w:tc>
        <w:tc>
          <w:tcPr>
            <w:tcW w:w="2863" w:type="dxa"/>
            <w:noWrap w:val="0"/>
            <w:vAlign w:val="center"/>
          </w:tcPr>
          <w:p w14:paraId="1400A1CB">
            <w:pPr>
              <w:adjustRightInd w:val="0"/>
              <w:snapToGrid w:val="0"/>
              <w:spacing w:line="360" w:lineRule="auto"/>
              <w:jc w:val="left"/>
              <w:rPr>
                <w:rFonts w:ascii="Times New Roman" w:hAnsi="宋体" w:eastAsia="宋体" w:cs="Times New Roman"/>
                <w:color w:val="auto"/>
                <w:szCs w:val="21"/>
                <w:highlight w:val="none"/>
              </w:rPr>
            </w:pPr>
            <w:r>
              <w:rPr>
                <w:rFonts w:hint="eastAsia" w:ascii="Times New Roman" w:hAnsi="宋体" w:eastAsia="宋体" w:cs="Times New Roman"/>
                <w:color w:val="auto"/>
                <w:szCs w:val="21"/>
                <w:highlight w:val="none"/>
              </w:rPr>
              <w:t>接受联合体形式投标</w:t>
            </w:r>
          </w:p>
        </w:tc>
        <w:tc>
          <w:tcPr>
            <w:tcW w:w="4508" w:type="dxa"/>
            <w:noWrap w:val="0"/>
            <w:vAlign w:val="center"/>
          </w:tcPr>
          <w:p w14:paraId="68B5D81D">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sym w:font="Wingdings" w:char="00A8"/>
            </w:r>
            <w:r>
              <w:rPr>
                <w:rFonts w:ascii="宋体" w:hAnsi="宋体" w:eastAsia="宋体" w:cs="Times New Roman"/>
                <w:color w:val="auto"/>
                <w:szCs w:val="21"/>
                <w:highlight w:val="none"/>
              </w:rPr>
              <w:t xml:space="preserve"> </w:t>
            </w:r>
            <w:r>
              <w:rPr>
                <w:rFonts w:hint="eastAsia" w:ascii="Times New Roman" w:hAnsi="宋体" w:eastAsia="宋体" w:cs="Times New Roman"/>
                <w:color w:val="auto"/>
                <w:szCs w:val="21"/>
                <w:highlight w:val="none"/>
              </w:rPr>
              <w:t xml:space="preserve">是 </w:t>
            </w:r>
          </w:p>
          <w:p w14:paraId="1C625CFA">
            <w:pPr>
              <w:adjustRightInd w:val="0"/>
              <w:snapToGrid w:val="0"/>
              <w:spacing w:line="420" w:lineRule="exact"/>
              <w:rPr>
                <w:rFonts w:ascii="Times New Roman" w:hAnsi="宋体" w:eastAsia="宋体" w:cs="Times New Roman"/>
                <w:color w:val="auto"/>
                <w:szCs w:val="21"/>
                <w:highlight w:val="none"/>
              </w:rPr>
            </w:pPr>
            <w:r>
              <w:rPr>
                <w:rFonts w:hint="eastAsia" w:ascii="黑体" w:hAnsi="黑体" w:eastAsia="黑体" w:cs="Times New Roman"/>
                <w:b/>
                <w:iCs/>
                <w:color w:val="auto"/>
                <w:sz w:val="24"/>
                <w:highlight w:val="none"/>
              </w:rPr>
              <w:sym w:font="Wingdings" w:char="00FE"/>
            </w:r>
            <w:r>
              <w:rPr>
                <w:rFonts w:ascii="Times New Roman" w:hAnsi="宋体" w:eastAsia="宋体" w:cs="Times New Roman"/>
                <w:color w:val="auto"/>
                <w:szCs w:val="21"/>
                <w:highlight w:val="none"/>
              </w:rPr>
              <w:t>否</w:t>
            </w:r>
          </w:p>
        </w:tc>
      </w:tr>
      <w:tr w14:paraId="5D35E2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0015221">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第5.1</w:t>
            </w:r>
            <w:r>
              <w:rPr>
                <w:rFonts w:hint="eastAsia" w:ascii="宋体" w:hAnsi="宋体" w:eastAsia="宋体" w:cs="宋体"/>
                <w:color w:val="auto"/>
                <w:kern w:val="0"/>
                <w:szCs w:val="21"/>
                <w:highlight w:val="none"/>
                <w:lang w:val="zh-CN"/>
              </w:rPr>
              <w:t>款</w:t>
            </w:r>
          </w:p>
        </w:tc>
        <w:tc>
          <w:tcPr>
            <w:tcW w:w="2863" w:type="dxa"/>
            <w:noWrap w:val="0"/>
            <w:vAlign w:val="center"/>
          </w:tcPr>
          <w:p w14:paraId="19BC5327">
            <w:pPr>
              <w:adjustRightInd w:val="0"/>
              <w:snapToGrid w:val="0"/>
              <w:spacing w:line="360" w:lineRule="auto"/>
              <w:jc w:val="lef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t>招标文件提供期限</w:t>
            </w:r>
          </w:p>
        </w:tc>
        <w:tc>
          <w:tcPr>
            <w:tcW w:w="4508" w:type="dxa"/>
            <w:noWrap w:val="0"/>
            <w:vAlign w:val="center"/>
          </w:tcPr>
          <w:p w14:paraId="4EF5D913">
            <w:pPr>
              <w:adjustRightInd w:val="0"/>
              <w:snapToGrid w:val="0"/>
              <w:spacing w:line="420" w:lineRule="exact"/>
              <w:rPr>
                <w:rFonts w:ascii="Times New Roman" w:hAnsi="宋体" w:eastAsia="宋体" w:cs="Times New Roman"/>
                <w:color w:val="auto"/>
                <w:szCs w:val="21"/>
                <w:highlight w:val="none"/>
              </w:rPr>
            </w:pPr>
            <w:r>
              <w:rPr>
                <w:rFonts w:hint="eastAsia" w:ascii="宋体" w:hAnsi="宋体" w:eastAsia="宋体" w:cs="微软雅黑"/>
                <w:color w:val="auto"/>
                <w:kern w:val="0"/>
                <w:szCs w:val="21"/>
                <w:highlight w:val="none"/>
              </w:rPr>
              <w:t>本</w:t>
            </w:r>
            <w:r>
              <w:rPr>
                <w:rFonts w:ascii="宋体" w:hAnsi="宋体" w:eastAsia="宋体" w:cs="微软雅黑"/>
                <w:color w:val="auto"/>
                <w:kern w:val="0"/>
                <w:szCs w:val="21"/>
                <w:highlight w:val="none"/>
              </w:rPr>
              <w:t>项目</w:t>
            </w:r>
            <w:r>
              <w:rPr>
                <w:rFonts w:hint="eastAsia" w:ascii="宋体" w:hAnsi="宋体" w:eastAsia="宋体" w:cs="微软雅黑"/>
                <w:color w:val="auto"/>
                <w:kern w:val="0"/>
                <w:szCs w:val="21"/>
                <w:highlight w:val="none"/>
              </w:rPr>
              <w:t>公告日起至投标截止时间以</w:t>
            </w:r>
            <w:r>
              <w:rPr>
                <w:rFonts w:hint="eastAsia" w:ascii="宋体" w:hAnsi="宋体" w:eastAsia="宋体" w:cs="微软雅黑"/>
                <w:color w:val="auto"/>
                <w:spacing w:val="-2"/>
                <w:kern w:val="0"/>
                <w:szCs w:val="21"/>
                <w:highlight w:val="none"/>
              </w:rPr>
              <w:t>前</w:t>
            </w:r>
          </w:p>
        </w:tc>
      </w:tr>
      <w:tr w14:paraId="6B4FB4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0F1773A">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第5.2</w:t>
            </w:r>
            <w:r>
              <w:rPr>
                <w:rFonts w:hint="eastAsia" w:ascii="宋体" w:hAnsi="宋体" w:eastAsia="宋体" w:cs="宋体"/>
                <w:color w:val="auto"/>
                <w:kern w:val="0"/>
                <w:szCs w:val="21"/>
                <w:highlight w:val="none"/>
                <w:lang w:val="zh-CN"/>
              </w:rPr>
              <w:t>款</w:t>
            </w:r>
          </w:p>
        </w:tc>
        <w:tc>
          <w:tcPr>
            <w:tcW w:w="2863" w:type="dxa"/>
            <w:noWrap w:val="0"/>
            <w:vAlign w:val="center"/>
          </w:tcPr>
          <w:p w14:paraId="1396A63D">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组织现场考察或者召开答疑会</w:t>
            </w:r>
          </w:p>
        </w:tc>
        <w:tc>
          <w:tcPr>
            <w:tcW w:w="4508" w:type="dxa"/>
            <w:noWrap w:val="0"/>
            <w:vAlign w:val="center"/>
          </w:tcPr>
          <w:p w14:paraId="178EF1A1">
            <w:pPr>
              <w:snapToGrid w:val="0"/>
              <w:spacing w:before="156" w:line="360" w:lineRule="auto"/>
              <w:textAlignment w:val="baseline"/>
              <w:rPr>
                <w:rFonts w:ascii="宋体" w:hAnsi="宋体" w:eastAsia="宋体" w:cs="Times New Roman"/>
                <w:color w:val="auto"/>
                <w:sz w:val="20"/>
                <w:szCs w:val="21"/>
                <w:highlight w:val="none"/>
              </w:rPr>
            </w:pPr>
            <w:r>
              <w:rPr>
                <w:rFonts w:hint="eastAsia" w:ascii="黑体" w:hAnsi="黑体" w:eastAsia="黑体" w:cs="Times New Roman"/>
                <w:b/>
                <w:iCs/>
                <w:color w:val="auto"/>
                <w:sz w:val="24"/>
                <w:highlight w:val="none"/>
              </w:rPr>
              <w:sym w:font="Wingdings" w:char="00FE"/>
            </w:r>
            <w:r>
              <w:rPr>
                <w:rFonts w:ascii="宋体" w:hAnsi="宋体" w:eastAsia="宋体" w:cs="Times New Roman"/>
                <w:color w:val="auto"/>
                <w:szCs w:val="21"/>
                <w:highlight w:val="none"/>
              </w:rPr>
              <w:t xml:space="preserve"> 采购人不组织</w:t>
            </w:r>
            <w:r>
              <w:rPr>
                <w:rFonts w:hint="eastAsia" w:ascii="宋体" w:hAnsi="宋体" w:eastAsia="宋体" w:cs="Times New Roman"/>
                <w:color w:val="auto"/>
                <w:szCs w:val="21"/>
                <w:highlight w:val="none"/>
              </w:rPr>
              <w:t>，可自行前往勘察，责任自负</w:t>
            </w:r>
          </w:p>
          <w:p w14:paraId="7E782050">
            <w:pPr>
              <w:snapToGrid w:val="0"/>
              <w:spacing w:before="156" w:line="360" w:lineRule="auto"/>
              <w:textAlignment w:val="baseline"/>
              <w:rPr>
                <w:rFonts w:ascii="宋体" w:hAnsi="宋体" w:eastAsia="宋体" w:cs="Times New Roman"/>
                <w:color w:val="auto"/>
                <w:sz w:val="20"/>
                <w:szCs w:val="21"/>
                <w:highlight w:val="none"/>
              </w:rPr>
            </w:pPr>
            <w:r>
              <w:rPr>
                <w:rFonts w:ascii="宋体" w:hAnsi="宋体" w:eastAsia="宋体" w:cs="Times New Roman"/>
                <w:color w:val="auto"/>
                <w:szCs w:val="21"/>
                <w:highlight w:val="none"/>
              </w:rPr>
              <w:t>□ 采购人组织，时间：</w:t>
            </w:r>
            <w:r>
              <w:rPr>
                <w:rFonts w:hint="eastAsia" w:ascii="宋体" w:hAnsi="宋体" w:eastAsia="宋体" w:cs="Times New Roman"/>
                <w:color w:val="auto"/>
                <w:szCs w:val="21"/>
                <w:highlight w:val="none"/>
              </w:rPr>
              <w:t>______________</w:t>
            </w:r>
          </w:p>
          <w:p w14:paraId="048A84C1">
            <w:pPr>
              <w:adjustRightInd w:val="0"/>
              <w:snapToGrid w:val="0"/>
              <w:spacing w:line="360" w:lineRule="auto"/>
              <w:rPr>
                <w:rFonts w:ascii="宋体" w:hAnsi="宋体" w:eastAsia="宋体" w:cs="Times New Roman"/>
                <w:color w:val="auto"/>
                <w:szCs w:val="21"/>
                <w:highlight w:val="none"/>
              </w:rPr>
            </w:pPr>
            <w:r>
              <w:rPr>
                <w:rFonts w:ascii="宋体" w:hAnsi="宋体" w:eastAsia="宋体" w:cs="Times New Roman"/>
                <w:color w:val="auto"/>
                <w:szCs w:val="21"/>
                <w:highlight w:val="none"/>
              </w:rPr>
              <w:t>地点：</w:t>
            </w:r>
            <w:r>
              <w:rPr>
                <w:rFonts w:hint="eastAsia" w:ascii="宋体" w:hAnsi="宋体" w:eastAsia="宋体" w:cs="Times New Roman"/>
                <w:color w:val="auto"/>
                <w:szCs w:val="21"/>
                <w:highlight w:val="none"/>
              </w:rPr>
              <w:t>_____________</w:t>
            </w:r>
            <w:r>
              <w:rPr>
                <w:rFonts w:ascii="宋体" w:hAnsi="宋体" w:eastAsia="宋体" w:cs="Times New Roman"/>
                <w:color w:val="auto"/>
                <w:szCs w:val="21"/>
                <w:highlight w:val="none"/>
              </w:rPr>
              <w:t xml:space="preserve">   联系人：</w:t>
            </w:r>
            <w:r>
              <w:rPr>
                <w:rFonts w:hint="eastAsia" w:ascii="宋体" w:hAnsi="宋体" w:eastAsia="宋体" w:cs="Times New Roman"/>
                <w:color w:val="auto"/>
                <w:szCs w:val="21"/>
                <w:highlight w:val="none"/>
              </w:rPr>
              <w:t>_______</w:t>
            </w:r>
          </w:p>
        </w:tc>
      </w:tr>
      <w:tr w14:paraId="08845B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6D7D3B63">
            <w:pPr>
              <w:adjustRightInd w:val="0"/>
              <w:snapToGrid w:val="0"/>
              <w:spacing w:line="360" w:lineRule="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二、招标文件</w:t>
            </w:r>
          </w:p>
        </w:tc>
      </w:tr>
      <w:tr w14:paraId="46B4D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0EE7670">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第7.4</w:t>
            </w:r>
            <w:r>
              <w:rPr>
                <w:rFonts w:hint="eastAsia" w:ascii="宋体" w:hAnsi="宋体" w:eastAsia="宋体" w:cs="宋体"/>
                <w:color w:val="auto"/>
                <w:kern w:val="0"/>
                <w:szCs w:val="21"/>
                <w:highlight w:val="none"/>
                <w:lang w:val="zh-CN"/>
              </w:rPr>
              <w:t>款</w:t>
            </w:r>
          </w:p>
        </w:tc>
        <w:tc>
          <w:tcPr>
            <w:tcW w:w="2863" w:type="dxa"/>
            <w:noWrap w:val="0"/>
            <w:vAlign w:val="center"/>
          </w:tcPr>
          <w:p w14:paraId="20A348FA">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非实质性偏离的范围和幅度</w:t>
            </w:r>
          </w:p>
        </w:tc>
        <w:tc>
          <w:tcPr>
            <w:tcW w:w="4508" w:type="dxa"/>
            <w:noWrap w:val="0"/>
            <w:vAlign w:val="center"/>
          </w:tcPr>
          <w:p w14:paraId="6B969C8C">
            <w:pPr>
              <w:snapToGrid w:val="0"/>
              <w:spacing w:line="360" w:lineRule="auto"/>
              <w:ind w:left="31" w:leftChars="15"/>
              <w:textAlignment w:val="baseline"/>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1、非实质性条款偏离项数之和</w:t>
            </w:r>
            <w:r>
              <w:rPr>
                <w:rFonts w:hint="eastAsia" w:ascii="Times New Roman" w:hAnsi="Times New Roman" w:eastAsia="宋体" w:cs="Times New Roman"/>
                <w:color w:val="auto"/>
                <w:highlight w:val="none"/>
                <w:u w:val="single"/>
                <w:lang w:eastAsia="zh-CN"/>
              </w:rPr>
              <w:t>≥</w:t>
            </w:r>
            <w:r>
              <w:rPr>
                <w:rFonts w:ascii="Times New Roman" w:hAnsi="Times New Roman" w:eastAsia="宋体" w:cs="Times New Roman"/>
                <w:color w:val="auto"/>
                <w:highlight w:val="none"/>
                <w:u w:val="single"/>
              </w:rPr>
              <w:t>1</w:t>
            </w:r>
            <w:r>
              <w:rPr>
                <w:rFonts w:hint="eastAsia" w:ascii="Times New Roman" w:hAnsi="Times New Roman" w:eastAsia="宋体" w:cs="Times New Roman"/>
                <w:color w:val="auto"/>
                <w:highlight w:val="none"/>
                <w:u w:val="single"/>
              </w:rPr>
              <w:t>0</w:t>
            </w:r>
            <w:r>
              <w:rPr>
                <w:rFonts w:hint="eastAsia" w:ascii="Times New Roman" w:hAnsi="Times New Roman" w:eastAsia="宋体" w:cs="Times New Roman"/>
                <w:color w:val="auto"/>
                <w:highlight w:val="none"/>
              </w:rPr>
              <w:t>项将导致无效投标。</w:t>
            </w:r>
          </w:p>
          <w:p w14:paraId="20A3F5B0">
            <w:pPr>
              <w:adjustRightInd w:val="0"/>
              <w:snapToGrid w:val="0"/>
              <w:spacing w:line="360" w:lineRule="auto"/>
              <w:ind w:left="105" w:hanging="105" w:hangingChars="50"/>
              <w:jc w:val="left"/>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2、条款数（最高项数）的统计方法：招标文件中，凡编排有单独的中文序数或采用“；”划分或阿拉伯数字或英文字母序列号等字符的条款算一项商务或技术要求项数。</w:t>
            </w:r>
          </w:p>
          <w:p w14:paraId="645D9030">
            <w:pPr>
              <w:adjustRightInd w:val="0"/>
              <w:snapToGrid w:val="0"/>
              <w:spacing w:line="360" w:lineRule="auto"/>
              <w:ind w:left="105" w:hanging="105" w:hangingChars="50"/>
              <w:jc w:val="left"/>
              <w:rPr>
                <w:rFonts w:ascii="Times New Roman" w:hAnsi="Times New Roman" w:eastAsia="宋体" w:cs="Times New Roman"/>
                <w:color w:val="auto"/>
                <w:highlight w:val="none"/>
              </w:rPr>
            </w:pPr>
            <w:r>
              <w:rPr>
                <w:rFonts w:hint="eastAsia" w:ascii="宋体" w:hAnsi="宋体" w:eastAsia="宋体" w:cs="Times New Roman"/>
                <w:color w:val="auto"/>
                <w:szCs w:val="21"/>
                <w:highlight w:val="none"/>
              </w:rPr>
              <w:t>3、评审因素不作偏离项统计。</w:t>
            </w:r>
          </w:p>
        </w:tc>
      </w:tr>
      <w:tr w14:paraId="3A6E9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68ACD20">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第9.1</w:t>
            </w:r>
            <w:r>
              <w:rPr>
                <w:rFonts w:hint="eastAsia" w:ascii="宋体" w:hAnsi="宋体" w:eastAsia="宋体" w:cs="宋体"/>
                <w:color w:val="auto"/>
                <w:kern w:val="0"/>
                <w:szCs w:val="21"/>
                <w:highlight w:val="none"/>
                <w:lang w:val="zh-CN"/>
              </w:rPr>
              <w:t>款</w:t>
            </w:r>
          </w:p>
        </w:tc>
        <w:tc>
          <w:tcPr>
            <w:tcW w:w="2863" w:type="dxa"/>
            <w:noWrap w:val="0"/>
            <w:vAlign w:val="center"/>
          </w:tcPr>
          <w:p w14:paraId="7E14719D">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招标公告指定媒体</w:t>
            </w:r>
          </w:p>
        </w:tc>
        <w:tc>
          <w:tcPr>
            <w:tcW w:w="4508" w:type="dxa"/>
            <w:noWrap w:val="0"/>
            <w:vAlign w:val="center"/>
          </w:tcPr>
          <w:p w14:paraId="0FF14258">
            <w:pPr>
              <w:adjustRightInd w:val="0"/>
              <w:snapToGrid w:val="0"/>
              <w:spacing w:line="360" w:lineRule="auto"/>
              <w:ind w:left="105" w:hanging="105" w:hangingChars="50"/>
              <w:rPr>
                <w:rFonts w:ascii="Times New Roman" w:hAnsi="宋体" w:eastAsia="宋体" w:cs="Times New Roman"/>
                <w:color w:val="auto"/>
                <w:szCs w:val="21"/>
                <w:highlight w:val="none"/>
              </w:rPr>
            </w:pPr>
            <w:r>
              <w:rPr>
                <w:rFonts w:hint="eastAsia" w:ascii="宋体" w:hAnsi="Times New Roman" w:eastAsia="宋体" w:cs="宋体"/>
                <w:color w:val="auto"/>
                <w:szCs w:val="21"/>
                <w:highlight w:val="none"/>
              </w:rPr>
              <w:t>中国湖南政府采购网（www.ccgp-hunan.gov.cn）、娄底市公共资源交易网（http://ldggzy.hnloudi.gov.cn）</w:t>
            </w:r>
          </w:p>
        </w:tc>
      </w:tr>
      <w:tr w14:paraId="1C282E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noWrap w:val="0"/>
            <w:vAlign w:val="center"/>
          </w:tcPr>
          <w:p w14:paraId="4070599C">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color w:val="auto"/>
                <w:szCs w:val="21"/>
                <w:highlight w:val="none"/>
              </w:rPr>
              <w:t>三、投标文件</w:t>
            </w:r>
          </w:p>
        </w:tc>
      </w:tr>
      <w:tr w14:paraId="00B888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410B1EC">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第13.2</w:t>
            </w:r>
            <w:r>
              <w:rPr>
                <w:rFonts w:hint="eastAsia" w:ascii="宋体" w:hAnsi="宋体" w:eastAsia="宋体" w:cs="宋体"/>
                <w:color w:val="auto"/>
                <w:kern w:val="0"/>
                <w:szCs w:val="21"/>
                <w:highlight w:val="none"/>
                <w:lang w:val="zh-CN"/>
              </w:rPr>
              <w:t>款</w:t>
            </w:r>
          </w:p>
        </w:tc>
        <w:tc>
          <w:tcPr>
            <w:tcW w:w="2863" w:type="dxa"/>
            <w:noWrap w:val="0"/>
            <w:vAlign w:val="center"/>
          </w:tcPr>
          <w:p w14:paraId="398E1966">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采购项目预算、最高限价</w:t>
            </w:r>
          </w:p>
        </w:tc>
        <w:tc>
          <w:tcPr>
            <w:tcW w:w="4508" w:type="dxa"/>
            <w:noWrap w:val="0"/>
            <w:vAlign w:val="center"/>
          </w:tcPr>
          <w:p w14:paraId="2CC641AC">
            <w:pPr>
              <w:adjustRightInd w:val="0"/>
              <w:snapToGrid w:val="0"/>
              <w:spacing w:line="360" w:lineRule="auto"/>
              <w:rPr>
                <w:rFonts w:ascii="宋体" w:hAnsi="宋体" w:eastAsia="宋体" w:cs="Times New Roman"/>
                <w:color w:val="auto"/>
                <w:szCs w:val="21"/>
                <w:highlight w:val="none"/>
              </w:rPr>
            </w:pPr>
            <w:r>
              <w:rPr>
                <w:rFonts w:hint="eastAsia" w:ascii="宋体" w:hAnsi="宋体" w:cs="Times New Roman"/>
                <w:bCs/>
                <w:color w:val="auto"/>
                <w:szCs w:val="21"/>
                <w:highlight w:val="none"/>
                <w:u w:val="single"/>
                <w:lang w:eastAsia="zh-CN"/>
              </w:rPr>
              <w:t>2211580</w:t>
            </w:r>
            <w:r>
              <w:rPr>
                <w:rFonts w:hint="eastAsia" w:ascii="宋体" w:hAnsi="宋体" w:eastAsia="宋体" w:cs="Times New Roman"/>
                <w:bCs/>
                <w:color w:val="auto"/>
                <w:szCs w:val="21"/>
                <w:highlight w:val="none"/>
                <w:u w:val="single"/>
                <w:lang w:eastAsia="zh-CN"/>
              </w:rPr>
              <w:t>.00</w:t>
            </w:r>
            <w:r>
              <w:rPr>
                <w:rFonts w:hint="eastAsia" w:ascii="宋体" w:hAnsi="宋体" w:eastAsia="宋体" w:cs="Times New Roman"/>
                <w:bCs/>
                <w:color w:val="auto"/>
                <w:szCs w:val="21"/>
                <w:highlight w:val="none"/>
                <w:u w:val="single"/>
              </w:rPr>
              <w:t>元</w:t>
            </w:r>
          </w:p>
        </w:tc>
      </w:tr>
      <w:tr w14:paraId="346C9B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B03706E">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第13.8款</w:t>
            </w:r>
          </w:p>
        </w:tc>
        <w:tc>
          <w:tcPr>
            <w:tcW w:w="2863" w:type="dxa"/>
            <w:noWrap w:val="0"/>
            <w:vAlign w:val="center"/>
          </w:tcPr>
          <w:p w14:paraId="59D41EA5">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投标报价的其他要求</w:t>
            </w:r>
          </w:p>
        </w:tc>
        <w:tc>
          <w:tcPr>
            <w:tcW w:w="4508" w:type="dxa"/>
            <w:noWrap w:val="0"/>
            <w:vAlign w:val="center"/>
          </w:tcPr>
          <w:p w14:paraId="17F9EE82">
            <w:pPr>
              <w:adjustRightInd w:val="0"/>
              <w:snapToGrid w:val="0"/>
              <w:spacing w:line="360" w:lineRule="auto"/>
              <w:rPr>
                <w:rFonts w:ascii="宋体" w:hAnsi="Times New Roman" w:eastAsia="宋体" w:cs="宋体"/>
                <w:color w:val="auto"/>
                <w:szCs w:val="21"/>
                <w:highlight w:val="none"/>
              </w:rPr>
            </w:pPr>
            <w:r>
              <w:rPr>
                <w:rFonts w:hint="eastAsia" w:ascii="宋体" w:hAnsi="Times New Roman" w:eastAsia="宋体" w:cs="宋体"/>
                <w:color w:val="auto"/>
                <w:szCs w:val="21"/>
                <w:highlight w:val="none"/>
              </w:rPr>
              <w:t>1、以人民币进行报价。</w:t>
            </w:r>
          </w:p>
          <w:p w14:paraId="0E95EB4E">
            <w:pPr>
              <w:adjustRightInd w:val="0"/>
              <w:snapToGrid w:val="0"/>
              <w:spacing w:line="360" w:lineRule="auto"/>
              <w:rPr>
                <w:rFonts w:ascii="宋体" w:hAnsi="Times New Roman" w:eastAsia="宋体" w:cs="宋体"/>
                <w:color w:val="auto"/>
                <w:szCs w:val="21"/>
                <w:highlight w:val="none"/>
              </w:rPr>
            </w:pPr>
            <w:r>
              <w:rPr>
                <w:rFonts w:hint="eastAsia" w:ascii="宋体" w:hAnsi="Times New Roman" w:eastAsia="宋体" w:cs="宋体"/>
                <w:color w:val="auto"/>
                <w:szCs w:val="21"/>
                <w:highlight w:val="none"/>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A4B42F3">
            <w:pPr>
              <w:adjustRightInd w:val="0"/>
              <w:snapToGrid w:val="0"/>
              <w:spacing w:line="360" w:lineRule="auto"/>
              <w:rPr>
                <w:rFonts w:ascii="宋体" w:hAnsi="宋体" w:eastAsia="宋体" w:cs="Times New Roman"/>
                <w:color w:val="auto"/>
                <w:szCs w:val="21"/>
                <w:highlight w:val="none"/>
              </w:rPr>
            </w:pPr>
            <w:r>
              <w:rPr>
                <w:rFonts w:hint="eastAsia" w:ascii="宋体" w:hAnsi="Times New Roman" w:eastAsia="宋体" w:cs="宋体"/>
                <w:color w:val="auto"/>
                <w:szCs w:val="21"/>
                <w:highlight w:val="none"/>
              </w:rPr>
              <w:t>3、投标报价不得超过采购预算，也不得超过最高限价，否则其投标无效。</w:t>
            </w:r>
          </w:p>
        </w:tc>
      </w:tr>
      <w:tr w14:paraId="28D98F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B80910B">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第14.1款</w:t>
            </w:r>
          </w:p>
        </w:tc>
        <w:tc>
          <w:tcPr>
            <w:tcW w:w="2863" w:type="dxa"/>
            <w:noWrap w:val="0"/>
            <w:vAlign w:val="center"/>
          </w:tcPr>
          <w:p w14:paraId="57DACC5C">
            <w:pPr>
              <w:adjustRightInd w:val="0"/>
              <w:snapToGrid w:val="0"/>
              <w:spacing w:line="360" w:lineRule="auto"/>
              <w:rPr>
                <w:rFonts w:ascii="宋体" w:hAnsi="宋体" w:eastAsia="宋体" w:cs="Times New Roman"/>
                <w:bCs/>
                <w:color w:val="auto"/>
                <w:szCs w:val="21"/>
                <w:highlight w:val="none"/>
              </w:rPr>
            </w:pPr>
            <w:r>
              <w:rPr>
                <w:rFonts w:hint="eastAsia" w:ascii="宋体" w:hAnsi="宋体" w:eastAsia="宋体" w:cs="Times New Roman"/>
                <w:color w:val="auto"/>
                <w:szCs w:val="21"/>
                <w:highlight w:val="none"/>
              </w:rPr>
              <w:t>投标人应提供资格审查资料</w:t>
            </w:r>
          </w:p>
        </w:tc>
        <w:tc>
          <w:tcPr>
            <w:tcW w:w="4508" w:type="dxa"/>
            <w:noWrap w:val="0"/>
            <w:vAlign w:val="center"/>
          </w:tcPr>
          <w:p w14:paraId="1BCFEA36">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46914A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040D5F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第16.1</w:t>
            </w:r>
            <w:r>
              <w:rPr>
                <w:rFonts w:hint="eastAsia" w:ascii="宋体" w:hAnsi="宋体" w:eastAsia="宋体" w:cs="宋体"/>
                <w:color w:val="auto"/>
                <w:kern w:val="0"/>
                <w:szCs w:val="21"/>
                <w:highlight w:val="none"/>
                <w:lang w:val="zh-CN"/>
              </w:rPr>
              <w:t>款</w:t>
            </w:r>
          </w:p>
        </w:tc>
        <w:tc>
          <w:tcPr>
            <w:tcW w:w="2863" w:type="dxa"/>
            <w:noWrap w:val="0"/>
            <w:vAlign w:val="center"/>
          </w:tcPr>
          <w:p w14:paraId="05D39AFF">
            <w:pPr>
              <w:adjustRightInd w:val="0"/>
              <w:snapToGrid w:val="0"/>
              <w:spacing w:line="360" w:lineRule="auto"/>
              <w:jc w:val="left"/>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投标有效期</w:t>
            </w:r>
          </w:p>
        </w:tc>
        <w:tc>
          <w:tcPr>
            <w:tcW w:w="4508" w:type="dxa"/>
            <w:noWrap w:val="0"/>
            <w:vAlign w:val="center"/>
          </w:tcPr>
          <w:p w14:paraId="5E275F96">
            <w:pPr>
              <w:adjustRightInd w:val="0"/>
              <w:snapToGrid w:val="0"/>
              <w:spacing w:line="360" w:lineRule="auto"/>
              <w:rPr>
                <w:rFonts w:ascii="宋体" w:hAnsi="宋体" w:eastAsia="宋体" w:cs="Times New Roman"/>
                <w:bCs/>
                <w:color w:val="auto"/>
                <w:szCs w:val="21"/>
                <w:highlight w:val="none"/>
              </w:rPr>
            </w:pPr>
            <w:r>
              <w:rPr>
                <w:rFonts w:hint="eastAsia" w:ascii="宋体" w:hAnsi="Times New Roman" w:eastAsia="宋体" w:cs="宋体"/>
                <w:b/>
                <w:bCs/>
                <w:color w:val="auto"/>
                <w:szCs w:val="21"/>
                <w:highlight w:val="none"/>
                <w:u w:val="single"/>
              </w:rPr>
              <w:t>90</w:t>
            </w:r>
            <w:r>
              <w:rPr>
                <w:rFonts w:hint="eastAsia" w:ascii="宋体" w:hAnsi="Times New Roman" w:eastAsia="宋体" w:cs="宋体"/>
                <w:color w:val="auto"/>
                <w:szCs w:val="21"/>
                <w:highlight w:val="none"/>
              </w:rPr>
              <w:t>日（日历日）</w:t>
            </w:r>
          </w:p>
        </w:tc>
      </w:tr>
      <w:tr w14:paraId="4A43DB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02C2D59">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第17.1</w:t>
            </w:r>
            <w:r>
              <w:rPr>
                <w:rFonts w:hint="eastAsia" w:ascii="宋体" w:hAnsi="宋体" w:eastAsia="宋体" w:cs="宋体"/>
                <w:color w:val="auto"/>
                <w:kern w:val="0"/>
                <w:szCs w:val="21"/>
                <w:highlight w:val="none"/>
                <w:lang w:val="zh-CN"/>
              </w:rPr>
              <w:t>款</w:t>
            </w:r>
          </w:p>
        </w:tc>
        <w:tc>
          <w:tcPr>
            <w:tcW w:w="2863" w:type="dxa"/>
            <w:noWrap w:val="0"/>
            <w:vAlign w:val="center"/>
          </w:tcPr>
          <w:p w14:paraId="27A9EC4D">
            <w:pPr>
              <w:adjustRightInd w:val="0"/>
              <w:snapToGrid w:val="0"/>
              <w:spacing w:line="360" w:lineRule="auto"/>
              <w:ind w:left="-533" w:leftChars="-254" w:firstLine="533" w:firstLineChars="254"/>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投标保证金</w:t>
            </w:r>
          </w:p>
        </w:tc>
        <w:tc>
          <w:tcPr>
            <w:tcW w:w="4508" w:type="dxa"/>
            <w:noWrap w:val="0"/>
            <w:vAlign w:val="center"/>
          </w:tcPr>
          <w:p w14:paraId="7AE36D3F">
            <w:pPr>
              <w:adjustRightInd w:val="0"/>
              <w:snapToGrid w:val="0"/>
              <w:spacing w:line="420" w:lineRule="exac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无</w:t>
            </w:r>
          </w:p>
        </w:tc>
      </w:tr>
      <w:tr w14:paraId="74ED41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3" w:hRule="atLeast"/>
        </w:trPr>
        <w:tc>
          <w:tcPr>
            <w:tcW w:w="1560" w:type="dxa"/>
            <w:noWrap w:val="0"/>
            <w:vAlign w:val="center"/>
          </w:tcPr>
          <w:p w14:paraId="08B73B4D">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第18.1</w:t>
            </w:r>
            <w:r>
              <w:rPr>
                <w:rFonts w:hint="eastAsia" w:ascii="宋体" w:hAnsi="宋体" w:eastAsia="宋体" w:cs="宋体"/>
                <w:color w:val="auto"/>
                <w:kern w:val="0"/>
                <w:szCs w:val="21"/>
                <w:highlight w:val="none"/>
                <w:lang w:val="zh-CN"/>
              </w:rPr>
              <w:t>款</w:t>
            </w:r>
          </w:p>
        </w:tc>
        <w:tc>
          <w:tcPr>
            <w:tcW w:w="2863" w:type="dxa"/>
            <w:noWrap w:val="0"/>
            <w:vAlign w:val="center"/>
          </w:tcPr>
          <w:p w14:paraId="7040DA4A">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bCs/>
                <w:color w:val="auto"/>
                <w:szCs w:val="21"/>
                <w:highlight w:val="none"/>
              </w:rPr>
              <w:t>分包</w:t>
            </w:r>
          </w:p>
        </w:tc>
        <w:tc>
          <w:tcPr>
            <w:tcW w:w="4508" w:type="dxa"/>
            <w:noWrap w:val="0"/>
            <w:vAlign w:val="center"/>
          </w:tcPr>
          <w:p w14:paraId="29E4FA7F">
            <w:pPr>
              <w:adjustRightInd w:val="0"/>
              <w:snapToGrid w:val="0"/>
              <w:spacing w:line="360" w:lineRule="auto"/>
              <w:jc w:val="left"/>
              <w:rPr>
                <w:rFonts w:ascii="Times New Roman" w:hAnsi="宋体" w:eastAsia="宋体" w:cs="Times New Roman"/>
                <w:color w:val="auto"/>
                <w:szCs w:val="21"/>
                <w:highlight w:val="none"/>
              </w:rPr>
            </w:pPr>
            <w:r>
              <w:rPr>
                <w:rFonts w:hint="eastAsia" w:ascii="宋体" w:hAnsi="宋体" w:eastAsia="宋体" w:cs="Times New Roman"/>
                <w:color w:val="auto"/>
                <w:szCs w:val="21"/>
                <w:highlight w:val="none"/>
              </w:rPr>
              <w:sym w:font="Wingdings" w:char="00A8"/>
            </w:r>
            <w:r>
              <w:rPr>
                <w:rFonts w:ascii="宋体" w:hAnsi="宋体" w:eastAsia="宋体" w:cs="Times New Roman"/>
                <w:color w:val="auto"/>
                <w:szCs w:val="21"/>
                <w:highlight w:val="none"/>
              </w:rPr>
              <w:t xml:space="preserve"> </w:t>
            </w:r>
            <w:r>
              <w:rPr>
                <w:rFonts w:hint="eastAsia" w:ascii="Times New Roman" w:hAnsi="宋体" w:eastAsia="宋体" w:cs="Times New Roman"/>
                <w:color w:val="auto"/>
                <w:szCs w:val="21"/>
                <w:highlight w:val="none"/>
              </w:rPr>
              <w:t>允许</w:t>
            </w:r>
          </w:p>
          <w:p w14:paraId="48F0D83B">
            <w:pPr>
              <w:adjustRightInd w:val="0"/>
              <w:snapToGrid w:val="0"/>
              <w:spacing w:line="360" w:lineRule="auto"/>
              <w:jc w:val="left"/>
              <w:rPr>
                <w:rFonts w:ascii="宋体" w:hAnsi="宋体" w:eastAsia="宋体" w:cs="Times New Roman"/>
                <w:b/>
                <w:bCs/>
                <w:color w:val="auto"/>
                <w:szCs w:val="21"/>
                <w:highlight w:val="none"/>
              </w:rPr>
            </w:pPr>
            <w:r>
              <w:rPr>
                <w:rFonts w:hint="eastAsia" w:ascii="黑体" w:hAnsi="黑体" w:eastAsia="黑体" w:cs="Times New Roman"/>
                <w:b/>
                <w:iCs/>
                <w:color w:val="auto"/>
                <w:sz w:val="24"/>
                <w:highlight w:val="none"/>
              </w:rPr>
              <w:sym w:font="Wingdings" w:char="00FE"/>
            </w:r>
            <w:r>
              <w:rPr>
                <w:rFonts w:hint="eastAsia" w:ascii="Times New Roman" w:hAnsi="宋体" w:eastAsia="宋体" w:cs="Times New Roman"/>
                <w:color w:val="auto"/>
                <w:szCs w:val="21"/>
                <w:highlight w:val="none"/>
              </w:rPr>
              <w:t>不允许</w:t>
            </w:r>
          </w:p>
        </w:tc>
      </w:tr>
      <w:tr w14:paraId="04E9EA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50119AF">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第19.1</w:t>
            </w:r>
            <w:r>
              <w:rPr>
                <w:rFonts w:hint="eastAsia" w:ascii="宋体" w:hAnsi="宋体" w:eastAsia="宋体" w:cs="宋体"/>
                <w:color w:val="auto"/>
                <w:kern w:val="0"/>
                <w:szCs w:val="21"/>
                <w:highlight w:val="none"/>
                <w:lang w:val="zh-CN"/>
              </w:rPr>
              <w:t>款</w:t>
            </w:r>
          </w:p>
        </w:tc>
        <w:tc>
          <w:tcPr>
            <w:tcW w:w="2863" w:type="dxa"/>
            <w:noWrap w:val="0"/>
            <w:vAlign w:val="center"/>
          </w:tcPr>
          <w:p w14:paraId="7B1CD48B">
            <w:pPr>
              <w:adjustRightInd w:val="0"/>
              <w:snapToGrid w:val="0"/>
              <w:spacing w:line="360" w:lineRule="auto"/>
              <w:jc w:val="left"/>
              <w:rPr>
                <w:rFonts w:hint="eastAsia" w:ascii="宋体" w:hAnsi="宋体" w:eastAsia="宋体" w:cs="Times New Roman"/>
                <w:bCs/>
                <w:color w:val="auto"/>
                <w:szCs w:val="21"/>
                <w:highlight w:val="none"/>
                <w:lang w:eastAsia="zh-CN"/>
              </w:rPr>
            </w:pPr>
            <w:r>
              <w:rPr>
                <w:rFonts w:hint="eastAsia" w:ascii="宋体" w:hAnsi="宋体" w:eastAsia="宋体" w:cs="Times New Roman"/>
                <w:bCs/>
                <w:color w:val="auto"/>
                <w:szCs w:val="21"/>
                <w:highlight w:val="none"/>
              </w:rPr>
              <w:t>投标文件副本</w:t>
            </w:r>
            <w:r>
              <w:rPr>
                <w:rFonts w:hint="eastAsia" w:ascii="宋体" w:hAnsi="宋体" w:cs="Times New Roman"/>
                <w:bCs/>
                <w:color w:val="auto"/>
                <w:szCs w:val="21"/>
                <w:highlight w:val="none"/>
                <w:lang w:val="en-US" w:eastAsia="zh-CN"/>
              </w:rPr>
              <w:t>份数</w:t>
            </w:r>
          </w:p>
        </w:tc>
        <w:tc>
          <w:tcPr>
            <w:tcW w:w="4508" w:type="dxa"/>
            <w:noWrap w:val="0"/>
            <w:vAlign w:val="center"/>
          </w:tcPr>
          <w:p w14:paraId="7699A7A4">
            <w:pPr>
              <w:adjustRightInd w:val="0"/>
              <w:snapToGrid w:val="0"/>
              <w:spacing w:line="360" w:lineRule="auto"/>
              <w:rPr>
                <w:rFonts w:ascii="宋体" w:hAnsi="宋体" w:eastAsia="宋体" w:cs="Times New Roman"/>
                <w:b/>
                <w:bCs/>
                <w:color w:val="auto"/>
                <w:szCs w:val="21"/>
                <w:highlight w:val="none"/>
              </w:rPr>
            </w:pPr>
            <w:r>
              <w:rPr>
                <w:rFonts w:hint="eastAsia" w:ascii="宋体" w:hAnsi="宋体" w:eastAsia="宋体" w:cs="Times New Roman"/>
                <w:color w:val="auto"/>
                <w:szCs w:val="21"/>
                <w:highlight w:val="none"/>
              </w:rPr>
              <w:t>按</w:t>
            </w:r>
            <w:r>
              <w:rPr>
                <w:rFonts w:ascii="宋体" w:hAnsi="宋体" w:eastAsia="宋体" w:cs="Times New Roman"/>
                <w:color w:val="auto"/>
                <w:szCs w:val="21"/>
                <w:highlight w:val="none"/>
              </w:rPr>
              <w:t>要求制作</w:t>
            </w:r>
            <w:r>
              <w:rPr>
                <w:rFonts w:hint="eastAsia" w:ascii="宋体" w:hAnsi="宋体" w:eastAsia="宋体" w:cs="Times New Roman"/>
                <w:color w:val="auto"/>
                <w:szCs w:val="21"/>
                <w:highlight w:val="none"/>
              </w:rPr>
              <w:t>电子投标文件，在娄底市公共资源交易平台上传即可。中标供应商在领取中标通知书时须提供三份胶装纸质版的投标文件用于招标</w:t>
            </w:r>
            <w:r>
              <w:rPr>
                <w:rFonts w:ascii="宋体" w:hAnsi="宋体" w:eastAsia="宋体" w:cs="Times New Roman"/>
                <w:color w:val="auto"/>
                <w:szCs w:val="21"/>
                <w:highlight w:val="none"/>
              </w:rPr>
              <w:t>人存档</w:t>
            </w:r>
            <w:r>
              <w:rPr>
                <w:rFonts w:hint="eastAsia" w:ascii="宋体" w:hAnsi="宋体" w:eastAsia="宋体" w:cs="Times New Roman"/>
                <w:color w:val="auto"/>
                <w:szCs w:val="21"/>
                <w:highlight w:val="none"/>
              </w:rPr>
              <w:t>（纸质版投标文件须与</w:t>
            </w:r>
            <w:r>
              <w:rPr>
                <w:rFonts w:ascii="宋体" w:hAnsi="宋体" w:eastAsia="宋体" w:cs="Times New Roman"/>
                <w:color w:val="auto"/>
                <w:szCs w:val="21"/>
                <w:highlight w:val="none"/>
              </w:rPr>
              <w:t>上传</w:t>
            </w:r>
            <w:r>
              <w:rPr>
                <w:rFonts w:hint="eastAsia" w:ascii="宋体" w:hAnsi="宋体" w:eastAsia="宋体" w:cs="Times New Roman"/>
                <w:color w:val="auto"/>
                <w:szCs w:val="21"/>
                <w:highlight w:val="none"/>
              </w:rPr>
              <w:t>投标</w:t>
            </w:r>
            <w:r>
              <w:rPr>
                <w:rFonts w:ascii="宋体" w:hAnsi="宋体" w:eastAsia="宋体" w:cs="Times New Roman"/>
                <w:color w:val="auto"/>
                <w:szCs w:val="21"/>
                <w:highlight w:val="none"/>
              </w:rPr>
              <w:t>的电子版投标文件内容一致</w:t>
            </w:r>
            <w:r>
              <w:rPr>
                <w:rFonts w:hint="eastAsia" w:ascii="宋体" w:hAnsi="宋体" w:eastAsia="宋体" w:cs="Times New Roman"/>
                <w:color w:val="auto"/>
                <w:szCs w:val="21"/>
                <w:highlight w:val="none"/>
              </w:rPr>
              <w:t>）。</w:t>
            </w:r>
          </w:p>
        </w:tc>
      </w:tr>
      <w:tr w14:paraId="1633FF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37CB8A83">
            <w:pPr>
              <w:adjustRightInd w:val="0"/>
              <w:snapToGrid w:val="0"/>
              <w:spacing w:line="360" w:lineRule="auto"/>
              <w:rPr>
                <w:rFonts w:ascii="宋体" w:hAnsi="宋体" w:eastAsia="宋体" w:cs="Times New Roman"/>
                <w:b/>
                <w:bCs/>
                <w:color w:val="auto"/>
                <w:szCs w:val="21"/>
                <w:highlight w:val="none"/>
              </w:rPr>
            </w:pPr>
            <w:r>
              <w:rPr>
                <w:rFonts w:hint="eastAsia" w:ascii="宋体" w:hAnsi="宋体" w:eastAsia="宋体" w:cs="Times New Roman"/>
                <w:b/>
                <w:color w:val="auto"/>
                <w:szCs w:val="21"/>
                <w:highlight w:val="none"/>
              </w:rPr>
              <w:t>四、投标</w:t>
            </w:r>
          </w:p>
        </w:tc>
      </w:tr>
      <w:tr w14:paraId="503EBB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EBED214">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第21.1</w:t>
            </w:r>
            <w:r>
              <w:rPr>
                <w:rFonts w:hint="eastAsia" w:ascii="宋体" w:hAnsi="宋体" w:eastAsia="宋体" w:cs="宋体"/>
                <w:color w:val="auto"/>
                <w:kern w:val="0"/>
                <w:szCs w:val="21"/>
                <w:highlight w:val="none"/>
                <w:lang w:val="zh-CN"/>
              </w:rPr>
              <w:t>款</w:t>
            </w:r>
          </w:p>
        </w:tc>
        <w:tc>
          <w:tcPr>
            <w:tcW w:w="2863" w:type="dxa"/>
            <w:noWrap w:val="0"/>
            <w:vAlign w:val="center"/>
          </w:tcPr>
          <w:p w14:paraId="31C73E1F">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投标截止时间及投标地点</w:t>
            </w:r>
          </w:p>
        </w:tc>
        <w:tc>
          <w:tcPr>
            <w:tcW w:w="4508" w:type="dxa"/>
            <w:noWrap w:val="0"/>
            <w:vAlign w:val="center"/>
          </w:tcPr>
          <w:p w14:paraId="07A96827">
            <w:pPr>
              <w:adjustRightInd w:val="0"/>
              <w:snapToGrid w:val="0"/>
              <w:spacing w:line="360" w:lineRule="auto"/>
              <w:rPr>
                <w:rFonts w:ascii="宋体" w:hAnsi="宋体" w:eastAsia="宋体" w:cs="Times New Roman"/>
                <w:bCs/>
                <w:color w:val="auto"/>
                <w:szCs w:val="21"/>
                <w:highlight w:val="none"/>
              </w:rPr>
            </w:pPr>
            <w:r>
              <w:rPr>
                <w:rFonts w:hint="eastAsia" w:ascii="宋体" w:hAnsi="宋体" w:eastAsia="宋体" w:cs="Times New Roman"/>
                <w:color w:val="auto"/>
                <w:szCs w:val="21"/>
                <w:highlight w:val="none"/>
              </w:rPr>
              <w:t>见第一章 投标邀请</w:t>
            </w:r>
          </w:p>
        </w:tc>
      </w:tr>
      <w:tr w14:paraId="10B354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1D7D6F6D">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bCs/>
                <w:color w:val="auto"/>
                <w:szCs w:val="21"/>
                <w:highlight w:val="none"/>
              </w:rPr>
              <w:t>五、开标、资格审查和评标</w:t>
            </w:r>
          </w:p>
        </w:tc>
      </w:tr>
      <w:tr w14:paraId="6E7B27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3429B05">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第24.1</w:t>
            </w:r>
            <w:r>
              <w:rPr>
                <w:rFonts w:hint="eastAsia" w:ascii="宋体" w:hAnsi="宋体" w:eastAsia="宋体" w:cs="宋体"/>
                <w:color w:val="auto"/>
                <w:kern w:val="0"/>
                <w:szCs w:val="21"/>
                <w:highlight w:val="none"/>
                <w:lang w:val="zh-CN"/>
              </w:rPr>
              <w:t>款</w:t>
            </w:r>
          </w:p>
        </w:tc>
        <w:tc>
          <w:tcPr>
            <w:tcW w:w="2863" w:type="dxa"/>
            <w:noWrap w:val="0"/>
            <w:vAlign w:val="center"/>
          </w:tcPr>
          <w:p w14:paraId="6D81A42C">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bCs/>
                <w:color w:val="auto"/>
                <w:szCs w:val="21"/>
                <w:highlight w:val="none"/>
              </w:rPr>
              <w:t>开标地点</w:t>
            </w:r>
            <w:r>
              <w:rPr>
                <w:rFonts w:hint="eastAsia" w:ascii="宋体" w:hAnsi="宋体" w:eastAsia="宋体" w:cs="Times New Roman"/>
                <w:color w:val="auto"/>
                <w:szCs w:val="21"/>
                <w:highlight w:val="none"/>
              </w:rPr>
              <w:t xml:space="preserve"> </w:t>
            </w:r>
          </w:p>
        </w:tc>
        <w:tc>
          <w:tcPr>
            <w:tcW w:w="4508" w:type="dxa"/>
            <w:noWrap w:val="0"/>
            <w:vAlign w:val="center"/>
          </w:tcPr>
          <w:p w14:paraId="26546F60">
            <w:pPr>
              <w:adjustRightInd w:val="0"/>
              <w:snapToGrid w:val="0"/>
              <w:spacing w:line="360" w:lineRule="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网上</w:t>
            </w:r>
            <w:r>
              <w:rPr>
                <w:rFonts w:ascii="宋体" w:hAnsi="宋体" w:eastAsia="宋体" w:cs="Times New Roman"/>
                <w:color w:val="auto"/>
                <w:szCs w:val="21"/>
                <w:highlight w:val="none"/>
              </w:rPr>
              <w:t>投标</w:t>
            </w:r>
          </w:p>
          <w:p w14:paraId="0C75410C">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u w:val="single"/>
              </w:rPr>
              <w:t>娄底市公共资源交易平台（http://ldggzy.hnloudi.gov.cn/）</w:t>
            </w:r>
          </w:p>
        </w:tc>
      </w:tr>
      <w:tr w14:paraId="0F249C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A5A253A">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第24.2</w:t>
            </w:r>
            <w:r>
              <w:rPr>
                <w:rFonts w:hint="eastAsia" w:ascii="宋体" w:hAnsi="宋体" w:eastAsia="宋体" w:cs="宋体"/>
                <w:color w:val="auto"/>
                <w:kern w:val="0"/>
                <w:szCs w:val="21"/>
                <w:highlight w:val="none"/>
                <w:lang w:val="zh-CN"/>
              </w:rPr>
              <w:t>款</w:t>
            </w:r>
          </w:p>
        </w:tc>
        <w:tc>
          <w:tcPr>
            <w:tcW w:w="2863" w:type="dxa"/>
            <w:noWrap w:val="0"/>
            <w:vAlign w:val="center"/>
          </w:tcPr>
          <w:p w14:paraId="0B8275D1">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需要宣布的其他内容</w:t>
            </w:r>
          </w:p>
        </w:tc>
        <w:tc>
          <w:tcPr>
            <w:tcW w:w="4508" w:type="dxa"/>
            <w:noWrap w:val="0"/>
            <w:vAlign w:val="center"/>
          </w:tcPr>
          <w:p w14:paraId="3C5DC0ED">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无</w:t>
            </w:r>
          </w:p>
        </w:tc>
      </w:tr>
      <w:tr w14:paraId="06354A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0726B6DE">
            <w:pPr>
              <w:adjustRightInd w:val="0"/>
              <w:snapToGrid w:val="0"/>
              <w:spacing w:line="360" w:lineRule="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六、中标信息公布</w:t>
            </w:r>
          </w:p>
        </w:tc>
      </w:tr>
      <w:tr w14:paraId="0D07FC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A64E0B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第28.2</w:t>
            </w:r>
            <w:r>
              <w:rPr>
                <w:rFonts w:hint="eastAsia" w:ascii="宋体" w:hAnsi="宋体" w:eastAsia="宋体" w:cs="宋体"/>
                <w:color w:val="auto"/>
                <w:kern w:val="0"/>
                <w:szCs w:val="21"/>
                <w:highlight w:val="none"/>
                <w:lang w:val="zh-CN"/>
              </w:rPr>
              <w:t>款</w:t>
            </w:r>
          </w:p>
        </w:tc>
        <w:tc>
          <w:tcPr>
            <w:tcW w:w="2863" w:type="dxa"/>
            <w:noWrap w:val="0"/>
            <w:vAlign w:val="center"/>
          </w:tcPr>
          <w:p w14:paraId="72D4E456">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中标候选人并列时确定中标人的方式</w:t>
            </w:r>
          </w:p>
        </w:tc>
        <w:tc>
          <w:tcPr>
            <w:tcW w:w="4508" w:type="dxa"/>
            <w:noWrap w:val="0"/>
            <w:vAlign w:val="center"/>
          </w:tcPr>
          <w:p w14:paraId="57453F61">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按</w:t>
            </w:r>
            <w:r>
              <w:rPr>
                <w:rFonts w:ascii="宋体" w:hAnsi="宋体" w:eastAsia="宋体" w:cs="Times New Roman"/>
                <w:color w:val="auto"/>
                <w:szCs w:val="21"/>
                <w:highlight w:val="none"/>
              </w:rPr>
              <w:t>序</w:t>
            </w:r>
            <w:r>
              <w:rPr>
                <w:rFonts w:hint="eastAsia" w:ascii="宋体" w:hAnsi="宋体" w:eastAsia="宋体" w:cs="Times New Roman"/>
                <w:color w:val="auto"/>
                <w:szCs w:val="21"/>
                <w:highlight w:val="none"/>
              </w:rPr>
              <w:t>：低价</w:t>
            </w:r>
            <w:r>
              <w:rPr>
                <w:rFonts w:ascii="宋体" w:hAnsi="宋体" w:eastAsia="宋体" w:cs="Times New Roman"/>
                <w:color w:val="auto"/>
                <w:szCs w:val="21"/>
                <w:highlight w:val="none"/>
              </w:rPr>
              <w:t>优先</w:t>
            </w: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技术分高优先</w:t>
            </w:r>
            <w:r>
              <w:rPr>
                <w:rFonts w:hint="eastAsia" w:ascii="宋体" w:hAnsi="宋体" w:eastAsia="宋体" w:cs="Times New Roman"/>
                <w:color w:val="auto"/>
                <w:szCs w:val="21"/>
                <w:highlight w:val="none"/>
              </w:rPr>
              <w:t>。</w:t>
            </w:r>
          </w:p>
        </w:tc>
      </w:tr>
      <w:tr w14:paraId="67BD71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3F2D1549">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第29.3</w:t>
            </w:r>
            <w:r>
              <w:rPr>
                <w:rFonts w:hint="eastAsia" w:ascii="宋体" w:hAnsi="宋体" w:eastAsia="宋体" w:cs="宋体"/>
                <w:color w:val="auto"/>
                <w:kern w:val="0"/>
                <w:szCs w:val="21"/>
                <w:highlight w:val="none"/>
                <w:lang w:val="zh-CN"/>
              </w:rPr>
              <w:t>款</w:t>
            </w:r>
          </w:p>
        </w:tc>
        <w:tc>
          <w:tcPr>
            <w:tcW w:w="2863" w:type="dxa"/>
            <w:noWrap w:val="0"/>
            <w:vAlign w:val="center"/>
          </w:tcPr>
          <w:p w14:paraId="6ADF2172">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接收质疑函的联系部门、联系电话和通讯地址</w:t>
            </w:r>
          </w:p>
        </w:tc>
        <w:tc>
          <w:tcPr>
            <w:tcW w:w="4508" w:type="dxa"/>
            <w:noWrap w:val="0"/>
            <w:vAlign w:val="center"/>
          </w:tcPr>
          <w:p w14:paraId="355DC1F6">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71375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61023276">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color w:val="auto"/>
                <w:szCs w:val="21"/>
                <w:highlight w:val="none"/>
              </w:rPr>
              <w:t>七、合同签订</w:t>
            </w:r>
          </w:p>
        </w:tc>
      </w:tr>
      <w:tr w14:paraId="76F95D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1560" w:type="dxa"/>
            <w:noWrap w:val="0"/>
            <w:vAlign w:val="center"/>
          </w:tcPr>
          <w:p w14:paraId="03D31663">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第31.1</w:t>
            </w:r>
            <w:r>
              <w:rPr>
                <w:rFonts w:hint="eastAsia" w:ascii="宋体" w:hAnsi="宋体" w:eastAsia="宋体" w:cs="宋体"/>
                <w:color w:val="auto"/>
                <w:kern w:val="0"/>
                <w:szCs w:val="21"/>
                <w:highlight w:val="none"/>
                <w:lang w:val="zh-CN"/>
              </w:rPr>
              <w:t>款</w:t>
            </w:r>
          </w:p>
        </w:tc>
        <w:tc>
          <w:tcPr>
            <w:tcW w:w="2863" w:type="dxa"/>
            <w:noWrap w:val="0"/>
            <w:vAlign w:val="center"/>
          </w:tcPr>
          <w:p w14:paraId="72AAB1CD">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履约担保</w:t>
            </w:r>
          </w:p>
        </w:tc>
        <w:tc>
          <w:tcPr>
            <w:tcW w:w="4508" w:type="dxa"/>
            <w:noWrap w:val="0"/>
            <w:vAlign w:val="center"/>
          </w:tcPr>
          <w:p w14:paraId="5691835D">
            <w:pPr>
              <w:snapToGrid w:val="0"/>
              <w:spacing w:before="156" w:line="360" w:lineRule="auto"/>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b/>
                <w:color w:val="auto"/>
                <w:szCs w:val="21"/>
                <w:highlight w:val="none"/>
              </w:rPr>
              <w:t xml:space="preserve"> </w:t>
            </w:r>
            <w:r>
              <w:rPr>
                <w:rFonts w:hint="eastAsia" w:ascii="宋体" w:hAnsi="宋体" w:eastAsia="宋体" w:cs="Times New Roman"/>
                <w:color w:val="auto"/>
                <w:szCs w:val="21"/>
                <w:highlight w:val="none"/>
              </w:rPr>
              <w:t>不要求提供</w:t>
            </w:r>
          </w:p>
          <w:p w14:paraId="0A8B4782">
            <w:pPr>
              <w:snapToGrid w:val="0"/>
              <w:spacing w:line="360" w:lineRule="auto"/>
              <w:textAlignment w:val="baseline"/>
              <w:rPr>
                <w:rFonts w:hint="eastAsia" w:ascii="宋体" w:hAnsi="宋体" w:eastAsia="宋体" w:cs="Times New Roman"/>
                <w:strike/>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b/>
                <w:color w:val="auto"/>
                <w:szCs w:val="21"/>
                <w:highlight w:val="none"/>
              </w:rPr>
              <w:t xml:space="preserve"> </w:t>
            </w:r>
            <w:r>
              <w:rPr>
                <w:rFonts w:hint="eastAsia" w:ascii="宋体" w:hAnsi="宋体" w:eastAsia="宋体" w:cs="Times New Roman"/>
                <w:color w:val="auto"/>
                <w:szCs w:val="21"/>
                <w:highlight w:val="none"/>
              </w:rPr>
              <w:t>要求提供</w:t>
            </w:r>
          </w:p>
        </w:tc>
      </w:tr>
      <w:tr w14:paraId="555BF0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2D938A18">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bCs/>
                <w:color w:val="auto"/>
                <w:szCs w:val="21"/>
                <w:highlight w:val="none"/>
              </w:rPr>
              <w:t>八、政府采购政策</w:t>
            </w:r>
          </w:p>
        </w:tc>
      </w:tr>
      <w:tr w14:paraId="45F6D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BED6689">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第33.</w:t>
            </w:r>
            <w:r>
              <w:rPr>
                <w:rFonts w:ascii="宋体" w:hAnsi="宋体" w:eastAsia="宋体" w:cs="Times New Roman"/>
                <w:color w:val="auto"/>
                <w:szCs w:val="21"/>
                <w:highlight w:val="none"/>
              </w:rPr>
              <w:t>3</w:t>
            </w:r>
            <w:r>
              <w:rPr>
                <w:rFonts w:hint="eastAsia" w:ascii="宋体" w:hAnsi="宋体" w:eastAsia="宋体" w:cs="Times New Roman"/>
                <w:color w:val="auto"/>
                <w:szCs w:val="21"/>
                <w:highlight w:val="none"/>
              </w:rPr>
              <w:t>款</w:t>
            </w:r>
          </w:p>
        </w:tc>
        <w:tc>
          <w:tcPr>
            <w:tcW w:w="2863" w:type="dxa"/>
            <w:noWrap w:val="0"/>
            <w:vAlign w:val="center"/>
          </w:tcPr>
          <w:p w14:paraId="4910AE76">
            <w:pPr>
              <w:snapToGrid w:val="0"/>
              <w:spacing w:line="340" w:lineRule="exact"/>
              <w:jc w:val="left"/>
              <w:textAlignment w:val="baseline"/>
              <w:rPr>
                <w:rFonts w:ascii="宋体" w:hAnsi="宋体" w:eastAsia="宋体" w:cs="Times New Roman"/>
                <w:color w:val="auto"/>
                <w:sz w:val="20"/>
                <w:szCs w:val="21"/>
                <w:highlight w:val="none"/>
              </w:rPr>
            </w:pPr>
            <w:r>
              <w:rPr>
                <w:rFonts w:ascii="宋体" w:hAnsi="宋体" w:eastAsia="宋体" w:cs="Times New Roman"/>
                <w:color w:val="auto"/>
                <w:szCs w:val="21"/>
                <w:highlight w:val="none"/>
              </w:rPr>
              <w:t>政府采购</w:t>
            </w:r>
            <w:r>
              <w:rPr>
                <w:rFonts w:hint="eastAsia" w:ascii="宋体" w:hAnsi="宋体" w:eastAsia="宋体" w:cs="Times New Roman"/>
                <w:color w:val="auto"/>
                <w:szCs w:val="21"/>
                <w:highlight w:val="none"/>
              </w:rPr>
              <w:t>政策</w:t>
            </w:r>
            <w:r>
              <w:rPr>
                <w:rFonts w:ascii="宋体" w:hAnsi="宋体" w:eastAsia="宋体" w:cs="Times New Roman"/>
                <w:color w:val="auto"/>
                <w:szCs w:val="21"/>
                <w:highlight w:val="none"/>
              </w:rPr>
              <w:t>：</w:t>
            </w:r>
          </w:p>
          <w:p w14:paraId="2DA54D4E">
            <w:pPr>
              <w:snapToGrid w:val="0"/>
              <w:spacing w:line="340" w:lineRule="exact"/>
              <w:jc w:val="left"/>
              <w:textAlignment w:val="baseline"/>
              <w:rPr>
                <w:rFonts w:ascii="宋体" w:hAnsi="宋体" w:eastAsia="宋体" w:cs="Times New Roman"/>
                <w:color w:val="auto"/>
                <w:szCs w:val="21"/>
                <w:highlight w:val="none"/>
              </w:rPr>
            </w:pPr>
            <w:r>
              <w:rPr>
                <w:rFonts w:ascii="宋体" w:hAnsi="宋体" w:eastAsia="宋体" w:cs="Times New Roman"/>
                <w:color w:val="auto"/>
                <w:szCs w:val="21"/>
                <w:highlight w:val="none"/>
              </w:rPr>
              <w:t>1、</w:t>
            </w:r>
            <w:r>
              <w:rPr>
                <w:rFonts w:hint="eastAsia" w:ascii="宋体" w:hAnsi="宋体" w:eastAsia="宋体" w:cs="Times New Roman"/>
                <w:color w:val="auto"/>
                <w:szCs w:val="21"/>
                <w:highlight w:val="none"/>
              </w:rPr>
              <w:t>优先采购</w:t>
            </w:r>
            <w:r>
              <w:rPr>
                <w:rFonts w:ascii="宋体" w:hAnsi="宋体" w:eastAsia="宋体" w:cs="Times New Roman"/>
                <w:color w:val="auto"/>
                <w:szCs w:val="21"/>
                <w:highlight w:val="none"/>
              </w:rPr>
              <w:t>；</w:t>
            </w:r>
          </w:p>
          <w:p w14:paraId="4DE43397">
            <w:pPr>
              <w:snapToGrid w:val="0"/>
              <w:spacing w:line="340" w:lineRule="exact"/>
              <w:jc w:val="left"/>
              <w:textAlignment w:val="baseline"/>
              <w:rPr>
                <w:rFonts w:ascii="宋体" w:hAnsi="宋体" w:eastAsia="宋体" w:cs="Times New Roman"/>
                <w:color w:val="auto"/>
                <w:szCs w:val="21"/>
                <w:highlight w:val="none"/>
              </w:rPr>
            </w:pP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rPr>
              <w:t>强制采购</w:t>
            </w:r>
            <w:r>
              <w:rPr>
                <w:rFonts w:ascii="宋体" w:hAnsi="宋体" w:eastAsia="宋体" w:cs="Times New Roman"/>
                <w:color w:val="auto"/>
                <w:szCs w:val="21"/>
                <w:highlight w:val="none"/>
              </w:rPr>
              <w:t>；</w:t>
            </w:r>
          </w:p>
          <w:p w14:paraId="307E2DC5">
            <w:pPr>
              <w:snapToGrid w:val="0"/>
              <w:spacing w:line="340" w:lineRule="exact"/>
              <w:jc w:val="left"/>
              <w:textAlignment w:val="baseline"/>
              <w:rPr>
                <w:rFonts w:ascii="宋体" w:hAnsi="宋体" w:eastAsia="宋体" w:cs="Times New Roman"/>
                <w:color w:val="auto"/>
                <w:szCs w:val="21"/>
                <w:highlight w:val="none"/>
              </w:rPr>
            </w:pPr>
            <w:r>
              <w:rPr>
                <w:rFonts w:ascii="宋体" w:hAnsi="宋体" w:eastAsia="宋体" w:cs="Times New Roman"/>
                <w:color w:val="auto"/>
                <w:szCs w:val="21"/>
                <w:highlight w:val="none"/>
              </w:rPr>
              <w:t>3、</w:t>
            </w:r>
            <w:r>
              <w:rPr>
                <w:rFonts w:hint="eastAsia" w:ascii="宋体" w:hAnsi="宋体" w:eastAsia="宋体" w:cs="Times New Roman"/>
                <w:color w:val="auto"/>
                <w:szCs w:val="21"/>
                <w:highlight w:val="none"/>
              </w:rPr>
              <w:t>价格评审优惠</w:t>
            </w:r>
            <w:r>
              <w:rPr>
                <w:rFonts w:ascii="宋体" w:hAnsi="宋体" w:eastAsia="宋体" w:cs="Times New Roman"/>
                <w:color w:val="auto"/>
                <w:szCs w:val="21"/>
                <w:highlight w:val="none"/>
              </w:rPr>
              <w:t>；</w:t>
            </w:r>
          </w:p>
          <w:p w14:paraId="1DB3DF46">
            <w:pPr>
              <w:snapToGrid w:val="0"/>
              <w:spacing w:line="340" w:lineRule="exact"/>
              <w:jc w:val="left"/>
              <w:textAlignment w:val="baseline"/>
              <w:rPr>
                <w:rFonts w:ascii="宋体" w:hAnsi="宋体" w:eastAsia="宋体" w:cs="Times New Roman"/>
                <w:color w:val="auto"/>
                <w:szCs w:val="21"/>
                <w:highlight w:val="none"/>
              </w:rPr>
            </w:pPr>
            <w:r>
              <w:rPr>
                <w:rFonts w:ascii="宋体" w:hAnsi="宋体" w:eastAsia="宋体" w:cs="Times New Roman"/>
                <w:color w:val="auto"/>
                <w:szCs w:val="21"/>
                <w:highlight w:val="none"/>
              </w:rPr>
              <w:t>4、</w:t>
            </w:r>
            <w:r>
              <w:rPr>
                <w:rFonts w:hint="eastAsia" w:ascii="宋体" w:hAnsi="宋体" w:eastAsia="宋体" w:cs="Times New Roman"/>
                <w:color w:val="auto"/>
                <w:szCs w:val="21"/>
                <w:highlight w:val="none"/>
              </w:rPr>
              <w:t>政府采购政策交叉与叠加</w:t>
            </w:r>
            <w:r>
              <w:rPr>
                <w:rFonts w:ascii="宋体" w:hAnsi="宋体" w:eastAsia="宋体" w:cs="Times New Roman"/>
                <w:color w:val="auto"/>
                <w:szCs w:val="21"/>
                <w:highlight w:val="none"/>
              </w:rPr>
              <w:t>；</w:t>
            </w:r>
          </w:p>
          <w:p w14:paraId="2EFF3705">
            <w:pPr>
              <w:snapToGrid w:val="0"/>
              <w:spacing w:line="340" w:lineRule="exact"/>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5、</w:t>
            </w:r>
            <w:r>
              <w:rPr>
                <w:rFonts w:ascii="宋体" w:hAnsi="宋体" w:eastAsia="宋体" w:cs="Times New Roman"/>
                <w:color w:val="auto"/>
                <w:szCs w:val="21"/>
                <w:highlight w:val="none"/>
              </w:rPr>
              <w:t>联合体</w:t>
            </w:r>
          </w:p>
          <w:p w14:paraId="792CB927">
            <w:pPr>
              <w:snapToGrid w:val="0"/>
              <w:spacing w:line="340" w:lineRule="exact"/>
              <w:jc w:val="left"/>
              <w:textAlignment w:val="baseline"/>
              <w:rPr>
                <w:rFonts w:hint="eastAsia" w:ascii="宋体" w:hAnsi="宋体" w:eastAsia="宋体" w:cs="Times New Roman"/>
                <w:color w:val="auto"/>
                <w:szCs w:val="21"/>
                <w:highlight w:val="none"/>
              </w:rPr>
            </w:pPr>
            <w:r>
              <w:rPr>
                <w:rFonts w:ascii="宋体" w:hAnsi="宋体" w:eastAsia="宋体" w:cs="Times New Roman"/>
                <w:color w:val="auto"/>
                <w:szCs w:val="21"/>
                <w:highlight w:val="none"/>
              </w:rPr>
              <w:t>6、其他。</w:t>
            </w:r>
          </w:p>
        </w:tc>
        <w:tc>
          <w:tcPr>
            <w:tcW w:w="4508" w:type="dxa"/>
            <w:noWrap w:val="0"/>
            <w:vAlign w:val="center"/>
          </w:tcPr>
          <w:p w14:paraId="7A2E766A">
            <w:pPr>
              <w:snapToGrid w:val="0"/>
              <w:spacing w:before="156" w:line="340" w:lineRule="exac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1、采购产品为《节能产品政府采购清单》(最新)内非标记</w:t>
            </w:r>
            <w:r>
              <w:rPr>
                <w:rFonts w:hint="eastAsia" w:ascii="宋体" w:hAnsi="宋体" w:eastAsia="宋体" w:cs="宋体"/>
                <w:color w:val="auto"/>
                <w:szCs w:val="21"/>
                <w:highlight w:val="none"/>
              </w:rPr>
              <w:t>★</w:t>
            </w:r>
            <w:r>
              <w:rPr>
                <w:rFonts w:hint="eastAsia" w:ascii="宋体" w:hAnsi="宋体" w:eastAsia="宋体" w:cs="Times New Roman"/>
                <w:color w:val="auto"/>
                <w:szCs w:val="21"/>
                <w:highlight w:val="none"/>
              </w:rPr>
              <w:t>符号的，分别给予技术和价格项标准总分值4%-8%的加分。本项目具体加分比例分别为 ：技术</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%、价格</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w:t>
            </w:r>
          </w:p>
          <w:p w14:paraId="6DAC0AFB">
            <w:pPr>
              <w:snapToGrid w:val="0"/>
              <w:spacing w:before="156" w:line="340" w:lineRule="exac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2、采购产品为《环境标志产品政府采购清单》(最新期)内的，分别给予技术和价格项标准总分值4%-8%的加分。本项目具体加分比例分别为 ：技术</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%、价格</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 xml:space="preserve">/ </w:t>
            </w:r>
            <w:r>
              <w:rPr>
                <w:rFonts w:hint="eastAsia" w:ascii="宋体" w:hAnsi="宋体" w:eastAsia="宋体" w:cs="Times New Roman"/>
                <w:color w:val="auto"/>
                <w:szCs w:val="21"/>
                <w:highlight w:val="none"/>
              </w:rPr>
              <w:t xml:space="preserve"> %。</w:t>
            </w:r>
          </w:p>
          <w:p w14:paraId="5993A93D">
            <w:pPr>
              <w:snapToGrid w:val="0"/>
              <w:spacing w:before="156" w:line="340" w:lineRule="exact"/>
              <w:textAlignment w:val="baseline"/>
              <w:rPr>
                <w:rFonts w:ascii="宋体" w:hAnsi="宋体" w:eastAsia="宋体" w:cs="Times New Roman"/>
                <w:color w:val="auto"/>
                <w:sz w:val="20"/>
                <w:szCs w:val="21"/>
                <w:highlight w:val="none"/>
              </w:rPr>
            </w:pPr>
            <w:r>
              <w:rPr>
                <w:rFonts w:hint="eastAsia" w:ascii="黑体" w:hAnsi="黑体" w:eastAsia="黑体" w:cs="Times New Roman"/>
                <w:b/>
                <w:iCs/>
                <w:color w:val="auto"/>
                <w:sz w:val="24"/>
                <w:highlight w:val="none"/>
              </w:rPr>
              <w:sym w:font="Wingdings" w:char="00FE"/>
            </w:r>
            <w:r>
              <w:rPr>
                <w:rFonts w:hint="eastAsia" w:ascii="宋体" w:hAnsi="宋体" w:eastAsia="黑体" w:cs="Times New Roman"/>
                <w:color w:val="auto"/>
                <w:szCs w:val="21"/>
                <w:highlight w:val="none"/>
                <w:lang w:val="en-US" w:eastAsia="zh-CN"/>
              </w:rPr>
              <w:t>3</w:t>
            </w:r>
            <w:r>
              <w:rPr>
                <w:rFonts w:hint="eastAsia" w:ascii="宋体" w:hAnsi="宋体" w:eastAsia="宋体" w:cs="Times New Roman"/>
                <w:color w:val="auto"/>
                <w:szCs w:val="21"/>
                <w:highlight w:val="none"/>
              </w:rPr>
              <w:t>、非专门面向中小企业采购，且符合政府采购促进中小企业发展相关规定的：</w:t>
            </w:r>
          </w:p>
          <w:p w14:paraId="586C1142">
            <w:pPr>
              <w:snapToGrid w:val="0"/>
              <w:spacing w:before="156" w:line="340" w:lineRule="exact"/>
              <w:textAlignment w:val="baseline"/>
              <w:rPr>
                <w:rFonts w:ascii="宋体" w:hAnsi="宋体" w:eastAsia="宋体" w:cs="Times New Roman"/>
                <w:color w:val="auto"/>
                <w:sz w:val="20"/>
                <w:szCs w:val="21"/>
                <w:highlight w:val="none"/>
              </w:rPr>
            </w:pPr>
            <w:r>
              <w:rPr>
                <w:rFonts w:hint="eastAsia" w:ascii="黑体" w:hAnsi="黑体" w:eastAsia="黑体" w:cs="Times New Roman"/>
                <w:b/>
                <w:iCs/>
                <w:color w:val="auto"/>
                <w:sz w:val="24"/>
                <w:highlight w:val="none"/>
              </w:rPr>
              <w:sym w:font="Wingdings" w:char="00FE"/>
            </w:r>
            <w:r>
              <w:rPr>
                <w:rFonts w:hint="eastAsia" w:ascii="宋体" w:hAnsi="宋体" w:eastAsia="宋体" w:cs="Times New Roman"/>
                <w:color w:val="auto"/>
                <w:szCs w:val="21"/>
                <w:highlight w:val="none"/>
              </w:rPr>
              <w:t>（1）给予小型和微型企业产品（</w:t>
            </w:r>
            <w:r>
              <w:rPr>
                <w:rFonts w:ascii="宋体" w:hAnsi="宋体" w:eastAsia="宋体" w:cs="Times New Roman"/>
                <w:color w:val="auto"/>
                <w:szCs w:val="21"/>
                <w:highlight w:val="none"/>
              </w:rPr>
              <w:t>服务）</w:t>
            </w:r>
            <w:r>
              <w:rPr>
                <w:rFonts w:hint="eastAsia" w:ascii="宋体" w:hAnsi="宋体" w:eastAsia="宋体" w:cs="Times New Roman"/>
                <w:color w:val="auto"/>
                <w:szCs w:val="21"/>
                <w:highlight w:val="none"/>
              </w:rPr>
              <w:t>的价格给予</w:t>
            </w:r>
            <w:r>
              <w:rPr>
                <w:rFonts w:ascii="宋体" w:hAnsi="宋体" w:eastAsia="宋体" w:cs="Times New Roman"/>
                <w:color w:val="auto"/>
                <w:szCs w:val="21"/>
                <w:highlight w:val="none"/>
              </w:rPr>
              <w:t>10</w:t>
            </w: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rPr>
              <w:t>0%</w:t>
            </w:r>
            <w:r>
              <w:rPr>
                <w:rFonts w:hint="eastAsia" w:ascii="宋体" w:hAnsi="宋体" w:eastAsia="宋体" w:cs="Arial"/>
                <w:color w:val="auto"/>
                <w:szCs w:val="21"/>
                <w:highlight w:val="none"/>
              </w:rPr>
              <w:t>（工程</w:t>
            </w:r>
            <w:r>
              <w:rPr>
                <w:rFonts w:ascii="宋体" w:hAnsi="宋体" w:eastAsia="宋体" w:cs="Arial"/>
                <w:color w:val="auto"/>
                <w:szCs w:val="21"/>
                <w:highlight w:val="none"/>
              </w:rPr>
              <w:t>项目6%-10%</w:t>
            </w:r>
            <w:r>
              <w:rPr>
                <w:rFonts w:hint="eastAsia" w:ascii="宋体" w:hAnsi="宋体" w:eastAsia="宋体" w:cs="Arial"/>
                <w:color w:val="auto"/>
                <w:szCs w:val="21"/>
                <w:highlight w:val="none"/>
              </w:rPr>
              <w:t>）</w:t>
            </w:r>
            <w:r>
              <w:rPr>
                <w:rFonts w:hint="eastAsia" w:ascii="宋体" w:hAnsi="宋体" w:eastAsia="宋体" w:cs="Times New Roman"/>
                <w:color w:val="auto"/>
                <w:szCs w:val="21"/>
                <w:highlight w:val="none"/>
              </w:rPr>
              <w:t xml:space="preserve">的扣除，用扣除后的价格参与评审，本项目具体扣除比例为 </w:t>
            </w:r>
            <w:r>
              <w:rPr>
                <w:rFonts w:hint="eastAsia" w:ascii="宋体" w:hAnsi="宋体" w:eastAsia="宋体" w:cs="Times New Roman"/>
                <w:color w:val="auto"/>
                <w:szCs w:val="21"/>
                <w:highlight w:val="none"/>
                <w:u w:val="single" w:color="000000"/>
              </w:rPr>
              <w:t>10</w:t>
            </w:r>
            <w:r>
              <w:rPr>
                <w:rFonts w:hint="eastAsia" w:ascii="宋体" w:hAnsi="宋体" w:eastAsia="宋体" w:cs="Times New Roman"/>
                <w:color w:val="auto"/>
                <w:szCs w:val="21"/>
                <w:highlight w:val="none"/>
              </w:rPr>
              <w:t>%</w:t>
            </w:r>
          </w:p>
          <w:p w14:paraId="51B85970">
            <w:pPr>
              <w:snapToGrid w:val="0"/>
              <w:spacing w:before="156" w:line="340" w:lineRule="exac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（2）给予联合体2%-3%的价格扣除，用扣除后的价格参与评审，本项目具体扣除比例为</w:t>
            </w:r>
            <w:r>
              <w:rPr>
                <w:rFonts w:hint="eastAsia" w:ascii="宋体" w:hAnsi="宋体" w:eastAsia="宋体" w:cs="Times New Roman"/>
                <w:color w:val="auto"/>
                <w:szCs w:val="21"/>
                <w:highlight w:val="none"/>
                <w:u w:val="single" w:color="000000"/>
              </w:rPr>
              <w:t xml:space="preserve"> </w:t>
            </w:r>
            <w:r>
              <w:rPr>
                <w:rFonts w:ascii="宋体" w:hAnsi="宋体" w:eastAsia="宋体" w:cs="Times New Roman"/>
                <w:color w:val="auto"/>
                <w:szCs w:val="21"/>
                <w:highlight w:val="none"/>
                <w:u w:val="single" w:color="000000"/>
              </w:rPr>
              <w:t>/</w:t>
            </w:r>
            <w:r>
              <w:rPr>
                <w:rFonts w:hint="eastAsia" w:ascii="宋体" w:hAnsi="宋体" w:eastAsia="宋体" w:cs="Times New Roman"/>
                <w:color w:val="auto"/>
                <w:szCs w:val="21"/>
                <w:highlight w:val="none"/>
              </w:rPr>
              <w:t>％。</w:t>
            </w:r>
          </w:p>
          <w:p w14:paraId="790E2A14">
            <w:pPr>
              <w:adjustRightInd w:val="0"/>
              <w:snapToGrid w:val="0"/>
              <w:spacing w:line="360" w:lineRule="auto"/>
              <w:rPr>
                <w:rFonts w:ascii="宋体" w:hAnsi="宋体" w:eastAsia="宋体" w:cs="Times New Roman"/>
                <w:color w:val="auto"/>
                <w:szCs w:val="21"/>
                <w:highlight w:val="none"/>
              </w:rPr>
            </w:pPr>
          </w:p>
        </w:tc>
      </w:tr>
      <w:tr w14:paraId="320BA2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8D27567">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第33.8款</w:t>
            </w:r>
          </w:p>
        </w:tc>
        <w:tc>
          <w:tcPr>
            <w:tcW w:w="2863" w:type="dxa"/>
            <w:noWrap w:val="0"/>
            <w:vAlign w:val="center"/>
          </w:tcPr>
          <w:p w14:paraId="407FCF3A">
            <w:pPr>
              <w:adjustRightInd w:val="0"/>
              <w:snapToGrid w:val="0"/>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采购进口产品</w:t>
            </w:r>
          </w:p>
        </w:tc>
        <w:tc>
          <w:tcPr>
            <w:tcW w:w="4508" w:type="dxa"/>
            <w:noWrap w:val="0"/>
            <w:vAlign w:val="center"/>
          </w:tcPr>
          <w:p w14:paraId="2A4686F6">
            <w:pPr>
              <w:snapToGrid w:val="0"/>
              <w:spacing w:before="156" w:line="360" w:lineRule="auto"/>
              <w:textAlignment w:val="baseline"/>
              <w:rPr>
                <w:rFonts w:ascii="宋体" w:hAnsi="宋体" w:eastAsia="宋体" w:cs="Times New Roman"/>
                <w:color w:val="auto"/>
                <w:sz w:val="20"/>
                <w:szCs w:val="21"/>
                <w:highlight w:val="none"/>
              </w:rPr>
            </w:pPr>
            <w:r>
              <w:rPr>
                <w:rFonts w:hint="eastAsia" w:ascii="黑体" w:hAnsi="黑体" w:eastAsia="黑体" w:cs="Times New Roman"/>
                <w:b/>
                <w:iCs/>
                <w:color w:val="auto"/>
                <w:sz w:val="24"/>
                <w:highlight w:val="none"/>
              </w:rPr>
              <w:sym w:font="Wingdings" w:char="00FE"/>
            </w:r>
            <w:r>
              <w:rPr>
                <w:rFonts w:hint="eastAsia" w:ascii="宋体" w:hAnsi="宋体" w:eastAsia="宋体" w:cs="Times New Roman"/>
                <w:color w:val="auto"/>
                <w:szCs w:val="21"/>
                <w:highlight w:val="none"/>
              </w:rPr>
              <w:t>不接受进口产品</w:t>
            </w:r>
          </w:p>
          <w:p w14:paraId="341D17AC">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□已经财政部门批准，可采购进口产品</w:t>
            </w:r>
          </w:p>
        </w:tc>
      </w:tr>
      <w:tr w14:paraId="227C25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330DDB14">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b/>
                <w:color w:val="auto"/>
                <w:szCs w:val="21"/>
                <w:highlight w:val="none"/>
              </w:rPr>
              <w:t>九、其他规定</w:t>
            </w:r>
          </w:p>
        </w:tc>
      </w:tr>
      <w:tr w14:paraId="5388A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445EFBA">
            <w:pPr>
              <w:adjustRightInd w:val="0"/>
              <w:snapToGrid w:val="0"/>
              <w:spacing w:line="360" w:lineRule="auto"/>
              <w:jc w:val="center"/>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第35.1</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项</w:t>
            </w:r>
          </w:p>
        </w:tc>
        <w:tc>
          <w:tcPr>
            <w:tcW w:w="2863" w:type="dxa"/>
            <w:noWrap w:val="0"/>
            <w:vAlign w:val="center"/>
          </w:tcPr>
          <w:p w14:paraId="0A7AB1C4">
            <w:pPr>
              <w:adjustRightInd w:val="0"/>
              <w:snapToGrid w:val="0"/>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合同预付款的支付比例和支付条件</w:t>
            </w:r>
          </w:p>
        </w:tc>
        <w:tc>
          <w:tcPr>
            <w:tcW w:w="4508" w:type="dxa"/>
            <w:noWrap w:val="0"/>
            <w:vAlign w:val="center"/>
          </w:tcPr>
          <w:p w14:paraId="3868544E">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见第一章 投标邀请</w:t>
            </w:r>
          </w:p>
        </w:tc>
      </w:tr>
      <w:tr w14:paraId="6C22F8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DF670E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第35.1</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项</w:t>
            </w:r>
          </w:p>
        </w:tc>
        <w:tc>
          <w:tcPr>
            <w:tcW w:w="2863" w:type="dxa"/>
            <w:noWrap w:val="0"/>
            <w:vAlign w:val="center"/>
          </w:tcPr>
          <w:p w14:paraId="57FF5BAC">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质量保证金</w:t>
            </w:r>
          </w:p>
        </w:tc>
        <w:tc>
          <w:tcPr>
            <w:tcW w:w="4508" w:type="dxa"/>
            <w:noWrap w:val="0"/>
            <w:vAlign w:val="center"/>
          </w:tcPr>
          <w:p w14:paraId="23FAA7BB">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p>
        </w:tc>
      </w:tr>
      <w:tr w14:paraId="51797D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E5BFDF9">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第35.2</w:t>
            </w:r>
            <w:r>
              <w:rPr>
                <w:rFonts w:hint="eastAsia" w:ascii="宋体" w:hAnsi="宋体" w:eastAsia="宋体" w:cs="宋体"/>
                <w:color w:val="auto"/>
                <w:kern w:val="0"/>
                <w:szCs w:val="21"/>
                <w:highlight w:val="none"/>
                <w:lang w:val="zh-CN"/>
              </w:rPr>
              <w:t>款</w:t>
            </w:r>
          </w:p>
        </w:tc>
        <w:tc>
          <w:tcPr>
            <w:tcW w:w="2863" w:type="dxa"/>
            <w:noWrap w:val="0"/>
            <w:vAlign w:val="center"/>
          </w:tcPr>
          <w:p w14:paraId="5BD4BE5C">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其他规定</w:t>
            </w:r>
          </w:p>
        </w:tc>
        <w:tc>
          <w:tcPr>
            <w:tcW w:w="4508" w:type="dxa"/>
            <w:noWrap w:val="0"/>
            <w:vAlign w:val="center"/>
          </w:tcPr>
          <w:p w14:paraId="642A32D0">
            <w:pPr>
              <w:adjustRightInd w:val="0"/>
              <w:snapToGrid w:val="0"/>
              <w:spacing w:before="156" w:beforeLines="50"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对列入失信被执行人、重大税收违法案件当事人名单、政府采购严重违法失信行为记录名单及其他不符合《中华人民共和国政府采购法》第二十二条规定条件的供应商，将拒绝其参与政府采购活动。</w:t>
            </w:r>
          </w:p>
          <w:p w14:paraId="6D1A3915">
            <w:pPr>
              <w:adjustRightInd w:val="0"/>
              <w:snapToGrid w:val="0"/>
              <w:spacing w:before="156" w:beforeLines="50"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（1）信用信息查询的查询渠道：信用中国网（www.creditchina.gov.cn）、中国政府采购网（www.ccgp.gov.cn）；</w:t>
            </w:r>
          </w:p>
          <w:p w14:paraId="689D1036">
            <w:pPr>
              <w:adjustRightInd w:val="0"/>
              <w:snapToGrid w:val="0"/>
              <w:spacing w:before="156" w:beforeLines="50"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7DC823ED">
            <w:pPr>
              <w:adjustRightInd w:val="0"/>
              <w:snapToGrid w:val="0"/>
              <w:spacing w:before="156" w:beforeLines="50"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（3）联合体形式投标的，联合体成员存在不良信用记录的，视同联合体存在不良信用记录。</w:t>
            </w:r>
          </w:p>
          <w:p w14:paraId="4FE5BF60">
            <w:pPr>
              <w:pStyle w:val="47"/>
              <w:ind w:firstLine="4" w:firstLineChars="2"/>
              <w:rPr>
                <w:rFonts w:hint="eastAsia"/>
                <w:color w:val="auto"/>
                <w:highlight w:val="none"/>
              </w:rPr>
            </w:pPr>
            <w:r>
              <w:rPr>
                <w:rFonts w:hint="eastAsia" w:ascii="宋体" w:hAnsi="宋体"/>
                <w:color w:val="auto"/>
                <w:highlight w:val="none"/>
              </w:rPr>
              <w:t>（4）信用信息查询记录和证据留存具体方式：</w:t>
            </w:r>
            <w:r>
              <w:rPr>
                <w:rFonts w:ascii="宋体" w:hAnsi="宋体"/>
                <w:color w:val="auto"/>
                <w:highlight w:val="none"/>
              </w:rPr>
              <w:t>将查询网页</w:t>
            </w:r>
            <w:r>
              <w:rPr>
                <w:rFonts w:hint="eastAsia" w:ascii="宋体" w:hAnsi="宋体"/>
                <w:color w:val="auto"/>
                <w:highlight w:val="none"/>
              </w:rPr>
              <w:t>截图作为查询记录和证据。</w:t>
            </w:r>
          </w:p>
          <w:p w14:paraId="23FDBFE3">
            <w:pP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5</w:t>
            </w:r>
            <w:r>
              <w:rPr>
                <w:rFonts w:hint="eastAsia" w:ascii="宋体" w:hAnsi="宋体" w:eastAsia="宋体" w:cs="Times New Roman"/>
                <w:color w:val="auto"/>
                <w:szCs w:val="21"/>
                <w:highlight w:val="none"/>
              </w:rPr>
              <w:t>）信用信息查询的截止时点：至本项目投标截止时间止（或至本项目响应文件提交截止时间止）。</w:t>
            </w:r>
          </w:p>
          <w:p w14:paraId="67DC5EEF">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6</w:t>
            </w:r>
            <w:r>
              <w:rPr>
                <w:rFonts w:hint="eastAsia" w:ascii="宋体" w:hAnsi="宋体" w:eastAsia="宋体" w:cs="Times New Roman"/>
                <w:color w:val="auto"/>
                <w:szCs w:val="21"/>
                <w:highlight w:val="none"/>
              </w:rPr>
              <w:t>）信用信息的使用规则：投标人有上述不良信用记录的，其投标无效，其中，列入政府采购严重违法失信行为记录名单的，按处罚结果执行。</w:t>
            </w:r>
          </w:p>
        </w:tc>
      </w:tr>
      <w:tr w14:paraId="52FF92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4" w:hRule="atLeast"/>
        </w:trPr>
        <w:tc>
          <w:tcPr>
            <w:tcW w:w="1560" w:type="dxa"/>
            <w:noWrap w:val="0"/>
            <w:vAlign w:val="center"/>
          </w:tcPr>
          <w:p w14:paraId="7DB8F2E2">
            <w:pPr>
              <w:adjustRightInd w:val="0"/>
              <w:snapToGrid w:val="0"/>
              <w:spacing w:line="360" w:lineRule="auto"/>
              <w:jc w:val="center"/>
              <w:rPr>
                <w:rFonts w:hint="eastAsia" w:ascii="宋体" w:hAnsi="宋体" w:eastAsia="宋体" w:cs="Times New Roman"/>
                <w:color w:val="auto"/>
                <w:szCs w:val="21"/>
                <w:highlight w:val="none"/>
              </w:rPr>
            </w:pPr>
          </w:p>
        </w:tc>
        <w:tc>
          <w:tcPr>
            <w:tcW w:w="2863" w:type="dxa"/>
            <w:noWrap w:val="0"/>
            <w:vAlign w:val="center"/>
          </w:tcPr>
          <w:p w14:paraId="586F9BCE">
            <w:pPr>
              <w:adjustRightInd w:val="0"/>
              <w:snapToGrid w:val="0"/>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招标代理服务费</w:t>
            </w:r>
          </w:p>
        </w:tc>
        <w:tc>
          <w:tcPr>
            <w:tcW w:w="4508" w:type="dxa"/>
            <w:noWrap w:val="0"/>
            <w:vAlign w:val="center"/>
          </w:tcPr>
          <w:p w14:paraId="10EE63DA">
            <w:pPr>
              <w:snapToGrid w:val="0"/>
              <w:spacing w:line="360" w:lineRule="auto"/>
              <w:textAlignment w:val="baseline"/>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w:t>
            </w:r>
            <w:r>
              <w:rPr>
                <w:rFonts w:hint="eastAsia" w:ascii="宋体" w:hAnsi="宋体" w:eastAsia="宋体" w:cs="Times New Roman"/>
                <w:color w:val="auto"/>
                <w:szCs w:val="21"/>
                <w:highlight w:val="none"/>
              </w:rPr>
              <w:t>收费标准：</w:t>
            </w:r>
            <w:r>
              <w:rPr>
                <w:rFonts w:hint="eastAsia" w:ascii="宋体" w:hAnsi="宋体" w:eastAsia="宋体" w:cs="Times New Roman"/>
                <w:color w:val="auto"/>
                <w:szCs w:val="21"/>
                <w:highlight w:val="none"/>
                <w:lang w:val="en-US" w:eastAsia="zh-CN"/>
              </w:rPr>
              <w:t>本项目招标代理服务</w:t>
            </w:r>
            <w:r>
              <w:rPr>
                <w:rFonts w:hint="eastAsia" w:ascii="宋体" w:hAnsi="宋体" w:cs="Times New Roman"/>
                <w:color w:val="auto"/>
                <w:szCs w:val="21"/>
                <w:highlight w:val="none"/>
                <w:lang w:val="en-US" w:eastAsia="zh-CN"/>
              </w:rPr>
              <w:t>20470</w:t>
            </w:r>
            <w:r>
              <w:rPr>
                <w:rFonts w:hint="eastAsia" w:ascii="宋体" w:hAnsi="宋体" w:eastAsia="宋体" w:cs="Times New Roman"/>
                <w:color w:val="auto"/>
                <w:szCs w:val="21"/>
                <w:highlight w:val="none"/>
                <w:lang w:val="en-US" w:eastAsia="zh-CN"/>
              </w:rPr>
              <w:t>.00元，由采购人支付</w:t>
            </w:r>
            <w:r>
              <w:rPr>
                <w:rFonts w:hint="eastAsia" w:ascii="宋体" w:hAnsi="宋体" w:eastAsia="宋体" w:cs="Times New Roman"/>
                <w:color w:val="auto"/>
                <w:szCs w:val="21"/>
                <w:highlight w:val="none"/>
                <w:lang w:eastAsia="zh-CN"/>
              </w:rPr>
              <w:t>。</w:t>
            </w:r>
            <w:r>
              <w:rPr>
                <w:rFonts w:hint="eastAsia" w:ascii="宋体" w:hAnsi="宋体" w:cs="Times New Roman"/>
                <w:color w:val="auto"/>
                <w:szCs w:val="21"/>
                <w:highlight w:val="none"/>
                <w:lang w:val="en-US" w:eastAsia="zh-CN"/>
              </w:rPr>
              <w:t>收费标准按采购人内部代理费收取标准执行（100万以内部分为1.2%；100万-500万部分为0.7%）。</w:t>
            </w:r>
          </w:p>
          <w:p w14:paraId="0F5236D3">
            <w:pPr>
              <w:adjustRightInd w:val="0"/>
              <w:snapToGrid w:val="0"/>
              <w:spacing w:line="360" w:lineRule="auto"/>
              <w:rPr>
                <w:rFonts w:ascii="宋体" w:hAnsi="宋体" w:eastAsia="宋体" w:cs="Times New Roman"/>
                <w:color w:val="auto"/>
                <w:szCs w:val="21"/>
                <w:highlight w:val="none"/>
              </w:rPr>
            </w:pPr>
            <w:bookmarkStart w:id="11" w:name="OLE_LINK7"/>
            <w:bookmarkStart w:id="12" w:name="OLE_LINK6"/>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无论开标结果怎样（成功、流标或终止采购等），所有投标人均须负责自身参加投标所产生的全部费用</w:t>
            </w:r>
            <w:bookmarkEnd w:id="11"/>
            <w:bookmarkEnd w:id="12"/>
            <w:r>
              <w:rPr>
                <w:rFonts w:hint="eastAsia" w:ascii="宋体" w:hAnsi="宋体" w:eastAsia="宋体" w:cs="Times New Roman"/>
                <w:color w:val="auto"/>
                <w:szCs w:val="21"/>
                <w:highlight w:val="none"/>
              </w:rPr>
              <w:t>。</w:t>
            </w:r>
          </w:p>
        </w:tc>
      </w:tr>
      <w:tr w14:paraId="32A212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0B1C01B">
            <w:pPr>
              <w:adjustRightInd w:val="0"/>
              <w:snapToGrid w:val="0"/>
              <w:spacing w:line="360" w:lineRule="auto"/>
              <w:jc w:val="center"/>
              <w:rPr>
                <w:rFonts w:hint="eastAsia" w:ascii="宋体" w:hAnsi="宋体" w:eastAsia="宋体" w:cs="Times New Roman"/>
                <w:color w:val="auto"/>
                <w:szCs w:val="21"/>
                <w:highlight w:val="none"/>
              </w:rPr>
            </w:pPr>
          </w:p>
        </w:tc>
        <w:tc>
          <w:tcPr>
            <w:tcW w:w="2863" w:type="dxa"/>
            <w:noWrap w:val="0"/>
            <w:vAlign w:val="center"/>
          </w:tcPr>
          <w:p w14:paraId="29655265">
            <w:pPr>
              <w:adjustRightInd w:val="0"/>
              <w:snapToGrid w:val="0"/>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b/>
                <w:color w:val="auto"/>
                <w:szCs w:val="21"/>
                <w:highlight w:val="none"/>
              </w:rPr>
              <w:t>★注意事项：</w:t>
            </w:r>
          </w:p>
        </w:tc>
        <w:tc>
          <w:tcPr>
            <w:tcW w:w="4508" w:type="dxa"/>
            <w:noWrap w:val="0"/>
            <w:vAlign w:val="center"/>
          </w:tcPr>
          <w:p w14:paraId="3EF38FE5">
            <w:pPr>
              <w:snapToGrid w:val="0"/>
              <w:spacing w:line="360" w:lineRule="auto"/>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1、投标人应在递交投标文件前上湖南省政府采购网了解一下本项目是否有新的补充公告或通知。 </w:t>
            </w:r>
          </w:p>
          <w:p w14:paraId="0EF4853E">
            <w:pPr>
              <w:snapToGrid w:val="0"/>
              <w:spacing w:line="360" w:lineRule="auto"/>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2、无论什么原因导致在招标过程出现延期开标或流标或中途终止采购等情况，所有投标人均须承担自己参加投标所产生的全部费用，招标代理机构及招标方（业主）均不给予投标人任何补偿。</w:t>
            </w:r>
          </w:p>
        </w:tc>
      </w:tr>
    </w:tbl>
    <w:p w14:paraId="64F445D2">
      <w:pPr>
        <w:adjustRightInd w:val="0"/>
        <w:snapToGrid w:val="0"/>
        <w:spacing w:line="360" w:lineRule="auto"/>
        <w:rPr>
          <w:rFonts w:ascii="宋体" w:hAnsi="宋体"/>
          <w:b/>
          <w:color w:val="auto"/>
          <w:sz w:val="10"/>
          <w:szCs w:val="10"/>
          <w:highlight w:val="none"/>
        </w:rPr>
      </w:pPr>
      <w:r>
        <w:rPr>
          <w:rFonts w:ascii="宋体" w:hAnsi="宋体"/>
          <w:b/>
          <w:color w:val="auto"/>
          <w:szCs w:val="21"/>
          <w:highlight w:val="none"/>
        </w:rPr>
        <w:br w:type="page"/>
      </w:r>
    </w:p>
    <w:p w14:paraId="27C86A97">
      <w:pPr>
        <w:pStyle w:val="5"/>
        <w:adjustRightInd w:val="0"/>
        <w:snapToGrid w:val="0"/>
        <w:spacing w:before="156" w:beforeLines="50"/>
        <w:jc w:val="center"/>
        <w:rPr>
          <w:rFonts w:ascii="黑体" w:hAnsi="黑体" w:eastAsia="黑体"/>
          <w:color w:val="auto"/>
          <w:sz w:val="28"/>
          <w:szCs w:val="28"/>
          <w:highlight w:val="none"/>
        </w:rPr>
      </w:pPr>
      <w:bookmarkStart w:id="13" w:name="_Toc22358"/>
      <w:r>
        <w:rPr>
          <w:rFonts w:hint="eastAsia" w:ascii="黑体" w:hAnsi="黑体" w:eastAsia="黑体"/>
          <w:color w:val="auto"/>
          <w:sz w:val="28"/>
          <w:szCs w:val="28"/>
          <w:highlight w:val="none"/>
        </w:rPr>
        <w:t>第二节 投标须知</w:t>
      </w:r>
      <w:bookmarkEnd w:id="13"/>
    </w:p>
    <w:p w14:paraId="6783B083">
      <w:pPr>
        <w:pStyle w:val="6"/>
        <w:adjustRightInd w:val="0"/>
        <w:snapToGrid w:val="0"/>
        <w:spacing w:before="156" w:beforeLines="50" w:after="0" w:line="360" w:lineRule="auto"/>
        <w:jc w:val="center"/>
        <w:rPr>
          <w:rFonts w:ascii="黑体" w:hAnsi="黑体" w:eastAsia="黑体"/>
          <w:b w:val="0"/>
          <w:color w:val="auto"/>
          <w:sz w:val="28"/>
          <w:szCs w:val="28"/>
          <w:highlight w:val="none"/>
        </w:rPr>
      </w:pPr>
      <w:bookmarkStart w:id="14" w:name="_Toc8350"/>
      <w:r>
        <w:rPr>
          <w:rFonts w:hint="eastAsia" w:ascii="黑体" w:hAnsi="黑体" w:eastAsia="黑体"/>
          <w:color w:val="auto"/>
          <w:sz w:val="28"/>
          <w:szCs w:val="28"/>
          <w:highlight w:val="none"/>
        </w:rPr>
        <w:t>一、总则</w:t>
      </w:r>
      <w:bookmarkEnd w:id="14"/>
    </w:p>
    <w:p w14:paraId="5C16A307">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 适用范围</w:t>
      </w:r>
    </w:p>
    <w:p w14:paraId="6F79AC4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1.1本招标文件仅适用于本章第一节</w:t>
      </w:r>
      <w:r>
        <w:rPr>
          <w:rFonts w:hint="eastAsia" w:ascii="宋体" w:hAnsi="宋体"/>
          <w:b/>
          <w:bCs/>
          <w:color w:val="auto"/>
          <w:szCs w:val="21"/>
          <w:highlight w:val="none"/>
        </w:rPr>
        <w:t>【投标须知前附表】</w:t>
      </w:r>
      <w:r>
        <w:rPr>
          <w:rFonts w:hint="eastAsia" w:ascii="宋体" w:hAnsi="宋体"/>
          <w:color w:val="auto"/>
          <w:szCs w:val="21"/>
          <w:highlight w:val="none"/>
        </w:rPr>
        <w:t>中所叙述的采购项目。</w:t>
      </w:r>
    </w:p>
    <w:p w14:paraId="412E7CD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w:t>
      </w:r>
      <w:r>
        <w:rPr>
          <w:rFonts w:hint="eastAsia" w:ascii="宋体" w:hAnsi="宋体"/>
          <w:b/>
          <w:color w:val="auto"/>
          <w:szCs w:val="21"/>
          <w:highlight w:val="none"/>
        </w:rPr>
        <w:t>【投标须知前附表】</w:t>
      </w:r>
      <w:r>
        <w:rPr>
          <w:rFonts w:hint="eastAsia" w:ascii="宋体" w:hAnsi="宋体"/>
          <w:color w:val="auto"/>
          <w:szCs w:val="21"/>
          <w:highlight w:val="none"/>
        </w:rPr>
        <w:t>规定采购项目或者采购包属于“预留采购份额”的，投标人应当符合本章第33.7款规定，否则，其</w:t>
      </w:r>
      <w:r>
        <w:rPr>
          <w:rFonts w:hint="eastAsia" w:ascii="宋体" w:hAnsi="宋体"/>
          <w:b/>
          <w:color w:val="auto"/>
          <w:szCs w:val="21"/>
          <w:highlight w:val="none"/>
        </w:rPr>
        <w:t>投标无效</w:t>
      </w:r>
      <w:r>
        <w:rPr>
          <w:rFonts w:hint="eastAsia" w:ascii="宋体" w:hAnsi="宋体"/>
          <w:color w:val="auto"/>
          <w:szCs w:val="21"/>
          <w:highlight w:val="none"/>
        </w:rPr>
        <w:t>。</w:t>
      </w:r>
    </w:p>
    <w:p w14:paraId="204BAB16">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2. 定义</w:t>
      </w:r>
    </w:p>
    <w:p w14:paraId="0F7FBA1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2.1采购项目联系人姓名和电话见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44ADF78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2.2采购人名称、地址、电话、联系人见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3DA61D7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2.3采购代理机构名称、地址、电话、联系人见</w:t>
      </w:r>
      <w:r>
        <w:rPr>
          <w:rFonts w:hint="eastAsia" w:ascii="宋体" w:hAnsi="宋体"/>
          <w:b/>
          <w:color w:val="auto"/>
          <w:szCs w:val="21"/>
          <w:highlight w:val="none"/>
        </w:rPr>
        <w:t>【投标须知前附表】。</w:t>
      </w:r>
    </w:p>
    <w:p w14:paraId="49B7F9CD">
      <w:pPr>
        <w:adjustRightInd w:val="0"/>
        <w:snapToGrid w:val="0"/>
        <w:spacing w:before="156" w:beforeLines="50"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2.4投标人系指响应招标、参加投标竞争的法人、其他组织或自然人。</w:t>
      </w:r>
    </w:p>
    <w:p w14:paraId="492DA594">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3. 投标人的资格要求</w:t>
      </w:r>
    </w:p>
    <w:p w14:paraId="4F5CA5F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3.1投标人应当符合</w:t>
      </w:r>
      <w:r>
        <w:rPr>
          <w:rFonts w:hint="eastAsia" w:ascii="宋体" w:hAnsi="宋体"/>
          <w:b/>
          <w:color w:val="auto"/>
          <w:szCs w:val="21"/>
          <w:highlight w:val="none"/>
        </w:rPr>
        <w:t>【投标须知前附表】</w:t>
      </w:r>
      <w:r>
        <w:rPr>
          <w:rFonts w:hint="eastAsia" w:ascii="宋体" w:hAnsi="宋体"/>
          <w:color w:val="auto"/>
          <w:szCs w:val="21"/>
          <w:highlight w:val="none"/>
        </w:rPr>
        <w:t>规定的投标人资格条件。</w:t>
      </w:r>
    </w:p>
    <w:p w14:paraId="6B158F1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w:t>
      </w:r>
      <w:r>
        <w:rPr>
          <w:rFonts w:hint="eastAsia" w:ascii="宋体" w:hAnsi="宋体"/>
          <w:b/>
          <w:color w:val="auto"/>
          <w:szCs w:val="21"/>
          <w:highlight w:val="none"/>
        </w:rPr>
        <w:t>【投标须知前附表】</w:t>
      </w:r>
      <w:r>
        <w:rPr>
          <w:rFonts w:hint="eastAsia" w:ascii="宋体" w:hAnsi="宋体"/>
          <w:color w:val="auto"/>
          <w:szCs w:val="21"/>
          <w:highlight w:val="none"/>
        </w:rPr>
        <w:t>规定接受联合体形式投标的，投标人除应符合本章第3.1</w:t>
      </w:r>
      <w:r>
        <w:rPr>
          <w:rFonts w:hint="eastAsia" w:ascii="宋体" w:hAnsi="宋体" w:cs="宋体"/>
          <w:color w:val="auto"/>
          <w:kern w:val="0"/>
          <w:szCs w:val="21"/>
          <w:highlight w:val="none"/>
          <w:lang w:val="zh-CN"/>
        </w:rPr>
        <w:t>款</w:t>
      </w:r>
      <w:r>
        <w:rPr>
          <w:rFonts w:hint="eastAsia" w:ascii="宋体" w:hAnsi="宋体"/>
          <w:color w:val="auto"/>
          <w:szCs w:val="21"/>
          <w:highlight w:val="none"/>
        </w:rPr>
        <w:t xml:space="preserve">规定的资格条件外，还应遵守以下规定： </w:t>
      </w:r>
    </w:p>
    <w:p w14:paraId="5FBAF0A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（l）联合体中有同类资质的供应商按照联合体分工承担相同工作的，应当按照资质等级较低的供应商确定资质等级。</w:t>
      </w:r>
    </w:p>
    <w:p w14:paraId="0CE9E57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（2）联合体各方应按招标文件提供的格式签订联合体协议书，明确联合体牵头人和各方的权利义务、合同工作量比例；</w:t>
      </w:r>
    </w:p>
    <w:p w14:paraId="3F894A27">
      <w:pPr>
        <w:adjustRightInd w:val="0"/>
        <w:snapToGrid w:val="0"/>
        <w:spacing w:before="156" w:beforeLines="50" w:line="360" w:lineRule="auto"/>
        <w:ind w:firstLine="420" w:firstLineChars="200"/>
        <w:jc w:val="left"/>
        <w:rPr>
          <w:rFonts w:ascii="宋体" w:hAnsi="宋体" w:cs="宋体"/>
          <w:color w:val="auto"/>
          <w:kern w:val="0"/>
          <w:szCs w:val="21"/>
          <w:highlight w:val="none"/>
          <w:lang w:val="zh-CN"/>
        </w:rPr>
      </w:pPr>
      <w:r>
        <w:rPr>
          <w:rFonts w:hint="eastAsia" w:ascii="宋体" w:hAnsi="宋体"/>
          <w:color w:val="auto"/>
          <w:szCs w:val="21"/>
          <w:highlight w:val="none"/>
        </w:rPr>
        <w:t>（3）联合体各方签订联合体协议书后，</w:t>
      </w:r>
      <w:r>
        <w:rPr>
          <w:rFonts w:hint="eastAsia" w:ascii="宋体" w:hAnsi="宋体" w:cs="宋体"/>
          <w:color w:val="auto"/>
          <w:kern w:val="0"/>
          <w:szCs w:val="21"/>
          <w:highlight w:val="none"/>
          <w:lang w:val="zh-CN"/>
        </w:rPr>
        <w:t>不得再单独参加或者与其他投标人组成新的联合体参加同一合同项下的采购活动。</w:t>
      </w:r>
    </w:p>
    <w:p w14:paraId="778560C1">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 xml:space="preserve">4. 投标费用 </w:t>
      </w:r>
    </w:p>
    <w:p w14:paraId="35DD9E4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4.1投标人应自行承担所有参与投标的相关费用，不论投标的结果如何，采购人、采购代理机构均无义务和责任承担这些费用。</w:t>
      </w:r>
    </w:p>
    <w:p w14:paraId="30CE3717">
      <w:pPr>
        <w:adjustRightInd w:val="0"/>
        <w:snapToGrid w:val="0"/>
        <w:spacing w:before="156" w:beforeLines="50" w:line="360" w:lineRule="auto"/>
        <w:jc w:val="left"/>
        <w:rPr>
          <w:rFonts w:ascii="宋体" w:hAnsi="宋体"/>
          <w:b/>
          <w:color w:val="auto"/>
          <w:sz w:val="24"/>
          <w:highlight w:val="none"/>
        </w:rPr>
      </w:pPr>
      <w:r>
        <w:rPr>
          <w:rFonts w:hint="eastAsia" w:ascii="宋体" w:hAnsi="宋体"/>
          <w:b/>
          <w:color w:val="auto"/>
          <w:sz w:val="24"/>
          <w:highlight w:val="none"/>
        </w:rPr>
        <w:t>5．组织现场考察或者召开答疑会</w:t>
      </w:r>
    </w:p>
    <w:p w14:paraId="1C5CE58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highlight w:val="none"/>
        </w:rPr>
        <w:t>5.1采购人、采购代理机构可以在</w:t>
      </w:r>
      <w:r>
        <w:rPr>
          <w:rFonts w:hint="eastAsia" w:ascii="宋体" w:hAnsi="宋体"/>
          <w:b/>
          <w:color w:val="auto"/>
          <w:szCs w:val="21"/>
          <w:highlight w:val="none"/>
        </w:rPr>
        <w:t>【投标须知前附表】</w:t>
      </w:r>
      <w:r>
        <w:rPr>
          <w:rFonts w:hint="eastAsia" w:ascii="宋体" w:hAnsi="宋体"/>
          <w:color w:val="auto"/>
          <w:szCs w:val="21"/>
          <w:highlight w:val="none"/>
        </w:rPr>
        <w:t>规定的招标文件提供期限截止后，组织已获取招标文件的潜在投标人现场考察或者召开开标前答疑会。</w:t>
      </w:r>
    </w:p>
    <w:p w14:paraId="58BC476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5.2获取招标文件的潜在投标人应按</w:t>
      </w:r>
      <w:r>
        <w:rPr>
          <w:rFonts w:hint="eastAsia" w:ascii="宋体" w:hAnsi="宋体"/>
          <w:b/>
          <w:color w:val="auto"/>
          <w:szCs w:val="21"/>
          <w:highlight w:val="none"/>
        </w:rPr>
        <w:t>【投标须知前附表】</w:t>
      </w:r>
      <w:r>
        <w:rPr>
          <w:rFonts w:hint="eastAsia" w:ascii="宋体" w:hAnsi="宋体"/>
          <w:color w:val="auto"/>
          <w:szCs w:val="21"/>
          <w:highlight w:val="none"/>
        </w:rPr>
        <w:t>规定参加现场考察或者答疑会；如不参加，其风险由其自行承担。</w:t>
      </w:r>
    </w:p>
    <w:p w14:paraId="6AB36BA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5.3潜在投标人现场考察或者参加答疑会的费用由自己承担，现场考察期间所发生的人身伤害及财产损失由自己负责。</w:t>
      </w:r>
    </w:p>
    <w:p w14:paraId="3AF4E76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5.4采购人、采购代理机构不对投标人据此而做出的推论、理解和结论负责。投标人一旦中标，不得以任何借口，提出额外补偿，或延长合同期限的要求。</w:t>
      </w:r>
    </w:p>
    <w:p w14:paraId="0CAD4BF7">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15" w:name="_Toc14655"/>
      <w:r>
        <w:rPr>
          <w:rFonts w:hint="eastAsia" w:ascii="黑体" w:hAnsi="黑体" w:eastAsia="黑体"/>
          <w:color w:val="auto"/>
          <w:sz w:val="28"/>
          <w:szCs w:val="28"/>
          <w:highlight w:val="none"/>
        </w:rPr>
        <w:t>二、招标文件</w:t>
      </w:r>
      <w:bookmarkEnd w:id="15"/>
    </w:p>
    <w:p w14:paraId="5953BEFE">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6. 招标文件的构成</w:t>
      </w:r>
    </w:p>
    <w:p w14:paraId="516C2BC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 招标文件共七章，各章内容如下：</w:t>
      </w:r>
    </w:p>
    <w:p w14:paraId="77B0D56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第一章 投标邀请</w:t>
      </w:r>
    </w:p>
    <w:p w14:paraId="0759F0C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第二章 投标须知</w:t>
      </w:r>
    </w:p>
    <w:p w14:paraId="6F98FA3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第三章 资格审查</w:t>
      </w:r>
    </w:p>
    <w:p w14:paraId="33064EB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第四章 评标方法及标准</w:t>
      </w:r>
    </w:p>
    <w:p w14:paraId="17AD3B4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第五章 采购需求</w:t>
      </w:r>
    </w:p>
    <w:p w14:paraId="1D84AA9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第六章 政府采购合同</w:t>
      </w:r>
    </w:p>
    <w:p w14:paraId="7BC9180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第七章 投标文件的组成</w:t>
      </w:r>
    </w:p>
    <w:p w14:paraId="181975A5">
      <w:pPr>
        <w:adjustRightInd w:val="0"/>
        <w:snapToGrid w:val="0"/>
        <w:spacing w:before="156" w:beforeLines="50" w:line="360" w:lineRule="auto"/>
        <w:ind w:firstLine="420" w:firstLineChars="200"/>
        <w:jc w:val="left"/>
        <w:rPr>
          <w:rFonts w:ascii="宋体" w:hAnsi="宋体" w:cs="宋体"/>
          <w:b/>
          <w:color w:val="auto"/>
          <w:szCs w:val="21"/>
          <w:highlight w:val="none"/>
        </w:rPr>
      </w:pPr>
      <w:r>
        <w:rPr>
          <w:rFonts w:hint="eastAsia" w:ascii="宋体" w:hAnsi="宋体"/>
          <w:color w:val="auto"/>
          <w:szCs w:val="21"/>
          <w:highlight w:val="none"/>
        </w:rPr>
        <w:t>6.2采购人、采购代理机构在提交投标文件截止时间前</w:t>
      </w:r>
      <w:r>
        <w:rPr>
          <w:rFonts w:hint="eastAsia" w:ascii="宋体" w:hAnsi="宋体" w:cs="宋体"/>
          <w:color w:val="auto"/>
          <w:szCs w:val="21"/>
          <w:highlight w:val="none"/>
        </w:rPr>
        <w:t>对招标文件所作的澄清或者修改，构成招标文件的组成部分。</w:t>
      </w:r>
    </w:p>
    <w:p w14:paraId="56C4690D">
      <w:pPr>
        <w:adjustRightInd w:val="0"/>
        <w:snapToGrid w:val="0"/>
        <w:spacing w:before="156" w:beforeLines="50" w:line="360" w:lineRule="auto"/>
        <w:jc w:val="left"/>
        <w:rPr>
          <w:rFonts w:ascii="宋体" w:hAnsi="宋体"/>
          <w:b/>
          <w:color w:val="auto"/>
          <w:sz w:val="24"/>
          <w:highlight w:val="none"/>
        </w:rPr>
      </w:pPr>
      <w:r>
        <w:rPr>
          <w:rFonts w:hint="eastAsia" w:ascii="宋体" w:hAnsi="宋体"/>
          <w:b/>
          <w:color w:val="auto"/>
          <w:sz w:val="24"/>
          <w:highlight w:val="none"/>
        </w:rPr>
        <w:t>7．偏离与实质性响应</w:t>
      </w:r>
    </w:p>
    <w:p w14:paraId="0EF9C0C7">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7.1投标人应当按照招标文件的要求编制投标文件。投标文件应当对招标文件提出的要求和条件作出明确响应。</w:t>
      </w:r>
    </w:p>
    <w:p w14:paraId="2D7B3198">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7.2偏离是指投标文件不响应或者不满足招标文件提出的要求和条件，分为实质性偏离和非实质性偏离。</w:t>
      </w:r>
    </w:p>
    <w:p w14:paraId="09BC36E7">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7.3除法律、法规和招标文件规定的其他投标无效情形外，招标文件中用“★”符号标明的条款为实质性要求和条件，对其中任何一条的偏离，为实质性偏离，</w:t>
      </w:r>
      <w:r>
        <w:rPr>
          <w:rFonts w:hint="eastAsia" w:ascii="宋体" w:hAnsi="宋体"/>
          <w:b/>
          <w:color w:val="auto"/>
          <w:highlight w:val="none"/>
        </w:rPr>
        <w:t>其投标无效</w:t>
      </w:r>
      <w:r>
        <w:rPr>
          <w:rFonts w:hint="eastAsia" w:ascii="宋体" w:hAnsi="宋体"/>
          <w:color w:val="auto"/>
          <w:highlight w:val="none"/>
        </w:rPr>
        <w:t>。</w:t>
      </w:r>
    </w:p>
    <w:p w14:paraId="226ED1E2">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7.4投标</w:t>
      </w:r>
      <w:r>
        <w:rPr>
          <w:rFonts w:hint="eastAsia" w:ascii="宋体" w:hAnsi="宋体"/>
          <w:color w:val="auto"/>
          <w:szCs w:val="21"/>
          <w:highlight w:val="none"/>
        </w:rPr>
        <w:t>文件偏离招标文件的非实质性要求和条件，为非实质性偏离。非实质性偏离的范围和幅度应当符合</w:t>
      </w:r>
      <w:r>
        <w:rPr>
          <w:rFonts w:hint="eastAsia" w:ascii="宋体" w:hAnsi="宋体"/>
          <w:b/>
          <w:color w:val="auto"/>
          <w:szCs w:val="21"/>
          <w:highlight w:val="none"/>
        </w:rPr>
        <w:t>【投标须知前附表】</w:t>
      </w:r>
      <w:r>
        <w:rPr>
          <w:rFonts w:hint="eastAsia" w:ascii="宋体" w:hAnsi="宋体"/>
          <w:color w:val="auto"/>
          <w:szCs w:val="21"/>
          <w:highlight w:val="none"/>
        </w:rPr>
        <w:t>的规定，</w:t>
      </w:r>
      <w:r>
        <w:rPr>
          <w:rFonts w:hint="eastAsia" w:ascii="宋体" w:hAnsi="宋体"/>
          <w:b/>
          <w:color w:val="auto"/>
          <w:szCs w:val="21"/>
          <w:highlight w:val="none"/>
        </w:rPr>
        <w:t>否</w:t>
      </w:r>
      <w:r>
        <w:rPr>
          <w:rFonts w:hint="eastAsia" w:ascii="宋体" w:hAnsi="宋体"/>
          <w:b/>
          <w:color w:val="auto"/>
          <w:highlight w:val="none"/>
        </w:rPr>
        <w:t>则投标无效</w:t>
      </w:r>
      <w:r>
        <w:rPr>
          <w:rFonts w:hint="eastAsia" w:ascii="宋体" w:hAnsi="宋体"/>
          <w:color w:val="auto"/>
          <w:highlight w:val="none"/>
        </w:rPr>
        <w:t>。</w:t>
      </w:r>
    </w:p>
    <w:p w14:paraId="7C24E0AD">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8. 询问</w:t>
      </w:r>
    </w:p>
    <w:p w14:paraId="3071A0C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8.1潜在投标人应仔细阅读和检查招标文件的全部内容。如有疑问，可以向采购人或者采购代理机构提出询问。</w:t>
      </w:r>
    </w:p>
    <w:p w14:paraId="72DCCFE5">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9. 招标文件的澄清或者修改</w:t>
      </w:r>
    </w:p>
    <w:p w14:paraId="3B7723E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9.1采购人、采购代理机构对已发出的招标文件进行必要澄清或者修改的，将在</w:t>
      </w:r>
      <w:r>
        <w:rPr>
          <w:rFonts w:hint="eastAsia" w:ascii="宋体" w:hAnsi="宋体"/>
          <w:b/>
          <w:color w:val="auto"/>
          <w:szCs w:val="21"/>
          <w:highlight w:val="none"/>
        </w:rPr>
        <w:t>【投标须知前附表】</w:t>
      </w:r>
      <w:r>
        <w:rPr>
          <w:rFonts w:hint="eastAsia" w:ascii="宋体" w:hAnsi="宋体"/>
          <w:color w:val="auto"/>
          <w:szCs w:val="21"/>
          <w:highlight w:val="none"/>
        </w:rPr>
        <w:t>规定的</w:t>
      </w:r>
      <w:r>
        <w:rPr>
          <w:rFonts w:hint="eastAsia" w:ascii="宋体" w:hAnsi="宋体"/>
          <w:color w:val="auto"/>
          <w:highlight w:val="none"/>
        </w:rPr>
        <w:t>招标公告指定媒体上发布澄清或者修改公告。</w:t>
      </w:r>
    </w:p>
    <w:p w14:paraId="42EC7873">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s="宋体"/>
          <w:color w:val="auto"/>
          <w:kern w:val="0"/>
          <w:szCs w:val="21"/>
          <w:highlight w:val="none"/>
        </w:rPr>
        <w:t>9.2澄清或者修改</w:t>
      </w:r>
      <w:r>
        <w:rPr>
          <w:rFonts w:hint="eastAsia" w:ascii="宋体" w:hAnsi="宋体"/>
          <w:color w:val="auto"/>
          <w:highlight w:val="none"/>
        </w:rPr>
        <w:t>的</w:t>
      </w:r>
      <w:r>
        <w:rPr>
          <w:rFonts w:hint="eastAsia" w:ascii="宋体" w:hAnsi="宋体" w:cs="宋体"/>
          <w:color w:val="auto"/>
          <w:kern w:val="0"/>
          <w:szCs w:val="21"/>
          <w:highlight w:val="none"/>
        </w:rPr>
        <w:t>内容可能影响投标文件编制的，采购人、采购代理机构</w:t>
      </w:r>
      <w:r>
        <w:rPr>
          <w:rFonts w:hint="eastAsia" w:ascii="宋体" w:hAnsi="宋体"/>
          <w:color w:val="auto"/>
          <w:highlight w:val="none"/>
        </w:rPr>
        <w:t>将</w:t>
      </w:r>
      <w:r>
        <w:rPr>
          <w:rFonts w:hint="eastAsia" w:ascii="宋体" w:hAnsi="宋体" w:cs="宋体"/>
          <w:color w:val="auto"/>
          <w:kern w:val="0"/>
          <w:szCs w:val="21"/>
          <w:highlight w:val="none"/>
        </w:rPr>
        <w:t>在提交投标文件截止时间15日前，</w:t>
      </w:r>
      <w:r>
        <w:rPr>
          <w:rFonts w:hint="eastAsia" w:ascii="宋体" w:hAnsi="宋体"/>
          <w:color w:val="auto"/>
          <w:highlight w:val="none"/>
        </w:rPr>
        <w:t>以书面形式通知所有获取招标文件的潜在投标人；不足15日的，将相应延长提交投标文件的截止时间。</w:t>
      </w:r>
    </w:p>
    <w:p w14:paraId="318D3C4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9</w:t>
      </w:r>
      <w:r>
        <w:rPr>
          <w:rFonts w:ascii="宋体" w:hAnsi="宋体"/>
          <w:color w:val="auto"/>
          <w:highlight w:val="none"/>
        </w:rPr>
        <w:t>.3</w:t>
      </w:r>
      <w:r>
        <w:rPr>
          <w:rFonts w:hint="eastAsia" w:ascii="宋体" w:hAnsi="宋体"/>
          <w:color w:val="auto"/>
          <w:highlight w:val="none"/>
        </w:rPr>
        <w:t>招标文件的提供期限届满后，获取招标文件的潜在投标人不足3家的，可以顺延提供期限，并在指定媒体上发布修改公告。</w:t>
      </w:r>
    </w:p>
    <w:p w14:paraId="519045FB">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9.4 通过电子招标投标交易平台下载招标文件的，请获取招标文件的潜在投标人及时关注</w:t>
      </w:r>
      <w:r>
        <w:rPr>
          <w:rFonts w:hint="eastAsia" w:ascii="宋体" w:hAnsi="宋体"/>
          <w:color w:val="auto"/>
          <w:szCs w:val="21"/>
          <w:highlight w:val="none"/>
        </w:rPr>
        <w:t>招标公告指定媒体</w:t>
      </w:r>
      <w:r>
        <w:rPr>
          <w:rFonts w:hint="eastAsia" w:ascii="宋体" w:hAnsi="宋体"/>
          <w:color w:val="auto"/>
          <w:highlight w:val="none"/>
        </w:rPr>
        <w:t>发布的澄清或者修改公告，采购人、采购代理机构不再书面通知。</w:t>
      </w:r>
    </w:p>
    <w:p w14:paraId="1CF7FB46">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16" w:name="_Toc31844"/>
      <w:r>
        <w:rPr>
          <w:rFonts w:hint="eastAsia" w:ascii="黑体" w:hAnsi="黑体" w:eastAsia="黑体"/>
          <w:color w:val="auto"/>
          <w:sz w:val="28"/>
          <w:szCs w:val="28"/>
          <w:highlight w:val="none"/>
        </w:rPr>
        <w:t>三、投标文件</w:t>
      </w:r>
      <w:bookmarkEnd w:id="16"/>
    </w:p>
    <w:p w14:paraId="5F43AA71">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10. 投标语言</w:t>
      </w:r>
    </w:p>
    <w:p w14:paraId="1FD889D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10.1除专用术语外，投标人提交的投标文件及投标人与采购人、采购代理机构就有关投标的所有来往函电均使用中文。投标人可以提交其它语言的资料，但应附有中文注释，有差异时以中文为准。</w:t>
      </w:r>
    </w:p>
    <w:p w14:paraId="7A7576E6">
      <w:pPr>
        <w:adjustRightInd w:val="0"/>
        <w:snapToGrid w:val="0"/>
        <w:spacing w:before="156" w:beforeLines="50" w:line="360" w:lineRule="auto"/>
        <w:jc w:val="left"/>
        <w:rPr>
          <w:rFonts w:ascii="宋体" w:hAnsi="宋体"/>
          <w:b/>
          <w:color w:val="auto"/>
          <w:sz w:val="24"/>
          <w:highlight w:val="none"/>
        </w:rPr>
      </w:pPr>
      <w:r>
        <w:rPr>
          <w:rFonts w:hint="eastAsia" w:ascii="宋体" w:hAnsi="宋体"/>
          <w:b/>
          <w:bCs/>
          <w:color w:val="auto"/>
          <w:sz w:val="24"/>
          <w:highlight w:val="none"/>
        </w:rPr>
        <w:t xml:space="preserve">11. </w:t>
      </w:r>
      <w:r>
        <w:rPr>
          <w:rFonts w:hint="eastAsia" w:ascii="宋体" w:hAnsi="宋体"/>
          <w:b/>
          <w:color w:val="auto"/>
          <w:sz w:val="24"/>
          <w:highlight w:val="none"/>
        </w:rPr>
        <w:t>计量单位</w:t>
      </w:r>
    </w:p>
    <w:p w14:paraId="48A3E4C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11.1所有计量均采用中华人民共和国法定计量单位。</w:t>
      </w:r>
    </w:p>
    <w:p w14:paraId="6F312425">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 xml:space="preserve">12. </w:t>
      </w:r>
      <w:r>
        <w:rPr>
          <w:rFonts w:hint="eastAsia" w:ascii="宋体" w:hAnsi="宋体"/>
          <w:b/>
          <w:bCs/>
          <w:color w:val="auto"/>
          <w:sz w:val="24"/>
          <w:highlight w:val="none"/>
        </w:rPr>
        <w:t>投标文件的组成</w:t>
      </w:r>
    </w:p>
    <w:p w14:paraId="29EED09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12.1投标文件由如下内容组成：</w:t>
      </w:r>
    </w:p>
    <w:p w14:paraId="21E1FAC4">
      <w:pPr>
        <w:adjustRightInd w:val="0"/>
        <w:snapToGrid w:val="0"/>
        <w:spacing w:before="156" w:beforeLines="50" w:line="360" w:lineRule="auto"/>
        <w:ind w:firstLine="422" w:firstLineChars="200"/>
        <w:jc w:val="left"/>
        <w:rPr>
          <w:rFonts w:ascii="宋体" w:hAnsi="宋体"/>
          <w:b/>
          <w:color w:val="auto"/>
          <w:szCs w:val="21"/>
          <w:highlight w:val="none"/>
        </w:rPr>
      </w:pPr>
      <w:r>
        <w:rPr>
          <w:rFonts w:hint="eastAsia" w:ascii="宋体" w:hAnsi="宋体"/>
          <w:b/>
          <w:color w:val="auto"/>
          <w:szCs w:val="21"/>
          <w:highlight w:val="none"/>
        </w:rPr>
        <w:t>第一部分 资格证明文件</w:t>
      </w:r>
    </w:p>
    <w:p w14:paraId="543CABF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（1）开标一览表</w:t>
      </w:r>
    </w:p>
    <w:p w14:paraId="26543AE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（2）授权委托书</w:t>
      </w:r>
    </w:p>
    <w:p w14:paraId="21CBB88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（3）投标人提供的资格证明文件</w:t>
      </w:r>
    </w:p>
    <w:p w14:paraId="6DD48821">
      <w:pPr>
        <w:adjustRightInd w:val="0"/>
        <w:snapToGrid w:val="0"/>
        <w:spacing w:before="156" w:beforeLines="50" w:line="360" w:lineRule="auto"/>
        <w:ind w:firstLine="422" w:firstLineChars="200"/>
        <w:jc w:val="left"/>
        <w:rPr>
          <w:rFonts w:ascii="宋体" w:hAnsi="宋体"/>
          <w:b/>
          <w:color w:val="auto"/>
          <w:szCs w:val="21"/>
          <w:highlight w:val="none"/>
        </w:rPr>
      </w:pPr>
      <w:r>
        <w:rPr>
          <w:rFonts w:hint="eastAsia" w:ascii="宋体" w:hAnsi="宋体"/>
          <w:b/>
          <w:color w:val="auto"/>
          <w:szCs w:val="21"/>
          <w:highlight w:val="none"/>
        </w:rPr>
        <w:t>第二部分 商务和技术文件</w:t>
      </w:r>
    </w:p>
    <w:p w14:paraId="16B4273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（4）投标函</w:t>
      </w:r>
    </w:p>
    <w:p w14:paraId="52CA20E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（5）分项报价</w:t>
      </w:r>
    </w:p>
    <w:p w14:paraId="5AB1F0A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（6）采购需求响应</w:t>
      </w:r>
    </w:p>
    <w:p w14:paraId="26749B1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（7）合同条款偏离表</w:t>
      </w:r>
    </w:p>
    <w:p w14:paraId="034E49D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（8）采购需求偏离表</w:t>
      </w:r>
    </w:p>
    <w:p w14:paraId="45F7628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（9）享受政府采购政策优惠的证明资料</w:t>
      </w:r>
    </w:p>
    <w:p w14:paraId="5E1D77E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0</w:t>
      </w:r>
      <w:r>
        <w:rPr>
          <w:rFonts w:hint="eastAsia" w:ascii="宋体" w:hAnsi="宋体"/>
          <w:color w:val="auto"/>
          <w:szCs w:val="21"/>
          <w:highlight w:val="none"/>
        </w:rPr>
        <w:t>）投标货物符合招标文件规定的证明文件</w:t>
      </w:r>
    </w:p>
    <w:p w14:paraId="74EE41B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1</w:t>
      </w:r>
      <w:r>
        <w:rPr>
          <w:rFonts w:hint="eastAsia" w:ascii="宋体" w:hAnsi="宋体"/>
          <w:color w:val="auto"/>
          <w:szCs w:val="21"/>
          <w:highlight w:val="none"/>
        </w:rPr>
        <w:t>）投标人认为需提供的其他资料</w:t>
      </w:r>
    </w:p>
    <w:p w14:paraId="67BA769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12.2投标人可以编制资格审查索引表、符合性审查索引表、评审索引表，以方便采购人、采购代理机构、评标委员会在资格审查及评审时查阅。</w:t>
      </w:r>
    </w:p>
    <w:p w14:paraId="3123428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12.3根据《政府采购法》第四十二条的规定，投标人无论中标与否，其投标文件不予退还。</w:t>
      </w:r>
    </w:p>
    <w:p w14:paraId="1B4217D4">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13. 投标报价</w:t>
      </w:r>
    </w:p>
    <w:p w14:paraId="6487E6B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70E1FE9B">
      <w:pPr>
        <w:adjustRightInd w:val="0"/>
        <w:snapToGrid w:val="0"/>
        <w:spacing w:before="156" w:beforeLines="50" w:line="360" w:lineRule="auto"/>
        <w:ind w:firstLine="420" w:firstLineChars="200"/>
        <w:jc w:val="left"/>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rPr>
        <w:t>2投标人的投标报价不得超过采购项目预算，也不得超过最高限价(如果设定)，否则其</w:t>
      </w:r>
      <w:r>
        <w:rPr>
          <w:rFonts w:hint="eastAsia" w:ascii="宋体" w:hAnsi="宋体"/>
          <w:b/>
          <w:color w:val="auto"/>
          <w:szCs w:val="21"/>
          <w:highlight w:val="none"/>
        </w:rPr>
        <w:t>投标无效</w:t>
      </w:r>
      <w:r>
        <w:rPr>
          <w:rFonts w:hint="eastAsia" w:ascii="宋体" w:hAnsi="宋体"/>
          <w:color w:val="auto"/>
          <w:szCs w:val="21"/>
          <w:highlight w:val="none"/>
        </w:rPr>
        <w:t>。采购项目预算、最高限价见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314D07DF">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szCs w:val="21"/>
          <w:highlight w:val="none"/>
        </w:rPr>
        <w:t>13.3 投标人应在分项报价明细表中对每项内容给予详细分项</w:t>
      </w:r>
      <w:r>
        <w:rPr>
          <w:rFonts w:hint="eastAsia" w:ascii="宋体" w:hAnsi="宋体"/>
          <w:color w:val="auto"/>
          <w:highlight w:val="none"/>
        </w:rPr>
        <w:t>报价。</w:t>
      </w:r>
    </w:p>
    <w:p w14:paraId="61B853AF">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13.4投标人对采购项目内容只允许有一个投标报价，否则其</w:t>
      </w:r>
      <w:r>
        <w:rPr>
          <w:rFonts w:hint="eastAsia" w:ascii="宋体" w:hAnsi="宋体"/>
          <w:b/>
          <w:color w:val="auto"/>
          <w:highlight w:val="none"/>
        </w:rPr>
        <w:t>投标无效</w:t>
      </w:r>
      <w:r>
        <w:rPr>
          <w:rFonts w:hint="eastAsia" w:ascii="宋体" w:hAnsi="宋体"/>
          <w:color w:val="auto"/>
          <w:highlight w:val="none"/>
        </w:rPr>
        <w:t>。</w:t>
      </w:r>
    </w:p>
    <w:p w14:paraId="1EF1159B">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13.5采购人不接受投标人给予的赠品、回扣或者与采购无关的其他商品、服务。如有赠与行为，其</w:t>
      </w:r>
      <w:r>
        <w:rPr>
          <w:rFonts w:hint="eastAsia" w:ascii="宋体" w:hAnsi="宋体"/>
          <w:b/>
          <w:color w:val="auto"/>
          <w:highlight w:val="none"/>
        </w:rPr>
        <w:t>投标无效</w:t>
      </w:r>
      <w:r>
        <w:rPr>
          <w:rFonts w:hint="eastAsia" w:ascii="宋体" w:hAnsi="宋体"/>
          <w:color w:val="auto"/>
          <w:highlight w:val="none"/>
        </w:rPr>
        <w:t>。</w:t>
      </w:r>
    </w:p>
    <w:p w14:paraId="613E012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13.6采用固定价格定价方式的采购项目，</w:t>
      </w:r>
      <w:r>
        <w:rPr>
          <w:rFonts w:hint="eastAsia" w:ascii="宋体" w:hAnsi="宋体"/>
          <w:color w:val="auto"/>
          <w:highlight w:val="none"/>
        </w:rPr>
        <w:t>投标文件中标明的价格在合同执行过程中是固定不变的，不得以任何理由予以变更。任何包含价格调整要求和条件的投标，其</w:t>
      </w:r>
      <w:r>
        <w:rPr>
          <w:rFonts w:hint="eastAsia" w:ascii="宋体" w:hAnsi="宋体"/>
          <w:b/>
          <w:color w:val="auto"/>
          <w:highlight w:val="none"/>
        </w:rPr>
        <w:t>投标无效</w:t>
      </w:r>
      <w:r>
        <w:rPr>
          <w:rFonts w:hint="eastAsia" w:ascii="宋体" w:hAnsi="宋体"/>
          <w:color w:val="auto"/>
          <w:highlight w:val="none"/>
        </w:rPr>
        <w:t>。</w:t>
      </w:r>
    </w:p>
    <w:p w14:paraId="0BF771BB">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14:paraId="6C6CE110">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13.8投标报价的其他要求见</w:t>
      </w:r>
      <w:r>
        <w:rPr>
          <w:rFonts w:hint="eastAsia" w:ascii="宋体" w:hAnsi="宋体"/>
          <w:b/>
          <w:color w:val="auto"/>
          <w:szCs w:val="21"/>
          <w:highlight w:val="none"/>
        </w:rPr>
        <w:t>【投标须知前附表】</w:t>
      </w:r>
      <w:r>
        <w:rPr>
          <w:rFonts w:hint="eastAsia" w:ascii="宋体" w:hAnsi="宋体"/>
          <w:color w:val="auto"/>
          <w:highlight w:val="none"/>
        </w:rPr>
        <w:t xml:space="preserve">。 </w:t>
      </w:r>
    </w:p>
    <w:p w14:paraId="1C6D26D1">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 xml:space="preserve">14. </w:t>
      </w:r>
      <w:r>
        <w:rPr>
          <w:rFonts w:hint="eastAsia" w:ascii="宋体" w:hAnsi="宋体"/>
          <w:b/>
          <w:bCs/>
          <w:color w:val="auto"/>
          <w:sz w:val="24"/>
          <w:highlight w:val="none"/>
        </w:rPr>
        <w:t>投标人的资格证明文件</w:t>
      </w:r>
    </w:p>
    <w:p w14:paraId="257FF672">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14.1</w:t>
      </w:r>
      <w:r>
        <w:rPr>
          <w:rFonts w:hint="eastAsia" w:ascii="宋体" w:hAnsi="宋体"/>
          <w:color w:val="auto"/>
          <w:szCs w:val="21"/>
          <w:highlight w:val="none"/>
        </w:rPr>
        <w:t>除</w:t>
      </w:r>
      <w:r>
        <w:rPr>
          <w:rFonts w:hint="eastAsia" w:ascii="宋体" w:hAnsi="宋体"/>
          <w:b/>
          <w:color w:val="auto"/>
          <w:szCs w:val="21"/>
          <w:highlight w:val="none"/>
        </w:rPr>
        <w:t>【投标须知前附表】</w:t>
      </w:r>
      <w:r>
        <w:rPr>
          <w:rFonts w:hint="eastAsia" w:ascii="宋体" w:hAnsi="宋体"/>
          <w:color w:val="auto"/>
          <w:szCs w:val="21"/>
          <w:highlight w:val="none"/>
        </w:rPr>
        <w:t>另有规</w:t>
      </w:r>
      <w:r>
        <w:rPr>
          <w:rFonts w:hint="eastAsia" w:ascii="宋体" w:hAnsi="宋体"/>
          <w:color w:val="auto"/>
          <w:highlight w:val="none"/>
        </w:rPr>
        <w:t>定外，投标人应按下列规定提供资格证明文件。</w:t>
      </w:r>
    </w:p>
    <w:p w14:paraId="2695CF10">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w:t>
      </w:r>
      <w:r>
        <w:rPr>
          <w:rFonts w:hint="eastAsia" w:ascii="宋体" w:hAnsi="宋体"/>
          <w:b/>
          <w:color w:val="auto"/>
          <w:highlight w:val="none"/>
        </w:rPr>
        <w:t>法人或者其他组织的营业执照等主体资格证明文件，自然人的身份证明</w:t>
      </w:r>
      <w:r>
        <w:rPr>
          <w:rFonts w:hint="eastAsia" w:ascii="宋体" w:hAnsi="宋体"/>
          <w:color w:val="auto"/>
          <w:highlight w:val="none"/>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14105632">
      <w:pPr>
        <w:adjustRightInd w:val="0"/>
        <w:snapToGrid w:val="0"/>
        <w:spacing w:before="156" w:beforeLines="50" w:line="360" w:lineRule="auto"/>
        <w:ind w:firstLine="422" w:firstLineChars="200"/>
        <w:rPr>
          <w:rFonts w:ascii="宋体" w:hAnsi="宋体"/>
          <w:b/>
          <w:color w:val="auto"/>
          <w:highlight w:val="none"/>
        </w:rPr>
      </w:pPr>
      <w:r>
        <w:rPr>
          <w:rFonts w:hint="eastAsia" w:ascii="宋体" w:hAnsi="宋体"/>
          <w:b/>
          <w:color w:val="auto"/>
          <w:highlight w:val="none"/>
        </w:rPr>
        <w:t>（2）湖南省政府采购供应商资格承诺函(格式)</w:t>
      </w:r>
    </w:p>
    <w:p w14:paraId="48993523">
      <w:pPr>
        <w:adjustRightInd w:val="0"/>
        <w:snapToGrid w:val="0"/>
        <w:spacing w:before="156" w:beforeLines="50" w:line="360" w:lineRule="auto"/>
        <w:ind w:firstLine="422" w:firstLineChars="200"/>
        <w:rPr>
          <w:rFonts w:ascii="宋体" w:hAnsi="宋体"/>
          <w:b/>
          <w:color w:val="auto"/>
          <w:highlight w:val="none"/>
        </w:rPr>
      </w:pPr>
      <w:r>
        <w:rPr>
          <w:rFonts w:hint="eastAsia" w:ascii="宋体" w:hAnsi="宋体"/>
          <w:b/>
          <w:color w:val="auto"/>
          <w:highlight w:val="none"/>
        </w:rPr>
        <w:t>（3）符合特定资格条件证明材料或者情况说明。</w:t>
      </w:r>
    </w:p>
    <w:p w14:paraId="60228406">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14.2投标人以联合体形式投标的，除应提交联合协议(格式)外，参加联合体的各方均应提交上款资格证明材料。</w:t>
      </w:r>
    </w:p>
    <w:p w14:paraId="0F9A8B2C">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14.3投标人的资格证明文件均应为有效文件并加盖投标人单位章，并按招标文件规定签署。</w:t>
      </w:r>
    </w:p>
    <w:p w14:paraId="634518D5">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15. 投标货物及服务符合招标文件规定的证明文件</w:t>
      </w:r>
    </w:p>
    <w:p w14:paraId="1486C06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15.1投标人应当提交其拟供的合同项下货物及其服务符合招标文件规定的证明文件,该证明文件作为投标文件的一部分。</w:t>
      </w:r>
    </w:p>
    <w:p w14:paraId="7D60389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15.2上述证明文件可以是文字资料、图表、数据、证书等资料，包括但不限于：</w:t>
      </w:r>
    </w:p>
    <w:p w14:paraId="0432C07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（1）货物主要技术指标和性能的详细说明。对有具体参数要求的指标，投标人应提供具体参数值；</w:t>
      </w:r>
    </w:p>
    <w:p w14:paraId="1066681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（2）货物的品牌型号、制造商及原产地等说明；</w:t>
      </w:r>
    </w:p>
    <w:p w14:paraId="3220485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（3）招标文件第五章“采购需求”要求的其它文件。</w:t>
      </w:r>
    </w:p>
    <w:p w14:paraId="11779D73">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16. 投标有效期</w:t>
      </w:r>
    </w:p>
    <w:p w14:paraId="074371F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16.1投标有效期从提交投标文件的截止之日起算。投标文件中承诺的投标有效期应当不少于</w:t>
      </w:r>
      <w:r>
        <w:rPr>
          <w:rFonts w:hint="eastAsia" w:ascii="宋体" w:hAnsi="宋体"/>
          <w:b/>
          <w:color w:val="auto"/>
          <w:szCs w:val="21"/>
          <w:highlight w:val="none"/>
        </w:rPr>
        <w:t>【投标须知前附表】</w:t>
      </w:r>
      <w:r>
        <w:rPr>
          <w:rFonts w:hint="eastAsia" w:ascii="宋体" w:hAnsi="宋体"/>
          <w:color w:val="auto"/>
          <w:szCs w:val="21"/>
          <w:highlight w:val="none"/>
        </w:rPr>
        <w:t>中载明的投标有效期。投标有效期不满足要求的，其</w:t>
      </w:r>
      <w:r>
        <w:rPr>
          <w:rFonts w:hint="eastAsia" w:ascii="宋体" w:hAnsi="宋体"/>
          <w:b/>
          <w:color w:val="auto"/>
          <w:szCs w:val="21"/>
          <w:highlight w:val="none"/>
        </w:rPr>
        <w:t>投标无效</w:t>
      </w:r>
      <w:r>
        <w:rPr>
          <w:rFonts w:hint="eastAsia" w:ascii="宋体" w:hAnsi="宋体"/>
          <w:color w:val="auto"/>
          <w:szCs w:val="21"/>
          <w:highlight w:val="none"/>
        </w:rPr>
        <w:t>。</w:t>
      </w:r>
    </w:p>
    <w:p w14:paraId="2BFD2D9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16.2投标有效期内投标人撤销投标文件的，投标人应承担招标文件和法律规定的责任。</w:t>
      </w:r>
    </w:p>
    <w:p w14:paraId="37FAF762">
      <w:pPr>
        <w:adjustRightInd w:val="0"/>
        <w:snapToGrid w:val="0"/>
        <w:spacing w:before="156" w:beforeLines="50" w:line="360" w:lineRule="auto"/>
        <w:jc w:val="left"/>
        <w:rPr>
          <w:rFonts w:hint="eastAsia" w:ascii="宋体" w:hAnsi="宋体"/>
          <w:b/>
          <w:bCs/>
          <w:color w:val="auto"/>
          <w:sz w:val="24"/>
          <w:highlight w:val="none"/>
        </w:rPr>
      </w:pPr>
      <w:r>
        <w:rPr>
          <w:rFonts w:hint="eastAsia" w:ascii="宋体" w:hAnsi="宋体"/>
          <w:b/>
          <w:bCs/>
          <w:color w:val="auto"/>
          <w:sz w:val="24"/>
          <w:highlight w:val="none"/>
        </w:rPr>
        <w:t>17. 投标保证金  （</w:t>
      </w:r>
      <w:r>
        <w:rPr>
          <w:rFonts w:ascii="宋体" w:hAnsi="宋体"/>
          <w:b/>
          <w:bCs/>
          <w:color w:val="auto"/>
          <w:sz w:val="24"/>
          <w:highlight w:val="none"/>
        </w:rPr>
        <w:t>本项目无</w:t>
      </w:r>
      <w:r>
        <w:rPr>
          <w:rFonts w:hint="eastAsia" w:ascii="宋体" w:hAnsi="宋体"/>
          <w:b/>
          <w:bCs/>
          <w:color w:val="auto"/>
          <w:sz w:val="24"/>
          <w:highlight w:val="none"/>
        </w:rPr>
        <w:t>需</w:t>
      </w:r>
      <w:r>
        <w:rPr>
          <w:rFonts w:ascii="宋体" w:hAnsi="宋体"/>
          <w:b/>
          <w:bCs/>
          <w:color w:val="auto"/>
          <w:sz w:val="24"/>
          <w:highlight w:val="none"/>
        </w:rPr>
        <w:t>缴纳投标保证金）</w:t>
      </w:r>
    </w:p>
    <w:p w14:paraId="2C8D93EA">
      <w:pPr>
        <w:adjustRightInd w:val="0"/>
        <w:snapToGrid w:val="0"/>
        <w:spacing w:before="156" w:beforeLines="50" w:line="360" w:lineRule="auto"/>
        <w:jc w:val="left"/>
        <w:rPr>
          <w:rFonts w:ascii="宋体" w:hAnsi="宋体"/>
          <w:b/>
          <w:color w:val="auto"/>
          <w:sz w:val="24"/>
          <w:highlight w:val="none"/>
        </w:rPr>
      </w:pPr>
      <w:r>
        <w:rPr>
          <w:rFonts w:hint="eastAsia" w:ascii="宋体" w:hAnsi="宋体"/>
          <w:b/>
          <w:color w:val="auto"/>
          <w:sz w:val="24"/>
          <w:highlight w:val="none"/>
        </w:rPr>
        <w:t>18.分包</w:t>
      </w:r>
    </w:p>
    <w:p w14:paraId="3CE9505B">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18.1</w:t>
      </w:r>
      <w:r>
        <w:rPr>
          <w:rFonts w:hint="eastAsia" w:hAnsi="宋体"/>
          <w:b/>
          <w:bCs/>
          <w:color w:val="auto"/>
          <w:highlight w:val="none"/>
        </w:rPr>
        <w:t>【投标须知前附表】</w:t>
      </w:r>
      <w:r>
        <w:rPr>
          <w:rFonts w:hint="eastAsia" w:ascii="宋体" w:hAnsi="宋体"/>
          <w:color w:val="auto"/>
          <w:highlight w:val="none"/>
        </w:rPr>
        <w:t>规定投标人分包的，投标人分包承诺不符合招标文件中有关分包规定的，其</w:t>
      </w:r>
      <w:r>
        <w:rPr>
          <w:rFonts w:hint="eastAsia" w:ascii="宋体" w:hAnsi="宋体"/>
          <w:b/>
          <w:bCs/>
          <w:color w:val="auto"/>
          <w:highlight w:val="none"/>
        </w:rPr>
        <w:t>投标无效</w:t>
      </w:r>
      <w:r>
        <w:rPr>
          <w:rFonts w:hint="eastAsia" w:ascii="宋体" w:hAnsi="宋体"/>
          <w:color w:val="auto"/>
          <w:highlight w:val="none"/>
        </w:rPr>
        <w:t>。</w:t>
      </w:r>
    </w:p>
    <w:p w14:paraId="7969945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18.2投标人应在签订政府采购合同前向采购人提供分包合同，否则，采购人有权拒绝签订采购合同。</w:t>
      </w:r>
    </w:p>
    <w:p w14:paraId="3EB6031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18.3享受中小企业扶持政策获得政府采购合同的，小微企业不得将合同分包给大中型企业，中型企业不得将合同分包给大型企业。</w:t>
      </w:r>
    </w:p>
    <w:p w14:paraId="393C4259">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18.4分包供应商不得再次分包。</w:t>
      </w:r>
    </w:p>
    <w:p w14:paraId="6392AD0E">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19. 投标文件的签署</w:t>
      </w:r>
    </w:p>
    <w:p w14:paraId="4504450A">
      <w:pPr>
        <w:pStyle w:val="47"/>
        <w:ind w:firstLine="422"/>
        <w:rPr>
          <w:b/>
          <w:color w:val="auto"/>
          <w:highlight w:val="none"/>
        </w:rPr>
      </w:pPr>
      <w:r>
        <w:rPr>
          <w:rFonts w:hint="eastAsia"/>
          <w:b/>
          <w:color w:val="auto"/>
          <w:highlight w:val="none"/>
        </w:rPr>
        <w:t>网上</w:t>
      </w:r>
      <w:r>
        <w:rPr>
          <w:b/>
          <w:color w:val="auto"/>
          <w:highlight w:val="none"/>
        </w:rPr>
        <w:t>投标</w:t>
      </w:r>
      <w:r>
        <w:rPr>
          <w:rFonts w:hint="eastAsia"/>
          <w:b/>
          <w:color w:val="auto"/>
          <w:highlight w:val="none"/>
        </w:rPr>
        <w:t>形式</w:t>
      </w:r>
      <w:r>
        <w:rPr>
          <w:b/>
          <w:color w:val="auto"/>
          <w:highlight w:val="none"/>
        </w:rPr>
        <w:t>：</w:t>
      </w:r>
    </w:p>
    <w:p w14:paraId="141D42D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19.1投标人确认投标后，应从交易系统上下载“电子招标文件制作工具”，并使用此工具编制电子投标文件，否则将影响电子投标文件的上传而导致投标无效。</w:t>
      </w:r>
    </w:p>
    <w:p w14:paraId="53E7AE8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19.2投标人应按照电子招标文件要求制作投标文件，并进行电子签名和盖章后上</w:t>
      </w:r>
      <w:r>
        <w:rPr>
          <w:rFonts w:ascii="宋体" w:hAnsi="宋体"/>
          <w:color w:val="auto"/>
          <w:szCs w:val="21"/>
          <w:highlight w:val="none"/>
        </w:rPr>
        <w:t>传</w:t>
      </w:r>
      <w:r>
        <w:rPr>
          <w:rFonts w:hint="eastAsia" w:ascii="宋体" w:hAnsi="宋体"/>
          <w:color w:val="auto"/>
          <w:szCs w:val="21"/>
          <w:highlight w:val="none"/>
        </w:rPr>
        <w:t>提交至</w:t>
      </w:r>
      <w:r>
        <w:rPr>
          <w:rFonts w:hint="eastAsia" w:ascii="宋体" w:hAnsi="宋体"/>
          <w:color w:val="auto"/>
          <w:highlight w:val="none"/>
        </w:rPr>
        <w:t>娄底市公共资源</w:t>
      </w:r>
      <w:r>
        <w:rPr>
          <w:rFonts w:hint="eastAsia" w:ascii="宋体" w:hAnsi="宋体"/>
          <w:color w:val="auto"/>
          <w:szCs w:val="21"/>
          <w:highlight w:val="none"/>
        </w:rPr>
        <w:t>交易平台。</w:t>
      </w:r>
    </w:p>
    <w:p w14:paraId="5C5EB2C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19.3投标人因自身原因导致电子投标文件无法导入电子评标系统的，该投标文件视为无效投标文件。</w:t>
      </w:r>
    </w:p>
    <w:p w14:paraId="2DC0D74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19.4电子招投标文件具有法律效力，若投标文件与招标文件要求不一致，其内容影响中标结果时，责任由投标人自行承担。</w:t>
      </w:r>
    </w:p>
    <w:p w14:paraId="324DE455">
      <w:pPr>
        <w:pStyle w:val="47"/>
        <w:spacing w:line="360" w:lineRule="auto"/>
        <w:rPr>
          <w:rFonts w:ascii="宋体" w:hAnsi="宋体"/>
          <w:color w:val="auto"/>
          <w:highlight w:val="none"/>
        </w:rPr>
      </w:pPr>
      <w:r>
        <w:rPr>
          <w:rFonts w:hint="eastAsia" w:ascii="宋体" w:hAnsi="宋体"/>
          <w:color w:val="auto"/>
          <w:highlight w:val="none"/>
        </w:rPr>
        <w:t>1</w:t>
      </w:r>
      <w:r>
        <w:rPr>
          <w:rFonts w:ascii="宋体" w:hAnsi="宋体"/>
          <w:color w:val="auto"/>
          <w:highlight w:val="none"/>
        </w:rPr>
        <w:t>9.5</w:t>
      </w:r>
      <w:r>
        <w:rPr>
          <w:rFonts w:hint="eastAsia" w:ascii="宋体" w:hAnsi="宋体"/>
          <w:color w:val="auto"/>
          <w:highlight w:val="none"/>
        </w:rPr>
        <w:t>按</w:t>
      </w:r>
      <w:r>
        <w:rPr>
          <w:rFonts w:ascii="宋体" w:hAnsi="宋体"/>
          <w:color w:val="auto"/>
          <w:highlight w:val="none"/>
        </w:rPr>
        <w:t>要求制作</w:t>
      </w:r>
      <w:r>
        <w:rPr>
          <w:rFonts w:hint="eastAsia" w:ascii="宋体" w:hAnsi="宋体"/>
          <w:color w:val="auto"/>
          <w:highlight w:val="none"/>
        </w:rPr>
        <w:t>电子投标文件，在娄底市公共资源交易平台上传即可。中标供应商在领取中标通知书时须提供贰份胶装纸质版的投标文件用于招标</w:t>
      </w:r>
      <w:r>
        <w:rPr>
          <w:rFonts w:ascii="宋体" w:hAnsi="宋体"/>
          <w:color w:val="auto"/>
          <w:highlight w:val="none"/>
        </w:rPr>
        <w:t>人存档</w:t>
      </w:r>
      <w:r>
        <w:rPr>
          <w:rFonts w:hint="eastAsia" w:ascii="宋体" w:hAnsi="宋体"/>
          <w:color w:val="auto"/>
          <w:highlight w:val="none"/>
        </w:rPr>
        <w:t>（纸质版投标文件须与</w:t>
      </w:r>
      <w:r>
        <w:rPr>
          <w:rFonts w:ascii="宋体" w:hAnsi="宋体"/>
          <w:color w:val="auto"/>
          <w:highlight w:val="none"/>
        </w:rPr>
        <w:t>上传</w:t>
      </w:r>
      <w:r>
        <w:rPr>
          <w:rFonts w:hint="eastAsia" w:ascii="宋体" w:hAnsi="宋体"/>
          <w:color w:val="auto"/>
          <w:highlight w:val="none"/>
        </w:rPr>
        <w:t>投标</w:t>
      </w:r>
      <w:r>
        <w:rPr>
          <w:rFonts w:ascii="宋体" w:hAnsi="宋体"/>
          <w:color w:val="auto"/>
          <w:highlight w:val="none"/>
        </w:rPr>
        <w:t>的电子版投标文件内容一致</w:t>
      </w:r>
      <w:r>
        <w:rPr>
          <w:rFonts w:hint="eastAsia" w:ascii="宋体" w:hAnsi="宋体"/>
          <w:color w:val="auto"/>
          <w:highlight w:val="none"/>
        </w:rPr>
        <w:t>）。</w:t>
      </w:r>
    </w:p>
    <w:p w14:paraId="2D8CAB3A">
      <w:pPr>
        <w:pStyle w:val="6"/>
        <w:keepNext w:val="0"/>
        <w:keepLines w:val="0"/>
        <w:adjustRightInd w:val="0"/>
        <w:snapToGrid w:val="0"/>
        <w:spacing w:before="156" w:beforeLines="50" w:after="0" w:line="360" w:lineRule="auto"/>
        <w:jc w:val="center"/>
        <w:rPr>
          <w:rFonts w:ascii="黑体" w:hAnsi="黑体" w:eastAsia="黑体"/>
          <w:color w:val="auto"/>
          <w:sz w:val="28"/>
          <w:szCs w:val="28"/>
          <w:highlight w:val="none"/>
        </w:rPr>
      </w:pPr>
      <w:bookmarkStart w:id="17" w:name="_Toc3210"/>
      <w:r>
        <w:rPr>
          <w:rFonts w:hint="eastAsia" w:ascii="黑体" w:hAnsi="黑体" w:eastAsia="黑体"/>
          <w:color w:val="auto"/>
          <w:sz w:val="28"/>
          <w:szCs w:val="28"/>
          <w:highlight w:val="none"/>
        </w:rPr>
        <w:t>四、投标</w:t>
      </w:r>
      <w:bookmarkEnd w:id="17"/>
    </w:p>
    <w:p w14:paraId="7AE8A695">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20.</w:t>
      </w:r>
      <w:r>
        <w:rPr>
          <w:rFonts w:hint="eastAsia" w:ascii="宋体" w:hAnsi="宋体"/>
          <w:b/>
          <w:bCs/>
          <w:color w:val="auto"/>
          <w:sz w:val="24"/>
          <w:highlight w:val="none"/>
        </w:rPr>
        <w:t xml:space="preserve"> 投标文件的密封和标记</w:t>
      </w:r>
    </w:p>
    <w:p w14:paraId="5AC4D386">
      <w:pPr>
        <w:snapToGrid w:val="0"/>
        <w:spacing w:line="360" w:lineRule="auto"/>
        <w:ind w:firstLine="420" w:firstLineChars="200"/>
        <w:textAlignment w:val="baseline"/>
        <w:rPr>
          <w:rFonts w:ascii="宋体" w:hAnsi="宋体"/>
          <w:color w:val="auto"/>
          <w:sz w:val="20"/>
          <w:szCs w:val="21"/>
          <w:highlight w:val="none"/>
        </w:rPr>
      </w:pPr>
      <w:r>
        <w:rPr>
          <w:rFonts w:hint="eastAsia" w:ascii="宋体" w:hAnsi="宋体"/>
          <w:color w:val="auto"/>
          <w:szCs w:val="21"/>
          <w:highlight w:val="none"/>
        </w:rPr>
        <w:t>本项目实行网上电子投标，电子投标文件必须使用娄底市公共资源交易电子服务平台发布的“电子投标文件制作工具（</w:t>
      </w:r>
      <w:r>
        <w:rPr>
          <w:rStyle w:val="51"/>
          <w:rFonts w:ascii="宋体" w:hAnsi="宋体"/>
          <w:color w:val="auto"/>
          <w:szCs w:val="21"/>
          <w:highlight w:val="none"/>
        </w:rPr>
        <w:t>金润投标人工具箱）</w:t>
      </w:r>
      <w:r>
        <w:rPr>
          <w:rFonts w:hint="eastAsia" w:ascii="宋体" w:hAnsi="宋体"/>
          <w:color w:val="auto"/>
          <w:szCs w:val="21"/>
          <w:highlight w:val="none"/>
        </w:rPr>
        <w:t>”编制生成。</w:t>
      </w:r>
      <w:r>
        <w:rPr>
          <w:rFonts w:hint="eastAsia" w:ascii="宋体" w:hAnsi="宋体"/>
          <w:color w:val="auto"/>
          <w:highlight w:val="none"/>
        </w:rPr>
        <w:t>电子投标文件应固化并加密，以保证其响应文件信息在提交首次响应文件截止时间前不被透露。</w:t>
      </w:r>
    </w:p>
    <w:p w14:paraId="12FC2C9B">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21.投标截止期</w:t>
      </w:r>
    </w:p>
    <w:p w14:paraId="60B1E11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21.1投标人应在</w:t>
      </w:r>
      <w:r>
        <w:rPr>
          <w:rFonts w:hint="eastAsia" w:ascii="宋体" w:hAnsi="宋体"/>
          <w:b/>
          <w:color w:val="auto"/>
          <w:szCs w:val="21"/>
          <w:highlight w:val="none"/>
        </w:rPr>
        <w:t>【投标须知前附表】</w:t>
      </w:r>
      <w:r>
        <w:rPr>
          <w:rFonts w:hint="eastAsia" w:ascii="宋体" w:hAnsi="宋体"/>
          <w:color w:val="auto"/>
          <w:szCs w:val="21"/>
          <w:highlight w:val="none"/>
        </w:rPr>
        <w:t>规定的投标截止时间前将投标文件上传至交易平台。</w:t>
      </w:r>
    </w:p>
    <w:p w14:paraId="572A4AC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21.2逾期送达（</w:t>
      </w:r>
      <w:r>
        <w:rPr>
          <w:rFonts w:ascii="宋体" w:hAnsi="宋体"/>
          <w:color w:val="auto"/>
          <w:szCs w:val="21"/>
          <w:highlight w:val="none"/>
        </w:rPr>
        <w:t>上传）</w:t>
      </w:r>
      <w:r>
        <w:rPr>
          <w:rFonts w:hint="eastAsia" w:ascii="宋体" w:hAnsi="宋体"/>
          <w:color w:val="auto"/>
          <w:szCs w:val="21"/>
          <w:highlight w:val="none"/>
        </w:rPr>
        <w:t>的投标文件，以及未通过资格预审的申请人提交的投标文件（实行资格预审的），采购人、采购代理机构</w:t>
      </w:r>
      <w:r>
        <w:rPr>
          <w:rFonts w:hint="eastAsia" w:ascii="宋体" w:hAnsi="宋体"/>
          <w:b/>
          <w:color w:val="auto"/>
          <w:szCs w:val="21"/>
          <w:highlight w:val="none"/>
        </w:rPr>
        <w:t>应当拒收</w:t>
      </w:r>
      <w:r>
        <w:rPr>
          <w:rFonts w:hint="eastAsia" w:ascii="宋体" w:hAnsi="宋体"/>
          <w:color w:val="auto"/>
          <w:szCs w:val="21"/>
          <w:highlight w:val="none"/>
        </w:rPr>
        <w:t>。</w:t>
      </w:r>
    </w:p>
    <w:p w14:paraId="1C80C6C9">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22. 投标文件的修改和撤回</w:t>
      </w:r>
    </w:p>
    <w:p w14:paraId="1A4BD71F">
      <w:pPr>
        <w:snapToGrid w:val="0"/>
        <w:spacing w:line="360" w:lineRule="exact"/>
        <w:ind w:firstLine="411" w:firstLineChars="196"/>
        <w:textAlignment w:val="baseline"/>
        <w:rPr>
          <w:rFonts w:ascii="宋体" w:hAnsi="宋体"/>
          <w:color w:val="auto"/>
          <w:sz w:val="20"/>
          <w:highlight w:val="none"/>
        </w:rPr>
      </w:pPr>
      <w:r>
        <w:rPr>
          <w:rFonts w:hint="eastAsia" w:ascii="宋体" w:hAnsi="宋体"/>
          <w:color w:val="auto"/>
          <w:highlight w:val="none"/>
        </w:rPr>
        <w:t>22.1</w:t>
      </w:r>
      <w:r>
        <w:rPr>
          <w:rFonts w:hint="eastAsia" w:ascii="宋体" w:hAnsi="宋体"/>
          <w:color w:val="auto"/>
          <w:szCs w:val="21"/>
          <w:highlight w:val="none"/>
        </w:rPr>
        <w:t>投标人在投标截止时间前，可以对所提交的</w:t>
      </w:r>
      <w:r>
        <w:rPr>
          <w:rFonts w:hint="eastAsia" w:ascii="宋体" w:hAnsi="宋体"/>
          <w:color w:val="auto"/>
          <w:highlight w:val="none"/>
        </w:rPr>
        <w:t>电子</w:t>
      </w:r>
      <w:r>
        <w:rPr>
          <w:rFonts w:hint="eastAsia" w:ascii="宋体" w:hAnsi="宋体"/>
          <w:color w:val="auto"/>
          <w:szCs w:val="21"/>
          <w:highlight w:val="none"/>
        </w:rPr>
        <w:t>投标文件进行修改或者撤回，修改或者撤回后</w:t>
      </w:r>
      <w:r>
        <w:rPr>
          <w:rFonts w:ascii="宋体" w:hAnsi="宋体"/>
          <w:color w:val="auto"/>
          <w:szCs w:val="21"/>
          <w:highlight w:val="none"/>
        </w:rPr>
        <w:t>只要在</w:t>
      </w:r>
      <w:r>
        <w:rPr>
          <w:rFonts w:hint="eastAsia" w:ascii="宋体" w:hAnsi="宋体"/>
          <w:color w:val="auto"/>
          <w:szCs w:val="21"/>
          <w:highlight w:val="none"/>
        </w:rPr>
        <w:t>投标截止时间前，</w:t>
      </w:r>
      <w:r>
        <w:rPr>
          <w:rFonts w:hint="eastAsia" w:ascii="宋体" w:hAnsi="宋体"/>
          <w:color w:val="auto"/>
          <w:highlight w:val="none"/>
        </w:rPr>
        <w:t>还可以重新上传响应文件或在网上进行撤销投标的操作。</w:t>
      </w:r>
    </w:p>
    <w:p w14:paraId="6974C365">
      <w:pPr>
        <w:snapToGrid w:val="0"/>
        <w:spacing w:line="360" w:lineRule="exact"/>
        <w:ind w:firstLine="411" w:firstLineChars="196"/>
        <w:textAlignment w:val="baseline"/>
        <w:rPr>
          <w:rFonts w:ascii="宋体" w:hAnsi="宋体"/>
          <w:color w:val="auto"/>
          <w:sz w:val="20"/>
          <w:highlight w:val="none"/>
        </w:rPr>
      </w:pPr>
      <w:r>
        <w:rPr>
          <w:rFonts w:hint="eastAsia" w:ascii="宋体" w:hAnsi="宋体"/>
          <w:color w:val="auto"/>
          <w:highlight w:val="none"/>
        </w:rPr>
        <w:t>22.2投标截止时间以后不得</w:t>
      </w:r>
      <w:r>
        <w:rPr>
          <w:rFonts w:hint="eastAsia" w:ascii="宋体" w:hAnsi="宋体"/>
          <w:color w:val="auto"/>
          <w:szCs w:val="21"/>
          <w:highlight w:val="none"/>
        </w:rPr>
        <w:t>修改或者撤回</w:t>
      </w:r>
      <w:r>
        <w:rPr>
          <w:rFonts w:hint="eastAsia" w:ascii="宋体" w:hAnsi="宋体"/>
          <w:color w:val="auto"/>
          <w:highlight w:val="none"/>
        </w:rPr>
        <w:t>投标文件。</w:t>
      </w:r>
    </w:p>
    <w:p w14:paraId="5CAF795F">
      <w:pPr>
        <w:adjustRightInd w:val="0"/>
        <w:snapToGrid w:val="0"/>
        <w:spacing w:before="156" w:beforeLines="50" w:line="360" w:lineRule="auto"/>
        <w:jc w:val="left"/>
        <w:rPr>
          <w:rFonts w:ascii="宋体" w:hAnsi="宋体" w:cs="Arial"/>
          <w:b/>
          <w:color w:val="auto"/>
          <w:sz w:val="24"/>
          <w:highlight w:val="none"/>
        </w:rPr>
      </w:pPr>
      <w:r>
        <w:rPr>
          <w:rFonts w:hint="eastAsia" w:ascii="宋体" w:hAnsi="宋体"/>
          <w:b/>
          <w:bCs/>
          <w:color w:val="auto"/>
          <w:sz w:val="24"/>
          <w:highlight w:val="none"/>
        </w:rPr>
        <w:t>23.</w:t>
      </w:r>
      <w:r>
        <w:rPr>
          <w:rFonts w:hint="eastAsia" w:ascii="宋体" w:hAnsi="宋体" w:cs="Arial"/>
          <w:b/>
          <w:color w:val="auto"/>
          <w:sz w:val="24"/>
          <w:highlight w:val="none"/>
        </w:rPr>
        <w:t xml:space="preserve"> 串通</w:t>
      </w:r>
      <w:r>
        <w:rPr>
          <w:rFonts w:hint="eastAsia" w:ascii="宋体" w:hAnsi="宋体"/>
          <w:b/>
          <w:color w:val="auto"/>
          <w:sz w:val="24"/>
          <w:highlight w:val="none"/>
        </w:rPr>
        <w:t>投标行为</w:t>
      </w:r>
    </w:p>
    <w:p w14:paraId="23B21556">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23.1有下列情形之一的，属于恶意串通，对投标人依照政府采购法第七十七条第一款的规定追究法律责任：</w:t>
      </w:r>
    </w:p>
    <w:p w14:paraId="29CCA87D">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（1）投标人直接或者间接从采购人或者采购代理机构处获得其他投标人的相关情况并修改其投标文件；</w:t>
      </w:r>
    </w:p>
    <w:p w14:paraId="0C2A7907">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（2）投标人按照采购人或者采购代理机构的授意撤换、修改投标文件；</w:t>
      </w:r>
    </w:p>
    <w:p w14:paraId="763C2C30">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（3）投标人之间协商报价、技术方案等投标文件的实质性内容；</w:t>
      </w:r>
    </w:p>
    <w:p w14:paraId="5323EA10">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（4）属于同一集团、协会、商会等组织成员的投标人按照该组织要求协同参加政府采购活动；</w:t>
      </w:r>
    </w:p>
    <w:p w14:paraId="4728C5BD">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（5）投标人之间事先约定由某一特定投标人中标；</w:t>
      </w:r>
    </w:p>
    <w:p w14:paraId="562B7D28">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（6）投标人之间商定部分投标人放弃参加政府采购活动或者放弃中标；</w:t>
      </w:r>
    </w:p>
    <w:p w14:paraId="00A9CBB1">
      <w:pPr>
        <w:adjustRightInd w:val="0"/>
        <w:snapToGrid w:val="0"/>
        <w:spacing w:before="156" w:beforeLines="50" w:line="360" w:lineRule="auto"/>
        <w:ind w:firstLine="396" w:firstLineChars="200"/>
        <w:jc w:val="left"/>
        <w:rPr>
          <w:rFonts w:ascii="宋体" w:hAnsi="宋体"/>
          <w:color w:val="auto"/>
          <w:spacing w:val="-6"/>
          <w:szCs w:val="21"/>
          <w:highlight w:val="none"/>
        </w:rPr>
      </w:pPr>
      <w:r>
        <w:rPr>
          <w:rFonts w:hint="eastAsia" w:ascii="宋体" w:hAnsi="宋体"/>
          <w:color w:val="auto"/>
          <w:spacing w:val="-6"/>
          <w:szCs w:val="21"/>
          <w:highlight w:val="none"/>
        </w:rPr>
        <w:t>（7）投标人与采购人或者采购代理机构之间、投标人相互之间，为谋求特定投标人中标或者排斥其他投标人的其他串通行为。</w:t>
      </w:r>
    </w:p>
    <w:p w14:paraId="4AF064B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23.2有下列情形之一的，视为投标人串通投标，其</w:t>
      </w:r>
      <w:r>
        <w:rPr>
          <w:rFonts w:hint="eastAsia" w:ascii="宋体" w:hAnsi="宋体"/>
          <w:b/>
          <w:color w:val="auto"/>
          <w:szCs w:val="21"/>
          <w:highlight w:val="none"/>
        </w:rPr>
        <w:t>投标无效</w:t>
      </w:r>
      <w:r>
        <w:rPr>
          <w:rFonts w:hint="eastAsia" w:ascii="宋体" w:hAnsi="宋体"/>
          <w:color w:val="auto"/>
          <w:szCs w:val="21"/>
          <w:highlight w:val="none"/>
        </w:rPr>
        <w:t>：</w:t>
      </w:r>
    </w:p>
    <w:p w14:paraId="1FA4988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（1）不同投标人的投标文件由同一单位或者个人编制；</w:t>
      </w:r>
    </w:p>
    <w:p w14:paraId="5B76392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（2）不同投标人委托同一单位或者个人办理投标事宜；</w:t>
      </w:r>
    </w:p>
    <w:p w14:paraId="4B45756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（3）不同投标人的投标文件载明的项目管理成员或者联系人员为同一人；</w:t>
      </w:r>
    </w:p>
    <w:p w14:paraId="18D3FF9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（4）不同投标人的投标文件异常一致或者投标报价呈规律性差异；</w:t>
      </w:r>
    </w:p>
    <w:p w14:paraId="1E4D2BA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（5）不同投标人的投标文件相互混装；</w:t>
      </w:r>
    </w:p>
    <w:p w14:paraId="27736B0C">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18" w:name="_Toc3396"/>
      <w:r>
        <w:rPr>
          <w:rFonts w:hint="eastAsia" w:ascii="黑体" w:hAnsi="黑体" w:eastAsia="黑体"/>
          <w:color w:val="auto"/>
          <w:sz w:val="28"/>
          <w:szCs w:val="28"/>
          <w:highlight w:val="none"/>
        </w:rPr>
        <w:t>五、开标，资格审查和评标</w:t>
      </w:r>
      <w:bookmarkEnd w:id="18"/>
    </w:p>
    <w:p w14:paraId="1F473062">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24. 开标</w:t>
      </w:r>
    </w:p>
    <w:p w14:paraId="66DEAF6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24.1开标时，出现下列情形之一的，采购代理机构不予受理，不得进入评标： </w:t>
      </w:r>
    </w:p>
    <w:p w14:paraId="15421AF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（1）经检查数字证书无效的电子投标文件； </w:t>
      </w:r>
    </w:p>
    <w:p w14:paraId="05C7907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（2）电子投标文件未按要求上传至交易平台的；</w:t>
      </w:r>
    </w:p>
    <w:p w14:paraId="32F43DB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（3）投标人未按照规定的时间解密电子投标文件的；</w:t>
      </w:r>
    </w:p>
    <w:p w14:paraId="7B28088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（4）其它违反法律、法规的情形。</w:t>
      </w:r>
    </w:p>
    <w:p w14:paraId="7A4506D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24.2采购人或者采购代理机构应按招标文件规定的时间、地点在交易平台上组织公开开标，并邀请投标人参加。</w:t>
      </w:r>
    </w:p>
    <w:p w14:paraId="06B0027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24.3开标程序。采购代理机构在投标截止时间后，按下列程序进行开标： </w:t>
      </w:r>
    </w:p>
    <w:p w14:paraId="76A9729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（1）公布投标人名称并检查投标文件的数字证书有效性和加密状况；</w:t>
      </w:r>
    </w:p>
    <w:p w14:paraId="5D4CF89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 xml:space="preserve">）解密投标文件：解密时间详见第一章投标邀请，由于投标人自身原因导致投标文件在解密时限内未解密或解密失败的，视为撤销其投标文件，开标继续进行。  </w:t>
      </w:r>
    </w:p>
    <w:p w14:paraId="1017EE0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）唱标，宣读投标人名称、投标价格和【投标须知前附表】规定需要宣布的其他内容；</w:t>
      </w:r>
    </w:p>
    <w:p w14:paraId="320ECC7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）投标人代表通过电子开标软件在开标记录上进行确认。在规定的时间内未进行确认的，视同认可开标结果。</w:t>
      </w:r>
    </w:p>
    <w:p w14:paraId="56601AF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24.3电子招投标的应急措施</w:t>
      </w:r>
    </w:p>
    <w:p w14:paraId="45D8F71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电子开标、评标如出现下列情形，导致系统无法正常运行时，按交易中心应急预案措施执行： </w:t>
      </w:r>
    </w:p>
    <w:p w14:paraId="6E24B23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（1）系统服务器发生故障，无法访问或无法使用系统； </w:t>
      </w:r>
    </w:p>
    <w:p w14:paraId="45D196A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（2）系统的软件或数据库出现错误，不能进行正常操作； </w:t>
      </w:r>
    </w:p>
    <w:p w14:paraId="4AD6333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（3）系统发现有安全漏洞，有潜在的泄密危险； </w:t>
      </w:r>
    </w:p>
    <w:p w14:paraId="12412C2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（4）病毒发作或受到外来病毒的攻击；</w:t>
      </w:r>
    </w:p>
    <w:p w14:paraId="07129AE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（5）其他特殊情况。</w:t>
      </w:r>
    </w:p>
    <w:p w14:paraId="46A1B2B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出现上述情况之一时，经交易中心相关部门确认：对未开标的暂停开标或作延期开标处理，待系统恢复后再进行开标活动；已在系统内评标的，评标委员会酌情延期进行评审，待系统恢复后再进行评审工作。</w:t>
      </w:r>
    </w:p>
    <w:p w14:paraId="2C9D823B">
      <w:pPr>
        <w:adjustRightInd w:val="0"/>
        <w:snapToGrid w:val="0"/>
        <w:spacing w:before="156" w:beforeLines="50" w:line="360" w:lineRule="auto"/>
        <w:jc w:val="left"/>
        <w:rPr>
          <w:rFonts w:ascii="宋体" w:hAnsi="宋体"/>
          <w:b/>
          <w:color w:val="auto"/>
          <w:sz w:val="24"/>
          <w:highlight w:val="none"/>
        </w:rPr>
      </w:pPr>
      <w:r>
        <w:rPr>
          <w:rStyle w:val="29"/>
          <w:rFonts w:hint="eastAsia" w:ascii="宋体" w:hAnsi="宋体" w:cs="Arial"/>
          <w:color w:val="auto"/>
          <w:sz w:val="24"/>
          <w:highlight w:val="none"/>
        </w:rPr>
        <w:t>25.</w:t>
      </w:r>
      <w:r>
        <w:rPr>
          <w:rFonts w:hint="eastAsia" w:ascii="宋体" w:hAnsi="宋体"/>
          <w:b/>
          <w:color w:val="auto"/>
          <w:sz w:val="24"/>
          <w:highlight w:val="none"/>
        </w:rPr>
        <w:t xml:space="preserve"> 资格审查</w:t>
      </w:r>
    </w:p>
    <w:p w14:paraId="1967454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25.1开标结束后，采购人、采购代理机构依法按照第三章</w:t>
      </w:r>
      <w:r>
        <w:rPr>
          <w:rFonts w:hint="eastAsia" w:ascii="华文宋体" w:hAnsi="华文宋体" w:eastAsia="华文宋体"/>
          <w:color w:val="auto"/>
          <w:szCs w:val="21"/>
          <w:highlight w:val="none"/>
        </w:rPr>
        <w:t>“</w:t>
      </w:r>
      <w:r>
        <w:rPr>
          <w:rFonts w:hint="eastAsia" w:ascii="宋体" w:hAnsi="宋体"/>
          <w:color w:val="auto"/>
          <w:szCs w:val="21"/>
          <w:highlight w:val="none"/>
        </w:rPr>
        <w:t>资格审查</w:t>
      </w:r>
      <w:r>
        <w:rPr>
          <w:rFonts w:hint="eastAsia" w:ascii="华文宋体" w:hAnsi="华文宋体" w:eastAsia="华文宋体"/>
          <w:color w:val="auto"/>
          <w:szCs w:val="21"/>
          <w:highlight w:val="none"/>
        </w:rPr>
        <w:t>”</w:t>
      </w:r>
      <w:r>
        <w:rPr>
          <w:rFonts w:hint="eastAsia" w:ascii="宋体" w:hAnsi="宋体"/>
          <w:color w:val="auto"/>
          <w:szCs w:val="21"/>
          <w:highlight w:val="none"/>
        </w:rPr>
        <w:t>规定组织资格审查。</w:t>
      </w:r>
    </w:p>
    <w:p w14:paraId="2B92702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25.2资格审查结束后，采购人、采购代理机构应将资格审查结果告知评标委员会。资格审查不合格投标人不进入评标；资格审查合格投标人少于3家的，不得评标。</w:t>
      </w:r>
    </w:p>
    <w:p w14:paraId="7F249DDF">
      <w:pPr>
        <w:adjustRightInd w:val="0"/>
        <w:snapToGrid w:val="0"/>
        <w:spacing w:before="156" w:beforeLines="50" w:line="360" w:lineRule="auto"/>
        <w:jc w:val="left"/>
        <w:rPr>
          <w:rFonts w:ascii="宋体" w:hAnsi="宋体"/>
          <w:b/>
          <w:color w:val="auto"/>
          <w:sz w:val="24"/>
          <w:highlight w:val="none"/>
        </w:rPr>
      </w:pPr>
      <w:r>
        <w:rPr>
          <w:rFonts w:hint="eastAsia" w:ascii="宋体" w:hAnsi="宋体"/>
          <w:b/>
          <w:bCs/>
          <w:color w:val="auto"/>
          <w:sz w:val="24"/>
          <w:highlight w:val="none"/>
        </w:rPr>
        <w:t>26.</w:t>
      </w:r>
      <w:r>
        <w:rPr>
          <w:rFonts w:hint="eastAsia" w:ascii="宋体" w:hAnsi="宋体"/>
          <w:b/>
          <w:color w:val="auto"/>
          <w:sz w:val="24"/>
          <w:highlight w:val="none"/>
        </w:rPr>
        <w:t xml:space="preserve"> 评标委员会</w:t>
      </w:r>
    </w:p>
    <w:p w14:paraId="491C500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26.1评标由依法组建的评标委员会负责，评标委员会由采购人代表和评审专家组成。</w:t>
      </w:r>
    </w:p>
    <w:p w14:paraId="3AAC64B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26.2评标委员会成员有下列情形之一的，应当回避：</w:t>
      </w:r>
    </w:p>
    <w:p w14:paraId="311079E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（1）参加采购活动前三年内,与投标人存在劳动关系,或者担任过投标人的董事、监事,或者是投标人的控股股东或实际控制人；</w:t>
      </w:r>
    </w:p>
    <w:p w14:paraId="6820A3E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（2）与投标人的法定代表人或者负责人有夫妻、直系血亲、三代以内旁系血亲或者近姻亲关系；</w:t>
      </w:r>
    </w:p>
    <w:p w14:paraId="361BF2A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（3）与投标人有其他可能影响政府采购活动公平、公正进行的关系。</w:t>
      </w:r>
    </w:p>
    <w:p w14:paraId="042449A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26.3评标委员会负责具体评标事务，并独立履行下列职责：</w:t>
      </w:r>
    </w:p>
    <w:p w14:paraId="06E9997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（1）审查、评价投标文件是否符合招标文件的商务、技术等实质性要求；</w:t>
      </w:r>
    </w:p>
    <w:p w14:paraId="1F96ECD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（2）要求投标人对投标文件有关事项作出澄清或者说明；</w:t>
      </w:r>
    </w:p>
    <w:p w14:paraId="14E1B75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（3）对投标文件进行比较和评价；</w:t>
      </w:r>
    </w:p>
    <w:p w14:paraId="53D1DCF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（4）确定中标候选人名单，以及根据采购人委托直接确定中标人。</w:t>
      </w:r>
    </w:p>
    <w:p w14:paraId="42983425">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27.</w:t>
      </w:r>
      <w:r>
        <w:rPr>
          <w:rFonts w:hint="eastAsia" w:ascii="宋体" w:hAnsi="宋体"/>
          <w:b/>
          <w:bCs/>
          <w:color w:val="auto"/>
          <w:sz w:val="24"/>
          <w:highlight w:val="none"/>
        </w:rPr>
        <w:t xml:space="preserve"> 评标</w:t>
      </w:r>
    </w:p>
    <w:p w14:paraId="76B83C5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27.1评标委员会按照</w:t>
      </w:r>
      <w:r>
        <w:rPr>
          <w:rFonts w:hint="eastAsia" w:ascii="宋体" w:hAnsi="宋体"/>
          <w:bCs/>
          <w:color w:val="auto"/>
          <w:highlight w:val="none"/>
        </w:rPr>
        <w:t>第四章</w:t>
      </w:r>
      <w:r>
        <w:rPr>
          <w:rFonts w:hint="eastAsia" w:ascii="华文宋体" w:hAnsi="华文宋体" w:eastAsia="华文宋体"/>
          <w:bCs/>
          <w:color w:val="auto"/>
          <w:highlight w:val="none"/>
        </w:rPr>
        <w:t>“</w:t>
      </w:r>
      <w:r>
        <w:rPr>
          <w:rFonts w:hint="eastAsia" w:ascii="宋体" w:hAnsi="宋体"/>
          <w:bCs/>
          <w:color w:val="auto"/>
          <w:highlight w:val="none"/>
        </w:rPr>
        <w:t>评标方法及标准</w:t>
      </w:r>
      <w:r>
        <w:rPr>
          <w:rFonts w:hint="eastAsia" w:ascii="华文宋体" w:hAnsi="华文宋体" w:eastAsia="华文宋体"/>
          <w:bCs/>
          <w:color w:val="auto"/>
          <w:highlight w:val="none"/>
        </w:rPr>
        <w:t>”</w:t>
      </w:r>
      <w:r>
        <w:rPr>
          <w:rFonts w:hint="eastAsia" w:ascii="宋体" w:hAnsi="宋体"/>
          <w:color w:val="auto"/>
          <w:highlight w:val="none"/>
        </w:rPr>
        <w:t>规定的评标方法、评审因素、标准和程序以及有关法律、法规及规章对投标文件进行评审。</w:t>
      </w:r>
    </w:p>
    <w:p w14:paraId="04360537">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19" w:name="_Toc32194"/>
      <w:r>
        <w:rPr>
          <w:rFonts w:hint="eastAsia" w:ascii="黑体" w:hAnsi="黑体" w:eastAsia="黑体"/>
          <w:color w:val="auto"/>
          <w:sz w:val="28"/>
          <w:szCs w:val="28"/>
          <w:highlight w:val="none"/>
        </w:rPr>
        <w:t>六、中标信息公布</w:t>
      </w:r>
      <w:bookmarkEnd w:id="19"/>
    </w:p>
    <w:p w14:paraId="01FE5331">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color w:val="auto"/>
          <w:sz w:val="24"/>
          <w:highlight w:val="none"/>
        </w:rPr>
        <w:t>28.</w:t>
      </w:r>
      <w:r>
        <w:rPr>
          <w:rFonts w:hint="eastAsia" w:ascii="宋体" w:hAnsi="宋体"/>
          <w:color w:val="auto"/>
          <w:sz w:val="24"/>
          <w:highlight w:val="none"/>
        </w:rPr>
        <w:t xml:space="preserve"> </w:t>
      </w:r>
      <w:r>
        <w:rPr>
          <w:rFonts w:hint="eastAsia" w:ascii="宋体" w:hAnsi="宋体"/>
          <w:b/>
          <w:bCs/>
          <w:color w:val="auto"/>
          <w:sz w:val="24"/>
          <w:highlight w:val="none"/>
        </w:rPr>
        <w:t>中标通知书与中标信息公布</w:t>
      </w:r>
    </w:p>
    <w:p w14:paraId="2D751E6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28.1采购代理机构应当在评标结束后2个工作日内将评标报告送采购人。</w:t>
      </w:r>
    </w:p>
    <w:p w14:paraId="04A93B1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28.2采购人应当自收到评标报告之日起5个工作日内，在评标报告确定的中标候选人名单中按顺序确定中标人。中标候选人并列的，按照</w:t>
      </w:r>
      <w:r>
        <w:rPr>
          <w:rFonts w:hint="eastAsia" w:ascii="宋体" w:hAnsi="宋体"/>
          <w:b/>
          <w:color w:val="auto"/>
          <w:szCs w:val="21"/>
          <w:highlight w:val="none"/>
        </w:rPr>
        <w:t>【投标须知前附表】</w:t>
      </w:r>
      <w:r>
        <w:rPr>
          <w:rFonts w:hint="eastAsia" w:ascii="宋体" w:hAnsi="宋体"/>
          <w:color w:val="auto"/>
          <w:szCs w:val="21"/>
          <w:highlight w:val="none"/>
        </w:rPr>
        <w:t>规定的方式确定中标人；招标文件未规定的，采取随机抽取的方式确定。</w:t>
      </w:r>
    </w:p>
    <w:p w14:paraId="3E5988D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28.3采购人、采购代理机构应当自采购人确定中标供应商之日起2个工作日内，发出中标通知书，并在招标公告指定媒体上公告中标结果，招标文件随中标结果同时公告，中标结果公告期限为1个工作日。</w:t>
      </w:r>
    </w:p>
    <w:p w14:paraId="22046368">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29.</w:t>
      </w:r>
      <w:r>
        <w:rPr>
          <w:rFonts w:hint="eastAsia" w:ascii="宋体" w:hAnsi="宋体"/>
          <w:b/>
          <w:color w:val="auto"/>
          <w:sz w:val="24"/>
          <w:highlight w:val="none"/>
        </w:rPr>
        <w:t xml:space="preserve"> 投标人询问及</w:t>
      </w:r>
      <w:r>
        <w:rPr>
          <w:rFonts w:hint="eastAsia" w:ascii="宋体" w:hAnsi="宋体"/>
          <w:b/>
          <w:bCs/>
          <w:color w:val="auto"/>
          <w:sz w:val="24"/>
          <w:highlight w:val="none"/>
        </w:rPr>
        <w:t>质疑</w:t>
      </w:r>
    </w:p>
    <w:p w14:paraId="16E0AEB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29.1投标人对政府采购活动事项有疑问的，可以向采购人、采购代理机构提出询问。采购人或采购代理机构将在3个工作日内作出答复。</w:t>
      </w:r>
    </w:p>
    <w:p w14:paraId="100D7E7F">
      <w:pPr>
        <w:widowControl/>
        <w:spacing w:line="50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宋体" w:hAnsi="宋体"/>
          <w:color w:val="auto"/>
          <w:szCs w:val="21"/>
          <w:highlight w:val="none"/>
        </w:rPr>
        <w:t>29.2投标人认为招标文件、采购过程和中标结果使自己的权益受到损害的，可以在知道或者应知其权益受到损害之日起7个工作日内，</w:t>
      </w:r>
      <w:r>
        <w:rPr>
          <w:rFonts w:hint="eastAsia" w:ascii="宋体" w:hAnsi="宋体" w:cs="宋体"/>
          <w:szCs w:val="21"/>
          <w:highlight w:val="none"/>
        </w:rPr>
        <w:t>按《湖南省财政厅关于印发＜政府采购质疑答复和投诉处理操作规程＞的</w:t>
      </w:r>
      <w:r>
        <w:rPr>
          <w:rFonts w:hint="eastAsia" w:ascii="宋体" w:hAnsi="宋体" w:eastAsia="宋体" w:cs="宋体"/>
          <w:szCs w:val="21"/>
          <w:highlight w:val="none"/>
        </w:rPr>
        <w:t>通知》〔20</w:t>
      </w:r>
      <w:r>
        <w:rPr>
          <w:rFonts w:hint="eastAsia" w:ascii="宋体" w:hAnsi="宋体" w:eastAsia="宋体" w:cs="宋体"/>
          <w:szCs w:val="21"/>
          <w:highlight w:val="none"/>
          <w:lang w:val="en-US" w:eastAsia="zh-CN"/>
        </w:rPr>
        <w:t>24</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67</w:t>
      </w:r>
      <w:r>
        <w:rPr>
          <w:rFonts w:hint="eastAsia" w:ascii="宋体" w:hAnsi="宋体" w:eastAsia="宋体" w:cs="宋体"/>
          <w:szCs w:val="21"/>
          <w:highlight w:val="none"/>
        </w:rPr>
        <w:t>号))</w:t>
      </w:r>
      <w:r>
        <w:rPr>
          <w:rFonts w:hint="eastAsia" w:ascii="宋体" w:hAnsi="宋体" w:cs="宋体"/>
          <w:szCs w:val="21"/>
          <w:highlight w:val="none"/>
        </w:rPr>
        <w:t>规定，以纸质书面形式向采购人、采购代理机构提出质疑</w:t>
      </w:r>
      <w:r>
        <w:rPr>
          <w:rFonts w:hint="eastAsia" w:ascii="宋体" w:hAnsi="宋体" w:cs="宋体"/>
          <w:szCs w:val="21"/>
          <w:highlight w:val="none"/>
          <w:lang w:val="en-US" w:eastAsia="zh-CN"/>
        </w:rPr>
        <w:t>,</w:t>
      </w:r>
      <w:r>
        <w:rPr>
          <w:rFonts w:hint="eastAsia" w:ascii="宋体" w:hAnsi="宋体" w:eastAsia="宋体" w:cs="宋体"/>
          <w:szCs w:val="21"/>
          <w:highlight w:val="none"/>
          <w:lang w:val="en-US" w:eastAsia="zh-CN"/>
        </w:rPr>
        <w:t>投标人应当在法定质疑期内一次性提出针对同一采购程序环节的质疑</w:t>
      </w:r>
      <w:r>
        <w:rPr>
          <w:rFonts w:hint="eastAsia" w:ascii="宋体" w:hAnsi="宋体" w:eastAsia="宋体" w:cs="宋体"/>
          <w:szCs w:val="21"/>
          <w:highlight w:val="none"/>
        </w:rPr>
        <w:t>。</w:t>
      </w:r>
    </w:p>
    <w:p w14:paraId="3B386BB8">
      <w:pPr>
        <w:adjustRightInd w:val="0"/>
        <w:snapToGrid w:val="0"/>
        <w:spacing w:before="156" w:beforeLines="50" w:line="360" w:lineRule="auto"/>
        <w:ind w:firstLine="420" w:firstLineChars="200"/>
        <w:jc w:val="left"/>
        <w:rPr>
          <w:rFonts w:ascii="宋体" w:hAnsi="宋体"/>
          <w:color w:val="auto"/>
          <w:szCs w:val="21"/>
          <w:highlight w:val="none"/>
        </w:rPr>
      </w:pPr>
    </w:p>
    <w:p w14:paraId="04217C7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b/>
          <w:color w:val="auto"/>
          <w:szCs w:val="21"/>
          <w:highlight w:val="none"/>
        </w:rPr>
        <w:t>【投标须知前附表】</w:t>
      </w:r>
      <w:r>
        <w:rPr>
          <w:rFonts w:hint="eastAsia" w:ascii="宋体" w:hAnsi="宋体"/>
          <w:color w:val="auto"/>
          <w:szCs w:val="21"/>
          <w:highlight w:val="none"/>
        </w:rPr>
        <w:t xml:space="preserve">。  </w:t>
      </w:r>
    </w:p>
    <w:p w14:paraId="33643AC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29.4采购人、采购代理机构按照《湖南省财政厅关于印发＜政府采购质疑答复和投诉处理操作规程＞的通知》规定进行质疑答复。</w:t>
      </w:r>
    </w:p>
    <w:p w14:paraId="6F52B2D1">
      <w:pPr>
        <w:adjustRightInd w:val="0"/>
        <w:snapToGrid w:val="0"/>
        <w:spacing w:before="156" w:beforeLines="50" w:line="360" w:lineRule="auto"/>
        <w:ind w:firstLine="420" w:firstLineChars="200"/>
        <w:jc w:val="left"/>
        <w:rPr>
          <w:rFonts w:ascii="宋体" w:hAnsi="宋体"/>
          <w:b/>
          <w:bCs/>
          <w:color w:val="auto"/>
          <w:highlight w:val="none"/>
        </w:rPr>
      </w:pPr>
      <w:r>
        <w:rPr>
          <w:rFonts w:hint="eastAsia" w:ascii="宋体" w:hAnsi="宋体"/>
          <w:color w:val="auto"/>
          <w:szCs w:val="21"/>
          <w:highlight w:val="none"/>
        </w:rPr>
        <w:t>29</w:t>
      </w:r>
      <w:r>
        <w:rPr>
          <w:rFonts w:ascii="宋体" w:hAnsi="宋体"/>
          <w:color w:val="auto"/>
          <w:szCs w:val="21"/>
          <w:highlight w:val="none"/>
        </w:rPr>
        <w:t>.</w:t>
      </w:r>
      <w:r>
        <w:rPr>
          <w:rFonts w:hint="eastAsia" w:ascii="宋体" w:hAnsi="宋体"/>
          <w:color w:val="auto"/>
          <w:szCs w:val="21"/>
          <w:highlight w:val="none"/>
        </w:rPr>
        <w:t>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0408EABA">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20" w:name="_Toc434"/>
      <w:r>
        <w:rPr>
          <w:rFonts w:hint="eastAsia" w:ascii="黑体" w:hAnsi="黑体" w:eastAsia="黑体"/>
          <w:color w:val="auto"/>
          <w:sz w:val="28"/>
          <w:szCs w:val="28"/>
          <w:highlight w:val="none"/>
        </w:rPr>
        <w:t>七、合同签订</w:t>
      </w:r>
      <w:bookmarkEnd w:id="20"/>
    </w:p>
    <w:p w14:paraId="11DD16B8">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30. 签订合同</w:t>
      </w:r>
    </w:p>
    <w:p w14:paraId="0E469B4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30.1采购人应自中标通知书发出之日起30日内，按中标通知书指定的时间、地点与中标人签订政府采购合同。所签订的合同不得对招标文件确定的事项和中标人投标文件作实质性修改。</w:t>
      </w:r>
    </w:p>
    <w:p w14:paraId="620911F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30.2招标文件、中标人的投标文件均为签订合同的依据。</w:t>
      </w:r>
    </w:p>
    <w:p w14:paraId="5B39E4E2">
      <w:pPr>
        <w:adjustRightInd w:val="0"/>
        <w:snapToGrid w:val="0"/>
        <w:spacing w:before="156" w:beforeLines="50" w:line="360" w:lineRule="auto"/>
        <w:ind w:firstLine="420" w:firstLineChars="200"/>
        <w:jc w:val="left"/>
        <w:rPr>
          <w:rFonts w:ascii="宋体" w:hAnsi="宋体" w:cs="微软雅黑"/>
          <w:color w:val="auto"/>
          <w:kern w:val="0"/>
          <w:szCs w:val="21"/>
          <w:highlight w:val="none"/>
        </w:rPr>
      </w:pPr>
      <w:r>
        <w:rPr>
          <w:rFonts w:hint="eastAsia" w:ascii="宋体" w:hAnsi="宋体" w:cs="微软雅黑"/>
          <w:color w:val="auto"/>
          <w:kern w:val="0"/>
          <w:szCs w:val="21"/>
          <w:highlight w:val="none"/>
        </w:rPr>
        <w:t>30.3联</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体</w:t>
      </w:r>
      <w:r>
        <w:rPr>
          <w:rFonts w:hint="eastAsia" w:ascii="宋体" w:hAnsi="宋体" w:cs="微软雅黑"/>
          <w:color w:val="auto"/>
          <w:spacing w:val="-2"/>
          <w:kern w:val="0"/>
          <w:szCs w:val="21"/>
          <w:highlight w:val="none"/>
        </w:rPr>
        <w:t>中</w:t>
      </w:r>
      <w:r>
        <w:rPr>
          <w:rFonts w:hint="eastAsia" w:ascii="宋体" w:hAnsi="宋体" w:cs="微软雅黑"/>
          <w:color w:val="auto"/>
          <w:kern w:val="0"/>
          <w:szCs w:val="21"/>
          <w:highlight w:val="none"/>
        </w:rPr>
        <w:t>标的</w:t>
      </w:r>
      <w:r>
        <w:rPr>
          <w:rFonts w:hint="eastAsia" w:ascii="宋体" w:hAnsi="宋体" w:cs="微软雅黑"/>
          <w:color w:val="auto"/>
          <w:spacing w:val="-14"/>
          <w:kern w:val="0"/>
          <w:szCs w:val="21"/>
          <w:highlight w:val="none"/>
        </w:rPr>
        <w:t>，</w:t>
      </w:r>
      <w:r>
        <w:rPr>
          <w:rFonts w:hint="eastAsia" w:ascii="宋体" w:hAnsi="宋体" w:cs="微软雅黑"/>
          <w:color w:val="auto"/>
          <w:kern w:val="0"/>
          <w:szCs w:val="21"/>
          <w:highlight w:val="none"/>
        </w:rPr>
        <w:t>联</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体各</w:t>
      </w:r>
      <w:r>
        <w:rPr>
          <w:rFonts w:hint="eastAsia" w:ascii="宋体" w:hAnsi="宋体" w:cs="微软雅黑"/>
          <w:color w:val="auto"/>
          <w:spacing w:val="-2"/>
          <w:kern w:val="0"/>
          <w:szCs w:val="21"/>
          <w:highlight w:val="none"/>
        </w:rPr>
        <w:t>方</w:t>
      </w:r>
      <w:r>
        <w:rPr>
          <w:rFonts w:hint="eastAsia" w:ascii="宋体" w:hAnsi="宋体" w:cs="微软雅黑"/>
          <w:color w:val="auto"/>
          <w:kern w:val="0"/>
          <w:szCs w:val="21"/>
          <w:highlight w:val="none"/>
        </w:rPr>
        <w:t>应</w:t>
      </w:r>
      <w:r>
        <w:rPr>
          <w:rFonts w:hint="eastAsia" w:ascii="宋体" w:hAnsi="宋体" w:cs="微软雅黑"/>
          <w:color w:val="auto"/>
          <w:spacing w:val="-2"/>
          <w:kern w:val="0"/>
          <w:szCs w:val="21"/>
          <w:highlight w:val="none"/>
        </w:rPr>
        <w:t>当</w:t>
      </w:r>
      <w:r>
        <w:rPr>
          <w:rFonts w:hint="eastAsia" w:ascii="宋体" w:hAnsi="宋体" w:cs="微软雅黑"/>
          <w:color w:val="auto"/>
          <w:kern w:val="0"/>
          <w:szCs w:val="21"/>
          <w:highlight w:val="none"/>
        </w:rPr>
        <w:t>共</w:t>
      </w:r>
      <w:r>
        <w:rPr>
          <w:rFonts w:hint="eastAsia" w:ascii="宋体" w:hAnsi="宋体" w:cs="微软雅黑"/>
          <w:color w:val="auto"/>
          <w:spacing w:val="-2"/>
          <w:kern w:val="0"/>
          <w:szCs w:val="21"/>
          <w:highlight w:val="none"/>
        </w:rPr>
        <w:t>同</w:t>
      </w:r>
      <w:r>
        <w:rPr>
          <w:rFonts w:hint="eastAsia" w:ascii="宋体" w:hAnsi="宋体" w:cs="微软雅黑"/>
          <w:color w:val="auto"/>
          <w:kern w:val="0"/>
          <w:szCs w:val="21"/>
          <w:highlight w:val="none"/>
        </w:rPr>
        <w:t>与</w:t>
      </w:r>
      <w:r>
        <w:rPr>
          <w:rFonts w:hint="eastAsia" w:ascii="宋体" w:hAnsi="宋体" w:cs="微软雅黑"/>
          <w:color w:val="auto"/>
          <w:spacing w:val="-2"/>
          <w:kern w:val="0"/>
          <w:szCs w:val="21"/>
          <w:highlight w:val="none"/>
        </w:rPr>
        <w:t>采购人</w:t>
      </w:r>
      <w:r>
        <w:rPr>
          <w:rFonts w:hint="eastAsia" w:ascii="宋体" w:hAnsi="宋体" w:cs="微软雅黑"/>
          <w:color w:val="auto"/>
          <w:kern w:val="0"/>
          <w:szCs w:val="21"/>
          <w:highlight w:val="none"/>
        </w:rPr>
        <w:t>签订</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同</w:t>
      </w:r>
      <w:r>
        <w:rPr>
          <w:rFonts w:hint="eastAsia" w:ascii="宋体" w:hAnsi="宋体" w:cs="微软雅黑"/>
          <w:color w:val="auto"/>
          <w:spacing w:val="-14"/>
          <w:kern w:val="0"/>
          <w:szCs w:val="21"/>
          <w:highlight w:val="none"/>
        </w:rPr>
        <w:t>，</w:t>
      </w:r>
      <w:r>
        <w:rPr>
          <w:rFonts w:hint="eastAsia" w:ascii="宋体" w:hAnsi="宋体" w:cs="微软雅黑"/>
          <w:color w:val="auto"/>
          <w:kern w:val="0"/>
          <w:szCs w:val="21"/>
          <w:highlight w:val="none"/>
        </w:rPr>
        <w:t>就</w:t>
      </w:r>
      <w:r>
        <w:rPr>
          <w:rFonts w:hint="eastAsia" w:ascii="宋体" w:hAnsi="宋体" w:cs="微软雅黑"/>
          <w:color w:val="auto"/>
          <w:spacing w:val="-2"/>
          <w:kern w:val="0"/>
          <w:szCs w:val="21"/>
          <w:highlight w:val="none"/>
        </w:rPr>
        <w:t>中</w:t>
      </w:r>
      <w:r>
        <w:rPr>
          <w:rFonts w:hint="eastAsia" w:ascii="宋体" w:hAnsi="宋体" w:cs="微软雅黑"/>
          <w:color w:val="auto"/>
          <w:kern w:val="0"/>
          <w:szCs w:val="21"/>
          <w:highlight w:val="none"/>
        </w:rPr>
        <w:t>标</w:t>
      </w:r>
      <w:r>
        <w:rPr>
          <w:rFonts w:hint="eastAsia" w:ascii="宋体" w:hAnsi="宋体" w:cs="微软雅黑"/>
          <w:color w:val="auto"/>
          <w:spacing w:val="-2"/>
          <w:kern w:val="0"/>
          <w:szCs w:val="21"/>
          <w:highlight w:val="none"/>
        </w:rPr>
        <w:t>项</w:t>
      </w:r>
      <w:r>
        <w:rPr>
          <w:rFonts w:hint="eastAsia" w:ascii="宋体" w:hAnsi="宋体" w:cs="微软雅黑"/>
          <w:color w:val="auto"/>
          <w:kern w:val="0"/>
          <w:szCs w:val="21"/>
          <w:highlight w:val="none"/>
        </w:rPr>
        <w:t>目</w:t>
      </w:r>
      <w:r>
        <w:rPr>
          <w:rFonts w:hint="eastAsia" w:ascii="宋体" w:hAnsi="宋体" w:cs="微软雅黑"/>
          <w:color w:val="auto"/>
          <w:spacing w:val="-2"/>
          <w:kern w:val="0"/>
          <w:szCs w:val="21"/>
          <w:highlight w:val="none"/>
        </w:rPr>
        <w:t>向</w:t>
      </w:r>
      <w:r>
        <w:rPr>
          <w:rFonts w:hint="eastAsia" w:ascii="宋体" w:hAnsi="宋体" w:cs="微软雅黑"/>
          <w:color w:val="auto"/>
          <w:kern w:val="0"/>
          <w:szCs w:val="21"/>
          <w:highlight w:val="none"/>
        </w:rPr>
        <w:t>采购人承</w:t>
      </w:r>
      <w:r>
        <w:rPr>
          <w:rFonts w:hint="eastAsia" w:ascii="宋体" w:hAnsi="宋体" w:cs="微软雅黑"/>
          <w:color w:val="auto"/>
          <w:spacing w:val="-2"/>
          <w:kern w:val="0"/>
          <w:szCs w:val="21"/>
          <w:highlight w:val="none"/>
        </w:rPr>
        <w:t>担</w:t>
      </w:r>
      <w:r>
        <w:rPr>
          <w:rFonts w:hint="eastAsia" w:ascii="宋体" w:hAnsi="宋体" w:cs="微软雅黑"/>
          <w:color w:val="auto"/>
          <w:kern w:val="0"/>
          <w:szCs w:val="21"/>
          <w:highlight w:val="none"/>
        </w:rPr>
        <w:t>连带责</w:t>
      </w:r>
      <w:r>
        <w:rPr>
          <w:rFonts w:hint="eastAsia" w:ascii="宋体" w:hAnsi="宋体" w:cs="微软雅黑"/>
          <w:color w:val="auto"/>
          <w:spacing w:val="-2"/>
          <w:kern w:val="0"/>
          <w:szCs w:val="21"/>
          <w:highlight w:val="none"/>
        </w:rPr>
        <w:t>任</w:t>
      </w:r>
      <w:r>
        <w:rPr>
          <w:rFonts w:hint="eastAsia" w:ascii="宋体" w:hAnsi="宋体" w:cs="微软雅黑"/>
          <w:color w:val="auto"/>
          <w:kern w:val="0"/>
          <w:szCs w:val="21"/>
          <w:highlight w:val="none"/>
        </w:rPr>
        <w:t>。</w:t>
      </w:r>
    </w:p>
    <w:p w14:paraId="65BFF53B">
      <w:pPr>
        <w:adjustRightInd w:val="0"/>
        <w:snapToGrid w:val="0"/>
        <w:spacing w:before="156" w:beforeLines="50" w:line="360" w:lineRule="auto"/>
        <w:ind w:firstLine="420" w:firstLineChars="200"/>
        <w:jc w:val="lef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0</w:t>
      </w:r>
      <w:r>
        <w:rPr>
          <w:rFonts w:ascii="宋体" w:hAnsi="宋体"/>
          <w:color w:val="auto"/>
          <w:szCs w:val="21"/>
          <w:highlight w:val="none"/>
        </w:rPr>
        <w:t>.4</w:t>
      </w:r>
      <w:r>
        <w:rPr>
          <w:rFonts w:hint="eastAsia" w:ascii="宋体" w:hAnsi="宋体"/>
          <w:color w:val="auto"/>
          <w:szCs w:val="21"/>
          <w:highlight w:val="none"/>
        </w:rPr>
        <w:t>中标合同将在招标公告指定媒体上公告，但合同中涉及国家秘密、商业秘密的内容除外。</w:t>
      </w:r>
    </w:p>
    <w:p w14:paraId="57AA8352">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color w:val="auto"/>
          <w:szCs w:val="21"/>
          <w:highlight w:val="none"/>
        </w:rPr>
        <w:t>30.5中标人</w:t>
      </w:r>
      <w:r>
        <w:rPr>
          <w:rFonts w:hint="eastAsia" w:ascii="宋体" w:hAnsi="宋体"/>
          <w:bCs/>
          <w:color w:val="auto"/>
          <w:szCs w:val="21"/>
          <w:highlight w:val="none"/>
        </w:rPr>
        <w:t>应当按照合同约定依法履行合同义务。政府采购合同的履行、违约责任和解决争议的方法等适用《中华人民共和国民法典》。</w:t>
      </w:r>
    </w:p>
    <w:p w14:paraId="6BA240BA">
      <w:pPr>
        <w:adjustRightInd w:val="0"/>
        <w:snapToGrid w:val="0"/>
        <w:spacing w:before="156" w:beforeLines="50" w:line="360" w:lineRule="auto"/>
        <w:jc w:val="left"/>
        <w:rPr>
          <w:rFonts w:ascii="宋体" w:hAnsi="宋体" w:cs="宋体"/>
          <w:b/>
          <w:color w:val="auto"/>
          <w:kern w:val="0"/>
          <w:sz w:val="24"/>
          <w:highlight w:val="none"/>
        </w:rPr>
      </w:pPr>
      <w:r>
        <w:rPr>
          <w:rFonts w:hint="eastAsia" w:ascii="宋体" w:hAnsi="宋体"/>
          <w:b/>
          <w:bCs/>
          <w:color w:val="auto"/>
          <w:sz w:val="24"/>
          <w:highlight w:val="none"/>
        </w:rPr>
        <w:t>31.</w:t>
      </w:r>
      <w:r>
        <w:rPr>
          <w:rFonts w:hint="eastAsia" w:ascii="宋体" w:hAnsi="宋体" w:cs="宋体"/>
          <w:b/>
          <w:color w:val="auto"/>
          <w:kern w:val="0"/>
          <w:sz w:val="24"/>
          <w:highlight w:val="none"/>
        </w:rPr>
        <w:t xml:space="preserve"> 履约担保</w:t>
      </w:r>
    </w:p>
    <w:p w14:paraId="352B758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31.1</w:t>
      </w:r>
      <w:r>
        <w:rPr>
          <w:rFonts w:hint="eastAsia" w:ascii="宋体" w:hAnsi="宋体"/>
          <w:color w:val="auto"/>
          <w:szCs w:val="21"/>
          <w:highlight w:val="none"/>
        </w:rPr>
        <w:t>招标文件要求中标人向采购人提交履约担保的，中标人应按照</w:t>
      </w:r>
      <w:r>
        <w:rPr>
          <w:rFonts w:hint="eastAsia" w:ascii="宋体" w:hAnsi="宋体"/>
          <w:b/>
          <w:color w:val="auto"/>
          <w:szCs w:val="21"/>
          <w:highlight w:val="none"/>
        </w:rPr>
        <w:t>【投标须知前附表】</w:t>
      </w:r>
      <w:r>
        <w:rPr>
          <w:rFonts w:hint="eastAsia" w:ascii="宋体" w:hAnsi="宋体"/>
          <w:color w:val="auto"/>
          <w:szCs w:val="21"/>
          <w:highlight w:val="none"/>
        </w:rPr>
        <w:t>的规定提交，</w:t>
      </w:r>
      <w:r>
        <w:rPr>
          <w:rFonts w:hint="eastAsia" w:ascii="宋体" w:hAnsi="宋体"/>
          <w:bCs/>
          <w:color w:val="auto"/>
          <w:szCs w:val="21"/>
          <w:highlight w:val="none"/>
        </w:rPr>
        <w:t>投标人可以保函、电子增信替代履约担保。</w:t>
      </w:r>
      <w:r>
        <w:rPr>
          <w:rFonts w:hint="eastAsia" w:ascii="宋体" w:hAnsi="宋体"/>
          <w:color w:val="auto"/>
          <w:szCs w:val="21"/>
          <w:highlight w:val="none"/>
        </w:rPr>
        <w:t>联合体中标的，履约担保由联合体各方或联合体中牵头人的名义提交。</w:t>
      </w:r>
    </w:p>
    <w:p w14:paraId="669605B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31.2中标人</w:t>
      </w:r>
      <w:r>
        <w:rPr>
          <w:rFonts w:hint="eastAsia" w:ascii="宋体" w:hAnsi="宋体"/>
          <w:color w:val="auto"/>
          <w:spacing w:val="4"/>
          <w:szCs w:val="21"/>
          <w:highlight w:val="none"/>
        </w:rPr>
        <w:t>没有按照本章第31.1</w:t>
      </w:r>
      <w:r>
        <w:rPr>
          <w:rFonts w:hint="eastAsia" w:ascii="宋体" w:hAnsi="宋体" w:cs="宋体"/>
          <w:color w:val="auto"/>
          <w:kern w:val="0"/>
          <w:szCs w:val="21"/>
          <w:highlight w:val="none"/>
          <w:lang w:val="zh-CN"/>
        </w:rPr>
        <w:t>款</w:t>
      </w:r>
      <w:r>
        <w:rPr>
          <w:rFonts w:hint="eastAsia" w:ascii="宋体" w:hAnsi="宋体"/>
          <w:color w:val="auto"/>
          <w:spacing w:val="4"/>
          <w:szCs w:val="21"/>
          <w:highlight w:val="none"/>
        </w:rPr>
        <w:t>规定</w:t>
      </w:r>
      <w:r>
        <w:rPr>
          <w:rFonts w:hint="eastAsia" w:ascii="宋体" w:hAnsi="宋体"/>
          <w:color w:val="auto"/>
          <w:szCs w:val="21"/>
          <w:highlight w:val="none"/>
        </w:rPr>
        <w:t>提交履约担保的</w:t>
      </w:r>
      <w:r>
        <w:rPr>
          <w:rFonts w:hint="eastAsia" w:ascii="宋体" w:hAnsi="宋体"/>
          <w:color w:val="auto"/>
          <w:spacing w:val="4"/>
          <w:szCs w:val="21"/>
          <w:highlight w:val="none"/>
        </w:rPr>
        <w:t>，视为</w:t>
      </w:r>
      <w:r>
        <w:rPr>
          <w:rFonts w:hint="eastAsia" w:ascii="宋体" w:hAnsi="宋体"/>
          <w:b/>
          <w:color w:val="auto"/>
          <w:spacing w:val="4"/>
          <w:szCs w:val="21"/>
          <w:highlight w:val="none"/>
        </w:rPr>
        <w:t>放弃中标</w:t>
      </w:r>
      <w:r>
        <w:rPr>
          <w:rFonts w:hint="eastAsia" w:ascii="宋体" w:hAnsi="宋体"/>
          <w:color w:val="auto"/>
          <w:spacing w:val="4"/>
          <w:szCs w:val="21"/>
          <w:highlight w:val="none"/>
        </w:rPr>
        <w:t>，</w:t>
      </w:r>
      <w:r>
        <w:rPr>
          <w:rFonts w:hint="eastAsia" w:ascii="宋体" w:hAnsi="宋体"/>
          <w:color w:val="auto"/>
          <w:spacing w:val="2"/>
          <w:szCs w:val="21"/>
          <w:highlight w:val="none"/>
        </w:rPr>
        <w:t>其投标保证金不予退还。</w:t>
      </w:r>
    </w:p>
    <w:p w14:paraId="03338B89">
      <w:pPr>
        <w:adjustRightInd w:val="0"/>
        <w:snapToGrid w:val="0"/>
        <w:spacing w:before="156" w:beforeLines="50" w:line="360" w:lineRule="auto"/>
        <w:jc w:val="left"/>
        <w:rPr>
          <w:rFonts w:ascii="宋体" w:hAnsi="宋体"/>
          <w:b/>
          <w:bCs/>
          <w:color w:val="auto"/>
          <w:sz w:val="24"/>
          <w:highlight w:val="none"/>
        </w:rPr>
      </w:pPr>
      <w:r>
        <w:rPr>
          <w:rFonts w:hint="eastAsia" w:ascii="宋体" w:hAnsi="宋体"/>
          <w:b/>
          <w:bCs/>
          <w:color w:val="auto"/>
          <w:sz w:val="24"/>
          <w:highlight w:val="none"/>
        </w:rPr>
        <w:t>32.</w:t>
      </w:r>
      <w:r>
        <w:rPr>
          <w:rFonts w:hint="eastAsia" w:ascii="宋体" w:hAnsi="宋体"/>
          <w:b/>
          <w:color w:val="auto"/>
          <w:sz w:val="24"/>
          <w:highlight w:val="none"/>
        </w:rPr>
        <w:t xml:space="preserve"> 政府采购合同履行中</w:t>
      </w:r>
      <w:r>
        <w:rPr>
          <w:rFonts w:hint="eastAsia" w:ascii="宋体" w:hAnsi="宋体"/>
          <w:b/>
          <w:bCs/>
          <w:color w:val="auto"/>
          <w:sz w:val="24"/>
          <w:highlight w:val="none"/>
        </w:rPr>
        <w:t>数量的变更</w:t>
      </w:r>
    </w:p>
    <w:p w14:paraId="4EFB2233">
      <w:pPr>
        <w:adjustRightInd w:val="0"/>
        <w:snapToGrid w:val="0"/>
        <w:spacing w:before="156" w:beforeLines="50" w:line="360" w:lineRule="auto"/>
        <w:ind w:firstLine="420" w:firstLineChars="200"/>
        <w:jc w:val="left"/>
        <w:rPr>
          <w:rFonts w:ascii="宋体" w:hAnsi="宋体"/>
          <w:color w:val="auto"/>
          <w:sz w:val="28"/>
          <w:szCs w:val="28"/>
          <w:highlight w:val="none"/>
        </w:rPr>
      </w:pPr>
      <w:r>
        <w:rPr>
          <w:rFonts w:hint="eastAsia" w:ascii="宋体" w:hAnsi="宋体"/>
          <w:color w:val="auto"/>
          <w:highlight w:val="none"/>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4FD2DB28">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21" w:name="_Toc11604"/>
      <w:r>
        <w:rPr>
          <w:rFonts w:hint="eastAsia" w:ascii="黑体" w:hAnsi="黑体" w:eastAsia="黑体"/>
          <w:color w:val="auto"/>
          <w:sz w:val="28"/>
          <w:szCs w:val="28"/>
          <w:highlight w:val="none"/>
        </w:rPr>
        <w:t>八、政府采购政策</w:t>
      </w:r>
      <w:bookmarkEnd w:id="21"/>
    </w:p>
    <w:p w14:paraId="00022451">
      <w:pPr>
        <w:adjustRightInd w:val="0"/>
        <w:snapToGrid w:val="0"/>
        <w:spacing w:before="156" w:beforeLines="50" w:line="360" w:lineRule="auto"/>
        <w:jc w:val="left"/>
        <w:rPr>
          <w:rFonts w:ascii="宋体" w:hAnsi="宋体"/>
          <w:b/>
          <w:color w:val="auto"/>
          <w:sz w:val="24"/>
          <w:highlight w:val="none"/>
        </w:rPr>
      </w:pPr>
      <w:r>
        <w:rPr>
          <w:rFonts w:hint="eastAsia" w:ascii="宋体" w:hAnsi="宋体"/>
          <w:b/>
          <w:bCs/>
          <w:color w:val="auto"/>
          <w:sz w:val="24"/>
          <w:highlight w:val="none"/>
        </w:rPr>
        <w:t>33.</w:t>
      </w:r>
      <w:r>
        <w:rPr>
          <w:rFonts w:hint="eastAsia" w:ascii="宋体" w:hAnsi="宋体"/>
          <w:color w:val="auto"/>
          <w:sz w:val="24"/>
          <w:highlight w:val="none"/>
        </w:rPr>
        <w:t xml:space="preserve"> </w:t>
      </w:r>
      <w:r>
        <w:rPr>
          <w:rFonts w:hint="eastAsia" w:ascii="宋体" w:hAnsi="宋体"/>
          <w:b/>
          <w:color w:val="auto"/>
          <w:sz w:val="24"/>
          <w:highlight w:val="none"/>
        </w:rPr>
        <w:t>政府采购政策</w:t>
      </w:r>
    </w:p>
    <w:p w14:paraId="0CB625DD">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s="宋体"/>
          <w:color w:val="auto"/>
          <w:kern w:val="0"/>
          <w:highlight w:val="none"/>
        </w:rPr>
        <w:t>33.1优先采购：</w:t>
      </w:r>
      <w:r>
        <w:rPr>
          <w:rFonts w:hint="eastAsia" w:ascii="宋体" w:hAnsi="宋体"/>
          <w:color w:val="auto"/>
          <w:szCs w:val="21"/>
          <w:highlight w:val="none"/>
        </w:rPr>
        <w:t>纳入财政部会同国务院有关部门发布的节能产品、环境标志产品政府采购品目清单，实施政府优先采购的，评审时按招标文件第四章第一节有关规定对该部分产品给予一定比例的价格折扣或者加分；</w:t>
      </w:r>
      <w:r>
        <w:rPr>
          <w:rFonts w:ascii="宋体" w:hAnsi="宋体"/>
          <w:color w:val="auto"/>
          <w:highlight w:val="none"/>
        </w:rPr>
        <w:t xml:space="preserve"> </w:t>
      </w:r>
    </w:p>
    <w:p w14:paraId="5CB25BA6">
      <w:pPr>
        <w:adjustRightInd w:val="0"/>
        <w:snapToGrid w:val="0"/>
        <w:spacing w:before="156" w:before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33.2强制采购：</w:t>
      </w:r>
    </w:p>
    <w:p w14:paraId="3BAD75DC">
      <w:pPr>
        <w:adjustRightInd w:val="0"/>
        <w:snapToGrid w:val="0"/>
        <w:spacing w:before="156" w:before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（1）纳入财政部会同国务院有关部门发布的节能产品政府采购品目清单，实施政府强制采购的（品目清单标注</w:t>
      </w:r>
      <w:r>
        <w:rPr>
          <w:rFonts w:hint="eastAsia" w:ascii="宋体" w:hAnsi="宋体" w:cs="宋体"/>
          <w:color w:val="auto"/>
          <w:kern w:val="0"/>
          <w:highlight w:val="none"/>
        </w:rPr>
        <w:sym w:font="Wingdings" w:char="F0AB"/>
      </w:r>
      <w:r>
        <w:rPr>
          <w:rFonts w:hint="eastAsia" w:ascii="宋体" w:hAnsi="宋体" w:cs="宋体"/>
          <w:color w:val="auto"/>
          <w:kern w:val="0"/>
          <w:highlight w:val="none"/>
        </w:rPr>
        <w:t>符号产品），投标人投标产品应当取得国家确定的认证机构出具的、处于有效期之内的节能产品认证证书，否则其</w:t>
      </w:r>
      <w:r>
        <w:rPr>
          <w:rFonts w:hint="eastAsia" w:ascii="宋体" w:hAnsi="宋体" w:cs="宋体"/>
          <w:b/>
          <w:color w:val="auto"/>
          <w:kern w:val="0"/>
          <w:szCs w:val="21"/>
          <w:highlight w:val="none"/>
        </w:rPr>
        <w:t>投标无效</w:t>
      </w:r>
      <w:r>
        <w:rPr>
          <w:rFonts w:hint="eastAsia" w:ascii="宋体" w:hAnsi="宋体" w:cs="宋体"/>
          <w:color w:val="auto"/>
          <w:kern w:val="0"/>
          <w:highlight w:val="none"/>
        </w:rPr>
        <w:t>。</w:t>
      </w:r>
    </w:p>
    <w:p w14:paraId="0048B072">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33.3价格评审优惠：</w:t>
      </w:r>
    </w:p>
    <w:p w14:paraId="43B2B7AC">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465A3BC3">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787C0F40">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14:paraId="26AB414A">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（3）符合中小企业划分标准的个体工商户视同中小企业，享受评审中价格扣除等促进中小企业发展的政府采购政策。</w:t>
      </w:r>
    </w:p>
    <w:p w14:paraId="3088E74A">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（4）监狱企业、残疾人福利性单位视同小型、微型企业，享受评审中价格扣除等促进中小企业发展的政府采购政策。</w:t>
      </w:r>
    </w:p>
    <w:p w14:paraId="53473350">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 xml:space="preserve">（5）与大企业的负责人为同一人，或者与大企业存在直接控股、管理关系的中小企业，不享受评审中价格扣除等促进中小企业发展的政府采购政策。 </w:t>
      </w:r>
    </w:p>
    <w:p w14:paraId="0C30A5D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（6）本章第1.2款规定采购项目或者采购包属于“预留采购份额”的，预留部分不再享受本款“价格评审优惠”的小微企业扶持政策。</w:t>
      </w:r>
    </w:p>
    <w:p w14:paraId="65C5039B">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33.4政府采购政策交叉与叠加</w:t>
      </w:r>
    </w:p>
    <w:p w14:paraId="0A1F596C">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（1）投标产品取得两个及以上优先采购产品认证的，评审时只有其中一项产品能享受优先采购优惠（投标人自行选择，并在投标文件中并填报相关信息及数据）</w:t>
      </w:r>
    </w:p>
    <w:p w14:paraId="407CC729">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（2）投标人同时符合小型、微型企业及监狱企业、残疾人福利性单位要求的，评审时只有一种类型享受价格评审优惠政策；</w:t>
      </w:r>
    </w:p>
    <w:p w14:paraId="25E256E6">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（3）小型和微型企业的价格评审优惠可以与同时属于“节能产品”、“环境标志产品”中的一项优先采购优惠累加计算。</w:t>
      </w:r>
    </w:p>
    <w:p w14:paraId="026EF474">
      <w:pPr>
        <w:adjustRightInd w:val="0"/>
        <w:snapToGrid w:val="0"/>
        <w:spacing w:before="156" w:beforeLines="50" w:line="360" w:lineRule="auto"/>
        <w:ind w:firstLine="420" w:firstLineChars="200"/>
        <w:jc w:val="left"/>
        <w:rPr>
          <w:rFonts w:hint="eastAsia" w:ascii="宋体" w:hAnsi="宋体"/>
          <w:color w:val="auto"/>
          <w:highlight w:val="none"/>
        </w:rPr>
      </w:pPr>
      <w:r>
        <w:rPr>
          <w:rFonts w:hint="eastAsia" w:ascii="宋体" w:hAnsi="宋体"/>
          <w:color w:val="auto"/>
          <w:highlight w:val="none"/>
        </w:rPr>
        <w:t>33.5在货物采购项目中，供应商提供的货物既有中小企业制造货物，也有大型企业制造货物的，不享受政府采购中小企业扶持政策。（</w:t>
      </w:r>
      <w:r>
        <w:rPr>
          <w:rFonts w:ascii="宋体" w:hAnsi="宋体"/>
          <w:color w:val="auto"/>
          <w:highlight w:val="none"/>
        </w:rPr>
        <w:t>本条服务类则不</w:t>
      </w:r>
      <w:r>
        <w:rPr>
          <w:rFonts w:hint="eastAsia" w:ascii="宋体" w:hAnsi="宋体"/>
          <w:color w:val="auto"/>
          <w:highlight w:val="none"/>
        </w:rPr>
        <w:t>适用</w:t>
      </w:r>
      <w:r>
        <w:rPr>
          <w:rFonts w:ascii="宋体" w:hAnsi="宋体"/>
          <w:color w:val="auto"/>
          <w:highlight w:val="none"/>
        </w:rPr>
        <w:t>）</w:t>
      </w:r>
    </w:p>
    <w:p w14:paraId="357D866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33.6投标人符合本章第33.1款、第33.2款、第33.3款规定的，应提供相关证明资料。</w:t>
      </w:r>
    </w:p>
    <w:p w14:paraId="57D3370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（1）节能产品、环境标志产品：提供国家确定的认证机构出具的、处于有效期之内的节能产品、环境标志产品认证证书。</w:t>
      </w:r>
    </w:p>
    <w:p w14:paraId="49E7DF0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）中小企业：货物类采购项目，按《关于印发＜政府采购促进中小企业发展办法＞的通知》(财库[2020]46号) 和《关于印发中小企业划型标准规定的通知》（工信部联企业〔2011〕300号）文件规定提供中小企业声明函（格式）；服务类采购项目，按《湖南省财政厅关于政府采购促进中小企业发展的有关措施的通知》（湘财购[2022]17号）文件规定提供湖南省政府采购供应商资格承诺函（格式）</w:t>
      </w:r>
      <w:r>
        <w:rPr>
          <w:rFonts w:hint="eastAsia" w:ascii="宋体" w:hAnsi="宋体"/>
          <w:color w:val="auto"/>
          <w:szCs w:val="21"/>
          <w:highlight w:val="none"/>
        </w:rPr>
        <w:t>。</w:t>
      </w:r>
    </w:p>
    <w:p w14:paraId="72DBC49E">
      <w:pPr>
        <w:pStyle w:val="47"/>
        <w:spacing w:line="360" w:lineRule="auto"/>
        <w:rPr>
          <w:rFonts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3</w:t>
      </w:r>
      <w:r>
        <w:rPr>
          <w:rFonts w:hint="eastAsia" w:ascii="宋体" w:hAnsi="宋体"/>
          <w:color w:val="auto"/>
          <w:szCs w:val="24"/>
          <w:highlight w:val="none"/>
        </w:rPr>
        <w:t>）监狱企业：按《关于政府采购支持监狱企业发展有关问题的通知》(财库〔2014〕68号)文件规定提供证明文件。</w:t>
      </w:r>
    </w:p>
    <w:p w14:paraId="699EE7F4">
      <w:pPr>
        <w:pStyle w:val="47"/>
        <w:spacing w:line="360" w:lineRule="auto"/>
        <w:rPr>
          <w:rFonts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4</w:t>
      </w:r>
      <w:r>
        <w:rPr>
          <w:rFonts w:hint="eastAsia" w:ascii="宋体" w:hAnsi="宋体"/>
          <w:color w:val="auto"/>
          <w:szCs w:val="24"/>
          <w:highlight w:val="none"/>
        </w:rPr>
        <w:t>）残疾人福利性单位：按《关于促进残疾人就业政府采购政策的通知》(财库〔2017〕141号)文件规定提供《残疾人福利性单位声明函》（格式）。</w:t>
      </w:r>
    </w:p>
    <w:p w14:paraId="2E45B114">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33.7执行中小企业预留采购份额政策的规定：</w:t>
      </w:r>
    </w:p>
    <w:p w14:paraId="4CE713B1">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（1）预留份额的采购项目或者采购包，应明确该项目或相关采购包专门面向中小企业采购，并作为供应商资格条件。</w:t>
      </w:r>
    </w:p>
    <w:p w14:paraId="756F3D0E">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（2）要求以联合体形式参加或者合同分包的，应明确联合协议或者分包意向协议中中小企业合同金额应当达到的比例，并作为供应商资格条件。</w:t>
      </w:r>
    </w:p>
    <w:p w14:paraId="32DEF792">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（3）组成联合体或者接受分包合同的中小企业与联合体内其他企业(成员)、分包企业(投标人)之间不得存在直接控股、管理关系。</w:t>
      </w:r>
    </w:p>
    <w:p w14:paraId="3094282F">
      <w:pPr>
        <w:adjustRightInd w:val="0"/>
        <w:snapToGrid w:val="0"/>
        <w:spacing w:before="156" w:beforeLines="50" w:line="360" w:lineRule="auto"/>
        <w:ind w:firstLine="420" w:firstLineChars="200"/>
        <w:jc w:val="left"/>
        <w:rPr>
          <w:rFonts w:hint="eastAsia" w:ascii="宋体" w:hAnsi="宋体"/>
          <w:color w:val="auto"/>
          <w:highlight w:val="none"/>
        </w:rPr>
      </w:pPr>
      <w:r>
        <w:rPr>
          <w:rFonts w:hint="eastAsia" w:ascii="宋体" w:hAnsi="宋体"/>
          <w:color w:val="auto"/>
          <w:highlight w:val="none"/>
        </w:rPr>
        <w:t>33.8采购进口产品</w:t>
      </w:r>
    </w:p>
    <w:p w14:paraId="0F3B5AEE">
      <w:pPr>
        <w:adjustRightInd w:val="0"/>
        <w:snapToGrid w:val="0"/>
        <w:spacing w:before="156" w:beforeLines="50" w:line="360" w:lineRule="auto"/>
        <w:ind w:firstLine="420" w:firstLineChars="200"/>
        <w:jc w:val="left"/>
        <w:rPr>
          <w:rFonts w:hint="eastAsia" w:ascii="宋体" w:hAnsi="宋体"/>
          <w:color w:val="auto"/>
          <w:highlight w:val="none"/>
        </w:rPr>
      </w:pPr>
      <w:r>
        <w:rPr>
          <w:rFonts w:hint="eastAsia" w:ascii="宋体" w:hAnsi="宋体" w:cs="宋体"/>
          <w:color w:val="auto"/>
          <w:kern w:val="0"/>
          <w:szCs w:val="21"/>
          <w:highlight w:val="none"/>
        </w:rPr>
        <w:t>进口产品是指符合《政府采购进口产品管理办法》（财库〔2007〕119号）和《关于政府采购进口产品管理有关问题的通知》（财办库〔2008〕248号）文件规定的产品。除</w:t>
      </w:r>
      <w:r>
        <w:rPr>
          <w:rFonts w:hint="eastAsia" w:ascii="宋体" w:hAnsi="宋体"/>
          <w:b/>
          <w:color w:val="auto"/>
          <w:szCs w:val="21"/>
          <w:highlight w:val="none"/>
        </w:rPr>
        <w:t>【投标须知前附表】</w:t>
      </w:r>
      <w:r>
        <w:rPr>
          <w:rFonts w:hint="eastAsia" w:ascii="宋体" w:hAnsi="宋体" w:cs="宋体"/>
          <w:color w:val="auto"/>
          <w:kern w:val="0"/>
          <w:szCs w:val="21"/>
          <w:highlight w:val="none"/>
        </w:rPr>
        <w:t>另有规定外，采购项目</w:t>
      </w:r>
      <w:r>
        <w:rPr>
          <w:rFonts w:hint="eastAsia" w:ascii="宋体" w:hAnsi="宋体" w:cs="宋体"/>
          <w:b/>
          <w:color w:val="auto"/>
          <w:kern w:val="0"/>
          <w:szCs w:val="21"/>
          <w:highlight w:val="none"/>
        </w:rPr>
        <w:t>拒绝进口产品参加投标</w:t>
      </w:r>
      <w:r>
        <w:rPr>
          <w:rFonts w:hint="eastAsia" w:ascii="宋体" w:hAnsi="宋体" w:cs="宋体"/>
          <w:color w:val="auto"/>
          <w:kern w:val="0"/>
          <w:szCs w:val="21"/>
          <w:highlight w:val="none"/>
        </w:rPr>
        <w:t>。本款规定同意购买进口产品的，不限制满足招标文件要求的国内产品参与投标竞争。</w:t>
      </w:r>
    </w:p>
    <w:p w14:paraId="169B9140">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33.9投标人有融资、担保需求的，可登陆中国湖南政府采购网查询相关银行、担保机构业务。</w:t>
      </w:r>
    </w:p>
    <w:p w14:paraId="54883241">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22" w:name="_Toc7434"/>
      <w:r>
        <w:rPr>
          <w:rFonts w:hint="eastAsia" w:ascii="黑体" w:hAnsi="黑体" w:eastAsia="黑体"/>
          <w:color w:val="auto"/>
          <w:sz w:val="28"/>
          <w:szCs w:val="28"/>
          <w:highlight w:val="none"/>
        </w:rPr>
        <w:t>九、其他规定</w:t>
      </w:r>
      <w:bookmarkEnd w:id="22"/>
    </w:p>
    <w:p w14:paraId="28E17ADE">
      <w:pPr>
        <w:adjustRightInd w:val="0"/>
        <w:snapToGrid w:val="0"/>
        <w:spacing w:before="156" w:beforeLines="50" w:line="360" w:lineRule="auto"/>
        <w:jc w:val="left"/>
        <w:rPr>
          <w:rFonts w:ascii="宋体" w:hAnsi="宋体"/>
          <w:b/>
          <w:color w:val="auto"/>
          <w:sz w:val="24"/>
          <w:highlight w:val="none"/>
        </w:rPr>
      </w:pPr>
      <w:r>
        <w:rPr>
          <w:rFonts w:hint="eastAsia" w:ascii="宋体" w:hAnsi="宋体"/>
          <w:b/>
          <w:bCs/>
          <w:color w:val="auto"/>
          <w:sz w:val="24"/>
          <w:highlight w:val="none"/>
        </w:rPr>
        <w:t>34.</w:t>
      </w:r>
      <w:r>
        <w:rPr>
          <w:rFonts w:hint="eastAsia" w:ascii="宋体" w:hAnsi="宋体"/>
          <w:color w:val="auto"/>
          <w:sz w:val="24"/>
          <w:highlight w:val="none"/>
        </w:rPr>
        <w:t xml:space="preserve"> </w:t>
      </w:r>
      <w:r>
        <w:rPr>
          <w:rFonts w:hint="eastAsia" w:ascii="宋体" w:hAnsi="宋体"/>
          <w:b/>
          <w:color w:val="auto"/>
          <w:sz w:val="24"/>
          <w:highlight w:val="none"/>
        </w:rPr>
        <w:t>招标不足三家处理</w:t>
      </w:r>
    </w:p>
    <w:p w14:paraId="2E264EC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34.1公开招标数额标准以上的采购项目，投标截止后投标人不足3家或者通过资格审查或符合性审查的投标人不足3家的，除采购任务取消情形外，按照以下方式处理：</w:t>
      </w:r>
    </w:p>
    <w:p w14:paraId="193125F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（1）招标文件存在不合理条款或者招标程序不符合规定的，采购人、采购代理机构改正后依法重新招标；</w:t>
      </w:r>
    </w:p>
    <w:p w14:paraId="1795910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（2）招标文件没有不合理条款、招标程序符合规定，需要采用其他采购方式采购的，采购人应当依法报财政部门批准。</w:t>
      </w:r>
    </w:p>
    <w:p w14:paraId="0CE815E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34.2属上款第（2）项情形的，评标委员会应出具的招标文件没有不合理条款的论证意见。</w:t>
      </w:r>
    </w:p>
    <w:p w14:paraId="0C41CA10">
      <w:pPr>
        <w:adjustRightInd w:val="0"/>
        <w:snapToGrid w:val="0"/>
        <w:spacing w:before="156" w:beforeLines="50" w:line="360" w:lineRule="auto"/>
        <w:jc w:val="left"/>
        <w:rPr>
          <w:rFonts w:ascii="宋体" w:hAnsi="宋体"/>
          <w:b/>
          <w:color w:val="auto"/>
          <w:sz w:val="24"/>
          <w:highlight w:val="none"/>
        </w:rPr>
      </w:pPr>
      <w:r>
        <w:rPr>
          <w:rFonts w:hint="eastAsia" w:ascii="宋体" w:hAnsi="宋体"/>
          <w:b/>
          <w:bCs/>
          <w:color w:val="auto"/>
          <w:sz w:val="24"/>
          <w:highlight w:val="none"/>
        </w:rPr>
        <w:t>35.</w:t>
      </w:r>
      <w:r>
        <w:rPr>
          <w:rFonts w:hint="eastAsia" w:ascii="宋体" w:hAnsi="宋体"/>
          <w:b/>
          <w:color w:val="auto"/>
          <w:sz w:val="24"/>
          <w:highlight w:val="none"/>
        </w:rPr>
        <w:t xml:space="preserve"> 需要补充的其他内容</w:t>
      </w:r>
    </w:p>
    <w:p w14:paraId="39FC6A0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35.1合同价款支付</w:t>
      </w:r>
    </w:p>
    <w:p w14:paraId="3CC6B4BC">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highlight w:val="none"/>
        </w:rPr>
        <w:t>（1）招标文件</w:t>
      </w:r>
      <w:r>
        <w:rPr>
          <w:rFonts w:hint="eastAsia" w:ascii="宋体" w:hAnsi="宋体"/>
          <w:bCs/>
          <w:color w:val="auto"/>
          <w:szCs w:val="21"/>
          <w:highlight w:val="none"/>
        </w:rPr>
        <w:t>规定支付合同预付款的，采购人应按</w:t>
      </w:r>
      <w:r>
        <w:rPr>
          <w:rFonts w:hint="eastAsia" w:ascii="宋体" w:hAnsi="宋体"/>
          <w:b/>
          <w:color w:val="auto"/>
          <w:szCs w:val="21"/>
          <w:highlight w:val="none"/>
        </w:rPr>
        <w:t>【投标须知前附表】</w:t>
      </w:r>
      <w:r>
        <w:rPr>
          <w:rFonts w:hint="eastAsia" w:ascii="宋体" w:hAnsi="宋体"/>
          <w:bCs/>
          <w:color w:val="auto"/>
          <w:szCs w:val="21"/>
          <w:highlight w:val="none"/>
        </w:rPr>
        <w:t>规定的支付比例和支付条件向符合要求的中标供应商及时支付相应款项，并在政府采购合同中进行明确。</w:t>
      </w:r>
    </w:p>
    <w:p w14:paraId="6CBFA3DC">
      <w:pPr>
        <w:pStyle w:val="47"/>
        <w:spacing w:line="360" w:lineRule="auto"/>
        <w:rPr>
          <w:rFonts w:ascii="宋体" w:hAnsi="宋体"/>
          <w:bCs/>
          <w:color w:val="auto"/>
          <w:highlight w:val="none"/>
        </w:rPr>
      </w:pPr>
      <w:r>
        <w:rPr>
          <w:rFonts w:hint="eastAsia" w:ascii="宋体" w:hAnsi="宋体"/>
          <w:color w:val="auto"/>
          <w:highlight w:val="none"/>
        </w:rPr>
        <w:t>（2）招标文件</w:t>
      </w:r>
      <w:r>
        <w:rPr>
          <w:rFonts w:hint="eastAsia" w:ascii="宋体" w:hAnsi="宋体"/>
          <w:bCs/>
          <w:color w:val="auto"/>
          <w:highlight w:val="none"/>
        </w:rPr>
        <w:t>规定需提交质量保证金的，采购人可以按</w:t>
      </w:r>
      <w:r>
        <w:rPr>
          <w:rFonts w:hint="eastAsia" w:ascii="宋体" w:hAnsi="宋体"/>
          <w:b/>
          <w:color w:val="auto"/>
          <w:highlight w:val="none"/>
        </w:rPr>
        <w:t>【投标须知前附表】</w:t>
      </w:r>
      <w:r>
        <w:rPr>
          <w:rFonts w:hint="eastAsia" w:ascii="宋体" w:hAnsi="宋体"/>
          <w:bCs/>
          <w:color w:val="auto"/>
          <w:highlight w:val="none"/>
        </w:rPr>
        <w:t>规定要求中标供应商提交质量保证金，并在政府采购合同中进行明确。</w:t>
      </w:r>
    </w:p>
    <w:p w14:paraId="5AF5867C">
      <w:pPr>
        <w:pStyle w:val="47"/>
        <w:spacing w:line="360" w:lineRule="auto"/>
        <w:rPr>
          <w:rFonts w:ascii="宋体" w:hAnsi="宋体"/>
          <w:bCs/>
          <w:color w:val="auto"/>
          <w:highlight w:val="none"/>
        </w:rPr>
      </w:pPr>
      <w:r>
        <w:rPr>
          <w:rFonts w:hint="eastAsia" w:ascii="宋体" w:hAnsi="宋体"/>
          <w:bCs/>
          <w:color w:val="auto"/>
          <w:highlight w:val="none"/>
        </w:rPr>
        <w:t>（3）投标人可以保函、电子增信替代预付款担保、质量保证金。</w:t>
      </w:r>
    </w:p>
    <w:p w14:paraId="11D91AB6">
      <w:pPr>
        <w:pStyle w:val="15"/>
        <w:ind w:left="0" w:leftChars="0"/>
        <w:rPr>
          <w:rFonts w:hint="eastAsia"/>
          <w:color w:val="auto"/>
          <w:highlight w:val="none"/>
        </w:rPr>
      </w:pPr>
      <w:r>
        <w:rPr>
          <w:rFonts w:hint="eastAsia" w:ascii="宋体" w:hAnsi="宋体"/>
          <w:color w:val="auto"/>
          <w:highlight w:val="none"/>
        </w:rPr>
        <w:t>35.2招标文件需要补充的其</w:t>
      </w:r>
      <w:r>
        <w:rPr>
          <w:rFonts w:hint="eastAsia" w:ascii="宋体" w:hAnsi="宋体"/>
          <w:color w:val="auto"/>
          <w:szCs w:val="21"/>
          <w:highlight w:val="none"/>
        </w:rPr>
        <w:t>他内容见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19AE933F">
      <w:pPr>
        <w:pStyle w:val="4"/>
        <w:rPr>
          <w:rFonts w:ascii="黑体" w:hAnsi="黑体" w:eastAsia="黑体"/>
          <w:color w:val="auto"/>
          <w:sz w:val="32"/>
          <w:szCs w:val="32"/>
          <w:highlight w:val="none"/>
        </w:rPr>
      </w:pPr>
      <w:r>
        <w:rPr>
          <w:rFonts w:hint="eastAsia" w:ascii="黑体" w:hAnsi="黑体" w:eastAsia="黑体"/>
          <w:color w:val="auto"/>
          <w:sz w:val="32"/>
          <w:szCs w:val="32"/>
          <w:highlight w:val="none"/>
        </w:rPr>
        <w:br w:type="page"/>
      </w:r>
      <w:bookmarkStart w:id="23" w:name="_Toc27462"/>
      <w:r>
        <w:rPr>
          <w:rFonts w:hint="eastAsia" w:ascii="黑体" w:hAnsi="黑体" w:eastAsia="黑体"/>
          <w:color w:val="auto"/>
          <w:sz w:val="32"/>
          <w:szCs w:val="32"/>
          <w:highlight w:val="none"/>
        </w:rPr>
        <w:t>第三章 资格审查</w:t>
      </w:r>
      <w:bookmarkEnd w:id="23"/>
    </w:p>
    <w:p w14:paraId="4E43FD57">
      <w:pPr>
        <w:pStyle w:val="6"/>
        <w:adjustRightInd w:val="0"/>
        <w:snapToGrid w:val="0"/>
        <w:spacing w:before="156" w:beforeLines="50" w:after="0" w:line="360" w:lineRule="auto"/>
        <w:rPr>
          <w:rFonts w:ascii="黑体" w:hAnsi="黑体" w:eastAsia="黑体"/>
          <w:color w:val="auto"/>
          <w:sz w:val="24"/>
          <w:szCs w:val="24"/>
          <w:highlight w:val="none"/>
        </w:rPr>
      </w:pPr>
      <w:bookmarkStart w:id="24" w:name="_Toc2281"/>
      <w:r>
        <w:rPr>
          <w:rFonts w:hint="eastAsia" w:ascii="黑体" w:hAnsi="黑体" w:eastAsia="黑体"/>
          <w:color w:val="auto"/>
          <w:sz w:val="24"/>
          <w:szCs w:val="24"/>
          <w:highlight w:val="none"/>
        </w:rPr>
        <w:t>1．资格审查主体</w:t>
      </w:r>
      <w:bookmarkEnd w:id="24"/>
    </w:p>
    <w:p w14:paraId="02C738A9">
      <w:pPr>
        <w:adjustRightInd w:val="0"/>
        <w:snapToGrid w:val="0"/>
        <w:spacing w:before="156" w:beforeLines="50" w:line="360" w:lineRule="auto"/>
        <w:ind w:firstLine="417" w:firstLineChars="199"/>
        <w:jc w:val="left"/>
        <w:rPr>
          <w:rFonts w:ascii="宋体" w:hAnsi="宋体"/>
          <w:color w:val="auto"/>
          <w:szCs w:val="21"/>
          <w:highlight w:val="none"/>
        </w:rPr>
      </w:pPr>
      <w:r>
        <w:rPr>
          <w:rFonts w:hint="eastAsia" w:ascii="宋体" w:hAnsi="宋体"/>
          <w:color w:val="auto"/>
          <w:szCs w:val="21"/>
          <w:highlight w:val="none"/>
        </w:rPr>
        <w:t>1.1资格审查主体：采购人、采购代理机构负责资格审查。</w:t>
      </w:r>
    </w:p>
    <w:p w14:paraId="5331402C">
      <w:pPr>
        <w:pStyle w:val="6"/>
        <w:adjustRightInd w:val="0"/>
        <w:snapToGrid w:val="0"/>
        <w:spacing w:before="156" w:beforeLines="50" w:after="0" w:line="360" w:lineRule="auto"/>
        <w:rPr>
          <w:rFonts w:ascii="黑体" w:hAnsi="黑体" w:eastAsia="黑体"/>
          <w:color w:val="auto"/>
          <w:sz w:val="24"/>
          <w:szCs w:val="24"/>
          <w:highlight w:val="none"/>
        </w:rPr>
      </w:pPr>
      <w:bookmarkStart w:id="25" w:name="_Toc13738"/>
      <w:r>
        <w:rPr>
          <w:rFonts w:hint="eastAsia" w:ascii="黑体" w:hAnsi="黑体" w:eastAsia="黑体"/>
          <w:color w:val="auto"/>
          <w:sz w:val="24"/>
          <w:szCs w:val="24"/>
          <w:highlight w:val="none"/>
        </w:rPr>
        <w:t>2．资格审查（未进行资格预审的）</w:t>
      </w:r>
      <w:bookmarkEnd w:id="25"/>
    </w:p>
    <w:p w14:paraId="30F4F05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2.1资格审查依据法律法规和招标文件的规定，对投标文件中的资格证明文件、投标报价等进行审查，以确定投标供应商是否具备投标资格。</w:t>
      </w:r>
    </w:p>
    <w:p w14:paraId="6E1493D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2.2采购人、采购代理机构按本章附表1“资格审查表”所列审查项目及审查标准，对投标人资格进行审查。</w:t>
      </w:r>
    </w:p>
    <w:p w14:paraId="51B9140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2.3在资格审查时，投标人存在下列情况之一的，资格审查不合格，其投标无效：</w:t>
      </w:r>
    </w:p>
    <w:p w14:paraId="1FFB909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（1）不具备招标文件中规定的资格要求的，或提交的资格证明文件不符合招标文件要求的；</w:t>
      </w:r>
    </w:p>
    <w:p w14:paraId="325286C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（2）联合体投标未提交联合体协议书，或未提交联合体各方资格证明文件的；</w:t>
      </w:r>
    </w:p>
    <w:p w14:paraId="422F5B7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（3）投标文件的资格证明文件未按照招标文件要求签署、盖章的；</w:t>
      </w:r>
    </w:p>
    <w:p w14:paraId="7E15C64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）投标报价超过招标文件中规定的预算金额或者最高限价的；</w:t>
      </w:r>
    </w:p>
    <w:p w14:paraId="18ED85A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5</w:t>
      </w:r>
      <w:r>
        <w:rPr>
          <w:rFonts w:hint="eastAsia" w:ascii="宋体" w:hAnsi="宋体"/>
          <w:color w:val="auto"/>
          <w:szCs w:val="21"/>
          <w:highlight w:val="none"/>
        </w:rPr>
        <w:t>）法律、法规和招标文件规定的其他投标无效情形的。</w:t>
      </w:r>
    </w:p>
    <w:p w14:paraId="792D1C3D">
      <w:pPr>
        <w:adjustRightInd w:val="0"/>
        <w:snapToGrid w:val="0"/>
        <w:spacing w:before="156" w:beforeLines="50" w:line="360" w:lineRule="auto"/>
        <w:ind w:firstLine="420" w:firstLineChars="200"/>
        <w:jc w:val="left"/>
        <w:rPr>
          <w:rFonts w:ascii="宋体" w:hAnsi="宋体"/>
          <w:b/>
          <w:color w:val="auto"/>
          <w:sz w:val="32"/>
          <w:szCs w:val="32"/>
          <w:highlight w:val="none"/>
        </w:rPr>
      </w:pPr>
      <w:r>
        <w:rPr>
          <w:rFonts w:hint="eastAsia" w:ascii="宋体" w:hAnsi="宋体"/>
          <w:color w:val="auto"/>
          <w:highlight w:val="none"/>
        </w:rPr>
        <w:t>2.4信用记录。开标结束后</w:t>
      </w:r>
      <w:r>
        <w:rPr>
          <w:rFonts w:hint="eastAsia" w:ascii="宋体" w:hAnsi="宋体"/>
          <w:color w:val="auto"/>
          <w:szCs w:val="21"/>
          <w:highlight w:val="none"/>
        </w:rPr>
        <w:t>资格审查时，采购人、采购代理机构将对投标人信用记录进行甄别。</w:t>
      </w:r>
    </w:p>
    <w:p w14:paraId="2370621F">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（1）信用信息查询的查询渠道：信用中国网（www.creditchina.gov.cn）、中国政府采购网（www.ccgp.gov.cn）；</w:t>
      </w:r>
    </w:p>
    <w:p w14:paraId="37A8B97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17054E2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（3）联合体形式投标的，联合体成员存在不良信用记录的，视同联合体存在不良信用记录。</w:t>
      </w:r>
    </w:p>
    <w:p w14:paraId="2180CC7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（4）信用信息查询记录和证据留存具体方式：采购人、采购代理机构</w:t>
      </w:r>
      <w:r>
        <w:rPr>
          <w:rFonts w:ascii="宋体" w:hAnsi="宋体"/>
          <w:color w:val="auto"/>
          <w:szCs w:val="21"/>
          <w:highlight w:val="none"/>
        </w:rPr>
        <w:t>经办人将查询网页</w:t>
      </w:r>
      <w:r>
        <w:rPr>
          <w:rFonts w:hint="eastAsia" w:ascii="宋体" w:hAnsi="宋体"/>
          <w:color w:val="auto"/>
          <w:szCs w:val="21"/>
          <w:highlight w:val="none"/>
        </w:rPr>
        <w:t>截图、</w:t>
      </w:r>
      <w:r>
        <w:rPr>
          <w:rFonts w:ascii="宋体" w:hAnsi="宋体"/>
          <w:color w:val="auto"/>
          <w:szCs w:val="21"/>
          <w:highlight w:val="none"/>
        </w:rPr>
        <w:t>打印、签字</w:t>
      </w:r>
      <w:r>
        <w:rPr>
          <w:rFonts w:hint="eastAsia" w:ascii="宋体" w:hAnsi="宋体"/>
          <w:color w:val="auto"/>
          <w:szCs w:val="21"/>
          <w:highlight w:val="none"/>
        </w:rPr>
        <w:t>，作为查询记录和证据，与其他采购文件一并保存。</w:t>
      </w:r>
      <w:r>
        <w:rPr>
          <w:rFonts w:ascii="宋体" w:hAnsi="宋体"/>
          <w:color w:val="auto"/>
          <w:szCs w:val="21"/>
          <w:highlight w:val="none"/>
        </w:rPr>
        <w:t>投标人不良信用记录以</w:t>
      </w:r>
      <w:r>
        <w:rPr>
          <w:rFonts w:hint="eastAsia" w:ascii="宋体" w:hAnsi="宋体"/>
          <w:color w:val="auto"/>
          <w:szCs w:val="21"/>
          <w:highlight w:val="none"/>
        </w:rPr>
        <w:t>采购人、采购代理机构</w:t>
      </w:r>
      <w:r>
        <w:rPr>
          <w:rFonts w:ascii="宋体" w:hAnsi="宋体"/>
          <w:color w:val="auto"/>
          <w:szCs w:val="21"/>
          <w:highlight w:val="none"/>
        </w:rPr>
        <w:t>查询结果为准</w:t>
      </w:r>
      <w:r>
        <w:rPr>
          <w:rFonts w:hint="eastAsia" w:ascii="宋体" w:hAnsi="宋体"/>
          <w:color w:val="auto"/>
          <w:szCs w:val="21"/>
          <w:highlight w:val="none"/>
        </w:rPr>
        <w:t>。</w:t>
      </w:r>
    </w:p>
    <w:p w14:paraId="4B845F4A">
      <w:pPr>
        <w:pStyle w:val="6"/>
        <w:spacing w:before="156" w:after="156"/>
        <w:rPr>
          <w:rFonts w:ascii="黑体" w:hAnsi="黑体" w:eastAsia="黑体"/>
          <w:color w:val="auto"/>
          <w:sz w:val="24"/>
          <w:szCs w:val="24"/>
          <w:highlight w:val="none"/>
        </w:rPr>
      </w:pPr>
      <w:bookmarkStart w:id="26" w:name="_Toc82155400"/>
      <w:bookmarkStart w:id="27" w:name="_Toc62206176"/>
      <w:bookmarkStart w:id="28" w:name="_Toc606"/>
      <w:r>
        <w:rPr>
          <w:rFonts w:hint="eastAsia" w:ascii="黑体" w:hAnsi="黑体" w:eastAsia="黑体"/>
          <w:color w:val="auto"/>
          <w:sz w:val="24"/>
          <w:szCs w:val="24"/>
          <w:highlight w:val="none"/>
        </w:rPr>
        <w:t>2．资格审查（已进行资格预审的）</w:t>
      </w:r>
      <w:bookmarkEnd w:id="26"/>
      <w:bookmarkEnd w:id="27"/>
      <w:bookmarkEnd w:id="28"/>
    </w:p>
    <w:p w14:paraId="3BB0418F">
      <w:pPr>
        <w:adjustRightInd w:val="0"/>
        <w:snapToGrid w:val="0"/>
        <w:spacing w:line="360" w:lineRule="auto"/>
        <w:ind w:firstLine="420" w:firstLineChars="200"/>
        <w:rPr>
          <w:rFonts w:ascii="宋体" w:hAnsi="宋体" w:cs="宋体"/>
          <w:color w:val="auto"/>
          <w:kern w:val="0"/>
          <w:highlight w:val="none"/>
          <w:lang w:val="zh-CN"/>
        </w:rPr>
      </w:pPr>
      <w:r>
        <w:rPr>
          <w:rFonts w:hint="eastAsia" w:ascii="宋体" w:hAnsi="宋体"/>
          <w:color w:val="auto"/>
          <w:highlight w:val="none"/>
        </w:rPr>
        <w:t>2.1供应商若有第二章第</w:t>
      </w:r>
      <w:r>
        <w:rPr>
          <w:rFonts w:ascii="宋体" w:hAnsi="宋体"/>
          <w:color w:val="auto"/>
          <w:highlight w:val="none"/>
        </w:rPr>
        <w:t>1</w:t>
      </w:r>
      <w:r>
        <w:rPr>
          <w:rFonts w:hint="eastAsia" w:ascii="宋体" w:hAnsi="宋体"/>
          <w:color w:val="auto"/>
          <w:highlight w:val="none"/>
        </w:rPr>
        <w:t>4</w:t>
      </w:r>
      <w:r>
        <w:rPr>
          <w:rFonts w:ascii="宋体" w:hAnsi="宋体"/>
          <w:color w:val="auto"/>
          <w:highlight w:val="none"/>
        </w:rPr>
        <w:t>.1</w:t>
      </w:r>
      <w:r>
        <w:rPr>
          <w:rFonts w:hint="eastAsia" w:ascii="宋体" w:hAnsi="宋体"/>
          <w:color w:val="auto"/>
          <w:highlight w:val="none"/>
        </w:rPr>
        <w:t>款规定情形，采购人、采购代理机构按该款规定进行审查。</w:t>
      </w:r>
      <w:r>
        <w:rPr>
          <w:rFonts w:hint="eastAsia" w:ascii="宋体" w:hAnsi="宋体"/>
          <w:color w:val="auto"/>
          <w:szCs w:val="21"/>
          <w:highlight w:val="none"/>
        </w:rPr>
        <w:t>除本</w:t>
      </w:r>
      <w:r>
        <w:rPr>
          <w:rFonts w:hint="eastAsia" w:ascii="宋体" w:hAnsi="宋体" w:cs="宋体"/>
          <w:color w:val="auto"/>
          <w:kern w:val="0"/>
          <w:szCs w:val="21"/>
          <w:highlight w:val="none"/>
          <w:lang w:val="zh-CN"/>
        </w:rPr>
        <w:t>款规定的</w:t>
      </w:r>
      <w:r>
        <w:rPr>
          <w:rFonts w:hint="eastAsia" w:ascii="宋体" w:hAnsi="宋体"/>
          <w:color w:val="auto"/>
          <w:highlight w:val="none"/>
        </w:rPr>
        <w:t>情形外，采购人、采购代理机构</w:t>
      </w:r>
      <w:r>
        <w:rPr>
          <w:rFonts w:hint="eastAsia" w:hAnsi="宋体"/>
          <w:color w:val="auto"/>
          <w:highlight w:val="none"/>
        </w:rPr>
        <w:t>不再对供应商进行资格审查。</w:t>
      </w:r>
    </w:p>
    <w:p w14:paraId="6C8147AC">
      <w:pPr>
        <w:pStyle w:val="6"/>
        <w:adjustRightInd w:val="0"/>
        <w:snapToGrid w:val="0"/>
        <w:spacing w:before="156" w:beforeLines="50" w:after="0" w:line="360" w:lineRule="auto"/>
        <w:rPr>
          <w:rFonts w:ascii="黑体" w:hAnsi="黑体" w:eastAsia="黑体"/>
          <w:color w:val="auto"/>
          <w:sz w:val="24"/>
          <w:szCs w:val="24"/>
          <w:highlight w:val="none"/>
        </w:rPr>
      </w:pPr>
      <w:bookmarkStart w:id="29" w:name="_Toc14218"/>
      <w:r>
        <w:rPr>
          <w:rFonts w:hint="eastAsia" w:ascii="黑体" w:hAnsi="黑体" w:eastAsia="黑体"/>
          <w:color w:val="auto"/>
          <w:sz w:val="24"/>
          <w:szCs w:val="24"/>
          <w:highlight w:val="none"/>
        </w:rPr>
        <w:t>3．资格审查结果</w:t>
      </w:r>
      <w:bookmarkEnd w:id="29"/>
    </w:p>
    <w:p w14:paraId="55DAA8D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3.1未通过资格审查的投标人，采购人、采购代理机构应当告知其未通过的原因。</w:t>
      </w:r>
    </w:p>
    <w:p w14:paraId="0EF6EED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3.2资格审查结束后，采购人、采购代理机构应将资格审查结果告知评标委员会。</w:t>
      </w:r>
    </w:p>
    <w:p w14:paraId="04A7782B">
      <w:pPr>
        <w:adjustRightInd w:val="0"/>
        <w:snapToGrid w:val="0"/>
        <w:spacing w:before="156" w:beforeLines="50" w:line="360" w:lineRule="auto"/>
        <w:jc w:val="left"/>
        <w:rPr>
          <w:rFonts w:hint="eastAsia" w:ascii="华文中宋" w:hAnsi="华文中宋" w:eastAsia="华文中宋"/>
          <w:b/>
          <w:bCs/>
          <w:color w:val="auto"/>
          <w:sz w:val="10"/>
          <w:szCs w:val="10"/>
          <w:highlight w:val="none"/>
        </w:rPr>
      </w:pPr>
      <w:r>
        <w:rPr>
          <w:rFonts w:ascii="华文中宋" w:hAnsi="华文中宋" w:eastAsia="华文中宋"/>
          <w:color w:val="auto"/>
          <w:highlight w:val="none"/>
        </w:rPr>
        <w:br w:type="page"/>
      </w:r>
      <w:r>
        <w:rPr>
          <w:rFonts w:hint="eastAsia" w:ascii="黑体" w:hAnsi="黑体" w:cs="黑体"/>
          <w:b/>
          <w:bCs/>
          <w:color w:val="auto"/>
          <w:szCs w:val="21"/>
          <w:highlight w:val="none"/>
        </w:rPr>
        <w:t>附表1资格审查表</w:t>
      </w:r>
    </w:p>
    <w:p w14:paraId="3F470E65">
      <w:pPr>
        <w:adjustRightInd w:val="0"/>
        <w:snapToGrid w:val="0"/>
        <w:spacing w:line="360" w:lineRule="auto"/>
        <w:jc w:val="center"/>
        <w:rPr>
          <w:rFonts w:ascii="黑体" w:hAnsi="黑体" w:eastAsia="黑体"/>
          <w:b/>
          <w:color w:val="auto"/>
          <w:sz w:val="28"/>
          <w:szCs w:val="28"/>
          <w:highlight w:val="none"/>
        </w:rPr>
      </w:pPr>
      <w:r>
        <w:rPr>
          <w:rFonts w:ascii="黑体" w:hAnsi="黑体" w:eastAsia="黑体"/>
          <w:b/>
          <w:color w:val="auto"/>
          <w:sz w:val="28"/>
          <w:szCs w:val="28"/>
          <w:highlight w:val="none"/>
        </w:rPr>
        <w:t>资格审查表</w:t>
      </w:r>
    </w:p>
    <w:p w14:paraId="4C6F5D1B">
      <w:pPr>
        <w:adjustRightInd w:val="0"/>
        <w:snapToGrid w:val="0"/>
        <w:spacing w:line="360" w:lineRule="auto"/>
        <w:rPr>
          <w:rFonts w:ascii="黑体" w:hAnsi="黑体" w:eastAsia="黑体"/>
          <w:color w:val="auto"/>
          <w:sz w:val="28"/>
          <w:szCs w:val="28"/>
          <w:highlight w:val="non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政府采购计划编号：</w:t>
      </w:r>
      <w:r>
        <w:rPr>
          <w:rFonts w:hint="eastAsia" w:ascii="宋体" w:hAnsi="宋体"/>
          <w:color w:val="auto"/>
          <w:szCs w:val="21"/>
          <w:highlight w:val="none"/>
          <w:u w:val="single"/>
        </w:rPr>
        <w:t xml:space="preserve">       </w:t>
      </w:r>
    </w:p>
    <w:tbl>
      <w:tblPr>
        <w:tblStyle w:val="26"/>
        <w:tblW w:w="925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2"/>
        <w:gridCol w:w="2111"/>
        <w:gridCol w:w="6485"/>
      </w:tblGrid>
      <w:tr w14:paraId="4758F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0543EFAF">
            <w:pPr>
              <w:adjustRightInd w:val="0"/>
              <w:snapToGrid w:val="0"/>
              <w:spacing w:before="156" w:beforeLines="50" w:line="360" w:lineRule="auto"/>
              <w:jc w:val="center"/>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序号</w:t>
            </w:r>
          </w:p>
        </w:tc>
        <w:tc>
          <w:tcPr>
            <w:tcW w:w="2111" w:type="dxa"/>
            <w:noWrap w:val="0"/>
            <w:vAlign w:val="center"/>
          </w:tcPr>
          <w:p w14:paraId="67841C53">
            <w:pPr>
              <w:adjustRightInd w:val="0"/>
              <w:snapToGrid w:val="0"/>
              <w:spacing w:before="156" w:beforeLines="50" w:line="360" w:lineRule="auto"/>
              <w:jc w:val="center"/>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审查项目</w:t>
            </w:r>
          </w:p>
        </w:tc>
        <w:tc>
          <w:tcPr>
            <w:tcW w:w="6485" w:type="dxa"/>
            <w:noWrap w:val="0"/>
            <w:vAlign w:val="center"/>
          </w:tcPr>
          <w:p w14:paraId="7C13BAF0">
            <w:pPr>
              <w:adjustRightInd w:val="0"/>
              <w:snapToGrid w:val="0"/>
              <w:spacing w:before="156" w:beforeLines="50" w:line="360" w:lineRule="auto"/>
              <w:jc w:val="center"/>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审查标准</w:t>
            </w:r>
          </w:p>
        </w:tc>
      </w:tr>
      <w:tr w14:paraId="1347BA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79007112">
            <w:pPr>
              <w:adjustRightInd w:val="0"/>
              <w:snapToGrid w:val="0"/>
              <w:spacing w:before="156" w:beforeLines="50" w:line="360" w:lineRule="auto"/>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p>
        </w:tc>
        <w:tc>
          <w:tcPr>
            <w:tcW w:w="2111" w:type="dxa"/>
            <w:noWrap w:val="0"/>
            <w:vAlign w:val="center"/>
          </w:tcPr>
          <w:p w14:paraId="593AB841">
            <w:pPr>
              <w:pStyle w:val="52"/>
              <w:jc w:val="center"/>
              <w:rPr>
                <w:rFonts w:ascii="宋体" w:hAnsi="宋体" w:eastAsia="宋体" w:cs="宋体"/>
                <w:color w:val="auto"/>
                <w:sz w:val="22"/>
                <w:szCs w:val="20"/>
                <w:highlight w:val="none"/>
              </w:rPr>
            </w:pPr>
            <w:r>
              <w:rPr>
                <w:rFonts w:hint="eastAsia" w:ascii="宋体" w:hAnsi="宋体" w:eastAsia="宋体" w:cs="宋体"/>
                <w:color w:val="auto"/>
                <w:sz w:val="20"/>
                <w:szCs w:val="22"/>
                <w:highlight w:val="none"/>
              </w:rPr>
              <w:t>法人营业执照</w:t>
            </w:r>
          </w:p>
        </w:tc>
        <w:tc>
          <w:tcPr>
            <w:tcW w:w="6485" w:type="dxa"/>
            <w:noWrap w:val="0"/>
            <w:vAlign w:val="center"/>
          </w:tcPr>
          <w:p w14:paraId="59EE0B38">
            <w:pPr>
              <w:pStyle w:val="24"/>
              <w:spacing w:before="0" w:beforeAutospacing="0" w:after="0" w:afterAutospacing="0" w:line="400" w:lineRule="atLeast"/>
              <w:rPr>
                <w:color w:val="auto"/>
                <w:sz w:val="20"/>
                <w:szCs w:val="20"/>
                <w:highlight w:val="none"/>
              </w:rPr>
            </w:pPr>
            <w:r>
              <w:rPr>
                <w:rFonts w:hint="eastAsia"/>
                <w:color w:val="auto"/>
                <w:sz w:val="20"/>
                <w:szCs w:val="20"/>
                <w:highlight w:val="none"/>
              </w:rPr>
              <w:t>法人提交企业法人营业执照副本(或者法人登记证书)以及组织机构代码证副本</w:t>
            </w:r>
            <w:r>
              <w:rPr>
                <w:rFonts w:hint="eastAsia"/>
                <w:color w:val="auto"/>
                <w:sz w:val="20"/>
                <w:szCs w:val="20"/>
                <w:highlight w:val="none"/>
                <w:lang w:eastAsia="zh-CN"/>
              </w:rPr>
              <w:t>扫描件</w:t>
            </w:r>
            <w:r>
              <w:rPr>
                <w:rFonts w:hint="eastAsia"/>
                <w:color w:val="auto"/>
                <w:sz w:val="20"/>
                <w:szCs w:val="20"/>
                <w:highlight w:val="none"/>
              </w:rPr>
              <w:t>；</w:t>
            </w:r>
          </w:p>
          <w:p w14:paraId="6F977F8E">
            <w:pPr>
              <w:pStyle w:val="24"/>
              <w:spacing w:before="0" w:beforeAutospacing="0" w:after="0" w:afterAutospacing="0" w:line="400" w:lineRule="atLeast"/>
              <w:rPr>
                <w:color w:val="auto"/>
                <w:sz w:val="22"/>
                <w:szCs w:val="20"/>
                <w:highlight w:val="none"/>
              </w:rPr>
            </w:pPr>
            <w:r>
              <w:rPr>
                <w:rFonts w:hint="eastAsia"/>
                <w:color w:val="auto"/>
                <w:sz w:val="20"/>
                <w:szCs w:val="20"/>
                <w:highlight w:val="none"/>
              </w:rPr>
              <w:t>注：已获取“统一社会信用代码”的“三证合一”、</w:t>
            </w:r>
            <w:r>
              <w:rPr>
                <w:rFonts w:hint="eastAsia"/>
                <w:color w:val="auto"/>
                <w:sz w:val="22"/>
                <w:szCs w:val="22"/>
                <w:highlight w:val="none"/>
              </w:rPr>
              <w:t>“五证合一”</w:t>
            </w:r>
            <w:r>
              <w:rPr>
                <w:rFonts w:hint="eastAsia"/>
                <w:color w:val="auto"/>
                <w:sz w:val="20"/>
                <w:szCs w:val="20"/>
                <w:highlight w:val="none"/>
              </w:rPr>
              <w:t>企业，无须再提供组织机构代码证及税务登记证。</w:t>
            </w:r>
          </w:p>
        </w:tc>
      </w:tr>
      <w:tr w14:paraId="5C014B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3638199C">
            <w:pPr>
              <w:adjustRightInd w:val="0"/>
              <w:snapToGrid w:val="0"/>
              <w:spacing w:before="156" w:beforeLines="50" w:line="360" w:lineRule="auto"/>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w:t>
            </w:r>
          </w:p>
        </w:tc>
        <w:tc>
          <w:tcPr>
            <w:tcW w:w="2111" w:type="dxa"/>
            <w:noWrap w:val="0"/>
            <w:vAlign w:val="center"/>
          </w:tcPr>
          <w:p w14:paraId="5AC7E8DC">
            <w:pPr>
              <w:pStyle w:val="52"/>
              <w:jc w:val="center"/>
              <w:rPr>
                <w:rFonts w:hint="eastAsia" w:ascii="宋体" w:hAnsi="宋体" w:eastAsia="宋体" w:cs="宋体"/>
                <w:color w:val="auto"/>
                <w:sz w:val="22"/>
                <w:szCs w:val="20"/>
                <w:highlight w:val="none"/>
                <w:lang w:eastAsia="zh-CN"/>
              </w:rPr>
            </w:pPr>
            <w:r>
              <w:rPr>
                <w:rFonts w:hint="eastAsia" w:ascii="宋体" w:hAnsi="宋体" w:eastAsia="宋体" w:cs="宋体"/>
                <w:color w:val="auto"/>
                <w:sz w:val="20"/>
                <w:szCs w:val="22"/>
                <w:highlight w:val="none"/>
              </w:rPr>
              <w:t>法定代表或法人授权委托书原件及</w:t>
            </w:r>
            <w:r>
              <w:rPr>
                <w:rFonts w:hint="eastAsia" w:ascii="宋体" w:hAnsi="宋体" w:eastAsia="宋体" w:cs="宋体"/>
                <w:color w:val="auto"/>
                <w:sz w:val="20"/>
                <w:szCs w:val="22"/>
                <w:highlight w:val="none"/>
                <w:lang w:eastAsia="zh-CN"/>
              </w:rPr>
              <w:t>扫描件</w:t>
            </w:r>
          </w:p>
        </w:tc>
        <w:tc>
          <w:tcPr>
            <w:tcW w:w="6485" w:type="dxa"/>
            <w:noWrap w:val="0"/>
            <w:vAlign w:val="center"/>
          </w:tcPr>
          <w:p w14:paraId="01B36FE6">
            <w:pPr>
              <w:pStyle w:val="52"/>
              <w:rPr>
                <w:rFonts w:ascii="宋体" w:hAnsi="宋体" w:eastAsia="宋体" w:cs="宋体"/>
                <w:color w:val="auto"/>
                <w:sz w:val="22"/>
                <w:szCs w:val="20"/>
                <w:highlight w:val="none"/>
              </w:rPr>
            </w:pPr>
            <w:r>
              <w:rPr>
                <w:rFonts w:hint="eastAsia" w:ascii="宋体" w:hAnsi="宋体" w:eastAsia="宋体" w:cs="宋体"/>
                <w:color w:val="auto"/>
                <w:sz w:val="20"/>
                <w:szCs w:val="20"/>
                <w:highlight w:val="none"/>
              </w:rPr>
              <w:t>法人提交法定代表人资格证明书</w:t>
            </w:r>
            <w:r>
              <w:rPr>
                <w:rFonts w:hint="eastAsia" w:ascii="宋体" w:hAnsi="宋体" w:eastAsia="宋体" w:cs="宋体"/>
                <w:color w:val="auto"/>
                <w:sz w:val="20"/>
                <w:szCs w:val="20"/>
                <w:highlight w:val="none"/>
                <w:lang w:eastAsia="zh-CN"/>
              </w:rPr>
              <w:t>扫描件</w:t>
            </w:r>
            <w:r>
              <w:rPr>
                <w:rFonts w:hint="eastAsia" w:ascii="宋体" w:hAnsi="宋体" w:eastAsia="宋体" w:cs="宋体"/>
                <w:color w:val="auto"/>
                <w:sz w:val="20"/>
                <w:szCs w:val="20"/>
                <w:highlight w:val="none"/>
              </w:rPr>
              <w:t>或者法定代表人授权委托书原件并附法定代表人身份证明</w:t>
            </w:r>
            <w:r>
              <w:rPr>
                <w:rFonts w:hint="eastAsia" w:ascii="宋体" w:hAnsi="宋体" w:eastAsia="宋体" w:cs="宋体"/>
                <w:color w:val="auto"/>
                <w:sz w:val="20"/>
                <w:szCs w:val="20"/>
                <w:highlight w:val="none"/>
                <w:lang w:eastAsia="zh-CN"/>
              </w:rPr>
              <w:t>扫描件</w:t>
            </w:r>
            <w:r>
              <w:rPr>
                <w:rFonts w:hint="eastAsia" w:ascii="宋体" w:hAnsi="宋体" w:eastAsia="宋体" w:cs="宋体"/>
                <w:color w:val="auto"/>
                <w:sz w:val="20"/>
                <w:szCs w:val="20"/>
                <w:highlight w:val="none"/>
              </w:rPr>
              <w:t xml:space="preserve">和被授权代理人有效身份证件； </w:t>
            </w:r>
          </w:p>
        </w:tc>
      </w:tr>
      <w:tr w14:paraId="3ADF9F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6A5B7882">
            <w:pPr>
              <w:adjustRightInd w:val="0"/>
              <w:snapToGrid w:val="0"/>
              <w:spacing w:before="156" w:beforeLines="50" w:line="360" w:lineRule="auto"/>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p>
        </w:tc>
        <w:tc>
          <w:tcPr>
            <w:tcW w:w="2111" w:type="dxa"/>
            <w:noWrap w:val="0"/>
            <w:vAlign w:val="center"/>
          </w:tcPr>
          <w:p w14:paraId="03D622F4">
            <w:pPr>
              <w:pStyle w:val="52"/>
              <w:jc w:val="center"/>
              <w:rPr>
                <w:rFonts w:ascii="宋体" w:hAnsi="宋体" w:eastAsia="宋体" w:cs="宋体"/>
                <w:color w:val="auto"/>
                <w:sz w:val="20"/>
                <w:szCs w:val="22"/>
                <w:highlight w:val="none"/>
              </w:rPr>
            </w:pPr>
            <w:r>
              <w:rPr>
                <w:rFonts w:hint="eastAsia" w:ascii="宋体" w:hAnsi="宋体" w:eastAsia="宋体" w:cs="宋体"/>
                <w:color w:val="auto"/>
                <w:sz w:val="20"/>
                <w:szCs w:val="22"/>
                <w:highlight w:val="none"/>
              </w:rPr>
              <w:t>供应商特定资格要求</w:t>
            </w:r>
          </w:p>
        </w:tc>
        <w:tc>
          <w:tcPr>
            <w:tcW w:w="6485" w:type="dxa"/>
            <w:noWrap w:val="0"/>
            <w:vAlign w:val="center"/>
          </w:tcPr>
          <w:p w14:paraId="1687F8E9">
            <w:pPr>
              <w:pStyle w:val="52"/>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无</w:t>
            </w:r>
          </w:p>
        </w:tc>
      </w:tr>
      <w:tr w14:paraId="51ECEC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tcBorders>
              <w:bottom w:val="single" w:color="auto" w:sz="4" w:space="0"/>
            </w:tcBorders>
            <w:noWrap w:val="0"/>
            <w:vAlign w:val="center"/>
          </w:tcPr>
          <w:p w14:paraId="728BABA3">
            <w:pPr>
              <w:adjustRightInd w:val="0"/>
              <w:snapToGrid w:val="0"/>
              <w:spacing w:before="156" w:beforeLines="50" w:line="360" w:lineRule="auto"/>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w:t>
            </w:r>
          </w:p>
        </w:tc>
        <w:tc>
          <w:tcPr>
            <w:tcW w:w="2111" w:type="dxa"/>
            <w:tcBorders>
              <w:bottom w:val="single" w:color="auto" w:sz="4" w:space="0"/>
            </w:tcBorders>
            <w:noWrap w:val="0"/>
            <w:vAlign w:val="center"/>
          </w:tcPr>
          <w:p w14:paraId="002607BB">
            <w:pPr>
              <w:pStyle w:val="52"/>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财务状况报告、依法缴纳税收、依法缴纳社会保障资金</w:t>
            </w:r>
          </w:p>
        </w:tc>
        <w:tc>
          <w:tcPr>
            <w:tcW w:w="6485" w:type="dxa"/>
            <w:tcBorders>
              <w:bottom w:val="single" w:color="auto" w:sz="4" w:space="0"/>
            </w:tcBorders>
            <w:noWrap w:val="0"/>
            <w:vAlign w:val="center"/>
          </w:tcPr>
          <w:p w14:paraId="246B1FE9">
            <w:pPr>
              <w:pStyle w:val="52"/>
              <w:rPr>
                <w:rFonts w:hint="eastAsia" w:ascii="宋体" w:hAnsi="宋体" w:eastAsia="宋体" w:cs="宋体"/>
                <w:color w:val="auto"/>
                <w:sz w:val="20"/>
                <w:szCs w:val="22"/>
                <w:highlight w:val="none"/>
                <w:lang w:eastAsia="zh-CN"/>
              </w:rPr>
            </w:pPr>
            <w:r>
              <w:rPr>
                <w:rFonts w:hint="eastAsia" w:ascii="宋体" w:hAnsi="宋体" w:eastAsia="宋体" w:cs="宋体"/>
                <w:color w:val="auto"/>
                <w:sz w:val="20"/>
                <w:szCs w:val="22"/>
                <w:highlight w:val="none"/>
                <w:lang w:eastAsia="zh-CN"/>
              </w:rPr>
              <w:t>提供</w:t>
            </w:r>
            <w:r>
              <w:rPr>
                <w:rFonts w:hint="eastAsia" w:ascii="宋体" w:hAnsi="宋体" w:eastAsia="宋体" w:cs="宋体"/>
                <w:color w:val="auto"/>
                <w:sz w:val="20"/>
                <w:szCs w:val="22"/>
                <w:highlight w:val="none"/>
                <w:lang w:val="en-US" w:eastAsia="zh-CN"/>
              </w:rPr>
              <w:t>2024年</w:t>
            </w:r>
            <w:r>
              <w:rPr>
                <w:rFonts w:hint="eastAsia" w:ascii="宋体" w:hAnsi="宋体" w:eastAsia="宋体" w:cs="宋体"/>
                <w:color w:val="auto"/>
                <w:sz w:val="20"/>
                <w:szCs w:val="22"/>
                <w:highlight w:val="none"/>
                <w:lang w:eastAsia="zh-CN"/>
              </w:rPr>
              <w:t>度财务状况报告扫描件（投标文件中只需提供上述报告中的审计结论意见书及资产负债表、损益利润分配表扫描件）或银行资信证明；新成立的或成立不足一年的的公司提供最近月份的财务报表或银行资信证明；</w:t>
            </w:r>
          </w:p>
          <w:p w14:paraId="49B6E365">
            <w:pPr>
              <w:pStyle w:val="52"/>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提供202</w:t>
            </w:r>
            <w:r>
              <w:rPr>
                <w:rFonts w:hint="eastAsia" w:ascii="宋体" w:hAnsi="宋体" w:eastAsia="宋体" w:cs="宋体"/>
                <w:color w:val="auto"/>
                <w:sz w:val="20"/>
                <w:szCs w:val="22"/>
                <w:highlight w:val="none"/>
                <w:lang w:val="en-US" w:eastAsia="zh-CN"/>
              </w:rPr>
              <w:t>5</w:t>
            </w:r>
            <w:r>
              <w:rPr>
                <w:rFonts w:hint="eastAsia" w:ascii="宋体" w:hAnsi="宋体" w:eastAsia="宋体" w:cs="宋体"/>
                <w:color w:val="auto"/>
                <w:sz w:val="20"/>
                <w:szCs w:val="22"/>
                <w:highlight w:val="none"/>
              </w:rPr>
              <w:t>年</w:t>
            </w:r>
            <w:r>
              <w:rPr>
                <w:rFonts w:hint="eastAsia" w:ascii="宋体" w:hAnsi="宋体" w:eastAsia="宋体" w:cs="宋体"/>
                <w:color w:val="auto"/>
                <w:sz w:val="20"/>
                <w:szCs w:val="22"/>
                <w:highlight w:val="none"/>
                <w:lang w:val="en-US" w:eastAsia="zh-CN"/>
              </w:rPr>
              <w:t>2</w:t>
            </w:r>
            <w:r>
              <w:rPr>
                <w:rFonts w:hint="eastAsia" w:ascii="宋体" w:hAnsi="宋体" w:eastAsia="宋体" w:cs="宋体"/>
                <w:color w:val="auto"/>
                <w:sz w:val="20"/>
                <w:szCs w:val="22"/>
                <w:highlight w:val="none"/>
              </w:rPr>
              <w:t>月-202</w:t>
            </w:r>
            <w:r>
              <w:rPr>
                <w:rFonts w:hint="eastAsia" w:ascii="宋体" w:hAnsi="宋体" w:eastAsia="宋体" w:cs="宋体"/>
                <w:color w:val="auto"/>
                <w:sz w:val="20"/>
                <w:szCs w:val="22"/>
                <w:highlight w:val="none"/>
                <w:lang w:val="en-US" w:eastAsia="zh-CN"/>
              </w:rPr>
              <w:t>5</w:t>
            </w:r>
            <w:r>
              <w:rPr>
                <w:rFonts w:hint="eastAsia" w:ascii="宋体" w:hAnsi="宋体" w:eastAsia="宋体" w:cs="宋体"/>
                <w:color w:val="auto"/>
                <w:sz w:val="20"/>
                <w:szCs w:val="22"/>
                <w:highlight w:val="none"/>
              </w:rPr>
              <w:t>年</w:t>
            </w:r>
            <w:r>
              <w:rPr>
                <w:rFonts w:hint="eastAsia" w:ascii="宋体" w:hAnsi="宋体" w:eastAsia="宋体" w:cs="宋体"/>
                <w:color w:val="auto"/>
                <w:sz w:val="20"/>
                <w:szCs w:val="22"/>
                <w:highlight w:val="none"/>
                <w:lang w:val="en-US" w:eastAsia="zh-CN"/>
              </w:rPr>
              <w:t>7</w:t>
            </w:r>
            <w:r>
              <w:rPr>
                <w:rFonts w:hint="eastAsia" w:ascii="宋体" w:hAnsi="宋体" w:eastAsia="宋体" w:cs="宋体"/>
                <w:color w:val="auto"/>
                <w:sz w:val="20"/>
                <w:szCs w:val="22"/>
                <w:highlight w:val="none"/>
              </w:rPr>
              <w:t>月（任意连续3个月）依法纳税及依法缴纳社会保障金相关证明文件。</w:t>
            </w:r>
          </w:p>
          <w:p w14:paraId="28033769">
            <w:pPr>
              <w:pStyle w:val="52"/>
              <w:rPr>
                <w:rFonts w:ascii="宋体" w:hAnsi="宋体" w:eastAsia="宋体" w:cs="宋体"/>
                <w:color w:val="auto"/>
                <w:sz w:val="20"/>
                <w:szCs w:val="22"/>
                <w:highlight w:val="none"/>
              </w:rPr>
            </w:pPr>
            <w:r>
              <w:rPr>
                <w:rFonts w:hint="eastAsia" w:ascii="宋体" w:hAnsi="宋体" w:eastAsia="宋体" w:cs="宋体"/>
                <w:color w:val="auto"/>
                <w:sz w:val="20"/>
                <w:szCs w:val="22"/>
                <w:highlight w:val="none"/>
              </w:rPr>
              <w:t>注：根据《湖南省财政厅关于政府采购促进中小企业发展有关措施的通知》要求，中小微企业参与本项目投标，只需提供‘湖南省政府采购供应商资格承诺函’，视同满足上述要求。其他投标人按要求提供。</w:t>
            </w:r>
          </w:p>
        </w:tc>
      </w:tr>
      <w:tr w14:paraId="3E196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tcBorders>
              <w:top w:val="single" w:color="auto" w:sz="4" w:space="0"/>
            </w:tcBorders>
            <w:noWrap w:val="0"/>
            <w:vAlign w:val="center"/>
          </w:tcPr>
          <w:p w14:paraId="6AC3E94B">
            <w:pPr>
              <w:adjustRightInd w:val="0"/>
              <w:snapToGrid w:val="0"/>
              <w:spacing w:before="156" w:beforeLines="50" w:line="360" w:lineRule="auto"/>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w:t>
            </w:r>
          </w:p>
        </w:tc>
        <w:tc>
          <w:tcPr>
            <w:tcW w:w="2111" w:type="dxa"/>
            <w:tcBorders>
              <w:top w:val="single" w:color="auto" w:sz="4" w:space="0"/>
            </w:tcBorders>
            <w:noWrap w:val="0"/>
            <w:vAlign w:val="center"/>
          </w:tcPr>
          <w:p w14:paraId="6C80D705">
            <w:pPr>
              <w:pStyle w:val="52"/>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具备履行合同所必需的设备和专业技术能力</w:t>
            </w:r>
          </w:p>
        </w:tc>
        <w:tc>
          <w:tcPr>
            <w:tcW w:w="6485" w:type="dxa"/>
            <w:tcBorders>
              <w:top w:val="single" w:color="auto" w:sz="4" w:space="0"/>
            </w:tcBorders>
            <w:noWrap w:val="0"/>
            <w:vAlign w:val="center"/>
          </w:tcPr>
          <w:p w14:paraId="79CAE2E0">
            <w:pPr>
              <w:pStyle w:val="52"/>
              <w:jc w:val="both"/>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按格式提供书面承诺。</w:t>
            </w:r>
          </w:p>
        </w:tc>
      </w:tr>
      <w:tr w14:paraId="531BEA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65673DFD">
            <w:pPr>
              <w:adjustRightInd w:val="0"/>
              <w:snapToGrid w:val="0"/>
              <w:spacing w:before="156" w:beforeLines="50" w:line="360" w:lineRule="auto"/>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6</w:t>
            </w:r>
          </w:p>
        </w:tc>
        <w:tc>
          <w:tcPr>
            <w:tcW w:w="2111" w:type="dxa"/>
            <w:noWrap w:val="0"/>
            <w:vAlign w:val="center"/>
          </w:tcPr>
          <w:p w14:paraId="504EB966">
            <w:pPr>
              <w:pStyle w:val="52"/>
              <w:jc w:val="center"/>
              <w:rPr>
                <w:rFonts w:ascii="宋体" w:hAnsi="宋体" w:eastAsia="宋体" w:cs="宋体"/>
                <w:color w:val="auto"/>
                <w:sz w:val="20"/>
                <w:szCs w:val="22"/>
                <w:highlight w:val="none"/>
              </w:rPr>
            </w:pPr>
            <w:r>
              <w:rPr>
                <w:rFonts w:hint="eastAsia" w:ascii="宋体" w:hAnsi="宋体" w:eastAsia="宋体" w:cs="宋体"/>
                <w:color w:val="auto"/>
                <w:sz w:val="20"/>
                <w:szCs w:val="22"/>
                <w:highlight w:val="none"/>
              </w:rPr>
              <w:t>单位负责人为同一人或者存在直接控股、管理关系的不同投标人，不得参加本项目同一合同项下的政府采购活动</w:t>
            </w:r>
          </w:p>
        </w:tc>
        <w:tc>
          <w:tcPr>
            <w:tcW w:w="6485" w:type="dxa"/>
            <w:noWrap w:val="0"/>
            <w:vAlign w:val="center"/>
          </w:tcPr>
          <w:p w14:paraId="358A9025">
            <w:pPr>
              <w:pStyle w:val="24"/>
              <w:spacing w:before="0" w:beforeAutospacing="0" w:after="0" w:afterAutospacing="0" w:line="400" w:lineRule="atLeast"/>
              <w:rPr>
                <w:color w:val="auto"/>
                <w:sz w:val="20"/>
                <w:szCs w:val="20"/>
                <w:highlight w:val="none"/>
              </w:rPr>
            </w:pPr>
            <w:r>
              <w:rPr>
                <w:rFonts w:hint="eastAsia"/>
                <w:color w:val="auto"/>
                <w:sz w:val="20"/>
                <w:szCs w:val="20"/>
                <w:highlight w:val="none"/>
              </w:rPr>
              <w:t>提供单位负责人为同一人或者存在直接控股、管理关系的不同投标人，不得参加本项目同一合同项下的政府采购活动的书面承诺；</w:t>
            </w:r>
          </w:p>
        </w:tc>
      </w:tr>
      <w:tr w14:paraId="450BC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294769EF">
            <w:pPr>
              <w:adjustRightInd w:val="0"/>
              <w:snapToGrid w:val="0"/>
              <w:spacing w:before="156" w:beforeLines="50" w:line="360" w:lineRule="auto"/>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7</w:t>
            </w:r>
          </w:p>
        </w:tc>
        <w:tc>
          <w:tcPr>
            <w:tcW w:w="2111" w:type="dxa"/>
            <w:noWrap w:val="0"/>
            <w:vAlign w:val="center"/>
          </w:tcPr>
          <w:p w14:paraId="51115F2E">
            <w:pPr>
              <w:pStyle w:val="52"/>
              <w:jc w:val="center"/>
              <w:rPr>
                <w:rFonts w:hint="eastAsia" w:ascii="宋体" w:hAnsi="宋体" w:eastAsia="宋体" w:cs="宋体"/>
                <w:color w:val="auto"/>
                <w:sz w:val="22"/>
                <w:szCs w:val="20"/>
                <w:highlight w:val="none"/>
              </w:rPr>
            </w:pPr>
            <w:r>
              <w:rPr>
                <w:rFonts w:hint="eastAsia" w:ascii="宋体" w:hAnsi="宋体" w:eastAsia="宋体" w:cs="宋体"/>
                <w:color w:val="auto"/>
                <w:sz w:val="20"/>
                <w:szCs w:val="22"/>
                <w:highlight w:val="none"/>
              </w:rPr>
              <w:t>无重大违法记录</w:t>
            </w:r>
          </w:p>
        </w:tc>
        <w:tc>
          <w:tcPr>
            <w:tcW w:w="6485" w:type="dxa"/>
            <w:noWrap w:val="0"/>
            <w:vAlign w:val="center"/>
          </w:tcPr>
          <w:p w14:paraId="7C7CA87D">
            <w:pPr>
              <w:pStyle w:val="24"/>
              <w:spacing w:line="400" w:lineRule="atLeast"/>
              <w:jc w:val="both"/>
              <w:rPr>
                <w:color w:val="auto"/>
                <w:sz w:val="22"/>
                <w:szCs w:val="20"/>
                <w:highlight w:val="none"/>
              </w:rPr>
            </w:pPr>
            <w:r>
              <w:rPr>
                <w:rFonts w:hint="eastAsia"/>
                <w:color w:val="auto"/>
                <w:sz w:val="20"/>
                <w:szCs w:val="20"/>
                <w:highlight w:val="none"/>
              </w:rPr>
              <w:t>提供参加政府采购活动前三年内，在经营活动中没有重大违法记录声明；</w:t>
            </w:r>
          </w:p>
        </w:tc>
      </w:tr>
      <w:tr w14:paraId="172DB8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69B1BE5A">
            <w:pPr>
              <w:adjustRightInd w:val="0"/>
              <w:snapToGrid w:val="0"/>
              <w:spacing w:before="156" w:beforeLines="50" w:line="360" w:lineRule="auto"/>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8</w:t>
            </w:r>
          </w:p>
        </w:tc>
        <w:tc>
          <w:tcPr>
            <w:tcW w:w="2111" w:type="dxa"/>
            <w:noWrap w:val="0"/>
            <w:vAlign w:val="center"/>
          </w:tcPr>
          <w:p w14:paraId="7F44141E">
            <w:pPr>
              <w:pStyle w:val="52"/>
              <w:jc w:val="center"/>
              <w:rPr>
                <w:rFonts w:ascii="宋体" w:hAnsi="宋体" w:eastAsia="宋体" w:cs="宋体"/>
                <w:color w:val="auto"/>
                <w:sz w:val="20"/>
                <w:szCs w:val="22"/>
                <w:highlight w:val="none"/>
              </w:rPr>
            </w:pPr>
            <w:r>
              <w:rPr>
                <w:rFonts w:hint="eastAsia" w:ascii="宋体" w:hAnsi="宋体" w:eastAsia="宋体" w:cs="宋体"/>
                <w:color w:val="auto"/>
                <w:sz w:val="20"/>
                <w:szCs w:val="22"/>
                <w:highlight w:val="none"/>
              </w:rPr>
              <w:t>投标报价</w:t>
            </w:r>
          </w:p>
        </w:tc>
        <w:tc>
          <w:tcPr>
            <w:tcW w:w="6485" w:type="dxa"/>
            <w:noWrap w:val="0"/>
            <w:vAlign w:val="center"/>
          </w:tcPr>
          <w:p w14:paraId="7B85A69C">
            <w:pPr>
              <w:pStyle w:val="52"/>
              <w:rPr>
                <w:rFonts w:ascii="宋体" w:hAnsi="宋体" w:eastAsia="宋体" w:cs="宋体"/>
                <w:color w:val="auto"/>
                <w:sz w:val="20"/>
                <w:szCs w:val="20"/>
                <w:highlight w:val="none"/>
              </w:rPr>
            </w:pPr>
            <w:r>
              <w:rPr>
                <w:rFonts w:hint="eastAsia" w:ascii="宋体" w:hAnsi="宋体" w:eastAsia="宋体" w:cs="宋体"/>
                <w:color w:val="auto"/>
                <w:sz w:val="20"/>
                <w:szCs w:val="22"/>
                <w:highlight w:val="none"/>
              </w:rPr>
              <w:t>报价超过招标文件中规定的预算金额或者最高限价的；</w:t>
            </w:r>
          </w:p>
        </w:tc>
      </w:tr>
      <w:tr w14:paraId="31E6A3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06B19E5B">
            <w:pPr>
              <w:adjustRightInd w:val="0"/>
              <w:snapToGrid w:val="0"/>
              <w:spacing w:before="156" w:beforeLines="50" w:line="360" w:lineRule="auto"/>
              <w:jc w:val="center"/>
              <w:rPr>
                <w:rFonts w:hint="eastAsia" w:ascii="宋体" w:hAnsi="宋体" w:eastAsia="宋体" w:cs="Times New Roman"/>
                <w:color w:val="auto"/>
                <w:kern w:val="0"/>
                <w:sz w:val="20"/>
                <w:szCs w:val="20"/>
                <w:highlight w:val="none"/>
                <w:lang w:eastAsia="zh-CN"/>
              </w:rPr>
            </w:pPr>
            <w:r>
              <w:rPr>
                <w:rFonts w:hint="eastAsia" w:ascii="宋体" w:hAnsi="宋体" w:eastAsia="宋体" w:cs="Times New Roman"/>
                <w:color w:val="auto"/>
                <w:kern w:val="0"/>
                <w:sz w:val="20"/>
                <w:szCs w:val="20"/>
                <w:highlight w:val="none"/>
                <w:lang w:val="en-US" w:eastAsia="zh-CN"/>
              </w:rPr>
              <w:t>9</w:t>
            </w:r>
          </w:p>
        </w:tc>
        <w:tc>
          <w:tcPr>
            <w:tcW w:w="2111" w:type="dxa"/>
            <w:noWrap w:val="0"/>
            <w:vAlign w:val="center"/>
          </w:tcPr>
          <w:p w14:paraId="348A667C">
            <w:pPr>
              <w:pStyle w:val="52"/>
              <w:jc w:val="center"/>
              <w:rPr>
                <w:rFonts w:ascii="宋体" w:hAnsi="宋体" w:eastAsia="宋体" w:cs="宋体"/>
                <w:color w:val="auto"/>
                <w:sz w:val="22"/>
                <w:szCs w:val="20"/>
                <w:highlight w:val="none"/>
              </w:rPr>
            </w:pPr>
            <w:r>
              <w:rPr>
                <w:rFonts w:hint="eastAsia" w:ascii="宋体" w:hAnsi="宋体" w:eastAsia="宋体" w:cs="宋体"/>
                <w:color w:val="auto"/>
                <w:sz w:val="20"/>
                <w:szCs w:val="22"/>
                <w:highlight w:val="none"/>
              </w:rPr>
              <w:t>信用记录查询情况</w:t>
            </w:r>
          </w:p>
        </w:tc>
        <w:tc>
          <w:tcPr>
            <w:tcW w:w="6485" w:type="dxa"/>
            <w:noWrap w:val="0"/>
            <w:vAlign w:val="center"/>
          </w:tcPr>
          <w:p w14:paraId="2537FBCD">
            <w:pPr>
              <w:pStyle w:val="24"/>
              <w:spacing w:before="0" w:beforeAutospacing="0" w:after="0" w:afterAutospacing="0" w:line="400" w:lineRule="atLeast"/>
              <w:rPr>
                <w:color w:val="auto"/>
                <w:sz w:val="22"/>
                <w:szCs w:val="20"/>
                <w:highlight w:val="none"/>
              </w:rPr>
            </w:pPr>
            <w:r>
              <w:rPr>
                <w:rFonts w:hint="eastAsia"/>
                <w:color w:val="auto"/>
                <w:sz w:val="20"/>
                <w:szCs w:val="20"/>
                <w:highlight w:val="none"/>
              </w:rPr>
              <w:t>投标人提供招标公告之日起通过“信用中国”网站（www.creditchina.gov.cn）或中国政府采购网（www.ccgp.gov.cn）查询的信用记录网上打印件或</w:t>
            </w:r>
            <w:r>
              <w:rPr>
                <w:color w:val="auto"/>
                <w:sz w:val="20"/>
                <w:szCs w:val="20"/>
                <w:highlight w:val="none"/>
              </w:rPr>
              <w:t>截图</w:t>
            </w:r>
            <w:r>
              <w:rPr>
                <w:rFonts w:hint="eastAsia"/>
                <w:color w:val="auto"/>
                <w:sz w:val="20"/>
                <w:szCs w:val="20"/>
                <w:highlight w:val="none"/>
              </w:rPr>
              <w:t>，应包括网站网址、查询内容、查询时间；</w:t>
            </w:r>
          </w:p>
        </w:tc>
      </w:tr>
      <w:tr w14:paraId="6D37C6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662" w:type="dxa"/>
            <w:noWrap w:val="0"/>
            <w:vAlign w:val="center"/>
          </w:tcPr>
          <w:p w14:paraId="258FD95A">
            <w:pPr>
              <w:adjustRightInd w:val="0"/>
              <w:snapToGrid w:val="0"/>
              <w:spacing w:before="156" w:beforeLines="50" w:line="360" w:lineRule="auto"/>
              <w:jc w:val="center"/>
              <w:rPr>
                <w:rFonts w:hint="default" w:ascii="宋体" w:hAnsi="宋体" w:eastAsia="宋体" w:cs="Times New Roman"/>
                <w:color w:val="auto"/>
                <w:kern w:val="0"/>
                <w:sz w:val="20"/>
                <w:szCs w:val="20"/>
                <w:highlight w:val="none"/>
                <w:lang w:val="en-US" w:eastAsia="zh-CN"/>
              </w:rPr>
            </w:pPr>
            <w:r>
              <w:rPr>
                <w:rFonts w:hint="eastAsia" w:ascii="宋体" w:hAnsi="宋体" w:eastAsia="宋体" w:cs="Times New Roman"/>
                <w:color w:val="auto"/>
                <w:kern w:val="0"/>
                <w:sz w:val="20"/>
                <w:szCs w:val="20"/>
                <w:highlight w:val="none"/>
                <w:lang w:val="en-US" w:eastAsia="zh-CN"/>
              </w:rPr>
              <w:t>10</w:t>
            </w:r>
          </w:p>
        </w:tc>
        <w:tc>
          <w:tcPr>
            <w:tcW w:w="2111" w:type="dxa"/>
            <w:noWrap w:val="0"/>
            <w:vAlign w:val="center"/>
          </w:tcPr>
          <w:p w14:paraId="3C55D763">
            <w:pPr>
              <w:pStyle w:val="52"/>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t>投标响应文件</w:t>
            </w:r>
            <w:r>
              <w:rPr>
                <w:rFonts w:ascii="宋体" w:hAnsi="宋体" w:eastAsia="宋体" w:cs="宋体"/>
                <w:color w:val="auto"/>
                <w:sz w:val="20"/>
                <w:szCs w:val="22"/>
                <w:highlight w:val="none"/>
              </w:rPr>
              <w:t>的签署、盖章</w:t>
            </w:r>
          </w:p>
        </w:tc>
        <w:tc>
          <w:tcPr>
            <w:tcW w:w="6485" w:type="dxa"/>
            <w:noWrap w:val="0"/>
            <w:vAlign w:val="center"/>
          </w:tcPr>
          <w:p w14:paraId="65FB4479">
            <w:pPr>
              <w:pStyle w:val="24"/>
              <w:spacing w:before="0" w:beforeAutospacing="0" w:after="0" w:afterAutospacing="0" w:line="400" w:lineRule="atLeast"/>
              <w:rPr>
                <w:rFonts w:hint="eastAsia"/>
                <w:color w:val="auto"/>
                <w:sz w:val="20"/>
                <w:szCs w:val="20"/>
                <w:highlight w:val="none"/>
              </w:rPr>
            </w:pPr>
            <w:r>
              <w:rPr>
                <w:rFonts w:hint="eastAsia"/>
                <w:color w:val="auto"/>
                <w:sz w:val="20"/>
                <w:szCs w:val="20"/>
                <w:highlight w:val="none"/>
              </w:rPr>
              <w:t>响应</w:t>
            </w:r>
            <w:r>
              <w:rPr>
                <w:color w:val="auto"/>
                <w:sz w:val="20"/>
                <w:szCs w:val="20"/>
                <w:highlight w:val="none"/>
              </w:rPr>
              <w:t>文件</w:t>
            </w:r>
            <w:r>
              <w:rPr>
                <w:rFonts w:hint="eastAsia"/>
                <w:color w:val="auto"/>
                <w:sz w:val="20"/>
                <w:szCs w:val="20"/>
                <w:highlight w:val="none"/>
              </w:rPr>
              <w:t>是否按</w:t>
            </w:r>
            <w:r>
              <w:rPr>
                <w:color w:val="auto"/>
                <w:sz w:val="20"/>
                <w:szCs w:val="20"/>
                <w:highlight w:val="none"/>
              </w:rPr>
              <w:t>招标要求签</w:t>
            </w:r>
            <w:r>
              <w:rPr>
                <w:rFonts w:hint="eastAsia"/>
                <w:color w:val="auto"/>
                <w:sz w:val="20"/>
                <w:szCs w:val="20"/>
                <w:highlight w:val="none"/>
              </w:rPr>
              <w:t>字</w:t>
            </w:r>
            <w:r>
              <w:rPr>
                <w:color w:val="auto"/>
                <w:sz w:val="20"/>
                <w:szCs w:val="20"/>
                <w:highlight w:val="none"/>
              </w:rPr>
              <w:t>、盖章</w:t>
            </w:r>
          </w:p>
        </w:tc>
      </w:tr>
      <w:tr w14:paraId="7935F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trPr>
        <w:tc>
          <w:tcPr>
            <w:tcW w:w="662" w:type="dxa"/>
            <w:noWrap w:val="0"/>
            <w:vAlign w:val="center"/>
          </w:tcPr>
          <w:p w14:paraId="0C3E35FE">
            <w:pPr>
              <w:adjustRightInd w:val="0"/>
              <w:snapToGrid w:val="0"/>
              <w:spacing w:before="156" w:beforeLines="50" w:line="360" w:lineRule="auto"/>
              <w:jc w:val="center"/>
              <w:rPr>
                <w:rFonts w:ascii="宋体" w:hAnsi="宋体" w:eastAsia="宋体" w:cs="宋体"/>
                <w:color w:val="auto"/>
                <w:kern w:val="0"/>
                <w:sz w:val="18"/>
                <w:szCs w:val="20"/>
                <w:highlight w:val="none"/>
              </w:rPr>
            </w:pPr>
            <w:r>
              <w:rPr>
                <w:rFonts w:hint="eastAsia" w:ascii="宋体" w:hAnsi="宋体" w:eastAsia="宋体" w:cs="Times New Roman"/>
                <w:color w:val="auto"/>
                <w:kern w:val="0"/>
                <w:sz w:val="18"/>
                <w:szCs w:val="20"/>
                <w:highlight w:val="none"/>
              </w:rPr>
              <w:t>结论</w:t>
            </w:r>
          </w:p>
        </w:tc>
        <w:tc>
          <w:tcPr>
            <w:tcW w:w="8596" w:type="dxa"/>
            <w:gridSpan w:val="2"/>
            <w:noWrap w:val="0"/>
            <w:vAlign w:val="center"/>
          </w:tcPr>
          <w:p w14:paraId="3108B22B">
            <w:pPr>
              <w:adjustRightInd w:val="0"/>
              <w:snapToGrid w:val="0"/>
              <w:spacing w:before="156" w:beforeLines="50" w:line="360" w:lineRule="auto"/>
              <w:jc w:val="center"/>
              <w:rPr>
                <w:rFonts w:ascii="宋体" w:hAnsi="宋体" w:eastAsia="宋体" w:cs="宋体"/>
                <w:color w:val="auto"/>
                <w:kern w:val="0"/>
                <w:sz w:val="20"/>
                <w:szCs w:val="20"/>
                <w:highlight w:val="none"/>
              </w:rPr>
            </w:pPr>
          </w:p>
        </w:tc>
      </w:tr>
    </w:tbl>
    <w:p w14:paraId="608776ED">
      <w:pPr>
        <w:pStyle w:val="7"/>
        <w:adjustRightInd w:val="0"/>
        <w:snapToGrid w:val="0"/>
        <w:spacing w:before="0" w:after="0" w:line="360" w:lineRule="auto"/>
        <w:rPr>
          <w:rFonts w:ascii="黑体" w:hAnsi="黑体"/>
          <w:b w:val="0"/>
          <w:color w:val="auto"/>
          <w:sz w:val="21"/>
          <w:szCs w:val="21"/>
          <w:highlight w:val="none"/>
        </w:rPr>
      </w:pPr>
      <w:bookmarkStart w:id="30" w:name="_Toc18840"/>
      <w:r>
        <w:rPr>
          <w:rFonts w:hint="eastAsia" w:ascii="黑体" w:hAnsi="黑体"/>
          <w:b w:val="0"/>
          <w:color w:val="auto"/>
          <w:sz w:val="21"/>
          <w:szCs w:val="21"/>
          <w:highlight w:val="none"/>
        </w:rPr>
        <w:t>附表2 资格审查结果一览表</w:t>
      </w:r>
      <w:bookmarkEnd w:id="30"/>
    </w:p>
    <w:p w14:paraId="34CCD0C9">
      <w:pPr>
        <w:adjustRightInd w:val="0"/>
        <w:snapToGrid w:val="0"/>
        <w:spacing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资格审查结果一览表</w:t>
      </w:r>
    </w:p>
    <w:p w14:paraId="6E70D892">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政府采购计划编号：</w:t>
      </w:r>
      <w:r>
        <w:rPr>
          <w:rFonts w:hint="eastAsia" w:ascii="宋体" w:hAnsi="宋体"/>
          <w:color w:val="auto"/>
          <w:szCs w:val="21"/>
          <w:highlight w:val="none"/>
          <w:u w:val="single"/>
        </w:rPr>
        <w:t xml:space="preserve">         </w:t>
      </w: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5698C3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1BB138D2">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序号</w:t>
            </w:r>
          </w:p>
        </w:tc>
        <w:tc>
          <w:tcPr>
            <w:tcW w:w="2963" w:type="dxa"/>
            <w:noWrap w:val="0"/>
            <w:vAlign w:val="center"/>
          </w:tcPr>
          <w:p w14:paraId="1589FB37">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投标人名称</w:t>
            </w:r>
          </w:p>
        </w:tc>
        <w:tc>
          <w:tcPr>
            <w:tcW w:w="2439" w:type="dxa"/>
            <w:noWrap w:val="0"/>
            <w:vAlign w:val="center"/>
          </w:tcPr>
          <w:p w14:paraId="5DD5827D">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资格审查结果</w:t>
            </w:r>
          </w:p>
          <w:p w14:paraId="59211369">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（合格/不合格）</w:t>
            </w:r>
          </w:p>
        </w:tc>
        <w:tc>
          <w:tcPr>
            <w:tcW w:w="2961" w:type="dxa"/>
            <w:noWrap w:val="0"/>
            <w:vAlign w:val="center"/>
          </w:tcPr>
          <w:p w14:paraId="1F4AF39A">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资格审查不合格原因</w:t>
            </w:r>
          </w:p>
        </w:tc>
      </w:tr>
      <w:tr w14:paraId="7042B0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372EDB6A">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6B3A81ED">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7599E34F">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3D34C886">
            <w:pPr>
              <w:adjustRightInd w:val="0"/>
              <w:snapToGrid w:val="0"/>
              <w:spacing w:line="360" w:lineRule="auto"/>
              <w:rPr>
                <w:rFonts w:ascii="宋体" w:hAnsi="宋体" w:eastAsia="宋体" w:cs="Times New Roman"/>
                <w:color w:val="auto"/>
                <w:kern w:val="0"/>
                <w:sz w:val="24"/>
                <w:highlight w:val="none"/>
              </w:rPr>
            </w:pPr>
          </w:p>
        </w:tc>
      </w:tr>
      <w:tr w14:paraId="1EB2CC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ABC98AE">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0A9116CD">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603C6CA6">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15A4FF9C">
            <w:pPr>
              <w:adjustRightInd w:val="0"/>
              <w:snapToGrid w:val="0"/>
              <w:spacing w:line="360" w:lineRule="auto"/>
              <w:rPr>
                <w:rFonts w:ascii="宋体" w:hAnsi="宋体" w:eastAsia="宋体" w:cs="Times New Roman"/>
                <w:color w:val="auto"/>
                <w:kern w:val="0"/>
                <w:sz w:val="24"/>
                <w:highlight w:val="none"/>
              </w:rPr>
            </w:pPr>
          </w:p>
        </w:tc>
      </w:tr>
      <w:tr w14:paraId="383002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384A6556">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7E9F55EA">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096D3DE9">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3D3ADC7E">
            <w:pPr>
              <w:adjustRightInd w:val="0"/>
              <w:snapToGrid w:val="0"/>
              <w:spacing w:line="360" w:lineRule="auto"/>
              <w:rPr>
                <w:rFonts w:ascii="宋体" w:hAnsi="宋体" w:eastAsia="宋体" w:cs="Times New Roman"/>
                <w:color w:val="auto"/>
                <w:kern w:val="0"/>
                <w:sz w:val="24"/>
                <w:highlight w:val="none"/>
              </w:rPr>
            </w:pPr>
          </w:p>
        </w:tc>
      </w:tr>
      <w:tr w14:paraId="45F783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450C5994">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533B3744">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6AD46285">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1B9E064B">
            <w:pPr>
              <w:adjustRightInd w:val="0"/>
              <w:snapToGrid w:val="0"/>
              <w:spacing w:line="360" w:lineRule="auto"/>
              <w:rPr>
                <w:rFonts w:ascii="宋体" w:hAnsi="宋体" w:eastAsia="宋体" w:cs="Times New Roman"/>
                <w:color w:val="auto"/>
                <w:kern w:val="0"/>
                <w:sz w:val="24"/>
                <w:highlight w:val="none"/>
              </w:rPr>
            </w:pPr>
          </w:p>
        </w:tc>
      </w:tr>
      <w:tr w14:paraId="15D38A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472E6F8">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492464D4">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23654CC8">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6FA35C34">
            <w:pPr>
              <w:adjustRightInd w:val="0"/>
              <w:snapToGrid w:val="0"/>
              <w:spacing w:line="360" w:lineRule="auto"/>
              <w:rPr>
                <w:rFonts w:ascii="宋体" w:hAnsi="宋体" w:eastAsia="宋体" w:cs="Times New Roman"/>
                <w:color w:val="auto"/>
                <w:kern w:val="0"/>
                <w:sz w:val="24"/>
                <w:highlight w:val="none"/>
              </w:rPr>
            </w:pPr>
          </w:p>
        </w:tc>
      </w:tr>
      <w:tr w14:paraId="1770E3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5CA69646">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1EDA8F57">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5B8C16AF">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5A550029">
            <w:pPr>
              <w:adjustRightInd w:val="0"/>
              <w:snapToGrid w:val="0"/>
              <w:spacing w:line="360" w:lineRule="auto"/>
              <w:rPr>
                <w:rFonts w:ascii="宋体" w:hAnsi="宋体" w:eastAsia="宋体" w:cs="Times New Roman"/>
                <w:color w:val="auto"/>
                <w:kern w:val="0"/>
                <w:sz w:val="24"/>
                <w:highlight w:val="none"/>
              </w:rPr>
            </w:pPr>
          </w:p>
        </w:tc>
      </w:tr>
      <w:tr w14:paraId="661E4E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BA31564">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5E4A0FAE">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68F33084">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7FE3C7F3">
            <w:pPr>
              <w:adjustRightInd w:val="0"/>
              <w:snapToGrid w:val="0"/>
              <w:spacing w:line="360" w:lineRule="auto"/>
              <w:rPr>
                <w:rFonts w:ascii="宋体" w:hAnsi="宋体" w:eastAsia="宋体" w:cs="Times New Roman"/>
                <w:color w:val="auto"/>
                <w:kern w:val="0"/>
                <w:sz w:val="24"/>
                <w:highlight w:val="none"/>
              </w:rPr>
            </w:pPr>
          </w:p>
        </w:tc>
      </w:tr>
      <w:tr w14:paraId="7D6C3E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771555C">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425F81FE">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3424CD1D">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01C31EF2">
            <w:pPr>
              <w:adjustRightInd w:val="0"/>
              <w:snapToGrid w:val="0"/>
              <w:spacing w:line="360" w:lineRule="auto"/>
              <w:rPr>
                <w:rFonts w:ascii="宋体" w:hAnsi="宋体" w:eastAsia="宋体" w:cs="Times New Roman"/>
                <w:color w:val="auto"/>
                <w:kern w:val="0"/>
                <w:sz w:val="24"/>
                <w:highlight w:val="none"/>
              </w:rPr>
            </w:pPr>
          </w:p>
        </w:tc>
      </w:tr>
      <w:tr w14:paraId="202B2A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5FE55DE">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54ABE815">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1FAB2D99">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133FD0E2">
            <w:pPr>
              <w:adjustRightInd w:val="0"/>
              <w:snapToGrid w:val="0"/>
              <w:spacing w:line="360" w:lineRule="auto"/>
              <w:rPr>
                <w:rFonts w:ascii="宋体" w:hAnsi="宋体" w:eastAsia="宋体" w:cs="Times New Roman"/>
                <w:color w:val="auto"/>
                <w:kern w:val="0"/>
                <w:sz w:val="24"/>
                <w:highlight w:val="none"/>
              </w:rPr>
            </w:pPr>
          </w:p>
        </w:tc>
      </w:tr>
    </w:tbl>
    <w:p w14:paraId="43F9D55A">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27600E5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采购代理机构（签字）：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0C262C23">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86F5066">
      <w:pPr>
        <w:widowControl/>
        <w:jc w:val="left"/>
        <w:rPr>
          <w:rFonts w:ascii="宋体" w:hAnsi="宋体"/>
          <w:color w:val="auto"/>
          <w:sz w:val="24"/>
          <w:highlight w:val="none"/>
        </w:rPr>
      </w:pPr>
      <w:r>
        <w:rPr>
          <w:rFonts w:ascii="宋体" w:hAnsi="宋体"/>
          <w:color w:val="auto"/>
          <w:sz w:val="24"/>
          <w:highlight w:val="none"/>
        </w:rPr>
        <w:br w:type="page"/>
      </w:r>
      <w:r>
        <w:rPr>
          <w:rFonts w:hint="eastAsia" w:ascii="黑体" w:hAnsi="黑体"/>
          <w:b/>
          <w:color w:val="auto"/>
          <w:szCs w:val="21"/>
          <w:highlight w:val="none"/>
        </w:rPr>
        <w:t>附表3 资格审查合格投标人名单</w:t>
      </w:r>
    </w:p>
    <w:p w14:paraId="23B13975">
      <w:pPr>
        <w:adjustRightInd w:val="0"/>
        <w:snapToGrid w:val="0"/>
        <w:spacing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资格审查合格投标人名单</w:t>
      </w:r>
    </w:p>
    <w:p w14:paraId="0CCFE3E6">
      <w:pPr>
        <w:adjustRightInd w:val="0"/>
        <w:snapToGrid w:val="0"/>
        <w:spacing w:line="360" w:lineRule="auto"/>
        <w:rPr>
          <w:rFonts w:ascii="华文中宋" w:hAnsi="华文中宋" w:eastAsia="华文中宋"/>
          <w:color w:val="auto"/>
          <w:sz w:val="32"/>
          <w:szCs w:val="32"/>
          <w:highlight w:val="non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政府采购计划编号：</w:t>
      </w:r>
      <w:r>
        <w:rPr>
          <w:rFonts w:hint="eastAsia" w:ascii="宋体" w:hAnsi="宋体"/>
          <w:color w:val="auto"/>
          <w:szCs w:val="21"/>
          <w:highlight w:val="none"/>
          <w:u w:val="single"/>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5C4F2D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14:paraId="14468DE3">
            <w:pPr>
              <w:jc w:val="center"/>
              <w:rPr>
                <w:rFonts w:ascii="Times New Roman" w:hAnsi="Times New Roman" w:eastAsia="宋体" w:cs="Times New Roman"/>
                <w:b/>
                <w:color w:val="auto"/>
                <w:kern w:val="0"/>
                <w:szCs w:val="21"/>
                <w:highlight w:val="none"/>
              </w:rPr>
            </w:pPr>
            <w:r>
              <w:rPr>
                <w:rFonts w:hint="eastAsia" w:ascii="Times New Roman" w:hAnsi="Times New Roman" w:eastAsia="宋体" w:cs="Times New Roman"/>
                <w:b/>
                <w:color w:val="auto"/>
                <w:kern w:val="0"/>
                <w:szCs w:val="21"/>
                <w:highlight w:val="none"/>
              </w:rPr>
              <w:t>序号</w:t>
            </w:r>
          </w:p>
        </w:tc>
        <w:tc>
          <w:tcPr>
            <w:tcW w:w="7796" w:type="dxa"/>
            <w:noWrap w:val="0"/>
            <w:vAlign w:val="center"/>
          </w:tcPr>
          <w:p w14:paraId="04A8BBC3">
            <w:pPr>
              <w:jc w:val="center"/>
              <w:rPr>
                <w:rFonts w:ascii="Times New Roman" w:hAnsi="Times New Roman" w:eastAsia="宋体" w:cs="Times New Roman"/>
                <w:b/>
                <w:color w:val="auto"/>
                <w:kern w:val="0"/>
                <w:szCs w:val="21"/>
                <w:highlight w:val="none"/>
              </w:rPr>
            </w:pPr>
            <w:r>
              <w:rPr>
                <w:rFonts w:hint="eastAsia" w:ascii="Times New Roman" w:hAnsi="Times New Roman" w:eastAsia="宋体" w:cs="Times New Roman"/>
                <w:b/>
                <w:color w:val="auto"/>
                <w:kern w:val="0"/>
                <w:szCs w:val="21"/>
                <w:highlight w:val="none"/>
              </w:rPr>
              <w:t>合格投标人名称</w:t>
            </w:r>
          </w:p>
        </w:tc>
      </w:tr>
      <w:tr w14:paraId="32E8FF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27DD0BF">
            <w:pPr>
              <w:adjustRightInd w:val="0"/>
              <w:snapToGrid w:val="0"/>
              <w:spacing w:line="360" w:lineRule="auto"/>
              <w:rPr>
                <w:rFonts w:ascii="宋体" w:hAnsi="宋体" w:eastAsia="宋体" w:cs="Times New Roman"/>
                <w:color w:val="auto"/>
                <w:kern w:val="0"/>
                <w:szCs w:val="21"/>
                <w:highlight w:val="none"/>
              </w:rPr>
            </w:pPr>
          </w:p>
        </w:tc>
        <w:tc>
          <w:tcPr>
            <w:tcW w:w="7796" w:type="dxa"/>
            <w:noWrap w:val="0"/>
            <w:vAlign w:val="top"/>
          </w:tcPr>
          <w:p w14:paraId="320E7DF2">
            <w:pPr>
              <w:adjustRightInd w:val="0"/>
              <w:snapToGrid w:val="0"/>
              <w:spacing w:line="360" w:lineRule="auto"/>
              <w:rPr>
                <w:rFonts w:ascii="宋体" w:hAnsi="宋体" w:eastAsia="宋体" w:cs="Times New Roman"/>
                <w:color w:val="auto"/>
                <w:kern w:val="0"/>
                <w:szCs w:val="21"/>
                <w:highlight w:val="none"/>
              </w:rPr>
            </w:pPr>
          </w:p>
        </w:tc>
      </w:tr>
      <w:tr w14:paraId="39B626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4E2CE33B">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7F3827D3">
            <w:pPr>
              <w:adjustRightInd w:val="0"/>
              <w:snapToGrid w:val="0"/>
              <w:spacing w:line="360" w:lineRule="auto"/>
              <w:rPr>
                <w:rFonts w:ascii="宋体" w:hAnsi="宋体" w:eastAsia="宋体" w:cs="Times New Roman"/>
                <w:color w:val="auto"/>
                <w:kern w:val="0"/>
                <w:sz w:val="24"/>
                <w:highlight w:val="none"/>
              </w:rPr>
            </w:pPr>
          </w:p>
        </w:tc>
      </w:tr>
      <w:tr w14:paraId="26A61A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A019D6A">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3BE8166D">
            <w:pPr>
              <w:adjustRightInd w:val="0"/>
              <w:snapToGrid w:val="0"/>
              <w:spacing w:line="360" w:lineRule="auto"/>
              <w:rPr>
                <w:rFonts w:ascii="宋体" w:hAnsi="宋体" w:eastAsia="宋体" w:cs="Times New Roman"/>
                <w:color w:val="auto"/>
                <w:kern w:val="0"/>
                <w:sz w:val="24"/>
                <w:highlight w:val="none"/>
              </w:rPr>
            </w:pPr>
          </w:p>
        </w:tc>
      </w:tr>
      <w:tr w14:paraId="6325ED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87E4ED8">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5CFB4832">
            <w:pPr>
              <w:adjustRightInd w:val="0"/>
              <w:snapToGrid w:val="0"/>
              <w:spacing w:line="360" w:lineRule="auto"/>
              <w:rPr>
                <w:rFonts w:ascii="宋体" w:hAnsi="宋体" w:eastAsia="宋体" w:cs="Times New Roman"/>
                <w:color w:val="auto"/>
                <w:kern w:val="0"/>
                <w:sz w:val="24"/>
                <w:highlight w:val="none"/>
              </w:rPr>
            </w:pPr>
          </w:p>
        </w:tc>
      </w:tr>
      <w:tr w14:paraId="11415B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28C1E1C8">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2C727E29">
            <w:pPr>
              <w:adjustRightInd w:val="0"/>
              <w:snapToGrid w:val="0"/>
              <w:spacing w:line="360" w:lineRule="auto"/>
              <w:rPr>
                <w:rFonts w:ascii="宋体" w:hAnsi="宋体" w:eastAsia="宋体" w:cs="Times New Roman"/>
                <w:color w:val="auto"/>
                <w:kern w:val="0"/>
                <w:sz w:val="24"/>
                <w:highlight w:val="none"/>
              </w:rPr>
            </w:pPr>
          </w:p>
        </w:tc>
      </w:tr>
      <w:tr w14:paraId="7DE577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20E253D3">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559DA697">
            <w:pPr>
              <w:adjustRightInd w:val="0"/>
              <w:snapToGrid w:val="0"/>
              <w:spacing w:line="360" w:lineRule="auto"/>
              <w:rPr>
                <w:rFonts w:ascii="宋体" w:hAnsi="宋体" w:eastAsia="宋体" w:cs="Times New Roman"/>
                <w:color w:val="auto"/>
                <w:kern w:val="0"/>
                <w:sz w:val="24"/>
                <w:highlight w:val="none"/>
              </w:rPr>
            </w:pPr>
          </w:p>
        </w:tc>
      </w:tr>
    </w:tbl>
    <w:p w14:paraId="1CBC6B30">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3BB0490B">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采购代理机构（签字）：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25A414BB">
      <w:pPr>
        <w:rPr>
          <w:rFonts w:ascii="黑体" w:hAnsi="华文中宋" w:eastAsia="黑体"/>
          <w:b/>
          <w:color w:val="auto"/>
          <w:sz w:val="10"/>
          <w:szCs w:val="10"/>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宋体" w:hAnsi="宋体"/>
          <w:color w:val="auto"/>
          <w:highlight w:val="none"/>
        </w:rPr>
        <w:br w:type="page"/>
      </w:r>
    </w:p>
    <w:p w14:paraId="0FC8ED20">
      <w:pPr>
        <w:pStyle w:val="13"/>
        <w:adjustRightInd w:val="0"/>
        <w:snapToGrid w:val="0"/>
        <w:spacing w:line="360" w:lineRule="auto"/>
        <w:jc w:val="center"/>
        <w:outlineLvl w:val="0"/>
        <w:rPr>
          <w:rFonts w:ascii="黑体" w:hAnsi="华文中宋" w:eastAsia="黑体"/>
          <w:b/>
          <w:color w:val="auto"/>
          <w:sz w:val="28"/>
          <w:szCs w:val="28"/>
          <w:highlight w:val="none"/>
        </w:rPr>
      </w:pPr>
      <w:bookmarkStart w:id="31" w:name="_Toc13418"/>
      <w:r>
        <w:rPr>
          <w:rFonts w:hint="eastAsia" w:ascii="黑体" w:hAnsi="华文中宋" w:eastAsia="黑体"/>
          <w:b/>
          <w:color w:val="auto"/>
          <w:sz w:val="32"/>
          <w:szCs w:val="32"/>
          <w:highlight w:val="none"/>
        </w:rPr>
        <w:t>第四章 评标方法及标准</w:t>
      </w:r>
      <w:bookmarkEnd w:id="31"/>
    </w:p>
    <w:p w14:paraId="4B7FD8CF">
      <w:pPr>
        <w:pStyle w:val="5"/>
        <w:adjustRightInd w:val="0"/>
        <w:snapToGrid w:val="0"/>
        <w:jc w:val="center"/>
        <w:rPr>
          <w:rFonts w:ascii="黑体" w:hAnsi="华文中宋" w:eastAsia="黑体"/>
          <w:color w:val="auto"/>
          <w:sz w:val="28"/>
          <w:szCs w:val="28"/>
          <w:highlight w:val="none"/>
        </w:rPr>
      </w:pPr>
      <w:bookmarkStart w:id="32" w:name="_Toc12275"/>
      <w:r>
        <w:rPr>
          <w:rFonts w:hint="eastAsia" w:ascii="黑体" w:hAnsi="华文中宋" w:eastAsia="黑体"/>
          <w:color w:val="auto"/>
          <w:sz w:val="28"/>
          <w:szCs w:val="28"/>
          <w:highlight w:val="none"/>
        </w:rPr>
        <w:t>第一节 评标方法及标准前附表</w:t>
      </w:r>
      <w:bookmarkEnd w:id="32"/>
    </w:p>
    <w:p w14:paraId="66D7E5B4">
      <w:pPr>
        <w:adjustRightInd w:val="0"/>
        <w:snapToGrid w:val="0"/>
        <w:spacing w:line="360" w:lineRule="auto"/>
        <w:jc w:val="right"/>
        <w:rPr>
          <w:rFonts w:ascii="宋体" w:hAnsi="宋体"/>
          <w:bCs/>
          <w:i/>
          <w:color w:val="auto"/>
          <w:szCs w:val="21"/>
          <w:highlight w:val="none"/>
        </w:rPr>
      </w:pPr>
      <w:r>
        <w:rPr>
          <w:rFonts w:hint="eastAsia" w:ascii="宋体" w:hAnsi="宋体"/>
          <w:bCs/>
          <w:i/>
          <w:color w:val="auto"/>
          <w:szCs w:val="21"/>
          <w:highlight w:val="none"/>
        </w:rPr>
        <w:t>本项目启用的条款在“编列内容规定”栏内以“</w:t>
      </w:r>
      <w:r>
        <w:rPr>
          <w:rFonts w:hint="eastAsia" w:ascii="宋体" w:hAnsi="宋体"/>
          <w:iCs/>
          <w:color w:val="auto"/>
          <w:szCs w:val="21"/>
          <w:highlight w:val="none"/>
        </w:rPr>
        <w:sym w:font="Wingdings" w:char="00FE"/>
      </w:r>
      <w:r>
        <w:rPr>
          <w:rFonts w:hint="eastAsia" w:ascii="宋体" w:hAnsi="宋体"/>
          <w:bCs/>
          <w:i/>
          <w:color w:val="auto"/>
          <w:szCs w:val="21"/>
          <w:highlight w:val="none"/>
        </w:rPr>
        <w:t>”标注。</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709"/>
        <w:gridCol w:w="1559"/>
        <w:gridCol w:w="4820"/>
      </w:tblGrid>
      <w:tr w14:paraId="6FC15F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double" w:color="auto" w:sz="4" w:space="0"/>
              <w:bottom w:val="single" w:color="auto" w:sz="6" w:space="0"/>
            </w:tcBorders>
            <w:noWrap w:val="0"/>
            <w:vAlign w:val="top"/>
          </w:tcPr>
          <w:p w14:paraId="6B5F6C63">
            <w:pPr>
              <w:adjustRightInd w:val="0"/>
              <w:snapToGrid w:val="0"/>
              <w:spacing w:before="156" w:beforeLines="50" w:line="360" w:lineRule="auto"/>
              <w:jc w:val="center"/>
              <w:rPr>
                <w:rFonts w:ascii="Times New Roman" w:hAnsi="Times New Roman" w:eastAsia="宋体" w:cs="Times New Roman"/>
                <w:b/>
                <w:color w:val="auto"/>
                <w:highlight w:val="none"/>
              </w:rPr>
            </w:pPr>
            <w:r>
              <w:rPr>
                <w:rFonts w:hint="eastAsia" w:ascii="Times New Roman" w:hAnsi="Times New Roman" w:eastAsia="宋体" w:cs="Times New Roman"/>
                <w:b/>
                <w:color w:val="auto"/>
                <w:highlight w:val="none"/>
              </w:rPr>
              <w:t>条款号</w:t>
            </w:r>
          </w:p>
        </w:tc>
        <w:tc>
          <w:tcPr>
            <w:tcW w:w="2268" w:type="dxa"/>
            <w:gridSpan w:val="2"/>
            <w:tcBorders>
              <w:top w:val="double" w:color="auto" w:sz="4" w:space="0"/>
              <w:bottom w:val="single" w:color="auto" w:sz="6" w:space="0"/>
            </w:tcBorders>
            <w:noWrap w:val="0"/>
            <w:vAlign w:val="top"/>
          </w:tcPr>
          <w:p w14:paraId="59184BB3">
            <w:pPr>
              <w:adjustRightInd w:val="0"/>
              <w:snapToGrid w:val="0"/>
              <w:spacing w:before="156" w:beforeLines="50" w:line="360" w:lineRule="auto"/>
              <w:jc w:val="center"/>
              <w:rPr>
                <w:rFonts w:ascii="Times New Roman" w:hAnsi="Times New Roman" w:eastAsia="宋体" w:cs="Times New Roman"/>
                <w:b/>
                <w:color w:val="auto"/>
                <w:highlight w:val="none"/>
              </w:rPr>
            </w:pPr>
            <w:r>
              <w:rPr>
                <w:rFonts w:hint="eastAsia" w:ascii="Times New Roman" w:hAnsi="Times New Roman" w:eastAsia="宋体" w:cs="Times New Roman"/>
                <w:b/>
                <w:color w:val="auto"/>
                <w:highlight w:val="none"/>
              </w:rPr>
              <w:t>条款名称</w:t>
            </w:r>
          </w:p>
        </w:tc>
        <w:tc>
          <w:tcPr>
            <w:tcW w:w="4820" w:type="dxa"/>
            <w:tcBorders>
              <w:top w:val="double" w:color="auto" w:sz="4" w:space="0"/>
              <w:bottom w:val="single" w:color="auto" w:sz="6" w:space="0"/>
            </w:tcBorders>
            <w:noWrap w:val="0"/>
            <w:vAlign w:val="top"/>
          </w:tcPr>
          <w:p w14:paraId="0ACBEC03">
            <w:pPr>
              <w:adjustRightInd w:val="0"/>
              <w:snapToGrid w:val="0"/>
              <w:spacing w:before="156" w:beforeLines="50" w:line="360" w:lineRule="auto"/>
              <w:jc w:val="center"/>
              <w:rPr>
                <w:rFonts w:ascii="Times New Roman" w:hAnsi="Times New Roman" w:eastAsia="宋体" w:cs="Times New Roman"/>
                <w:b/>
                <w:color w:val="auto"/>
                <w:highlight w:val="none"/>
              </w:rPr>
            </w:pPr>
            <w:r>
              <w:rPr>
                <w:rFonts w:hint="eastAsia" w:ascii="Times New Roman" w:hAnsi="Times New Roman" w:eastAsia="宋体" w:cs="Times New Roman"/>
                <w:b/>
                <w:color w:val="auto"/>
                <w:highlight w:val="none"/>
              </w:rPr>
              <w:t>编列内容规定</w:t>
            </w:r>
          </w:p>
        </w:tc>
      </w:tr>
      <w:tr w14:paraId="424C08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544BA8FE">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第1.3</w:t>
            </w:r>
            <w:r>
              <w:rPr>
                <w:rFonts w:hint="eastAsia" w:ascii="宋体" w:hAnsi="宋体" w:eastAsia="宋体" w:cs="宋体"/>
                <w:color w:val="auto"/>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73E55966">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评标方法</w:t>
            </w:r>
          </w:p>
        </w:tc>
        <w:tc>
          <w:tcPr>
            <w:tcW w:w="4820" w:type="dxa"/>
            <w:tcBorders>
              <w:top w:val="single" w:color="auto" w:sz="6" w:space="0"/>
              <w:bottom w:val="single" w:color="auto" w:sz="6" w:space="0"/>
            </w:tcBorders>
            <w:noWrap w:val="0"/>
            <w:vAlign w:val="center"/>
          </w:tcPr>
          <w:p w14:paraId="3A17A13D">
            <w:pPr>
              <w:snapToGrid w:val="0"/>
              <w:spacing w:before="156" w:line="360" w:lineRule="auto"/>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 xml:space="preserve">☑综合评分法   </w:t>
            </w:r>
            <w:r>
              <w:rPr>
                <w:rFonts w:ascii="宋体" w:hAnsi="宋体" w:eastAsia="宋体" w:cs="Times New Roman"/>
                <w:color w:val="auto"/>
                <w:szCs w:val="21"/>
                <w:highlight w:val="none"/>
              </w:rPr>
              <w:t xml:space="preserve">   </w:t>
            </w:r>
            <w:r>
              <w:rPr>
                <w:rFonts w:hint="eastAsia" w:ascii="黑体" w:hAnsi="黑体" w:eastAsia="黑体" w:cs="Times New Roman"/>
                <w:b/>
                <w:iCs/>
                <w:color w:val="auto"/>
                <w:sz w:val="24"/>
                <w:highlight w:val="none"/>
              </w:rPr>
              <w:sym w:font="Wingdings" w:char="00A8"/>
            </w:r>
            <w:r>
              <w:rPr>
                <w:rFonts w:hint="eastAsia" w:ascii="宋体" w:hAnsi="宋体" w:eastAsia="宋体" w:cs="Times New Roman"/>
                <w:color w:val="auto"/>
                <w:szCs w:val="21"/>
                <w:highlight w:val="none"/>
              </w:rPr>
              <w:t>最低评标价法</w:t>
            </w:r>
          </w:p>
        </w:tc>
      </w:tr>
      <w:tr w14:paraId="4C6713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3AA089A1">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第3.4</w:t>
            </w:r>
            <w:r>
              <w:rPr>
                <w:rFonts w:hint="eastAsia" w:ascii="宋体" w:hAnsi="宋体" w:eastAsia="宋体" w:cs="宋体"/>
                <w:color w:val="auto"/>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7B3AD456">
            <w:pPr>
              <w:adjustRightInd w:val="0"/>
              <w:snapToGrid w:val="0"/>
              <w:spacing w:before="156" w:beforeLines="50" w:line="360" w:lineRule="auto"/>
              <w:jc w:val="center"/>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非单一产品采购项目的核心产品</w:t>
            </w:r>
          </w:p>
        </w:tc>
        <w:tc>
          <w:tcPr>
            <w:tcW w:w="4820" w:type="dxa"/>
            <w:tcBorders>
              <w:top w:val="single" w:color="auto" w:sz="6" w:space="0"/>
              <w:bottom w:val="single" w:color="auto" w:sz="6" w:space="0"/>
            </w:tcBorders>
            <w:noWrap w:val="0"/>
            <w:vAlign w:val="center"/>
          </w:tcPr>
          <w:p w14:paraId="21ED2B7E">
            <w:pPr>
              <w:snapToGrid w:val="0"/>
              <w:spacing w:before="156"/>
              <w:jc w:val="left"/>
              <w:textAlignment w:val="baseline"/>
              <w:rPr>
                <w:rFonts w:ascii="宋体" w:hAnsi="宋体" w:eastAsia="宋体" w:cs="Times New Roman"/>
                <w:bCs/>
                <w:color w:val="auto"/>
                <w:sz w:val="20"/>
                <w:szCs w:val="21"/>
                <w:highlight w:val="none"/>
              </w:rPr>
            </w:pPr>
            <w:r>
              <w:rPr>
                <w:rFonts w:hint="eastAsia" w:ascii="宋体" w:hAnsi="宋体" w:eastAsia="宋体" w:cs="Times New Roman"/>
                <w:bCs/>
                <w:color w:val="auto"/>
                <w:szCs w:val="21"/>
                <w:highlight w:val="none"/>
              </w:rPr>
              <w:t>多家投标人提供的核心产品品牌相同的，视为相同品牌，按本章第二节第 5.2 款规定处理。</w:t>
            </w:r>
          </w:p>
        </w:tc>
      </w:tr>
      <w:tr w14:paraId="534F66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0A03A5D1">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第4.2</w:t>
            </w:r>
            <w:r>
              <w:rPr>
                <w:rFonts w:hint="eastAsia" w:ascii="宋体" w:hAnsi="宋体" w:eastAsia="宋体" w:cs="宋体"/>
                <w:color w:val="auto"/>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36E8CE42">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投标文件报价出现前后不一致的修正</w:t>
            </w:r>
          </w:p>
        </w:tc>
        <w:tc>
          <w:tcPr>
            <w:tcW w:w="4820" w:type="dxa"/>
            <w:tcBorders>
              <w:top w:val="single" w:color="auto" w:sz="6" w:space="0"/>
              <w:bottom w:val="single" w:color="auto" w:sz="6" w:space="0"/>
            </w:tcBorders>
            <w:noWrap w:val="0"/>
            <w:vAlign w:val="center"/>
          </w:tcPr>
          <w:p w14:paraId="1D7C8B38">
            <w:pPr>
              <w:adjustRightInd w:val="0"/>
              <w:snapToGrid w:val="0"/>
              <w:rPr>
                <w:rFonts w:ascii="Times New Roman" w:hAnsi="Times New Roman" w:eastAsia="宋体" w:cs="Times New Roman"/>
                <w:color w:val="auto"/>
                <w:szCs w:val="21"/>
                <w:highlight w:val="none"/>
              </w:rPr>
            </w:pPr>
            <w:r>
              <w:rPr>
                <w:rFonts w:hint="eastAsia" w:ascii="宋体" w:hAnsi="宋体" w:eastAsia="宋体" w:cs="Times New Roman"/>
                <w:color w:val="auto"/>
                <w:szCs w:val="21"/>
                <w:highlight w:val="none"/>
              </w:rPr>
              <w:t>见评标方法及标准正文第4.2款</w:t>
            </w:r>
          </w:p>
        </w:tc>
      </w:tr>
      <w:tr w14:paraId="40B853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2182D39B">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第5.2（1）</w:t>
            </w:r>
            <w:r>
              <w:rPr>
                <w:rFonts w:hint="eastAsia" w:ascii="宋体" w:hAnsi="宋体" w:eastAsia="宋体" w:cs="宋体"/>
                <w:color w:val="auto"/>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622C627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相同品牌产品投标报价相同的</w:t>
            </w:r>
          </w:p>
        </w:tc>
        <w:tc>
          <w:tcPr>
            <w:tcW w:w="4820" w:type="dxa"/>
            <w:tcBorders>
              <w:top w:val="single" w:color="auto" w:sz="6" w:space="0"/>
              <w:bottom w:val="single" w:color="auto" w:sz="6" w:space="0"/>
            </w:tcBorders>
            <w:noWrap w:val="0"/>
            <w:vAlign w:val="center"/>
          </w:tcPr>
          <w:p w14:paraId="664F30D8">
            <w:pPr>
              <w:adjustRightInd w:val="0"/>
              <w:snapToGrid w:val="0"/>
              <w:rPr>
                <w:rFonts w:ascii="Times New Roman" w:hAnsi="Times New Roman" w:eastAsia="宋体" w:cs="Times New Roman"/>
                <w:color w:val="auto"/>
                <w:szCs w:val="21"/>
                <w:highlight w:val="none"/>
              </w:rPr>
            </w:pPr>
            <w:r>
              <w:rPr>
                <w:rFonts w:hint="eastAsia" w:ascii="宋体" w:hAnsi="宋体" w:eastAsia="宋体" w:cs="Times New Roman"/>
                <w:bCs/>
                <w:color w:val="auto"/>
                <w:szCs w:val="21"/>
                <w:highlight w:val="none"/>
              </w:rPr>
              <w:t>按本章第二节第 5.2 款规定处理。</w:t>
            </w:r>
          </w:p>
        </w:tc>
      </w:tr>
      <w:tr w14:paraId="474193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14293EAF">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第5.2（2）</w:t>
            </w:r>
            <w:r>
              <w:rPr>
                <w:rFonts w:hint="eastAsia" w:ascii="宋体" w:hAnsi="宋体" w:eastAsia="宋体" w:cs="宋体"/>
                <w:color w:val="auto"/>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0FF9C8D7">
            <w:pPr>
              <w:adjustRightInd w:val="0"/>
              <w:snapToGrid w:val="0"/>
              <w:spacing w:before="156" w:beforeLines="50" w:line="360" w:lineRule="auto"/>
              <w:jc w:val="center"/>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相同品牌产品评审得分相同的规定</w:t>
            </w:r>
          </w:p>
        </w:tc>
        <w:tc>
          <w:tcPr>
            <w:tcW w:w="4820" w:type="dxa"/>
            <w:tcBorders>
              <w:top w:val="single" w:color="auto" w:sz="6" w:space="0"/>
              <w:bottom w:val="single" w:color="auto" w:sz="6" w:space="0"/>
            </w:tcBorders>
            <w:noWrap w:val="0"/>
            <w:vAlign w:val="center"/>
          </w:tcPr>
          <w:p w14:paraId="3DB4E5E8">
            <w:pPr>
              <w:adjustRightInd w:val="0"/>
              <w:snapToGrid w:val="0"/>
              <w:rPr>
                <w:rFonts w:ascii="Times New Roman" w:hAnsi="Times New Roman" w:eastAsia="宋体" w:cs="Times New Roman"/>
                <w:color w:val="auto"/>
                <w:szCs w:val="21"/>
                <w:highlight w:val="none"/>
              </w:rPr>
            </w:pPr>
            <w:r>
              <w:rPr>
                <w:rFonts w:hint="eastAsia" w:ascii="宋体" w:hAnsi="宋体" w:eastAsia="宋体" w:cs="Times New Roman"/>
                <w:color w:val="auto"/>
                <w:szCs w:val="21"/>
                <w:highlight w:val="none"/>
              </w:rPr>
              <w:t>提供相同品牌产品且通过资格审查、符合性审查的不同投标人参加同一合同项下投标的，评审后得分最高的同品牌投标人获得中标人推荐资格；评审得分相同的，按照</w:t>
            </w:r>
            <w:r>
              <w:rPr>
                <w:rFonts w:hint="eastAsia" w:ascii="宋体" w:hAnsi="宋体" w:eastAsia="宋体" w:cs="Times New Roman"/>
                <w:b/>
                <w:color w:val="auto"/>
                <w:szCs w:val="21"/>
                <w:highlight w:val="none"/>
              </w:rPr>
              <w:t>【评标方法及标准前附表】</w:t>
            </w:r>
            <w:r>
              <w:rPr>
                <w:rFonts w:hint="eastAsia" w:ascii="宋体" w:hAnsi="宋体" w:eastAsia="宋体" w:cs="Times New Roman"/>
                <w:color w:val="auto"/>
                <w:szCs w:val="21"/>
                <w:highlight w:val="none"/>
              </w:rPr>
              <w:t>规定的方式确定一个投标人获得中标人推荐资格，招标文件未规定的采取随机抽取方式确定，其他同品牌投标人</w:t>
            </w:r>
            <w:r>
              <w:rPr>
                <w:rFonts w:hint="eastAsia" w:ascii="宋体" w:hAnsi="宋体" w:eastAsia="宋体" w:cs="Times New Roman"/>
                <w:b/>
                <w:color w:val="auto"/>
                <w:szCs w:val="21"/>
                <w:highlight w:val="none"/>
              </w:rPr>
              <w:t>不作为中标候选人</w:t>
            </w:r>
          </w:p>
        </w:tc>
      </w:tr>
      <w:tr w14:paraId="30E7A3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01" w:type="dxa"/>
            <w:tcBorders>
              <w:top w:val="single" w:color="auto" w:sz="6" w:space="0"/>
            </w:tcBorders>
            <w:noWrap w:val="0"/>
            <w:vAlign w:val="center"/>
          </w:tcPr>
          <w:p w14:paraId="4AC66C8E">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第5.4（1）</w:t>
            </w:r>
            <w:r>
              <w:rPr>
                <w:rFonts w:hint="eastAsia" w:ascii="宋体" w:hAnsi="宋体" w:eastAsia="宋体" w:cs="宋体"/>
                <w:color w:val="auto"/>
                <w:kern w:val="0"/>
                <w:szCs w:val="21"/>
                <w:highlight w:val="none"/>
                <w:lang w:val="zh-CN"/>
              </w:rPr>
              <w:t>项</w:t>
            </w:r>
          </w:p>
        </w:tc>
        <w:tc>
          <w:tcPr>
            <w:tcW w:w="2268" w:type="dxa"/>
            <w:gridSpan w:val="2"/>
            <w:tcBorders>
              <w:top w:val="single" w:color="auto" w:sz="6" w:space="0"/>
            </w:tcBorders>
            <w:noWrap w:val="0"/>
            <w:vAlign w:val="center"/>
          </w:tcPr>
          <w:p w14:paraId="5AC7AC51">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价格评审优惠</w:t>
            </w:r>
          </w:p>
        </w:tc>
        <w:tc>
          <w:tcPr>
            <w:tcW w:w="4820" w:type="dxa"/>
            <w:tcBorders>
              <w:top w:val="single" w:color="auto" w:sz="6" w:space="0"/>
              <w:bottom w:val="single" w:color="auto" w:sz="6" w:space="0"/>
            </w:tcBorders>
            <w:noWrap w:val="0"/>
            <w:vAlign w:val="center"/>
          </w:tcPr>
          <w:p w14:paraId="2BC0E2EF">
            <w:pPr>
              <w:adjustRightInd w:val="0"/>
              <w:snapToGrid w:val="0"/>
              <w:spacing w:line="420" w:lineRule="exact"/>
              <w:rPr>
                <w:rFonts w:ascii="Times New Roman" w:hAnsi="Times New Roman" w:eastAsia="宋体" w:cs="Times New Roman"/>
                <w:color w:val="auto"/>
                <w:szCs w:val="21"/>
                <w:highlight w:val="none"/>
              </w:rPr>
            </w:pPr>
            <w:r>
              <w:rPr>
                <w:rFonts w:hint="eastAsia" w:ascii="宋体" w:hAnsi="宋体" w:eastAsia="宋体" w:cs="Times New Roman"/>
                <w:color w:val="auto"/>
                <w:szCs w:val="21"/>
                <w:highlight w:val="none"/>
              </w:rPr>
              <w:t>见第二章投标须知和评标方法及标准</w:t>
            </w:r>
          </w:p>
        </w:tc>
      </w:tr>
      <w:tr w14:paraId="425D04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01" w:type="dxa"/>
            <w:tcBorders>
              <w:top w:val="single" w:color="auto" w:sz="6" w:space="0"/>
              <w:bottom w:val="single" w:color="auto" w:sz="6" w:space="0"/>
              <w:right w:val="single" w:color="auto" w:sz="6" w:space="0"/>
            </w:tcBorders>
            <w:noWrap w:val="0"/>
            <w:vAlign w:val="center"/>
          </w:tcPr>
          <w:p w14:paraId="23E292C0">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第5.4（2）</w:t>
            </w:r>
            <w:r>
              <w:rPr>
                <w:rFonts w:hint="eastAsia" w:ascii="宋体" w:hAnsi="宋体" w:eastAsia="宋体" w:cs="宋体"/>
                <w:color w:val="auto"/>
                <w:kern w:val="0"/>
                <w:szCs w:val="21"/>
                <w:highlight w:val="none"/>
                <w:lang w:val="zh-CN"/>
              </w:rPr>
              <w:t>项</w:t>
            </w:r>
          </w:p>
        </w:tc>
        <w:tc>
          <w:tcPr>
            <w:tcW w:w="709" w:type="dxa"/>
            <w:tcBorders>
              <w:top w:val="single" w:color="auto" w:sz="6" w:space="0"/>
              <w:left w:val="single" w:color="auto" w:sz="6" w:space="0"/>
              <w:bottom w:val="single" w:color="auto" w:sz="6" w:space="0"/>
              <w:right w:val="single" w:color="auto" w:sz="6" w:space="0"/>
            </w:tcBorders>
            <w:noWrap w:val="0"/>
            <w:vAlign w:val="center"/>
          </w:tcPr>
          <w:p w14:paraId="58615A0E">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优先采购</w:t>
            </w:r>
          </w:p>
        </w:tc>
        <w:tc>
          <w:tcPr>
            <w:tcW w:w="1559" w:type="dxa"/>
            <w:tcBorders>
              <w:top w:val="single" w:color="auto" w:sz="6" w:space="0"/>
              <w:left w:val="single" w:color="auto" w:sz="6" w:space="0"/>
              <w:right w:val="single" w:color="auto" w:sz="6" w:space="0"/>
            </w:tcBorders>
            <w:noWrap w:val="0"/>
            <w:vAlign w:val="center"/>
          </w:tcPr>
          <w:p w14:paraId="1BAB154E">
            <w:pPr>
              <w:adjustRightInd w:val="0"/>
              <w:snapToGrid w:val="0"/>
              <w:spacing w:before="156" w:beforeLines="50"/>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节能产品或环境标志产品</w:t>
            </w:r>
          </w:p>
        </w:tc>
        <w:tc>
          <w:tcPr>
            <w:tcW w:w="4820" w:type="dxa"/>
            <w:tcBorders>
              <w:top w:val="single" w:color="auto" w:sz="6" w:space="0"/>
              <w:left w:val="single" w:color="auto" w:sz="6" w:space="0"/>
              <w:bottom w:val="single" w:color="auto" w:sz="6" w:space="0"/>
            </w:tcBorders>
            <w:noWrap w:val="0"/>
            <w:vAlign w:val="center"/>
          </w:tcPr>
          <w:p w14:paraId="24F2B82A">
            <w:pPr>
              <w:snapToGrid w:val="0"/>
              <w:spacing w:before="156" w:line="340" w:lineRule="exac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1、采购产品为《节能产品政府采购清单》(最新)内非标记</w:t>
            </w:r>
            <w:r>
              <w:rPr>
                <w:rFonts w:hint="eastAsia" w:ascii="宋体" w:hAnsi="宋体" w:eastAsia="宋体" w:cs="宋体"/>
                <w:color w:val="auto"/>
                <w:szCs w:val="21"/>
                <w:highlight w:val="none"/>
              </w:rPr>
              <w:t>★</w:t>
            </w:r>
            <w:r>
              <w:rPr>
                <w:rFonts w:hint="eastAsia" w:ascii="宋体" w:hAnsi="宋体" w:eastAsia="宋体" w:cs="Times New Roman"/>
                <w:color w:val="auto"/>
                <w:szCs w:val="21"/>
                <w:highlight w:val="none"/>
              </w:rPr>
              <w:t>符号的，分别给予技术和价格项标准总分值4%-8%的加分。本项目具体加分比例分别为 ：技术</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%、价格</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w:t>
            </w:r>
          </w:p>
          <w:p w14:paraId="570E0C41">
            <w:pPr>
              <w:snapToGrid w:val="0"/>
              <w:spacing w:before="156" w:line="340" w:lineRule="exact"/>
              <w:textAlignment w:val="baseline"/>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2、采购产品为《环境标志产品政府采购清单》(最新期)内的，分别给予技术和价格项标准总分值4%-8%的加分。本项目具体加分比例分别为 ：技术</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%、价格</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u w:val="single" w:color="000000"/>
                <w:lang w:val="en-US" w:eastAsia="zh-CN"/>
              </w:rPr>
              <w:t>/</w:t>
            </w:r>
            <w:r>
              <w:rPr>
                <w:rFonts w:hint="eastAsia" w:ascii="宋体" w:hAnsi="宋体" w:eastAsia="宋体" w:cs="Times New Roman"/>
                <w:color w:val="auto"/>
                <w:szCs w:val="21"/>
                <w:highlight w:val="none"/>
                <w:u w:val="single" w:color="000000"/>
              </w:rPr>
              <w:t xml:space="preserve"> </w:t>
            </w:r>
            <w:r>
              <w:rPr>
                <w:rFonts w:hint="eastAsia" w:ascii="宋体" w:hAnsi="宋体" w:eastAsia="宋体" w:cs="Times New Roman"/>
                <w:color w:val="auto"/>
                <w:szCs w:val="21"/>
                <w:highlight w:val="none"/>
              </w:rPr>
              <w:t xml:space="preserve"> %。</w:t>
            </w:r>
          </w:p>
        </w:tc>
      </w:tr>
      <w:tr w14:paraId="025BBF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32C33AAC">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第6.2</w:t>
            </w:r>
            <w:r>
              <w:rPr>
                <w:rFonts w:hint="eastAsia" w:ascii="宋体" w:hAnsi="宋体" w:eastAsia="宋体" w:cs="宋体"/>
                <w:color w:val="auto"/>
                <w:kern w:val="0"/>
                <w:szCs w:val="21"/>
                <w:highlight w:val="none"/>
                <w:lang w:val="zh-CN"/>
              </w:rPr>
              <w:t>款</w:t>
            </w:r>
          </w:p>
        </w:tc>
        <w:tc>
          <w:tcPr>
            <w:tcW w:w="2268" w:type="dxa"/>
            <w:gridSpan w:val="2"/>
            <w:tcBorders>
              <w:top w:val="single" w:color="auto" w:sz="6" w:space="0"/>
              <w:bottom w:val="single" w:color="auto" w:sz="6" w:space="0"/>
              <w:right w:val="single" w:color="auto" w:sz="6" w:space="0"/>
            </w:tcBorders>
            <w:noWrap w:val="0"/>
            <w:vAlign w:val="center"/>
          </w:tcPr>
          <w:p w14:paraId="3FB9B15D">
            <w:pPr>
              <w:adjustRightInd w:val="0"/>
              <w:snapToGrid w:val="0"/>
              <w:spacing w:before="156" w:beforeLines="50"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中标候选人并列的确定中标人的方式</w:t>
            </w:r>
          </w:p>
        </w:tc>
        <w:tc>
          <w:tcPr>
            <w:tcW w:w="4820" w:type="dxa"/>
            <w:tcBorders>
              <w:top w:val="single" w:color="auto" w:sz="6" w:space="0"/>
              <w:left w:val="single" w:color="auto" w:sz="6" w:space="0"/>
              <w:bottom w:val="single" w:color="auto" w:sz="6" w:space="0"/>
              <w:right w:val="double" w:color="auto" w:sz="4" w:space="0"/>
            </w:tcBorders>
            <w:noWrap w:val="0"/>
            <w:vAlign w:val="center"/>
          </w:tcPr>
          <w:p w14:paraId="2F871E67">
            <w:pPr>
              <w:adjustRightInd w:val="0"/>
              <w:snapToGrid w:val="0"/>
              <w:spacing w:before="156" w:beforeLines="50"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评标结果按评审后得分由高到低顺序排列。得分相同的，按投标报价由低到高顺序排列。得分且投标报价相同的并列，按</w:t>
            </w:r>
            <w:r>
              <w:rPr>
                <w:rFonts w:hint="eastAsia" w:ascii="宋体" w:hAnsi="宋体" w:eastAsia="宋体" w:cs="Times New Roman"/>
                <w:b/>
                <w:bCs/>
                <w:color w:val="auto"/>
                <w:szCs w:val="21"/>
                <w:highlight w:val="none"/>
              </w:rPr>
              <w:t>【评标方法及标准前附表】</w:t>
            </w:r>
            <w:r>
              <w:rPr>
                <w:rFonts w:hint="eastAsia" w:ascii="宋体" w:hAnsi="宋体" w:eastAsia="宋体" w:cs="Times New Roman"/>
                <w:bCs/>
                <w:color w:val="auto"/>
                <w:szCs w:val="21"/>
                <w:highlight w:val="none"/>
              </w:rPr>
              <w:t>规定的方式确定中标人；招标文件未规定的，采取随机抽取的方式确定。</w:t>
            </w:r>
          </w:p>
        </w:tc>
      </w:tr>
    </w:tbl>
    <w:p w14:paraId="250C3857">
      <w:pPr>
        <w:pStyle w:val="47"/>
        <w:rPr>
          <w:rFonts w:hint="eastAsia"/>
          <w:color w:val="auto"/>
          <w:highlight w:val="none"/>
        </w:rPr>
      </w:pPr>
    </w:p>
    <w:p w14:paraId="164D5A23">
      <w:pPr>
        <w:pStyle w:val="5"/>
        <w:keepNext w:val="0"/>
        <w:keepLines w:val="0"/>
        <w:adjustRightInd w:val="0"/>
        <w:snapToGrid w:val="0"/>
        <w:spacing w:before="156" w:beforeLines="50"/>
        <w:jc w:val="center"/>
        <w:rPr>
          <w:rFonts w:ascii="黑体" w:hAnsi="华文中宋" w:eastAsia="黑体"/>
          <w:color w:val="auto"/>
          <w:sz w:val="28"/>
          <w:szCs w:val="28"/>
          <w:highlight w:val="none"/>
        </w:rPr>
      </w:pPr>
      <w:bookmarkStart w:id="33" w:name="_Toc27787"/>
      <w:r>
        <w:rPr>
          <w:rFonts w:hint="eastAsia" w:ascii="黑体" w:hAnsi="华文中宋" w:eastAsia="黑体"/>
          <w:color w:val="auto"/>
          <w:sz w:val="28"/>
          <w:szCs w:val="28"/>
          <w:highlight w:val="none"/>
        </w:rPr>
        <w:t>第二节 评标方法及标准</w:t>
      </w:r>
      <w:bookmarkEnd w:id="33"/>
    </w:p>
    <w:p w14:paraId="522A66C6">
      <w:pPr>
        <w:pStyle w:val="6"/>
        <w:keepNext w:val="0"/>
        <w:keepLines w:val="0"/>
        <w:adjustRightInd w:val="0"/>
        <w:snapToGrid w:val="0"/>
        <w:spacing w:before="156" w:beforeLines="50" w:after="0" w:line="360" w:lineRule="auto"/>
        <w:rPr>
          <w:rFonts w:ascii="黑体" w:hAnsi="黑体" w:eastAsia="黑体"/>
          <w:color w:val="auto"/>
          <w:sz w:val="24"/>
          <w:szCs w:val="24"/>
          <w:highlight w:val="none"/>
        </w:rPr>
      </w:pPr>
      <w:bookmarkStart w:id="34" w:name="_Toc16283"/>
      <w:r>
        <w:rPr>
          <w:rFonts w:hint="eastAsia" w:ascii="黑体" w:hAnsi="黑体" w:eastAsia="黑体"/>
          <w:color w:val="auto"/>
          <w:sz w:val="24"/>
          <w:szCs w:val="24"/>
          <w:highlight w:val="none"/>
        </w:rPr>
        <w:t>1．评标方法</w:t>
      </w:r>
      <w:bookmarkEnd w:id="34"/>
    </w:p>
    <w:p w14:paraId="1D66BFA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☑1.1综合评分法，指投标文件满足招标文件全部实质性要求，且按照评审因素的量化指标评审得分最高的投标人为中标候选人的评标方法。</w:t>
      </w:r>
    </w:p>
    <w:p w14:paraId="198C11CD">
      <w:pPr>
        <w:adjustRightInd w:val="0"/>
        <w:snapToGrid w:val="0"/>
        <w:spacing w:before="156" w:beforeLines="50" w:line="360" w:lineRule="auto"/>
        <w:ind w:firstLine="482" w:firstLineChars="200"/>
        <w:jc w:val="left"/>
        <w:rPr>
          <w:rFonts w:ascii="宋体" w:hAnsi="宋体"/>
          <w:bCs/>
          <w:color w:val="auto"/>
          <w:szCs w:val="21"/>
          <w:highlight w:val="none"/>
        </w:rPr>
      </w:pPr>
      <w:r>
        <w:rPr>
          <w:rFonts w:hint="eastAsia" w:ascii="黑体" w:hAnsi="黑体" w:eastAsia="黑体"/>
          <w:b/>
          <w:iCs/>
          <w:color w:val="auto"/>
          <w:sz w:val="24"/>
          <w:highlight w:val="none"/>
        </w:rPr>
        <w:sym w:font="Wingdings" w:char="00A8"/>
      </w:r>
      <w:r>
        <w:rPr>
          <w:rFonts w:hint="eastAsia" w:ascii="宋体" w:hAnsi="宋体"/>
          <w:bCs/>
          <w:color w:val="auto"/>
          <w:szCs w:val="21"/>
          <w:highlight w:val="none"/>
        </w:rPr>
        <w:t>1.2最低评标价，是指投标文件满足招标文件全部实质性要求，且投标报价最低的投标人为中标候选人的评标方法。</w:t>
      </w:r>
    </w:p>
    <w:p w14:paraId="012845A4">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1.3本采购项目评标方法见本章第一节</w:t>
      </w:r>
      <w:r>
        <w:rPr>
          <w:rFonts w:hint="eastAsia" w:ascii="宋体" w:hAnsi="宋体"/>
          <w:b/>
          <w:color w:val="auto"/>
          <w:szCs w:val="21"/>
          <w:highlight w:val="none"/>
        </w:rPr>
        <w:t>【评标方法及标准前附表】</w:t>
      </w:r>
      <w:r>
        <w:rPr>
          <w:rFonts w:hint="eastAsia" w:ascii="宋体" w:hAnsi="宋体"/>
          <w:color w:val="auto"/>
          <w:szCs w:val="21"/>
          <w:highlight w:val="none"/>
        </w:rPr>
        <w:t>。</w:t>
      </w:r>
    </w:p>
    <w:p w14:paraId="0C3B0DE8">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35" w:name="_Toc10387"/>
      <w:r>
        <w:rPr>
          <w:rFonts w:hint="eastAsia" w:ascii="黑体" w:hAnsi="黑体" w:eastAsia="黑体"/>
          <w:bCs w:val="0"/>
          <w:color w:val="auto"/>
          <w:sz w:val="24"/>
          <w:szCs w:val="24"/>
          <w:highlight w:val="none"/>
        </w:rPr>
        <w:t>2．评标程序</w:t>
      </w:r>
      <w:bookmarkEnd w:id="35"/>
    </w:p>
    <w:p w14:paraId="09D7853E">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2.1评标程序分为投标文件符合性审查、澄清有关问题、比较和评价、推荐中标候选人。</w:t>
      </w:r>
    </w:p>
    <w:p w14:paraId="76B513FA">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36" w:name="_Toc4383"/>
      <w:r>
        <w:rPr>
          <w:rFonts w:hint="eastAsia" w:ascii="黑体" w:hAnsi="黑体" w:eastAsia="黑体"/>
          <w:bCs w:val="0"/>
          <w:color w:val="auto"/>
          <w:sz w:val="24"/>
          <w:szCs w:val="24"/>
          <w:highlight w:val="none"/>
        </w:rPr>
        <w:t>3．投标文件的符合性审查</w:t>
      </w:r>
      <w:bookmarkEnd w:id="36"/>
    </w:p>
    <w:p w14:paraId="5D6849E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3.1资格审查结束后，评标委员会依法按照本章第三节“投标文件的符合性审查”规定进行投标文件符合性审查。</w:t>
      </w:r>
    </w:p>
    <w:p w14:paraId="58E6D56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3.2符合性审查合格投标人少于3家的，应予废标。</w:t>
      </w:r>
    </w:p>
    <w:p w14:paraId="54420F9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3.3单一产品采购项目：提供相同品牌产品的不同投标人参加同一合同项下投标的，按一家投标人计算。提供不同品牌产品的投标人不足三家的，应予废标。</w:t>
      </w:r>
    </w:p>
    <w:p w14:paraId="69C977E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3.4非单一产品采购项目：采购人或者采购代理机构将在</w:t>
      </w:r>
      <w:r>
        <w:rPr>
          <w:rFonts w:hint="eastAsia" w:ascii="宋体" w:hAnsi="宋体"/>
          <w:b/>
          <w:color w:val="auto"/>
          <w:szCs w:val="21"/>
          <w:highlight w:val="none"/>
        </w:rPr>
        <w:t>【评标方法及标准前附表】</w:t>
      </w:r>
      <w:r>
        <w:rPr>
          <w:rFonts w:hint="eastAsia" w:ascii="宋体" w:hAnsi="宋体"/>
          <w:color w:val="auto"/>
          <w:szCs w:val="21"/>
          <w:highlight w:val="none"/>
        </w:rPr>
        <w:t>中载明核心产品。多家投标人提供的核心产品品牌相同的，视为相同品牌，按本章本节第3.3款规定处理。</w:t>
      </w:r>
    </w:p>
    <w:p w14:paraId="7FF91489">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37" w:name="_Toc20308"/>
      <w:r>
        <w:rPr>
          <w:rFonts w:hint="eastAsia" w:ascii="黑体" w:hAnsi="黑体" w:eastAsia="黑体"/>
          <w:bCs w:val="0"/>
          <w:color w:val="auto"/>
          <w:sz w:val="24"/>
          <w:szCs w:val="24"/>
          <w:highlight w:val="none"/>
        </w:rPr>
        <w:t>4．投标文件的澄清</w:t>
      </w:r>
      <w:bookmarkEnd w:id="37"/>
    </w:p>
    <w:p w14:paraId="4562E72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4.1对于投标文件中含义不明确、同类问题表述不一致或者有明显文字和计算错误的内容，评标委员会应当以书面形式要求投标人作出必要的澄清、说明或者补正。</w:t>
      </w:r>
    </w:p>
    <w:p w14:paraId="147BF91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4.2投标文件的投标报价出现前后不一致的，除</w:t>
      </w:r>
      <w:r>
        <w:rPr>
          <w:rFonts w:hint="eastAsia" w:ascii="宋体" w:hAnsi="宋体"/>
          <w:b/>
          <w:color w:val="auto"/>
          <w:szCs w:val="21"/>
          <w:highlight w:val="none"/>
        </w:rPr>
        <w:t>【评标方法及标准前附表】</w:t>
      </w:r>
      <w:r>
        <w:rPr>
          <w:rFonts w:hint="eastAsia" w:ascii="宋体" w:hAnsi="宋体"/>
          <w:color w:val="auto"/>
          <w:szCs w:val="21"/>
          <w:highlight w:val="none"/>
        </w:rPr>
        <w:t>另有规定外，按照下列规定修正：</w:t>
      </w:r>
    </w:p>
    <w:p w14:paraId="368AAB2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（1）投标文件中开标一览表内容与投标文件中相应内容不一致的，以开标一览表为准；</w:t>
      </w:r>
    </w:p>
    <w:p w14:paraId="7D4139D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（2）大写金额和小写金额不一致的，以大写金额为准；</w:t>
      </w:r>
    </w:p>
    <w:p w14:paraId="600D76D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（3）单价金额小数点或者百分比有明显错位的，以开标一览表的总价为准，并修改单价；</w:t>
      </w:r>
    </w:p>
    <w:p w14:paraId="17B135E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（4）总价金额与按单价汇总金额不一致的，以单价金额计算结果为准。</w:t>
      </w:r>
    </w:p>
    <w:p w14:paraId="26FC8A0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4.3投标文件报价同时出现两种以上不一致的，按照前款规定的顺序修正。修正后的报价由投标人代表签字或者加盖单位章确认后产生约束力，投标人不确认的，其投标无效。</w:t>
      </w:r>
    </w:p>
    <w:p w14:paraId="77FCC7D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0073347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4.5有效的书面澄清材料，是投标文件的补充材料，成为投标文件的组成部分。</w:t>
      </w:r>
    </w:p>
    <w:p w14:paraId="37284B5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14:paraId="05AA79C9">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38" w:name="_Toc18077"/>
      <w:r>
        <w:rPr>
          <w:rFonts w:hint="eastAsia" w:ascii="黑体" w:hAnsi="黑体" w:eastAsia="黑体"/>
          <w:bCs w:val="0"/>
          <w:color w:val="auto"/>
          <w:sz w:val="24"/>
          <w:szCs w:val="24"/>
          <w:highlight w:val="none"/>
        </w:rPr>
        <w:t>5．投标文件的比较与评价</w:t>
      </w:r>
      <w:bookmarkEnd w:id="38"/>
    </w:p>
    <w:p w14:paraId="01F923B7">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5.1评标委员会依法按照本章第三节“投标文件的比较与评价”规定，对资格性检查和符合性检查合格的投标文件进行比较和评价。</w:t>
      </w:r>
    </w:p>
    <w:p w14:paraId="291DAAE3">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5.2单一产品采购项目：</w:t>
      </w:r>
    </w:p>
    <w:p w14:paraId="085528F4">
      <w:pPr>
        <w:adjustRightInd w:val="0"/>
        <w:snapToGrid w:val="0"/>
        <w:spacing w:before="156" w:beforeLines="50" w:line="360" w:lineRule="auto"/>
        <w:ind w:firstLine="482" w:firstLineChars="200"/>
        <w:jc w:val="left"/>
        <w:rPr>
          <w:rFonts w:ascii="宋体" w:hAnsi="宋体"/>
          <w:bCs/>
          <w:color w:val="auto"/>
          <w:szCs w:val="21"/>
          <w:highlight w:val="none"/>
        </w:rPr>
      </w:pPr>
      <w:r>
        <w:rPr>
          <w:rFonts w:hint="eastAsia" w:ascii="黑体" w:hAnsi="黑体" w:eastAsia="黑体"/>
          <w:b/>
          <w:iCs/>
          <w:color w:val="auto"/>
          <w:sz w:val="24"/>
          <w:highlight w:val="none"/>
        </w:rPr>
        <w:sym w:font="Wingdings" w:char="00A8"/>
      </w:r>
      <w:r>
        <w:rPr>
          <w:rFonts w:hint="eastAsia" w:ascii="宋体" w:hAnsi="宋体"/>
          <w:color w:val="auto"/>
          <w:szCs w:val="21"/>
          <w:highlight w:val="none"/>
        </w:rPr>
        <w:t>（1）最低评标价法：</w:t>
      </w:r>
      <w:r>
        <w:rPr>
          <w:rFonts w:hint="eastAsia" w:ascii="宋体" w:hAnsi="宋体"/>
          <w:bCs/>
          <w:color w:val="auto"/>
          <w:szCs w:val="21"/>
          <w:highlight w:val="none"/>
        </w:rPr>
        <w:t>提供相同品牌产品的不同投标人参加同一合同项下投标的，以其中通过资格审查、符合性审查且报价最低的参加评标，其他投标无效；报价相同的，按照</w:t>
      </w:r>
      <w:r>
        <w:rPr>
          <w:rFonts w:hint="eastAsia" w:ascii="宋体" w:hAnsi="宋体"/>
          <w:b/>
          <w:bCs/>
          <w:color w:val="auto"/>
          <w:szCs w:val="21"/>
          <w:highlight w:val="none"/>
        </w:rPr>
        <w:t>【评标方法及标准前附表】</w:t>
      </w:r>
      <w:r>
        <w:rPr>
          <w:rFonts w:hint="eastAsia" w:ascii="宋体" w:hAnsi="宋体"/>
          <w:bCs/>
          <w:color w:val="auto"/>
          <w:szCs w:val="21"/>
          <w:highlight w:val="none"/>
        </w:rPr>
        <w:t>规定的方式确定一个参加评标的投标人，招标文件未规定的采取随机抽取方式确定，其他</w:t>
      </w:r>
      <w:r>
        <w:rPr>
          <w:rFonts w:hint="eastAsia" w:ascii="宋体" w:hAnsi="宋体"/>
          <w:b/>
          <w:bCs/>
          <w:color w:val="auto"/>
          <w:szCs w:val="21"/>
          <w:highlight w:val="none"/>
        </w:rPr>
        <w:t>投标无效</w:t>
      </w:r>
      <w:r>
        <w:rPr>
          <w:rFonts w:hint="eastAsia" w:ascii="宋体" w:hAnsi="宋体"/>
          <w:bCs/>
          <w:color w:val="auto"/>
          <w:szCs w:val="21"/>
          <w:highlight w:val="none"/>
        </w:rPr>
        <w:t>。</w:t>
      </w:r>
    </w:p>
    <w:p w14:paraId="0A64240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b/>
          <w:color w:val="auto"/>
          <w:szCs w:val="21"/>
          <w:highlight w:val="none"/>
        </w:rPr>
        <w:t>【评标方法及标准前附表】</w:t>
      </w:r>
      <w:r>
        <w:rPr>
          <w:rFonts w:hint="eastAsia" w:ascii="宋体" w:hAnsi="宋体"/>
          <w:color w:val="auto"/>
          <w:szCs w:val="21"/>
          <w:highlight w:val="none"/>
        </w:rPr>
        <w:t>规定的方式确定一个投标人获得中标人推荐资格，招标文件未规定的采取随机抽取方式确定，其他同品牌投标人</w:t>
      </w:r>
      <w:r>
        <w:rPr>
          <w:rFonts w:hint="eastAsia" w:ascii="宋体" w:hAnsi="宋体"/>
          <w:b/>
          <w:color w:val="auto"/>
          <w:szCs w:val="21"/>
          <w:highlight w:val="none"/>
        </w:rPr>
        <w:t>不作为中标候选人</w:t>
      </w:r>
      <w:r>
        <w:rPr>
          <w:rFonts w:hint="eastAsia" w:ascii="宋体" w:hAnsi="宋体"/>
          <w:color w:val="auto"/>
          <w:szCs w:val="21"/>
          <w:highlight w:val="none"/>
        </w:rPr>
        <w:t>。</w:t>
      </w:r>
    </w:p>
    <w:p w14:paraId="3EF17B6F">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5.3非单一产品采购项目：多家投标人提供的核心产品品牌相同的，视为相同品牌，按本章本节第 5.2 款规定处理。</w:t>
      </w:r>
    </w:p>
    <w:p w14:paraId="51AD0A3F">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5.4政府采购政策：</w:t>
      </w:r>
    </w:p>
    <w:p w14:paraId="72A42D33">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color w:val="auto"/>
          <w:szCs w:val="21"/>
          <w:highlight w:val="none"/>
        </w:rPr>
        <w:t>（1）</w:t>
      </w:r>
      <w:r>
        <w:rPr>
          <w:rFonts w:hint="eastAsia" w:ascii="宋体" w:hAnsi="宋体"/>
          <w:bCs/>
          <w:color w:val="auto"/>
          <w:szCs w:val="21"/>
          <w:highlight w:val="none"/>
        </w:rPr>
        <w:t>价格评审优惠：评审时</w:t>
      </w:r>
      <w:r>
        <w:rPr>
          <w:rFonts w:hint="eastAsia" w:ascii="宋体" w:hAnsi="宋体"/>
          <w:color w:val="auto"/>
          <w:szCs w:val="21"/>
          <w:highlight w:val="none"/>
        </w:rPr>
        <w:t>按</w:t>
      </w:r>
      <w:r>
        <w:rPr>
          <w:rFonts w:hint="eastAsia" w:ascii="宋体" w:hAnsi="宋体"/>
          <w:b/>
          <w:color w:val="auto"/>
          <w:szCs w:val="21"/>
          <w:highlight w:val="none"/>
        </w:rPr>
        <w:t>【评标方法及标准前附表】</w:t>
      </w:r>
      <w:r>
        <w:rPr>
          <w:rFonts w:hint="eastAsia" w:ascii="宋体" w:hAnsi="宋体"/>
          <w:color w:val="auto"/>
          <w:szCs w:val="21"/>
          <w:highlight w:val="none"/>
        </w:rPr>
        <w:t>及第二章“投标须知”的相关规定给予相应比例的价格折扣。</w:t>
      </w:r>
    </w:p>
    <w:p w14:paraId="63EB514E">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color w:val="auto"/>
          <w:szCs w:val="21"/>
          <w:highlight w:val="none"/>
        </w:rPr>
        <w:t>（2）优先采购：</w:t>
      </w:r>
      <w:r>
        <w:rPr>
          <w:rFonts w:hint="eastAsia" w:ascii="宋体" w:hAnsi="宋体"/>
          <w:bCs/>
          <w:color w:val="auto"/>
          <w:szCs w:val="21"/>
          <w:highlight w:val="none"/>
        </w:rPr>
        <w:t>评审时按</w:t>
      </w:r>
      <w:r>
        <w:rPr>
          <w:rFonts w:hint="eastAsia" w:ascii="宋体" w:hAnsi="宋体"/>
          <w:b/>
          <w:color w:val="auto"/>
          <w:szCs w:val="21"/>
          <w:highlight w:val="none"/>
        </w:rPr>
        <w:t>【评标方法及标准前附表】</w:t>
      </w:r>
      <w:r>
        <w:rPr>
          <w:rFonts w:hint="eastAsia" w:ascii="宋体" w:hAnsi="宋体"/>
          <w:bCs/>
          <w:color w:val="auto"/>
          <w:szCs w:val="21"/>
          <w:highlight w:val="none"/>
        </w:rPr>
        <w:t>及第二章</w:t>
      </w:r>
      <w:r>
        <w:rPr>
          <w:rFonts w:hint="eastAsia" w:ascii="宋体" w:hAnsi="宋体"/>
          <w:color w:val="auto"/>
          <w:szCs w:val="21"/>
          <w:highlight w:val="none"/>
        </w:rPr>
        <w:t>“投标须知”</w:t>
      </w:r>
      <w:r>
        <w:rPr>
          <w:rFonts w:hint="eastAsia" w:ascii="宋体" w:hAnsi="宋体"/>
          <w:bCs/>
          <w:color w:val="auto"/>
          <w:szCs w:val="21"/>
          <w:highlight w:val="none"/>
        </w:rPr>
        <w:t>的相关规定给予相应比例的价格折扣或者加分。</w:t>
      </w:r>
    </w:p>
    <w:p w14:paraId="5ED5C36A">
      <w:pPr>
        <w:pStyle w:val="6"/>
        <w:keepNext w:val="0"/>
        <w:keepLines w:val="0"/>
        <w:adjustRightInd w:val="0"/>
        <w:snapToGrid w:val="0"/>
        <w:spacing w:before="156" w:beforeLines="50" w:after="0" w:line="360" w:lineRule="auto"/>
        <w:rPr>
          <w:rFonts w:ascii="黑体" w:hAnsi="黑体" w:eastAsia="黑体"/>
          <w:color w:val="auto"/>
          <w:sz w:val="24"/>
          <w:szCs w:val="24"/>
          <w:highlight w:val="none"/>
        </w:rPr>
      </w:pPr>
      <w:bookmarkStart w:id="39" w:name="_Toc16053"/>
      <w:r>
        <w:rPr>
          <w:rFonts w:hint="eastAsia" w:ascii="黑体" w:hAnsi="黑体" w:eastAsia="黑体"/>
          <w:bCs w:val="0"/>
          <w:color w:val="auto"/>
          <w:sz w:val="24"/>
          <w:szCs w:val="24"/>
          <w:highlight w:val="none"/>
        </w:rPr>
        <w:t>6．</w:t>
      </w:r>
      <w:r>
        <w:rPr>
          <w:rFonts w:hint="eastAsia" w:ascii="黑体" w:hAnsi="黑体" w:eastAsia="黑体"/>
          <w:color w:val="auto"/>
          <w:sz w:val="24"/>
          <w:szCs w:val="24"/>
          <w:highlight w:val="none"/>
        </w:rPr>
        <w:t>推荐中标候选人</w:t>
      </w:r>
      <w:bookmarkEnd w:id="39"/>
    </w:p>
    <w:p w14:paraId="2A62F172">
      <w:pPr>
        <w:adjustRightInd w:val="0"/>
        <w:snapToGrid w:val="0"/>
        <w:spacing w:before="156" w:beforeLines="50" w:line="360" w:lineRule="auto"/>
        <w:ind w:firstLine="482" w:firstLineChars="200"/>
        <w:jc w:val="left"/>
        <w:rPr>
          <w:rFonts w:ascii="宋体" w:hAnsi="宋体"/>
          <w:bCs/>
          <w:color w:val="auto"/>
          <w:szCs w:val="21"/>
          <w:highlight w:val="none"/>
        </w:rPr>
      </w:pPr>
      <w:r>
        <w:rPr>
          <w:rFonts w:hint="eastAsia" w:ascii="黑体" w:hAnsi="黑体" w:eastAsia="黑体"/>
          <w:b/>
          <w:iCs/>
          <w:color w:val="auto"/>
          <w:sz w:val="24"/>
          <w:highlight w:val="none"/>
        </w:rPr>
        <w:sym w:font="Wingdings" w:char="00A8"/>
      </w:r>
      <w:r>
        <w:rPr>
          <w:rFonts w:hint="eastAsia" w:ascii="宋体" w:hAnsi="宋体"/>
          <w:color w:val="auto"/>
          <w:szCs w:val="21"/>
          <w:highlight w:val="none"/>
        </w:rPr>
        <w:t>6.1最低评标价法：</w:t>
      </w:r>
      <w:r>
        <w:rPr>
          <w:rFonts w:hint="eastAsia" w:ascii="宋体" w:hAnsi="宋体"/>
          <w:bCs/>
          <w:color w:val="auto"/>
          <w:szCs w:val="21"/>
          <w:highlight w:val="none"/>
        </w:rPr>
        <w:t>评标结果按算术修正和落实政府采购政策需进行的价格扣除后的投标报价由低到高顺序排列。报价相同的并列，按</w:t>
      </w:r>
      <w:r>
        <w:rPr>
          <w:rFonts w:hint="eastAsia" w:ascii="宋体" w:hAnsi="宋体"/>
          <w:b/>
          <w:color w:val="auto"/>
          <w:szCs w:val="21"/>
          <w:highlight w:val="none"/>
        </w:rPr>
        <w:t>【评标方法及标准前附表】</w:t>
      </w:r>
      <w:r>
        <w:rPr>
          <w:rFonts w:hint="eastAsia" w:ascii="宋体" w:hAnsi="宋体"/>
          <w:color w:val="auto"/>
          <w:szCs w:val="21"/>
          <w:highlight w:val="none"/>
        </w:rPr>
        <w:t>规定的方式确定中标人；</w:t>
      </w:r>
      <w:r>
        <w:rPr>
          <w:rFonts w:hint="eastAsia" w:ascii="宋体" w:hAnsi="宋体"/>
          <w:bCs/>
          <w:color w:val="auto"/>
          <w:szCs w:val="21"/>
          <w:highlight w:val="none"/>
        </w:rPr>
        <w:t>招标文件未规定的，采取随机抽取的方式确定。</w:t>
      </w:r>
    </w:p>
    <w:p w14:paraId="6F26FED7">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color w:val="auto"/>
          <w:szCs w:val="21"/>
          <w:highlight w:val="none"/>
        </w:rPr>
        <w:t>☑</w:t>
      </w:r>
      <w:r>
        <w:rPr>
          <w:rFonts w:hint="eastAsia" w:ascii="宋体" w:hAnsi="宋体"/>
          <w:bCs/>
          <w:color w:val="auto"/>
          <w:szCs w:val="21"/>
          <w:highlight w:val="none"/>
        </w:rPr>
        <w:t>6.2综合评分法：评标结果按评审后得分由高到低顺序排列。得分相同的，按投标报价由低到高顺序排列。得分且投标报价相同的并列，按</w:t>
      </w:r>
      <w:r>
        <w:rPr>
          <w:rFonts w:hint="eastAsia" w:ascii="宋体" w:hAnsi="宋体"/>
          <w:b/>
          <w:bCs/>
          <w:color w:val="auto"/>
          <w:szCs w:val="21"/>
          <w:highlight w:val="none"/>
        </w:rPr>
        <w:t>【评标方法及标准前附表】</w:t>
      </w:r>
      <w:r>
        <w:rPr>
          <w:rFonts w:hint="eastAsia" w:ascii="宋体" w:hAnsi="宋体"/>
          <w:bCs/>
          <w:color w:val="auto"/>
          <w:szCs w:val="21"/>
          <w:highlight w:val="none"/>
        </w:rPr>
        <w:t>规定的方式确定中标人；招标文件未规定的，采取随机抽取的方式确定。</w:t>
      </w:r>
    </w:p>
    <w:p w14:paraId="718CE315">
      <w:pPr>
        <w:pStyle w:val="6"/>
        <w:keepNext w:val="0"/>
        <w:keepLines w:val="0"/>
        <w:adjustRightInd w:val="0"/>
        <w:snapToGrid w:val="0"/>
        <w:spacing w:before="156" w:beforeLines="50" w:after="0" w:line="360" w:lineRule="auto"/>
        <w:rPr>
          <w:rFonts w:ascii="黑体" w:hAnsi="黑体" w:eastAsia="黑体"/>
          <w:color w:val="auto"/>
          <w:sz w:val="24"/>
          <w:szCs w:val="24"/>
          <w:highlight w:val="none"/>
        </w:rPr>
      </w:pPr>
      <w:bookmarkStart w:id="40" w:name="_Toc8577"/>
      <w:r>
        <w:rPr>
          <w:rFonts w:hint="eastAsia" w:ascii="黑体" w:hAnsi="黑体" w:eastAsia="黑体"/>
          <w:bCs w:val="0"/>
          <w:color w:val="auto"/>
          <w:sz w:val="24"/>
          <w:szCs w:val="24"/>
          <w:highlight w:val="none"/>
        </w:rPr>
        <w:t>7．</w:t>
      </w:r>
      <w:r>
        <w:rPr>
          <w:rFonts w:hint="eastAsia" w:ascii="黑体" w:hAnsi="黑体" w:eastAsia="黑体"/>
          <w:color w:val="auto"/>
          <w:sz w:val="24"/>
          <w:szCs w:val="24"/>
          <w:highlight w:val="none"/>
        </w:rPr>
        <w:t>编写评标报告</w:t>
      </w:r>
      <w:bookmarkEnd w:id="40"/>
    </w:p>
    <w:p w14:paraId="4E778E7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7.1评标</w:t>
      </w:r>
      <w:r>
        <w:rPr>
          <w:rFonts w:hint="eastAsia" w:ascii="宋体" w:hAnsi="宋体"/>
          <w:bCs/>
          <w:color w:val="auto"/>
          <w:szCs w:val="21"/>
          <w:highlight w:val="none"/>
        </w:rPr>
        <w:t>委员会</w:t>
      </w:r>
      <w:r>
        <w:rPr>
          <w:rFonts w:hint="eastAsia" w:ascii="宋体" w:hAnsi="宋体"/>
          <w:color w:val="auto"/>
          <w:szCs w:val="21"/>
          <w:highlight w:val="none"/>
        </w:rPr>
        <w:t>根据全体评标成员签字的原始评标记录和评标结果编写评标报告。</w:t>
      </w:r>
    </w:p>
    <w:p w14:paraId="26A50D4D">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color w:val="auto"/>
          <w:szCs w:val="21"/>
          <w:highlight w:val="none"/>
        </w:rPr>
        <w:t>7.2</w:t>
      </w:r>
      <w:r>
        <w:rPr>
          <w:rFonts w:hint="eastAsia" w:ascii="宋体" w:hAnsi="宋体"/>
          <w:bCs/>
          <w:color w:val="auto"/>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4E8B9ADC">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41" w:name="_Toc10518"/>
      <w:r>
        <w:rPr>
          <w:rFonts w:hint="eastAsia" w:ascii="黑体" w:hAnsi="黑体" w:eastAsia="黑体"/>
          <w:bCs w:val="0"/>
          <w:color w:val="auto"/>
          <w:sz w:val="24"/>
          <w:szCs w:val="24"/>
          <w:highlight w:val="none"/>
        </w:rPr>
        <w:t>8．</w:t>
      </w:r>
      <w:r>
        <w:rPr>
          <w:rFonts w:hint="eastAsia" w:ascii="黑体" w:hAnsi="黑体" w:eastAsia="黑体"/>
          <w:color w:val="auto"/>
          <w:sz w:val="24"/>
          <w:szCs w:val="24"/>
          <w:highlight w:val="none"/>
        </w:rPr>
        <w:t>评标报告</w:t>
      </w:r>
      <w:r>
        <w:rPr>
          <w:rFonts w:hint="eastAsia" w:ascii="黑体" w:hAnsi="黑体" w:eastAsia="黑体"/>
          <w:bCs w:val="0"/>
          <w:color w:val="auto"/>
          <w:sz w:val="24"/>
          <w:szCs w:val="24"/>
          <w:highlight w:val="none"/>
        </w:rPr>
        <w:t>复核</w:t>
      </w:r>
      <w:bookmarkEnd w:id="41"/>
    </w:p>
    <w:p w14:paraId="3481EA03">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8.1汇总结束后，评标委员会应当进行复核，特别要对拟推荐为中标候选供应商的、报价最低的、投标文件被认定为无效的进行重点复核。</w:t>
      </w:r>
    </w:p>
    <w:p w14:paraId="03AB2CCA">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8.2汇总完成后，除下列情形外，任何人不得修改评标结果：</w:t>
      </w:r>
    </w:p>
    <w:p w14:paraId="595B8775">
      <w:pPr>
        <w:adjustRightInd w:val="0"/>
        <w:snapToGrid w:val="0"/>
        <w:spacing w:before="156" w:beforeLines="50"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（1）分值汇总计算错误的；</w:t>
      </w:r>
    </w:p>
    <w:p w14:paraId="06E51A6D">
      <w:pPr>
        <w:adjustRightInd w:val="0"/>
        <w:snapToGrid w:val="0"/>
        <w:spacing w:before="156" w:beforeLines="50"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（2）分项评分超出评分标准范围的；</w:t>
      </w:r>
    </w:p>
    <w:p w14:paraId="39002D6D">
      <w:pPr>
        <w:adjustRightInd w:val="0"/>
        <w:snapToGrid w:val="0"/>
        <w:spacing w:before="156" w:beforeLines="50"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（3）评标委员会成员对客观评审因素评分不一致的；</w:t>
      </w:r>
    </w:p>
    <w:p w14:paraId="38217589">
      <w:pPr>
        <w:adjustRightInd w:val="0"/>
        <w:snapToGrid w:val="0"/>
        <w:spacing w:before="156" w:beforeLines="50"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（4）经评标委员会认定评分畸高、畸低的。</w:t>
      </w:r>
    </w:p>
    <w:p w14:paraId="6D308696">
      <w:pPr>
        <w:adjustRightInd w:val="0"/>
        <w:snapToGrid w:val="0"/>
        <w:spacing w:before="156" w:beforeLines="50" w:line="360" w:lineRule="auto"/>
        <w:ind w:firstLine="420" w:firstLineChars="200"/>
        <w:jc w:val="left"/>
        <w:rPr>
          <w:rFonts w:ascii="宋体" w:hAnsi="宋体"/>
          <w:b/>
          <w:bCs/>
          <w:color w:val="auto"/>
          <w:szCs w:val="21"/>
          <w:highlight w:val="none"/>
        </w:rPr>
      </w:pPr>
      <w:r>
        <w:rPr>
          <w:rFonts w:hint="eastAsia" w:ascii="宋体" w:hAnsi="宋体"/>
          <w:bCs/>
          <w:color w:val="auto"/>
          <w:szCs w:val="21"/>
          <w:highlight w:val="none"/>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6F45EAD8">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42" w:name="_Toc3804"/>
      <w:r>
        <w:rPr>
          <w:rFonts w:hint="eastAsia" w:ascii="黑体" w:hAnsi="黑体" w:eastAsia="黑体"/>
          <w:color w:val="auto"/>
          <w:sz w:val="24"/>
          <w:szCs w:val="24"/>
          <w:highlight w:val="none"/>
        </w:rPr>
        <w:t>9．</w:t>
      </w:r>
      <w:r>
        <w:rPr>
          <w:rFonts w:hint="eastAsia" w:ascii="黑体" w:hAnsi="黑体" w:eastAsia="黑体"/>
          <w:bCs w:val="0"/>
          <w:color w:val="auto"/>
          <w:sz w:val="24"/>
          <w:szCs w:val="24"/>
          <w:highlight w:val="none"/>
        </w:rPr>
        <w:t>停止评标</w:t>
      </w:r>
      <w:bookmarkEnd w:id="42"/>
    </w:p>
    <w:p w14:paraId="245ADE47">
      <w:pPr>
        <w:adjustRightInd w:val="0"/>
        <w:snapToGrid w:val="0"/>
        <w:spacing w:before="156" w:beforeLines="50" w:line="360" w:lineRule="auto"/>
        <w:ind w:firstLine="420" w:firstLineChars="200"/>
        <w:jc w:val="left"/>
        <w:rPr>
          <w:rFonts w:ascii="宋体" w:hAnsi="宋体" w:cs="宋体"/>
          <w:color w:val="auto"/>
          <w:kern w:val="0"/>
          <w:szCs w:val="21"/>
          <w:highlight w:val="none"/>
        </w:rPr>
      </w:pPr>
      <w:r>
        <w:rPr>
          <w:rFonts w:hint="eastAsia" w:ascii="宋体" w:hAnsi="宋体"/>
          <w:bCs/>
          <w:color w:val="auto"/>
          <w:szCs w:val="21"/>
          <w:highlight w:val="none"/>
        </w:rPr>
        <w:t>9.1</w:t>
      </w:r>
      <w:r>
        <w:rPr>
          <w:rFonts w:hint="eastAsia" w:ascii="宋体" w:hAnsi="宋体" w:cs="宋体"/>
          <w:color w:val="auto"/>
          <w:kern w:val="0"/>
          <w:szCs w:val="21"/>
          <w:highlight w:val="none"/>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364E9481">
      <w:pPr>
        <w:pStyle w:val="6"/>
        <w:keepNext w:val="0"/>
        <w:keepLines w:val="0"/>
        <w:adjustRightInd w:val="0"/>
        <w:snapToGrid w:val="0"/>
        <w:spacing w:before="156" w:beforeLines="50" w:after="0" w:line="360" w:lineRule="auto"/>
        <w:rPr>
          <w:rFonts w:hint="eastAsia" w:ascii="黑体" w:hAnsi="黑体" w:eastAsia="黑体"/>
          <w:color w:val="auto"/>
          <w:sz w:val="24"/>
          <w:szCs w:val="24"/>
          <w:highlight w:val="none"/>
        </w:rPr>
      </w:pPr>
      <w:bookmarkStart w:id="43" w:name="_Toc678"/>
      <w:r>
        <w:rPr>
          <w:rFonts w:hint="eastAsia" w:ascii="黑体" w:hAnsi="黑体" w:eastAsia="黑体"/>
          <w:color w:val="auto"/>
          <w:sz w:val="24"/>
          <w:szCs w:val="24"/>
          <w:highlight w:val="none"/>
        </w:rPr>
        <w:t>10</w:t>
      </w:r>
      <w:r>
        <w:rPr>
          <w:rFonts w:hint="eastAsia" w:ascii="黑体" w:hAnsi="黑体" w:eastAsia="黑体" w:cs="宋体"/>
          <w:color w:val="auto"/>
          <w:kern w:val="0"/>
          <w:sz w:val="24"/>
          <w:szCs w:val="24"/>
          <w:highlight w:val="none"/>
        </w:rPr>
        <w:t>．</w:t>
      </w:r>
      <w:r>
        <w:rPr>
          <w:rFonts w:hint="eastAsia" w:ascii="黑体" w:hAnsi="黑体" w:eastAsia="黑体"/>
          <w:color w:val="auto"/>
          <w:sz w:val="24"/>
          <w:szCs w:val="24"/>
          <w:highlight w:val="none"/>
        </w:rPr>
        <w:t>废标</w:t>
      </w:r>
      <w:bookmarkEnd w:id="43"/>
    </w:p>
    <w:p w14:paraId="6198E8C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10.1 根据有关法律法规和招标文件的有关规定，如出现下列情况之一的，应予以废标：</w:t>
      </w:r>
    </w:p>
    <w:p w14:paraId="75E230E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（1）符合专业条件的投标人或者对招标文件作实质响应的投标人不足三家的；</w:t>
      </w:r>
    </w:p>
    <w:p w14:paraId="2700CE8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（2）出现影响采购公正的违法、违规行为的；</w:t>
      </w:r>
    </w:p>
    <w:p w14:paraId="28BCE48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（3）投标人的报价均超过采购项目预算，采购人不能支付的；</w:t>
      </w:r>
    </w:p>
    <w:p w14:paraId="782441F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（4）因重大变故，采购任务取消的。</w:t>
      </w:r>
    </w:p>
    <w:p w14:paraId="5FB87C69">
      <w:pPr>
        <w:pStyle w:val="6"/>
        <w:keepNext w:val="0"/>
        <w:keepLines w:val="0"/>
        <w:adjustRightInd w:val="0"/>
        <w:snapToGrid w:val="0"/>
        <w:spacing w:before="156" w:beforeLines="50" w:after="0" w:line="360" w:lineRule="auto"/>
        <w:rPr>
          <w:rFonts w:ascii="黑体" w:hAnsi="黑体" w:eastAsia="黑体"/>
          <w:bCs w:val="0"/>
          <w:color w:val="auto"/>
          <w:sz w:val="24"/>
          <w:szCs w:val="24"/>
          <w:highlight w:val="none"/>
        </w:rPr>
      </w:pPr>
      <w:bookmarkStart w:id="44" w:name="_Toc10214"/>
      <w:r>
        <w:rPr>
          <w:rFonts w:hint="eastAsia" w:ascii="黑体" w:hAnsi="黑体" w:eastAsia="黑体" w:cs="宋体"/>
          <w:color w:val="auto"/>
          <w:kern w:val="0"/>
          <w:sz w:val="24"/>
          <w:szCs w:val="24"/>
          <w:highlight w:val="none"/>
        </w:rPr>
        <w:t>11．重新组建评标委员会进行评标</w:t>
      </w:r>
      <w:bookmarkEnd w:id="44"/>
    </w:p>
    <w:p w14:paraId="693EB60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11.1评标委员会或者其成员存在下列情形导致评标结果无效的，采购人、采购代理机构可以重新组建评标委员会进行评标，并书面报告本级财政部门，但采购合同已经履行的除外：</w:t>
      </w:r>
    </w:p>
    <w:p w14:paraId="687C680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（1）评标委员会组成不符合《政府采购货物和服务招标投标管理办法》规定的；</w:t>
      </w:r>
    </w:p>
    <w:p w14:paraId="2D838C5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（2）有《政府采购货物和服务招标投标管理办法》第六十二条第一至五项情形的；</w:t>
      </w:r>
    </w:p>
    <w:p w14:paraId="7A35A4E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（3）评标委员会及其成员独立评标受到非法干预的；</w:t>
      </w:r>
    </w:p>
    <w:p w14:paraId="4D246DF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（4）有政府采购法实施条例第七十五条规定的违法行为的。</w:t>
      </w:r>
    </w:p>
    <w:p w14:paraId="148BC27F">
      <w:pPr>
        <w:adjustRightInd w:val="0"/>
        <w:snapToGrid w:val="0"/>
        <w:spacing w:before="156" w:beforeLines="50" w:line="360" w:lineRule="auto"/>
        <w:ind w:firstLine="420" w:firstLineChars="200"/>
        <w:jc w:val="left"/>
        <w:rPr>
          <w:rFonts w:ascii="黑体" w:hAnsi="华文中宋" w:eastAsia="黑体"/>
          <w:b/>
          <w:color w:val="auto"/>
          <w:sz w:val="13"/>
          <w:szCs w:val="13"/>
          <w:highlight w:val="none"/>
        </w:rPr>
      </w:pPr>
      <w:r>
        <w:rPr>
          <w:rFonts w:hint="eastAsia" w:ascii="宋体" w:hAnsi="宋体"/>
          <w:color w:val="auto"/>
          <w:szCs w:val="21"/>
          <w:highlight w:val="none"/>
        </w:rPr>
        <w:t>11.2有违法违规行为的原评标委员会成员不得参加重新组建的评标委员会。</w:t>
      </w:r>
      <w:r>
        <w:rPr>
          <w:rFonts w:ascii="黑体" w:hAnsi="华文中宋" w:eastAsia="黑体"/>
          <w:b/>
          <w:color w:val="auto"/>
          <w:sz w:val="32"/>
          <w:szCs w:val="32"/>
          <w:highlight w:val="none"/>
        </w:rPr>
        <w:br w:type="page"/>
      </w:r>
    </w:p>
    <w:p w14:paraId="2FD228BC">
      <w:pPr>
        <w:pStyle w:val="5"/>
        <w:adjustRightInd w:val="0"/>
        <w:snapToGrid w:val="0"/>
        <w:jc w:val="center"/>
        <w:rPr>
          <w:rFonts w:ascii="黑体" w:hAnsi="华文中宋" w:eastAsia="黑体"/>
          <w:color w:val="auto"/>
          <w:sz w:val="28"/>
          <w:szCs w:val="28"/>
          <w:highlight w:val="none"/>
        </w:rPr>
      </w:pPr>
      <w:bookmarkStart w:id="45" w:name="_Toc9851"/>
      <w:r>
        <w:rPr>
          <w:rFonts w:hint="eastAsia" w:ascii="黑体" w:hAnsi="华文中宋" w:eastAsia="黑体"/>
          <w:color w:val="auto"/>
          <w:sz w:val="28"/>
          <w:szCs w:val="28"/>
          <w:highlight w:val="none"/>
        </w:rPr>
        <w:t>第三节 投标文件的符合性审查</w:t>
      </w:r>
      <w:bookmarkEnd w:id="45"/>
    </w:p>
    <w:p w14:paraId="5752F469">
      <w:pPr>
        <w:adjustRightInd w:val="0"/>
        <w:snapToGrid w:val="0"/>
        <w:spacing w:before="156" w:beforeLines="50" w:line="360" w:lineRule="auto"/>
        <w:rPr>
          <w:rFonts w:ascii="黑体" w:hAnsi="黑体" w:eastAsia="黑体"/>
          <w:b/>
          <w:color w:val="auto"/>
          <w:sz w:val="24"/>
          <w:highlight w:val="none"/>
        </w:rPr>
      </w:pPr>
      <w:r>
        <w:rPr>
          <w:rFonts w:hint="eastAsia" w:ascii="黑体" w:hAnsi="黑体" w:eastAsia="黑体"/>
          <w:b/>
          <w:color w:val="auto"/>
          <w:sz w:val="24"/>
          <w:highlight w:val="none"/>
        </w:rPr>
        <w:t>1.符合性审查</w:t>
      </w:r>
    </w:p>
    <w:p w14:paraId="0178748B">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1.1</w:t>
      </w:r>
      <w:r>
        <w:rPr>
          <w:rFonts w:hint="eastAsia" w:ascii="宋体" w:hAnsi="宋体"/>
          <w:color w:val="auto"/>
          <w:szCs w:val="21"/>
          <w:highlight w:val="none"/>
        </w:rPr>
        <w:t>评标委员会应按本章本节附表1“符合性审查表”所列审查项目及审查标准，</w:t>
      </w:r>
      <w:r>
        <w:rPr>
          <w:rFonts w:hint="eastAsia" w:ascii="宋体" w:hAnsi="宋体"/>
          <w:color w:val="auto"/>
          <w:highlight w:val="none"/>
        </w:rPr>
        <w:t>对符合资格条件的投标人的投标文件进行符合性审查，以确定其是否满足招标文件的实质性要求。</w:t>
      </w:r>
    </w:p>
    <w:p w14:paraId="1AA1B90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1AD2072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（2）投标人不得通过修正或撤销不合要求的偏离从而使其投标成为实质上响应的投标。</w:t>
      </w:r>
    </w:p>
    <w:p w14:paraId="0801A9C7">
      <w:pPr>
        <w:adjustRightInd w:val="0"/>
        <w:snapToGrid w:val="0"/>
        <w:spacing w:before="156" w:beforeLines="50" w:line="360" w:lineRule="auto"/>
        <w:ind w:firstLine="420" w:firstLineChars="200"/>
        <w:jc w:val="left"/>
        <w:rPr>
          <w:rFonts w:ascii="宋体" w:hAnsi="宋体"/>
          <w:color w:val="auto"/>
          <w:highlight w:val="none"/>
        </w:rPr>
      </w:pPr>
      <w:r>
        <w:rPr>
          <w:rFonts w:hint="eastAsia" w:ascii="宋体" w:hAnsi="宋体"/>
          <w:color w:val="auto"/>
          <w:kern w:val="0"/>
          <w:szCs w:val="21"/>
          <w:highlight w:val="none"/>
        </w:rPr>
        <w:t>1.2</w:t>
      </w:r>
      <w:r>
        <w:rPr>
          <w:rFonts w:hint="eastAsia" w:ascii="宋体" w:hAnsi="宋体"/>
          <w:color w:val="auto"/>
          <w:highlight w:val="none"/>
        </w:rPr>
        <w:t>未通过符合性审查的投标人，其投标将被认定为投标无效，不能进入下一阶段评审。通过符合性审查的投标人数量不足 3 家的，不得作进一步的比较和评价。</w:t>
      </w:r>
    </w:p>
    <w:p w14:paraId="58EF0A0C">
      <w:pPr>
        <w:adjustRightInd w:val="0"/>
        <w:snapToGrid w:val="0"/>
        <w:spacing w:before="156" w:beforeLines="50" w:line="360" w:lineRule="auto"/>
        <w:jc w:val="left"/>
        <w:rPr>
          <w:rFonts w:ascii="黑体" w:hAnsi="黑体" w:eastAsia="黑体"/>
          <w:b/>
          <w:color w:val="auto"/>
          <w:sz w:val="24"/>
          <w:highlight w:val="none"/>
        </w:rPr>
      </w:pPr>
      <w:r>
        <w:rPr>
          <w:rFonts w:hint="eastAsia" w:ascii="黑体" w:hAnsi="黑体" w:eastAsia="黑体"/>
          <w:b/>
          <w:color w:val="auto"/>
          <w:sz w:val="24"/>
          <w:highlight w:val="none"/>
        </w:rPr>
        <w:t>2.投标无效</w:t>
      </w:r>
    </w:p>
    <w:p w14:paraId="53DEC25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2.1投标人存在下列情况之一的，符合性审查不合格，投标无效：</w:t>
      </w:r>
    </w:p>
    <w:p w14:paraId="4FE7C8E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（1）投标文件中商务技术文件未按照招标文件规定要求签署、盖章的；</w:t>
      </w:r>
    </w:p>
    <w:p w14:paraId="086574F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（2）投标文件没有对招标文件的实质性要求和条件作出响应，或者对招标文件的偏离超出招标文件规定的偏离</w:t>
      </w:r>
      <w:r>
        <w:rPr>
          <w:rFonts w:hint="eastAsia" w:ascii="宋体" w:hAnsi="宋体"/>
          <w:color w:val="auto"/>
          <w:highlight w:val="none"/>
        </w:rPr>
        <w:t>范围和幅度</w:t>
      </w:r>
      <w:r>
        <w:rPr>
          <w:rFonts w:hint="eastAsia" w:ascii="宋体" w:hAnsi="宋体"/>
          <w:color w:val="auto"/>
          <w:szCs w:val="21"/>
          <w:highlight w:val="none"/>
        </w:rPr>
        <w:t>；</w:t>
      </w:r>
    </w:p>
    <w:p w14:paraId="174E14F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（3）投标有效期不足的；</w:t>
      </w:r>
    </w:p>
    <w:p w14:paraId="03CE8ED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（4）投标文件含有采购人不能接受的附加条件的；</w:t>
      </w:r>
    </w:p>
    <w:p w14:paraId="56F6025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（5）不符合本节第1.1款规定符合性审查标准的；</w:t>
      </w:r>
    </w:p>
    <w:p w14:paraId="23D97A27">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（6）法律、法规和招标文件规定的其他投标无效情形的。</w:t>
      </w:r>
    </w:p>
    <w:p w14:paraId="79C16FD0">
      <w:pPr>
        <w:adjustRightInd w:val="0"/>
        <w:snapToGrid w:val="0"/>
        <w:spacing w:before="156" w:beforeLines="5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2.2在评标过程中发现投标人有不遵循公平竞争的原则，恶意串通，妨碍其他投标人的竞争行为，损害采购人或者其他投标人的合法权益的，评标委员会应当认定其</w:t>
      </w:r>
      <w:r>
        <w:rPr>
          <w:rFonts w:hint="eastAsia" w:ascii="宋体" w:hAnsi="宋体"/>
          <w:b/>
          <w:color w:val="auto"/>
          <w:kern w:val="0"/>
          <w:szCs w:val="21"/>
          <w:highlight w:val="none"/>
        </w:rPr>
        <w:t>投标无效</w:t>
      </w:r>
      <w:r>
        <w:rPr>
          <w:rFonts w:hint="eastAsia" w:ascii="宋体" w:hAnsi="宋体"/>
          <w:color w:val="auto"/>
          <w:kern w:val="0"/>
          <w:szCs w:val="21"/>
          <w:highlight w:val="none"/>
        </w:rPr>
        <w:t>，并书面报告本级财政部门。</w:t>
      </w:r>
    </w:p>
    <w:p w14:paraId="3164EAF8">
      <w:pPr>
        <w:rPr>
          <w:color w:val="auto"/>
          <w:highlight w:val="none"/>
        </w:rPr>
      </w:pPr>
    </w:p>
    <w:p w14:paraId="47A98D0A">
      <w:pPr>
        <w:rPr>
          <w:color w:val="auto"/>
          <w:highlight w:val="none"/>
        </w:rPr>
      </w:pPr>
    </w:p>
    <w:p w14:paraId="2078486B">
      <w:pPr>
        <w:widowControl/>
        <w:jc w:val="left"/>
        <w:rPr>
          <w:rFonts w:hint="eastAsia" w:ascii="黑体" w:hAnsi="黑体"/>
          <w:b/>
          <w:color w:val="auto"/>
          <w:sz w:val="10"/>
          <w:szCs w:val="10"/>
          <w:highlight w:val="none"/>
        </w:rPr>
      </w:pPr>
      <w:r>
        <w:rPr>
          <w:rFonts w:ascii="黑体" w:hAnsi="黑体"/>
          <w:b/>
          <w:color w:val="auto"/>
          <w:szCs w:val="21"/>
          <w:highlight w:val="none"/>
        </w:rPr>
        <w:br w:type="page"/>
      </w:r>
      <w:r>
        <w:rPr>
          <w:rFonts w:hint="eastAsia" w:ascii="黑体" w:hAnsi="黑体" w:eastAsia="黑体" w:cs="黑体"/>
          <w:b/>
          <w:bCs/>
          <w:color w:val="auto"/>
          <w:szCs w:val="21"/>
          <w:highlight w:val="none"/>
        </w:rPr>
        <w:t>附表1 符合性审查表</w:t>
      </w:r>
    </w:p>
    <w:p w14:paraId="583347CA">
      <w:pPr>
        <w:adjustRightInd w:val="0"/>
        <w:snapToGri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符合性审查表</w:t>
      </w:r>
    </w:p>
    <w:p w14:paraId="7D7787E6">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 xml:space="preserve">项目名称：                                           政府采购计划编号： </w:t>
      </w: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686"/>
        <w:gridCol w:w="5691"/>
      </w:tblGrid>
      <w:tr w14:paraId="7BDCC5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noWrap w:val="0"/>
            <w:vAlign w:val="center"/>
          </w:tcPr>
          <w:p w14:paraId="14F8781F">
            <w:pPr>
              <w:adjustRightInd w:val="0"/>
              <w:snapToGrid w:val="0"/>
              <w:spacing w:before="156" w:beforeLines="50"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686" w:type="dxa"/>
            <w:tcBorders>
              <w:bottom w:val="single" w:color="auto" w:sz="4" w:space="0"/>
            </w:tcBorders>
            <w:noWrap w:val="0"/>
            <w:vAlign w:val="center"/>
          </w:tcPr>
          <w:p w14:paraId="4EBCFEF3">
            <w:pPr>
              <w:adjustRightInd w:val="0"/>
              <w:snapToGrid w:val="0"/>
              <w:spacing w:before="156" w:beforeLines="50"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审查项目</w:t>
            </w:r>
          </w:p>
        </w:tc>
        <w:tc>
          <w:tcPr>
            <w:tcW w:w="5691" w:type="dxa"/>
            <w:tcBorders>
              <w:bottom w:val="single" w:color="auto" w:sz="4" w:space="0"/>
            </w:tcBorders>
            <w:noWrap w:val="0"/>
            <w:vAlign w:val="center"/>
          </w:tcPr>
          <w:p w14:paraId="003CC119">
            <w:pPr>
              <w:adjustRightInd w:val="0"/>
              <w:snapToGrid w:val="0"/>
              <w:spacing w:before="156" w:beforeLines="50"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审查标准</w:t>
            </w:r>
          </w:p>
        </w:tc>
      </w:tr>
      <w:tr w14:paraId="49160D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4F1C4603">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95AB05">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投标文件签署、盖章的情况</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F34CA1">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是否按照招标文件规定要求签署、盖章。</w:t>
            </w:r>
          </w:p>
        </w:tc>
      </w:tr>
      <w:tr w14:paraId="7318CC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1B24EB76">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98C2E9">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投标文件实质性响应情况或偏离的范围和幅度。</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F625E3">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是否对招标文件的实质性要求和条件作出了完全响应；</w:t>
            </w:r>
          </w:p>
          <w:p w14:paraId="3A74744C">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偏离条款是否超出了招标文件规定的偏离范围和幅度。</w:t>
            </w:r>
          </w:p>
          <w:p w14:paraId="60F61063">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评标委员会判断投标文件的响应性只根据投标文件的内容，而不依据外部的证据</w:t>
            </w:r>
          </w:p>
        </w:tc>
      </w:tr>
      <w:tr w14:paraId="689264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7200DC81">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3AE6D5">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E7CE3D">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是否响应招标文件规定的投标有效期</w:t>
            </w:r>
          </w:p>
        </w:tc>
      </w:tr>
      <w:tr w14:paraId="6A329A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4C1BB99C">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0137A4">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附加条件</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A4F10A">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是否有采购人不能接受的附加条件的</w:t>
            </w:r>
          </w:p>
        </w:tc>
      </w:tr>
      <w:tr w14:paraId="05099C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7518A380">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3F3865">
            <w:pPr>
              <w:adjustRightInd w:val="0"/>
              <w:snapToGrid w:val="0"/>
              <w:spacing w:before="156" w:beforeLines="50" w:line="360" w:lineRule="auto"/>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承诺函</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BFA496">
            <w:pPr>
              <w:adjustRightInd w:val="0"/>
              <w:snapToGrid w:val="0"/>
              <w:spacing w:before="156" w:beforeLines="50" w:line="360" w:lineRule="auto"/>
              <w:jc w:val="left"/>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是否按采购需求要求提供承诺函</w:t>
            </w:r>
          </w:p>
        </w:tc>
      </w:tr>
      <w:tr w14:paraId="5B9BA5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tcBorders>
              <w:right w:val="single" w:color="auto" w:sz="4" w:space="0"/>
            </w:tcBorders>
            <w:shd w:val="clear" w:color="auto" w:fill="auto"/>
            <w:noWrap w:val="0"/>
            <w:vAlign w:val="center"/>
          </w:tcPr>
          <w:p w14:paraId="60573990">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26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FE9CD3">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其它</w:t>
            </w:r>
          </w:p>
        </w:tc>
        <w:tc>
          <w:tcPr>
            <w:tcW w:w="569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7275E8">
            <w:pPr>
              <w:adjustRightInd w:val="0"/>
              <w:snapToGrid w:val="0"/>
              <w:spacing w:before="156"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法律、法规和招标文件规定的其他投标无效情形</w:t>
            </w:r>
          </w:p>
        </w:tc>
      </w:tr>
      <w:tr w14:paraId="273B62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04B02306">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2686" w:type="dxa"/>
            <w:tcBorders>
              <w:top w:val="single" w:color="auto" w:sz="4" w:space="0"/>
            </w:tcBorders>
            <w:noWrap w:val="0"/>
            <w:vAlign w:val="top"/>
          </w:tcPr>
          <w:p w14:paraId="5DC23606">
            <w:pPr>
              <w:adjustRightInd w:val="0"/>
              <w:snapToGrid w:val="0"/>
              <w:spacing w:before="156" w:beforeLines="50" w:line="360" w:lineRule="auto"/>
              <w:jc w:val="left"/>
              <w:rPr>
                <w:rFonts w:ascii="宋体" w:hAnsi="宋体" w:eastAsia="宋体" w:cs="Times New Roman"/>
                <w:color w:val="auto"/>
                <w:kern w:val="0"/>
                <w:szCs w:val="21"/>
                <w:highlight w:val="none"/>
              </w:rPr>
            </w:pPr>
          </w:p>
        </w:tc>
        <w:tc>
          <w:tcPr>
            <w:tcW w:w="5691" w:type="dxa"/>
            <w:tcBorders>
              <w:top w:val="single" w:color="auto" w:sz="4" w:space="0"/>
            </w:tcBorders>
            <w:noWrap w:val="0"/>
            <w:vAlign w:val="center"/>
          </w:tcPr>
          <w:p w14:paraId="4234C28B">
            <w:pPr>
              <w:adjustRightInd w:val="0"/>
              <w:snapToGrid w:val="0"/>
              <w:spacing w:before="156" w:beforeLines="50" w:line="360" w:lineRule="auto"/>
              <w:jc w:val="center"/>
              <w:rPr>
                <w:rFonts w:ascii="宋体" w:hAnsi="宋体" w:eastAsia="宋体" w:cs="宋体"/>
                <w:color w:val="auto"/>
                <w:kern w:val="0"/>
                <w:szCs w:val="21"/>
                <w:highlight w:val="none"/>
              </w:rPr>
            </w:pPr>
          </w:p>
        </w:tc>
      </w:tr>
      <w:tr w14:paraId="55C6EE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3809A285">
            <w:pPr>
              <w:adjustRightInd w:val="0"/>
              <w:snapToGrid w:val="0"/>
              <w:spacing w:before="156" w:beforeLines="50" w:line="360" w:lineRule="auto"/>
              <w:jc w:val="center"/>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结论</w:t>
            </w:r>
          </w:p>
        </w:tc>
        <w:tc>
          <w:tcPr>
            <w:tcW w:w="8377" w:type="dxa"/>
            <w:gridSpan w:val="2"/>
            <w:noWrap w:val="0"/>
            <w:vAlign w:val="center"/>
          </w:tcPr>
          <w:p w14:paraId="690F8AAA">
            <w:pPr>
              <w:adjustRightInd w:val="0"/>
              <w:snapToGrid w:val="0"/>
              <w:spacing w:before="156" w:beforeLines="50" w:line="360" w:lineRule="auto"/>
              <w:jc w:val="center"/>
              <w:rPr>
                <w:rFonts w:ascii="宋体" w:hAnsi="宋体" w:eastAsia="宋体" w:cs="宋体"/>
                <w:color w:val="auto"/>
                <w:kern w:val="0"/>
                <w:sz w:val="20"/>
                <w:szCs w:val="21"/>
                <w:highlight w:val="none"/>
              </w:rPr>
            </w:pPr>
          </w:p>
        </w:tc>
      </w:tr>
    </w:tbl>
    <w:p w14:paraId="15E31D9B">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 </w:t>
      </w:r>
    </w:p>
    <w:p w14:paraId="6D6D9F51">
      <w:pPr>
        <w:widowControl/>
        <w:jc w:val="left"/>
        <w:rPr>
          <w:rFonts w:hint="eastAsia" w:ascii="宋体" w:hAnsi="宋体"/>
          <w:color w:val="auto"/>
          <w:sz w:val="10"/>
          <w:szCs w:val="10"/>
          <w:highlight w:val="none"/>
        </w:rPr>
      </w:pPr>
      <w:r>
        <w:rPr>
          <w:rFonts w:ascii="宋体" w:hAnsi="宋体"/>
          <w:color w:val="auto"/>
          <w:szCs w:val="21"/>
          <w:highlight w:val="none"/>
        </w:rPr>
        <w:br w:type="page"/>
      </w:r>
      <w:r>
        <w:rPr>
          <w:rFonts w:hint="eastAsia" w:ascii="黑体" w:hAnsi="黑体" w:eastAsia="黑体" w:cs="黑体"/>
          <w:b/>
          <w:bCs/>
          <w:color w:val="auto"/>
          <w:szCs w:val="21"/>
          <w:highlight w:val="none"/>
        </w:rPr>
        <w:t>附表2 符合性审查结果一览表</w:t>
      </w:r>
    </w:p>
    <w:p w14:paraId="15116FE1">
      <w:pPr>
        <w:adjustRightInd w:val="0"/>
        <w:snapToGri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符合性审查结果一览表</w:t>
      </w:r>
    </w:p>
    <w:p w14:paraId="5CB259C9">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项目名称：                                           政府采购计划编号：</w:t>
      </w: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6F0806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2643568C">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序号</w:t>
            </w:r>
          </w:p>
        </w:tc>
        <w:tc>
          <w:tcPr>
            <w:tcW w:w="2963" w:type="dxa"/>
            <w:noWrap w:val="0"/>
            <w:vAlign w:val="center"/>
          </w:tcPr>
          <w:p w14:paraId="4F42B352">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投标人名称</w:t>
            </w:r>
          </w:p>
        </w:tc>
        <w:tc>
          <w:tcPr>
            <w:tcW w:w="2439" w:type="dxa"/>
            <w:noWrap w:val="0"/>
            <w:vAlign w:val="center"/>
          </w:tcPr>
          <w:p w14:paraId="180971A5">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符合性审查结果</w:t>
            </w:r>
          </w:p>
          <w:p w14:paraId="437E20F8">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（合格/不合格）</w:t>
            </w:r>
          </w:p>
        </w:tc>
        <w:tc>
          <w:tcPr>
            <w:tcW w:w="2961" w:type="dxa"/>
            <w:noWrap w:val="0"/>
            <w:vAlign w:val="center"/>
          </w:tcPr>
          <w:p w14:paraId="3D0176B9">
            <w:pPr>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符合性审查不合格原因</w:t>
            </w:r>
          </w:p>
        </w:tc>
      </w:tr>
      <w:tr w14:paraId="6C1821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011C058">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1A19EB5E">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6692CBA4">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382CDECF">
            <w:pPr>
              <w:adjustRightInd w:val="0"/>
              <w:snapToGrid w:val="0"/>
              <w:spacing w:line="360" w:lineRule="auto"/>
              <w:rPr>
                <w:rFonts w:ascii="宋体" w:hAnsi="宋体" w:eastAsia="宋体" w:cs="Times New Roman"/>
                <w:color w:val="auto"/>
                <w:kern w:val="0"/>
                <w:sz w:val="24"/>
                <w:highlight w:val="none"/>
              </w:rPr>
            </w:pPr>
          </w:p>
        </w:tc>
      </w:tr>
      <w:tr w14:paraId="3E774A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89DC754">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761CD2FF">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287B049A">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53E10CE2">
            <w:pPr>
              <w:adjustRightInd w:val="0"/>
              <w:snapToGrid w:val="0"/>
              <w:spacing w:line="360" w:lineRule="auto"/>
              <w:rPr>
                <w:rFonts w:ascii="宋体" w:hAnsi="宋体" w:eastAsia="宋体" w:cs="Times New Roman"/>
                <w:color w:val="auto"/>
                <w:kern w:val="0"/>
                <w:sz w:val="24"/>
                <w:highlight w:val="none"/>
              </w:rPr>
            </w:pPr>
          </w:p>
        </w:tc>
      </w:tr>
      <w:tr w14:paraId="65FD59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0B19428">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669C1734">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1E64D42E">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0FC37EDF">
            <w:pPr>
              <w:adjustRightInd w:val="0"/>
              <w:snapToGrid w:val="0"/>
              <w:spacing w:line="360" w:lineRule="auto"/>
              <w:rPr>
                <w:rFonts w:ascii="宋体" w:hAnsi="宋体" w:eastAsia="宋体" w:cs="Times New Roman"/>
                <w:color w:val="auto"/>
                <w:kern w:val="0"/>
                <w:sz w:val="24"/>
                <w:highlight w:val="none"/>
              </w:rPr>
            </w:pPr>
          </w:p>
        </w:tc>
      </w:tr>
      <w:tr w14:paraId="68C2C1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EECD4D0">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57EE0CD3">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27011432">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60C2F113">
            <w:pPr>
              <w:adjustRightInd w:val="0"/>
              <w:snapToGrid w:val="0"/>
              <w:spacing w:line="360" w:lineRule="auto"/>
              <w:rPr>
                <w:rFonts w:ascii="宋体" w:hAnsi="宋体" w:eastAsia="宋体" w:cs="Times New Roman"/>
                <w:color w:val="auto"/>
                <w:kern w:val="0"/>
                <w:sz w:val="24"/>
                <w:highlight w:val="none"/>
              </w:rPr>
            </w:pPr>
          </w:p>
        </w:tc>
      </w:tr>
      <w:tr w14:paraId="5A6720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45FB644C">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085AA029">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2C559DF0">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200C2032">
            <w:pPr>
              <w:adjustRightInd w:val="0"/>
              <w:snapToGrid w:val="0"/>
              <w:spacing w:line="360" w:lineRule="auto"/>
              <w:rPr>
                <w:rFonts w:ascii="宋体" w:hAnsi="宋体" w:eastAsia="宋体" w:cs="Times New Roman"/>
                <w:color w:val="auto"/>
                <w:kern w:val="0"/>
                <w:sz w:val="24"/>
                <w:highlight w:val="none"/>
              </w:rPr>
            </w:pPr>
          </w:p>
        </w:tc>
      </w:tr>
      <w:tr w14:paraId="16EEE9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03809408">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3733B960">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4F288562">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24A0BBF0">
            <w:pPr>
              <w:adjustRightInd w:val="0"/>
              <w:snapToGrid w:val="0"/>
              <w:spacing w:line="360" w:lineRule="auto"/>
              <w:rPr>
                <w:rFonts w:ascii="宋体" w:hAnsi="宋体" w:eastAsia="宋体" w:cs="Times New Roman"/>
                <w:color w:val="auto"/>
                <w:kern w:val="0"/>
                <w:sz w:val="24"/>
                <w:highlight w:val="none"/>
              </w:rPr>
            </w:pPr>
          </w:p>
        </w:tc>
      </w:tr>
      <w:tr w14:paraId="516BF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4150B402">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228BFCC7">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43375CF0">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71A613AB">
            <w:pPr>
              <w:adjustRightInd w:val="0"/>
              <w:snapToGrid w:val="0"/>
              <w:spacing w:line="360" w:lineRule="auto"/>
              <w:rPr>
                <w:rFonts w:ascii="宋体" w:hAnsi="宋体" w:eastAsia="宋体" w:cs="Times New Roman"/>
                <w:color w:val="auto"/>
                <w:kern w:val="0"/>
                <w:sz w:val="24"/>
                <w:highlight w:val="none"/>
              </w:rPr>
            </w:pPr>
          </w:p>
        </w:tc>
      </w:tr>
      <w:tr w14:paraId="402CFB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0A2ED25E">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082069F5">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60899B82">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3C3179B6">
            <w:pPr>
              <w:adjustRightInd w:val="0"/>
              <w:snapToGrid w:val="0"/>
              <w:spacing w:line="360" w:lineRule="auto"/>
              <w:rPr>
                <w:rFonts w:ascii="宋体" w:hAnsi="宋体" w:eastAsia="宋体" w:cs="Times New Roman"/>
                <w:color w:val="auto"/>
                <w:kern w:val="0"/>
                <w:sz w:val="24"/>
                <w:highlight w:val="none"/>
              </w:rPr>
            </w:pPr>
          </w:p>
        </w:tc>
      </w:tr>
      <w:tr w14:paraId="28155B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BB0A692">
            <w:pPr>
              <w:adjustRightInd w:val="0"/>
              <w:snapToGrid w:val="0"/>
              <w:spacing w:line="360" w:lineRule="auto"/>
              <w:rPr>
                <w:rFonts w:ascii="宋体" w:hAnsi="宋体" w:eastAsia="宋体" w:cs="Times New Roman"/>
                <w:color w:val="auto"/>
                <w:kern w:val="0"/>
                <w:sz w:val="24"/>
                <w:highlight w:val="none"/>
              </w:rPr>
            </w:pPr>
          </w:p>
        </w:tc>
        <w:tc>
          <w:tcPr>
            <w:tcW w:w="2963" w:type="dxa"/>
            <w:noWrap w:val="0"/>
            <w:vAlign w:val="top"/>
          </w:tcPr>
          <w:p w14:paraId="7BB689B6">
            <w:pPr>
              <w:adjustRightInd w:val="0"/>
              <w:snapToGrid w:val="0"/>
              <w:spacing w:line="360" w:lineRule="auto"/>
              <w:rPr>
                <w:rFonts w:ascii="宋体" w:hAnsi="宋体" w:eastAsia="宋体" w:cs="Times New Roman"/>
                <w:color w:val="auto"/>
                <w:kern w:val="0"/>
                <w:sz w:val="24"/>
                <w:highlight w:val="none"/>
              </w:rPr>
            </w:pPr>
          </w:p>
        </w:tc>
        <w:tc>
          <w:tcPr>
            <w:tcW w:w="2439" w:type="dxa"/>
            <w:noWrap w:val="0"/>
            <w:vAlign w:val="top"/>
          </w:tcPr>
          <w:p w14:paraId="714AC2A3">
            <w:pPr>
              <w:adjustRightInd w:val="0"/>
              <w:snapToGrid w:val="0"/>
              <w:spacing w:line="360" w:lineRule="auto"/>
              <w:rPr>
                <w:rFonts w:ascii="宋体" w:hAnsi="宋体" w:eastAsia="宋体" w:cs="Times New Roman"/>
                <w:color w:val="auto"/>
                <w:kern w:val="0"/>
                <w:sz w:val="24"/>
                <w:highlight w:val="none"/>
              </w:rPr>
            </w:pPr>
          </w:p>
        </w:tc>
        <w:tc>
          <w:tcPr>
            <w:tcW w:w="2961" w:type="dxa"/>
            <w:noWrap w:val="0"/>
            <w:vAlign w:val="top"/>
          </w:tcPr>
          <w:p w14:paraId="6B95E9AB">
            <w:pPr>
              <w:adjustRightInd w:val="0"/>
              <w:snapToGrid w:val="0"/>
              <w:spacing w:line="360" w:lineRule="auto"/>
              <w:rPr>
                <w:rFonts w:ascii="宋体" w:hAnsi="宋体" w:eastAsia="宋体" w:cs="Times New Roman"/>
                <w:color w:val="auto"/>
                <w:kern w:val="0"/>
                <w:sz w:val="24"/>
                <w:highlight w:val="none"/>
              </w:rPr>
            </w:pPr>
          </w:p>
        </w:tc>
      </w:tr>
    </w:tbl>
    <w:p w14:paraId="0854C519">
      <w:pPr>
        <w:widowControl/>
        <w:jc w:val="left"/>
        <w:rPr>
          <w:rFonts w:hint="eastAsia" w:ascii="黑体" w:hAnsi="黑体" w:eastAsia="黑体"/>
          <w:bCs/>
          <w:color w:val="auto"/>
          <w:szCs w:val="21"/>
          <w:highlight w:val="none"/>
        </w:rPr>
      </w:pPr>
      <w:r>
        <w:rPr>
          <w:rFonts w:ascii="黑体" w:hAnsi="黑体"/>
          <w:b/>
          <w:color w:val="auto"/>
          <w:szCs w:val="21"/>
          <w:highlight w:val="none"/>
        </w:rPr>
        <w:br w:type="page"/>
      </w:r>
      <w:r>
        <w:rPr>
          <w:rFonts w:hint="eastAsia" w:ascii="黑体" w:hAnsi="黑体" w:eastAsia="黑体" w:cs="黑体"/>
          <w:b/>
          <w:bCs/>
          <w:color w:val="auto"/>
          <w:szCs w:val="21"/>
          <w:highlight w:val="none"/>
        </w:rPr>
        <w:t>附表3 符合性审查合格投标人名单</w:t>
      </w:r>
    </w:p>
    <w:p w14:paraId="4FB25BF7">
      <w:pPr>
        <w:adjustRightInd w:val="0"/>
        <w:snapToGri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符合性审查合格投标人名单</w:t>
      </w:r>
    </w:p>
    <w:p w14:paraId="42FFE016">
      <w:pPr>
        <w:adjustRightInd w:val="0"/>
        <w:snapToGrid w:val="0"/>
        <w:spacing w:before="156" w:beforeLines="50" w:line="360" w:lineRule="auto"/>
        <w:rPr>
          <w:rFonts w:ascii="华文中宋" w:hAnsi="华文中宋" w:eastAsia="华文中宋"/>
          <w:color w:val="auto"/>
          <w:sz w:val="32"/>
          <w:szCs w:val="32"/>
          <w:highlight w:val="none"/>
        </w:rPr>
      </w:pPr>
      <w:r>
        <w:rPr>
          <w:rFonts w:hint="eastAsia" w:ascii="宋体" w:hAnsi="宋体"/>
          <w:color w:val="auto"/>
          <w:szCs w:val="21"/>
          <w:highlight w:val="none"/>
        </w:rPr>
        <w:t>项目名称：                                        政府采购计划编号：</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1BFEE6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14:paraId="0797E17C">
            <w:pPr>
              <w:jc w:val="center"/>
              <w:rPr>
                <w:rFonts w:ascii="Times New Roman" w:hAnsi="Times New Roman" w:eastAsia="宋体" w:cs="Times New Roman"/>
                <w:b/>
                <w:color w:val="auto"/>
                <w:kern w:val="0"/>
                <w:szCs w:val="21"/>
                <w:highlight w:val="none"/>
              </w:rPr>
            </w:pPr>
            <w:r>
              <w:rPr>
                <w:rFonts w:hint="eastAsia" w:ascii="Times New Roman" w:hAnsi="Times New Roman" w:eastAsia="宋体" w:cs="Times New Roman"/>
                <w:b/>
                <w:color w:val="auto"/>
                <w:kern w:val="0"/>
                <w:szCs w:val="21"/>
                <w:highlight w:val="none"/>
              </w:rPr>
              <w:t>序号</w:t>
            </w:r>
          </w:p>
        </w:tc>
        <w:tc>
          <w:tcPr>
            <w:tcW w:w="7796" w:type="dxa"/>
            <w:noWrap w:val="0"/>
            <w:vAlign w:val="center"/>
          </w:tcPr>
          <w:p w14:paraId="1D4F4ACC">
            <w:pPr>
              <w:jc w:val="center"/>
              <w:rPr>
                <w:rFonts w:ascii="Times New Roman" w:hAnsi="Times New Roman" w:eastAsia="宋体" w:cs="Times New Roman"/>
                <w:b/>
                <w:color w:val="auto"/>
                <w:kern w:val="0"/>
                <w:szCs w:val="21"/>
                <w:highlight w:val="none"/>
              </w:rPr>
            </w:pPr>
            <w:r>
              <w:rPr>
                <w:rFonts w:hint="eastAsia" w:ascii="Times New Roman" w:hAnsi="Times New Roman" w:eastAsia="宋体" w:cs="Times New Roman"/>
                <w:b/>
                <w:color w:val="auto"/>
                <w:kern w:val="0"/>
                <w:szCs w:val="21"/>
                <w:highlight w:val="none"/>
              </w:rPr>
              <w:t>合格投标人名称</w:t>
            </w:r>
          </w:p>
        </w:tc>
      </w:tr>
      <w:tr w14:paraId="100C52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4702B76A">
            <w:pPr>
              <w:adjustRightInd w:val="0"/>
              <w:snapToGrid w:val="0"/>
              <w:spacing w:line="360" w:lineRule="auto"/>
              <w:rPr>
                <w:rFonts w:ascii="宋体" w:hAnsi="宋体" w:eastAsia="宋体" w:cs="Times New Roman"/>
                <w:color w:val="auto"/>
                <w:kern w:val="0"/>
                <w:szCs w:val="21"/>
                <w:highlight w:val="none"/>
              </w:rPr>
            </w:pPr>
          </w:p>
        </w:tc>
        <w:tc>
          <w:tcPr>
            <w:tcW w:w="7796" w:type="dxa"/>
            <w:noWrap w:val="0"/>
            <w:vAlign w:val="top"/>
          </w:tcPr>
          <w:p w14:paraId="6A87836E">
            <w:pPr>
              <w:adjustRightInd w:val="0"/>
              <w:snapToGrid w:val="0"/>
              <w:spacing w:line="360" w:lineRule="auto"/>
              <w:rPr>
                <w:rFonts w:ascii="宋体" w:hAnsi="宋体" w:eastAsia="宋体" w:cs="Times New Roman"/>
                <w:color w:val="auto"/>
                <w:kern w:val="0"/>
                <w:szCs w:val="21"/>
                <w:highlight w:val="none"/>
              </w:rPr>
            </w:pPr>
          </w:p>
        </w:tc>
      </w:tr>
      <w:tr w14:paraId="53521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4BD54BAF">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7BB82726">
            <w:pPr>
              <w:adjustRightInd w:val="0"/>
              <w:snapToGrid w:val="0"/>
              <w:spacing w:line="360" w:lineRule="auto"/>
              <w:rPr>
                <w:rFonts w:ascii="宋体" w:hAnsi="宋体" w:eastAsia="宋体" w:cs="Times New Roman"/>
                <w:color w:val="auto"/>
                <w:kern w:val="0"/>
                <w:sz w:val="24"/>
                <w:highlight w:val="none"/>
              </w:rPr>
            </w:pPr>
          </w:p>
        </w:tc>
      </w:tr>
      <w:tr w14:paraId="2CDE49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204D51B7">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67743BB7">
            <w:pPr>
              <w:adjustRightInd w:val="0"/>
              <w:snapToGrid w:val="0"/>
              <w:spacing w:line="360" w:lineRule="auto"/>
              <w:rPr>
                <w:rFonts w:ascii="宋体" w:hAnsi="宋体" w:eastAsia="宋体" w:cs="Times New Roman"/>
                <w:color w:val="auto"/>
                <w:kern w:val="0"/>
                <w:sz w:val="24"/>
                <w:highlight w:val="none"/>
              </w:rPr>
            </w:pPr>
          </w:p>
        </w:tc>
      </w:tr>
      <w:tr w14:paraId="57FC46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911E11C">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1D6C0AD5">
            <w:pPr>
              <w:adjustRightInd w:val="0"/>
              <w:snapToGrid w:val="0"/>
              <w:spacing w:line="360" w:lineRule="auto"/>
              <w:rPr>
                <w:rFonts w:ascii="宋体" w:hAnsi="宋体" w:eastAsia="宋体" w:cs="Times New Roman"/>
                <w:color w:val="auto"/>
                <w:kern w:val="0"/>
                <w:sz w:val="24"/>
                <w:highlight w:val="none"/>
              </w:rPr>
            </w:pPr>
          </w:p>
        </w:tc>
      </w:tr>
      <w:tr w14:paraId="7A1953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30AE9C8E">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5D95D659">
            <w:pPr>
              <w:adjustRightInd w:val="0"/>
              <w:snapToGrid w:val="0"/>
              <w:spacing w:line="360" w:lineRule="auto"/>
              <w:rPr>
                <w:rFonts w:ascii="宋体" w:hAnsi="宋体" w:eastAsia="宋体" w:cs="Times New Roman"/>
                <w:color w:val="auto"/>
                <w:kern w:val="0"/>
                <w:sz w:val="24"/>
                <w:highlight w:val="none"/>
              </w:rPr>
            </w:pPr>
          </w:p>
        </w:tc>
      </w:tr>
      <w:tr w14:paraId="7EC676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36D98580">
            <w:pPr>
              <w:adjustRightInd w:val="0"/>
              <w:snapToGrid w:val="0"/>
              <w:spacing w:line="360" w:lineRule="auto"/>
              <w:rPr>
                <w:rFonts w:ascii="宋体" w:hAnsi="宋体" w:eastAsia="宋体" w:cs="Times New Roman"/>
                <w:color w:val="auto"/>
                <w:kern w:val="0"/>
                <w:sz w:val="24"/>
                <w:highlight w:val="none"/>
              </w:rPr>
            </w:pPr>
          </w:p>
        </w:tc>
        <w:tc>
          <w:tcPr>
            <w:tcW w:w="7796" w:type="dxa"/>
            <w:noWrap w:val="0"/>
            <w:vAlign w:val="top"/>
          </w:tcPr>
          <w:p w14:paraId="48184AC2">
            <w:pPr>
              <w:adjustRightInd w:val="0"/>
              <w:snapToGrid w:val="0"/>
              <w:spacing w:line="360" w:lineRule="auto"/>
              <w:rPr>
                <w:rFonts w:ascii="宋体" w:hAnsi="宋体" w:eastAsia="宋体" w:cs="Times New Roman"/>
                <w:color w:val="auto"/>
                <w:kern w:val="0"/>
                <w:sz w:val="24"/>
                <w:highlight w:val="none"/>
              </w:rPr>
            </w:pPr>
          </w:p>
        </w:tc>
      </w:tr>
    </w:tbl>
    <w:p w14:paraId="4647AA58">
      <w:pPr>
        <w:rPr>
          <w:color w:val="auto"/>
          <w:w w:val="90"/>
          <w:highlight w:val="none"/>
        </w:rPr>
      </w:pPr>
    </w:p>
    <w:p w14:paraId="7E7D6E98">
      <w:pPr>
        <w:rPr>
          <w:rFonts w:ascii="黑体" w:hAnsi="黑体" w:eastAsia="黑体"/>
          <w:b/>
          <w:color w:val="auto"/>
          <w:sz w:val="32"/>
          <w:szCs w:val="32"/>
          <w:highlight w:val="none"/>
        </w:rPr>
      </w:pPr>
    </w:p>
    <w:p w14:paraId="13894363">
      <w:pPr>
        <w:pStyle w:val="47"/>
        <w:rPr>
          <w:color w:val="auto"/>
          <w:highlight w:val="none"/>
        </w:rPr>
      </w:pPr>
    </w:p>
    <w:p w14:paraId="1A03179E">
      <w:pPr>
        <w:pStyle w:val="47"/>
        <w:rPr>
          <w:color w:val="auto"/>
          <w:highlight w:val="none"/>
        </w:rPr>
      </w:pPr>
    </w:p>
    <w:p w14:paraId="3BF48A81">
      <w:pPr>
        <w:pStyle w:val="47"/>
        <w:rPr>
          <w:color w:val="auto"/>
          <w:highlight w:val="none"/>
        </w:rPr>
      </w:pPr>
    </w:p>
    <w:p w14:paraId="5438FF9C">
      <w:pPr>
        <w:pStyle w:val="47"/>
        <w:rPr>
          <w:color w:val="auto"/>
          <w:highlight w:val="none"/>
        </w:rPr>
      </w:pPr>
    </w:p>
    <w:p w14:paraId="252F2594">
      <w:pPr>
        <w:pStyle w:val="47"/>
        <w:rPr>
          <w:color w:val="auto"/>
          <w:highlight w:val="none"/>
        </w:rPr>
      </w:pPr>
    </w:p>
    <w:p w14:paraId="67DFEDA6">
      <w:pPr>
        <w:pStyle w:val="47"/>
        <w:rPr>
          <w:color w:val="auto"/>
          <w:highlight w:val="none"/>
        </w:rPr>
      </w:pPr>
    </w:p>
    <w:p w14:paraId="16D61114">
      <w:pPr>
        <w:pStyle w:val="47"/>
        <w:rPr>
          <w:color w:val="auto"/>
          <w:highlight w:val="none"/>
        </w:rPr>
      </w:pPr>
    </w:p>
    <w:p w14:paraId="118219C8">
      <w:pPr>
        <w:pStyle w:val="47"/>
        <w:rPr>
          <w:color w:val="auto"/>
          <w:highlight w:val="none"/>
        </w:rPr>
      </w:pPr>
    </w:p>
    <w:p w14:paraId="7D4E7EDD">
      <w:pPr>
        <w:pStyle w:val="47"/>
        <w:rPr>
          <w:color w:val="auto"/>
          <w:highlight w:val="none"/>
        </w:rPr>
      </w:pPr>
    </w:p>
    <w:p w14:paraId="57ACD54C">
      <w:pPr>
        <w:pStyle w:val="47"/>
        <w:rPr>
          <w:color w:val="auto"/>
          <w:highlight w:val="none"/>
        </w:rPr>
      </w:pPr>
    </w:p>
    <w:p w14:paraId="67D299DD">
      <w:pPr>
        <w:pStyle w:val="47"/>
        <w:rPr>
          <w:color w:val="auto"/>
          <w:highlight w:val="none"/>
        </w:rPr>
      </w:pPr>
    </w:p>
    <w:p w14:paraId="686B46E2">
      <w:pPr>
        <w:pStyle w:val="47"/>
        <w:rPr>
          <w:color w:val="auto"/>
          <w:highlight w:val="none"/>
        </w:rPr>
      </w:pPr>
    </w:p>
    <w:p w14:paraId="4E97D224">
      <w:pPr>
        <w:pStyle w:val="47"/>
        <w:rPr>
          <w:color w:val="auto"/>
          <w:highlight w:val="none"/>
        </w:rPr>
      </w:pPr>
    </w:p>
    <w:p w14:paraId="28EDD6E0">
      <w:pPr>
        <w:pStyle w:val="47"/>
        <w:rPr>
          <w:color w:val="auto"/>
          <w:highlight w:val="none"/>
        </w:rPr>
      </w:pPr>
    </w:p>
    <w:p w14:paraId="1F33925E">
      <w:pPr>
        <w:pStyle w:val="47"/>
        <w:rPr>
          <w:color w:val="auto"/>
          <w:highlight w:val="none"/>
        </w:rPr>
      </w:pPr>
    </w:p>
    <w:p w14:paraId="0FA703C5">
      <w:pPr>
        <w:pStyle w:val="47"/>
        <w:rPr>
          <w:color w:val="auto"/>
          <w:highlight w:val="none"/>
        </w:rPr>
      </w:pPr>
    </w:p>
    <w:p w14:paraId="00D6F654">
      <w:pPr>
        <w:pStyle w:val="47"/>
        <w:rPr>
          <w:color w:val="auto"/>
          <w:highlight w:val="none"/>
        </w:rPr>
      </w:pPr>
    </w:p>
    <w:p w14:paraId="1F13F1BD">
      <w:pPr>
        <w:pStyle w:val="47"/>
        <w:rPr>
          <w:rFonts w:hint="eastAsia"/>
          <w:color w:val="auto"/>
          <w:highlight w:val="none"/>
        </w:rPr>
      </w:pPr>
    </w:p>
    <w:p w14:paraId="62AC1C3D">
      <w:pPr>
        <w:pStyle w:val="47"/>
        <w:rPr>
          <w:rFonts w:hint="eastAsia"/>
          <w:color w:val="auto"/>
          <w:highlight w:val="none"/>
        </w:rPr>
      </w:pPr>
    </w:p>
    <w:p w14:paraId="52EE5963">
      <w:pPr>
        <w:pStyle w:val="47"/>
        <w:rPr>
          <w:color w:val="auto"/>
          <w:highlight w:val="none"/>
        </w:rPr>
      </w:pPr>
    </w:p>
    <w:p w14:paraId="6ABBF0FD">
      <w:pPr>
        <w:pStyle w:val="47"/>
        <w:rPr>
          <w:color w:val="auto"/>
          <w:highlight w:val="none"/>
        </w:rPr>
      </w:pPr>
    </w:p>
    <w:p w14:paraId="5EA6E181">
      <w:pPr>
        <w:rPr>
          <w:rFonts w:ascii="黑体" w:hAnsi="华文中宋" w:eastAsia="黑体"/>
          <w:b/>
          <w:bCs/>
          <w:color w:val="auto"/>
          <w:sz w:val="28"/>
          <w:szCs w:val="28"/>
          <w:highlight w:val="none"/>
        </w:rPr>
      </w:pPr>
    </w:p>
    <w:p w14:paraId="641175B3">
      <w:pPr>
        <w:pStyle w:val="5"/>
        <w:adjustRightInd w:val="0"/>
        <w:snapToGrid w:val="0"/>
        <w:jc w:val="center"/>
        <w:rPr>
          <w:rFonts w:hint="eastAsia" w:ascii="黑体" w:hAnsi="华文中宋" w:eastAsia="黑体"/>
          <w:color w:val="auto"/>
          <w:sz w:val="28"/>
          <w:szCs w:val="28"/>
          <w:highlight w:val="none"/>
        </w:rPr>
      </w:pPr>
      <w:bookmarkStart w:id="46" w:name="_Toc20268"/>
    </w:p>
    <w:p w14:paraId="18DD7F29">
      <w:pPr>
        <w:pStyle w:val="5"/>
        <w:adjustRightInd w:val="0"/>
        <w:snapToGrid w:val="0"/>
        <w:jc w:val="center"/>
        <w:rPr>
          <w:rFonts w:ascii="黑体" w:hAnsi="华文中宋" w:eastAsia="黑体"/>
          <w:color w:val="auto"/>
          <w:sz w:val="28"/>
          <w:szCs w:val="28"/>
          <w:highlight w:val="none"/>
        </w:rPr>
      </w:pPr>
      <w:r>
        <w:rPr>
          <w:rFonts w:hint="eastAsia" w:ascii="黑体" w:hAnsi="华文中宋" w:eastAsia="黑体"/>
          <w:color w:val="auto"/>
          <w:sz w:val="28"/>
          <w:szCs w:val="28"/>
          <w:highlight w:val="none"/>
        </w:rPr>
        <w:t>第四节 投标文件的比较与评价（综合评分法）</w:t>
      </w:r>
      <w:bookmarkEnd w:id="46"/>
    </w:p>
    <w:p w14:paraId="0672F26D">
      <w:pPr>
        <w:widowControl/>
        <w:adjustRightInd w:val="0"/>
        <w:snapToGrid w:val="0"/>
        <w:spacing w:before="156" w:beforeLines="50" w:line="360" w:lineRule="auto"/>
        <w:jc w:val="left"/>
        <w:rPr>
          <w:rFonts w:ascii="黑体" w:hAnsi="黑体" w:eastAsia="黑体"/>
          <w:b/>
          <w:color w:val="auto"/>
          <w:sz w:val="24"/>
          <w:highlight w:val="none"/>
        </w:rPr>
      </w:pPr>
      <w:r>
        <w:rPr>
          <w:rFonts w:hint="eastAsia" w:ascii="黑体" w:hAnsi="黑体" w:eastAsia="黑体"/>
          <w:b/>
          <w:color w:val="auto"/>
          <w:sz w:val="24"/>
          <w:highlight w:val="none"/>
        </w:rPr>
        <w:t>1.</w:t>
      </w:r>
      <w:r>
        <w:rPr>
          <w:rFonts w:hint="eastAsia"/>
          <w:color w:val="auto"/>
          <w:highlight w:val="none"/>
        </w:rPr>
        <w:t xml:space="preserve"> </w:t>
      </w:r>
      <w:r>
        <w:rPr>
          <w:rFonts w:hint="eastAsia" w:ascii="黑体" w:hAnsi="黑体" w:eastAsia="黑体"/>
          <w:b/>
          <w:color w:val="auto"/>
          <w:sz w:val="24"/>
          <w:highlight w:val="none"/>
        </w:rPr>
        <w:t>综合评分法</w:t>
      </w:r>
    </w:p>
    <w:p w14:paraId="548B5ECE">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1.1综合评分法，指投标文件满足招标文件全部实质性要求，且按照评审因素的量化指标评审得分最高的投标人为中标候选人的评标方法。</w:t>
      </w:r>
    </w:p>
    <w:p w14:paraId="41F063B2">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1.2评标因素：评审因素的设定应当与投标人所提供货物服务的质量相关，包括投标报价、技术或者服务水平、履约能力、售后服务等，但不包括第一章投标人的资格要求。本采购项目的评标因素和标准见本章本节附表1“评标方法及标准表”。</w:t>
      </w:r>
    </w:p>
    <w:p w14:paraId="29611A14">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1.3未通过符合性审查的投标文件不得进入比较与评价。</w:t>
      </w:r>
    </w:p>
    <w:p w14:paraId="7694DE4B">
      <w:pPr>
        <w:adjustRightInd w:val="0"/>
        <w:snapToGrid w:val="0"/>
        <w:spacing w:before="156" w:beforeLines="50" w:line="360" w:lineRule="auto"/>
        <w:jc w:val="left"/>
        <w:rPr>
          <w:rFonts w:ascii="黑体" w:hAnsi="黑体" w:eastAsia="黑体"/>
          <w:b/>
          <w:bCs/>
          <w:color w:val="auto"/>
          <w:sz w:val="24"/>
          <w:highlight w:val="none"/>
        </w:rPr>
      </w:pPr>
      <w:r>
        <w:rPr>
          <w:rFonts w:hint="eastAsia" w:ascii="黑体" w:hAnsi="黑体" w:eastAsia="黑体"/>
          <w:b/>
          <w:bCs/>
          <w:color w:val="auto"/>
          <w:sz w:val="24"/>
          <w:highlight w:val="none"/>
        </w:rPr>
        <w:t>2.</w:t>
      </w:r>
      <w:r>
        <w:rPr>
          <w:rFonts w:hint="eastAsia"/>
          <w:color w:val="auto"/>
          <w:highlight w:val="none"/>
        </w:rPr>
        <w:t xml:space="preserve"> </w:t>
      </w:r>
      <w:r>
        <w:rPr>
          <w:rFonts w:hint="eastAsia" w:ascii="黑体" w:hAnsi="黑体" w:eastAsia="黑体"/>
          <w:b/>
          <w:bCs/>
          <w:color w:val="auto"/>
          <w:sz w:val="24"/>
          <w:highlight w:val="none"/>
        </w:rPr>
        <w:t>投标报价的算术修正及政府采购政策调整</w:t>
      </w:r>
    </w:p>
    <w:p w14:paraId="392DEFFE">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2.1如果有算术错误，投标报价将按本章第二节第4.2款、第4.3款规定进行算术修正。</w:t>
      </w:r>
    </w:p>
    <w:p w14:paraId="1B3865E7">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2.2需落实政府采购政策（价格评审优惠）的，按第二章“投标须知”及本章第二节第</w:t>
      </w:r>
      <w:r>
        <w:rPr>
          <w:rFonts w:ascii="宋体" w:hAnsi="宋体"/>
          <w:bCs/>
          <w:color w:val="auto"/>
          <w:szCs w:val="21"/>
          <w:highlight w:val="none"/>
        </w:rPr>
        <w:t>5.</w:t>
      </w:r>
      <w:r>
        <w:rPr>
          <w:rFonts w:hint="eastAsia" w:ascii="宋体" w:hAnsi="宋体"/>
          <w:bCs/>
          <w:color w:val="auto"/>
          <w:szCs w:val="21"/>
          <w:highlight w:val="none"/>
        </w:rPr>
        <w:t>4（1）项的相关规定进行价格调整。</w:t>
      </w:r>
    </w:p>
    <w:p w14:paraId="41CBD03B">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2.3按本章本节第2.1款、第2.2款规定，以修正或调整后的价格确定投标人的投标报价和评标基准价，用于投标报价评价。</w:t>
      </w:r>
    </w:p>
    <w:p w14:paraId="76B7D14E">
      <w:pPr>
        <w:adjustRightInd w:val="0"/>
        <w:snapToGrid w:val="0"/>
        <w:spacing w:before="156" w:beforeLines="50" w:line="360" w:lineRule="auto"/>
        <w:jc w:val="left"/>
        <w:rPr>
          <w:rFonts w:ascii="黑体" w:hAnsi="黑体" w:eastAsia="黑体"/>
          <w:b/>
          <w:bCs/>
          <w:color w:val="auto"/>
          <w:sz w:val="24"/>
          <w:highlight w:val="none"/>
        </w:rPr>
      </w:pPr>
      <w:r>
        <w:rPr>
          <w:rFonts w:hint="eastAsia" w:ascii="黑体" w:hAnsi="黑体" w:eastAsia="黑体"/>
          <w:b/>
          <w:bCs/>
          <w:color w:val="auto"/>
          <w:sz w:val="24"/>
          <w:highlight w:val="none"/>
        </w:rPr>
        <w:t>3.</w:t>
      </w:r>
      <w:r>
        <w:rPr>
          <w:rFonts w:hint="eastAsia"/>
          <w:color w:val="auto"/>
          <w:highlight w:val="none"/>
        </w:rPr>
        <w:t xml:space="preserve"> </w:t>
      </w:r>
      <w:r>
        <w:rPr>
          <w:rFonts w:hint="eastAsia" w:ascii="黑体" w:hAnsi="黑体" w:eastAsia="黑体"/>
          <w:b/>
          <w:bCs/>
          <w:color w:val="auto"/>
          <w:sz w:val="24"/>
          <w:highlight w:val="none"/>
        </w:rPr>
        <w:t>投标报价评价</w:t>
      </w:r>
    </w:p>
    <w:p w14:paraId="43A693E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3.1投标报价评价：价格分应当采用低价优先法计算，即满足招标文件要求且投标价格最低的投标报价为评标基准价，其价格分为满分（报价权重分）。其他投标人的价格分统一按照下列公式计算：</w:t>
      </w:r>
    </w:p>
    <w:p w14:paraId="455C766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投标报价得分=（评标基准价</w:t>
      </w:r>
      <w:r>
        <w:rPr>
          <w:rFonts w:hint="eastAsia" w:ascii="宋体" w:hAnsi="宋体"/>
          <w:color w:val="auto"/>
          <w:szCs w:val="21"/>
          <w:highlight w:val="none"/>
          <w:vertAlign w:val="subscript"/>
        </w:rPr>
        <w:t>修正或调整</w:t>
      </w:r>
      <w:r>
        <w:rPr>
          <w:rFonts w:hint="eastAsia" w:ascii="宋体" w:hAnsi="宋体"/>
          <w:color w:val="auto"/>
          <w:szCs w:val="21"/>
          <w:highlight w:val="none"/>
        </w:rPr>
        <w:t>／投标报价</w:t>
      </w:r>
      <w:r>
        <w:rPr>
          <w:rFonts w:hint="eastAsia" w:ascii="宋体" w:hAnsi="宋体"/>
          <w:color w:val="auto"/>
          <w:szCs w:val="21"/>
          <w:highlight w:val="none"/>
          <w:vertAlign w:val="subscript"/>
        </w:rPr>
        <w:t>修正或调整</w:t>
      </w:r>
      <w:r>
        <w:rPr>
          <w:rFonts w:hint="eastAsia" w:ascii="宋体" w:hAnsi="宋体"/>
          <w:color w:val="auto"/>
          <w:szCs w:val="21"/>
          <w:highlight w:val="none"/>
        </w:rPr>
        <w:t>） ×100×报价权值</w:t>
      </w:r>
    </w:p>
    <w:p w14:paraId="4F2CC1A6">
      <w:pPr>
        <w:numPr>
          <w:ilvl w:val="0"/>
          <w:numId w:val="1"/>
        </w:numPr>
        <w:adjustRightInd w:val="0"/>
        <w:snapToGrid w:val="0"/>
        <w:spacing w:before="156" w:beforeLines="50" w:line="360" w:lineRule="auto"/>
        <w:jc w:val="left"/>
        <w:rPr>
          <w:rFonts w:ascii="黑体" w:hAnsi="黑体" w:eastAsia="黑体"/>
          <w:b/>
          <w:color w:val="auto"/>
          <w:sz w:val="24"/>
          <w:highlight w:val="none"/>
        </w:rPr>
      </w:pPr>
      <w:r>
        <w:rPr>
          <w:rFonts w:hint="eastAsia" w:ascii="黑体" w:hAnsi="黑体" w:eastAsia="黑体"/>
          <w:b/>
          <w:color w:val="auto"/>
          <w:sz w:val="24"/>
          <w:highlight w:val="none"/>
        </w:rPr>
        <w:t>技术、商务等评分项响应评价及政府采购政策加分</w:t>
      </w:r>
    </w:p>
    <w:p w14:paraId="3F7DB574">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4.1技术、商务等评分项响应评分。按</w:t>
      </w:r>
      <w:r>
        <w:rPr>
          <w:rFonts w:hint="eastAsia" w:ascii="宋体" w:hAnsi="宋体"/>
          <w:bCs/>
          <w:color w:val="auto"/>
          <w:szCs w:val="21"/>
          <w:highlight w:val="none"/>
        </w:rPr>
        <w:t>本章</w:t>
      </w:r>
      <w:r>
        <w:rPr>
          <w:rFonts w:hint="eastAsia" w:ascii="宋体" w:hAnsi="宋体"/>
          <w:color w:val="auto"/>
          <w:szCs w:val="21"/>
          <w:highlight w:val="none"/>
        </w:rPr>
        <w:t>本节附表1“评标方法及标准表”规定的评标因素和标准，对技术、商务等评分项计算得分。</w:t>
      </w:r>
    </w:p>
    <w:p w14:paraId="20DB1825">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4.2需落实政府采购政策（优先采购）的，按第二章、本章第二节第5.4（2）项以及本节附表1“评标方法及标准表”的相关规定进行技术、价格、商务项得分(加分)计算。</w:t>
      </w:r>
    </w:p>
    <w:p w14:paraId="61C4D427">
      <w:pPr>
        <w:numPr>
          <w:ilvl w:val="0"/>
          <w:numId w:val="1"/>
        </w:numPr>
        <w:adjustRightInd w:val="0"/>
        <w:snapToGrid w:val="0"/>
        <w:spacing w:before="156" w:beforeLines="50" w:line="360" w:lineRule="auto"/>
        <w:jc w:val="left"/>
        <w:rPr>
          <w:rFonts w:ascii="黑体" w:hAnsi="黑体" w:eastAsia="黑体"/>
          <w:b/>
          <w:color w:val="auto"/>
          <w:sz w:val="24"/>
          <w:highlight w:val="none"/>
        </w:rPr>
      </w:pPr>
      <w:r>
        <w:rPr>
          <w:rFonts w:hint="eastAsia" w:ascii="黑体" w:hAnsi="黑体" w:eastAsia="黑体"/>
          <w:b/>
          <w:color w:val="auto"/>
          <w:sz w:val="24"/>
          <w:highlight w:val="none"/>
        </w:rPr>
        <w:t>评标总得分</w:t>
      </w:r>
    </w:p>
    <w:p w14:paraId="07133E3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5.1评标总得分为投标报价、技术、商务等评分项得分(含优先采购政策加分)之和。</w:t>
      </w:r>
    </w:p>
    <w:p w14:paraId="4E17D37F">
      <w:pPr>
        <w:adjustRightInd w:val="0"/>
        <w:snapToGrid w:val="0"/>
        <w:spacing w:line="460" w:lineRule="exact"/>
        <w:ind w:firstLine="420" w:firstLineChars="200"/>
        <w:rPr>
          <w:rFonts w:ascii="宋体" w:hAnsi="宋体" w:cs="宋体"/>
          <w:color w:val="auto"/>
          <w:kern w:val="0"/>
          <w:szCs w:val="21"/>
          <w:highlight w:val="none"/>
          <w:lang w:val="ru-RU" w:eastAsia="ru-RU"/>
        </w:rPr>
      </w:pPr>
      <w:r>
        <w:rPr>
          <w:rFonts w:hint="eastAsia" w:ascii="宋体" w:hAnsi="宋体" w:cs="宋体"/>
          <w:color w:val="auto"/>
          <w:kern w:val="0"/>
          <w:szCs w:val="21"/>
          <w:highlight w:val="none"/>
          <w:lang w:val="ru-RU" w:eastAsia="ru-RU"/>
        </w:rPr>
        <w:t>评标总得分＝F</w:t>
      </w:r>
      <w:r>
        <w:rPr>
          <w:rFonts w:hint="eastAsia" w:ascii="宋体" w:hAnsi="宋体" w:cs="宋体"/>
          <w:color w:val="auto"/>
          <w:kern w:val="0"/>
          <w:szCs w:val="21"/>
          <w:highlight w:val="none"/>
          <w:vertAlign w:val="subscript"/>
          <w:lang w:val="ru-RU" w:eastAsia="ru-RU"/>
        </w:rPr>
        <w:t>1</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1</w:t>
      </w:r>
      <w:r>
        <w:rPr>
          <w:rFonts w:hint="eastAsia" w:ascii="宋体" w:hAnsi="宋体" w:cs="宋体"/>
          <w:color w:val="auto"/>
          <w:kern w:val="0"/>
          <w:szCs w:val="21"/>
          <w:highlight w:val="none"/>
          <w:lang w:val="ru-RU" w:eastAsia="ru-RU"/>
        </w:rPr>
        <w:t>＋F</w:t>
      </w:r>
      <w:r>
        <w:rPr>
          <w:rFonts w:hint="eastAsia" w:ascii="宋体" w:hAnsi="宋体" w:cs="宋体"/>
          <w:color w:val="auto"/>
          <w:kern w:val="0"/>
          <w:szCs w:val="21"/>
          <w:highlight w:val="none"/>
          <w:vertAlign w:val="subscript"/>
          <w:lang w:val="ru-RU" w:eastAsia="ru-RU"/>
        </w:rPr>
        <w:t>2</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2</w:t>
      </w:r>
      <w:r>
        <w:rPr>
          <w:rFonts w:hint="eastAsia" w:ascii="宋体" w:hAnsi="宋体" w:cs="宋体"/>
          <w:color w:val="auto"/>
          <w:kern w:val="0"/>
          <w:szCs w:val="21"/>
          <w:highlight w:val="none"/>
          <w:lang w:val="ru-RU" w:eastAsia="ru-RU"/>
        </w:rPr>
        <w:t>＋……＋F</w:t>
      </w:r>
      <w:r>
        <w:rPr>
          <w:rFonts w:hint="eastAsia" w:ascii="宋体" w:hAnsi="宋体" w:cs="宋体"/>
          <w:color w:val="auto"/>
          <w:kern w:val="0"/>
          <w:szCs w:val="21"/>
          <w:highlight w:val="none"/>
          <w:vertAlign w:val="subscript"/>
          <w:lang w:val="ru-RU" w:eastAsia="ru-RU"/>
        </w:rPr>
        <w:t>n</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n</w:t>
      </w:r>
    </w:p>
    <w:p w14:paraId="6ABA8918">
      <w:pPr>
        <w:adjustRightInd w:val="0"/>
        <w:snapToGrid w:val="0"/>
        <w:spacing w:line="460" w:lineRule="exact"/>
        <w:ind w:firstLine="420" w:firstLineChars="200"/>
        <w:rPr>
          <w:rFonts w:ascii="宋体" w:hAnsi="宋体" w:cs="宋体"/>
          <w:color w:val="auto"/>
          <w:kern w:val="0"/>
          <w:szCs w:val="21"/>
          <w:highlight w:val="none"/>
          <w:lang w:val="ru-RU" w:eastAsia="ru-RU"/>
        </w:rPr>
      </w:pPr>
      <w:r>
        <w:rPr>
          <w:rFonts w:hint="eastAsia" w:ascii="宋体" w:hAnsi="宋体" w:cs="宋体"/>
          <w:color w:val="auto"/>
          <w:kern w:val="0"/>
          <w:szCs w:val="21"/>
          <w:highlight w:val="none"/>
          <w:lang w:val="ru-RU" w:eastAsia="ru-RU"/>
        </w:rPr>
        <w:t>F</w:t>
      </w:r>
      <w:r>
        <w:rPr>
          <w:rFonts w:hint="eastAsia" w:ascii="宋体" w:hAnsi="宋体" w:cs="宋体"/>
          <w:color w:val="auto"/>
          <w:kern w:val="0"/>
          <w:szCs w:val="21"/>
          <w:highlight w:val="none"/>
          <w:vertAlign w:val="subscript"/>
          <w:lang w:val="ru-RU" w:eastAsia="ru-RU"/>
        </w:rPr>
        <w:t>1</w:t>
      </w:r>
      <w:r>
        <w:rPr>
          <w:rFonts w:hint="eastAsia" w:ascii="宋体" w:hAnsi="宋体" w:cs="宋体"/>
          <w:color w:val="auto"/>
          <w:kern w:val="0"/>
          <w:szCs w:val="21"/>
          <w:highlight w:val="none"/>
          <w:lang w:val="ru-RU" w:eastAsia="ru-RU"/>
        </w:rPr>
        <w:t>、F</w:t>
      </w:r>
      <w:r>
        <w:rPr>
          <w:rFonts w:hint="eastAsia" w:ascii="宋体" w:hAnsi="宋体" w:cs="宋体"/>
          <w:color w:val="auto"/>
          <w:kern w:val="0"/>
          <w:szCs w:val="21"/>
          <w:highlight w:val="none"/>
          <w:vertAlign w:val="subscript"/>
          <w:lang w:val="ru-RU" w:eastAsia="ru-RU"/>
        </w:rPr>
        <w:t>2</w:t>
      </w:r>
      <w:r>
        <w:rPr>
          <w:rFonts w:hint="eastAsia" w:ascii="宋体" w:hAnsi="宋体" w:cs="宋体"/>
          <w:color w:val="auto"/>
          <w:kern w:val="0"/>
          <w:szCs w:val="21"/>
          <w:highlight w:val="none"/>
          <w:lang w:val="ru-RU" w:eastAsia="ru-RU"/>
        </w:rPr>
        <w:t>……F</w:t>
      </w:r>
      <w:r>
        <w:rPr>
          <w:rFonts w:hint="eastAsia" w:ascii="宋体" w:hAnsi="宋体" w:cs="宋体"/>
          <w:color w:val="auto"/>
          <w:kern w:val="0"/>
          <w:szCs w:val="21"/>
          <w:highlight w:val="none"/>
          <w:vertAlign w:val="subscript"/>
          <w:lang w:val="ru-RU" w:eastAsia="ru-RU"/>
        </w:rPr>
        <w:t>n</w:t>
      </w:r>
      <w:r>
        <w:rPr>
          <w:rFonts w:hint="eastAsia" w:ascii="宋体" w:hAnsi="宋体" w:cs="宋体"/>
          <w:color w:val="auto"/>
          <w:kern w:val="0"/>
          <w:szCs w:val="21"/>
          <w:highlight w:val="none"/>
          <w:lang w:val="ru-RU" w:eastAsia="ru-RU"/>
        </w:rPr>
        <w:t>分别为各项评审因素的得分；</w:t>
      </w:r>
    </w:p>
    <w:p w14:paraId="5EEF785F">
      <w:pPr>
        <w:adjustRightInd w:val="0"/>
        <w:snapToGrid w:val="0"/>
        <w:spacing w:line="460" w:lineRule="exact"/>
        <w:ind w:firstLine="420" w:firstLineChars="200"/>
        <w:rPr>
          <w:rFonts w:ascii="宋体" w:hAnsi="宋体" w:cs="宋体"/>
          <w:color w:val="auto"/>
          <w:kern w:val="0"/>
          <w:szCs w:val="21"/>
          <w:highlight w:val="none"/>
          <w:lang w:val="ru-RU" w:eastAsia="ru-RU"/>
        </w:rPr>
      </w:pP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1</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2</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n</w:t>
      </w:r>
      <w:r>
        <w:rPr>
          <w:rFonts w:hint="eastAsia" w:ascii="宋体" w:hAnsi="宋体" w:cs="宋体"/>
          <w:color w:val="auto"/>
          <w:kern w:val="0"/>
          <w:szCs w:val="21"/>
          <w:highlight w:val="none"/>
          <w:lang w:val="ru-RU" w:eastAsia="ru-RU"/>
        </w:rPr>
        <w:t>分别为各项评审因素所占的权重（A</w:t>
      </w:r>
      <w:r>
        <w:rPr>
          <w:rFonts w:hint="eastAsia" w:ascii="宋体" w:hAnsi="宋体" w:cs="宋体"/>
          <w:color w:val="auto"/>
          <w:kern w:val="0"/>
          <w:szCs w:val="21"/>
          <w:highlight w:val="none"/>
          <w:vertAlign w:val="subscript"/>
          <w:lang w:val="ru-RU" w:eastAsia="ru-RU"/>
        </w:rPr>
        <w:t>1</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2</w:t>
      </w:r>
      <w:r>
        <w:rPr>
          <w:rFonts w:hint="eastAsia" w:ascii="宋体" w:hAnsi="宋体" w:cs="宋体"/>
          <w:color w:val="auto"/>
          <w:kern w:val="0"/>
          <w:szCs w:val="21"/>
          <w:highlight w:val="none"/>
          <w:lang w:val="ru-RU" w:eastAsia="ru-RU"/>
        </w:rPr>
        <w:t>＋…＋A</w:t>
      </w:r>
      <w:r>
        <w:rPr>
          <w:rFonts w:hint="eastAsia" w:ascii="宋体" w:hAnsi="宋体" w:cs="宋体"/>
          <w:color w:val="auto"/>
          <w:kern w:val="0"/>
          <w:szCs w:val="21"/>
          <w:highlight w:val="none"/>
          <w:vertAlign w:val="subscript"/>
          <w:lang w:val="ru-RU" w:eastAsia="ru-RU"/>
        </w:rPr>
        <w:t>n</w:t>
      </w:r>
      <w:r>
        <w:rPr>
          <w:rFonts w:hint="eastAsia" w:ascii="宋体" w:hAnsi="宋体" w:cs="宋体"/>
          <w:color w:val="auto"/>
          <w:kern w:val="0"/>
          <w:szCs w:val="21"/>
          <w:highlight w:val="none"/>
          <w:lang w:val="ru-RU" w:eastAsia="ru-RU"/>
        </w:rPr>
        <w:t>＝1）。</w:t>
      </w:r>
    </w:p>
    <w:p w14:paraId="54B4521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5.2评分分值计算保留小数点后两位，小数点后第三位“四舍五入”。</w:t>
      </w:r>
    </w:p>
    <w:p w14:paraId="1D31679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rPr>
        <w:t>5.3</w:t>
      </w:r>
      <w:r>
        <w:rPr>
          <w:rFonts w:hint="eastAsia" w:ascii="宋体" w:hAnsi="宋体"/>
          <w:color w:val="auto"/>
          <w:szCs w:val="21"/>
          <w:highlight w:val="none"/>
        </w:rPr>
        <w:t>评标时，评标委员会成员应当独立对满足招标文件全部实质性要求投标人的</w:t>
      </w:r>
      <w:r>
        <w:rPr>
          <w:rFonts w:hint="eastAsia" w:ascii="宋体" w:hAnsi="宋体"/>
          <w:bCs/>
          <w:color w:val="auto"/>
          <w:szCs w:val="21"/>
          <w:highlight w:val="none"/>
        </w:rPr>
        <w:t>投标文件</w:t>
      </w:r>
      <w:r>
        <w:rPr>
          <w:rFonts w:hint="eastAsia" w:ascii="宋体" w:hAnsi="宋体"/>
          <w:color w:val="auto"/>
          <w:szCs w:val="21"/>
          <w:highlight w:val="none"/>
        </w:rPr>
        <w:t>进行评价、评分，然后汇总每个投标人每项评分因素的得分。每个投标人的最终得分为所有评标委员会成员评分的算术平均值。</w:t>
      </w:r>
    </w:p>
    <w:p w14:paraId="56AF9696">
      <w:pPr>
        <w:numPr>
          <w:ilvl w:val="0"/>
          <w:numId w:val="1"/>
        </w:numPr>
        <w:adjustRightInd w:val="0"/>
        <w:snapToGrid w:val="0"/>
        <w:spacing w:before="156" w:beforeLines="50" w:line="360" w:lineRule="auto"/>
        <w:jc w:val="left"/>
        <w:rPr>
          <w:rFonts w:ascii="黑体" w:hAnsi="黑体" w:eastAsia="黑体"/>
          <w:b/>
          <w:bCs/>
          <w:color w:val="auto"/>
          <w:sz w:val="24"/>
          <w:highlight w:val="none"/>
        </w:rPr>
      </w:pPr>
      <w:r>
        <w:rPr>
          <w:rFonts w:hint="eastAsia" w:ascii="黑体" w:hAnsi="黑体" w:eastAsia="黑体"/>
          <w:b/>
          <w:bCs/>
          <w:color w:val="auto"/>
          <w:sz w:val="24"/>
          <w:highlight w:val="none"/>
        </w:rPr>
        <w:t>中标候选人的推荐方法</w:t>
      </w:r>
    </w:p>
    <w:p w14:paraId="07C265F4">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9B1C257">
      <w:pPr>
        <w:adjustRightInd w:val="0"/>
        <w:snapToGrid w:val="0"/>
        <w:spacing w:before="156" w:beforeLines="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6.2得分且投标报价相同的并列，按本章第二节规定确定中标候选人。</w:t>
      </w:r>
    </w:p>
    <w:p w14:paraId="018A2392">
      <w:pPr>
        <w:adjustRightInd w:val="0"/>
        <w:snapToGrid w:val="0"/>
        <w:spacing w:before="156" w:beforeLines="50" w:line="360" w:lineRule="auto"/>
        <w:ind w:firstLine="420" w:firstLineChars="200"/>
        <w:jc w:val="left"/>
        <w:rPr>
          <w:rFonts w:ascii="宋体" w:hAnsi="宋体"/>
          <w:bCs/>
          <w:color w:val="auto"/>
          <w:szCs w:val="21"/>
          <w:highlight w:val="none"/>
        </w:rPr>
      </w:pPr>
    </w:p>
    <w:p w14:paraId="61D9BC95">
      <w:pPr>
        <w:widowControl/>
        <w:jc w:val="left"/>
        <w:rPr>
          <w:rFonts w:ascii="宋体" w:hAnsi="宋体"/>
          <w:bCs/>
          <w:color w:val="auto"/>
          <w:sz w:val="10"/>
          <w:szCs w:val="10"/>
          <w:highlight w:val="none"/>
        </w:rPr>
      </w:pPr>
      <w:r>
        <w:rPr>
          <w:rFonts w:ascii="宋体" w:hAnsi="宋体"/>
          <w:bCs/>
          <w:color w:val="auto"/>
          <w:szCs w:val="21"/>
          <w:highlight w:val="none"/>
        </w:rPr>
        <w:br w:type="page"/>
      </w:r>
    </w:p>
    <w:p w14:paraId="79D1F3EC">
      <w:pPr>
        <w:pStyle w:val="6"/>
        <w:adjustRightInd w:val="0"/>
        <w:snapToGrid w:val="0"/>
        <w:spacing w:before="156" w:beforeLines="50" w:after="0" w:line="360" w:lineRule="auto"/>
        <w:rPr>
          <w:rFonts w:hint="eastAsia" w:ascii="黑体" w:hAnsi="黑体" w:eastAsia="黑体" w:cs="黑体"/>
          <w:b w:val="0"/>
          <w:bCs w:val="0"/>
          <w:color w:val="auto"/>
          <w:sz w:val="21"/>
          <w:szCs w:val="21"/>
          <w:highlight w:val="none"/>
        </w:rPr>
      </w:pPr>
      <w:bookmarkStart w:id="47" w:name="_Toc22903"/>
      <w:r>
        <w:rPr>
          <w:rFonts w:hint="eastAsia" w:ascii="黑体" w:hAnsi="黑体" w:eastAsia="黑体" w:cs="黑体"/>
          <w:b w:val="0"/>
          <w:bCs w:val="0"/>
          <w:color w:val="auto"/>
          <w:sz w:val="21"/>
          <w:szCs w:val="21"/>
          <w:highlight w:val="none"/>
        </w:rPr>
        <w:t>附表1 评标方法及标准表</w:t>
      </w:r>
      <w:bookmarkEnd w:id="47"/>
    </w:p>
    <w:p w14:paraId="4BE869DB">
      <w:pPr>
        <w:adjustRightInd w:val="0"/>
        <w:snapToGrid w:val="0"/>
        <w:spacing w:before="156" w:beforeLines="50" w:line="360" w:lineRule="auto"/>
        <w:jc w:val="center"/>
        <w:rPr>
          <w:rFonts w:ascii="宋体" w:hAnsi="宋体"/>
          <w:b/>
          <w:bCs/>
          <w:color w:val="auto"/>
          <w:szCs w:val="21"/>
          <w:highlight w:val="none"/>
        </w:rPr>
      </w:pPr>
      <w:r>
        <w:rPr>
          <w:rFonts w:hint="eastAsia" w:ascii="宋体" w:hAnsi="宋体"/>
          <w:b/>
          <w:bCs/>
          <w:color w:val="auto"/>
          <w:szCs w:val="21"/>
          <w:highlight w:val="none"/>
        </w:rPr>
        <w:t>附表1.1投标报价评审标准表</w:t>
      </w:r>
    </w:p>
    <w:tbl>
      <w:tblPr>
        <w:tblStyle w:val="26"/>
        <w:tblW w:w="882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14:paraId="13A58D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720" w:type="dxa"/>
            <w:noWrap w:val="0"/>
            <w:vAlign w:val="center"/>
          </w:tcPr>
          <w:p w14:paraId="322A0555">
            <w:pPr>
              <w:adjustRightInd w:val="0"/>
              <w:snapToGrid w:val="0"/>
              <w:spacing w:line="240" w:lineRule="exact"/>
              <w:rPr>
                <w:rFonts w:ascii="宋体" w:hAnsi="宋体" w:eastAsia="宋体" w:cs="宋体"/>
                <w:b/>
                <w:bCs/>
                <w:color w:val="auto"/>
                <w:kern w:val="0"/>
                <w:szCs w:val="21"/>
                <w:highlight w:val="none"/>
                <w:lang w:val="ru-RU" w:eastAsia="ru-RU"/>
              </w:rPr>
            </w:pPr>
            <w:r>
              <w:rPr>
                <w:rFonts w:hint="eastAsia" w:ascii="宋体" w:hAnsi="宋体" w:eastAsia="宋体" w:cs="宋体"/>
                <w:b/>
                <w:bCs/>
                <w:color w:val="auto"/>
                <w:kern w:val="0"/>
                <w:szCs w:val="21"/>
                <w:highlight w:val="none"/>
                <w:lang w:val="ru-RU" w:eastAsia="ru-RU"/>
              </w:rPr>
              <w:t>序号</w:t>
            </w:r>
          </w:p>
        </w:tc>
        <w:tc>
          <w:tcPr>
            <w:tcW w:w="4680" w:type="dxa"/>
            <w:noWrap w:val="0"/>
            <w:vAlign w:val="center"/>
          </w:tcPr>
          <w:p w14:paraId="0897C5F3">
            <w:pPr>
              <w:adjustRightInd w:val="0"/>
              <w:snapToGrid w:val="0"/>
              <w:spacing w:line="240" w:lineRule="exact"/>
              <w:jc w:val="center"/>
              <w:rPr>
                <w:rFonts w:ascii="宋体" w:hAnsi="宋体" w:eastAsia="宋体" w:cs="宋体"/>
                <w:b/>
                <w:bCs/>
                <w:color w:val="auto"/>
                <w:kern w:val="0"/>
                <w:szCs w:val="21"/>
                <w:highlight w:val="none"/>
                <w:lang w:val="ru-RU" w:eastAsia="ru-RU"/>
              </w:rPr>
            </w:pPr>
            <w:r>
              <w:rPr>
                <w:rFonts w:hint="eastAsia" w:ascii="宋体" w:hAnsi="宋体" w:eastAsia="宋体" w:cs="宋体"/>
                <w:b/>
                <w:bCs/>
                <w:color w:val="auto"/>
                <w:kern w:val="0"/>
                <w:szCs w:val="21"/>
                <w:highlight w:val="none"/>
                <w:lang w:val="ru-RU" w:eastAsia="ru-RU"/>
              </w:rPr>
              <w:t>项     目</w:t>
            </w:r>
          </w:p>
        </w:tc>
        <w:tc>
          <w:tcPr>
            <w:tcW w:w="3420" w:type="dxa"/>
            <w:noWrap w:val="0"/>
            <w:vAlign w:val="center"/>
          </w:tcPr>
          <w:p w14:paraId="2F4AF61B">
            <w:pPr>
              <w:adjustRightInd w:val="0"/>
              <w:snapToGrid w:val="0"/>
              <w:spacing w:line="240" w:lineRule="exact"/>
              <w:jc w:val="center"/>
              <w:rPr>
                <w:rFonts w:ascii="宋体" w:hAnsi="宋体" w:eastAsia="宋体" w:cs="宋体"/>
                <w:b/>
                <w:bCs/>
                <w:color w:val="auto"/>
                <w:kern w:val="0"/>
                <w:szCs w:val="21"/>
                <w:highlight w:val="none"/>
                <w:lang w:val="ru-RU"/>
              </w:rPr>
            </w:pPr>
            <w:r>
              <w:rPr>
                <w:rFonts w:hint="eastAsia" w:ascii="宋体" w:hAnsi="宋体" w:eastAsia="宋体" w:cs="宋体"/>
                <w:b/>
                <w:bCs/>
                <w:color w:val="auto"/>
                <w:kern w:val="0"/>
                <w:szCs w:val="21"/>
                <w:highlight w:val="none"/>
                <w:lang w:val="ru-RU" w:eastAsia="ru-RU"/>
              </w:rPr>
              <w:t>权值的取值</w:t>
            </w:r>
          </w:p>
        </w:tc>
      </w:tr>
      <w:tr w14:paraId="28EBB7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720" w:type="dxa"/>
            <w:noWrap w:val="0"/>
            <w:vAlign w:val="center"/>
          </w:tcPr>
          <w:p w14:paraId="03446BAA">
            <w:pPr>
              <w:adjustRightInd w:val="0"/>
              <w:snapToGrid w:val="0"/>
              <w:spacing w:line="240" w:lineRule="exact"/>
              <w:jc w:val="center"/>
              <w:rPr>
                <w:rFonts w:ascii="宋体" w:hAnsi="宋体" w:eastAsia="宋体" w:cs="宋体"/>
                <w:color w:val="auto"/>
                <w:kern w:val="0"/>
                <w:szCs w:val="21"/>
                <w:highlight w:val="none"/>
                <w:lang w:val="ru-RU" w:eastAsia="ru-RU"/>
              </w:rPr>
            </w:pPr>
            <w:r>
              <w:rPr>
                <w:rFonts w:hint="eastAsia" w:ascii="宋体" w:hAnsi="宋体" w:eastAsia="宋体" w:cs="宋体"/>
                <w:color w:val="auto"/>
                <w:kern w:val="0"/>
                <w:szCs w:val="21"/>
                <w:highlight w:val="none"/>
                <w:lang w:val="ru-RU" w:eastAsia="ru-RU"/>
              </w:rPr>
              <w:t>1</w:t>
            </w:r>
          </w:p>
        </w:tc>
        <w:tc>
          <w:tcPr>
            <w:tcW w:w="4680" w:type="dxa"/>
            <w:noWrap w:val="0"/>
            <w:vAlign w:val="center"/>
          </w:tcPr>
          <w:p w14:paraId="520796FC">
            <w:pPr>
              <w:adjustRightInd w:val="0"/>
              <w:snapToGrid w:val="0"/>
              <w:spacing w:line="240" w:lineRule="exact"/>
              <w:jc w:val="center"/>
              <w:rPr>
                <w:rFonts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eastAsia="ru-RU"/>
              </w:rPr>
              <w:t>报价</w:t>
            </w:r>
            <w:r>
              <w:rPr>
                <w:rFonts w:hint="eastAsia" w:ascii="宋体" w:hAnsi="宋体" w:eastAsia="宋体" w:cs="宋体"/>
                <w:color w:val="auto"/>
                <w:kern w:val="0"/>
                <w:szCs w:val="21"/>
                <w:highlight w:val="none"/>
                <w:lang w:val="ru-RU"/>
              </w:rPr>
              <w:t>（A</w:t>
            </w:r>
            <w:r>
              <w:rPr>
                <w:rFonts w:ascii="宋体" w:hAnsi="宋体" w:eastAsia="宋体" w:cs="宋体"/>
                <w:color w:val="auto"/>
                <w:kern w:val="0"/>
                <w:szCs w:val="21"/>
                <w:highlight w:val="none"/>
                <w:lang w:val="ru-RU"/>
              </w:rPr>
              <w:t>1</w:t>
            </w:r>
            <w:r>
              <w:rPr>
                <w:rFonts w:hint="eastAsia" w:ascii="宋体" w:hAnsi="宋体" w:eastAsia="宋体" w:cs="宋体"/>
                <w:color w:val="auto"/>
                <w:kern w:val="0"/>
                <w:szCs w:val="21"/>
                <w:highlight w:val="none"/>
                <w:lang w:val="ru-RU"/>
              </w:rPr>
              <w:t>）</w:t>
            </w:r>
          </w:p>
        </w:tc>
        <w:tc>
          <w:tcPr>
            <w:tcW w:w="3420" w:type="dxa"/>
            <w:noWrap w:val="0"/>
            <w:vAlign w:val="center"/>
          </w:tcPr>
          <w:p w14:paraId="1AE5670A">
            <w:pPr>
              <w:adjustRightInd w:val="0"/>
              <w:snapToGrid w:val="0"/>
              <w:spacing w:line="240" w:lineRule="exact"/>
              <w:jc w:val="center"/>
              <w:rPr>
                <w:rFonts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20</w:t>
            </w:r>
            <w:r>
              <w:rPr>
                <w:rFonts w:ascii="宋体" w:hAnsi="宋体" w:eastAsia="宋体" w:cs="宋体"/>
                <w:color w:val="auto"/>
                <w:kern w:val="0"/>
                <w:szCs w:val="21"/>
                <w:highlight w:val="none"/>
              </w:rPr>
              <w:t>%</w:t>
            </w:r>
          </w:p>
        </w:tc>
      </w:tr>
      <w:tr w14:paraId="7F934E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0"/>
            <w:vAlign w:val="center"/>
          </w:tcPr>
          <w:p w14:paraId="0DA5B672">
            <w:pPr>
              <w:adjustRightInd w:val="0"/>
              <w:snapToGrid w:val="0"/>
              <w:spacing w:line="240" w:lineRule="exact"/>
              <w:jc w:val="center"/>
              <w:rPr>
                <w:rFonts w:ascii="宋体" w:hAnsi="宋体" w:eastAsia="宋体" w:cs="宋体"/>
                <w:color w:val="auto"/>
                <w:kern w:val="0"/>
                <w:szCs w:val="21"/>
                <w:highlight w:val="none"/>
                <w:lang w:val="ru-RU" w:eastAsia="ru-RU"/>
              </w:rPr>
            </w:pPr>
            <w:r>
              <w:rPr>
                <w:rFonts w:hint="eastAsia" w:ascii="宋体" w:hAnsi="宋体" w:eastAsia="宋体" w:cs="宋体"/>
                <w:color w:val="auto"/>
                <w:kern w:val="0"/>
                <w:szCs w:val="21"/>
                <w:highlight w:val="none"/>
                <w:lang w:val="ru-RU" w:eastAsia="ru-RU"/>
              </w:rPr>
              <w:t>2</w:t>
            </w:r>
          </w:p>
        </w:tc>
        <w:tc>
          <w:tcPr>
            <w:tcW w:w="4680" w:type="dxa"/>
            <w:noWrap w:val="0"/>
            <w:vAlign w:val="center"/>
          </w:tcPr>
          <w:p w14:paraId="29D6C91E">
            <w:pPr>
              <w:adjustRightInd w:val="0"/>
              <w:snapToGrid w:val="0"/>
              <w:spacing w:line="240" w:lineRule="exact"/>
              <w:jc w:val="center"/>
              <w:rPr>
                <w:rFonts w:ascii="宋体" w:hAnsi="宋体" w:eastAsia="宋体" w:cs="宋体"/>
                <w:color w:val="auto"/>
                <w:kern w:val="0"/>
                <w:szCs w:val="21"/>
                <w:highlight w:val="none"/>
                <w:lang w:val="ru-RU" w:eastAsia="ru-RU"/>
              </w:rPr>
            </w:pPr>
            <w:r>
              <w:rPr>
                <w:rFonts w:hint="eastAsia" w:ascii="宋体" w:hAnsi="宋体" w:eastAsia="宋体" w:cs="宋体"/>
                <w:color w:val="auto"/>
                <w:kern w:val="0"/>
                <w:szCs w:val="21"/>
                <w:highlight w:val="none"/>
                <w:lang w:val="ru-RU" w:eastAsia="ru-RU"/>
              </w:rPr>
              <w:t>技术</w:t>
            </w:r>
            <w:r>
              <w:rPr>
                <w:rFonts w:hint="eastAsia" w:ascii="宋体" w:hAnsi="宋体" w:eastAsia="宋体" w:cs="宋体"/>
                <w:color w:val="auto"/>
                <w:kern w:val="0"/>
                <w:szCs w:val="21"/>
                <w:highlight w:val="none"/>
                <w:lang w:val="ru-RU"/>
              </w:rPr>
              <w:t>（A</w:t>
            </w:r>
            <w:r>
              <w:rPr>
                <w:rFonts w:ascii="宋体" w:hAnsi="宋体" w:eastAsia="宋体" w:cs="宋体"/>
                <w:color w:val="auto"/>
                <w:kern w:val="0"/>
                <w:szCs w:val="21"/>
                <w:highlight w:val="none"/>
                <w:lang w:val="ru-RU"/>
              </w:rPr>
              <w:t>2</w:t>
            </w:r>
            <w:r>
              <w:rPr>
                <w:rFonts w:hint="eastAsia" w:ascii="宋体" w:hAnsi="宋体" w:eastAsia="宋体" w:cs="宋体"/>
                <w:color w:val="auto"/>
                <w:kern w:val="0"/>
                <w:szCs w:val="21"/>
                <w:highlight w:val="none"/>
                <w:lang w:val="ru-RU"/>
              </w:rPr>
              <w:t>）</w:t>
            </w:r>
          </w:p>
        </w:tc>
        <w:tc>
          <w:tcPr>
            <w:tcW w:w="3420" w:type="dxa"/>
            <w:noWrap w:val="0"/>
            <w:vAlign w:val="center"/>
          </w:tcPr>
          <w:p w14:paraId="48908D1A">
            <w:pPr>
              <w:adjustRightInd w:val="0"/>
              <w:snapToGrid w:val="0"/>
              <w:spacing w:line="24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5</w:t>
            </w:r>
            <w:r>
              <w:rPr>
                <w:rFonts w:hint="eastAsia" w:ascii="宋体" w:hAnsi="宋体" w:eastAsia="宋体" w:cs="宋体"/>
                <w:color w:val="auto"/>
                <w:kern w:val="0"/>
                <w:szCs w:val="21"/>
                <w:highlight w:val="none"/>
                <w:lang w:val="en-US" w:eastAsia="zh-CN"/>
              </w:rPr>
              <w:t>0</w:t>
            </w:r>
            <w:r>
              <w:rPr>
                <w:rFonts w:ascii="宋体" w:hAnsi="宋体" w:eastAsia="宋体" w:cs="宋体"/>
                <w:color w:val="auto"/>
                <w:kern w:val="0"/>
                <w:szCs w:val="21"/>
                <w:highlight w:val="none"/>
              </w:rPr>
              <w:t>%</w:t>
            </w:r>
          </w:p>
        </w:tc>
      </w:tr>
      <w:tr w14:paraId="330AC8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0"/>
            <w:vAlign w:val="center"/>
          </w:tcPr>
          <w:p w14:paraId="15DD2542">
            <w:pPr>
              <w:adjustRightInd w:val="0"/>
              <w:snapToGrid w:val="0"/>
              <w:spacing w:line="240" w:lineRule="exact"/>
              <w:jc w:val="center"/>
              <w:rPr>
                <w:rFonts w:ascii="宋体" w:hAnsi="宋体" w:eastAsia="宋体" w:cs="宋体"/>
                <w:color w:val="auto"/>
                <w:kern w:val="0"/>
                <w:szCs w:val="21"/>
                <w:highlight w:val="none"/>
                <w:lang w:val="ru-RU" w:eastAsia="ru-RU"/>
              </w:rPr>
            </w:pPr>
            <w:r>
              <w:rPr>
                <w:rFonts w:hint="eastAsia" w:ascii="宋体" w:hAnsi="宋体" w:eastAsia="宋体" w:cs="宋体"/>
                <w:color w:val="auto"/>
                <w:kern w:val="0"/>
                <w:szCs w:val="21"/>
                <w:highlight w:val="none"/>
                <w:lang w:val="ru-RU" w:eastAsia="ru-RU"/>
              </w:rPr>
              <w:t>3</w:t>
            </w:r>
          </w:p>
        </w:tc>
        <w:tc>
          <w:tcPr>
            <w:tcW w:w="4680" w:type="dxa"/>
            <w:noWrap w:val="0"/>
            <w:vAlign w:val="center"/>
          </w:tcPr>
          <w:p w14:paraId="39B39995">
            <w:pPr>
              <w:adjustRightInd w:val="0"/>
              <w:snapToGrid w:val="0"/>
              <w:spacing w:line="240" w:lineRule="exact"/>
              <w:jc w:val="center"/>
              <w:rPr>
                <w:rFonts w:ascii="宋体" w:hAnsi="宋体" w:eastAsia="宋体" w:cs="宋体"/>
                <w:color w:val="auto"/>
                <w:kern w:val="0"/>
                <w:szCs w:val="21"/>
                <w:highlight w:val="none"/>
                <w:lang w:val="ru-RU"/>
              </w:rPr>
            </w:pPr>
            <w:r>
              <w:rPr>
                <w:rFonts w:hint="eastAsia" w:ascii="宋体" w:hAnsi="宋体" w:eastAsia="宋体" w:cs="宋体"/>
                <w:color w:val="auto"/>
                <w:kern w:val="0"/>
                <w:szCs w:val="21"/>
                <w:highlight w:val="none"/>
                <w:lang w:val="ru-RU"/>
              </w:rPr>
              <w:t>商务（A</w:t>
            </w:r>
            <w:r>
              <w:rPr>
                <w:rFonts w:ascii="宋体" w:hAnsi="宋体" w:eastAsia="宋体" w:cs="宋体"/>
                <w:color w:val="auto"/>
                <w:kern w:val="0"/>
                <w:szCs w:val="21"/>
                <w:highlight w:val="none"/>
                <w:lang w:val="ru-RU"/>
              </w:rPr>
              <w:t>3</w:t>
            </w:r>
            <w:r>
              <w:rPr>
                <w:rFonts w:hint="eastAsia" w:ascii="宋体" w:hAnsi="宋体" w:eastAsia="宋体" w:cs="宋体"/>
                <w:color w:val="auto"/>
                <w:kern w:val="0"/>
                <w:szCs w:val="21"/>
                <w:highlight w:val="none"/>
                <w:lang w:val="ru-RU"/>
              </w:rPr>
              <w:t>）</w:t>
            </w:r>
          </w:p>
        </w:tc>
        <w:tc>
          <w:tcPr>
            <w:tcW w:w="3420" w:type="dxa"/>
            <w:noWrap w:val="0"/>
            <w:vAlign w:val="center"/>
          </w:tcPr>
          <w:p w14:paraId="542246C6">
            <w:pPr>
              <w:adjustRightInd w:val="0"/>
              <w:snapToGrid w:val="0"/>
              <w:spacing w:line="240" w:lineRule="exact"/>
              <w:jc w:val="center"/>
              <w:rPr>
                <w:rFonts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30</w:t>
            </w:r>
            <w:r>
              <w:rPr>
                <w:rFonts w:ascii="宋体" w:hAnsi="宋体" w:eastAsia="宋体" w:cs="宋体"/>
                <w:color w:val="auto"/>
                <w:kern w:val="0"/>
                <w:szCs w:val="21"/>
                <w:highlight w:val="none"/>
              </w:rPr>
              <w:t>%</w:t>
            </w:r>
          </w:p>
        </w:tc>
      </w:tr>
      <w:tr w14:paraId="12A3E6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5400" w:type="dxa"/>
            <w:gridSpan w:val="2"/>
            <w:noWrap w:val="0"/>
            <w:vAlign w:val="center"/>
          </w:tcPr>
          <w:p w14:paraId="593B2ABF">
            <w:pPr>
              <w:adjustRightInd w:val="0"/>
              <w:snapToGrid w:val="0"/>
              <w:spacing w:line="240" w:lineRule="exact"/>
              <w:jc w:val="center"/>
              <w:rPr>
                <w:rFonts w:ascii="宋体" w:hAnsi="宋体" w:eastAsia="宋体" w:cs="宋体"/>
                <w:color w:val="auto"/>
                <w:kern w:val="0"/>
                <w:szCs w:val="21"/>
                <w:highlight w:val="none"/>
                <w:lang w:val="ru-RU" w:eastAsia="ru-RU"/>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val="ru-RU"/>
              </w:rPr>
              <w:t>合计</w:t>
            </w:r>
          </w:p>
        </w:tc>
        <w:tc>
          <w:tcPr>
            <w:tcW w:w="3420" w:type="dxa"/>
            <w:noWrap w:val="0"/>
            <w:vAlign w:val="center"/>
          </w:tcPr>
          <w:p w14:paraId="54A90DB3">
            <w:pPr>
              <w:adjustRightInd w:val="0"/>
              <w:snapToGrid w:val="0"/>
              <w:spacing w:line="24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r>
    </w:tbl>
    <w:p w14:paraId="149360CE">
      <w:pPr>
        <w:adjustRightInd w:val="0"/>
        <w:snapToGrid w:val="0"/>
        <w:spacing w:before="156" w:beforeLines="50" w:line="360" w:lineRule="auto"/>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附表1投标报价评审标准表</w:t>
      </w:r>
    </w:p>
    <w:tbl>
      <w:tblPr>
        <w:tblStyle w:val="26"/>
        <w:tblW w:w="891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1447"/>
        <w:gridCol w:w="6966"/>
      </w:tblGrid>
      <w:tr w14:paraId="77B6FA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right w:val="single" w:color="auto" w:sz="4" w:space="0"/>
            </w:tcBorders>
            <w:noWrap w:val="0"/>
            <w:vAlign w:val="center"/>
          </w:tcPr>
          <w:p w14:paraId="781C3D8E">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447" w:type="dxa"/>
            <w:tcBorders>
              <w:left w:val="single" w:color="auto" w:sz="4" w:space="0"/>
              <w:right w:val="single" w:color="auto" w:sz="4" w:space="0"/>
            </w:tcBorders>
            <w:noWrap w:val="0"/>
            <w:vAlign w:val="center"/>
          </w:tcPr>
          <w:p w14:paraId="32A77C8A">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评标因素（分值）</w:t>
            </w:r>
          </w:p>
        </w:tc>
        <w:tc>
          <w:tcPr>
            <w:tcW w:w="6966" w:type="dxa"/>
            <w:tcBorders>
              <w:left w:val="single" w:color="auto" w:sz="4" w:space="0"/>
            </w:tcBorders>
            <w:noWrap w:val="0"/>
            <w:vAlign w:val="center"/>
          </w:tcPr>
          <w:p w14:paraId="5C0A715D">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评标标准</w:t>
            </w:r>
          </w:p>
        </w:tc>
      </w:tr>
      <w:tr w14:paraId="7219FA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503" w:type="dxa"/>
            <w:tcBorders>
              <w:right w:val="single" w:color="auto" w:sz="4" w:space="0"/>
            </w:tcBorders>
            <w:noWrap w:val="0"/>
            <w:vAlign w:val="center"/>
          </w:tcPr>
          <w:p w14:paraId="7D0B2BDB">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447" w:type="dxa"/>
            <w:tcBorders>
              <w:left w:val="single" w:color="auto" w:sz="4" w:space="0"/>
              <w:right w:val="single" w:color="auto" w:sz="4" w:space="0"/>
            </w:tcBorders>
            <w:noWrap w:val="0"/>
            <w:vAlign w:val="center"/>
          </w:tcPr>
          <w:p w14:paraId="38A871DB">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价格评价项</w:t>
            </w:r>
          </w:p>
          <w:p w14:paraId="4C63BF0E">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p>
        </w:tc>
        <w:tc>
          <w:tcPr>
            <w:tcW w:w="6966" w:type="dxa"/>
            <w:tcBorders>
              <w:left w:val="single" w:color="auto" w:sz="4" w:space="0"/>
            </w:tcBorders>
            <w:noWrap w:val="0"/>
            <w:vAlign w:val="center"/>
          </w:tcPr>
          <w:p w14:paraId="5BA0919F">
            <w:pPr>
              <w:pStyle w:val="52"/>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满足招标文件要求且投标价格最低的投标报价为评标基准价，其价格分为满分。其他投标人的价格分统一按照下列公式计算：报价得分＝评标基准价÷投标报价×100</w:t>
            </w:r>
            <w:r>
              <w:rPr>
                <w:rFonts w:hint="eastAsia" w:ascii="宋体" w:hAnsi="宋体" w:eastAsia="宋体" w:cs="宋体"/>
                <w:color w:val="auto"/>
                <w:sz w:val="21"/>
                <w:szCs w:val="21"/>
                <w:highlight w:val="none"/>
                <w:lang w:val="en-US" w:eastAsia="zh-CN"/>
              </w:rPr>
              <w:t>分</w:t>
            </w:r>
          </w:p>
          <w:p w14:paraId="2FEF72CE">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7968C66B">
            <w:pPr>
              <w:pStyle w:val="52"/>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按照《政府采购货物和服务招标投标管理办法》（财政部令第87号）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2D2444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right w:val="single" w:color="auto" w:sz="4" w:space="0"/>
            </w:tcBorders>
            <w:noWrap w:val="0"/>
            <w:vAlign w:val="center"/>
          </w:tcPr>
          <w:p w14:paraId="5DADBB63">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447" w:type="dxa"/>
            <w:tcBorders>
              <w:left w:val="single" w:color="auto" w:sz="4" w:space="0"/>
            </w:tcBorders>
            <w:noWrap w:val="0"/>
            <w:vAlign w:val="center"/>
          </w:tcPr>
          <w:p w14:paraId="20D4BA11">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优先采购加分（F优先采购加分）</w:t>
            </w:r>
          </w:p>
        </w:tc>
        <w:tc>
          <w:tcPr>
            <w:tcW w:w="6966" w:type="dxa"/>
            <w:tcBorders>
              <w:bottom w:val="single" w:color="auto" w:sz="4" w:space="0"/>
            </w:tcBorders>
            <w:noWrap w:val="0"/>
            <w:vAlign w:val="center"/>
          </w:tcPr>
          <w:p w14:paraId="0B0F33BF">
            <w:pPr>
              <w:snapToGrid w:val="0"/>
              <w:spacing w:before="156" w:line="340" w:lineRule="exact"/>
              <w:textAlignment w:val="baseline"/>
              <w:rPr>
                <w:rFonts w:hint="eastAsia" w:ascii="宋体" w:hAnsi="宋体" w:eastAsia="宋体" w:cs="Times New Roman"/>
                <w:color w:val="auto"/>
                <w:sz w:val="20"/>
                <w:szCs w:val="21"/>
                <w:highlight w:val="none"/>
                <w:lang w:val="en-US" w:eastAsia="zh-CN"/>
              </w:rPr>
            </w:pPr>
            <w:r>
              <w:rPr>
                <w:rFonts w:hint="eastAsia" w:ascii="宋体" w:hAnsi="宋体" w:eastAsia="宋体" w:cs="宋体"/>
                <w:color w:val="auto"/>
                <w:sz w:val="21"/>
                <w:szCs w:val="21"/>
                <w:highlight w:val="none"/>
                <w:lang w:val="en-US" w:eastAsia="zh-CN"/>
              </w:rPr>
              <w:t>本项目非专门面向中小企业采购，</w:t>
            </w:r>
            <w:r>
              <w:rPr>
                <w:rFonts w:hint="eastAsia" w:ascii="宋体" w:hAnsi="宋体" w:eastAsia="宋体" w:cs="Times New Roman"/>
                <w:color w:val="auto"/>
                <w:szCs w:val="21"/>
                <w:highlight w:val="none"/>
              </w:rPr>
              <w:t>给予小型和微型企业产品（</w:t>
            </w:r>
            <w:r>
              <w:rPr>
                <w:rFonts w:ascii="宋体" w:hAnsi="宋体" w:eastAsia="宋体" w:cs="Times New Roman"/>
                <w:color w:val="auto"/>
                <w:szCs w:val="21"/>
                <w:highlight w:val="none"/>
              </w:rPr>
              <w:t>服务）</w:t>
            </w:r>
            <w:r>
              <w:rPr>
                <w:rFonts w:hint="eastAsia" w:ascii="宋体" w:hAnsi="宋体" w:eastAsia="宋体" w:cs="Times New Roman"/>
                <w:color w:val="auto"/>
                <w:szCs w:val="21"/>
                <w:highlight w:val="none"/>
              </w:rPr>
              <w:t>的价格给予</w:t>
            </w:r>
            <w:r>
              <w:rPr>
                <w:rFonts w:ascii="宋体" w:hAnsi="宋体" w:eastAsia="宋体" w:cs="Times New Roman"/>
                <w:color w:val="auto"/>
                <w:szCs w:val="21"/>
                <w:highlight w:val="none"/>
              </w:rPr>
              <w:t>10</w:t>
            </w:r>
            <w:r>
              <w:rPr>
                <w:rFonts w:hint="eastAsia" w:ascii="宋体" w:hAnsi="宋体" w:eastAsia="宋体" w:cs="Times New Roman"/>
                <w:color w:val="auto"/>
                <w:szCs w:val="21"/>
                <w:highlight w:val="none"/>
              </w:rPr>
              <w:t>%-</w:t>
            </w: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rPr>
              <w:t>0%</w:t>
            </w:r>
            <w:r>
              <w:rPr>
                <w:rFonts w:hint="eastAsia" w:ascii="宋体" w:hAnsi="宋体" w:eastAsia="宋体" w:cs="Arial"/>
                <w:color w:val="auto"/>
                <w:szCs w:val="21"/>
                <w:highlight w:val="none"/>
              </w:rPr>
              <w:t>（工程</w:t>
            </w:r>
            <w:r>
              <w:rPr>
                <w:rFonts w:ascii="宋体" w:hAnsi="宋体" w:eastAsia="宋体" w:cs="Arial"/>
                <w:color w:val="auto"/>
                <w:szCs w:val="21"/>
                <w:highlight w:val="none"/>
              </w:rPr>
              <w:t>项目6%-10%</w:t>
            </w:r>
            <w:r>
              <w:rPr>
                <w:rFonts w:hint="eastAsia" w:ascii="宋体" w:hAnsi="宋体" w:eastAsia="宋体" w:cs="Arial"/>
                <w:color w:val="auto"/>
                <w:szCs w:val="21"/>
                <w:highlight w:val="none"/>
              </w:rPr>
              <w:t>）</w:t>
            </w:r>
            <w:r>
              <w:rPr>
                <w:rFonts w:hint="eastAsia" w:ascii="宋体" w:hAnsi="宋体" w:eastAsia="宋体" w:cs="Times New Roman"/>
                <w:color w:val="auto"/>
                <w:szCs w:val="21"/>
                <w:highlight w:val="none"/>
              </w:rPr>
              <w:t xml:space="preserve">的扣除，用扣除后的价格参与评审，本项目具体扣除比例为 </w:t>
            </w:r>
            <w:r>
              <w:rPr>
                <w:rFonts w:hint="eastAsia" w:ascii="宋体" w:hAnsi="宋体" w:eastAsia="宋体" w:cs="Times New Roman"/>
                <w:color w:val="auto"/>
                <w:szCs w:val="21"/>
                <w:highlight w:val="none"/>
                <w:u w:val="single" w:color="000000"/>
              </w:rPr>
              <w:t>10</w:t>
            </w:r>
            <w:r>
              <w:rPr>
                <w:rFonts w:hint="eastAsia" w:ascii="宋体" w:hAnsi="宋体" w:eastAsia="宋体" w:cs="Times New Roman"/>
                <w:color w:val="auto"/>
                <w:szCs w:val="21"/>
                <w:highlight w:val="none"/>
              </w:rPr>
              <w:t>%</w:t>
            </w:r>
            <w:r>
              <w:rPr>
                <w:rFonts w:hint="eastAsia" w:ascii="宋体" w:hAnsi="宋体" w:cs="Times New Roman"/>
                <w:color w:val="auto"/>
                <w:szCs w:val="21"/>
                <w:highlight w:val="none"/>
                <w:lang w:eastAsia="zh-CN"/>
              </w:rPr>
              <w:t>。</w:t>
            </w:r>
          </w:p>
          <w:p w14:paraId="0BC9EB68">
            <w:pPr>
              <w:pStyle w:val="52"/>
              <w:jc w:val="left"/>
              <w:rPr>
                <w:rFonts w:hint="eastAsia" w:ascii="宋体" w:hAnsi="宋体" w:eastAsia="宋体" w:cs="宋体"/>
                <w:color w:val="auto"/>
                <w:sz w:val="21"/>
                <w:szCs w:val="21"/>
                <w:highlight w:val="none"/>
                <w:lang w:val="en-US" w:eastAsia="zh-CN"/>
              </w:rPr>
            </w:pPr>
          </w:p>
        </w:tc>
      </w:tr>
      <w:tr w14:paraId="7095CA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right w:val="single" w:color="auto" w:sz="4" w:space="0"/>
            </w:tcBorders>
            <w:noWrap w:val="0"/>
            <w:vAlign w:val="center"/>
          </w:tcPr>
          <w:p w14:paraId="10718F40">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413" w:type="dxa"/>
            <w:gridSpan w:val="2"/>
            <w:tcBorders>
              <w:left w:val="single" w:color="auto" w:sz="4" w:space="0"/>
            </w:tcBorders>
            <w:noWrap w:val="0"/>
            <w:vAlign w:val="center"/>
          </w:tcPr>
          <w:p w14:paraId="1A64586A">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F1=F+ F优先采购加分</w:t>
            </w:r>
          </w:p>
        </w:tc>
      </w:tr>
    </w:tbl>
    <w:p w14:paraId="5012AF5E">
      <w:pPr>
        <w:pStyle w:val="52"/>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附表2技术部分评审标准表</w:t>
      </w:r>
    </w:p>
    <w:tbl>
      <w:tblPr>
        <w:tblStyle w:val="26"/>
        <w:tblW w:w="919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10"/>
        <w:gridCol w:w="936"/>
        <w:gridCol w:w="1212"/>
        <w:gridCol w:w="6633"/>
      </w:tblGrid>
      <w:tr w14:paraId="6AE8E6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10" w:type="dxa"/>
            <w:tcBorders>
              <w:right w:val="single" w:color="auto" w:sz="4" w:space="0"/>
            </w:tcBorders>
            <w:noWrap w:val="0"/>
            <w:vAlign w:val="center"/>
          </w:tcPr>
          <w:p w14:paraId="599C0508">
            <w:pPr>
              <w:pStyle w:val="5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936" w:type="dxa"/>
            <w:tcBorders>
              <w:left w:val="single" w:color="auto" w:sz="4" w:space="0"/>
              <w:right w:val="single" w:color="auto" w:sz="4" w:space="0"/>
            </w:tcBorders>
            <w:noWrap w:val="0"/>
            <w:vAlign w:val="center"/>
          </w:tcPr>
          <w:p w14:paraId="24859896">
            <w:pPr>
              <w:pStyle w:val="5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评标因素（分值）</w:t>
            </w:r>
          </w:p>
        </w:tc>
        <w:tc>
          <w:tcPr>
            <w:tcW w:w="7845" w:type="dxa"/>
            <w:gridSpan w:val="2"/>
            <w:tcBorders>
              <w:left w:val="single" w:color="auto" w:sz="4" w:space="0"/>
            </w:tcBorders>
            <w:noWrap w:val="0"/>
            <w:vAlign w:val="center"/>
          </w:tcPr>
          <w:p w14:paraId="59D32BCB">
            <w:pPr>
              <w:pStyle w:val="52"/>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评标标准</w:t>
            </w:r>
          </w:p>
        </w:tc>
      </w:tr>
      <w:tr w14:paraId="0BC21D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10" w:type="dxa"/>
            <w:vMerge w:val="restart"/>
            <w:tcBorders>
              <w:right w:val="single" w:color="auto" w:sz="4" w:space="0"/>
            </w:tcBorders>
            <w:noWrap w:val="0"/>
            <w:vAlign w:val="center"/>
          </w:tcPr>
          <w:p w14:paraId="34B87846">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936" w:type="dxa"/>
            <w:vMerge w:val="restart"/>
            <w:tcBorders>
              <w:left w:val="single" w:color="auto" w:sz="4" w:space="0"/>
            </w:tcBorders>
            <w:noWrap w:val="0"/>
            <w:vAlign w:val="center"/>
          </w:tcPr>
          <w:p w14:paraId="46E34533">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技术评价项</w:t>
            </w:r>
          </w:p>
          <w:p w14:paraId="0559FDC8">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p>
        </w:tc>
        <w:tc>
          <w:tcPr>
            <w:tcW w:w="1212" w:type="dxa"/>
            <w:noWrap w:val="0"/>
            <w:vAlign w:val="top"/>
          </w:tcPr>
          <w:p w14:paraId="3208929C">
            <w:pPr>
              <w:rPr>
                <w:rFonts w:hint="eastAsia"/>
                <w:color w:val="auto"/>
                <w:highlight w:val="none"/>
                <w:lang w:val="en-US" w:eastAsia="zh-CN"/>
              </w:rPr>
            </w:pPr>
          </w:p>
          <w:p w14:paraId="147B3EC7">
            <w:pPr>
              <w:rPr>
                <w:rFonts w:hint="eastAsia"/>
                <w:color w:val="auto"/>
                <w:highlight w:val="none"/>
                <w:lang w:val="en-US" w:eastAsia="zh-CN"/>
              </w:rPr>
            </w:pPr>
          </w:p>
          <w:p w14:paraId="762D4D72">
            <w:pPr>
              <w:rPr>
                <w:rFonts w:hint="eastAsia"/>
                <w:color w:val="auto"/>
                <w:highlight w:val="none"/>
                <w:lang w:val="en-US" w:eastAsia="zh-CN"/>
              </w:rPr>
            </w:pPr>
          </w:p>
          <w:p w14:paraId="21540B53">
            <w:pPr>
              <w:rPr>
                <w:rFonts w:hint="eastAsia"/>
                <w:color w:val="auto"/>
                <w:highlight w:val="none"/>
                <w:lang w:val="en-US" w:eastAsia="zh-CN"/>
              </w:rPr>
            </w:pPr>
            <w:r>
              <w:rPr>
                <w:rFonts w:hint="eastAsia"/>
                <w:color w:val="auto"/>
                <w:highlight w:val="none"/>
                <w:lang w:val="en-US" w:eastAsia="zh-CN"/>
              </w:rPr>
              <w:t>项目防治方案（36分）</w:t>
            </w:r>
          </w:p>
        </w:tc>
        <w:tc>
          <w:tcPr>
            <w:tcW w:w="6633" w:type="dxa"/>
            <w:noWrap w:val="0"/>
            <w:vAlign w:val="top"/>
          </w:tcPr>
          <w:p w14:paraId="0B2E0838">
            <w:pPr>
              <w:pStyle w:val="68"/>
              <w:spacing w:before="46" w:line="270" w:lineRule="auto"/>
              <w:ind w:left="111" w:right="196"/>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项目防治方案进行综合评价，内容应至少包括：①项目现状及项目需求分析；②服务机构设置和岗位职责安排；③资源配置计划；④防治范围及防治工作流程；⑤防治技术及方法；⑥防治、灭治措施。</w:t>
            </w:r>
          </w:p>
          <w:p w14:paraId="1F715183">
            <w:pPr>
              <w:pStyle w:val="68"/>
              <w:spacing w:before="26" w:line="267" w:lineRule="auto"/>
              <w:ind w:left="111" w:leftChars="0" w:right="114" w:rightChars="0"/>
              <w:rPr>
                <w:rFonts w:hint="default"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注：各项内容完整，详细具体、合理、可行性强、符合项目实际情况的，计36分；每缺一项扣6分；每内容有欠具体或欠合理或可行性不强或与项目实际情况无关的，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每处扣1.5分</w:t>
            </w:r>
            <w:r>
              <w:rPr>
                <w:rFonts w:hint="eastAsia" w:ascii="Times New Roman" w:hAnsi="Times New Roman" w:eastAsia="宋体" w:cs="Times New Roman"/>
                <w:color w:val="auto"/>
                <w:kern w:val="2"/>
                <w:sz w:val="21"/>
                <w:szCs w:val="24"/>
                <w:highlight w:val="none"/>
                <w:lang w:val="en-US" w:eastAsia="zh-CN" w:bidi="ar-SA"/>
              </w:rPr>
              <w:t>（每项最多扣6分），扣完为止。</w:t>
            </w:r>
          </w:p>
        </w:tc>
      </w:tr>
      <w:tr w14:paraId="00E3DC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03" w:hRule="atLeast"/>
          <w:jc w:val="center"/>
        </w:trPr>
        <w:tc>
          <w:tcPr>
            <w:tcW w:w="410" w:type="dxa"/>
            <w:vMerge w:val="continue"/>
            <w:tcBorders>
              <w:right w:val="single" w:color="auto" w:sz="4" w:space="0"/>
            </w:tcBorders>
            <w:noWrap w:val="0"/>
            <w:vAlign w:val="center"/>
          </w:tcPr>
          <w:p w14:paraId="60914B77">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3F8797F4">
            <w:pPr>
              <w:pStyle w:val="52"/>
              <w:jc w:val="left"/>
              <w:rPr>
                <w:rFonts w:hint="eastAsia" w:ascii="宋体" w:hAnsi="宋体" w:eastAsia="宋体" w:cs="宋体"/>
                <w:color w:val="auto"/>
                <w:sz w:val="21"/>
                <w:szCs w:val="21"/>
                <w:highlight w:val="none"/>
              </w:rPr>
            </w:pPr>
          </w:p>
        </w:tc>
        <w:tc>
          <w:tcPr>
            <w:tcW w:w="1212" w:type="dxa"/>
            <w:noWrap w:val="0"/>
            <w:vAlign w:val="top"/>
          </w:tcPr>
          <w:p w14:paraId="45AD1BFE">
            <w:pPr>
              <w:rPr>
                <w:rFonts w:hint="eastAsia"/>
                <w:color w:val="auto"/>
                <w:highlight w:val="none"/>
                <w:lang w:val="en-US" w:eastAsia="zh-CN"/>
              </w:rPr>
            </w:pPr>
          </w:p>
          <w:p w14:paraId="6C31A4D8">
            <w:pPr>
              <w:rPr>
                <w:rFonts w:hint="eastAsia"/>
                <w:color w:val="auto"/>
                <w:highlight w:val="none"/>
                <w:lang w:val="en-US" w:eastAsia="zh-CN"/>
              </w:rPr>
            </w:pPr>
          </w:p>
          <w:p w14:paraId="43806FC4">
            <w:pPr>
              <w:rPr>
                <w:rFonts w:hint="eastAsia"/>
                <w:color w:val="auto"/>
                <w:highlight w:val="none"/>
                <w:lang w:val="en-US" w:eastAsia="zh-CN"/>
              </w:rPr>
            </w:pPr>
            <w:r>
              <w:rPr>
                <w:rFonts w:hint="eastAsia"/>
                <w:color w:val="auto"/>
                <w:highlight w:val="none"/>
                <w:lang w:val="en-US" w:eastAsia="zh-CN"/>
              </w:rPr>
              <w:t>项目重点、难点分析及合理化建议（12分）</w:t>
            </w:r>
          </w:p>
        </w:tc>
        <w:tc>
          <w:tcPr>
            <w:tcW w:w="6633" w:type="dxa"/>
            <w:noWrap w:val="0"/>
            <w:vAlign w:val="top"/>
          </w:tcPr>
          <w:p w14:paraId="48EE87FE">
            <w:pPr>
              <w:pStyle w:val="68"/>
              <w:spacing w:before="46" w:line="265" w:lineRule="auto"/>
              <w:ind w:left="110" w:right="60"/>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根据投标人提供的项目工作重点、难点分析及合理化建议进行综合评价，内容应至少包括：①服务工作重点分析；②工作难点分析；</w:t>
            </w:r>
          </w:p>
          <w:p w14:paraId="5646D103">
            <w:pPr>
              <w:pStyle w:val="68"/>
              <w:spacing w:before="33" w:line="218" w:lineRule="auto"/>
              <w:ind w:left="109"/>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③合理化建议。</w:t>
            </w:r>
          </w:p>
          <w:p w14:paraId="471DF466">
            <w:pPr>
              <w:pStyle w:val="68"/>
              <w:spacing w:before="62" w:line="265" w:lineRule="auto"/>
              <w:ind w:left="113" w:leftChars="0" w:right="114" w:rightChars="0" w:hanging="2" w:firstLineChars="0"/>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注：各项内容完整、方案详细具体、可行性强、符合项目实际情况的计12分；每缺一项扣4分；每项内容有欠具体或欠合理或可行性不强或与项目实际情况无关的，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每处扣1分</w:t>
            </w:r>
            <w:r>
              <w:rPr>
                <w:rFonts w:hint="eastAsia" w:ascii="Times New Roman" w:hAnsi="Times New Roman" w:eastAsia="宋体" w:cs="Times New Roman"/>
                <w:color w:val="auto"/>
                <w:kern w:val="2"/>
                <w:sz w:val="21"/>
                <w:szCs w:val="24"/>
                <w:highlight w:val="none"/>
                <w:lang w:val="en-US" w:eastAsia="zh-CN" w:bidi="ar-SA"/>
              </w:rPr>
              <w:t>（每项最多扣4分），扣完为止。</w:t>
            </w:r>
          </w:p>
        </w:tc>
      </w:tr>
      <w:tr w14:paraId="7EA4E0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03" w:hRule="atLeast"/>
          <w:jc w:val="center"/>
        </w:trPr>
        <w:tc>
          <w:tcPr>
            <w:tcW w:w="410" w:type="dxa"/>
            <w:vMerge w:val="continue"/>
            <w:tcBorders>
              <w:right w:val="single" w:color="auto" w:sz="4" w:space="0"/>
            </w:tcBorders>
            <w:noWrap w:val="0"/>
            <w:vAlign w:val="center"/>
          </w:tcPr>
          <w:p w14:paraId="22EABBF1">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7F8AAB74">
            <w:pPr>
              <w:pStyle w:val="52"/>
              <w:jc w:val="left"/>
              <w:rPr>
                <w:rFonts w:hint="eastAsia" w:ascii="宋体" w:hAnsi="宋体" w:eastAsia="宋体" w:cs="宋体"/>
                <w:color w:val="auto"/>
                <w:sz w:val="21"/>
                <w:szCs w:val="21"/>
                <w:highlight w:val="none"/>
              </w:rPr>
            </w:pPr>
          </w:p>
        </w:tc>
        <w:tc>
          <w:tcPr>
            <w:tcW w:w="1212" w:type="dxa"/>
            <w:noWrap w:val="0"/>
            <w:vAlign w:val="top"/>
          </w:tcPr>
          <w:p w14:paraId="6934B84F">
            <w:pPr>
              <w:rPr>
                <w:rFonts w:hint="eastAsia"/>
                <w:color w:val="auto"/>
                <w:highlight w:val="none"/>
                <w:lang w:val="en-US" w:eastAsia="zh-CN"/>
              </w:rPr>
            </w:pPr>
          </w:p>
          <w:p w14:paraId="49199AF5">
            <w:pPr>
              <w:rPr>
                <w:rFonts w:hint="eastAsia"/>
                <w:color w:val="auto"/>
                <w:highlight w:val="none"/>
                <w:lang w:val="en-US" w:eastAsia="zh-CN"/>
              </w:rPr>
            </w:pPr>
            <w:r>
              <w:rPr>
                <w:rFonts w:hint="eastAsia"/>
                <w:color w:val="auto"/>
                <w:highlight w:val="none"/>
                <w:lang w:val="en-US" w:eastAsia="zh-CN"/>
              </w:rPr>
              <w:t>质量管理体系及保证措施（12分）</w:t>
            </w:r>
          </w:p>
        </w:tc>
        <w:tc>
          <w:tcPr>
            <w:tcW w:w="6633" w:type="dxa"/>
            <w:noWrap w:val="0"/>
            <w:vAlign w:val="top"/>
          </w:tcPr>
          <w:p w14:paraId="56293B85">
            <w:pPr>
              <w:pStyle w:val="68"/>
              <w:spacing w:before="48" w:line="269" w:lineRule="auto"/>
              <w:ind w:left="109" w:right="41" w:firstLine="1"/>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根据投标人提供的质量管理体系及保证措施进行综合评价，内容应至少包括：①质量管理目标；②质量管理制度；③质量保证措施。</w:t>
            </w:r>
          </w:p>
          <w:p w14:paraId="33509A7E">
            <w:pPr>
              <w:pStyle w:val="68"/>
              <w:spacing w:before="48" w:line="269" w:lineRule="auto"/>
              <w:ind w:left="109" w:leftChars="0" w:right="41" w:rightChars="0" w:firstLine="1" w:firstLineChars="0"/>
              <w:rPr>
                <w:rFonts w:hint="default"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注：各项内容完整，详细具体、合理、可行性强、符合项目实际情况的，计12分；每缺一项扣4分；每项内容有欠具体或欠合理或可行性不强或与项目实际情况无关的，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每处扣1分</w:t>
            </w:r>
            <w:r>
              <w:rPr>
                <w:rFonts w:hint="eastAsia" w:ascii="Times New Roman" w:hAnsi="Times New Roman" w:eastAsia="宋体" w:cs="Times New Roman"/>
                <w:color w:val="auto"/>
                <w:kern w:val="2"/>
                <w:sz w:val="21"/>
                <w:szCs w:val="24"/>
                <w:highlight w:val="none"/>
                <w:lang w:val="en-US" w:eastAsia="zh-CN" w:bidi="ar-SA"/>
              </w:rPr>
              <w:t>（每项最多扣4分），扣完为止。</w:t>
            </w:r>
          </w:p>
        </w:tc>
      </w:tr>
      <w:tr w14:paraId="00964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24" w:hRule="atLeast"/>
          <w:jc w:val="center"/>
        </w:trPr>
        <w:tc>
          <w:tcPr>
            <w:tcW w:w="410" w:type="dxa"/>
            <w:vMerge w:val="continue"/>
            <w:tcBorders>
              <w:right w:val="single" w:color="auto" w:sz="4" w:space="0"/>
            </w:tcBorders>
            <w:noWrap w:val="0"/>
            <w:vAlign w:val="center"/>
          </w:tcPr>
          <w:p w14:paraId="0CC3AB0A">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0F98B0DE">
            <w:pPr>
              <w:pStyle w:val="52"/>
              <w:jc w:val="left"/>
              <w:rPr>
                <w:rFonts w:hint="eastAsia" w:ascii="宋体" w:hAnsi="宋体" w:eastAsia="宋体" w:cs="宋体"/>
                <w:color w:val="auto"/>
                <w:sz w:val="21"/>
                <w:szCs w:val="21"/>
                <w:highlight w:val="none"/>
              </w:rPr>
            </w:pPr>
          </w:p>
        </w:tc>
        <w:tc>
          <w:tcPr>
            <w:tcW w:w="1212" w:type="dxa"/>
            <w:noWrap w:val="0"/>
            <w:vAlign w:val="top"/>
          </w:tcPr>
          <w:p w14:paraId="5A6C8A85">
            <w:pPr>
              <w:rPr>
                <w:rFonts w:hint="eastAsia"/>
                <w:color w:val="auto"/>
                <w:highlight w:val="none"/>
                <w:lang w:val="en-US" w:eastAsia="zh-CN"/>
              </w:rPr>
            </w:pPr>
          </w:p>
          <w:p w14:paraId="2A603FFB">
            <w:pPr>
              <w:rPr>
                <w:rFonts w:hint="eastAsia"/>
                <w:color w:val="auto"/>
                <w:highlight w:val="none"/>
                <w:lang w:val="en-US" w:eastAsia="zh-CN"/>
              </w:rPr>
            </w:pPr>
          </w:p>
          <w:p w14:paraId="1C1219F9">
            <w:pPr>
              <w:rPr>
                <w:rFonts w:hint="eastAsia"/>
                <w:color w:val="auto"/>
                <w:highlight w:val="none"/>
                <w:lang w:val="en-US" w:eastAsia="zh-CN"/>
              </w:rPr>
            </w:pPr>
            <w:r>
              <w:rPr>
                <w:rFonts w:hint="eastAsia"/>
                <w:color w:val="auto"/>
                <w:highlight w:val="none"/>
                <w:lang w:val="en-US" w:eastAsia="zh-CN"/>
              </w:rPr>
              <w:t>安全管理体系及保证措施（12分）</w:t>
            </w:r>
          </w:p>
        </w:tc>
        <w:tc>
          <w:tcPr>
            <w:tcW w:w="6633" w:type="dxa"/>
            <w:noWrap w:val="0"/>
            <w:vAlign w:val="top"/>
          </w:tcPr>
          <w:p w14:paraId="1B998FA7">
            <w:pPr>
              <w:pStyle w:val="68"/>
              <w:spacing w:before="50" w:line="260" w:lineRule="auto"/>
              <w:ind w:left="111" w:right="197"/>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根据投标人提供的项目安全管理体系及保证措施进行综合评价，内容应至少包括：</w:t>
            </w:r>
          </w:p>
          <w:p w14:paraId="4FD8CE97">
            <w:pPr>
              <w:pStyle w:val="68"/>
              <w:spacing w:before="31" w:line="262" w:lineRule="auto"/>
              <w:ind w:left="111" w:right="197" w:hanging="1"/>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①安全管理目标；②安全管理制度；③安全保证措施。</w:t>
            </w:r>
          </w:p>
          <w:p w14:paraId="026A656D">
            <w:pPr>
              <w:pStyle w:val="68"/>
              <w:spacing w:before="28" w:line="269" w:lineRule="auto"/>
              <w:ind w:left="111" w:leftChars="0" w:right="114" w:rightChars="0"/>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注：各项内容完整，详细具体、合理、可行性强、符合项目实际情况的，计12分；每缺一项扣4分；每项内容有欠具体或欠合理或可行性不强或与项目实际情况无关的，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每处扣1分</w:t>
            </w:r>
            <w:r>
              <w:rPr>
                <w:rFonts w:hint="eastAsia" w:ascii="Times New Roman" w:hAnsi="Times New Roman" w:eastAsia="宋体" w:cs="Times New Roman"/>
                <w:color w:val="auto"/>
                <w:kern w:val="2"/>
                <w:sz w:val="21"/>
                <w:szCs w:val="24"/>
                <w:highlight w:val="none"/>
                <w:lang w:val="en-US" w:eastAsia="zh-CN" w:bidi="ar-SA"/>
              </w:rPr>
              <w:t>（每项最多扣4分），扣完为止。</w:t>
            </w:r>
          </w:p>
        </w:tc>
      </w:tr>
      <w:tr w14:paraId="685ED1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24" w:hRule="atLeast"/>
          <w:jc w:val="center"/>
        </w:trPr>
        <w:tc>
          <w:tcPr>
            <w:tcW w:w="410" w:type="dxa"/>
            <w:vMerge w:val="continue"/>
            <w:tcBorders>
              <w:right w:val="single" w:color="auto" w:sz="4" w:space="0"/>
            </w:tcBorders>
            <w:noWrap w:val="0"/>
            <w:vAlign w:val="center"/>
          </w:tcPr>
          <w:p w14:paraId="62D3C8B6">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020C057A">
            <w:pPr>
              <w:pStyle w:val="52"/>
              <w:jc w:val="left"/>
              <w:rPr>
                <w:rFonts w:hint="eastAsia" w:ascii="宋体" w:hAnsi="宋体" w:eastAsia="宋体" w:cs="宋体"/>
                <w:color w:val="auto"/>
                <w:sz w:val="21"/>
                <w:szCs w:val="21"/>
                <w:highlight w:val="none"/>
              </w:rPr>
            </w:pPr>
          </w:p>
        </w:tc>
        <w:tc>
          <w:tcPr>
            <w:tcW w:w="1212" w:type="dxa"/>
            <w:noWrap w:val="0"/>
            <w:vAlign w:val="top"/>
          </w:tcPr>
          <w:p w14:paraId="243D0A72">
            <w:pPr>
              <w:rPr>
                <w:rFonts w:hint="eastAsia"/>
                <w:color w:val="auto"/>
                <w:highlight w:val="none"/>
                <w:lang w:val="en-US" w:eastAsia="zh-CN"/>
              </w:rPr>
            </w:pPr>
          </w:p>
          <w:p w14:paraId="16A84FB2">
            <w:pPr>
              <w:rPr>
                <w:rFonts w:hint="eastAsia"/>
                <w:color w:val="auto"/>
                <w:highlight w:val="none"/>
                <w:lang w:val="en-US" w:eastAsia="zh-CN"/>
              </w:rPr>
            </w:pPr>
          </w:p>
          <w:p w14:paraId="77FA7025">
            <w:pPr>
              <w:rPr>
                <w:rFonts w:hint="eastAsia"/>
                <w:color w:val="auto"/>
                <w:highlight w:val="none"/>
                <w:lang w:val="en-US" w:eastAsia="zh-CN"/>
              </w:rPr>
            </w:pPr>
            <w:r>
              <w:rPr>
                <w:rFonts w:hint="eastAsia"/>
                <w:color w:val="auto"/>
                <w:highlight w:val="none"/>
                <w:lang w:val="en-US" w:eastAsia="zh-CN"/>
              </w:rPr>
              <w:t>项目进度计划及保证措施（10分）</w:t>
            </w:r>
          </w:p>
        </w:tc>
        <w:tc>
          <w:tcPr>
            <w:tcW w:w="6633" w:type="dxa"/>
            <w:noWrap w:val="0"/>
            <w:vAlign w:val="top"/>
          </w:tcPr>
          <w:p w14:paraId="58CCF0D1">
            <w:pPr>
              <w:pStyle w:val="68"/>
              <w:spacing w:before="44" w:line="265" w:lineRule="auto"/>
              <w:ind w:left="109" w:right="114" w:firstLine="1"/>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根据投标人提供的项目进度计划及保证措施进行综合评价，内容应至少包括：①项目进度计划安排；②进度保证措施。</w:t>
            </w:r>
          </w:p>
          <w:p w14:paraId="15469E8D">
            <w:pPr>
              <w:pStyle w:val="68"/>
              <w:spacing w:before="30" w:line="267" w:lineRule="auto"/>
              <w:ind w:left="111" w:leftChars="0" w:right="114" w:rightChars="0"/>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注：各项内容完整，详细具体、合理、可行性强、符合项目实际情况的，计10分；每缺一项扣5分；每项内容有欠具体或欠合理或可行性不强或与项目实际情况无关的，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每处扣1.25分</w:t>
            </w:r>
            <w:r>
              <w:rPr>
                <w:rFonts w:hint="eastAsia" w:ascii="Times New Roman" w:hAnsi="Times New Roman" w:eastAsia="宋体" w:cs="Times New Roman"/>
                <w:color w:val="auto"/>
                <w:kern w:val="2"/>
                <w:sz w:val="21"/>
                <w:szCs w:val="24"/>
                <w:highlight w:val="none"/>
                <w:lang w:val="en-US" w:eastAsia="zh-CN" w:bidi="ar-SA"/>
              </w:rPr>
              <w:t>（每项最多扣5分），扣完为止。</w:t>
            </w:r>
          </w:p>
        </w:tc>
      </w:tr>
      <w:tr w14:paraId="503561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24" w:hRule="atLeast"/>
          <w:jc w:val="center"/>
        </w:trPr>
        <w:tc>
          <w:tcPr>
            <w:tcW w:w="410" w:type="dxa"/>
            <w:vMerge w:val="continue"/>
            <w:tcBorders>
              <w:right w:val="single" w:color="auto" w:sz="4" w:space="0"/>
            </w:tcBorders>
            <w:noWrap w:val="0"/>
            <w:vAlign w:val="center"/>
          </w:tcPr>
          <w:p w14:paraId="36430258">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08D75C97">
            <w:pPr>
              <w:pStyle w:val="52"/>
              <w:jc w:val="left"/>
              <w:rPr>
                <w:rFonts w:hint="eastAsia" w:ascii="宋体" w:hAnsi="宋体" w:eastAsia="宋体" w:cs="宋体"/>
                <w:color w:val="auto"/>
                <w:sz w:val="21"/>
                <w:szCs w:val="21"/>
                <w:highlight w:val="none"/>
              </w:rPr>
            </w:pPr>
          </w:p>
        </w:tc>
        <w:tc>
          <w:tcPr>
            <w:tcW w:w="1212" w:type="dxa"/>
            <w:noWrap w:val="0"/>
            <w:vAlign w:val="top"/>
          </w:tcPr>
          <w:p w14:paraId="1FD9DB65">
            <w:pPr>
              <w:rPr>
                <w:rFonts w:hint="eastAsia"/>
                <w:color w:val="auto"/>
                <w:highlight w:val="none"/>
                <w:lang w:val="en-US" w:eastAsia="zh-CN"/>
              </w:rPr>
            </w:pPr>
          </w:p>
          <w:p w14:paraId="287ADA9A">
            <w:pPr>
              <w:rPr>
                <w:rFonts w:hint="eastAsia"/>
                <w:color w:val="auto"/>
                <w:highlight w:val="none"/>
                <w:lang w:val="en-US" w:eastAsia="zh-CN"/>
              </w:rPr>
            </w:pPr>
            <w:r>
              <w:rPr>
                <w:rFonts w:hint="eastAsia"/>
                <w:color w:val="auto"/>
                <w:highlight w:val="none"/>
                <w:lang w:val="en-US" w:eastAsia="zh-CN"/>
              </w:rPr>
              <w:t>文明施工及环境保护措施（10分）</w:t>
            </w:r>
          </w:p>
        </w:tc>
        <w:tc>
          <w:tcPr>
            <w:tcW w:w="6633" w:type="dxa"/>
            <w:noWrap w:val="0"/>
            <w:vAlign w:val="top"/>
          </w:tcPr>
          <w:p w14:paraId="06025225">
            <w:pPr>
              <w:pStyle w:val="68"/>
              <w:spacing w:before="45" w:line="265" w:lineRule="auto"/>
              <w:ind w:left="109" w:right="114" w:firstLine="1"/>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根据投标人提供的文明施工及环境保护措施进行综合评价，内容应至少包括：①文明施工措施；②环境保护措施。</w:t>
            </w:r>
          </w:p>
          <w:p w14:paraId="3D64042A">
            <w:pPr>
              <w:pStyle w:val="68"/>
              <w:spacing w:before="36" w:line="266" w:lineRule="auto"/>
              <w:ind w:left="111" w:leftChars="0" w:right="114" w:rightChars="0"/>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注：各项内容完整，详细具体、合理、可行性强、符合项目实际情况的，计10分；每缺一项扣5分；每项内容有欠具体或欠合理或可行性不强或与项目实际情况无关的，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每处扣1.25分</w:t>
            </w:r>
            <w:r>
              <w:rPr>
                <w:rFonts w:hint="eastAsia" w:ascii="Times New Roman" w:hAnsi="Times New Roman" w:eastAsia="宋体" w:cs="Times New Roman"/>
                <w:color w:val="auto"/>
                <w:kern w:val="2"/>
                <w:sz w:val="21"/>
                <w:szCs w:val="24"/>
                <w:highlight w:val="none"/>
                <w:lang w:val="en-US" w:eastAsia="zh-CN" w:bidi="ar-SA"/>
              </w:rPr>
              <w:t>（每项最多扣5分），扣完为止。</w:t>
            </w:r>
          </w:p>
        </w:tc>
      </w:tr>
      <w:tr w14:paraId="3A822D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24" w:hRule="atLeast"/>
          <w:jc w:val="center"/>
        </w:trPr>
        <w:tc>
          <w:tcPr>
            <w:tcW w:w="410" w:type="dxa"/>
            <w:vMerge w:val="continue"/>
            <w:tcBorders>
              <w:right w:val="single" w:color="auto" w:sz="4" w:space="0"/>
            </w:tcBorders>
            <w:noWrap w:val="0"/>
            <w:vAlign w:val="center"/>
          </w:tcPr>
          <w:p w14:paraId="757CA80D">
            <w:pPr>
              <w:pStyle w:val="52"/>
              <w:jc w:val="left"/>
              <w:rPr>
                <w:rFonts w:hint="eastAsia" w:ascii="宋体" w:hAnsi="宋体" w:eastAsia="宋体" w:cs="宋体"/>
                <w:color w:val="auto"/>
                <w:sz w:val="21"/>
                <w:szCs w:val="21"/>
                <w:highlight w:val="none"/>
              </w:rPr>
            </w:pPr>
          </w:p>
        </w:tc>
        <w:tc>
          <w:tcPr>
            <w:tcW w:w="936" w:type="dxa"/>
            <w:vMerge w:val="continue"/>
            <w:tcBorders>
              <w:left w:val="single" w:color="auto" w:sz="4" w:space="0"/>
            </w:tcBorders>
            <w:noWrap w:val="0"/>
            <w:vAlign w:val="center"/>
          </w:tcPr>
          <w:p w14:paraId="7E3CC021">
            <w:pPr>
              <w:pStyle w:val="52"/>
              <w:jc w:val="left"/>
              <w:rPr>
                <w:rFonts w:hint="eastAsia" w:ascii="宋体" w:hAnsi="宋体" w:eastAsia="宋体" w:cs="宋体"/>
                <w:color w:val="auto"/>
                <w:sz w:val="21"/>
                <w:szCs w:val="21"/>
                <w:highlight w:val="none"/>
              </w:rPr>
            </w:pPr>
          </w:p>
        </w:tc>
        <w:tc>
          <w:tcPr>
            <w:tcW w:w="1212" w:type="dxa"/>
            <w:noWrap w:val="0"/>
            <w:vAlign w:val="top"/>
          </w:tcPr>
          <w:p w14:paraId="1D0ED701">
            <w:pPr>
              <w:rPr>
                <w:rFonts w:hint="eastAsia"/>
                <w:color w:val="auto"/>
                <w:highlight w:val="none"/>
                <w:lang w:val="en-US" w:eastAsia="zh-CN"/>
              </w:rPr>
            </w:pPr>
          </w:p>
          <w:p w14:paraId="42A358F3">
            <w:pPr>
              <w:rPr>
                <w:rFonts w:hint="eastAsia"/>
                <w:color w:val="auto"/>
                <w:highlight w:val="none"/>
                <w:lang w:val="en-US" w:eastAsia="zh-CN"/>
              </w:rPr>
            </w:pPr>
          </w:p>
          <w:p w14:paraId="6471134D">
            <w:pPr>
              <w:rPr>
                <w:rFonts w:hint="eastAsia"/>
                <w:color w:val="auto"/>
                <w:highlight w:val="none"/>
                <w:lang w:val="en-US" w:eastAsia="zh-CN"/>
              </w:rPr>
            </w:pPr>
            <w:r>
              <w:rPr>
                <w:rFonts w:hint="eastAsia"/>
                <w:color w:val="auto"/>
                <w:highlight w:val="none"/>
                <w:lang w:val="en-US" w:eastAsia="zh-CN"/>
              </w:rPr>
              <w:t>风险分析及应急预案（8分）</w:t>
            </w:r>
          </w:p>
        </w:tc>
        <w:tc>
          <w:tcPr>
            <w:tcW w:w="6633" w:type="dxa"/>
            <w:noWrap w:val="0"/>
            <w:vAlign w:val="top"/>
          </w:tcPr>
          <w:p w14:paraId="1455126A">
            <w:pPr>
              <w:pStyle w:val="68"/>
              <w:spacing w:before="52" w:line="265" w:lineRule="auto"/>
              <w:ind w:left="111" w:right="114"/>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根据投标人提供的风险分析及应急预案进行综合评价，内容应至少包括：①可能发生的风险分析；②应急预案。</w:t>
            </w:r>
          </w:p>
          <w:p w14:paraId="0F23E64E">
            <w:pPr>
              <w:pStyle w:val="68"/>
              <w:spacing w:before="33" w:line="266" w:lineRule="auto"/>
              <w:ind w:left="111" w:leftChars="0" w:right="114" w:rightChars="0"/>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注：各项内容完整，详细具体、合理、可行性强、符合项目实际情况的，计8分；每缺一项扣4分；每项内容有欠具体或欠合理或可行性不强或与项目实际情况无关的，</w:t>
            </w:r>
            <w:r>
              <w:rPr>
                <w:rFonts w:hint="eastAsia" w:ascii="Times New Roman" w:hAnsi="Times New Roman" w:eastAsia="宋体" w:cs="Times New Roman"/>
                <w:color w:val="auto"/>
                <w:kern w:val="2"/>
                <w:sz w:val="21"/>
                <w:szCs w:val="24"/>
                <w:highlight w:val="none"/>
                <w:lang w:val="en-US" w:eastAsia="zh-CN" w:bidi="ar-SA"/>
              </w:rPr>
              <w:t>每处扣1分</w:t>
            </w:r>
            <w:r>
              <w:rPr>
                <w:rFonts w:hint="eastAsia" w:ascii="Times New Roman" w:hAnsi="Times New Roman" w:eastAsia="宋体" w:cs="Times New Roman"/>
                <w:color w:val="auto"/>
                <w:kern w:val="2"/>
                <w:sz w:val="21"/>
                <w:szCs w:val="24"/>
                <w:highlight w:val="none"/>
                <w:lang w:val="en-US" w:eastAsia="zh-CN" w:bidi="ar-SA"/>
              </w:rPr>
              <w:t>（每项最多扣4分），扣完为止。</w:t>
            </w:r>
          </w:p>
        </w:tc>
      </w:tr>
      <w:tr w14:paraId="577214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1" w:hRule="atLeast"/>
          <w:jc w:val="center"/>
        </w:trPr>
        <w:tc>
          <w:tcPr>
            <w:tcW w:w="410" w:type="dxa"/>
            <w:tcBorders>
              <w:right w:val="single" w:color="auto" w:sz="4" w:space="0"/>
            </w:tcBorders>
            <w:noWrap w:val="0"/>
            <w:vAlign w:val="center"/>
          </w:tcPr>
          <w:p w14:paraId="465A9E09">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936" w:type="dxa"/>
            <w:tcBorders>
              <w:left w:val="single" w:color="auto" w:sz="4" w:space="0"/>
            </w:tcBorders>
            <w:noWrap w:val="0"/>
            <w:vAlign w:val="center"/>
          </w:tcPr>
          <w:p w14:paraId="59FE3603">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18"/>
                <w:szCs w:val="18"/>
                <w:highlight w:val="none"/>
              </w:rPr>
              <w:t>优先采购加分（F优先采购加分）</w:t>
            </w:r>
          </w:p>
        </w:tc>
        <w:tc>
          <w:tcPr>
            <w:tcW w:w="7845" w:type="dxa"/>
            <w:gridSpan w:val="2"/>
            <w:tcBorders>
              <w:bottom w:val="single" w:color="auto" w:sz="4" w:space="0"/>
            </w:tcBorders>
            <w:noWrap w:val="0"/>
            <w:vAlign w:val="center"/>
          </w:tcPr>
          <w:p w14:paraId="5B95C323">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w:t>
            </w:r>
          </w:p>
        </w:tc>
      </w:tr>
      <w:tr w14:paraId="53BD8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410" w:type="dxa"/>
            <w:tcBorders>
              <w:right w:val="single" w:color="auto" w:sz="4" w:space="0"/>
            </w:tcBorders>
            <w:noWrap w:val="0"/>
            <w:vAlign w:val="center"/>
          </w:tcPr>
          <w:p w14:paraId="683BF90C">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81" w:type="dxa"/>
            <w:gridSpan w:val="3"/>
            <w:tcBorders>
              <w:left w:val="single" w:color="auto" w:sz="4" w:space="0"/>
            </w:tcBorders>
            <w:noWrap w:val="0"/>
            <w:vAlign w:val="center"/>
          </w:tcPr>
          <w:p w14:paraId="7C74F946">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F2=F+ F优先采购加分</w:t>
            </w:r>
          </w:p>
        </w:tc>
      </w:tr>
    </w:tbl>
    <w:p w14:paraId="2BB1245C">
      <w:pPr>
        <w:pStyle w:val="52"/>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w:t>
      </w:r>
    </w:p>
    <w:p w14:paraId="360F6D02">
      <w:pPr>
        <w:pStyle w:val="52"/>
        <w:jc w:val="left"/>
        <w:rPr>
          <w:rFonts w:hint="eastAsia" w:ascii="宋体" w:hAnsi="宋体" w:eastAsia="宋体" w:cs="宋体"/>
          <w:b/>
          <w:bCs/>
          <w:color w:val="auto"/>
          <w:sz w:val="20"/>
          <w:szCs w:val="22"/>
          <w:highlight w:val="none"/>
        </w:rPr>
      </w:pPr>
      <w:r>
        <w:rPr>
          <w:rFonts w:hint="eastAsia" w:ascii="仿宋" w:hAnsi="仿宋" w:eastAsia="仿宋" w:cs="仿宋"/>
          <w:color w:val="auto"/>
          <w:sz w:val="24"/>
          <w:szCs w:val="24"/>
          <w:highlight w:val="none"/>
          <w:lang w:val="en-US" w:eastAsia="zh-CN"/>
        </w:rPr>
        <w:t>欠具体或欠合理或可行性不强或与项目实际情况无关是指：</w:t>
      </w:r>
      <w:r>
        <w:rPr>
          <w:rFonts w:hint="eastAsia" w:ascii="仿宋" w:hAnsi="仿宋" w:eastAsia="仿宋" w:cs="仿宋"/>
          <w:color w:val="auto"/>
          <w:sz w:val="24"/>
          <w:szCs w:val="24"/>
          <w:highlight w:val="none"/>
          <w:lang w:val="en-US" w:eastAsia="zh-CN"/>
        </w:rPr>
        <w:t>非专门针对本项目或不适用项目的情形、内容不完整或缺少关键节点、套用其他项目方案、内容前后矛盾、涉及的规范及标准错误、不利于项目建设、不可能实现的情形等 任意一种情形。</w:t>
      </w:r>
      <w:r>
        <w:rPr>
          <w:rFonts w:hint="eastAsia" w:ascii="宋体" w:hAnsi="宋体" w:eastAsia="宋体" w:cs="宋体"/>
          <w:b/>
          <w:bCs/>
          <w:color w:val="auto"/>
          <w:kern w:val="2"/>
          <w:sz w:val="32"/>
          <w:szCs w:val="32"/>
          <w:highlight w:val="none"/>
          <w:lang w:bidi="ar"/>
        </w:rPr>
        <w:br w:type="page"/>
      </w:r>
      <w:r>
        <w:rPr>
          <w:rFonts w:hint="eastAsia" w:ascii="宋体" w:hAnsi="宋体" w:eastAsia="宋体" w:cs="宋体"/>
          <w:b/>
          <w:bCs/>
          <w:color w:val="auto"/>
          <w:sz w:val="20"/>
          <w:szCs w:val="22"/>
          <w:highlight w:val="none"/>
        </w:rPr>
        <w:t>附表3商务部分评审标准表</w:t>
      </w:r>
    </w:p>
    <w:tbl>
      <w:tblPr>
        <w:tblStyle w:val="26"/>
        <w:tblW w:w="947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9"/>
        <w:gridCol w:w="1134"/>
        <w:gridCol w:w="1288"/>
        <w:gridCol w:w="6527"/>
      </w:tblGrid>
      <w:tr w14:paraId="6467C3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529" w:type="dxa"/>
            <w:tcBorders>
              <w:right w:val="single" w:color="auto" w:sz="4" w:space="0"/>
            </w:tcBorders>
            <w:noWrap w:val="0"/>
            <w:vAlign w:val="center"/>
          </w:tcPr>
          <w:p w14:paraId="280C50F0">
            <w:pPr>
              <w:adjustRightInd w:val="0"/>
              <w:snapToGrid w:val="0"/>
              <w:jc w:val="center"/>
              <w:rPr>
                <w:rFonts w:hint="eastAsia" w:ascii="宋体" w:hAnsi="宋体" w:eastAsia="宋体" w:cs="宋体"/>
                <w:b/>
                <w:color w:val="auto"/>
                <w:sz w:val="16"/>
                <w:szCs w:val="16"/>
                <w:highlight w:val="none"/>
              </w:rPr>
            </w:pPr>
            <w:r>
              <w:rPr>
                <w:rFonts w:hint="eastAsia" w:ascii="宋体" w:hAnsi="宋体" w:eastAsia="宋体" w:cs="宋体"/>
                <w:b/>
                <w:color w:val="auto"/>
                <w:sz w:val="16"/>
                <w:szCs w:val="16"/>
                <w:highlight w:val="none"/>
              </w:rPr>
              <w:t>序号</w:t>
            </w:r>
          </w:p>
        </w:tc>
        <w:tc>
          <w:tcPr>
            <w:tcW w:w="1134" w:type="dxa"/>
            <w:tcBorders>
              <w:left w:val="single" w:color="auto" w:sz="4" w:space="0"/>
              <w:right w:val="single" w:color="auto" w:sz="4" w:space="0"/>
            </w:tcBorders>
            <w:noWrap w:val="0"/>
            <w:vAlign w:val="center"/>
          </w:tcPr>
          <w:p w14:paraId="1EB3ADDA">
            <w:pPr>
              <w:adjustRightInd w:val="0"/>
              <w:snapToGrid w:val="0"/>
              <w:jc w:val="center"/>
              <w:rPr>
                <w:rFonts w:hint="eastAsia" w:ascii="宋体" w:hAnsi="宋体" w:eastAsia="宋体" w:cs="宋体"/>
                <w:b/>
                <w:color w:val="auto"/>
                <w:sz w:val="16"/>
                <w:szCs w:val="16"/>
                <w:highlight w:val="none"/>
              </w:rPr>
            </w:pPr>
            <w:r>
              <w:rPr>
                <w:rFonts w:hint="eastAsia" w:ascii="宋体" w:hAnsi="宋体" w:eastAsia="宋体" w:cs="宋体"/>
                <w:b/>
                <w:color w:val="auto"/>
                <w:sz w:val="16"/>
                <w:szCs w:val="16"/>
                <w:highlight w:val="none"/>
              </w:rPr>
              <w:t>评标因素（分值）</w:t>
            </w:r>
          </w:p>
        </w:tc>
        <w:tc>
          <w:tcPr>
            <w:tcW w:w="7815" w:type="dxa"/>
            <w:gridSpan w:val="2"/>
            <w:tcBorders>
              <w:left w:val="single" w:color="auto" w:sz="4" w:space="0"/>
            </w:tcBorders>
            <w:noWrap w:val="0"/>
            <w:vAlign w:val="center"/>
          </w:tcPr>
          <w:p w14:paraId="3DA34442">
            <w:pPr>
              <w:adjustRightInd w:val="0"/>
              <w:snapToGrid w:val="0"/>
              <w:jc w:val="center"/>
              <w:rPr>
                <w:rFonts w:hint="eastAsia" w:ascii="宋体" w:hAnsi="宋体" w:eastAsia="宋体" w:cs="宋体"/>
                <w:b/>
                <w:color w:val="auto"/>
                <w:sz w:val="16"/>
                <w:szCs w:val="16"/>
                <w:highlight w:val="none"/>
              </w:rPr>
            </w:pPr>
            <w:r>
              <w:rPr>
                <w:rFonts w:hint="eastAsia" w:ascii="宋体" w:hAnsi="宋体" w:eastAsia="宋体" w:cs="宋体"/>
                <w:b/>
                <w:color w:val="auto"/>
                <w:sz w:val="16"/>
                <w:szCs w:val="16"/>
                <w:highlight w:val="none"/>
              </w:rPr>
              <w:t>评标标准</w:t>
            </w:r>
          </w:p>
        </w:tc>
      </w:tr>
      <w:tr w14:paraId="2665C5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06" w:hRule="atLeast"/>
          <w:jc w:val="center"/>
        </w:trPr>
        <w:tc>
          <w:tcPr>
            <w:tcW w:w="529" w:type="dxa"/>
            <w:vMerge w:val="restart"/>
            <w:tcBorders>
              <w:right w:val="single" w:color="auto" w:sz="4" w:space="0"/>
            </w:tcBorders>
            <w:noWrap w:val="0"/>
            <w:vAlign w:val="center"/>
          </w:tcPr>
          <w:p w14:paraId="296E9C44">
            <w:pPr>
              <w:pStyle w:val="5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1134" w:type="dxa"/>
            <w:vMerge w:val="restart"/>
            <w:tcBorders>
              <w:left w:val="single" w:color="auto" w:sz="4" w:space="0"/>
            </w:tcBorders>
            <w:noWrap w:val="0"/>
            <w:vAlign w:val="center"/>
          </w:tcPr>
          <w:p w14:paraId="0E7598BE">
            <w:pPr>
              <w:pStyle w:val="52"/>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商务评价项</w:t>
            </w:r>
          </w:p>
          <w:p w14:paraId="6562E164">
            <w:pPr>
              <w:pStyle w:val="52"/>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（F=100分）</w:t>
            </w:r>
          </w:p>
        </w:tc>
        <w:tc>
          <w:tcPr>
            <w:tcW w:w="1288" w:type="dxa"/>
            <w:noWrap w:val="0"/>
            <w:vAlign w:val="center"/>
          </w:tcPr>
          <w:p w14:paraId="74DFCC1F">
            <w:pPr>
              <w:rPr>
                <w:rFonts w:hint="eastAsia"/>
                <w:color w:val="auto"/>
                <w:highlight w:val="none"/>
                <w:lang w:eastAsia="zh-CN"/>
              </w:rPr>
            </w:pPr>
            <w:r>
              <w:rPr>
                <w:rFonts w:hint="eastAsia"/>
                <w:color w:val="auto"/>
                <w:highlight w:val="none"/>
                <w:lang w:val="en-US" w:eastAsia="zh-CN"/>
              </w:rPr>
              <w:t>综合</w:t>
            </w:r>
            <w:r>
              <w:rPr>
                <w:rFonts w:hint="eastAsia"/>
                <w:color w:val="auto"/>
                <w:highlight w:val="none"/>
                <w:lang w:eastAsia="zh-CN"/>
              </w:rPr>
              <w:t>实力（</w:t>
            </w:r>
            <w:r>
              <w:rPr>
                <w:rFonts w:hint="eastAsia"/>
                <w:color w:val="auto"/>
                <w:highlight w:val="none"/>
                <w:lang w:val="en-US" w:eastAsia="zh-CN"/>
              </w:rPr>
              <w:t>40分</w:t>
            </w:r>
            <w:r>
              <w:rPr>
                <w:rFonts w:hint="eastAsia"/>
                <w:color w:val="auto"/>
                <w:highlight w:val="none"/>
                <w:lang w:eastAsia="zh-CN"/>
              </w:rPr>
              <w:t>）</w:t>
            </w:r>
          </w:p>
          <w:p w14:paraId="15D763F7">
            <w:pPr>
              <w:rPr>
                <w:rFonts w:hint="default"/>
                <w:color w:val="auto"/>
                <w:highlight w:val="none"/>
                <w:lang w:val="en-US" w:eastAsia="zh-CN"/>
              </w:rPr>
            </w:pPr>
          </w:p>
        </w:tc>
        <w:tc>
          <w:tcPr>
            <w:tcW w:w="6527" w:type="dxa"/>
            <w:noWrap w:val="0"/>
            <w:vAlign w:val="center"/>
          </w:tcPr>
          <w:p w14:paraId="53D601E3">
            <w:pPr>
              <w:rPr>
                <w:rFonts w:hint="eastAsia"/>
                <w:color w:val="auto"/>
                <w:highlight w:val="none"/>
                <w:lang w:eastAsia="zh-CN"/>
              </w:rPr>
            </w:pPr>
            <w:r>
              <w:rPr>
                <w:rFonts w:hint="eastAsia"/>
                <w:color w:val="auto"/>
                <w:highlight w:val="none"/>
                <w:lang w:val="en-US" w:eastAsia="zh-CN"/>
              </w:rPr>
              <w:t>1</w:t>
            </w:r>
            <w:r>
              <w:rPr>
                <w:rFonts w:hint="eastAsia"/>
                <w:color w:val="auto"/>
                <w:highlight w:val="none"/>
              </w:rPr>
              <w:t>、供应商获得质量管理体系认证、环境管理体系认证、职业健康安全管理体系认证证书的</w:t>
            </w:r>
            <w:r>
              <w:rPr>
                <w:rFonts w:hint="eastAsia"/>
                <w:color w:val="auto"/>
                <w:highlight w:val="none"/>
                <w:lang w:val="en-US" w:eastAsia="zh-CN"/>
              </w:rPr>
              <w:t>每个计5分，满分15</w:t>
            </w:r>
            <w:r>
              <w:rPr>
                <w:rFonts w:hint="eastAsia"/>
                <w:color w:val="auto"/>
                <w:highlight w:val="none"/>
              </w:rPr>
              <w:t>分，未提供不计分</w:t>
            </w:r>
            <w:r>
              <w:rPr>
                <w:rFonts w:hint="eastAsia"/>
                <w:color w:val="auto"/>
                <w:highlight w:val="none"/>
                <w:lang w:eastAsia="zh-CN"/>
              </w:rPr>
              <w:t>。</w:t>
            </w:r>
          </w:p>
          <w:p w14:paraId="72B78858">
            <w:pPr>
              <w:rPr>
                <w:rFonts w:hint="eastAsia"/>
                <w:color w:val="auto"/>
                <w:highlight w:val="none"/>
              </w:rPr>
            </w:pPr>
            <w:r>
              <w:rPr>
                <w:rFonts w:hint="eastAsia"/>
                <w:color w:val="auto"/>
                <w:highlight w:val="none"/>
              </w:rPr>
              <w:t>（</w:t>
            </w:r>
            <w:r>
              <w:rPr>
                <w:rFonts w:hint="eastAsia"/>
                <w:color w:val="auto"/>
                <w:highlight w:val="none"/>
                <w:lang w:val="en-US" w:eastAsia="zh-CN"/>
              </w:rPr>
              <w:t>注：以上证书</w:t>
            </w:r>
            <w:r>
              <w:rPr>
                <w:rFonts w:hint="eastAsia"/>
                <w:color w:val="auto"/>
                <w:highlight w:val="none"/>
              </w:rPr>
              <w:t>均需</w:t>
            </w:r>
            <w:r>
              <w:rPr>
                <w:rFonts w:hint="eastAsia"/>
                <w:color w:val="auto"/>
                <w:highlight w:val="none"/>
                <w:lang w:val="en-US" w:eastAsia="zh-CN"/>
              </w:rPr>
              <w:t>在</w:t>
            </w:r>
            <w:r>
              <w:rPr>
                <w:rFonts w:hint="eastAsia"/>
                <w:color w:val="auto"/>
                <w:highlight w:val="none"/>
              </w:rPr>
              <w:t>全国认证认可信息公共服务平台 http://cx.cnca.cn/CertECloud/index/index/page 查询真实</w:t>
            </w:r>
            <w:r>
              <w:rPr>
                <w:rFonts w:hint="eastAsia"/>
                <w:color w:val="auto"/>
                <w:highlight w:val="none"/>
                <w:lang w:val="en-US" w:eastAsia="zh-CN"/>
              </w:rPr>
              <w:t>存在</w:t>
            </w:r>
            <w:r>
              <w:rPr>
                <w:rFonts w:hint="eastAsia"/>
                <w:color w:val="auto"/>
                <w:highlight w:val="none"/>
              </w:rPr>
              <w:t>并</w:t>
            </w:r>
            <w:r>
              <w:rPr>
                <w:rFonts w:hint="eastAsia"/>
                <w:color w:val="auto"/>
                <w:highlight w:val="none"/>
                <w:lang w:val="en-US" w:eastAsia="zh-CN"/>
              </w:rPr>
              <w:t>处于</w:t>
            </w:r>
            <w:r>
              <w:rPr>
                <w:rFonts w:hint="eastAsia"/>
                <w:color w:val="auto"/>
                <w:highlight w:val="none"/>
              </w:rPr>
              <w:t>有效期内。</w:t>
            </w:r>
            <w:r>
              <w:rPr>
                <w:rFonts w:hint="eastAsia"/>
                <w:color w:val="auto"/>
                <w:highlight w:val="none"/>
              </w:rPr>
              <w:t>响应文件中提供上述网站截图及证书</w:t>
            </w:r>
            <w:r>
              <w:rPr>
                <w:rFonts w:hint="eastAsia"/>
                <w:color w:val="auto"/>
                <w:highlight w:val="none"/>
                <w:lang w:eastAsia="zh-CN"/>
              </w:rPr>
              <w:t>扫描件</w:t>
            </w:r>
            <w:r>
              <w:rPr>
                <w:rFonts w:hint="eastAsia"/>
                <w:color w:val="auto"/>
                <w:highlight w:val="none"/>
              </w:rPr>
              <w:t>，</w:t>
            </w:r>
            <w:r>
              <w:rPr>
                <w:rFonts w:hint="eastAsia"/>
                <w:color w:val="auto"/>
                <w:highlight w:val="none"/>
                <w:lang w:eastAsia="zh-CN"/>
              </w:rPr>
              <w:t>扫描件</w:t>
            </w:r>
            <w:r>
              <w:rPr>
                <w:rFonts w:hint="eastAsia"/>
                <w:color w:val="auto"/>
                <w:highlight w:val="none"/>
              </w:rPr>
              <w:t>加盖供应商公章，否则不计分）</w:t>
            </w:r>
          </w:p>
          <w:p w14:paraId="7CC54323">
            <w:pPr>
              <w:pStyle w:val="2"/>
              <w:rPr>
                <w:rFonts w:hint="eastAsia"/>
                <w:highlight w:val="none"/>
              </w:rPr>
            </w:pPr>
          </w:p>
          <w:p w14:paraId="1DB6844C">
            <w:pPr>
              <w:rPr>
                <w:rFonts w:hint="eastAsia"/>
                <w:color w:val="auto"/>
                <w:highlight w:val="none"/>
              </w:rPr>
            </w:pPr>
            <w:r>
              <w:rPr>
                <w:rFonts w:hint="eastAsia"/>
                <w:color w:val="auto"/>
                <w:highlight w:val="none"/>
                <w:lang w:val="en-US" w:eastAsia="zh-CN"/>
              </w:rPr>
              <w:t>2、</w:t>
            </w:r>
            <w:r>
              <w:rPr>
                <w:rFonts w:hint="eastAsia"/>
                <w:color w:val="auto"/>
                <w:highlight w:val="none"/>
              </w:rPr>
              <w:t>投标人提供有害生物防制服务机构服务能力证书的，</w:t>
            </w:r>
            <w:r>
              <w:rPr>
                <w:rFonts w:hint="eastAsia"/>
                <w:color w:val="auto"/>
                <w:highlight w:val="none"/>
                <w:lang w:val="en-US" w:eastAsia="zh-CN"/>
              </w:rPr>
              <w:t>全国范围</w:t>
            </w:r>
            <w:r>
              <w:rPr>
                <w:rFonts w:hint="eastAsia"/>
                <w:color w:val="auto"/>
                <w:highlight w:val="none"/>
              </w:rPr>
              <w:t>A级证书计</w:t>
            </w:r>
            <w:r>
              <w:rPr>
                <w:rFonts w:hint="eastAsia"/>
                <w:color w:val="auto"/>
                <w:highlight w:val="none"/>
                <w:lang w:val="en-US" w:eastAsia="zh-CN"/>
              </w:rPr>
              <w:t>20</w:t>
            </w:r>
            <w:r>
              <w:rPr>
                <w:rFonts w:hint="eastAsia"/>
                <w:color w:val="auto"/>
                <w:highlight w:val="none"/>
              </w:rPr>
              <w:t>分；</w:t>
            </w:r>
            <w:r>
              <w:rPr>
                <w:rFonts w:hint="eastAsia"/>
                <w:color w:val="auto"/>
                <w:highlight w:val="none"/>
                <w:lang w:val="en-US" w:eastAsia="zh-CN"/>
              </w:rPr>
              <w:t>全国范围</w:t>
            </w:r>
            <w:r>
              <w:rPr>
                <w:rFonts w:hint="eastAsia"/>
                <w:color w:val="auto"/>
                <w:highlight w:val="none"/>
              </w:rPr>
              <w:t>B级证书计</w:t>
            </w:r>
            <w:r>
              <w:rPr>
                <w:rFonts w:hint="eastAsia"/>
                <w:color w:val="auto"/>
                <w:highlight w:val="none"/>
                <w:lang w:val="en-US" w:eastAsia="zh-CN"/>
              </w:rPr>
              <w:t>15</w:t>
            </w:r>
            <w:r>
              <w:rPr>
                <w:rFonts w:hint="eastAsia"/>
                <w:color w:val="auto"/>
                <w:highlight w:val="none"/>
              </w:rPr>
              <w:t>分；</w:t>
            </w:r>
            <w:r>
              <w:rPr>
                <w:rFonts w:hint="eastAsia"/>
                <w:color w:val="auto"/>
                <w:highlight w:val="none"/>
                <w:lang w:val="en-US" w:eastAsia="zh-CN"/>
              </w:rPr>
              <w:t>全国范围</w:t>
            </w:r>
            <w:r>
              <w:rPr>
                <w:rFonts w:hint="eastAsia"/>
                <w:color w:val="auto"/>
                <w:highlight w:val="none"/>
              </w:rPr>
              <w:t>C级证书计</w:t>
            </w:r>
            <w:r>
              <w:rPr>
                <w:rFonts w:hint="eastAsia"/>
                <w:color w:val="auto"/>
                <w:highlight w:val="none"/>
                <w:lang w:val="en-US" w:eastAsia="zh-CN"/>
              </w:rPr>
              <w:t>10</w:t>
            </w:r>
            <w:r>
              <w:rPr>
                <w:rFonts w:hint="eastAsia"/>
                <w:color w:val="auto"/>
                <w:highlight w:val="none"/>
              </w:rPr>
              <w:t>分。（提供证书原件扫描件并加盖投标人公章，否则不计分）</w:t>
            </w:r>
          </w:p>
          <w:p w14:paraId="66A9A57A">
            <w:pPr>
              <w:rPr>
                <w:rFonts w:hint="eastAsia"/>
                <w:color w:val="auto"/>
                <w:highlight w:val="none"/>
                <w:lang w:val="en-US" w:eastAsia="zh-CN"/>
              </w:rPr>
            </w:pPr>
          </w:p>
          <w:p w14:paraId="2CE8C331">
            <w:pPr>
              <w:rPr>
                <w:rFonts w:hint="default"/>
                <w:color w:val="auto"/>
                <w:highlight w:val="none"/>
                <w:lang w:val="en-US" w:eastAsia="zh-CN"/>
              </w:rPr>
            </w:pPr>
            <w:r>
              <w:rPr>
                <w:rFonts w:hint="eastAsia"/>
                <w:color w:val="auto"/>
                <w:highlight w:val="none"/>
                <w:lang w:val="en-US" w:eastAsia="zh-CN"/>
              </w:rPr>
              <w:t>3、</w:t>
            </w:r>
            <w:r>
              <w:rPr>
                <w:rFonts w:hint="eastAsia"/>
                <w:color w:val="auto"/>
                <w:highlight w:val="none"/>
              </w:rPr>
              <w:t>投标人2021-202</w:t>
            </w:r>
            <w:r>
              <w:rPr>
                <w:rFonts w:hint="eastAsia"/>
                <w:color w:val="auto"/>
                <w:highlight w:val="none"/>
                <w:lang w:val="en-US" w:eastAsia="zh-CN"/>
              </w:rPr>
              <w:t>5</w:t>
            </w:r>
            <w:r>
              <w:rPr>
                <w:rFonts w:hint="eastAsia"/>
                <w:color w:val="auto"/>
                <w:highlight w:val="none"/>
              </w:rPr>
              <w:t>年内</w:t>
            </w:r>
            <w:r>
              <w:rPr>
                <w:rFonts w:hint="eastAsia"/>
                <w:color w:val="auto"/>
                <w:highlight w:val="none"/>
                <w:lang w:val="en-US" w:eastAsia="zh-CN"/>
              </w:rPr>
              <w:t>投标人在害虫防治领域</w:t>
            </w:r>
            <w:r>
              <w:rPr>
                <w:rFonts w:hint="eastAsia"/>
                <w:color w:val="auto"/>
                <w:highlight w:val="none"/>
              </w:rPr>
              <w:t>获得</w:t>
            </w:r>
            <w:r>
              <w:rPr>
                <w:rFonts w:hint="eastAsia"/>
                <w:color w:val="auto"/>
                <w:highlight w:val="none"/>
                <w:lang w:val="en-US" w:eastAsia="zh-CN"/>
              </w:rPr>
              <w:t>过省级及以上政府部门或住建、水利、国家级协会颁发的白蚁防治相关荣誉的予以加分。其中国家级荣誉的计5分；省部级/全国性行业协会荣誉的计3分</w:t>
            </w:r>
            <w:r>
              <w:rPr>
                <w:rFonts w:hint="eastAsia"/>
                <w:color w:val="auto"/>
                <w:highlight w:val="none"/>
                <w:lang w:eastAsia="zh-CN"/>
              </w:rPr>
              <w:t>。</w:t>
            </w:r>
            <w:r>
              <w:rPr>
                <w:rFonts w:hint="eastAsia"/>
                <w:color w:val="auto"/>
                <w:highlight w:val="none"/>
                <w:lang w:val="en-US" w:eastAsia="zh-CN"/>
              </w:rPr>
              <w:t>本项满分5分。</w:t>
            </w:r>
          </w:p>
          <w:p w14:paraId="7CBE745E">
            <w:pPr>
              <w:rPr>
                <w:rFonts w:hint="eastAsia"/>
                <w:color w:val="auto"/>
                <w:highlight w:val="none"/>
                <w:lang w:val="en-US" w:eastAsia="zh-CN"/>
              </w:rPr>
            </w:pPr>
            <w:r>
              <w:rPr>
                <w:rFonts w:hint="eastAsia"/>
                <w:color w:val="auto"/>
                <w:highlight w:val="none"/>
                <w:lang w:eastAsia="zh-CN"/>
              </w:rPr>
              <w:t>（</w:t>
            </w:r>
            <w:r>
              <w:rPr>
                <w:rFonts w:hint="eastAsia"/>
                <w:color w:val="auto"/>
                <w:highlight w:val="none"/>
              </w:rPr>
              <w:t>注：提供获奖证明文件或荣誉证书扫描件并加盖投标人公章，否则不计分。</w:t>
            </w:r>
          </w:p>
        </w:tc>
      </w:tr>
      <w:tr w14:paraId="76967A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4" w:hRule="atLeast"/>
          <w:jc w:val="center"/>
        </w:trPr>
        <w:tc>
          <w:tcPr>
            <w:tcW w:w="529" w:type="dxa"/>
            <w:vMerge w:val="continue"/>
            <w:tcBorders>
              <w:right w:val="single" w:color="auto" w:sz="4" w:space="0"/>
            </w:tcBorders>
            <w:noWrap w:val="0"/>
            <w:vAlign w:val="center"/>
          </w:tcPr>
          <w:p w14:paraId="1B77D9EA">
            <w:pPr>
              <w:pStyle w:val="52"/>
              <w:jc w:val="left"/>
              <w:rPr>
                <w:rFonts w:hint="eastAsia" w:ascii="宋体" w:hAnsi="宋体" w:eastAsia="宋体" w:cs="宋体"/>
                <w:color w:val="auto"/>
                <w:sz w:val="21"/>
                <w:szCs w:val="21"/>
                <w:highlight w:val="none"/>
              </w:rPr>
            </w:pPr>
          </w:p>
        </w:tc>
        <w:tc>
          <w:tcPr>
            <w:tcW w:w="1134" w:type="dxa"/>
            <w:vMerge w:val="continue"/>
            <w:tcBorders>
              <w:left w:val="single" w:color="auto" w:sz="4" w:space="0"/>
            </w:tcBorders>
            <w:noWrap w:val="0"/>
            <w:vAlign w:val="center"/>
          </w:tcPr>
          <w:p w14:paraId="08BBC4CF">
            <w:pPr>
              <w:pStyle w:val="52"/>
              <w:jc w:val="left"/>
              <w:rPr>
                <w:rFonts w:hint="eastAsia" w:ascii="宋体" w:hAnsi="宋体" w:eastAsia="宋体" w:cs="宋体"/>
                <w:color w:val="auto"/>
                <w:sz w:val="21"/>
                <w:szCs w:val="21"/>
                <w:highlight w:val="none"/>
                <w:lang w:val="en-US" w:eastAsia="zh-CN"/>
              </w:rPr>
            </w:pPr>
          </w:p>
        </w:tc>
        <w:tc>
          <w:tcPr>
            <w:tcW w:w="1288" w:type="dxa"/>
            <w:noWrap w:val="0"/>
            <w:vAlign w:val="center"/>
          </w:tcPr>
          <w:p w14:paraId="199E9B86">
            <w:pPr>
              <w:rPr>
                <w:rFonts w:hint="eastAsia"/>
                <w:color w:val="auto"/>
                <w:highlight w:val="none"/>
                <w:lang w:val="en-US" w:eastAsia="zh-CN"/>
              </w:rPr>
            </w:pPr>
            <w:r>
              <w:rPr>
                <w:rFonts w:hint="eastAsia"/>
                <w:color w:val="auto"/>
                <w:highlight w:val="none"/>
                <w:lang w:val="en-US" w:eastAsia="zh-CN"/>
              </w:rPr>
              <w:t>人员配备</w:t>
            </w:r>
          </w:p>
          <w:p w14:paraId="6BF9CACA">
            <w:pPr>
              <w:rPr>
                <w:rFonts w:hint="default"/>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30</w:t>
            </w:r>
            <w:r>
              <w:rPr>
                <w:rFonts w:hint="default"/>
                <w:color w:val="auto"/>
                <w:highlight w:val="none"/>
                <w:lang w:val="en-US" w:eastAsia="zh-CN"/>
              </w:rPr>
              <w:t>分）</w:t>
            </w:r>
          </w:p>
        </w:tc>
        <w:tc>
          <w:tcPr>
            <w:tcW w:w="6527" w:type="dxa"/>
            <w:noWrap w:val="0"/>
            <w:vAlign w:val="center"/>
          </w:tcPr>
          <w:p w14:paraId="465822B9">
            <w:pPr>
              <w:rPr>
                <w:rFonts w:hint="default"/>
                <w:color w:val="auto"/>
                <w:highlight w:val="none"/>
                <w:lang w:val="en-US" w:eastAsia="zh-CN"/>
              </w:rPr>
            </w:pPr>
            <w:r>
              <w:rPr>
                <w:rFonts w:hint="eastAsia"/>
                <w:color w:val="auto"/>
                <w:highlight w:val="none"/>
              </w:rPr>
              <w:t>项目部成员具备人力资源和社会保障部颁发</w:t>
            </w:r>
            <w:r>
              <w:rPr>
                <w:rFonts w:hint="eastAsia"/>
                <w:color w:val="auto"/>
                <w:highlight w:val="none"/>
                <w:lang w:val="en-US" w:eastAsia="zh-CN"/>
              </w:rPr>
              <w:t>的有害生物防制员职业资格证书</w:t>
            </w:r>
            <w:r>
              <w:rPr>
                <w:rFonts w:hint="eastAsia"/>
                <w:color w:val="auto"/>
                <w:highlight w:val="none"/>
              </w:rPr>
              <w:t>或取得人社部门授权的有关机构颁发的有害生物防制员职业技能等级证书的</w:t>
            </w:r>
            <w:r>
              <w:rPr>
                <w:rFonts w:hint="eastAsia"/>
                <w:color w:val="auto"/>
                <w:highlight w:val="none"/>
                <w:lang w:val="en-US" w:eastAsia="zh-CN"/>
              </w:rPr>
              <w:t>计6分</w:t>
            </w:r>
            <w:r>
              <w:rPr>
                <w:rFonts w:hint="eastAsia"/>
                <w:color w:val="auto"/>
                <w:highlight w:val="none"/>
                <w:lang w:eastAsia="zh-CN"/>
              </w:rPr>
              <w:t>，</w:t>
            </w:r>
            <w:r>
              <w:rPr>
                <w:rFonts w:hint="eastAsia"/>
                <w:color w:val="auto"/>
                <w:highlight w:val="none"/>
                <w:lang w:val="en-US" w:eastAsia="zh-CN"/>
              </w:rPr>
              <w:t>最多计30</w:t>
            </w:r>
            <w:r>
              <w:rPr>
                <w:rFonts w:hint="eastAsia"/>
                <w:color w:val="auto"/>
                <w:highlight w:val="none"/>
              </w:rPr>
              <w:t>分</w:t>
            </w:r>
            <w:r>
              <w:rPr>
                <w:rFonts w:hint="eastAsia"/>
                <w:color w:val="auto"/>
                <w:highlight w:val="none"/>
                <w:lang w:val="en-US" w:eastAsia="zh-CN"/>
              </w:rPr>
              <w:t>。</w:t>
            </w:r>
          </w:p>
          <w:p w14:paraId="533B19B6">
            <w:pPr>
              <w:rPr>
                <w:rFonts w:hint="eastAsia"/>
                <w:color w:val="auto"/>
                <w:highlight w:val="none"/>
                <w:lang w:val="en-US" w:eastAsia="zh-CN"/>
              </w:rPr>
            </w:pPr>
            <w:r>
              <w:rPr>
                <w:rFonts w:hint="eastAsia"/>
                <w:color w:val="auto"/>
                <w:highlight w:val="none"/>
                <w:lang w:val="en-US" w:eastAsia="zh-CN"/>
              </w:rPr>
              <w:t>（需提供职业资格证书或职业技能等级证书原件扫描件及本人在投标单位连续三个月社保缴纳证明材料（指2025年2月-2025年7月任意连续三个月），均需加盖供应商单位公章，否则不计分)。</w:t>
            </w:r>
          </w:p>
          <w:p w14:paraId="7ACD9655">
            <w:pPr>
              <w:rPr>
                <w:rFonts w:hint="eastAsia"/>
                <w:color w:val="auto"/>
                <w:highlight w:val="none"/>
                <w:lang w:val="en-US" w:eastAsia="zh-CN"/>
              </w:rPr>
            </w:pPr>
            <w:r>
              <w:rPr>
                <w:rFonts w:hint="eastAsia"/>
                <w:color w:val="auto"/>
                <w:highlight w:val="none"/>
                <w:lang w:val="en-US" w:eastAsia="zh-CN"/>
              </w:rPr>
              <w:t>备注：提供的有害生物防制员职业资格证书或有害生物防制员职业技能等级证书，请供应商在技能人才评价证书全国联网查询系统（http://zscx.osta.org.cn/）中查询打印基本信息和证书信息作为证书证明材料。（证书和证明材料须都加盖供应商单位公章，否则不计分；同时，证书证明材料、证书及社保缴纳证明材料一并提供，任缺一项均不计分）</w:t>
            </w:r>
          </w:p>
        </w:tc>
      </w:tr>
      <w:tr w14:paraId="3AA761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00" w:hRule="atLeast"/>
          <w:jc w:val="center"/>
        </w:trPr>
        <w:tc>
          <w:tcPr>
            <w:tcW w:w="529" w:type="dxa"/>
            <w:tcBorders>
              <w:right w:val="single" w:color="auto" w:sz="4" w:space="0"/>
            </w:tcBorders>
            <w:noWrap w:val="0"/>
            <w:vAlign w:val="center"/>
          </w:tcPr>
          <w:p w14:paraId="24AA85F5">
            <w:pPr>
              <w:pStyle w:val="52"/>
              <w:jc w:val="left"/>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1E965621">
            <w:pPr>
              <w:pStyle w:val="52"/>
              <w:jc w:val="left"/>
              <w:rPr>
                <w:rFonts w:hint="eastAsia" w:ascii="宋体" w:hAnsi="宋体" w:eastAsia="宋体" w:cs="宋体"/>
                <w:color w:val="auto"/>
                <w:sz w:val="21"/>
                <w:szCs w:val="21"/>
                <w:highlight w:val="none"/>
                <w:lang w:val="en-US" w:eastAsia="zh-CN"/>
              </w:rPr>
            </w:pPr>
          </w:p>
        </w:tc>
        <w:tc>
          <w:tcPr>
            <w:tcW w:w="1288" w:type="dxa"/>
            <w:noWrap w:val="0"/>
            <w:vAlign w:val="center"/>
          </w:tcPr>
          <w:p w14:paraId="6CB20F5B">
            <w:pPr>
              <w:rPr>
                <w:rFonts w:hint="eastAsia"/>
                <w:color w:val="auto"/>
                <w:highlight w:val="none"/>
                <w:lang w:val="en-US" w:eastAsia="zh-CN"/>
              </w:rPr>
            </w:pPr>
            <w:r>
              <w:rPr>
                <w:rFonts w:hint="eastAsia"/>
                <w:color w:val="auto"/>
                <w:highlight w:val="none"/>
                <w:lang w:val="en-US" w:eastAsia="zh-CN"/>
              </w:rPr>
              <w:t>类似业绩</w:t>
            </w:r>
          </w:p>
          <w:p w14:paraId="32E3776D">
            <w:pPr>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30分</w:t>
            </w:r>
            <w:r>
              <w:rPr>
                <w:rFonts w:hint="eastAsia"/>
                <w:color w:val="auto"/>
                <w:highlight w:val="none"/>
                <w:lang w:eastAsia="zh-CN"/>
              </w:rPr>
              <w:t>）</w:t>
            </w:r>
          </w:p>
        </w:tc>
        <w:tc>
          <w:tcPr>
            <w:tcW w:w="6527" w:type="dxa"/>
            <w:noWrap w:val="0"/>
            <w:vAlign w:val="center"/>
          </w:tcPr>
          <w:p w14:paraId="51EB6407">
            <w:pPr>
              <w:rPr>
                <w:rFonts w:hint="eastAsia"/>
                <w:color w:val="auto"/>
                <w:highlight w:val="none"/>
                <w:lang w:val="en-US" w:eastAsia="zh-CN"/>
              </w:rPr>
            </w:pPr>
            <w:r>
              <w:rPr>
                <w:rFonts w:hint="eastAsia"/>
                <w:color w:val="auto"/>
                <w:highlight w:val="none"/>
              </w:rPr>
              <w:t>投标人</w:t>
            </w:r>
            <w:r>
              <w:rPr>
                <w:rFonts w:hint="eastAsia"/>
                <w:color w:val="auto"/>
                <w:highlight w:val="none"/>
                <w:lang w:val="en-US" w:eastAsia="zh-CN"/>
              </w:rPr>
              <w:t>提供</w:t>
            </w:r>
            <w:r>
              <w:rPr>
                <w:rFonts w:hint="eastAsia"/>
                <w:color w:val="auto"/>
                <w:highlight w:val="none"/>
              </w:rPr>
              <w:t>近三年（202</w:t>
            </w:r>
            <w:r>
              <w:rPr>
                <w:rFonts w:hint="eastAsia"/>
                <w:color w:val="auto"/>
                <w:highlight w:val="none"/>
                <w:lang w:val="en-US" w:eastAsia="zh-CN"/>
              </w:rPr>
              <w:t>2</w:t>
            </w:r>
            <w:r>
              <w:rPr>
                <w:rFonts w:hint="eastAsia"/>
                <w:color w:val="auto"/>
                <w:highlight w:val="none"/>
              </w:rPr>
              <w:t>年</w:t>
            </w:r>
            <w:r>
              <w:rPr>
                <w:rFonts w:hint="eastAsia"/>
                <w:color w:val="auto"/>
                <w:highlight w:val="none"/>
                <w:lang w:val="en-US" w:eastAsia="zh-CN"/>
              </w:rPr>
              <w:t>7</w:t>
            </w:r>
            <w:r>
              <w:rPr>
                <w:rFonts w:hint="eastAsia"/>
                <w:color w:val="auto"/>
                <w:highlight w:val="none"/>
              </w:rPr>
              <w:t>月以来至投标截止时间止）</w:t>
            </w:r>
            <w:r>
              <w:rPr>
                <w:rFonts w:hint="eastAsia"/>
                <w:color w:val="auto"/>
                <w:highlight w:val="none"/>
                <w:lang w:val="en-US" w:eastAsia="zh-CN"/>
              </w:rPr>
              <w:t>类似</w:t>
            </w:r>
            <w:r>
              <w:rPr>
                <w:rFonts w:hint="eastAsia"/>
                <w:color w:val="auto"/>
                <w:highlight w:val="none"/>
              </w:rPr>
              <w:t>(水库</w:t>
            </w:r>
            <w:r>
              <w:rPr>
                <w:rFonts w:hint="eastAsia"/>
                <w:color w:val="auto"/>
                <w:highlight w:val="none"/>
                <w:lang w:val="en-US" w:eastAsia="zh-CN"/>
              </w:rPr>
              <w:t>或</w:t>
            </w:r>
            <w:r>
              <w:rPr>
                <w:rFonts w:hint="eastAsia"/>
                <w:color w:val="auto"/>
                <w:highlight w:val="none"/>
              </w:rPr>
              <w:t>堤防</w:t>
            </w:r>
            <w:r>
              <w:rPr>
                <w:rFonts w:hint="eastAsia"/>
                <w:color w:val="auto"/>
                <w:highlight w:val="none"/>
                <w:lang w:eastAsia="zh-CN"/>
              </w:rPr>
              <w:t>）</w:t>
            </w:r>
            <w:r>
              <w:rPr>
                <w:rFonts w:hint="eastAsia"/>
                <w:color w:val="auto"/>
                <w:highlight w:val="none"/>
              </w:rPr>
              <w:t>白蚁防治</w:t>
            </w:r>
            <w:r>
              <w:rPr>
                <w:rFonts w:hint="eastAsia"/>
                <w:color w:val="auto"/>
                <w:highlight w:val="none"/>
                <w:lang w:val="en-US" w:eastAsia="zh-CN"/>
              </w:rPr>
              <w:t>项目</w:t>
            </w:r>
            <w:r>
              <w:rPr>
                <w:rFonts w:hint="eastAsia"/>
                <w:color w:val="auto"/>
                <w:highlight w:val="none"/>
              </w:rPr>
              <w:t>业绩</w:t>
            </w:r>
            <w:r>
              <w:rPr>
                <w:rFonts w:hint="eastAsia"/>
                <w:color w:val="auto"/>
                <w:highlight w:val="none"/>
                <w:lang w:val="en-US" w:eastAsia="zh-CN"/>
              </w:rPr>
              <w:t>的</w:t>
            </w:r>
            <w:r>
              <w:rPr>
                <w:rFonts w:hint="eastAsia"/>
                <w:color w:val="auto"/>
                <w:highlight w:val="none"/>
              </w:rPr>
              <w:t>，每</w:t>
            </w:r>
            <w:r>
              <w:rPr>
                <w:rFonts w:hint="eastAsia"/>
                <w:color w:val="auto"/>
                <w:highlight w:val="none"/>
                <w:lang w:val="en-US" w:eastAsia="zh-CN"/>
              </w:rPr>
              <w:t>提供1</w:t>
            </w:r>
            <w:r>
              <w:rPr>
                <w:rFonts w:hint="eastAsia"/>
                <w:color w:val="auto"/>
                <w:highlight w:val="none"/>
              </w:rPr>
              <w:t>个计</w:t>
            </w:r>
            <w:r>
              <w:rPr>
                <w:rFonts w:hint="eastAsia"/>
                <w:color w:val="auto"/>
                <w:highlight w:val="none"/>
                <w:lang w:val="en-US" w:eastAsia="zh-CN"/>
              </w:rPr>
              <w:t>15</w:t>
            </w:r>
            <w:r>
              <w:rPr>
                <w:rFonts w:hint="eastAsia"/>
                <w:color w:val="auto"/>
                <w:highlight w:val="none"/>
              </w:rPr>
              <w:t>分，计满</w:t>
            </w:r>
            <w:r>
              <w:rPr>
                <w:rFonts w:hint="eastAsia"/>
                <w:color w:val="auto"/>
                <w:highlight w:val="none"/>
                <w:lang w:val="en-US" w:eastAsia="zh-CN"/>
              </w:rPr>
              <w:t>30</w:t>
            </w:r>
            <w:r>
              <w:rPr>
                <w:rFonts w:hint="eastAsia"/>
                <w:color w:val="auto"/>
                <w:highlight w:val="none"/>
              </w:rPr>
              <w:t>分为止（提供中标</w:t>
            </w:r>
            <w:r>
              <w:rPr>
                <w:rFonts w:hint="eastAsia"/>
                <w:color w:val="auto"/>
                <w:highlight w:val="none"/>
                <w:lang w:eastAsia="zh-CN"/>
              </w:rPr>
              <w:t>（</w:t>
            </w:r>
            <w:r>
              <w:rPr>
                <w:rFonts w:hint="eastAsia"/>
                <w:color w:val="auto"/>
                <w:highlight w:val="none"/>
                <w:lang w:val="en-US" w:eastAsia="zh-CN"/>
              </w:rPr>
              <w:t>成交</w:t>
            </w:r>
            <w:r>
              <w:rPr>
                <w:rFonts w:hint="eastAsia"/>
                <w:color w:val="auto"/>
                <w:highlight w:val="none"/>
                <w:lang w:eastAsia="zh-CN"/>
              </w:rPr>
              <w:t>）</w:t>
            </w:r>
            <w:r>
              <w:rPr>
                <w:rFonts w:hint="eastAsia"/>
                <w:color w:val="auto"/>
                <w:highlight w:val="none"/>
              </w:rPr>
              <w:t>通知书</w:t>
            </w:r>
            <w:r>
              <w:rPr>
                <w:rFonts w:hint="eastAsia"/>
                <w:color w:val="auto"/>
                <w:highlight w:val="none"/>
                <w:lang w:val="en-US" w:eastAsia="zh-CN"/>
              </w:rPr>
              <w:t>和</w:t>
            </w:r>
            <w:r>
              <w:rPr>
                <w:rFonts w:hint="eastAsia"/>
                <w:color w:val="auto"/>
                <w:highlight w:val="none"/>
              </w:rPr>
              <w:t>合同原件扫描件并加盖</w:t>
            </w:r>
            <w:r>
              <w:rPr>
                <w:rFonts w:hint="eastAsia"/>
                <w:color w:val="auto"/>
                <w:highlight w:val="none"/>
                <w:lang w:val="en-US" w:eastAsia="zh-CN"/>
              </w:rPr>
              <w:t>供应商</w:t>
            </w:r>
            <w:r>
              <w:rPr>
                <w:rFonts w:hint="eastAsia"/>
                <w:color w:val="auto"/>
                <w:highlight w:val="none"/>
              </w:rPr>
              <w:t>公章，否则不计分）。</w:t>
            </w:r>
          </w:p>
        </w:tc>
      </w:tr>
      <w:tr w14:paraId="6C5819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0" w:hRule="atLeast"/>
          <w:jc w:val="center"/>
        </w:trPr>
        <w:tc>
          <w:tcPr>
            <w:tcW w:w="529" w:type="dxa"/>
            <w:tcBorders>
              <w:right w:val="single" w:color="auto" w:sz="4" w:space="0"/>
            </w:tcBorders>
            <w:noWrap w:val="0"/>
            <w:vAlign w:val="center"/>
          </w:tcPr>
          <w:p w14:paraId="79DF68DA">
            <w:pPr>
              <w:pStyle w:val="52"/>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p>
        </w:tc>
        <w:tc>
          <w:tcPr>
            <w:tcW w:w="1134" w:type="dxa"/>
            <w:tcBorders>
              <w:left w:val="single" w:color="auto" w:sz="4" w:space="0"/>
            </w:tcBorders>
            <w:noWrap w:val="0"/>
            <w:vAlign w:val="center"/>
          </w:tcPr>
          <w:p w14:paraId="7E488BB5">
            <w:pPr>
              <w:pStyle w:val="52"/>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18"/>
                <w:szCs w:val="18"/>
                <w:highlight w:val="none"/>
                <w:lang w:eastAsia="zh-CN"/>
              </w:rPr>
              <w:t>优先采购加分（F优先采购加分）</w:t>
            </w:r>
          </w:p>
        </w:tc>
        <w:tc>
          <w:tcPr>
            <w:tcW w:w="7815" w:type="dxa"/>
            <w:gridSpan w:val="2"/>
            <w:tcBorders>
              <w:bottom w:val="single" w:color="auto" w:sz="4" w:space="0"/>
            </w:tcBorders>
            <w:noWrap w:val="0"/>
            <w:vAlign w:val="center"/>
          </w:tcPr>
          <w:p w14:paraId="59EF819F">
            <w:pPr>
              <w:pStyle w:val="52"/>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r>
      <w:tr w14:paraId="7D7906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529" w:type="dxa"/>
            <w:tcBorders>
              <w:right w:val="single" w:color="auto" w:sz="4" w:space="0"/>
            </w:tcBorders>
            <w:noWrap w:val="0"/>
            <w:vAlign w:val="center"/>
          </w:tcPr>
          <w:p w14:paraId="5A759103">
            <w:pPr>
              <w:pStyle w:val="52"/>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p>
        </w:tc>
        <w:tc>
          <w:tcPr>
            <w:tcW w:w="8949" w:type="dxa"/>
            <w:gridSpan w:val="3"/>
            <w:tcBorders>
              <w:left w:val="single" w:color="auto" w:sz="4" w:space="0"/>
            </w:tcBorders>
            <w:noWrap w:val="0"/>
            <w:vAlign w:val="center"/>
          </w:tcPr>
          <w:p w14:paraId="538DF606">
            <w:pPr>
              <w:pStyle w:val="52"/>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F3=F+ F优先采购加分</w:t>
            </w:r>
          </w:p>
        </w:tc>
      </w:tr>
    </w:tbl>
    <w:p w14:paraId="6B327EA1">
      <w:pPr>
        <w:pStyle w:val="52"/>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注：</w:t>
      </w:r>
    </w:p>
    <w:p w14:paraId="5B793242">
      <w:pPr>
        <w:pStyle w:val="52"/>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（1）评分依据评审标准，对照投标文件进行。</w:t>
      </w:r>
    </w:p>
    <w:p w14:paraId="4056C7F6">
      <w:pPr>
        <w:pStyle w:val="52"/>
        <w:jc w:val="left"/>
        <w:rPr>
          <w:rFonts w:ascii="仿宋" w:hAnsi="仿宋" w:eastAsia="仿宋" w:cs="仿宋"/>
          <w:color w:val="auto"/>
          <w:sz w:val="21"/>
          <w:szCs w:val="21"/>
          <w:highlight w:val="none"/>
        </w:rPr>
      </w:pPr>
      <w:r>
        <w:rPr>
          <w:rFonts w:hint="eastAsia" w:ascii="仿宋" w:hAnsi="仿宋" w:eastAsia="仿宋" w:cs="仿宋"/>
          <w:color w:val="auto"/>
          <w:sz w:val="20"/>
          <w:szCs w:val="20"/>
          <w:highlight w:val="none"/>
          <w:lang w:eastAsia="zh-CN"/>
        </w:rPr>
        <w:t>（2）投标人参与政府采购应提供真实有效的证明材料，应当诚信守法、公平竞争。如有以提供虚假材料（包括但不限于虚假技术参数响应、虚假制造商产品彩页、虚假业绩、虚假证书等）、隐瞒失信信息等谋取中标的行为，一经发现，将报行政监管部门严肃查处。</w:t>
      </w:r>
    </w:p>
    <w:p w14:paraId="4F130F75">
      <w:pPr>
        <w:pStyle w:val="4"/>
        <w:keepNext w:val="0"/>
        <w:adjustRightInd w:val="0"/>
        <w:snapToGrid w:val="0"/>
        <w:spacing w:before="156" w:beforeLines="50" w:line="360" w:lineRule="auto"/>
        <w:rPr>
          <w:rFonts w:ascii="黑体" w:hAnsi="华文中宋" w:eastAsia="黑体"/>
          <w:color w:val="auto"/>
          <w:sz w:val="32"/>
          <w:szCs w:val="32"/>
          <w:highlight w:val="none"/>
        </w:rPr>
      </w:pPr>
      <w:r>
        <w:rPr>
          <w:rFonts w:hint="eastAsia" w:ascii="黑体" w:hAnsi="华文中宋" w:eastAsia="黑体"/>
          <w:color w:val="auto"/>
          <w:sz w:val="32"/>
          <w:szCs w:val="32"/>
          <w:highlight w:val="none"/>
        </w:rPr>
        <w:br w:type="page"/>
      </w:r>
      <w:bookmarkStart w:id="48" w:name="_Toc6253"/>
      <w:r>
        <w:rPr>
          <w:rFonts w:hint="eastAsia" w:ascii="黑体" w:hAnsi="华文中宋" w:eastAsia="黑体"/>
          <w:color w:val="auto"/>
          <w:sz w:val="32"/>
          <w:szCs w:val="32"/>
          <w:highlight w:val="none"/>
        </w:rPr>
        <w:t>第五章 采购需求</w:t>
      </w:r>
      <w:bookmarkEnd w:id="48"/>
    </w:p>
    <w:p w14:paraId="7EB47779">
      <w:pPr>
        <w:pStyle w:val="5"/>
        <w:adjustRightInd w:val="0"/>
        <w:snapToGrid w:val="0"/>
        <w:spacing w:before="156" w:beforeLines="50"/>
        <w:jc w:val="center"/>
        <w:rPr>
          <w:rFonts w:hint="eastAsia" w:ascii="黑体" w:hAnsi="黑体" w:eastAsia="黑体" w:cs="Times New Roman"/>
          <w:color w:val="auto"/>
          <w:sz w:val="28"/>
          <w:szCs w:val="28"/>
          <w:highlight w:val="none"/>
        </w:rPr>
      </w:pPr>
      <w:bookmarkStart w:id="49" w:name="_Toc16696"/>
      <w:r>
        <w:rPr>
          <w:rFonts w:hint="eastAsia" w:ascii="黑体" w:hAnsi="黑体" w:eastAsia="黑体" w:cs="Times New Roman"/>
          <w:color w:val="auto"/>
          <w:sz w:val="28"/>
          <w:szCs w:val="28"/>
          <w:highlight w:val="none"/>
        </w:rPr>
        <w:t>第一节 采购清单一览表</w:t>
      </w:r>
      <w:bookmarkEnd w:id="49"/>
    </w:p>
    <w:p w14:paraId="03CC5925">
      <w:pPr>
        <w:jc w:val="center"/>
        <w:rPr>
          <w:rFonts w:eastAsia="黑体"/>
          <w:color w:val="auto"/>
          <w:highlight w:val="none"/>
        </w:rPr>
      </w:pPr>
      <w:r>
        <w:rPr>
          <w:rFonts w:hint="eastAsia" w:ascii="黑体" w:hAnsi="黑体" w:eastAsia="黑体"/>
          <w:color w:val="auto"/>
          <w:sz w:val="28"/>
          <w:szCs w:val="28"/>
          <w:highlight w:val="none"/>
          <w:lang w:eastAsia="zh-CN"/>
        </w:rPr>
        <w:t>双峰县2024年度水库及堤防堤坝白蚁等害堤动物综合治理项目</w:t>
      </w:r>
    </w:p>
    <w:tbl>
      <w:tblPr>
        <w:tblStyle w:val="26"/>
        <w:tblW w:w="1005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1"/>
        <w:gridCol w:w="2115"/>
        <w:gridCol w:w="3428"/>
        <w:gridCol w:w="879"/>
        <w:gridCol w:w="1118"/>
        <w:gridCol w:w="1090"/>
        <w:gridCol w:w="1000"/>
      </w:tblGrid>
      <w:tr w14:paraId="20DB78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jc w:val="center"/>
        </w:trPr>
        <w:tc>
          <w:tcPr>
            <w:tcW w:w="421" w:type="dxa"/>
            <w:noWrap w:val="0"/>
            <w:vAlign w:val="center"/>
          </w:tcPr>
          <w:p w14:paraId="0F33D314">
            <w:pPr>
              <w:adjustRightInd w:val="0"/>
              <w:snapToGrid w:val="0"/>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包号</w:t>
            </w:r>
          </w:p>
        </w:tc>
        <w:tc>
          <w:tcPr>
            <w:tcW w:w="2115" w:type="dxa"/>
            <w:tcBorders>
              <w:left w:val="single" w:color="auto" w:sz="4" w:space="0"/>
            </w:tcBorders>
            <w:noWrap w:val="0"/>
            <w:vAlign w:val="center"/>
          </w:tcPr>
          <w:p w14:paraId="2A256365">
            <w:pPr>
              <w:adjustRightInd w:val="0"/>
              <w:snapToGrid w:val="0"/>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标的（包）名称</w:t>
            </w:r>
          </w:p>
        </w:tc>
        <w:tc>
          <w:tcPr>
            <w:tcW w:w="3428" w:type="dxa"/>
            <w:tcBorders>
              <w:left w:val="single" w:color="auto" w:sz="4" w:space="0"/>
            </w:tcBorders>
            <w:noWrap w:val="0"/>
            <w:vAlign w:val="center"/>
          </w:tcPr>
          <w:p w14:paraId="02BB1783">
            <w:pPr>
              <w:adjustRightInd w:val="0"/>
              <w:snapToGrid w:val="0"/>
              <w:jc w:val="center"/>
              <w:rPr>
                <w:rFonts w:ascii="宋体" w:hAnsi="宋体" w:eastAsia="宋体" w:cs="宋体"/>
                <w:color w:val="auto"/>
                <w:kern w:val="0"/>
                <w:szCs w:val="21"/>
                <w:highlight w:val="none"/>
              </w:rPr>
            </w:pPr>
            <w:r>
              <w:rPr>
                <w:rFonts w:hint="eastAsia" w:ascii="Times New Roman" w:hAnsi="Times New Roman" w:eastAsia="宋体" w:cs="Times New Roman"/>
                <w:color w:val="auto"/>
                <w:szCs w:val="21"/>
                <w:highlight w:val="none"/>
              </w:rPr>
              <w:t>简要技术要求</w:t>
            </w:r>
          </w:p>
        </w:tc>
        <w:tc>
          <w:tcPr>
            <w:tcW w:w="879" w:type="dxa"/>
            <w:noWrap w:val="0"/>
            <w:vAlign w:val="center"/>
          </w:tcPr>
          <w:p w14:paraId="51D0EAEB">
            <w:pPr>
              <w:adjustRightInd w:val="0"/>
              <w:snapToGrid w:val="0"/>
              <w:jc w:val="center"/>
              <w:rPr>
                <w:rFonts w:hint="eastAsia" w:ascii="宋体" w:hAnsi="宋体" w:eastAsia="宋体" w:cs="Times New Roman"/>
                <w:bCs/>
                <w:color w:val="auto"/>
                <w:szCs w:val="21"/>
                <w:highlight w:val="none"/>
                <w:lang w:val="en-US" w:eastAsia="zh-CN"/>
              </w:rPr>
            </w:pPr>
            <w:r>
              <w:rPr>
                <w:rFonts w:hint="eastAsia" w:ascii="宋体" w:hAnsi="宋体" w:eastAsia="宋体" w:cs="Times New Roman"/>
                <w:bCs/>
                <w:color w:val="auto"/>
                <w:szCs w:val="21"/>
                <w:highlight w:val="none"/>
                <w:lang w:val="en-US" w:eastAsia="zh-CN"/>
              </w:rPr>
              <w:t>服务期限</w:t>
            </w:r>
          </w:p>
        </w:tc>
        <w:tc>
          <w:tcPr>
            <w:tcW w:w="1118" w:type="dxa"/>
            <w:noWrap w:val="0"/>
            <w:vAlign w:val="center"/>
          </w:tcPr>
          <w:p w14:paraId="30768771">
            <w:pPr>
              <w:adjustRightInd w:val="0"/>
              <w:snapToGrid w:val="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rPr>
              <w:t>标的预算</w:t>
            </w:r>
          </w:p>
        </w:tc>
        <w:tc>
          <w:tcPr>
            <w:tcW w:w="1090" w:type="dxa"/>
            <w:noWrap w:val="0"/>
            <w:vAlign w:val="center"/>
          </w:tcPr>
          <w:p w14:paraId="1ED9ED5D">
            <w:pPr>
              <w:adjustRightInd w:val="0"/>
              <w:snapToGrid w:val="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Cs w:val="21"/>
                <w:highlight w:val="none"/>
              </w:rPr>
              <w:t>最高限价</w:t>
            </w:r>
          </w:p>
        </w:tc>
        <w:tc>
          <w:tcPr>
            <w:tcW w:w="1000" w:type="dxa"/>
            <w:noWrap w:val="0"/>
            <w:vAlign w:val="center"/>
          </w:tcPr>
          <w:p w14:paraId="235B5D79">
            <w:pPr>
              <w:adjustRightInd w:val="0"/>
              <w:snapToGrid w:val="0"/>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进口产品</w:t>
            </w:r>
          </w:p>
        </w:tc>
      </w:tr>
      <w:tr w14:paraId="2B6B5C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35" w:hRule="atLeast"/>
          <w:jc w:val="center"/>
        </w:trPr>
        <w:tc>
          <w:tcPr>
            <w:tcW w:w="421" w:type="dxa"/>
            <w:noWrap w:val="0"/>
            <w:vAlign w:val="center"/>
          </w:tcPr>
          <w:p w14:paraId="096AD521">
            <w:pPr>
              <w:adjustRightInd w:val="0"/>
              <w:snapToGrid w:val="0"/>
              <w:spacing w:before="156" w:beforeLines="50" w:line="360" w:lineRule="auto"/>
              <w:jc w:val="center"/>
              <w:rPr>
                <w:rFonts w:hint="eastAsia" w:ascii="Times New Roman" w:hAnsi="Times New Roman" w:eastAsia="宋体" w:cs="Times New Roman"/>
                <w:color w:val="auto"/>
                <w:sz w:val="20"/>
                <w:szCs w:val="20"/>
                <w:highlight w:val="none"/>
              </w:rPr>
            </w:pPr>
            <w:r>
              <w:rPr>
                <w:rFonts w:hint="eastAsia" w:ascii="Times New Roman" w:hAnsi="Times New Roman" w:eastAsia="宋体" w:cs="Times New Roman"/>
                <w:color w:val="auto"/>
                <w:sz w:val="20"/>
                <w:szCs w:val="20"/>
                <w:highlight w:val="none"/>
                <w:lang w:val="en-US" w:eastAsia="zh-CN"/>
              </w:rPr>
              <w:t>1</w:t>
            </w:r>
          </w:p>
          <w:p w14:paraId="1EA724BD">
            <w:pPr>
              <w:adjustRightInd w:val="0"/>
              <w:snapToGrid w:val="0"/>
              <w:spacing w:before="156" w:beforeLines="50" w:line="360" w:lineRule="auto"/>
              <w:jc w:val="center"/>
              <w:rPr>
                <w:rFonts w:hint="eastAsia" w:ascii="Times New Roman" w:hAnsi="Times New Roman" w:eastAsia="宋体" w:cs="Times New Roman"/>
                <w:color w:val="auto"/>
                <w:sz w:val="20"/>
                <w:szCs w:val="20"/>
                <w:highlight w:val="none"/>
                <w:lang w:eastAsia="zh-CN"/>
              </w:rPr>
            </w:pPr>
          </w:p>
        </w:tc>
        <w:tc>
          <w:tcPr>
            <w:tcW w:w="2115" w:type="dxa"/>
            <w:tcBorders>
              <w:left w:val="single" w:color="auto" w:sz="4" w:space="0"/>
            </w:tcBorders>
            <w:noWrap w:val="0"/>
            <w:vAlign w:val="top"/>
          </w:tcPr>
          <w:p w14:paraId="12EA4AB6">
            <w:pPr>
              <w:adjustRightInd w:val="0"/>
              <w:snapToGrid w:val="0"/>
              <w:spacing w:before="156" w:beforeLines="50" w:line="360" w:lineRule="auto"/>
              <w:rPr>
                <w:rFonts w:hint="eastAsia" w:ascii="Times New Roman" w:hAnsi="Times New Roman" w:eastAsia="宋体" w:cs="Times New Roman"/>
                <w:color w:val="auto"/>
                <w:sz w:val="20"/>
                <w:szCs w:val="20"/>
                <w:highlight w:val="none"/>
                <w:lang w:eastAsia="zh-CN"/>
              </w:rPr>
            </w:pPr>
            <w:r>
              <w:rPr>
                <w:rFonts w:hint="eastAsia" w:cs="Times New Roman"/>
                <w:color w:val="auto"/>
                <w:sz w:val="20"/>
                <w:szCs w:val="20"/>
                <w:highlight w:val="none"/>
                <w:lang w:eastAsia="zh-CN"/>
              </w:rPr>
              <w:t>双峰县2024年度水库及堤防堤坝白蚁等害堤动物综合治理项目</w:t>
            </w:r>
          </w:p>
        </w:tc>
        <w:tc>
          <w:tcPr>
            <w:tcW w:w="3428" w:type="dxa"/>
            <w:tcBorders>
              <w:left w:val="single" w:color="auto" w:sz="4" w:space="0"/>
            </w:tcBorders>
            <w:noWrap w:val="0"/>
            <w:vAlign w:val="top"/>
          </w:tcPr>
          <w:p w14:paraId="6AA14FB0">
            <w:pPr>
              <w:adjustRightInd w:val="0"/>
              <w:snapToGrid w:val="0"/>
              <w:spacing w:before="156" w:beforeLines="50" w:line="360" w:lineRule="auto"/>
              <w:rPr>
                <w:rFonts w:hint="eastAsia" w:ascii="Times New Roman" w:hAnsi="Times New Roman" w:eastAsia="宋体" w:cs="Times New Roman"/>
                <w:color w:val="auto"/>
                <w:sz w:val="20"/>
                <w:szCs w:val="20"/>
                <w:highlight w:val="none"/>
                <w:lang w:eastAsia="zh-CN"/>
              </w:rPr>
            </w:pPr>
            <w:r>
              <w:rPr>
                <w:rFonts w:hint="eastAsia" w:ascii="宋体" w:hAnsi="宋体" w:cs="Times New Roman"/>
                <w:color w:val="auto"/>
                <w:szCs w:val="21"/>
                <w:highlight w:val="none"/>
                <w:lang w:eastAsia="zh-CN"/>
              </w:rPr>
              <w:t>本项目为双峰县2024年水库及堤防堤坝白蚁等害堤动物综合治理项目，包含117座水库、53.8km堤防白蚁等害堤动物综合治理。</w:t>
            </w:r>
          </w:p>
        </w:tc>
        <w:tc>
          <w:tcPr>
            <w:tcW w:w="879" w:type="dxa"/>
            <w:noWrap w:val="0"/>
            <w:vAlign w:val="center"/>
          </w:tcPr>
          <w:p w14:paraId="1C80CB2C">
            <w:pPr>
              <w:adjustRightInd w:val="0"/>
              <w:snapToGrid w:val="0"/>
              <w:spacing w:before="156" w:beforeLines="50" w:line="360" w:lineRule="auto"/>
              <w:jc w:val="center"/>
              <w:rPr>
                <w:rFonts w:hint="default" w:ascii="Times New Roman" w:hAnsi="Times New Roman" w:eastAsia="宋体" w:cs="Times New Roman"/>
                <w:color w:val="auto"/>
                <w:sz w:val="20"/>
                <w:szCs w:val="20"/>
                <w:highlight w:val="none"/>
                <w:lang w:val="en-US" w:eastAsia="zh-CN"/>
              </w:rPr>
            </w:pPr>
            <w:r>
              <w:rPr>
                <w:rFonts w:hint="eastAsia" w:ascii="宋体" w:hAnsi="宋体" w:cs="Times New Roman"/>
                <w:color w:val="auto"/>
                <w:szCs w:val="21"/>
                <w:highlight w:val="none"/>
                <w:lang w:val="en-US" w:eastAsia="zh-CN"/>
              </w:rPr>
              <w:t>120日历天内。</w:t>
            </w:r>
          </w:p>
        </w:tc>
        <w:tc>
          <w:tcPr>
            <w:tcW w:w="1118" w:type="dxa"/>
            <w:noWrap w:val="0"/>
            <w:vAlign w:val="center"/>
          </w:tcPr>
          <w:p w14:paraId="5804DD84">
            <w:pPr>
              <w:adjustRightInd w:val="0"/>
              <w:snapToGrid w:val="0"/>
              <w:spacing w:before="156" w:beforeLines="50" w:line="360" w:lineRule="auto"/>
              <w:rPr>
                <w:rFonts w:hint="default" w:ascii="Times New Roman" w:hAnsi="Times New Roman" w:eastAsia="宋体" w:cs="Times New Roman"/>
                <w:color w:val="auto"/>
                <w:sz w:val="20"/>
                <w:szCs w:val="20"/>
                <w:highlight w:val="none"/>
                <w:lang w:val="en-US" w:eastAsia="zh-CN"/>
              </w:rPr>
            </w:pPr>
            <w:r>
              <w:rPr>
                <w:rFonts w:hint="eastAsia" w:ascii="宋体" w:hAnsi="宋体" w:cs="Times New Roman"/>
                <w:bCs/>
                <w:color w:val="auto"/>
                <w:szCs w:val="21"/>
                <w:highlight w:val="none"/>
                <w:u w:val="single"/>
                <w:lang w:eastAsia="zh-CN"/>
              </w:rPr>
              <w:t>2211580</w:t>
            </w:r>
            <w:r>
              <w:rPr>
                <w:rFonts w:hint="eastAsia" w:ascii="宋体" w:hAnsi="宋体" w:eastAsia="宋体" w:cs="Times New Roman"/>
                <w:bCs/>
                <w:color w:val="auto"/>
                <w:szCs w:val="21"/>
                <w:highlight w:val="none"/>
                <w:u w:val="single"/>
                <w:lang w:eastAsia="zh-CN"/>
              </w:rPr>
              <w:t>.00</w:t>
            </w:r>
            <w:r>
              <w:rPr>
                <w:rFonts w:hint="eastAsia" w:ascii="宋体" w:hAnsi="宋体" w:eastAsia="宋体" w:cs="Times New Roman"/>
                <w:bCs/>
                <w:color w:val="auto"/>
                <w:szCs w:val="21"/>
                <w:highlight w:val="none"/>
                <w:u w:val="single"/>
              </w:rPr>
              <w:t>元</w:t>
            </w:r>
          </w:p>
        </w:tc>
        <w:tc>
          <w:tcPr>
            <w:tcW w:w="1090" w:type="dxa"/>
            <w:noWrap w:val="0"/>
            <w:vAlign w:val="center"/>
          </w:tcPr>
          <w:p w14:paraId="6F8D6C62">
            <w:pPr>
              <w:adjustRightInd w:val="0"/>
              <w:snapToGrid w:val="0"/>
              <w:spacing w:before="156" w:beforeLines="50" w:line="360" w:lineRule="auto"/>
              <w:rPr>
                <w:rFonts w:hint="eastAsia" w:ascii="Times New Roman" w:hAnsi="Times New Roman" w:eastAsia="宋体" w:cs="Times New Roman"/>
                <w:color w:val="auto"/>
                <w:sz w:val="20"/>
                <w:szCs w:val="20"/>
                <w:highlight w:val="none"/>
                <w:lang w:eastAsia="zh-CN"/>
              </w:rPr>
            </w:pPr>
            <w:r>
              <w:rPr>
                <w:rFonts w:hint="eastAsia" w:ascii="宋体" w:hAnsi="宋体" w:cs="Times New Roman"/>
                <w:bCs/>
                <w:color w:val="auto"/>
                <w:szCs w:val="21"/>
                <w:highlight w:val="none"/>
                <w:u w:val="single"/>
                <w:lang w:eastAsia="zh-CN"/>
              </w:rPr>
              <w:t>2211580</w:t>
            </w:r>
            <w:r>
              <w:rPr>
                <w:rFonts w:hint="eastAsia" w:ascii="宋体" w:hAnsi="宋体" w:eastAsia="宋体" w:cs="Times New Roman"/>
                <w:bCs/>
                <w:color w:val="auto"/>
                <w:szCs w:val="21"/>
                <w:highlight w:val="none"/>
                <w:u w:val="single"/>
                <w:lang w:eastAsia="zh-CN"/>
              </w:rPr>
              <w:t>.00</w:t>
            </w:r>
            <w:r>
              <w:rPr>
                <w:rFonts w:hint="eastAsia" w:ascii="宋体" w:hAnsi="宋体" w:eastAsia="宋体" w:cs="Times New Roman"/>
                <w:bCs/>
                <w:color w:val="auto"/>
                <w:szCs w:val="21"/>
                <w:highlight w:val="none"/>
                <w:u w:val="single"/>
              </w:rPr>
              <w:t>元</w:t>
            </w:r>
          </w:p>
        </w:tc>
        <w:tc>
          <w:tcPr>
            <w:tcW w:w="1000" w:type="dxa"/>
            <w:noWrap w:val="0"/>
            <w:vAlign w:val="center"/>
          </w:tcPr>
          <w:p w14:paraId="24A41FFA">
            <w:pPr>
              <w:adjustRightInd w:val="0"/>
              <w:snapToGrid w:val="0"/>
              <w:spacing w:before="156" w:beforeLines="50" w:line="360" w:lineRule="auto"/>
              <w:jc w:val="center"/>
              <w:rPr>
                <w:rFonts w:hint="eastAsia" w:ascii="Times New Roman" w:hAnsi="Times New Roman" w:eastAsia="宋体" w:cs="Times New Roman"/>
                <w:color w:val="auto"/>
                <w:sz w:val="20"/>
                <w:szCs w:val="20"/>
                <w:highlight w:val="none"/>
                <w:lang w:eastAsia="zh-CN"/>
              </w:rPr>
            </w:pPr>
            <w:r>
              <w:rPr>
                <w:rFonts w:hint="eastAsia" w:ascii="Times New Roman" w:hAnsi="Times New Roman" w:eastAsia="宋体" w:cs="Times New Roman"/>
                <w:color w:val="auto"/>
                <w:szCs w:val="21"/>
                <w:highlight w:val="none"/>
              </w:rPr>
              <w:t>否</w:t>
            </w:r>
          </w:p>
        </w:tc>
      </w:tr>
    </w:tbl>
    <w:p w14:paraId="66FD4D05">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注：1.“包”为最小合同单位（最小投标单位）。每“包”内容应细化到具体标的。</w:t>
      </w:r>
    </w:p>
    <w:p w14:paraId="0D62D5C6">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2.投标人必须对一个完整、独立的包进行投标，不得仅对一个包中的部分标的投标，否则</w:t>
      </w:r>
      <w:r>
        <w:rPr>
          <w:rFonts w:hint="eastAsia" w:ascii="宋体" w:hAnsi="宋体"/>
          <w:b/>
          <w:color w:val="auto"/>
          <w:szCs w:val="21"/>
          <w:highlight w:val="none"/>
        </w:rPr>
        <w:t>投标无效。</w:t>
      </w:r>
    </w:p>
    <w:p w14:paraId="7F783C60">
      <w:pPr>
        <w:adjustRightInd w:val="0"/>
        <w:snapToGrid w:val="0"/>
        <w:spacing w:before="156" w:beforeLines="50" w:line="360" w:lineRule="auto"/>
        <w:ind w:firstLine="420" w:firstLineChars="200"/>
        <w:rPr>
          <w:rFonts w:ascii="宋体" w:hAnsi="宋体" w:cs="宋体"/>
          <w:color w:val="auto"/>
          <w:kern w:val="0"/>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详细采购内容（服务清单）</w:t>
      </w:r>
      <w:r>
        <w:rPr>
          <w:rFonts w:ascii="宋体" w:hAnsi="宋体" w:cs="宋体"/>
          <w:color w:val="auto"/>
          <w:kern w:val="0"/>
          <w:szCs w:val="21"/>
          <w:highlight w:val="none"/>
        </w:rPr>
        <w:t>详见“技术要求”</w:t>
      </w:r>
      <w:r>
        <w:rPr>
          <w:rFonts w:hint="eastAsia" w:ascii="宋体" w:hAnsi="宋体" w:cs="宋体"/>
          <w:color w:val="auto"/>
          <w:kern w:val="0"/>
          <w:szCs w:val="21"/>
          <w:highlight w:val="none"/>
        </w:rPr>
        <w:t>。</w:t>
      </w:r>
    </w:p>
    <w:p w14:paraId="3A5ECB34">
      <w:pPr>
        <w:adjustRightInd w:val="0"/>
        <w:snapToGrid w:val="0"/>
        <w:spacing w:before="156" w:beforeLines="50" w:line="360" w:lineRule="auto"/>
        <w:ind w:firstLine="420" w:firstLineChars="200"/>
        <w:rPr>
          <w:rFonts w:ascii="宋体" w:hAnsi="宋体" w:cs="宋体"/>
          <w:color w:val="auto"/>
          <w:kern w:val="0"/>
          <w:szCs w:val="21"/>
          <w:highlight w:val="none"/>
        </w:rPr>
      </w:pPr>
      <w:r>
        <w:rPr>
          <w:rFonts w:hint="eastAsia" w:ascii="宋体" w:hAnsi="宋体" w:cs="宋体"/>
          <w:bCs/>
          <w:color w:val="auto"/>
          <w:kern w:val="0"/>
          <w:szCs w:val="21"/>
          <w:highlight w:val="none"/>
        </w:rPr>
        <w:t>4.投标人应</w:t>
      </w:r>
      <w:r>
        <w:rPr>
          <w:rFonts w:hint="eastAsia" w:ascii="宋体" w:hAnsi="宋体" w:cs="宋体"/>
          <w:color w:val="auto"/>
          <w:kern w:val="0"/>
          <w:szCs w:val="21"/>
          <w:highlight w:val="none"/>
        </w:rPr>
        <w:t>在投标文件《分项报价明细表》中按</w:t>
      </w:r>
      <w:r>
        <w:rPr>
          <w:rFonts w:hint="eastAsia" w:ascii="宋体" w:hAnsi="宋体"/>
          <w:color w:val="auto"/>
          <w:szCs w:val="21"/>
          <w:highlight w:val="none"/>
        </w:rPr>
        <w:t>标的名称</w:t>
      </w:r>
      <w:r>
        <w:rPr>
          <w:rFonts w:hint="eastAsia" w:ascii="宋体" w:hAnsi="宋体" w:cs="宋体"/>
          <w:color w:val="auto"/>
          <w:kern w:val="0"/>
          <w:szCs w:val="21"/>
          <w:highlight w:val="none"/>
        </w:rPr>
        <w:t>顺序逐项填写，且每个标的中的条目均需按招标文件规定报价。如有缺项、漏项，其</w:t>
      </w:r>
      <w:r>
        <w:rPr>
          <w:rFonts w:hint="eastAsia" w:ascii="宋体" w:hAnsi="宋体" w:cs="宋体"/>
          <w:b/>
          <w:color w:val="auto"/>
          <w:kern w:val="0"/>
          <w:szCs w:val="21"/>
          <w:highlight w:val="none"/>
        </w:rPr>
        <w:t>投标无效</w:t>
      </w:r>
      <w:r>
        <w:rPr>
          <w:rFonts w:hint="eastAsia" w:ascii="宋体" w:hAnsi="宋体" w:cs="宋体"/>
          <w:color w:val="auto"/>
          <w:kern w:val="0"/>
          <w:szCs w:val="21"/>
          <w:highlight w:val="none"/>
        </w:rPr>
        <w:t>。</w:t>
      </w:r>
    </w:p>
    <w:p w14:paraId="38A67ADD">
      <w:pPr>
        <w:adjustRightInd w:val="0"/>
        <w:snapToGrid w:val="0"/>
        <w:spacing w:before="156" w:beforeLines="50" w:line="360" w:lineRule="auto"/>
        <w:ind w:firstLine="420" w:firstLineChars="200"/>
        <w:rPr>
          <w:rFonts w:hint="eastAsia" w:ascii="宋体" w:hAnsi="宋体"/>
          <w:color w:val="auto"/>
          <w:szCs w:val="21"/>
          <w:highlight w:val="none"/>
        </w:rPr>
      </w:pPr>
    </w:p>
    <w:p w14:paraId="7D5AA8EF">
      <w:pPr>
        <w:pStyle w:val="47"/>
        <w:rPr>
          <w:rFonts w:ascii="宋体" w:hAnsi="宋体" w:cs="宋体"/>
          <w:color w:val="auto"/>
          <w:kern w:val="0"/>
          <w:highlight w:val="none"/>
        </w:rPr>
      </w:pPr>
    </w:p>
    <w:p w14:paraId="624F2CFC">
      <w:pPr>
        <w:pStyle w:val="47"/>
        <w:rPr>
          <w:rFonts w:ascii="宋体" w:hAnsi="宋体" w:cs="宋体"/>
          <w:color w:val="auto"/>
          <w:kern w:val="0"/>
          <w:highlight w:val="none"/>
        </w:rPr>
      </w:pPr>
    </w:p>
    <w:p w14:paraId="491F28DA">
      <w:pPr>
        <w:pStyle w:val="47"/>
        <w:rPr>
          <w:rFonts w:ascii="宋体" w:hAnsi="宋体" w:cs="宋体"/>
          <w:color w:val="auto"/>
          <w:kern w:val="0"/>
          <w:highlight w:val="none"/>
        </w:rPr>
      </w:pPr>
    </w:p>
    <w:p w14:paraId="7C0B0D31">
      <w:pPr>
        <w:pStyle w:val="5"/>
        <w:adjustRightInd w:val="0"/>
        <w:snapToGrid w:val="0"/>
        <w:spacing w:before="156" w:beforeLines="50"/>
        <w:jc w:val="center"/>
        <w:rPr>
          <w:rFonts w:ascii="黑体" w:hAnsi="黑体" w:eastAsia="黑体"/>
          <w:color w:val="auto"/>
          <w:sz w:val="28"/>
          <w:szCs w:val="28"/>
          <w:highlight w:val="none"/>
        </w:rPr>
      </w:pPr>
      <w:r>
        <w:rPr>
          <w:rFonts w:hint="eastAsia" w:ascii="黑体" w:hAnsi="黑体" w:eastAsia="黑体"/>
          <w:color w:val="auto"/>
          <w:sz w:val="28"/>
          <w:szCs w:val="28"/>
          <w:highlight w:val="none"/>
        </w:rPr>
        <w:br w:type="page"/>
      </w:r>
      <w:bookmarkStart w:id="50" w:name="_Toc22591"/>
      <w:r>
        <w:rPr>
          <w:rFonts w:hint="eastAsia" w:ascii="黑体" w:hAnsi="黑体" w:eastAsia="黑体" w:cs="Times New Roman"/>
          <w:color w:val="auto"/>
          <w:sz w:val="28"/>
          <w:szCs w:val="28"/>
          <w:highlight w:val="none"/>
          <w:lang w:val="en-US" w:eastAsia="zh-CN"/>
        </w:rPr>
        <w:t>第二节 技术要求</w:t>
      </w:r>
      <w:bookmarkEnd w:id="50"/>
    </w:p>
    <w:p w14:paraId="76826DB6">
      <w:pPr>
        <w:widowControl/>
        <w:spacing w:line="560" w:lineRule="atLeast"/>
        <w:jc w:val="left"/>
        <w:rPr>
          <w:rFonts w:hint="eastAsia" w:ascii="仿宋" w:hAnsi="仿宋" w:eastAsia="仿宋" w:cs="仿宋"/>
          <w:b/>
          <w:bCs/>
          <w:color w:val="auto"/>
          <w:sz w:val="24"/>
          <w:szCs w:val="24"/>
          <w:highlight w:val="none"/>
          <w:lang w:eastAsia="zh-CN"/>
        </w:rPr>
      </w:pPr>
      <w:bookmarkStart w:id="51" w:name="_Toc22438"/>
      <w:r>
        <w:rPr>
          <w:rFonts w:hint="eastAsia" w:ascii="仿宋" w:hAnsi="仿宋" w:eastAsia="仿宋" w:cs="仿宋"/>
          <w:b/>
          <w:bCs/>
          <w:color w:val="auto"/>
          <w:kern w:val="0"/>
          <w:sz w:val="24"/>
          <w:szCs w:val="24"/>
          <w:highlight w:val="none"/>
          <w:lang w:val="en-US" w:eastAsia="zh-CN"/>
        </w:rPr>
        <w:t>一、实施内容</w:t>
      </w:r>
    </w:p>
    <w:p w14:paraId="1755C5F6">
      <w:pPr>
        <w:adjustRightInd w:val="0"/>
        <w:snapToGrid w:val="0"/>
        <w:spacing w:before="156" w:beforeLines="50" w:line="360" w:lineRule="auto"/>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w:t>
      </w:r>
      <w:r>
        <w:rPr>
          <w:rFonts w:hint="default" w:ascii="宋体" w:hAnsi="宋体" w:cs="Times New Roman"/>
          <w:color w:val="auto"/>
          <w:szCs w:val="21"/>
          <w:highlight w:val="none"/>
          <w:lang w:val="en-US" w:eastAsia="zh-CN"/>
        </w:rPr>
        <w:t>白蚁药土防蚁带</w:t>
      </w:r>
      <w:r>
        <w:rPr>
          <w:rFonts w:hint="eastAsia" w:ascii="宋体" w:hAnsi="宋体" w:cs="Times New Roman"/>
          <w:color w:val="auto"/>
          <w:szCs w:val="21"/>
          <w:highlight w:val="none"/>
          <w:lang w:val="en-US" w:eastAsia="zh-CN"/>
        </w:rPr>
        <w:t>:在大坝背水坡外斜坡与山体结合部位造孔，在孔内灌注药液形成药土防蚁带，单边斜坡需要建设药土防蚁带2排（双边斜坡共计4排），每米防蚁带造孔3个，孔深80-100cm,每个孔洞灌入防治药剂2L.</w:t>
      </w:r>
    </w:p>
    <w:p w14:paraId="5B634517">
      <w:pPr>
        <w:adjustRightInd w:val="0"/>
        <w:snapToGrid w:val="0"/>
        <w:spacing w:before="156" w:beforeLines="50" w:line="360" w:lineRule="auto"/>
        <w:ind w:firstLine="420" w:firstLineChars="200"/>
        <w:rPr>
          <w:rFonts w:hint="default" w:ascii="宋体" w:hAnsi="宋体" w:cs="Times New Roman"/>
          <w:color w:val="auto"/>
          <w:szCs w:val="21"/>
          <w:highlight w:val="none"/>
          <w:lang w:val="en-US" w:eastAsia="zh-CN"/>
        </w:rPr>
      </w:pPr>
      <w:r>
        <w:rPr>
          <w:rFonts w:hint="default" w:ascii="宋体" w:hAnsi="宋体" w:cs="Times New Roman"/>
          <w:color w:val="auto"/>
          <w:szCs w:val="21"/>
          <w:highlight w:val="none"/>
          <w:lang w:val="en-US" w:eastAsia="zh-CN"/>
        </w:rPr>
        <w:t>2.白蚁普通监测诱杀装置</w:t>
      </w:r>
      <w:r>
        <w:rPr>
          <w:rFonts w:hint="eastAsia" w:ascii="宋体" w:hAnsi="宋体" w:cs="Times New Roman"/>
          <w:color w:val="auto"/>
          <w:szCs w:val="21"/>
          <w:highlight w:val="none"/>
          <w:lang w:val="en-US" w:eastAsia="zh-CN"/>
        </w:rPr>
        <w:t>:在大坝背水坡将监测诱杀装置和引诱木块、诱杀药包组装在一起埋入大坝背水坡和堤身，埋设完成后对装置进行编号，设置标识牌。单个监测诱杀装置左右间距为4米，上下间距为7米。水库大坝背水坡约28平方米埋设一个，堤防工程间隔10米埋设一个。</w:t>
      </w:r>
    </w:p>
    <w:p w14:paraId="46AC1303">
      <w:pPr>
        <w:adjustRightInd w:val="0"/>
        <w:snapToGrid w:val="0"/>
        <w:spacing w:before="156" w:beforeLines="50" w:line="360" w:lineRule="auto"/>
        <w:ind w:firstLine="420" w:firstLineChars="200"/>
        <w:rPr>
          <w:rFonts w:hint="default" w:ascii="宋体" w:hAnsi="宋体" w:cs="Times New Roman"/>
          <w:color w:val="auto"/>
          <w:szCs w:val="21"/>
          <w:highlight w:val="none"/>
          <w:lang w:val="en-US" w:eastAsia="zh-CN"/>
        </w:rPr>
      </w:pPr>
      <w:r>
        <w:rPr>
          <w:rFonts w:hint="default" w:ascii="宋体" w:hAnsi="宋体" w:cs="Times New Roman"/>
          <w:color w:val="auto"/>
          <w:szCs w:val="21"/>
          <w:highlight w:val="none"/>
          <w:lang w:val="en-US" w:eastAsia="zh-CN"/>
        </w:rPr>
        <w:t>3</w:t>
      </w:r>
      <w:r>
        <w:rPr>
          <w:rFonts w:hint="eastAsia" w:ascii="宋体" w:hAnsi="宋体" w:cs="Times New Roman"/>
          <w:color w:val="auto"/>
          <w:szCs w:val="21"/>
          <w:highlight w:val="none"/>
          <w:lang w:val="en-US" w:eastAsia="zh-CN"/>
        </w:rPr>
        <w:t>.</w:t>
      </w:r>
      <w:r>
        <w:rPr>
          <w:rFonts w:hint="default" w:ascii="宋体" w:hAnsi="宋体" w:cs="Times New Roman"/>
          <w:color w:val="auto"/>
          <w:szCs w:val="21"/>
          <w:highlight w:val="none"/>
          <w:lang w:val="en-US" w:eastAsia="zh-CN"/>
        </w:rPr>
        <w:t>药物整体注入式施药</w:t>
      </w:r>
      <w:r>
        <w:rPr>
          <w:rFonts w:hint="eastAsia" w:ascii="宋体" w:hAnsi="宋体" w:cs="Times New Roman"/>
          <w:color w:val="auto"/>
          <w:szCs w:val="21"/>
          <w:highlight w:val="none"/>
          <w:lang w:val="en-US" w:eastAsia="zh-CN"/>
        </w:rPr>
        <w:t>：在水库大坝背水坡使用杆状注射器将防治药物注入土内10-15cm，每个注射点注入药物1L,约4平方米注射一次。</w:t>
      </w:r>
    </w:p>
    <w:p w14:paraId="40D08864">
      <w:pPr>
        <w:adjustRightInd w:val="0"/>
        <w:snapToGrid w:val="0"/>
        <w:spacing w:before="156" w:beforeLines="50" w:line="360" w:lineRule="auto"/>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4.</w:t>
      </w:r>
      <w:r>
        <w:rPr>
          <w:rFonts w:hint="default" w:ascii="宋体" w:hAnsi="宋体" w:cs="Times New Roman"/>
          <w:color w:val="auto"/>
          <w:szCs w:val="21"/>
          <w:highlight w:val="none"/>
          <w:lang w:val="en-US" w:eastAsia="zh-CN"/>
        </w:rPr>
        <w:t>白蚁巢挖掘清理回填</w:t>
      </w:r>
      <w:r>
        <w:rPr>
          <w:rFonts w:hint="eastAsia" w:ascii="宋体" w:hAnsi="宋体" w:cs="Times New Roman"/>
          <w:color w:val="auto"/>
          <w:szCs w:val="21"/>
          <w:highlight w:val="none"/>
          <w:lang w:val="en-US" w:eastAsia="zh-CN"/>
        </w:rPr>
        <w:t>：在大坝背水坡根据白蚁活动迹象查找蚁道，采用人工开挖的方式取出白蚁主副巢，取巢完成后单个白蚁主巢内灌入150kg防治药剂，施药完成后对坑洞进行夯实回填,并对破坏的水土保持植被进行草皮铺植、撒播草籽进行恢复。</w:t>
      </w:r>
    </w:p>
    <w:p w14:paraId="55A7C6B4">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5.白蚁迷向信息素投放（试点）：在大坝背水坡按照每10平方米的规模埋设一个性息素胶囊，埋设深度5-10cm。</w:t>
      </w:r>
    </w:p>
    <w:p w14:paraId="11D2FFFE">
      <w:pPr>
        <w:widowControl/>
        <w:spacing w:line="560" w:lineRule="atLeast"/>
        <w:jc w:val="left"/>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二、采购项目预（概）算</w:t>
      </w:r>
    </w:p>
    <w:p w14:paraId="77A52146">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总预算：2211580.00元。内包含措施费、技术资料费、税费。白蚁等害堤动物防治所有措施均按现场实际发生的服务计量，按实结算。请各投标人根据采购人发布的治理清单进行投标报价，编制投标报价文件时不得缺漏项，应完整响应发布的治理清单内容；根据自身实力、本项目的特点考虑各种风险，确定最终总价（含人工、材料、机械、管理、规费、利润、税金等一切费用）。</w:t>
      </w:r>
    </w:p>
    <w:p w14:paraId="03797110">
      <w:pPr>
        <w:widowControl/>
        <w:spacing w:line="560" w:lineRule="atLeast"/>
        <w:jc w:val="left"/>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三、白蚁治理操作依据</w:t>
      </w:r>
    </w:p>
    <w:p w14:paraId="3E4D1A11">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1、中华人民共和国《水利白蚁防治技术规程》及相关规范、要求</w:t>
      </w:r>
    </w:p>
    <w:p w14:paraId="7B18A48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2、《湖南省水利工程白蚁防治技术规程》</w:t>
      </w:r>
    </w:p>
    <w:p w14:paraId="588799BF">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3、《水利工程白蚁防治技术指南》</w:t>
      </w:r>
    </w:p>
    <w:p w14:paraId="48E7E87B">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4、《堤坝白蚁防治方法比较研究》华南农业科技大学1998</w:t>
      </w:r>
    </w:p>
    <w:p w14:paraId="632EDD69">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5、《防治白蚁药剂的发展》农药科学与管理2003</w:t>
      </w:r>
    </w:p>
    <w:p w14:paraId="699766E2">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6、《水库堤坝白蚁危害调查与防治》浙江水利科技2006</w:t>
      </w:r>
    </w:p>
    <w:p w14:paraId="786CAD72">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7、《监测控制技术在水库、堤坝防治中的应用》浙江水利科技2006</w:t>
      </w:r>
    </w:p>
    <w:p w14:paraId="0F121D5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8、《水库堤坝白蚁防治研究》安徽农业大学2009</w:t>
      </w:r>
    </w:p>
    <w:p w14:paraId="5C6A9A29">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9、《堤坝白蚁浅层毒土处理》华中昆虫2012</w:t>
      </w:r>
    </w:p>
    <w:p w14:paraId="5A35C01B">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10、《中华人民共和国农药管理条例》</w:t>
      </w:r>
    </w:p>
    <w:p w14:paraId="3210C597">
      <w:pPr>
        <w:pStyle w:val="11"/>
        <w:ind w:left="0" w:leftChars="0" w:firstLine="422" w:firstLineChars="200"/>
        <w:rPr>
          <w:rFonts w:hint="default"/>
          <w:b/>
          <w:bCs/>
          <w:color w:val="auto"/>
          <w:highlight w:val="none"/>
          <w:lang w:val="en-US" w:eastAsia="zh-CN"/>
        </w:rPr>
      </w:pPr>
      <w:r>
        <w:rPr>
          <w:rFonts w:hint="eastAsia" w:ascii="宋体" w:hAnsi="宋体" w:cs="Times New Roman"/>
          <w:b/>
          <w:bCs/>
          <w:color w:val="auto"/>
          <w:szCs w:val="21"/>
          <w:highlight w:val="none"/>
          <w:lang w:val="en-US" w:eastAsia="zh-CN"/>
        </w:rPr>
        <w:t>11、《</w:t>
      </w:r>
      <w:bookmarkStart w:id="52" w:name="_Toc29925"/>
      <w:bookmarkStart w:id="53" w:name="_Toc31103"/>
      <w:bookmarkStart w:id="54" w:name="_Toc2455"/>
      <w:bookmarkStart w:id="55" w:name="_Toc31789"/>
      <w:bookmarkStart w:id="56" w:name="_Toc14520"/>
      <w:bookmarkStart w:id="57" w:name="_Toc5736"/>
      <w:bookmarkStart w:id="58" w:name="_Toc30464"/>
      <w:r>
        <w:rPr>
          <w:rFonts w:hint="eastAsia" w:ascii="宋体" w:hAnsi="宋体" w:cs="Times New Roman"/>
          <w:b/>
          <w:bCs/>
          <w:color w:val="auto"/>
          <w:szCs w:val="21"/>
          <w:highlight w:val="none"/>
          <w:lang w:val="en-US" w:eastAsia="zh-CN"/>
        </w:rPr>
        <w:t>湖南省双峰县2024年水库及堤防堤坝白蚁等害堤动物</w:t>
      </w:r>
      <w:bookmarkEnd w:id="52"/>
      <w:bookmarkEnd w:id="53"/>
      <w:bookmarkEnd w:id="54"/>
      <w:bookmarkEnd w:id="55"/>
      <w:bookmarkEnd w:id="56"/>
      <w:bookmarkStart w:id="59" w:name="_Toc5716"/>
      <w:bookmarkStart w:id="60" w:name="_Toc6368"/>
      <w:bookmarkStart w:id="61" w:name="_Toc788"/>
      <w:bookmarkStart w:id="62" w:name="_Toc8530"/>
      <w:bookmarkStart w:id="63" w:name="_Toc17929"/>
      <w:bookmarkStart w:id="64" w:name="_Toc30615"/>
      <w:bookmarkStart w:id="65" w:name="_Toc6792"/>
      <w:bookmarkStart w:id="66" w:name="_Toc27955"/>
      <w:r>
        <w:rPr>
          <w:rFonts w:hint="eastAsia" w:ascii="宋体" w:hAnsi="宋体" w:cs="Times New Roman"/>
          <w:b/>
          <w:bCs/>
          <w:color w:val="auto"/>
          <w:szCs w:val="21"/>
          <w:highlight w:val="none"/>
          <w:lang w:val="en-US" w:eastAsia="zh-CN"/>
        </w:rPr>
        <w:t>综合治理项目实施方案</w:t>
      </w:r>
      <w:bookmarkEnd w:id="57"/>
      <w:bookmarkEnd w:id="58"/>
      <w:bookmarkEnd w:id="59"/>
      <w:bookmarkEnd w:id="60"/>
      <w:bookmarkEnd w:id="61"/>
      <w:bookmarkEnd w:id="62"/>
      <w:bookmarkEnd w:id="63"/>
      <w:bookmarkEnd w:id="64"/>
      <w:bookmarkEnd w:id="65"/>
      <w:bookmarkEnd w:id="66"/>
      <w:r>
        <w:rPr>
          <w:rFonts w:hint="eastAsia" w:ascii="宋体" w:hAnsi="宋体" w:cs="Times New Roman"/>
          <w:b/>
          <w:bCs/>
          <w:color w:val="auto"/>
          <w:szCs w:val="21"/>
          <w:highlight w:val="none"/>
          <w:lang w:val="en-US" w:eastAsia="zh-CN"/>
        </w:rPr>
        <w:t>》评标工作完成后，向中标单位提供。</w:t>
      </w:r>
    </w:p>
    <w:p w14:paraId="44EAF8DC">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四、详细实施清单，另册。（分项报价按此格式进行报价）</w:t>
      </w:r>
    </w:p>
    <w:p w14:paraId="54FC578E">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工程量计算说明：</w:t>
      </w:r>
    </w:p>
    <w:p w14:paraId="61AB602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1.药土防蚁带：药土防蚁带工程量依据水库大坝背水坡东西两端边坡长度计算；</w:t>
      </w:r>
    </w:p>
    <w:p w14:paraId="38DF1A7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2.普通监测诱杀装置（水库）：白蚁普通监测诱杀装置工程量依据背水坡整体面积进行计算，工程量计取平均28㎡安装一个诱杀监控装置。</w:t>
      </w:r>
    </w:p>
    <w:p w14:paraId="4ED7CD1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3.普通监测诱杀装置（堤防）：白蚁普通监测诱杀装置工程量依据堤防长度进行计算，工程量计取每10m间隔安装一个诱杀监控装置。</w:t>
      </w:r>
    </w:p>
    <w:p w14:paraId="433F0BCC">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3.整体注入式施药：整体注入式施药工程量为大坝背水坡坡面整体面积。</w:t>
      </w:r>
    </w:p>
    <w:p w14:paraId="6D096890">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4.白蚁巢挖掘清理：白蚁巢挖掘清理工程量依据单座水库大坝背水坡面积根据实际白蚁防治经验进行测算，工程量为预估值。</w:t>
      </w:r>
    </w:p>
    <w:p w14:paraId="3668257D">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5.投放信息素胶囊（试点）：投放信息素胶囊（试点）工程量依据背水坡整体面积进行计算，工程量计取平均10㎡投放一个信息素胶囊。</w:t>
      </w:r>
    </w:p>
    <w:p w14:paraId="60258E9A">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五、药物使用要求</w:t>
      </w:r>
    </w:p>
    <w:p w14:paraId="383DAE5E">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药物要求：堤坝工程白蚁防治药物的使用应贯彻“安全环保”的原则，高效低毒，对人畜无害，符合国家环保要求。 </w:t>
      </w:r>
    </w:p>
    <w:p w14:paraId="6C3E649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堤坝工程白蚁防治所用药物应符合国家和地方的规定，取得农药登记证(登记范围包括白蚁防治)、农药生产许可证、农药生产批准文件。</w:t>
      </w:r>
    </w:p>
    <w:p w14:paraId="61C1885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药物的使用浓度和使用剂量应符合药物产品标签或说明书的要求，不同类型的药物不得擅自混配使用。 </w:t>
      </w:r>
    </w:p>
    <w:p w14:paraId="547220F9">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施工过程中，根据当地气候、土壤、地下水及现场的具体情况，需要对施工药物的使用浓度、剂量进行调整的，应严格掌握，确保其有效成份含量保持不变，并做好详细记录。 </w:t>
      </w:r>
    </w:p>
    <w:p w14:paraId="6E7DC0E9">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六、工期及质量要求</w:t>
      </w:r>
    </w:p>
    <w:p w14:paraId="4B7A9015">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 完成期限要求：120日历天以内完成。</w:t>
      </w:r>
    </w:p>
    <w:p w14:paraId="7556DB06">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2、 质量要求：主要对水库和堤防工程进行白蚁巢挖掘清理，整体注入式施药、布设白蚁药土防蚁带、埋设白蚁监测诱杀装置等施工措施。进行过综合治理的水库及堤防工程白蚁防治效果达到98%以上。白蚁防治应确保水库重点核心区域，做到白蚁危害可控再控，水库核心区域基本达到无白蚁危害，确保水库的安全和设施的正常运行。 </w:t>
      </w:r>
    </w:p>
    <w:p w14:paraId="7C13B0FF">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3、售后要求：本项目设1年巩固维护期，自项目验收合格之日起算。</w:t>
      </w:r>
    </w:p>
    <w:p w14:paraId="02F0329E">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p>
    <w:p w14:paraId="4BD8C301">
      <w:pPr>
        <w:adjustRightInd w:val="0"/>
        <w:snapToGrid w:val="0"/>
        <w:spacing w:before="156" w:beforeLines="50" w:line="360" w:lineRule="auto"/>
        <w:rPr>
          <w:rStyle w:val="36"/>
          <w:rFonts w:hint="eastAsia"/>
          <w:b/>
          <w:bCs/>
          <w:color w:val="auto"/>
          <w:highlight w:val="none"/>
        </w:rPr>
      </w:pPr>
      <w:r>
        <w:rPr>
          <w:rStyle w:val="36"/>
          <w:rFonts w:hint="eastAsia"/>
          <w:b/>
          <w:bCs/>
          <w:color w:val="auto"/>
          <w:highlight w:val="none"/>
        </w:rPr>
        <w:br w:type="page"/>
      </w:r>
    </w:p>
    <w:p w14:paraId="09FE6466">
      <w:pPr>
        <w:adjustRightInd w:val="0"/>
        <w:snapToGrid w:val="0"/>
        <w:spacing w:before="156" w:beforeLines="50" w:line="360" w:lineRule="auto"/>
        <w:jc w:val="center"/>
        <w:rPr>
          <w:rFonts w:ascii="黑体" w:hAnsi="黑体" w:eastAsia="黑体"/>
          <w:color w:val="auto"/>
          <w:sz w:val="28"/>
          <w:szCs w:val="28"/>
          <w:highlight w:val="none"/>
        </w:rPr>
      </w:pPr>
      <w:r>
        <w:rPr>
          <w:rFonts w:hint="eastAsia" w:ascii="黑体" w:hAnsi="黑体" w:eastAsia="黑体" w:cs="Times New Roman"/>
          <w:color w:val="auto"/>
          <w:sz w:val="28"/>
          <w:szCs w:val="28"/>
          <w:highlight w:val="none"/>
          <w:lang w:val="en-US" w:eastAsia="zh-CN"/>
        </w:rPr>
        <w:t>第三</w:t>
      </w:r>
      <w:r>
        <w:rPr>
          <w:rFonts w:hint="eastAsia" w:ascii="黑体" w:hAnsi="黑体" w:eastAsia="黑体" w:cs="Times New Roman"/>
          <w:b/>
          <w:bCs/>
          <w:color w:val="auto"/>
          <w:kern w:val="2"/>
          <w:sz w:val="28"/>
          <w:szCs w:val="28"/>
          <w:highlight w:val="none"/>
          <w:lang w:val="en-US" w:eastAsia="zh-CN" w:bidi="ar-SA"/>
        </w:rPr>
        <w:t>节 商务要求</w:t>
      </w:r>
      <w:bookmarkEnd w:id="51"/>
    </w:p>
    <w:p w14:paraId="322FC03B">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一、项目实施要求</w:t>
      </w:r>
    </w:p>
    <w:p w14:paraId="5742BAE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1、治理材料运输、保管及保险</w:t>
      </w:r>
    </w:p>
    <w:p w14:paraId="0F7B5D9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（1）成交供应商负责治理材料到施工地点的全部运输，包括装卸及现场搬运等。</w:t>
      </w:r>
    </w:p>
    <w:p w14:paraId="74F216AF">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（2）成交供应商负责治理材料在施工地点的保管，直至项目验收合格。</w:t>
      </w:r>
    </w:p>
    <w:p w14:paraId="39E7FE22">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（3）成交供应商负责其派出的人员的人身意外保险。</w:t>
      </w:r>
    </w:p>
    <w:p w14:paraId="68282CF1">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2.施工要求</w:t>
      </w:r>
    </w:p>
    <w:p w14:paraId="14BDB436">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供应商负责制定治理施工安全管理制度，须加强施工的组织管理，所有工作人员须遵守文明安全施工的有关规章制度，持证上岗，佩戴相关安全防护设备，治理期间，应接受采购人或采购委托的监理人员的监督管理，遵守有关规定。</w:t>
      </w:r>
    </w:p>
    <w:p w14:paraId="35389786">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（2）项目验收后，中标人应在30天内提交完整齐备的资料装订成册交发包人三套存档，并必须保证所有归档资料的真实性。</w:t>
      </w:r>
    </w:p>
    <w:p w14:paraId="3E511F66">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3.验收要求：白蚁防治过程中由项目主管单位委派的监理人员对现场完成的防治内容进行签字确认，防治内容全部完成后由白蚁防治单位报双峰县水利局组织验收组进行现场验收。</w:t>
      </w:r>
    </w:p>
    <w:p w14:paraId="6BCED88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4、需执行的国家相关标准、行业标准、地方标准或者其他标准、规范：供应商必须按照国家、省级及市级有关技术标准、规范和建设工程施工及验收技术标准、规范。</w:t>
      </w:r>
    </w:p>
    <w:p w14:paraId="2693D9F8">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5、服务效率：供应商按采购人的要求进行有效施工，并保证项目在要求日期内完工并验收。</w:t>
      </w:r>
    </w:p>
    <w:p w14:paraId="391C33FF">
      <w:pPr>
        <w:adjustRightInd w:val="0"/>
        <w:snapToGrid w:val="0"/>
        <w:spacing w:before="156" w:beforeLines="50" w:line="360" w:lineRule="auto"/>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6、在签订合同时须提供成交金额的治理量详细清单，且结算评宙时以此清单单价为准，按实收方结算。</w:t>
      </w:r>
    </w:p>
    <w:p w14:paraId="49CBCA1A">
      <w:pPr>
        <w:adjustRightInd w:val="0"/>
        <w:snapToGrid w:val="0"/>
        <w:spacing w:before="156" w:beforeLines="50" w:line="360" w:lineRule="auto"/>
        <w:ind w:firstLine="420" w:firstLineChars="200"/>
        <w:rPr>
          <w:rFonts w:hint="eastAsia" w:ascii="仿宋" w:hAnsi="仿宋" w:eastAsia="仿宋" w:cs="仿宋"/>
          <w:color w:val="auto"/>
          <w:sz w:val="27"/>
          <w:szCs w:val="27"/>
          <w:highlight w:val="none"/>
          <w:lang w:val="en-US" w:eastAsia="zh-CN"/>
        </w:rPr>
      </w:pPr>
      <w:r>
        <w:rPr>
          <w:rFonts w:hint="eastAsia" w:ascii="宋体" w:hAnsi="宋体" w:cs="Times New Roman"/>
          <w:color w:val="auto"/>
          <w:szCs w:val="21"/>
          <w:highlight w:val="none"/>
          <w:lang w:val="en-US" w:eastAsia="zh-CN"/>
        </w:rPr>
        <w:t>7、供应商应根据项目要求和现场情况，详细列明完成本工程项目所需的设备、材料、安装、质检、缺陷修复以及所有人工、劳务、管理、措施费、财务、规费、税金、利润等所有费用，如供应商遗漏采购文件所列治理清单内容，均由成交人自负，采购人不再支付任何费用。</w:t>
      </w:r>
    </w:p>
    <w:p w14:paraId="1ECA0219">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二、付款方式</w:t>
      </w:r>
    </w:p>
    <w:p w14:paraId="1BE04E27">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1、承包人必须将企业基本账户作为结算款支付账户，发包人拒绝将款项支付到企业基本账户以外的任何账户。</w:t>
      </w:r>
    </w:p>
    <w:p w14:paraId="6C690454">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2、支付方式和支付时间：</w:t>
      </w:r>
    </w:p>
    <w:p w14:paraId="64D32E69">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本项目无预付款。治理工作完成60%时，可以按签证认可金额的40%支付。所有治理工作完成并通过验收后支付至签证认可金额的80%；项目经相关部门审定后，按审定金额支付至97%，扣留3%为质量保证金，待巩固维护期限（1年）满后无息付清。审定金额如超过合同金额，按合同金额进行结算。</w:t>
      </w:r>
    </w:p>
    <w:p w14:paraId="7A062B67">
      <w:pPr>
        <w:adjustRightInd w:val="0"/>
        <w:snapToGrid w:val="0"/>
        <w:spacing w:before="156" w:beforeLines="50" w:line="360" w:lineRule="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三、其他</w:t>
      </w:r>
    </w:p>
    <w:p w14:paraId="3421E895">
      <w:pPr>
        <w:adjustRightInd w:val="0"/>
        <w:snapToGrid w:val="0"/>
        <w:spacing w:before="156" w:beforeLines="5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其他未尽事宜，签订合同时约定。</w:t>
      </w:r>
    </w:p>
    <w:p w14:paraId="5E8F7FE2">
      <w:pPr>
        <w:pStyle w:val="13"/>
        <w:adjustRightInd w:val="0"/>
        <w:snapToGrid w:val="0"/>
        <w:spacing w:line="360" w:lineRule="auto"/>
        <w:jc w:val="center"/>
        <w:outlineLvl w:val="0"/>
        <w:rPr>
          <w:rFonts w:ascii="黑体" w:hAnsi="华文中宋" w:eastAsia="黑体"/>
          <w:b/>
          <w:color w:val="auto"/>
          <w:sz w:val="32"/>
          <w:szCs w:val="32"/>
          <w:highlight w:val="none"/>
        </w:rPr>
      </w:pPr>
      <w:r>
        <w:rPr>
          <w:rFonts w:hint="eastAsia" w:ascii="黑体" w:hAnsi="华文中宋" w:eastAsia="黑体"/>
          <w:b/>
          <w:color w:val="auto"/>
          <w:sz w:val="32"/>
          <w:szCs w:val="32"/>
          <w:highlight w:val="none"/>
        </w:rPr>
        <w:br w:type="page"/>
      </w:r>
      <w:bookmarkStart w:id="67" w:name="_Toc25066"/>
      <w:r>
        <w:rPr>
          <w:rFonts w:hint="eastAsia" w:ascii="黑体" w:hAnsi="华文中宋" w:eastAsia="黑体"/>
          <w:b/>
          <w:color w:val="auto"/>
          <w:sz w:val="32"/>
          <w:szCs w:val="32"/>
          <w:highlight w:val="none"/>
        </w:rPr>
        <w:t>第六章 政府采购合同</w:t>
      </w:r>
      <w:bookmarkEnd w:id="67"/>
    </w:p>
    <w:p w14:paraId="03D2E3AB">
      <w:pPr>
        <w:pStyle w:val="5"/>
        <w:adjustRightInd w:val="0"/>
        <w:snapToGrid w:val="0"/>
        <w:spacing w:before="156" w:beforeLines="50"/>
        <w:jc w:val="center"/>
        <w:rPr>
          <w:rFonts w:ascii="黑体" w:hAnsi="华文中宋" w:eastAsia="黑体"/>
          <w:color w:val="auto"/>
          <w:sz w:val="28"/>
          <w:szCs w:val="28"/>
          <w:highlight w:val="none"/>
        </w:rPr>
      </w:pPr>
      <w:bookmarkStart w:id="68" w:name="_Toc1225"/>
      <w:bookmarkStart w:id="69" w:name="_Toc22201110"/>
      <w:bookmarkStart w:id="70" w:name="_Toc34637778"/>
      <w:bookmarkStart w:id="71" w:name="_Toc26594"/>
      <w:bookmarkStart w:id="72" w:name="_Toc117602960"/>
      <w:r>
        <w:rPr>
          <w:rFonts w:hint="eastAsia" w:ascii="黑体" w:hAnsi="华文中宋" w:eastAsia="黑体"/>
          <w:color w:val="auto"/>
          <w:sz w:val="28"/>
          <w:szCs w:val="28"/>
          <w:highlight w:val="none"/>
        </w:rPr>
        <w:t xml:space="preserve">第一节 </w:t>
      </w:r>
      <w:bookmarkEnd w:id="68"/>
      <w:bookmarkEnd w:id="69"/>
      <w:bookmarkEnd w:id="70"/>
      <w:r>
        <w:rPr>
          <w:rFonts w:hint="eastAsia" w:ascii="宋体" w:hAnsi="宋体" w:cs="黑体"/>
          <w:color w:val="auto"/>
          <w:sz w:val="32"/>
          <w:highlight w:val="none"/>
        </w:rPr>
        <w:t xml:space="preserve"> 政府采购合同协议书</w:t>
      </w:r>
      <w:bookmarkEnd w:id="71"/>
    </w:p>
    <w:p w14:paraId="5857F9AD">
      <w:pPr>
        <w:adjustRightInd w:val="0"/>
        <w:snapToGrid w:val="0"/>
        <w:spacing w:before="156" w:beforeLines="50" w:line="360" w:lineRule="auto"/>
        <w:ind w:firstLine="5460" w:firstLineChars="2600"/>
        <w:rPr>
          <w:rFonts w:ascii="宋体" w:hAnsi="宋体"/>
          <w:b/>
          <w:color w:val="auto"/>
          <w:szCs w:val="21"/>
          <w:highlight w:val="none"/>
        </w:rPr>
      </w:pPr>
      <w:r>
        <w:rPr>
          <w:rFonts w:hint="eastAsia" w:ascii="宋体" w:hAnsi="宋体"/>
          <w:color w:val="auto"/>
          <w:szCs w:val="21"/>
          <w:highlight w:val="none"/>
        </w:rPr>
        <w:t>采购合同编号：</w:t>
      </w:r>
    </w:p>
    <w:p w14:paraId="0E492656">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采购人（全称）：（甲方）</w:t>
      </w:r>
    </w:p>
    <w:p w14:paraId="4054B77A">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供应商（全称）：（乙方）</w:t>
      </w:r>
    </w:p>
    <w:p w14:paraId="15E197D0">
      <w:pPr>
        <w:pStyle w:val="10"/>
        <w:adjustRightInd w:val="0"/>
        <w:snapToGrid w:val="0"/>
        <w:spacing w:before="156" w:beforeLines="50"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为了保护甲、乙双方合法权益，根据《中华人民共和国民法典》、《中华人民共和国政府采购法》及其他有关法律、法规、规章，双方签订本合同协议书。</w:t>
      </w:r>
    </w:p>
    <w:p w14:paraId="24CFE05A">
      <w:pPr>
        <w:pStyle w:val="6"/>
        <w:adjustRightInd w:val="0"/>
        <w:snapToGrid w:val="0"/>
        <w:spacing w:before="50" w:line="360" w:lineRule="auto"/>
        <w:rPr>
          <w:rFonts w:ascii="黑体" w:hAnsi="华文中宋" w:eastAsia="黑体"/>
          <w:color w:val="auto"/>
          <w:sz w:val="24"/>
          <w:szCs w:val="24"/>
          <w:highlight w:val="none"/>
        </w:rPr>
      </w:pPr>
      <w:bookmarkStart w:id="73" w:name="_Toc34637779"/>
      <w:bookmarkStart w:id="74" w:name="_Toc27939"/>
      <w:r>
        <w:rPr>
          <w:rFonts w:ascii="黑体" w:hAnsi="华文中宋" w:eastAsia="黑体"/>
          <w:color w:val="auto"/>
          <w:sz w:val="24"/>
          <w:szCs w:val="24"/>
          <w:highlight w:val="none"/>
        </w:rPr>
        <w:t>1.项目信息</w:t>
      </w:r>
      <w:bookmarkEnd w:id="73"/>
      <w:bookmarkEnd w:id="74"/>
    </w:p>
    <w:p w14:paraId="6E007204">
      <w:pPr>
        <w:pStyle w:val="10"/>
        <w:adjustRightInd w:val="0"/>
        <w:snapToGrid w:val="0"/>
        <w:spacing w:before="156" w:beforeLines="50" w:after="0" w:line="360" w:lineRule="auto"/>
        <w:rPr>
          <w:rFonts w:ascii="宋体" w:hAnsi="宋体"/>
          <w:color w:val="auto"/>
          <w:szCs w:val="21"/>
          <w:highlight w:val="none"/>
          <w:u w:val="single"/>
        </w:rPr>
      </w:pPr>
      <w:r>
        <w:rPr>
          <w:rFonts w:hint="eastAsia" w:ascii="宋体" w:hAnsi="宋体"/>
          <w:color w:val="auto"/>
          <w:szCs w:val="21"/>
          <w:highlight w:val="none"/>
        </w:rPr>
        <w:t>（1）采购项目名称（含包名称）：</w:t>
      </w:r>
    </w:p>
    <w:p w14:paraId="0F92B873">
      <w:pPr>
        <w:pStyle w:val="10"/>
        <w:adjustRightInd w:val="0"/>
        <w:snapToGrid w:val="0"/>
        <w:spacing w:before="156" w:beforeLines="50" w:after="0" w:line="360" w:lineRule="auto"/>
        <w:rPr>
          <w:rFonts w:ascii="宋体" w:hAnsi="宋体"/>
          <w:color w:val="auto"/>
          <w:szCs w:val="21"/>
          <w:highlight w:val="none"/>
        </w:rPr>
      </w:pPr>
      <w:r>
        <w:rPr>
          <w:rFonts w:hint="eastAsia" w:ascii="宋体" w:hAnsi="宋体"/>
          <w:color w:val="auto"/>
          <w:szCs w:val="21"/>
          <w:highlight w:val="none"/>
        </w:rPr>
        <w:t>（2）采购计划编号：</w:t>
      </w:r>
    </w:p>
    <w:p w14:paraId="63EDF0FD">
      <w:pPr>
        <w:adjustRightInd w:val="0"/>
        <w:snapToGrid w:val="0"/>
        <w:spacing w:before="156" w:beforeLines="50"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（3）项目内容：</w:t>
      </w:r>
    </w:p>
    <w:p w14:paraId="332DE335">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（4）项目负责人： </w:t>
      </w:r>
    </w:p>
    <w:p w14:paraId="633956AD">
      <w:pPr>
        <w:pStyle w:val="6"/>
        <w:adjustRightInd w:val="0"/>
        <w:snapToGrid w:val="0"/>
        <w:spacing w:before="50" w:line="360" w:lineRule="auto"/>
        <w:rPr>
          <w:rFonts w:ascii="黑体" w:hAnsi="华文中宋" w:eastAsia="黑体"/>
          <w:color w:val="auto"/>
          <w:sz w:val="24"/>
          <w:szCs w:val="24"/>
          <w:highlight w:val="none"/>
        </w:rPr>
      </w:pPr>
      <w:bookmarkStart w:id="75" w:name="_Toc34637780"/>
      <w:bookmarkStart w:id="76" w:name="_Toc18325"/>
      <w:r>
        <w:rPr>
          <w:rFonts w:ascii="黑体" w:hAnsi="华文中宋" w:eastAsia="黑体"/>
          <w:color w:val="auto"/>
          <w:sz w:val="24"/>
          <w:szCs w:val="24"/>
          <w:highlight w:val="none"/>
        </w:rPr>
        <w:t>2.合同金额</w:t>
      </w:r>
      <w:bookmarkEnd w:id="75"/>
      <w:bookmarkEnd w:id="76"/>
    </w:p>
    <w:p w14:paraId="4A644202">
      <w:pPr>
        <w:adjustRightInd w:val="0"/>
        <w:snapToGrid w:val="0"/>
        <w:spacing w:before="156" w:beforeLines="50" w:line="360" w:lineRule="auto"/>
        <w:ind w:firstLine="420" w:firstLineChars="200"/>
        <w:rPr>
          <w:rFonts w:ascii="宋体" w:hAnsi="宋体"/>
          <w:b/>
          <w:color w:val="auto"/>
          <w:szCs w:val="21"/>
          <w:highlight w:val="none"/>
        </w:rPr>
      </w:pPr>
      <w:r>
        <w:rPr>
          <w:rFonts w:hint="eastAsia" w:ascii="宋体" w:hAnsi="宋体"/>
          <w:color w:val="auto"/>
          <w:szCs w:val="21"/>
          <w:highlight w:val="none"/>
        </w:rPr>
        <w:t>（1）合同金额小写：           大写：</w:t>
      </w:r>
    </w:p>
    <w:p w14:paraId="4721824F">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（2）具体标的见附件。</w:t>
      </w:r>
    </w:p>
    <w:p w14:paraId="795A3769">
      <w:pPr>
        <w:adjustRightInd w:val="0"/>
        <w:snapToGrid w:val="0"/>
        <w:spacing w:before="156" w:beforeLines="50" w:line="360" w:lineRule="auto"/>
        <w:ind w:firstLine="420" w:firstLineChars="200"/>
        <w:rPr>
          <w:rFonts w:hint="default" w:ascii="宋体" w:hAnsi="宋体"/>
          <w:color w:val="auto"/>
          <w:szCs w:val="21"/>
          <w:highlight w:val="none"/>
        </w:rPr>
      </w:pPr>
      <w:r>
        <w:rPr>
          <w:rFonts w:hint="eastAsia" w:ascii="宋体" w:hAnsi="宋体"/>
          <w:color w:val="auto"/>
          <w:szCs w:val="21"/>
          <w:highlight w:val="none"/>
        </w:rPr>
        <w:t>（3）合同价格形式：</w:t>
      </w:r>
      <w:r>
        <w:rPr>
          <w:rFonts w:hint="default" w:ascii="宋体" w:hAnsi="宋体"/>
          <w:color w:val="auto"/>
          <w:szCs w:val="21"/>
          <w:highlight w:val="none"/>
          <w:lang w:eastAsia="zh-CN"/>
        </w:rPr>
        <w:t>固定</w:t>
      </w:r>
      <w:r>
        <w:rPr>
          <w:rFonts w:hint="eastAsia" w:ascii="宋体" w:hAnsi="宋体"/>
          <w:color w:val="auto"/>
          <w:szCs w:val="21"/>
          <w:highlight w:val="none"/>
          <w:lang w:val="en-US" w:eastAsia="zh-CN"/>
        </w:rPr>
        <w:t>单</w:t>
      </w:r>
      <w:r>
        <w:rPr>
          <w:rFonts w:hint="default" w:ascii="宋体" w:hAnsi="宋体"/>
          <w:color w:val="auto"/>
          <w:szCs w:val="21"/>
          <w:highlight w:val="none"/>
          <w:lang w:eastAsia="zh-CN"/>
        </w:rPr>
        <w:t>价。</w:t>
      </w:r>
    </w:p>
    <w:p w14:paraId="540A685B">
      <w:pPr>
        <w:pStyle w:val="6"/>
        <w:adjustRightInd w:val="0"/>
        <w:snapToGrid w:val="0"/>
        <w:spacing w:before="50" w:line="360" w:lineRule="auto"/>
        <w:rPr>
          <w:rFonts w:ascii="黑体" w:hAnsi="华文中宋" w:eastAsia="黑体"/>
          <w:color w:val="auto"/>
          <w:sz w:val="24"/>
          <w:szCs w:val="24"/>
          <w:highlight w:val="none"/>
        </w:rPr>
      </w:pPr>
      <w:bookmarkStart w:id="77" w:name="_Toc34637781"/>
      <w:bookmarkStart w:id="78" w:name="_Toc10889"/>
      <w:r>
        <w:rPr>
          <w:rFonts w:ascii="黑体" w:hAnsi="华文中宋" w:eastAsia="黑体"/>
          <w:color w:val="auto"/>
          <w:sz w:val="24"/>
          <w:szCs w:val="24"/>
          <w:highlight w:val="none"/>
        </w:rPr>
        <w:t>3.履行合同的时间、地点及方式</w:t>
      </w:r>
      <w:bookmarkEnd w:id="77"/>
      <w:bookmarkEnd w:id="78"/>
    </w:p>
    <w:p w14:paraId="52269947">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起始日期：</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年</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月</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日，完成日期：</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年</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月</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日。总日历天数：</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天。</w:t>
      </w:r>
    </w:p>
    <w:p w14:paraId="382745B1">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地点</w:t>
      </w:r>
      <w:r>
        <w:rPr>
          <w:rFonts w:hint="eastAsia" w:ascii="宋体" w:hAnsi="宋体"/>
          <w:b/>
          <w:color w:val="auto"/>
          <w:szCs w:val="21"/>
          <w:highlight w:val="none"/>
        </w:rPr>
        <w:t>：</w:t>
      </w:r>
      <w:r>
        <w:rPr>
          <w:rFonts w:hint="eastAsia" w:ascii="宋体" w:hAnsi="宋体"/>
          <w:color w:val="auto"/>
          <w:szCs w:val="21"/>
          <w:highlight w:val="none"/>
          <w:u w:val="single"/>
        </w:rPr>
        <w:t xml:space="preserve">  采购人指定地点</w:t>
      </w:r>
      <w:r>
        <w:rPr>
          <w:rFonts w:hint="eastAsia" w:ascii="宋体" w:hAnsi="宋体"/>
          <w:color w:val="auto"/>
          <w:szCs w:val="21"/>
          <w:highlight w:val="none"/>
        </w:rPr>
        <w:t xml:space="preserve">          方式：</w:t>
      </w:r>
    </w:p>
    <w:p w14:paraId="412BB413">
      <w:pPr>
        <w:pStyle w:val="6"/>
        <w:adjustRightInd w:val="0"/>
        <w:snapToGrid w:val="0"/>
        <w:spacing w:before="50" w:line="360" w:lineRule="auto"/>
        <w:rPr>
          <w:rFonts w:ascii="黑体" w:hAnsi="华文中宋" w:eastAsia="黑体"/>
          <w:color w:val="auto"/>
          <w:sz w:val="24"/>
          <w:szCs w:val="24"/>
          <w:highlight w:val="none"/>
        </w:rPr>
      </w:pPr>
      <w:bookmarkStart w:id="79" w:name="_Toc34637782"/>
      <w:bookmarkStart w:id="80" w:name="_Toc22530"/>
      <w:r>
        <w:rPr>
          <w:rFonts w:ascii="黑体" w:hAnsi="华文中宋" w:eastAsia="黑体"/>
          <w:color w:val="auto"/>
          <w:sz w:val="24"/>
          <w:szCs w:val="24"/>
          <w:highlight w:val="none"/>
        </w:rPr>
        <w:t>4.付款</w:t>
      </w:r>
      <w:bookmarkEnd w:id="79"/>
      <w:bookmarkEnd w:id="80"/>
    </w:p>
    <w:p w14:paraId="6BD20E73">
      <w:pPr>
        <w:adjustRightInd w:val="0"/>
        <w:snapToGrid w:val="0"/>
        <w:spacing w:line="360" w:lineRule="auto"/>
        <w:ind w:firstLine="630" w:firstLineChars="300"/>
        <w:rPr>
          <w:rFonts w:ascii="宋体" w:hAnsi="宋体"/>
          <w:bCs/>
          <w:color w:val="auto"/>
          <w:szCs w:val="21"/>
          <w:highlight w:val="none"/>
        </w:rPr>
      </w:pPr>
      <w:r>
        <w:rPr>
          <w:rFonts w:hint="eastAsia" w:ascii="宋体" w:hAnsi="宋体"/>
          <w:color w:val="auto"/>
          <w:szCs w:val="21"/>
          <w:highlight w:val="none"/>
        </w:rPr>
        <w:t>1、</w:t>
      </w:r>
      <w:r>
        <w:rPr>
          <w:rFonts w:hint="eastAsia" w:ascii="宋体" w:hAnsi="宋体"/>
          <w:bCs/>
          <w:color w:val="auto"/>
          <w:szCs w:val="21"/>
          <w:highlight w:val="none"/>
          <w:u w:val="single"/>
        </w:rPr>
        <w:t xml:space="preserve">                                     。 </w:t>
      </w:r>
    </w:p>
    <w:p w14:paraId="1489DEEF">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bCs/>
          <w:color w:val="auto"/>
          <w:szCs w:val="21"/>
          <w:highlight w:val="none"/>
        </w:rPr>
        <w:t>2、预付款根据采购文件的约定。</w:t>
      </w:r>
    </w:p>
    <w:p w14:paraId="3E88D0E1">
      <w:pPr>
        <w:pStyle w:val="6"/>
        <w:adjustRightInd w:val="0"/>
        <w:snapToGrid w:val="0"/>
        <w:spacing w:before="50" w:line="360" w:lineRule="auto"/>
        <w:rPr>
          <w:rFonts w:ascii="黑体" w:hAnsi="华文中宋" w:eastAsia="黑体"/>
          <w:color w:val="auto"/>
          <w:sz w:val="24"/>
          <w:szCs w:val="24"/>
          <w:highlight w:val="none"/>
        </w:rPr>
      </w:pPr>
      <w:bookmarkStart w:id="81" w:name="_Toc1292"/>
      <w:bookmarkStart w:id="82" w:name="_Toc34637783"/>
      <w:r>
        <w:rPr>
          <w:rFonts w:ascii="黑体" w:hAnsi="华文中宋" w:eastAsia="黑体"/>
          <w:color w:val="auto"/>
          <w:sz w:val="24"/>
          <w:szCs w:val="24"/>
          <w:highlight w:val="none"/>
        </w:rPr>
        <w:t>5.解决合同纠纷方式</w:t>
      </w:r>
      <w:bookmarkEnd w:id="81"/>
      <w:bookmarkEnd w:id="82"/>
    </w:p>
    <w:p w14:paraId="2BD7C987">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首先通过双方协商解决，协商解决不成，则通过以下途径之一解决纠纷：</w:t>
      </w:r>
    </w:p>
    <w:p w14:paraId="22ACA820">
      <w:pPr>
        <w:adjustRightInd w:val="0"/>
        <w:snapToGrid w:val="0"/>
        <w:spacing w:before="156" w:beforeLines="50" w:line="360" w:lineRule="auto"/>
        <w:ind w:firstLine="840" w:firstLineChars="400"/>
        <w:rPr>
          <w:rFonts w:ascii="宋体" w:hAnsi="宋体"/>
          <w:color w:val="auto"/>
          <w:szCs w:val="21"/>
          <w:highlight w:val="none"/>
        </w:rPr>
      </w:pPr>
      <w:r>
        <w:rPr>
          <w:rFonts w:hint="eastAsia" w:ascii="宋体" w:hAnsi="宋体"/>
          <w:color w:val="auto"/>
          <w:szCs w:val="21"/>
          <w:highlight w:val="none"/>
        </w:rPr>
        <w:sym w:font="Wingdings 2" w:char="00A3"/>
      </w:r>
      <w:r>
        <w:rPr>
          <w:rFonts w:hint="eastAsia" w:ascii="宋体" w:hAnsi="宋体"/>
          <w:color w:val="auto"/>
          <w:szCs w:val="21"/>
          <w:highlight w:val="none"/>
        </w:rPr>
        <w:t xml:space="preserve"> 提请仲裁       </w:t>
      </w:r>
      <w:r>
        <w:rPr>
          <w:rFonts w:hint="eastAsia" w:ascii="宋体" w:hAnsi="宋体"/>
          <w:color w:val="auto"/>
          <w:szCs w:val="21"/>
          <w:highlight w:val="none"/>
        </w:rPr>
        <w:sym w:font="Wingdings 2" w:char="00A3"/>
      </w:r>
      <w:r>
        <w:rPr>
          <w:rFonts w:hint="eastAsia" w:ascii="宋体" w:hAnsi="宋体"/>
          <w:color w:val="auto"/>
          <w:szCs w:val="21"/>
          <w:highlight w:val="none"/>
        </w:rPr>
        <w:t xml:space="preserve"> 向人民法院提起诉讼</w:t>
      </w:r>
    </w:p>
    <w:p w14:paraId="4E077EE4">
      <w:pPr>
        <w:pStyle w:val="6"/>
        <w:adjustRightInd w:val="0"/>
        <w:snapToGrid w:val="0"/>
        <w:spacing w:before="50" w:line="360" w:lineRule="auto"/>
        <w:rPr>
          <w:rFonts w:ascii="黑体" w:hAnsi="华文中宋" w:eastAsia="黑体"/>
          <w:color w:val="auto"/>
          <w:sz w:val="24"/>
          <w:szCs w:val="24"/>
          <w:highlight w:val="none"/>
        </w:rPr>
      </w:pPr>
      <w:bookmarkStart w:id="83" w:name="_Toc29755"/>
      <w:bookmarkStart w:id="84" w:name="_Toc34637784"/>
      <w:r>
        <w:rPr>
          <w:rFonts w:ascii="黑体" w:hAnsi="华文中宋" w:eastAsia="黑体"/>
          <w:color w:val="auto"/>
          <w:sz w:val="24"/>
          <w:szCs w:val="24"/>
          <w:highlight w:val="none"/>
        </w:rPr>
        <w:t>6.组成合同的文件</w:t>
      </w:r>
      <w:bookmarkEnd w:id="83"/>
      <w:bookmarkEnd w:id="84"/>
    </w:p>
    <w:p w14:paraId="0D4DC128">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27D142FB">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（1）在采购或合同履行过程中乙方作出的承诺以及双方协商达成的变更或补充协议</w:t>
      </w:r>
    </w:p>
    <w:p w14:paraId="6BAC737E">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（2）本合同协议书</w:t>
      </w:r>
    </w:p>
    <w:p w14:paraId="3550FF1F">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（3）成交通知书</w:t>
      </w:r>
    </w:p>
    <w:p w14:paraId="62DD6BB9">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（4）响应文件</w:t>
      </w:r>
    </w:p>
    <w:p w14:paraId="340A0A9F">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（5）政府采购合同</w:t>
      </w:r>
    </w:p>
    <w:p w14:paraId="21049481">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（6）磋商文件</w:t>
      </w:r>
    </w:p>
    <w:p w14:paraId="5458DC59">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（7）标准、规范及有关技术文件，图纸。</w:t>
      </w:r>
    </w:p>
    <w:p w14:paraId="26888956">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（8）其他合同文件。</w:t>
      </w:r>
    </w:p>
    <w:p w14:paraId="3EB22585">
      <w:pPr>
        <w:pStyle w:val="6"/>
        <w:adjustRightInd w:val="0"/>
        <w:snapToGrid w:val="0"/>
        <w:spacing w:before="50" w:line="360" w:lineRule="auto"/>
        <w:rPr>
          <w:rFonts w:ascii="黑体" w:hAnsi="华文中宋" w:eastAsia="黑体"/>
          <w:color w:val="auto"/>
          <w:sz w:val="24"/>
          <w:szCs w:val="24"/>
          <w:highlight w:val="none"/>
        </w:rPr>
      </w:pPr>
      <w:bookmarkStart w:id="85" w:name="_Toc34637785"/>
      <w:bookmarkStart w:id="86" w:name="_Toc16308"/>
      <w:r>
        <w:rPr>
          <w:rFonts w:ascii="黑体" w:hAnsi="华文中宋" w:eastAsia="黑体"/>
          <w:color w:val="auto"/>
          <w:sz w:val="24"/>
          <w:szCs w:val="24"/>
          <w:highlight w:val="none"/>
        </w:rPr>
        <w:t>7.合同生效</w:t>
      </w:r>
      <w:bookmarkEnd w:id="85"/>
      <w:bookmarkEnd w:id="86"/>
    </w:p>
    <w:p w14:paraId="3D6CCB06">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 xml:space="preserve">    签字盖章后      </w:t>
      </w:r>
      <w:r>
        <w:rPr>
          <w:rFonts w:hint="eastAsia" w:ascii="宋体" w:hAnsi="宋体"/>
          <w:color w:val="auto"/>
          <w:szCs w:val="21"/>
          <w:highlight w:val="none"/>
        </w:rPr>
        <w:t>生效。</w:t>
      </w:r>
    </w:p>
    <w:p w14:paraId="340C7C4B">
      <w:pPr>
        <w:pStyle w:val="6"/>
        <w:adjustRightInd w:val="0"/>
        <w:snapToGrid w:val="0"/>
        <w:spacing w:before="50" w:line="360" w:lineRule="auto"/>
        <w:rPr>
          <w:rFonts w:ascii="黑体" w:hAnsi="华文中宋" w:eastAsia="黑体"/>
          <w:color w:val="auto"/>
          <w:sz w:val="24"/>
          <w:szCs w:val="24"/>
          <w:highlight w:val="none"/>
        </w:rPr>
      </w:pPr>
      <w:bookmarkStart w:id="87" w:name="_Toc34637786"/>
      <w:bookmarkStart w:id="88" w:name="_Toc24171"/>
      <w:r>
        <w:rPr>
          <w:rFonts w:ascii="黑体" w:hAnsi="华文中宋" w:eastAsia="黑体"/>
          <w:color w:val="auto"/>
          <w:sz w:val="24"/>
          <w:szCs w:val="24"/>
          <w:highlight w:val="none"/>
        </w:rPr>
        <w:t>8.合同份数</w:t>
      </w:r>
      <w:bookmarkEnd w:id="87"/>
      <w:bookmarkEnd w:id="88"/>
    </w:p>
    <w:p w14:paraId="52160E06">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6  </w:t>
      </w:r>
      <w:r>
        <w:rPr>
          <w:rFonts w:hint="eastAsia" w:ascii="宋体" w:hAnsi="宋体"/>
          <w:color w:val="auto"/>
          <w:szCs w:val="21"/>
          <w:highlight w:val="none"/>
        </w:rPr>
        <w:t>份，采购人执</w:t>
      </w:r>
      <w:r>
        <w:rPr>
          <w:rFonts w:hint="eastAsia" w:ascii="宋体" w:hAnsi="宋体"/>
          <w:color w:val="auto"/>
          <w:szCs w:val="21"/>
          <w:highlight w:val="none"/>
          <w:u w:val="single"/>
        </w:rPr>
        <w:t xml:space="preserve">  3 </w:t>
      </w:r>
      <w:r>
        <w:rPr>
          <w:rFonts w:hint="eastAsia" w:ascii="宋体" w:hAnsi="宋体"/>
          <w:color w:val="auto"/>
          <w:szCs w:val="21"/>
          <w:highlight w:val="none"/>
        </w:rPr>
        <w:t>份，供应商执</w:t>
      </w:r>
      <w:r>
        <w:rPr>
          <w:rFonts w:hint="eastAsia" w:ascii="宋体" w:hAnsi="宋体"/>
          <w:color w:val="auto"/>
          <w:szCs w:val="21"/>
          <w:highlight w:val="none"/>
          <w:u w:val="single"/>
        </w:rPr>
        <w:t xml:space="preserve"> 3 </w:t>
      </w:r>
      <w:r>
        <w:rPr>
          <w:rFonts w:hint="eastAsia" w:ascii="宋体" w:hAnsi="宋体"/>
          <w:color w:val="auto"/>
          <w:szCs w:val="21"/>
          <w:highlight w:val="none"/>
        </w:rPr>
        <w:t>份，均具有同等法律效力。</w:t>
      </w:r>
    </w:p>
    <w:p w14:paraId="59B3F304">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合同订立时间：年月日</w:t>
      </w:r>
    </w:p>
    <w:p w14:paraId="1365500E">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合同订立地点：</w:t>
      </w:r>
    </w:p>
    <w:p w14:paraId="04018488">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甲      方：（公章）                     乙      方：（公章）</w:t>
      </w:r>
    </w:p>
    <w:p w14:paraId="2E06BD2F">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法定代表人：                            法定代表人：</w:t>
      </w:r>
    </w:p>
    <w:p w14:paraId="4D32F2B7">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委托代理人：                            委托代理人：</w:t>
      </w:r>
    </w:p>
    <w:p w14:paraId="5BC9CB24">
      <w:pPr>
        <w:tabs>
          <w:tab w:val="left" w:pos="7307"/>
        </w:tabs>
        <w:adjustRightInd w:val="0"/>
        <w:snapToGrid w:val="0"/>
        <w:spacing w:before="156" w:beforeLines="50" w:line="360" w:lineRule="auto"/>
        <w:rPr>
          <w:rFonts w:hint="eastAsia" w:ascii="宋体" w:hAnsi="宋体"/>
          <w:color w:val="auto"/>
          <w:szCs w:val="21"/>
          <w:highlight w:val="none"/>
        </w:rPr>
      </w:pPr>
      <w:r>
        <w:rPr>
          <w:rFonts w:hint="eastAsia" w:ascii="宋体" w:hAnsi="宋体"/>
          <w:color w:val="auto"/>
          <w:szCs w:val="21"/>
          <w:highlight w:val="none"/>
        </w:rPr>
        <w:t>电      话：                            电      话：</w:t>
      </w:r>
      <w:r>
        <w:rPr>
          <w:rFonts w:hint="eastAsia" w:ascii="宋体" w:hAnsi="宋体"/>
          <w:color w:val="auto"/>
          <w:szCs w:val="21"/>
          <w:highlight w:val="none"/>
        </w:rPr>
        <w:tab/>
      </w:r>
    </w:p>
    <w:p w14:paraId="6FC5A028">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传      真：                            传      真：</w:t>
      </w:r>
    </w:p>
    <w:p w14:paraId="0A6C7A59">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开 户 银 行：</w:t>
      </w:r>
    </w:p>
    <w:p w14:paraId="50F568F9">
      <w:pPr>
        <w:adjustRightInd w:val="0"/>
        <w:snapToGrid w:val="0"/>
        <w:spacing w:before="156" w:beforeLines="50" w:line="360" w:lineRule="auto"/>
        <w:jc w:val="center"/>
        <w:rPr>
          <w:rFonts w:ascii="宋体" w:hAnsi="宋体"/>
          <w:b/>
          <w:color w:val="auto"/>
          <w:szCs w:val="21"/>
          <w:highlight w:val="none"/>
        </w:rPr>
      </w:pPr>
      <w:r>
        <w:rPr>
          <w:rFonts w:hint="eastAsia" w:ascii="宋体" w:hAnsi="宋体"/>
          <w:color w:val="auto"/>
          <w:szCs w:val="21"/>
          <w:highlight w:val="none"/>
        </w:rPr>
        <w:t xml:space="preserve">         帐       号：</w:t>
      </w:r>
    </w:p>
    <w:p w14:paraId="396B0285">
      <w:pPr>
        <w:pStyle w:val="5"/>
        <w:adjustRightInd w:val="0"/>
        <w:snapToGrid w:val="0"/>
        <w:spacing w:before="156" w:beforeLines="50"/>
        <w:jc w:val="center"/>
        <w:rPr>
          <w:rFonts w:ascii="黑体" w:hAnsi="黑体" w:eastAsia="黑体"/>
          <w:color w:val="auto"/>
          <w:sz w:val="28"/>
          <w:szCs w:val="28"/>
          <w:highlight w:val="none"/>
        </w:rPr>
      </w:pPr>
      <w:bookmarkStart w:id="89" w:name="_Toc23124"/>
      <w:r>
        <w:rPr>
          <w:rFonts w:hint="eastAsia" w:ascii="黑体" w:hAnsi="黑体" w:eastAsia="黑体"/>
          <w:color w:val="auto"/>
          <w:sz w:val="28"/>
          <w:szCs w:val="28"/>
          <w:highlight w:val="none"/>
        </w:rPr>
        <w:t>第二节 政府采购合同通用条款</w:t>
      </w:r>
      <w:bookmarkEnd w:id="72"/>
      <w:bookmarkEnd w:id="89"/>
    </w:p>
    <w:p w14:paraId="57BB34BF">
      <w:pPr>
        <w:tabs>
          <w:tab w:val="left" w:pos="8820"/>
          <w:tab w:val="left" w:pos="9345"/>
          <w:tab w:val="left" w:pos="9765"/>
        </w:tabs>
        <w:adjustRightInd w:val="0"/>
        <w:snapToGrid w:val="0"/>
        <w:spacing w:before="50" w:line="360" w:lineRule="auto"/>
        <w:jc w:val="left"/>
        <w:rPr>
          <w:rFonts w:ascii="宋体" w:hAnsi="宋体"/>
          <w:b/>
          <w:bCs/>
          <w:color w:val="auto"/>
          <w:sz w:val="24"/>
          <w:highlight w:val="none"/>
        </w:rPr>
      </w:pPr>
      <w:r>
        <w:rPr>
          <w:rFonts w:hint="eastAsia" w:ascii="宋体" w:hAnsi="宋体"/>
          <w:b/>
          <w:color w:val="auto"/>
          <w:sz w:val="24"/>
          <w:highlight w:val="none"/>
        </w:rPr>
        <w:t>1.</w:t>
      </w:r>
      <w:r>
        <w:rPr>
          <w:rFonts w:hint="eastAsia" w:ascii="宋体" w:hAnsi="宋体"/>
          <w:b/>
          <w:bCs/>
          <w:color w:val="auto"/>
          <w:sz w:val="24"/>
          <w:highlight w:val="none"/>
        </w:rPr>
        <w:t>定义</w:t>
      </w:r>
    </w:p>
    <w:p w14:paraId="4D21E92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149FAE8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（1）采购人（以下称甲方）是指使用财政性资金，通过政府采购方式向供应商购买货物、服务的国家机关、事业单位、团体组织。本次采购的甲方名称、地址见</w:t>
      </w:r>
      <w:r>
        <w:rPr>
          <w:rFonts w:hint="eastAsia" w:ascii="宋体" w:hAnsi="宋体"/>
          <w:b/>
          <w:color w:val="auto"/>
          <w:szCs w:val="21"/>
          <w:highlight w:val="none"/>
        </w:rPr>
        <w:t>【政府采购合同专用条款】。</w:t>
      </w:r>
    </w:p>
    <w:p w14:paraId="43C2586C">
      <w:pPr>
        <w:autoSpaceDE w:val="0"/>
        <w:autoSpaceDN w:val="0"/>
        <w:adjustRightInd w:val="0"/>
        <w:snapToGrid w:val="0"/>
        <w:spacing w:before="50"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（2）供应商（以下称乙方）是指参加政府采购活动而取得中标结果，并向采购人提供货物、服务的法人、其他组织或者自然人。</w:t>
      </w:r>
    </w:p>
    <w:p w14:paraId="65AF12B6">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CA6899B">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（1）“合同”系指甲乙双方签署的、政府采购合同协议书中载明的甲乙双方所达成的协议，包括所有的附件、附录和上述文件所提到的构成合同的所有文件。</w:t>
      </w:r>
    </w:p>
    <w:p w14:paraId="5E0EFAFE">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（2）“合同价”系指根据本合同规定乙方在正确地完全履行合同义务后甲方应支付给乙方的价款。</w:t>
      </w:r>
    </w:p>
    <w:p w14:paraId="3CA61CA5">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（3）“货物”系指乙方根据本合同规定须向甲方提供的各种形态和种类的物品，包括原材料、设备、产品（包括软件）及相关的其备品备件、工具、手册及其它技术资料和材料。</w:t>
      </w:r>
    </w:p>
    <w:p w14:paraId="146C84B6">
      <w:pPr>
        <w:tabs>
          <w:tab w:val="left" w:pos="570"/>
          <w:tab w:val="left" w:pos="888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11CFDFB4">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（5）“合同条款”系指本合同及其附件、补充文件约定的全部条款。</w:t>
      </w:r>
    </w:p>
    <w:p w14:paraId="155F3FBD">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（6）“项目现场”系指本合同项下货物安装、运行的现场，其名称见</w:t>
      </w:r>
      <w:r>
        <w:rPr>
          <w:rFonts w:hint="eastAsia" w:ascii="宋体" w:hAnsi="宋体"/>
          <w:b/>
          <w:color w:val="auto"/>
          <w:szCs w:val="21"/>
          <w:highlight w:val="none"/>
        </w:rPr>
        <w:t>【政府采购合同专用条款】</w:t>
      </w:r>
      <w:r>
        <w:rPr>
          <w:rFonts w:hint="eastAsia" w:ascii="宋体" w:hAnsi="宋体"/>
          <w:color w:val="auto"/>
          <w:szCs w:val="21"/>
          <w:highlight w:val="none"/>
        </w:rPr>
        <w:t>。</w:t>
      </w:r>
    </w:p>
    <w:p w14:paraId="6ED65906">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2.合同的适用范围</w:t>
      </w:r>
    </w:p>
    <w:p w14:paraId="6757189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 本合同条款适用于没有被本合同其他部分的条款所取代的范围。</w:t>
      </w:r>
    </w:p>
    <w:p w14:paraId="63656F9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 合同内容根据招标文件、投标文件而确定。</w:t>
      </w:r>
    </w:p>
    <w:p w14:paraId="152C9F5D">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3.</w:t>
      </w:r>
      <w:r>
        <w:rPr>
          <w:rFonts w:hint="eastAsia" w:ascii="宋体" w:hAnsi="宋体"/>
          <w:b/>
          <w:color w:val="auto"/>
          <w:sz w:val="24"/>
          <w:highlight w:val="none"/>
        </w:rPr>
        <w:t>合同标的及金额</w:t>
      </w:r>
    </w:p>
    <w:p w14:paraId="2FE6C16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 合同标的及金额应与中标结果一致。</w:t>
      </w:r>
    </w:p>
    <w:p w14:paraId="02F87E95">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4.</w:t>
      </w:r>
      <w:r>
        <w:rPr>
          <w:rFonts w:hint="eastAsia" w:ascii="宋体" w:hAnsi="宋体"/>
          <w:b/>
          <w:color w:val="auto"/>
          <w:sz w:val="24"/>
          <w:highlight w:val="none"/>
        </w:rPr>
        <w:t>合同价款</w:t>
      </w:r>
    </w:p>
    <w:p w14:paraId="2AF48602">
      <w:pPr>
        <w:adjustRightInd w:val="0"/>
        <w:snapToGrid w:val="0"/>
        <w:spacing w:before="50" w:line="360" w:lineRule="auto"/>
        <w:ind w:firstLine="420" w:firstLineChars="200"/>
        <w:jc w:val="left"/>
        <w:rPr>
          <w:rFonts w:ascii="宋体" w:hAnsi="宋体"/>
          <w:b/>
          <w:bCs/>
          <w:i/>
          <w:iCs/>
          <w:color w:val="auto"/>
          <w:szCs w:val="21"/>
          <w:highlight w:val="none"/>
        </w:rPr>
      </w:pPr>
      <w:r>
        <w:rPr>
          <w:rFonts w:hint="eastAsia" w:ascii="宋体" w:hAnsi="宋体"/>
          <w:color w:val="auto"/>
          <w:szCs w:val="21"/>
          <w:highlight w:val="none"/>
        </w:rPr>
        <w:t>4.1具体合同价款见本合同第3.1条。乙方为履行本合同而发生的所有费用均应包含在合同价款中，甲方不再另行支付其它任何费用。</w:t>
      </w:r>
    </w:p>
    <w:p w14:paraId="42E200B7">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5.履行合同的时间、地点和方式</w:t>
      </w:r>
    </w:p>
    <w:p w14:paraId="7F0B55F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5.1 乙方应当在甲方确定的时间、指定的地点履行合同，具体的交货时间、地点和方式见</w:t>
      </w:r>
      <w:r>
        <w:rPr>
          <w:rFonts w:hint="eastAsia" w:ascii="宋体" w:hAnsi="宋体"/>
          <w:b/>
          <w:color w:val="auto"/>
          <w:szCs w:val="21"/>
          <w:highlight w:val="none"/>
        </w:rPr>
        <w:t>【政府采购合同专用条款】</w:t>
      </w:r>
      <w:r>
        <w:rPr>
          <w:rFonts w:hint="eastAsia" w:ascii="宋体" w:hAnsi="宋体"/>
          <w:color w:val="auto"/>
          <w:szCs w:val="21"/>
          <w:highlight w:val="none"/>
        </w:rPr>
        <w:t>。</w:t>
      </w:r>
    </w:p>
    <w:p w14:paraId="0542ED0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 乙方提供服务的应当在甲方指定的时间和地点完成服务项目。</w:t>
      </w:r>
    </w:p>
    <w:p w14:paraId="72FAAF53">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6.</w:t>
      </w:r>
      <w:r>
        <w:rPr>
          <w:rFonts w:hint="eastAsia" w:ascii="宋体" w:hAnsi="宋体"/>
          <w:b/>
          <w:color w:val="auto"/>
          <w:sz w:val="24"/>
          <w:highlight w:val="none"/>
        </w:rPr>
        <w:t>货物的验收</w:t>
      </w:r>
    </w:p>
    <w:p w14:paraId="3F6EF14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 甲方在收到乙方交付的货物后应当及时组织验收。</w:t>
      </w:r>
    </w:p>
    <w:p w14:paraId="1C51152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6.2 货物的表面瑕疵，甲方应在验收时当面提出；对质量问题有异议的应在安装调试后十个工作日内提出。</w:t>
      </w:r>
    </w:p>
    <w:p w14:paraId="35C17F7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6.3 在验收过程中发现数量不足或有质量、技术等问题，乙方应负责按照甲方的要求采取补足、更换或退货等处理措施，并承担由此发生的一切费用和损失。</w:t>
      </w:r>
    </w:p>
    <w:p w14:paraId="5CCA46A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6.4 甲方在乙方按合同规定交货或安装、调试后，无正当理由而拖延接收、验收或拒绝接收、验收的，应承担因此给乙方造成的直接损失。</w:t>
      </w:r>
    </w:p>
    <w:p w14:paraId="5C6ADF9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6.5 甲方对货物进行检查验收合格后，应当收取发票并在《交货验收单》上签署验收意见及加盖单位印章。</w:t>
      </w:r>
    </w:p>
    <w:p w14:paraId="771DF26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6.6 大型或者复杂的货物采购项目，甲方可以邀请国家认可的质量检测机构参加验收工作，并由其出具验收报告单。</w:t>
      </w:r>
    </w:p>
    <w:p w14:paraId="7C66876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6.7 乙方提供的进口产品，乙方应出示中华人民共和国进出口商品检验部门出具的检验证书（招标文件第五章采购需求另有约定的除外）。</w:t>
      </w:r>
    </w:p>
    <w:p w14:paraId="2DF0A253">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7.货物包装要求</w:t>
      </w:r>
    </w:p>
    <w:p w14:paraId="67AF612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3649F86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 每一个包装箱内应附一份详细装箱单、质量证书和保修保养证书。</w:t>
      </w:r>
    </w:p>
    <w:p w14:paraId="3A5E5BCE">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8.运输和保险</w:t>
      </w:r>
    </w:p>
    <w:p w14:paraId="1DFF0E18">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8.1乙方负责办理将货物运抵本合同第5.1条规定的交货地点的一切运输事项，相关费用应包括在合同总价中。</w:t>
      </w:r>
    </w:p>
    <w:p w14:paraId="11D7A8A9">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8.2乙方应向保险公司投保以甲方为受益人的发运合同货物发票金额的110％运输一切险。</w:t>
      </w:r>
    </w:p>
    <w:p w14:paraId="33657E58">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9.质量标准和保证</w:t>
      </w:r>
    </w:p>
    <w:p w14:paraId="6DE5FA0B">
      <w:pPr>
        <w:pStyle w:val="13"/>
        <w:adjustRightInd w:val="0"/>
        <w:snapToGrid w:val="0"/>
        <w:spacing w:before="50" w:line="360" w:lineRule="auto"/>
        <w:ind w:firstLine="420" w:firstLineChars="200"/>
        <w:jc w:val="left"/>
        <w:rPr>
          <w:rFonts w:hAnsi="宋体"/>
          <w:b/>
          <w:color w:val="auto"/>
          <w:highlight w:val="none"/>
        </w:rPr>
      </w:pPr>
      <w:r>
        <w:rPr>
          <w:rFonts w:hint="eastAsia" w:hAnsi="宋体"/>
          <w:color w:val="auto"/>
          <w:highlight w:val="none"/>
        </w:rPr>
        <w:t>9.1 质量标准</w:t>
      </w:r>
    </w:p>
    <w:p w14:paraId="6519886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（1）本合同下交付的货物应符合招标文件第四章“技术规格、参数与要求”所述的标准。如果没有提及适用标准，则应符合中华人民共和国有关机构发布的最新版本的标准。</w:t>
      </w:r>
    </w:p>
    <w:p w14:paraId="1EECDD27">
      <w:pPr>
        <w:pStyle w:val="13"/>
        <w:adjustRightInd w:val="0"/>
        <w:snapToGrid w:val="0"/>
        <w:spacing w:before="50" w:line="360" w:lineRule="auto"/>
        <w:ind w:firstLine="420" w:firstLineChars="200"/>
        <w:jc w:val="left"/>
        <w:rPr>
          <w:rFonts w:hAnsi="宋体"/>
          <w:color w:val="auto"/>
          <w:highlight w:val="none"/>
        </w:rPr>
      </w:pPr>
      <w:r>
        <w:rPr>
          <w:rFonts w:hint="eastAsia" w:hAnsi="宋体"/>
          <w:color w:val="auto"/>
          <w:highlight w:val="none"/>
        </w:rPr>
        <w:t>（2）采用中华人民共和国法定计量单位。</w:t>
      </w:r>
    </w:p>
    <w:p w14:paraId="2BB36CF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（3）乙方所出售的货物还应符合国家有关安全、环保、卫生之规定。</w:t>
      </w:r>
    </w:p>
    <w:p w14:paraId="1A8EC8C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9.2 保证</w:t>
      </w:r>
    </w:p>
    <w:p w14:paraId="4561819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规定或乙方承诺（两者以较长的为准）的质量保证期内，本保证保持有效。</w:t>
      </w:r>
    </w:p>
    <w:p w14:paraId="2EF7932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FCAC73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2312C6E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3FC6982A">
      <w:pPr>
        <w:adjustRightInd w:val="0"/>
        <w:snapToGrid w:val="0"/>
        <w:spacing w:before="50"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（5）乙方在约定的时间内未能弥补缺陷，甲方可采取必要的补救措施，但其风险和费用将由乙方承担，甲方根据合同规定对乙方行使的其他权利不受影响。</w:t>
      </w:r>
    </w:p>
    <w:p w14:paraId="34AC755C">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10.权利瑕疵担保</w:t>
      </w:r>
    </w:p>
    <w:p w14:paraId="750E25A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10.1 乙方保证对其出售的货物享有合法的权利。</w:t>
      </w:r>
    </w:p>
    <w:p w14:paraId="4EB371C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 乙方保证在其出售的货物上不存在任何未曾向甲方透露的担保物权，如抵押权、质押权、留置权等。</w:t>
      </w:r>
    </w:p>
    <w:p w14:paraId="1D94947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10.3 如甲方使用该货物构成上述侵权的，则由乙方承担全部责任。</w:t>
      </w:r>
    </w:p>
    <w:p w14:paraId="08F86768">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11.知识产权保护</w:t>
      </w:r>
    </w:p>
    <w:p w14:paraId="56BCEA22">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 乙方对其所销售的货物应当享有知识产权或经权利人合法授权，保证没有侵犯任何第三人的知识产权和商业秘密等权利。</w:t>
      </w:r>
    </w:p>
    <w:p w14:paraId="641CBC8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甲方使用乙方提供的货物对第三人构成侵权的，应当由乙方承担全部法律责任，给甲方造成损害的，乙方应当承担赔偿责任。</w:t>
      </w:r>
    </w:p>
    <w:p w14:paraId="342B9FA4">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甲方委托乙方开发的产品，甲方享有知识产权，未经甲方许可不得转让任何第三人。</w:t>
      </w:r>
    </w:p>
    <w:p w14:paraId="5D6B2323">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12.保密义务</w:t>
      </w:r>
    </w:p>
    <w:p w14:paraId="323A8E6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12.1 甲、乙双方在采购和履行合同过程中所获悉的对方属于保密的内容，双方均有保密义务。</w:t>
      </w:r>
    </w:p>
    <w:p w14:paraId="02E5BFC7">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13.合同价款支付</w:t>
      </w:r>
    </w:p>
    <w:p w14:paraId="6C6C3F95">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13.1验收合格后，乙方出具正规发票给甲方，凭甲方开具的《政府采购合同验收报告单》办理合同价</w:t>
      </w:r>
      <w:r>
        <w:rPr>
          <w:rFonts w:hint="eastAsia" w:ascii="宋体" w:hAnsi="宋体"/>
          <w:bCs/>
          <w:color w:val="auto"/>
          <w:szCs w:val="21"/>
          <w:highlight w:val="none"/>
        </w:rPr>
        <w:t>款</w:t>
      </w:r>
      <w:r>
        <w:rPr>
          <w:rFonts w:hint="eastAsia" w:ascii="宋体" w:hAnsi="宋体"/>
          <w:color w:val="auto"/>
          <w:szCs w:val="21"/>
          <w:highlight w:val="none"/>
        </w:rPr>
        <w:t>结算手续。</w:t>
      </w:r>
    </w:p>
    <w:p w14:paraId="33C011E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13.2 合同价款构成中应当由财政支付的部分，甲方应当在货物验收合格后的十五个工作日内向国库管理部门申请支付，经国库管理部门审核后直接支付给乙方。</w:t>
      </w:r>
    </w:p>
    <w:p w14:paraId="02C8D010">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13.3 合同价款构成中应当由甲方自行支付的部分，甲方应当在货物验收合格后十五个工作日内支付。</w:t>
      </w:r>
    </w:p>
    <w:p w14:paraId="0D5C69A4">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13.4支付合同价</w:t>
      </w:r>
      <w:r>
        <w:rPr>
          <w:rFonts w:hint="eastAsia" w:ascii="宋体" w:hAnsi="宋体"/>
          <w:bCs/>
          <w:color w:val="auto"/>
          <w:szCs w:val="21"/>
          <w:highlight w:val="none"/>
        </w:rPr>
        <w:t>款</w:t>
      </w:r>
      <w:r>
        <w:rPr>
          <w:rFonts w:hint="eastAsia" w:ascii="宋体" w:hAnsi="宋体"/>
          <w:color w:val="auto"/>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15EDE40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13.5 合同价款支付方式</w:t>
      </w:r>
      <w:r>
        <w:rPr>
          <w:rFonts w:hint="eastAsia" w:ascii="宋体" w:hAnsi="宋体"/>
          <w:bCs/>
          <w:color w:val="auto"/>
          <w:szCs w:val="21"/>
          <w:highlight w:val="none"/>
        </w:rPr>
        <w:t>和条件在</w:t>
      </w:r>
      <w:r>
        <w:rPr>
          <w:rFonts w:hint="eastAsia" w:ascii="宋体" w:hAnsi="宋体"/>
          <w:b/>
          <w:color w:val="auto"/>
          <w:szCs w:val="21"/>
          <w:highlight w:val="none"/>
        </w:rPr>
        <w:t>【政府采购合同专用条款】</w:t>
      </w:r>
      <w:r>
        <w:rPr>
          <w:rFonts w:hint="eastAsia" w:ascii="宋体" w:hAnsi="宋体"/>
          <w:color w:val="auto"/>
          <w:szCs w:val="21"/>
          <w:highlight w:val="none"/>
        </w:rPr>
        <w:t>中另有规定。</w:t>
      </w:r>
    </w:p>
    <w:p w14:paraId="6F343C39">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bCs/>
          <w:color w:val="auto"/>
          <w:sz w:val="24"/>
          <w:highlight w:val="none"/>
        </w:rPr>
        <w:t>14.</w:t>
      </w:r>
      <w:r>
        <w:rPr>
          <w:rFonts w:hint="eastAsia"/>
          <w:b/>
          <w:color w:val="auto"/>
          <w:sz w:val="24"/>
          <w:highlight w:val="none"/>
        </w:rPr>
        <w:t>乙方应提供的</w:t>
      </w:r>
      <w:r>
        <w:rPr>
          <w:rFonts w:hint="eastAsia" w:ascii="宋体" w:hAnsi="宋体"/>
          <w:b/>
          <w:color w:val="auto"/>
          <w:sz w:val="24"/>
          <w:highlight w:val="none"/>
        </w:rPr>
        <w:t>服务</w:t>
      </w:r>
    </w:p>
    <w:p w14:paraId="7DBC8C8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乙方应向甲方提交所提供货物的技术文件，包括相应的中文技术文件，如：产品目录、图纸、操作手册、使用说明、维护手册或服务指南。这些文件应包装好随同货物一起发运。</w:t>
      </w:r>
    </w:p>
    <w:p w14:paraId="7522137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14.2 乙方还应提供下列服务：</w:t>
      </w:r>
    </w:p>
    <w:p w14:paraId="2AF77DA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2F4A98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DDD7A1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（3）在合同各方商定的一定期限内对所有的货物实施运行监督、维修，但前提条件是该服务并不能免除乙方在质量保证期内所承担的义务；</w:t>
      </w:r>
    </w:p>
    <w:p w14:paraId="6FACBBF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（4）在制造商或项目现场就货物的安装、启动、运营、维护对甲方操作人员进行培训；</w:t>
      </w:r>
    </w:p>
    <w:p w14:paraId="2926C7E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48E8674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乙方提供的服务的费用应包含在合同价款中，甲方不再另行支付。</w:t>
      </w:r>
    </w:p>
    <w:p w14:paraId="3BE6610F">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15.违约责任</w:t>
      </w:r>
    </w:p>
    <w:p w14:paraId="330C045E">
      <w:pPr>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15.1质量瑕疵的补救措施和索赔</w:t>
      </w:r>
    </w:p>
    <w:p w14:paraId="64D5446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0DE03A9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①乙方同意退货并将货款退还给甲方，由此发生的一切费用和损失由乙方承担。</w:t>
      </w:r>
    </w:p>
    <w:p w14:paraId="7F75602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②根据货物的质量状况以及甲方所遭受的损失，经过甲乙双方商定降低货物的价格。</w:t>
      </w:r>
    </w:p>
    <w:p w14:paraId="6684981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1F55AB7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2F4ACBA4">
      <w:pPr>
        <w:autoSpaceDE w:val="0"/>
        <w:autoSpaceDN w:val="0"/>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4B4CB16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39FA659">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（2）除本合同</w:t>
      </w:r>
      <w:r>
        <w:rPr>
          <w:rFonts w:hint="eastAsia" w:ascii="宋体" w:hAnsi="宋体"/>
          <w:bCs/>
          <w:color w:val="auto"/>
          <w:szCs w:val="21"/>
          <w:highlight w:val="none"/>
        </w:rPr>
        <w:t>第20条</w:t>
      </w:r>
      <w:r>
        <w:rPr>
          <w:rFonts w:hint="eastAsia" w:ascii="宋体" w:hAnsi="宋体"/>
          <w:color w:val="auto"/>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420CB95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1C9F8933">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16.合同的变更</w:t>
      </w:r>
    </w:p>
    <w:p w14:paraId="209A3DC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在合同履行过程中，甲、乙双方可就合同履行的时间、地点和方式等协商进行变更。协商一致后，双方应签订书面的补充协议。</w:t>
      </w:r>
    </w:p>
    <w:p w14:paraId="71B12CA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在不改变合同其他条款的前提下，甲方有权在合同价款百分之十的范围内追加与合同标的相同的货物或服务，并就此与乙方签订补充合同，乙方不得拒绝。</w:t>
      </w:r>
    </w:p>
    <w:p w14:paraId="0736778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16.3 除双方签署书面协议，并成为合同不可分割的一部分外，本合同条件不得有任何变更。</w:t>
      </w:r>
    </w:p>
    <w:p w14:paraId="4057741B">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17.合同中止与终止</w:t>
      </w:r>
    </w:p>
    <w:p w14:paraId="61E263E1">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17.1合同的中止</w:t>
      </w:r>
    </w:p>
    <w:p w14:paraId="661DA09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（1）合同在履行过程中，因采购计划调整，甲方可以要求中止履行，待计划确定后继续履行；</w:t>
      </w:r>
    </w:p>
    <w:p w14:paraId="655E25B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（2）合同履行过程中因供应商就采购过程或结果提起投诉的，甲方认为有必要或财政部门责令中止的，应当中止合同的履行。</w:t>
      </w:r>
    </w:p>
    <w:p w14:paraId="35798EBF">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17.2合同的终止</w:t>
      </w:r>
    </w:p>
    <w:p w14:paraId="6812E5D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904D94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（2）乙方未能依照本合同约定条件履行合同，已构成根本性违约的，甲方有权终止本合同，并追究乙方的违约责任。</w:t>
      </w:r>
    </w:p>
    <w:p w14:paraId="0E0CF13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（3）如果乙方丧失履约能力或被宣告破产，甲方可在任何时候以书面形式通知乙方终止合同而不给乙方补偿。</w:t>
      </w:r>
    </w:p>
    <w:p w14:paraId="1494772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（4）如果乙方在履行合同过程中有不正当竞争行为，甲方有权解除合同，并按《中华人民共和国反不正当竞争法》规定由有关部门追究其法律责任。</w:t>
      </w:r>
    </w:p>
    <w:p w14:paraId="0DB282B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（5）如果合同的履行将损害国家利益或社会公共利益，甲方有权终止合同的履行，给乙方造成损失的予以相应补偿。</w:t>
      </w:r>
    </w:p>
    <w:p w14:paraId="745CFE55">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18.合同转让和分包</w:t>
      </w:r>
    </w:p>
    <w:p w14:paraId="77AEE3C4">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18.1 乙方不得以任何形式将合同转包。</w:t>
      </w:r>
    </w:p>
    <w:p w14:paraId="4DFA2D3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18.2 乙方未在投标文件中说明，不得将</w:t>
      </w:r>
      <w:r>
        <w:rPr>
          <w:rFonts w:hint="eastAsia" w:ascii="宋体" w:hAnsi="宋体"/>
          <w:bCs/>
          <w:color w:val="auto"/>
          <w:szCs w:val="21"/>
          <w:highlight w:val="none"/>
        </w:rPr>
        <w:t>合同</w:t>
      </w:r>
      <w:r>
        <w:rPr>
          <w:rFonts w:hint="eastAsia" w:ascii="宋体" w:hAnsi="宋体"/>
          <w:color w:val="auto"/>
          <w:szCs w:val="21"/>
          <w:highlight w:val="none"/>
        </w:rPr>
        <w:t>的非主体、非关键性工作分包给他人。</w:t>
      </w:r>
    </w:p>
    <w:p w14:paraId="4DC28E61">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19.不可抗力</w:t>
      </w:r>
    </w:p>
    <w:p w14:paraId="42178D2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19.1 不可抗力是指合同双方不可预见、不可避免、不可克服的自然灾害和社会事件。</w:t>
      </w:r>
    </w:p>
    <w:p w14:paraId="79F84E9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19.2 任何一方对由于不可抗力造成的部分或全部不能履行合同不承担违约责任。但迟延履行后发生不可抗力的，不能免除责任。</w:t>
      </w:r>
    </w:p>
    <w:p w14:paraId="0D641CC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19.3 遇有不可抗力的一方，应在三日内将事件的情况以书面形式通知另一方，并在事件发生后十日内，向另一方提交合同不能履行或部分不能履行或需要延期履行理由的报告。</w:t>
      </w:r>
    </w:p>
    <w:p w14:paraId="0BCB7280">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20.解决争议的方法</w:t>
      </w:r>
    </w:p>
    <w:p w14:paraId="6998287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20.1 合同各方应通过友好协商，解决在执行合同过程中所发生的或与合同有关的一切争端。如从协商开始后十日内仍不能解决，可以向财政部门提请调解。</w:t>
      </w:r>
    </w:p>
    <w:p w14:paraId="57A0DC5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20.2 调解不成可以向甲方所在地人民法院提起诉讼。</w:t>
      </w:r>
    </w:p>
    <w:p w14:paraId="54E8C8D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20.3 如仲裁或诉讼事项不影响合同其它部分的履行，则在仲裁或诉讼期间，除正在进行仲裁或诉讼的部分外，合同的其它部分应继续执行。</w:t>
      </w:r>
    </w:p>
    <w:p w14:paraId="1BF4EF47">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21.法律适用</w:t>
      </w:r>
    </w:p>
    <w:p w14:paraId="0A92E0E9">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21.1 本合同适用中华人民共和国现行法律、行政法规和规章，如合同条款与法律、行政法规和规章不一致的，按照法律、行政法规和规章修改本合同。</w:t>
      </w:r>
    </w:p>
    <w:p w14:paraId="4516E9BD">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bCs/>
          <w:color w:val="auto"/>
          <w:sz w:val="24"/>
          <w:highlight w:val="none"/>
        </w:rPr>
        <w:t>22.</w:t>
      </w:r>
      <w:r>
        <w:rPr>
          <w:rFonts w:hint="eastAsia" w:ascii="宋体" w:hAnsi="宋体"/>
          <w:b/>
          <w:color w:val="auto"/>
          <w:sz w:val="24"/>
          <w:highlight w:val="none"/>
        </w:rPr>
        <w:t>通知</w:t>
      </w:r>
    </w:p>
    <w:p w14:paraId="041A145C">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22.1本合同一方给另一方的通知均应采用书面形式，传真或快递送到本合同中规定的对方的地址和办理签收手续，</w:t>
      </w:r>
    </w:p>
    <w:p w14:paraId="446544BF">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22.2通知以送到之日或通知书中规定的生效之日起生效，两者中以较迟之日为准。</w:t>
      </w:r>
    </w:p>
    <w:p w14:paraId="71CB63C6">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23. 合同未尽事项</w:t>
      </w:r>
    </w:p>
    <w:p w14:paraId="6A76E141">
      <w:pPr>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p>
    <w:p w14:paraId="0727E524">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24.合同生效</w:t>
      </w:r>
    </w:p>
    <w:p w14:paraId="18C84FC8">
      <w:pPr>
        <w:autoSpaceDE w:val="0"/>
        <w:autoSpaceDN w:val="0"/>
        <w:adjustRightInd w:val="0"/>
        <w:snapToGrid w:val="0"/>
        <w:spacing w:before="50" w:line="360" w:lineRule="auto"/>
        <w:ind w:firstLine="420" w:firstLineChars="200"/>
        <w:jc w:val="left"/>
        <w:rPr>
          <w:rFonts w:ascii="黑体" w:hAnsi="黑体" w:eastAsia="黑体"/>
          <w:b/>
          <w:bCs/>
          <w:color w:val="auto"/>
          <w:sz w:val="10"/>
          <w:szCs w:val="10"/>
          <w:highlight w:val="none"/>
        </w:rPr>
      </w:pPr>
      <w:r>
        <w:rPr>
          <w:rFonts w:hint="eastAsia" w:ascii="宋体" w:hAnsi="宋体"/>
          <w:color w:val="auto"/>
          <w:szCs w:val="21"/>
          <w:highlight w:val="none"/>
        </w:rPr>
        <w:t>24.1 本合同在合同双方签字盖章后生效。</w:t>
      </w:r>
      <w:r>
        <w:rPr>
          <w:rFonts w:ascii="黑体" w:hAnsi="黑体" w:eastAsia="黑体"/>
          <w:b/>
          <w:bCs/>
          <w:color w:val="auto"/>
          <w:sz w:val="32"/>
          <w:highlight w:val="none"/>
        </w:rPr>
        <w:br w:type="page"/>
      </w:r>
    </w:p>
    <w:p w14:paraId="22EBB910">
      <w:pPr>
        <w:pStyle w:val="5"/>
        <w:adjustRightInd w:val="0"/>
        <w:snapToGrid w:val="0"/>
        <w:jc w:val="center"/>
        <w:rPr>
          <w:rFonts w:ascii="黑体" w:hAnsi="华文中宋" w:eastAsia="黑体"/>
          <w:color w:val="auto"/>
          <w:sz w:val="28"/>
          <w:szCs w:val="28"/>
          <w:highlight w:val="none"/>
        </w:rPr>
      </w:pPr>
      <w:bookmarkStart w:id="90" w:name="_Toc3098"/>
      <w:bookmarkStart w:id="91" w:name="_Toc117602961"/>
      <w:r>
        <w:rPr>
          <w:rFonts w:hint="eastAsia" w:ascii="黑体" w:hAnsi="华文中宋" w:eastAsia="黑体"/>
          <w:color w:val="auto"/>
          <w:sz w:val="28"/>
          <w:szCs w:val="28"/>
          <w:highlight w:val="none"/>
        </w:rPr>
        <w:t>第三节 政府采购合同专用条款</w:t>
      </w:r>
      <w:bookmarkEnd w:id="90"/>
      <w:bookmarkEnd w:id="91"/>
    </w:p>
    <w:p w14:paraId="1BA6EBCD">
      <w:pPr>
        <w:adjustRightInd w:val="0"/>
        <w:snapToGrid w:val="0"/>
        <w:spacing w:line="360" w:lineRule="auto"/>
        <w:jc w:val="center"/>
        <w:rPr>
          <w:rFonts w:ascii="宋体" w:hAnsi="宋体"/>
          <w:color w:val="auto"/>
          <w:sz w:val="24"/>
          <w:highlight w:val="none"/>
        </w:rPr>
      </w:pPr>
    </w:p>
    <w:tbl>
      <w:tblPr>
        <w:tblStyle w:val="26"/>
        <w:tblW w:w="900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464"/>
      </w:tblGrid>
      <w:tr w14:paraId="485D2F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BC3070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468991A5">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第1.1款</w:t>
            </w:r>
          </w:p>
        </w:tc>
        <w:tc>
          <w:tcPr>
            <w:tcW w:w="1843" w:type="dxa"/>
            <w:noWrap w:val="0"/>
            <w:vAlign w:val="center"/>
          </w:tcPr>
          <w:p w14:paraId="4286E51F">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甲方名称、地址 </w:t>
            </w:r>
          </w:p>
        </w:tc>
        <w:tc>
          <w:tcPr>
            <w:tcW w:w="5464" w:type="dxa"/>
            <w:noWrap w:val="0"/>
            <w:vAlign w:val="center"/>
          </w:tcPr>
          <w:p w14:paraId="18E33001">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 </w:t>
            </w:r>
          </w:p>
        </w:tc>
      </w:tr>
      <w:tr w14:paraId="68BEE5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0BF7F07">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012B26F0">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第1.2（6）项</w:t>
            </w:r>
          </w:p>
        </w:tc>
        <w:tc>
          <w:tcPr>
            <w:tcW w:w="1843" w:type="dxa"/>
            <w:noWrap w:val="0"/>
            <w:vAlign w:val="center"/>
          </w:tcPr>
          <w:p w14:paraId="4DB61D6F">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项目现场</w:t>
            </w:r>
          </w:p>
        </w:tc>
        <w:tc>
          <w:tcPr>
            <w:tcW w:w="5464" w:type="dxa"/>
            <w:noWrap w:val="0"/>
            <w:vAlign w:val="center"/>
          </w:tcPr>
          <w:p w14:paraId="2831C943">
            <w:pPr>
              <w:adjustRightInd w:val="0"/>
              <w:snapToGrid w:val="0"/>
              <w:spacing w:line="360" w:lineRule="auto"/>
              <w:jc w:val="left"/>
              <w:rPr>
                <w:rFonts w:ascii="宋体" w:hAnsi="宋体" w:eastAsia="宋体" w:cs="Times New Roman"/>
                <w:color w:val="auto"/>
                <w:szCs w:val="21"/>
                <w:highlight w:val="none"/>
              </w:rPr>
            </w:pPr>
          </w:p>
        </w:tc>
      </w:tr>
      <w:tr w14:paraId="3AD299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F46BFAD">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724A6590">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第5.1款</w:t>
            </w:r>
          </w:p>
        </w:tc>
        <w:tc>
          <w:tcPr>
            <w:tcW w:w="1843" w:type="dxa"/>
            <w:noWrap w:val="0"/>
            <w:vAlign w:val="center"/>
          </w:tcPr>
          <w:p w14:paraId="6904FC20">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履行合同的时间、地点及方式</w:t>
            </w:r>
          </w:p>
        </w:tc>
        <w:tc>
          <w:tcPr>
            <w:tcW w:w="5464" w:type="dxa"/>
            <w:noWrap w:val="0"/>
            <w:vAlign w:val="center"/>
          </w:tcPr>
          <w:p w14:paraId="09FAD8DD">
            <w:pPr>
              <w:adjustRightInd w:val="0"/>
              <w:snapToGrid w:val="0"/>
              <w:spacing w:line="360" w:lineRule="auto"/>
              <w:jc w:val="left"/>
              <w:rPr>
                <w:rFonts w:ascii="宋体" w:hAnsi="宋体" w:eastAsia="宋体" w:cs="Times New Roman"/>
                <w:color w:val="auto"/>
                <w:szCs w:val="21"/>
                <w:highlight w:val="none"/>
              </w:rPr>
            </w:pPr>
          </w:p>
        </w:tc>
      </w:tr>
      <w:tr w14:paraId="7F7B33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33FB44F">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41A451AE">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第9.2（1）项</w:t>
            </w:r>
          </w:p>
        </w:tc>
        <w:tc>
          <w:tcPr>
            <w:tcW w:w="1843" w:type="dxa"/>
            <w:noWrap w:val="0"/>
            <w:vAlign w:val="center"/>
          </w:tcPr>
          <w:p w14:paraId="4028CFDD">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质量保证期</w:t>
            </w:r>
          </w:p>
        </w:tc>
        <w:tc>
          <w:tcPr>
            <w:tcW w:w="5464" w:type="dxa"/>
            <w:noWrap w:val="0"/>
            <w:vAlign w:val="center"/>
          </w:tcPr>
          <w:p w14:paraId="2A2CB22B">
            <w:pPr>
              <w:autoSpaceDE w:val="0"/>
              <w:autoSpaceDN w:val="0"/>
              <w:adjustRightInd w:val="0"/>
              <w:snapToGrid w:val="0"/>
              <w:spacing w:line="360" w:lineRule="auto"/>
              <w:ind w:firstLine="420" w:firstLineChars="200"/>
              <w:jc w:val="left"/>
              <w:rPr>
                <w:rFonts w:ascii="宋体" w:hAnsi="宋体" w:eastAsia="宋体" w:cs="Times New Roman"/>
                <w:color w:val="auto"/>
                <w:szCs w:val="21"/>
                <w:highlight w:val="none"/>
              </w:rPr>
            </w:pPr>
          </w:p>
        </w:tc>
      </w:tr>
      <w:tr w14:paraId="7134D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406A288D">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6EE1992A">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第9.2（3）项</w:t>
            </w:r>
          </w:p>
        </w:tc>
        <w:tc>
          <w:tcPr>
            <w:tcW w:w="1843" w:type="dxa"/>
            <w:noWrap w:val="0"/>
            <w:vAlign w:val="center"/>
          </w:tcPr>
          <w:p w14:paraId="1E3FB64F">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响应时间</w:t>
            </w:r>
          </w:p>
        </w:tc>
        <w:tc>
          <w:tcPr>
            <w:tcW w:w="5464" w:type="dxa"/>
            <w:noWrap w:val="0"/>
            <w:vAlign w:val="center"/>
          </w:tcPr>
          <w:p w14:paraId="1085A1D5">
            <w:pPr>
              <w:adjustRightInd w:val="0"/>
              <w:snapToGrid w:val="0"/>
              <w:spacing w:line="360" w:lineRule="auto"/>
              <w:jc w:val="left"/>
              <w:rPr>
                <w:rFonts w:ascii="宋体" w:hAnsi="宋体" w:eastAsia="宋体" w:cs="Times New Roman"/>
                <w:color w:val="auto"/>
                <w:szCs w:val="21"/>
                <w:highlight w:val="none"/>
              </w:rPr>
            </w:pPr>
          </w:p>
        </w:tc>
      </w:tr>
      <w:tr w14:paraId="4079B0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4B40D532">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7D984EC1">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第13.5款</w:t>
            </w:r>
          </w:p>
        </w:tc>
        <w:tc>
          <w:tcPr>
            <w:tcW w:w="1843" w:type="dxa"/>
            <w:noWrap w:val="0"/>
            <w:vAlign w:val="center"/>
          </w:tcPr>
          <w:p w14:paraId="41A0B6D7">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合同价款支付方式</w:t>
            </w:r>
            <w:r>
              <w:rPr>
                <w:rFonts w:hint="eastAsia" w:ascii="宋体" w:hAnsi="宋体" w:eastAsia="宋体" w:cs="Times New Roman"/>
                <w:bCs/>
                <w:color w:val="auto"/>
                <w:szCs w:val="21"/>
                <w:highlight w:val="none"/>
              </w:rPr>
              <w:t>和条件</w:t>
            </w:r>
          </w:p>
        </w:tc>
        <w:tc>
          <w:tcPr>
            <w:tcW w:w="5464" w:type="dxa"/>
            <w:noWrap w:val="0"/>
            <w:vAlign w:val="center"/>
          </w:tcPr>
          <w:p w14:paraId="28640B79">
            <w:pPr>
              <w:adjustRightInd w:val="0"/>
              <w:snapToGrid w:val="0"/>
              <w:spacing w:line="360" w:lineRule="auto"/>
              <w:jc w:val="left"/>
              <w:rPr>
                <w:rFonts w:ascii="宋体" w:hAnsi="宋体" w:eastAsia="宋体" w:cs="Times New Roman"/>
                <w:color w:val="auto"/>
                <w:szCs w:val="21"/>
                <w:highlight w:val="none"/>
              </w:rPr>
            </w:pPr>
          </w:p>
        </w:tc>
      </w:tr>
      <w:tr w14:paraId="438241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5C66DFB1">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046892F0">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第14.2（6）项</w:t>
            </w:r>
          </w:p>
        </w:tc>
        <w:tc>
          <w:tcPr>
            <w:tcW w:w="1843" w:type="dxa"/>
            <w:noWrap w:val="0"/>
            <w:vAlign w:val="center"/>
          </w:tcPr>
          <w:p w14:paraId="72791B06">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乙方提供的其他服务</w:t>
            </w:r>
          </w:p>
        </w:tc>
        <w:tc>
          <w:tcPr>
            <w:tcW w:w="5464" w:type="dxa"/>
            <w:noWrap w:val="0"/>
            <w:vAlign w:val="center"/>
          </w:tcPr>
          <w:p w14:paraId="73E37716">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，或第五章采购需求。</w:t>
            </w:r>
          </w:p>
        </w:tc>
      </w:tr>
      <w:tr w14:paraId="01A202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4BD584A7">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本章第二节</w:t>
            </w:r>
          </w:p>
          <w:p w14:paraId="5EAA5A11">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第23.1款</w:t>
            </w:r>
          </w:p>
        </w:tc>
        <w:tc>
          <w:tcPr>
            <w:tcW w:w="1843" w:type="dxa"/>
            <w:noWrap w:val="0"/>
            <w:vAlign w:val="center"/>
          </w:tcPr>
          <w:p w14:paraId="7BD10218">
            <w:pPr>
              <w:adjustRightInd w:val="0"/>
              <w:snapToGrid w:val="0"/>
              <w:spacing w:line="360" w:lineRule="auto"/>
              <w:jc w:val="left"/>
              <w:rPr>
                <w:rFonts w:ascii="宋体" w:hAnsi="宋体" w:eastAsia="宋体" w:cs="Times New Roman"/>
                <w:color w:val="auto"/>
                <w:szCs w:val="21"/>
                <w:highlight w:val="none"/>
              </w:rPr>
            </w:pPr>
            <w:r>
              <w:rPr>
                <w:rFonts w:hint="eastAsia" w:ascii="宋体" w:hAnsi="宋体" w:eastAsia="宋体" w:cs="Times New Roman"/>
                <w:bCs/>
                <w:color w:val="auto"/>
                <w:szCs w:val="21"/>
                <w:highlight w:val="none"/>
              </w:rPr>
              <w:t>合同未尽事项</w:t>
            </w:r>
          </w:p>
        </w:tc>
        <w:tc>
          <w:tcPr>
            <w:tcW w:w="5464" w:type="dxa"/>
            <w:noWrap w:val="0"/>
            <w:vAlign w:val="center"/>
          </w:tcPr>
          <w:p w14:paraId="0F9FC030">
            <w:pPr>
              <w:adjustRightInd w:val="0"/>
              <w:snapToGrid w:val="0"/>
              <w:spacing w:line="360" w:lineRule="auto"/>
              <w:jc w:val="left"/>
              <w:rPr>
                <w:rFonts w:ascii="宋体" w:hAnsi="宋体" w:eastAsia="宋体" w:cs="Times New Roman"/>
                <w:color w:val="auto"/>
                <w:szCs w:val="21"/>
                <w:highlight w:val="none"/>
              </w:rPr>
            </w:pPr>
          </w:p>
        </w:tc>
      </w:tr>
    </w:tbl>
    <w:p w14:paraId="4BD43990">
      <w:pPr>
        <w:pStyle w:val="13"/>
        <w:adjustRightInd w:val="0"/>
        <w:snapToGrid w:val="0"/>
        <w:spacing w:line="360" w:lineRule="auto"/>
        <w:jc w:val="center"/>
        <w:outlineLvl w:val="0"/>
        <w:rPr>
          <w:rFonts w:ascii="黑体" w:hAnsi="华文中宋" w:eastAsia="黑体"/>
          <w:b/>
          <w:color w:val="auto"/>
          <w:sz w:val="32"/>
          <w:szCs w:val="32"/>
          <w:highlight w:val="none"/>
        </w:rPr>
      </w:pPr>
      <w:r>
        <w:rPr>
          <w:rFonts w:hAnsi="宋体"/>
          <w:b/>
          <w:bCs/>
          <w:color w:val="auto"/>
          <w:sz w:val="52"/>
          <w:szCs w:val="30"/>
          <w:highlight w:val="none"/>
        </w:rPr>
        <w:br w:type="page"/>
      </w:r>
      <w:bookmarkStart w:id="92" w:name="_Toc15670"/>
      <w:r>
        <w:rPr>
          <w:rFonts w:hint="eastAsia" w:ascii="黑体" w:hAnsi="华文中宋" w:eastAsia="黑体"/>
          <w:b/>
          <w:color w:val="auto"/>
          <w:sz w:val="32"/>
          <w:szCs w:val="32"/>
          <w:highlight w:val="none"/>
        </w:rPr>
        <w:t>第七章 投标文件的组成</w:t>
      </w:r>
      <w:bookmarkEnd w:id="92"/>
    </w:p>
    <w:p w14:paraId="63B04CFD">
      <w:pPr>
        <w:adjustRightInd w:val="0"/>
        <w:snapToGrid w:val="0"/>
        <w:spacing w:line="360" w:lineRule="auto"/>
        <w:ind w:left="-88" w:leftChars="-42"/>
        <w:jc w:val="center"/>
        <w:rPr>
          <w:b/>
          <w:bCs/>
          <w:color w:val="auto"/>
          <w:sz w:val="32"/>
          <w:highlight w:val="none"/>
        </w:rPr>
      </w:pPr>
    </w:p>
    <w:p w14:paraId="7264D956">
      <w:pPr>
        <w:adjustRightInd w:val="0"/>
        <w:snapToGrid w:val="0"/>
        <w:spacing w:before="156" w:beforeLines="50" w:line="360" w:lineRule="auto"/>
        <w:jc w:val="left"/>
        <w:rPr>
          <w:rFonts w:ascii="宋体" w:hAnsi="宋体"/>
          <w:b/>
          <w:color w:val="auto"/>
          <w:szCs w:val="21"/>
          <w:highlight w:val="none"/>
        </w:rPr>
      </w:pPr>
      <w:r>
        <w:rPr>
          <w:rFonts w:hint="eastAsia" w:ascii="宋体" w:hAnsi="宋体"/>
          <w:b/>
          <w:color w:val="auto"/>
          <w:szCs w:val="21"/>
          <w:highlight w:val="none"/>
        </w:rPr>
        <w:t>第一部分 资格证明文件</w:t>
      </w:r>
    </w:p>
    <w:p w14:paraId="67B0DFDA">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一、开标一览表</w:t>
      </w:r>
    </w:p>
    <w:p w14:paraId="4A900DBB">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二、授权委托书</w:t>
      </w:r>
    </w:p>
    <w:p w14:paraId="6A6A7C81">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三、投标人提供的资格证明文件</w:t>
      </w:r>
    </w:p>
    <w:p w14:paraId="5E69BD24">
      <w:pPr>
        <w:adjustRightInd w:val="0"/>
        <w:snapToGrid w:val="0"/>
        <w:spacing w:before="156" w:beforeLines="50" w:line="360" w:lineRule="auto"/>
        <w:jc w:val="left"/>
        <w:rPr>
          <w:rFonts w:ascii="宋体" w:hAnsi="宋体"/>
          <w:b/>
          <w:color w:val="auto"/>
          <w:szCs w:val="21"/>
          <w:highlight w:val="none"/>
        </w:rPr>
      </w:pPr>
      <w:r>
        <w:rPr>
          <w:rFonts w:hint="eastAsia" w:ascii="宋体" w:hAnsi="宋体"/>
          <w:b/>
          <w:color w:val="auto"/>
          <w:szCs w:val="21"/>
          <w:highlight w:val="none"/>
        </w:rPr>
        <w:t>第二部分 商务技术文件</w:t>
      </w:r>
    </w:p>
    <w:p w14:paraId="6B6A2EF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四、投标函</w:t>
      </w:r>
    </w:p>
    <w:p w14:paraId="73A9E1F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五、分项报价</w:t>
      </w:r>
    </w:p>
    <w:p w14:paraId="6DE41B30">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六、采购需求响应</w:t>
      </w:r>
    </w:p>
    <w:p w14:paraId="396BA54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七、合同条款偏离表</w:t>
      </w:r>
    </w:p>
    <w:p w14:paraId="79D85C23">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八、采购需求偏离表</w:t>
      </w:r>
    </w:p>
    <w:p w14:paraId="023D7B1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九、享受政府采购政策优惠的证明资料</w:t>
      </w:r>
    </w:p>
    <w:p w14:paraId="00BB8F1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十、投标货物符合招标文件规定的证明文件</w:t>
      </w:r>
    </w:p>
    <w:p w14:paraId="6F35F0CC">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十一、投标人认为需提供的其他资料</w:t>
      </w:r>
    </w:p>
    <w:p w14:paraId="5FCD6028">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注：投标人可编制资格审查索引表、符合性审查索引表、评审索引表，以便采购人及采购代理机构资格审查和评标委员会评审。</w:t>
      </w:r>
    </w:p>
    <w:p w14:paraId="2C49383B">
      <w:pPr>
        <w:adjustRightInd w:val="0"/>
        <w:snapToGrid w:val="0"/>
        <w:spacing w:before="156" w:beforeLines="50" w:line="360" w:lineRule="auto"/>
        <w:ind w:firstLine="420" w:firstLineChars="200"/>
        <w:jc w:val="left"/>
        <w:rPr>
          <w:rFonts w:ascii="宋体" w:hAnsi="宋体"/>
          <w:color w:val="auto"/>
          <w:szCs w:val="21"/>
          <w:highlight w:val="none"/>
        </w:rPr>
      </w:pPr>
    </w:p>
    <w:p w14:paraId="12511F99">
      <w:pPr>
        <w:adjustRightInd w:val="0"/>
        <w:snapToGrid w:val="0"/>
        <w:spacing w:line="360" w:lineRule="auto"/>
        <w:jc w:val="center"/>
        <w:rPr>
          <w:rFonts w:ascii="仿宋_GB2312" w:hAnsi="宋体" w:eastAsia="仿宋_GB2312"/>
          <w:color w:val="auto"/>
          <w:szCs w:val="21"/>
          <w:highlight w:val="none"/>
        </w:rPr>
      </w:pPr>
    </w:p>
    <w:p w14:paraId="708A6457">
      <w:pPr>
        <w:adjustRightInd w:val="0"/>
        <w:snapToGrid w:val="0"/>
        <w:spacing w:line="360" w:lineRule="auto"/>
        <w:jc w:val="center"/>
        <w:rPr>
          <w:rFonts w:ascii="黑体" w:eastAsia="黑体"/>
          <w:color w:val="auto"/>
          <w:sz w:val="32"/>
          <w:szCs w:val="32"/>
          <w:highlight w:val="none"/>
        </w:rPr>
      </w:pPr>
      <w:r>
        <w:rPr>
          <w:rFonts w:ascii="仿宋_GB2312" w:hAnsi="宋体" w:eastAsia="仿宋_GB2312"/>
          <w:color w:val="auto"/>
          <w:szCs w:val="21"/>
          <w:highlight w:val="none"/>
        </w:rPr>
        <w:br w:type="page"/>
      </w:r>
    </w:p>
    <w:p w14:paraId="65674127">
      <w:pPr>
        <w:adjustRightInd w:val="0"/>
        <w:snapToGrid w:val="0"/>
        <w:spacing w:line="360" w:lineRule="auto"/>
        <w:jc w:val="center"/>
        <w:rPr>
          <w:rFonts w:ascii="黑体" w:eastAsia="黑体"/>
          <w:color w:val="auto"/>
          <w:sz w:val="32"/>
          <w:szCs w:val="32"/>
          <w:highlight w:val="none"/>
        </w:rPr>
      </w:pPr>
    </w:p>
    <w:p w14:paraId="7625A342">
      <w:pPr>
        <w:pStyle w:val="13"/>
        <w:adjustRightInd w:val="0"/>
        <w:snapToGrid w:val="0"/>
        <w:spacing w:line="360" w:lineRule="auto"/>
        <w:jc w:val="center"/>
        <w:rPr>
          <w:rFonts w:hAnsi="宋体"/>
          <w:b/>
          <w:bCs/>
          <w:color w:val="auto"/>
          <w:sz w:val="72"/>
          <w:szCs w:val="72"/>
          <w:highlight w:val="none"/>
        </w:rPr>
      </w:pPr>
      <w:r>
        <w:rPr>
          <w:rFonts w:hint="eastAsia" w:hAnsi="宋体"/>
          <w:b/>
          <w:bCs/>
          <w:color w:val="auto"/>
          <w:sz w:val="72"/>
          <w:szCs w:val="72"/>
          <w:highlight w:val="none"/>
        </w:rPr>
        <w:t>政府采购</w:t>
      </w:r>
    </w:p>
    <w:p w14:paraId="24D7B54D">
      <w:pPr>
        <w:adjustRightInd w:val="0"/>
        <w:snapToGrid w:val="0"/>
        <w:spacing w:line="360" w:lineRule="auto"/>
        <w:jc w:val="center"/>
        <w:rPr>
          <w:rFonts w:ascii="宋体" w:hAnsi="宋体"/>
          <w:b/>
          <w:bCs/>
          <w:color w:val="auto"/>
          <w:sz w:val="84"/>
          <w:szCs w:val="84"/>
          <w:highlight w:val="none"/>
        </w:rPr>
      </w:pPr>
      <w:r>
        <w:rPr>
          <w:rFonts w:hint="eastAsia" w:ascii="宋体" w:hAnsi="宋体"/>
          <w:b/>
          <w:bCs/>
          <w:color w:val="auto"/>
          <w:sz w:val="84"/>
          <w:szCs w:val="84"/>
          <w:highlight w:val="none"/>
        </w:rPr>
        <w:t>投 标 文 件</w:t>
      </w:r>
    </w:p>
    <w:p w14:paraId="3A686AE1">
      <w:pPr>
        <w:pStyle w:val="5"/>
        <w:adjustRightInd w:val="0"/>
        <w:snapToGrid w:val="0"/>
        <w:jc w:val="center"/>
        <w:rPr>
          <w:rFonts w:ascii="黑体" w:hAnsi="黑体" w:eastAsia="黑体"/>
          <w:color w:val="auto"/>
          <w:sz w:val="44"/>
          <w:szCs w:val="44"/>
          <w:highlight w:val="none"/>
        </w:rPr>
      </w:pPr>
      <w:bookmarkStart w:id="93" w:name="_Toc29131"/>
      <w:r>
        <w:rPr>
          <w:rFonts w:hint="eastAsia" w:ascii="黑体" w:hAnsi="黑体" w:eastAsia="黑体"/>
          <w:color w:val="auto"/>
          <w:sz w:val="44"/>
          <w:szCs w:val="44"/>
          <w:highlight w:val="none"/>
        </w:rPr>
        <w:t>第一部分 资格证明文件</w:t>
      </w:r>
      <w:bookmarkEnd w:id="93"/>
    </w:p>
    <w:p w14:paraId="0784B30F">
      <w:pPr>
        <w:adjustRightInd w:val="0"/>
        <w:snapToGrid w:val="0"/>
        <w:spacing w:line="360" w:lineRule="auto"/>
        <w:rPr>
          <w:rFonts w:ascii="黑体" w:hAnsi="黑体" w:eastAsia="黑体"/>
          <w:b/>
          <w:color w:val="auto"/>
          <w:sz w:val="32"/>
          <w:szCs w:val="32"/>
          <w:highlight w:val="none"/>
        </w:rPr>
      </w:pPr>
    </w:p>
    <w:p w14:paraId="47BFFFE5">
      <w:pPr>
        <w:adjustRightInd w:val="0"/>
        <w:snapToGrid w:val="0"/>
        <w:spacing w:line="360" w:lineRule="auto"/>
        <w:rPr>
          <w:rFonts w:ascii="宋体" w:hAnsi="宋体"/>
          <w:b/>
          <w:color w:val="auto"/>
          <w:sz w:val="30"/>
          <w:szCs w:val="30"/>
          <w:highlight w:val="none"/>
        </w:rPr>
      </w:pPr>
      <w:r>
        <w:rPr>
          <w:rFonts w:hint="eastAsia" w:ascii="宋体" w:hAnsi="宋体"/>
          <w:b/>
          <w:color w:val="auto"/>
          <w:sz w:val="32"/>
          <w:szCs w:val="32"/>
          <w:highlight w:val="none"/>
        </w:rPr>
        <w:t xml:space="preserve">                     </w:t>
      </w:r>
    </w:p>
    <w:p w14:paraId="7B0825BC">
      <w:pPr>
        <w:pStyle w:val="13"/>
        <w:adjustRightInd w:val="0"/>
        <w:snapToGrid w:val="0"/>
        <w:spacing w:line="360" w:lineRule="auto"/>
        <w:ind w:firstLine="1988" w:firstLineChars="660"/>
        <w:rPr>
          <w:rFonts w:hint="eastAsia" w:hAnsi="宋体"/>
          <w:b/>
          <w:bCs/>
          <w:color w:val="auto"/>
          <w:sz w:val="30"/>
          <w:szCs w:val="30"/>
          <w:highlight w:val="none"/>
          <w:u w:val="single"/>
        </w:rPr>
      </w:pPr>
      <w:r>
        <w:rPr>
          <w:rFonts w:hint="eastAsia" w:hAnsi="宋体"/>
          <w:b/>
          <w:bCs/>
          <w:color w:val="auto"/>
          <w:sz w:val="30"/>
          <w:szCs w:val="30"/>
          <w:highlight w:val="none"/>
        </w:rPr>
        <w:t>采购项目名称:</w:t>
      </w:r>
      <w:r>
        <w:rPr>
          <w:rFonts w:hint="eastAsia" w:hAnsi="宋体"/>
          <w:b/>
          <w:bCs/>
          <w:color w:val="auto"/>
          <w:sz w:val="30"/>
          <w:szCs w:val="30"/>
          <w:highlight w:val="none"/>
          <w:u w:val="single"/>
        </w:rPr>
        <w:t xml:space="preserve">                       </w:t>
      </w:r>
    </w:p>
    <w:p w14:paraId="4367F709">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包号及包名称：</w:t>
      </w:r>
      <w:r>
        <w:rPr>
          <w:rFonts w:hint="eastAsia" w:hAnsi="宋体"/>
          <w:b/>
          <w:bCs/>
          <w:color w:val="auto"/>
          <w:sz w:val="30"/>
          <w:szCs w:val="30"/>
          <w:highlight w:val="none"/>
          <w:u w:val="single"/>
        </w:rPr>
        <w:t xml:space="preserve">                     </w:t>
      </w:r>
    </w:p>
    <w:p w14:paraId="5C513539">
      <w:pPr>
        <w:pStyle w:val="13"/>
        <w:adjustRightInd w:val="0"/>
        <w:snapToGrid w:val="0"/>
        <w:spacing w:line="360" w:lineRule="auto"/>
        <w:ind w:firstLine="1988" w:firstLineChars="660"/>
        <w:rPr>
          <w:rFonts w:hAnsi="宋体"/>
          <w:b/>
          <w:bCs/>
          <w:color w:val="auto"/>
          <w:sz w:val="30"/>
          <w:szCs w:val="30"/>
          <w:highlight w:val="none"/>
        </w:rPr>
      </w:pPr>
      <w:r>
        <w:rPr>
          <w:rFonts w:hint="eastAsia" w:hAnsi="宋体"/>
          <w:b/>
          <w:bCs/>
          <w:color w:val="auto"/>
          <w:sz w:val="30"/>
          <w:szCs w:val="30"/>
          <w:highlight w:val="none"/>
        </w:rPr>
        <w:t>采   购   人：</w:t>
      </w:r>
      <w:r>
        <w:rPr>
          <w:rFonts w:hint="eastAsia" w:hAnsi="宋体"/>
          <w:b/>
          <w:bCs/>
          <w:color w:val="auto"/>
          <w:sz w:val="30"/>
          <w:szCs w:val="30"/>
          <w:highlight w:val="none"/>
          <w:u w:val="single"/>
        </w:rPr>
        <w:t xml:space="preserve">                      </w:t>
      </w:r>
    </w:p>
    <w:p w14:paraId="4F1D3F55">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政府采购计划编号:</w:t>
      </w:r>
      <w:r>
        <w:rPr>
          <w:rFonts w:hint="eastAsia" w:hAnsi="宋体"/>
          <w:b/>
          <w:bCs/>
          <w:color w:val="auto"/>
          <w:sz w:val="30"/>
          <w:szCs w:val="30"/>
          <w:highlight w:val="none"/>
          <w:u w:val="single"/>
        </w:rPr>
        <w:t xml:space="preserve">                   </w:t>
      </w:r>
    </w:p>
    <w:p w14:paraId="10E7F164">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委托代理编号:</w:t>
      </w:r>
      <w:r>
        <w:rPr>
          <w:rFonts w:hint="eastAsia" w:hAnsi="宋体"/>
          <w:b/>
          <w:bCs/>
          <w:color w:val="auto"/>
          <w:sz w:val="30"/>
          <w:szCs w:val="30"/>
          <w:highlight w:val="none"/>
          <w:u w:val="single"/>
        </w:rPr>
        <w:t xml:space="preserve">                       </w:t>
      </w:r>
    </w:p>
    <w:p w14:paraId="5976564B">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采购代理机构：</w:t>
      </w:r>
      <w:r>
        <w:rPr>
          <w:rFonts w:hint="eastAsia" w:hAnsi="宋体"/>
          <w:b/>
          <w:bCs/>
          <w:color w:val="auto"/>
          <w:sz w:val="30"/>
          <w:szCs w:val="30"/>
          <w:highlight w:val="none"/>
          <w:u w:val="single"/>
        </w:rPr>
        <w:t xml:space="preserve">                      </w:t>
      </w:r>
    </w:p>
    <w:p w14:paraId="3FE3DAA2">
      <w:pPr>
        <w:adjustRightInd w:val="0"/>
        <w:snapToGrid w:val="0"/>
        <w:spacing w:line="360" w:lineRule="auto"/>
        <w:rPr>
          <w:rFonts w:ascii="黑体" w:hAnsi="黑体" w:eastAsia="黑体"/>
          <w:color w:val="auto"/>
          <w:sz w:val="30"/>
          <w:szCs w:val="30"/>
          <w:highlight w:val="none"/>
        </w:rPr>
      </w:pPr>
    </w:p>
    <w:p w14:paraId="0985C1F8">
      <w:pPr>
        <w:adjustRightInd w:val="0"/>
        <w:snapToGrid w:val="0"/>
        <w:rPr>
          <w:rFonts w:ascii="黑体" w:hAnsi="宋体" w:eastAsia="黑体"/>
          <w:color w:val="auto"/>
          <w:sz w:val="30"/>
          <w:szCs w:val="30"/>
          <w:highlight w:val="none"/>
        </w:rPr>
      </w:pPr>
    </w:p>
    <w:p w14:paraId="3EE37EAE">
      <w:pPr>
        <w:adjustRightInd w:val="0"/>
        <w:snapToGrid w:val="0"/>
        <w:spacing w:line="360" w:lineRule="auto"/>
        <w:rPr>
          <w:rFonts w:ascii="黑体" w:hAnsi="宋体" w:eastAsia="黑体"/>
          <w:color w:val="auto"/>
          <w:sz w:val="30"/>
          <w:szCs w:val="30"/>
          <w:highlight w:val="none"/>
        </w:rPr>
      </w:pPr>
    </w:p>
    <w:p w14:paraId="19CB689F">
      <w:pPr>
        <w:adjustRightInd w:val="0"/>
        <w:snapToGrid w:val="0"/>
        <w:spacing w:line="360" w:lineRule="auto"/>
        <w:rPr>
          <w:rFonts w:ascii="黑体" w:hAnsi="宋体" w:eastAsia="黑体"/>
          <w:color w:val="auto"/>
          <w:sz w:val="30"/>
          <w:szCs w:val="30"/>
          <w:highlight w:val="none"/>
        </w:rPr>
      </w:pPr>
    </w:p>
    <w:p w14:paraId="2C1D7453">
      <w:pPr>
        <w:adjustRightInd w:val="0"/>
        <w:snapToGrid w:val="0"/>
        <w:spacing w:line="360" w:lineRule="auto"/>
        <w:rPr>
          <w:rFonts w:ascii="黑体" w:hAnsi="宋体" w:eastAsia="黑体"/>
          <w:color w:val="auto"/>
          <w:sz w:val="30"/>
          <w:szCs w:val="30"/>
          <w:highlight w:val="none"/>
        </w:rPr>
      </w:pPr>
    </w:p>
    <w:p w14:paraId="37D4F9ED">
      <w:pPr>
        <w:adjustRightInd w:val="0"/>
        <w:snapToGrid w:val="0"/>
        <w:spacing w:line="360" w:lineRule="auto"/>
        <w:ind w:firstLine="1984" w:firstLineChars="620"/>
        <w:rPr>
          <w:rFonts w:ascii="黑体" w:hAnsi="宋体" w:eastAsia="黑体"/>
          <w:color w:val="auto"/>
          <w:sz w:val="32"/>
          <w:szCs w:val="32"/>
          <w:highlight w:val="none"/>
          <w:u w:val="single"/>
        </w:rPr>
      </w:pPr>
      <w:r>
        <w:rPr>
          <w:rFonts w:hint="eastAsia" w:ascii="黑体" w:hAnsi="宋体" w:eastAsia="黑体"/>
          <w:color w:val="auto"/>
          <w:sz w:val="32"/>
          <w:szCs w:val="32"/>
          <w:highlight w:val="none"/>
        </w:rPr>
        <w:t>投标人</w:t>
      </w:r>
      <w:r>
        <w:rPr>
          <w:rFonts w:hint="eastAsia" w:ascii="黑体" w:hAnsi="宋体" w:eastAsia="黑体"/>
          <w:color w:val="auto"/>
          <w:sz w:val="32"/>
          <w:szCs w:val="32"/>
          <w:highlight w:val="none"/>
          <w:u w:val="single"/>
        </w:rPr>
        <w:t xml:space="preserve">                         </w:t>
      </w:r>
    </w:p>
    <w:p w14:paraId="4BC2DEF3">
      <w:pPr>
        <w:adjustRightInd w:val="0"/>
        <w:snapToGrid w:val="0"/>
        <w:spacing w:line="360" w:lineRule="auto"/>
        <w:jc w:val="center"/>
        <w:rPr>
          <w:rFonts w:ascii="黑体" w:eastAsia="黑体"/>
          <w:color w:val="auto"/>
          <w:sz w:val="10"/>
          <w:szCs w:val="10"/>
          <w:highlight w:val="none"/>
        </w:rPr>
      </w:pPr>
      <w:r>
        <w:rPr>
          <w:rFonts w:hint="eastAsia" w:ascii="黑体" w:hAnsi="宋体" w:eastAsia="黑体"/>
          <w:color w:val="auto"/>
          <w:sz w:val="32"/>
          <w:szCs w:val="32"/>
          <w:highlight w:val="none"/>
        </w:rPr>
        <w:t>年  月  日</w:t>
      </w:r>
      <w:r>
        <w:rPr>
          <w:rFonts w:ascii="黑体" w:eastAsia="黑体"/>
          <w:color w:val="auto"/>
          <w:sz w:val="28"/>
          <w:szCs w:val="28"/>
          <w:highlight w:val="none"/>
        </w:rPr>
        <w:br w:type="page"/>
      </w:r>
    </w:p>
    <w:p w14:paraId="5A4AB591">
      <w:pPr>
        <w:pStyle w:val="6"/>
        <w:adjustRightInd w:val="0"/>
        <w:snapToGrid w:val="0"/>
        <w:spacing w:before="0" w:after="0" w:line="360" w:lineRule="auto"/>
        <w:jc w:val="center"/>
        <w:rPr>
          <w:rFonts w:ascii="黑体" w:hAnsi="宋体" w:eastAsia="黑体"/>
          <w:color w:val="auto"/>
          <w:sz w:val="28"/>
          <w:szCs w:val="28"/>
          <w:highlight w:val="none"/>
        </w:rPr>
      </w:pPr>
      <w:bookmarkStart w:id="94" w:name="_Toc27328"/>
      <w:r>
        <w:rPr>
          <w:rFonts w:hint="eastAsia" w:ascii="黑体" w:hAnsi="宋体" w:eastAsia="黑体"/>
          <w:color w:val="auto"/>
          <w:sz w:val="28"/>
          <w:szCs w:val="28"/>
          <w:highlight w:val="none"/>
        </w:rPr>
        <w:t>一、开标一览表</w:t>
      </w:r>
      <w:bookmarkEnd w:id="94"/>
    </w:p>
    <w:p w14:paraId="00CD9738">
      <w:pPr>
        <w:adjustRightInd w:val="0"/>
        <w:snapToGrid w:val="0"/>
        <w:spacing w:line="360" w:lineRule="auto"/>
        <w:ind w:left="-88" w:leftChars="-42"/>
        <w:jc w:val="center"/>
        <w:rPr>
          <w:rFonts w:ascii="仿宋_GB2312" w:hAnsi="宋体" w:eastAsia="仿宋_GB2312"/>
          <w:color w:val="auto"/>
          <w:sz w:val="24"/>
          <w:highlight w:val="none"/>
        </w:rPr>
      </w:pPr>
    </w:p>
    <w:p w14:paraId="759C10BF">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政府采购计划编号：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BE41560">
      <w:pPr>
        <w:adjustRightInd w:val="0"/>
        <w:snapToGrid w:val="0"/>
        <w:spacing w:line="360" w:lineRule="auto"/>
        <w:rPr>
          <w:rFonts w:ascii="宋体" w:hAnsi="宋体"/>
          <w:b/>
          <w:color w:val="auto"/>
          <w:szCs w:val="21"/>
          <w:highlight w:val="none"/>
        </w:rPr>
      </w:pPr>
      <w:r>
        <w:rPr>
          <w:rFonts w:hint="eastAsia" w:ascii="宋体" w:hAnsi="宋体"/>
          <w:color w:val="auto"/>
          <w:szCs w:val="21"/>
          <w:highlight w:val="none"/>
        </w:rPr>
        <w:t>包号：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5A6218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3736B2BC">
            <w:pPr>
              <w:adjustRightInd w:val="0"/>
              <w:snapToGrid w:val="0"/>
              <w:spacing w:line="360" w:lineRule="auto"/>
              <w:jc w:val="center"/>
              <w:rPr>
                <w:rFonts w:ascii="宋体" w:hAnsi="宋体" w:eastAsia="宋体" w:cs="Times New Roman"/>
                <w:b/>
                <w:color w:val="auto"/>
                <w:kern w:val="0"/>
                <w:sz w:val="20"/>
                <w:szCs w:val="21"/>
                <w:highlight w:val="none"/>
              </w:rPr>
            </w:pPr>
            <w:r>
              <w:rPr>
                <w:rFonts w:hint="eastAsia" w:ascii="宋体" w:hAnsi="宋体" w:eastAsia="宋体" w:cs="Times New Roman"/>
                <w:b/>
                <w:color w:val="auto"/>
                <w:kern w:val="0"/>
                <w:szCs w:val="21"/>
                <w:highlight w:val="none"/>
              </w:rPr>
              <w:t>投标报价</w:t>
            </w:r>
          </w:p>
        </w:tc>
        <w:tc>
          <w:tcPr>
            <w:tcW w:w="3119" w:type="dxa"/>
            <w:noWrap w:val="0"/>
            <w:vAlign w:val="center"/>
          </w:tcPr>
          <w:p w14:paraId="2C87724B">
            <w:pPr>
              <w:adjustRightInd w:val="0"/>
              <w:snapToGrid w:val="0"/>
              <w:spacing w:line="360" w:lineRule="auto"/>
              <w:jc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其他内容</w:t>
            </w:r>
          </w:p>
        </w:tc>
      </w:tr>
      <w:tr w14:paraId="746DC7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3DD2E829">
            <w:pPr>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小写金额：</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 w:val="20"/>
                <w:szCs w:val="21"/>
                <w:highlight w:val="none"/>
              </w:rPr>
              <w:t>人民币元</w:t>
            </w:r>
            <w:r>
              <w:rPr>
                <w:rFonts w:hint="eastAsia" w:ascii="宋体" w:hAnsi="宋体" w:eastAsia="宋体" w:cs="Times New Roman"/>
                <w:color w:val="auto"/>
                <w:kern w:val="0"/>
                <w:szCs w:val="21"/>
                <w:highlight w:val="none"/>
              </w:rPr>
              <w:t>）</w:t>
            </w:r>
          </w:p>
          <w:p w14:paraId="04713C71">
            <w:pPr>
              <w:adjustRightInd w:val="0"/>
              <w:snapToGrid w:val="0"/>
              <w:spacing w:line="360" w:lineRule="auto"/>
              <w:jc w:val="center"/>
              <w:rPr>
                <w:rFonts w:ascii="宋体" w:hAnsi="宋体" w:eastAsia="宋体" w:cs="Times New Roman"/>
                <w:color w:val="auto"/>
                <w:kern w:val="0"/>
                <w:szCs w:val="21"/>
                <w:highlight w:val="none"/>
                <w:u w:val="single"/>
              </w:rPr>
            </w:pPr>
            <w:r>
              <w:rPr>
                <w:rFonts w:hint="eastAsia" w:ascii="宋体" w:hAnsi="宋体" w:eastAsia="宋体" w:cs="Times New Roman"/>
                <w:color w:val="auto"/>
                <w:kern w:val="0"/>
                <w:szCs w:val="21"/>
                <w:highlight w:val="none"/>
              </w:rPr>
              <w:t>大写金额：</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 w:val="20"/>
                <w:szCs w:val="21"/>
                <w:highlight w:val="none"/>
              </w:rPr>
              <w:t>人民币元</w:t>
            </w:r>
            <w:r>
              <w:rPr>
                <w:rFonts w:hint="eastAsia" w:ascii="宋体" w:hAnsi="宋体" w:eastAsia="宋体" w:cs="Times New Roman"/>
                <w:color w:val="auto"/>
                <w:kern w:val="0"/>
                <w:szCs w:val="21"/>
                <w:highlight w:val="none"/>
              </w:rPr>
              <w:t>）</w:t>
            </w:r>
          </w:p>
          <w:p w14:paraId="62D185D4">
            <w:pPr>
              <w:adjustRightInd w:val="0"/>
              <w:snapToGrid w:val="0"/>
              <w:spacing w:line="360" w:lineRule="auto"/>
              <w:jc w:val="center"/>
              <w:rPr>
                <w:rFonts w:ascii="宋体" w:hAnsi="宋体" w:eastAsia="宋体" w:cs="Times New Roman"/>
                <w:color w:val="auto"/>
                <w:kern w:val="0"/>
                <w:sz w:val="20"/>
                <w:szCs w:val="21"/>
                <w:highlight w:val="none"/>
              </w:rPr>
            </w:pPr>
            <w:r>
              <w:rPr>
                <w:rFonts w:hint="eastAsia" w:ascii="宋体" w:hAnsi="宋体" w:eastAsia="宋体" w:cs="Times New Roman"/>
                <w:color w:val="auto"/>
                <w:kern w:val="0"/>
                <w:szCs w:val="21"/>
                <w:highlight w:val="none"/>
              </w:rPr>
              <w:t>（</w:t>
            </w:r>
            <w:r>
              <w:rPr>
                <w:rFonts w:hint="eastAsia" w:ascii="黑体" w:hAnsi="黑体" w:eastAsia="黑体" w:cs="Times New Roman"/>
                <w:color w:val="auto"/>
                <w:kern w:val="0"/>
                <w:sz w:val="24"/>
                <w:highlight w:val="none"/>
              </w:rPr>
              <w:t>大写金额与小写金额不一致时，以大写金额为准</w:t>
            </w:r>
            <w:r>
              <w:rPr>
                <w:rFonts w:hint="eastAsia" w:ascii="宋体" w:hAnsi="宋体" w:eastAsia="宋体" w:cs="Times New Roman"/>
                <w:color w:val="auto"/>
                <w:kern w:val="0"/>
                <w:szCs w:val="21"/>
                <w:highlight w:val="none"/>
              </w:rPr>
              <w:t>）</w:t>
            </w:r>
          </w:p>
        </w:tc>
        <w:tc>
          <w:tcPr>
            <w:tcW w:w="3119" w:type="dxa"/>
            <w:noWrap w:val="0"/>
            <w:vAlign w:val="center"/>
          </w:tcPr>
          <w:p w14:paraId="0B45F27D">
            <w:pPr>
              <w:adjustRightInd w:val="0"/>
              <w:snapToGrid w:val="0"/>
              <w:spacing w:line="360" w:lineRule="auto"/>
              <w:jc w:val="center"/>
              <w:rPr>
                <w:rFonts w:ascii="宋体" w:hAnsi="宋体" w:eastAsia="宋体" w:cs="Times New Roman"/>
                <w:color w:val="auto"/>
                <w:kern w:val="0"/>
                <w:szCs w:val="21"/>
                <w:highlight w:val="none"/>
              </w:rPr>
            </w:pPr>
          </w:p>
        </w:tc>
      </w:tr>
    </w:tbl>
    <w:p w14:paraId="7566D02E">
      <w:pPr>
        <w:adjustRightInd w:val="0"/>
        <w:snapToGrid w:val="0"/>
        <w:spacing w:line="360" w:lineRule="auto"/>
        <w:rPr>
          <w:rFonts w:ascii="宋体" w:hAnsi="宋体"/>
          <w:color w:val="auto"/>
          <w:szCs w:val="21"/>
          <w:highlight w:val="none"/>
        </w:rPr>
      </w:pPr>
      <w:r>
        <w:rPr>
          <w:rFonts w:hint="eastAsia" w:ascii="宋体" w:hAnsi="宋体"/>
          <w:bCs/>
          <w:color w:val="auto"/>
          <w:szCs w:val="21"/>
          <w:highlight w:val="none"/>
        </w:rPr>
        <w:t>注：</w:t>
      </w:r>
      <w:r>
        <w:rPr>
          <w:rFonts w:hint="eastAsia" w:ascii="宋体" w:hAnsi="宋体"/>
          <w:color w:val="auto"/>
          <w:szCs w:val="21"/>
          <w:highlight w:val="none"/>
        </w:rPr>
        <w:t>1.本表须按包填写，一个“包号”一份。</w:t>
      </w:r>
    </w:p>
    <w:p w14:paraId="6DA87D2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highlight w:val="none"/>
        </w:rPr>
        <w:t>投标人对采购项目内容只允许有一个投标报价，否则其</w:t>
      </w:r>
      <w:r>
        <w:rPr>
          <w:rFonts w:hint="eastAsia" w:ascii="宋体" w:hAnsi="宋体"/>
          <w:b/>
          <w:color w:val="auto"/>
          <w:highlight w:val="none"/>
        </w:rPr>
        <w:t>投标无效</w:t>
      </w:r>
      <w:r>
        <w:rPr>
          <w:rFonts w:hint="eastAsia" w:ascii="宋体" w:hAnsi="宋体"/>
          <w:color w:val="auto"/>
          <w:szCs w:val="21"/>
          <w:highlight w:val="none"/>
        </w:rPr>
        <w:t>。</w:t>
      </w:r>
    </w:p>
    <w:p w14:paraId="2A5B9D84">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szCs w:val="21"/>
          <w:highlight w:val="none"/>
        </w:rPr>
        <w:t>3.</w:t>
      </w:r>
      <w:r>
        <w:rPr>
          <w:rFonts w:hint="eastAsia" w:ascii="宋体" w:hAnsi="宋体"/>
          <w:color w:val="auto"/>
          <w:highlight w:val="none"/>
        </w:rPr>
        <w:t>投标人在投标截止时间前修改“开标一览表”中的投标报价的，应同时修改投标文件“分项报价明细表”“享受政府采购政策优惠的证明资料”以及“联合体协议书”（如果影响）等相关内容。</w:t>
      </w:r>
    </w:p>
    <w:p w14:paraId="3FA55C73">
      <w:pPr>
        <w:adjustRightInd w:val="0"/>
        <w:snapToGrid w:val="0"/>
        <w:spacing w:line="360" w:lineRule="auto"/>
        <w:ind w:firstLine="420" w:firstLineChars="200"/>
        <w:rPr>
          <w:rFonts w:ascii="宋体" w:hAnsi="宋体"/>
          <w:color w:val="auto"/>
          <w:szCs w:val="21"/>
          <w:highlight w:val="none"/>
        </w:rPr>
      </w:pPr>
    </w:p>
    <w:p w14:paraId="3EC0D8F3">
      <w:pPr>
        <w:adjustRightInd w:val="0"/>
        <w:snapToGrid w:val="0"/>
        <w:spacing w:line="360" w:lineRule="auto"/>
        <w:ind w:firstLine="420" w:firstLineChars="200"/>
        <w:rPr>
          <w:rFonts w:ascii="宋体" w:hAnsi="宋体"/>
          <w:color w:val="auto"/>
          <w:szCs w:val="21"/>
          <w:highlight w:val="none"/>
        </w:rPr>
      </w:pPr>
    </w:p>
    <w:p w14:paraId="40EC1C7B">
      <w:pPr>
        <w:adjustRightInd w:val="0"/>
        <w:snapToGrid w:val="0"/>
        <w:spacing w:line="360" w:lineRule="auto"/>
        <w:rPr>
          <w:rFonts w:ascii="宋体" w:hAnsi="宋体"/>
          <w:color w:val="auto"/>
          <w:szCs w:val="21"/>
          <w:highlight w:val="none"/>
        </w:rPr>
      </w:pPr>
    </w:p>
    <w:p w14:paraId="100A698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27459C3F">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r>
        <w:rPr>
          <w:rFonts w:hint="eastAsia" w:ascii="宋体" w:hAnsi="宋体"/>
          <w:color w:val="auto"/>
          <w:szCs w:val="21"/>
          <w:highlight w:val="none"/>
        </w:rPr>
        <w:t>_</w:t>
      </w:r>
    </w:p>
    <w:p w14:paraId="1B5D996D">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BD72AC8">
      <w:pPr>
        <w:pStyle w:val="47"/>
        <w:rPr>
          <w:color w:val="auto"/>
          <w:highlight w:val="none"/>
        </w:rPr>
      </w:pPr>
    </w:p>
    <w:p w14:paraId="007A2F3B">
      <w:pPr>
        <w:pStyle w:val="47"/>
        <w:rPr>
          <w:color w:val="auto"/>
          <w:highlight w:val="none"/>
        </w:rPr>
      </w:pPr>
    </w:p>
    <w:p w14:paraId="686FB4C5">
      <w:pPr>
        <w:widowControl/>
        <w:jc w:val="left"/>
        <w:rPr>
          <w:rFonts w:ascii="宋体" w:hAnsi="宋体"/>
          <w:color w:val="auto"/>
          <w:sz w:val="10"/>
          <w:szCs w:val="10"/>
          <w:highlight w:val="none"/>
        </w:rPr>
      </w:pPr>
      <w:r>
        <w:rPr>
          <w:rFonts w:ascii="宋体" w:hAnsi="宋体"/>
          <w:color w:val="auto"/>
          <w:sz w:val="10"/>
          <w:szCs w:val="10"/>
          <w:highlight w:val="none"/>
        </w:rPr>
        <w:br w:type="page"/>
      </w:r>
    </w:p>
    <w:p w14:paraId="48A97AE2">
      <w:pPr>
        <w:pStyle w:val="6"/>
        <w:adjustRightInd w:val="0"/>
        <w:snapToGrid w:val="0"/>
        <w:spacing w:before="0" w:after="0" w:line="360" w:lineRule="auto"/>
        <w:jc w:val="center"/>
        <w:rPr>
          <w:rFonts w:ascii="黑体" w:hAnsi="宋体" w:eastAsia="黑体"/>
          <w:color w:val="auto"/>
          <w:sz w:val="28"/>
          <w:szCs w:val="28"/>
          <w:highlight w:val="none"/>
        </w:rPr>
      </w:pPr>
      <w:bookmarkStart w:id="95" w:name="_Toc12401"/>
      <w:r>
        <w:rPr>
          <w:rFonts w:hint="eastAsia" w:ascii="黑体" w:hAnsi="宋体" w:eastAsia="黑体"/>
          <w:color w:val="auto"/>
          <w:sz w:val="28"/>
          <w:szCs w:val="28"/>
          <w:highlight w:val="none"/>
        </w:rPr>
        <w:t>二、授权委托书</w:t>
      </w:r>
      <w:bookmarkEnd w:id="95"/>
    </w:p>
    <w:p w14:paraId="59F2085A">
      <w:pPr>
        <w:autoSpaceDE w:val="0"/>
        <w:autoSpaceDN w:val="0"/>
        <w:adjustRightInd w:val="0"/>
        <w:snapToGrid w:val="0"/>
        <w:spacing w:line="360" w:lineRule="auto"/>
        <w:ind w:firstLine="446" w:firstLineChars="200"/>
        <w:jc w:val="left"/>
        <w:rPr>
          <w:rFonts w:ascii="宋体" w:hAnsi="宋体"/>
          <w:b/>
          <w:color w:val="auto"/>
          <w:spacing w:val="6"/>
          <w:szCs w:val="21"/>
          <w:highlight w:val="none"/>
        </w:rPr>
      </w:pPr>
    </w:p>
    <w:p w14:paraId="441458EB">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p>
    <w:p w14:paraId="04753F04">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olor w:val="auto"/>
          <w:szCs w:val="21"/>
          <w:highlight w:val="none"/>
        </w:rPr>
        <w:t>投标人</w:t>
      </w:r>
      <w:r>
        <w:rPr>
          <w:rFonts w:hint="eastAsia" w:ascii="宋体" w:hAnsi="宋体" w:cs="宋体"/>
          <w:color w:val="auto"/>
          <w:kern w:val="0"/>
          <w:szCs w:val="21"/>
          <w:highlight w:val="none"/>
        </w:rPr>
        <w:t>名称）的法定代表人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s="宋体"/>
          <w:color w:val="auto"/>
          <w:kern w:val="0"/>
          <w:szCs w:val="21"/>
          <w:highlight w:val="none"/>
        </w:rPr>
        <w:t>，现授权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（姓名、职务）为我方代理人。代理人根据授权，以我方名义签署、澄清、说明、补正、递交、撤回、修改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（项目名称</w:t>
      </w:r>
      <w:r>
        <w:rPr>
          <w:rFonts w:ascii="宋体" w:hAnsi="宋体" w:cs="宋体"/>
          <w:color w:val="auto"/>
          <w:kern w:val="0"/>
          <w:szCs w:val="21"/>
          <w:highlight w:val="none"/>
        </w:rPr>
        <w:t>）</w:t>
      </w:r>
      <w:r>
        <w:rPr>
          <w:rFonts w:hint="eastAsia" w:ascii="宋体" w:hAnsi="宋体" w:cs="宋体"/>
          <w:color w:val="auto"/>
          <w:kern w:val="0"/>
          <w:szCs w:val="21"/>
          <w:highlight w:val="none"/>
        </w:rPr>
        <w:t>（</w:t>
      </w:r>
      <w:r>
        <w:rPr>
          <w:rFonts w:hint="eastAsia" w:ascii="宋体" w:hAnsi="宋体"/>
          <w:color w:val="auto"/>
          <w:highlight w:val="none"/>
        </w:rPr>
        <w:t>政府采购计划编号</w:t>
      </w:r>
      <w:r>
        <w:rPr>
          <w:rFonts w:hint="eastAsia" w:ascii="宋体" w:hAnsi="宋体"/>
          <w:iCs/>
          <w:color w:val="auto"/>
          <w:highlight w:val="none"/>
        </w:rPr>
        <w:t>：</w:t>
      </w:r>
      <w:r>
        <w:rPr>
          <w:rFonts w:hint="eastAsia" w:ascii="宋体" w:hAnsi="宋体"/>
          <w:iCs/>
          <w:color w:val="auto"/>
          <w:highlight w:val="none"/>
          <w:u w:val="single"/>
        </w:rPr>
        <w:t xml:space="preserve">      </w:t>
      </w:r>
      <w:r>
        <w:rPr>
          <w:rFonts w:hint="eastAsia" w:ascii="宋体" w:hAnsi="宋体"/>
          <w:iCs/>
          <w:color w:val="auto"/>
          <w:highlight w:val="none"/>
        </w:rPr>
        <w:t xml:space="preserve"> ，</w:t>
      </w:r>
      <w:r>
        <w:rPr>
          <w:rFonts w:hint="eastAsia" w:ascii="宋体" w:hAnsi="宋体" w:cs="宋体"/>
          <w:color w:val="auto"/>
          <w:kern w:val="0"/>
          <w:szCs w:val="21"/>
          <w:highlight w:val="none"/>
        </w:rPr>
        <w:t>委托代理编号：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）投标文件、签订合同和处理有关事宜，其法律后果由我方承担。</w:t>
      </w:r>
    </w:p>
    <w:p w14:paraId="008943BD">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委托期限：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68D81964">
      <w:pPr>
        <w:adjustRightInd w:val="0"/>
        <w:snapToGrid w:val="0"/>
        <w:spacing w:line="360" w:lineRule="auto"/>
        <w:ind w:firstLine="435"/>
        <w:rPr>
          <w:rFonts w:ascii="宋体" w:hAnsi="宋体" w:cs="宋体"/>
          <w:color w:val="auto"/>
          <w:kern w:val="0"/>
          <w:szCs w:val="21"/>
          <w:highlight w:val="none"/>
        </w:rPr>
      </w:pPr>
      <w:r>
        <w:rPr>
          <w:rFonts w:hint="eastAsia" w:ascii="宋体" w:hAnsi="宋体" w:cs="宋体"/>
          <w:color w:val="auto"/>
          <w:kern w:val="0"/>
          <w:szCs w:val="21"/>
          <w:highlight w:val="none"/>
        </w:rPr>
        <w:t>代理人无转委托权。</w:t>
      </w:r>
    </w:p>
    <w:p w14:paraId="7A1FD8A5">
      <w:pPr>
        <w:adjustRightInd w:val="0"/>
        <w:snapToGrid w:val="0"/>
        <w:spacing w:line="360" w:lineRule="auto"/>
        <w:ind w:firstLine="435"/>
        <w:rPr>
          <w:rFonts w:ascii="宋体" w:hAnsi="宋体" w:cs="微软雅黑"/>
          <w:color w:val="auto"/>
          <w:kern w:val="0"/>
          <w:szCs w:val="21"/>
          <w:highlight w:val="none"/>
        </w:rPr>
      </w:pPr>
      <w:r>
        <w:rPr>
          <w:rFonts w:hint="eastAsia" w:ascii="宋体" w:hAnsi="宋体"/>
          <w:color w:val="auto"/>
          <w:szCs w:val="21"/>
          <w:highlight w:val="none"/>
        </w:rPr>
        <w:t>本授权书于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日签字生效，特此声明。</w:t>
      </w:r>
    </w:p>
    <w:tbl>
      <w:tblPr>
        <w:tblStyle w:val="26"/>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2BAC3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513C310D">
            <w:pPr>
              <w:adjustRightInd w:val="0"/>
              <w:snapToGrid w:val="0"/>
              <w:spacing w:line="360" w:lineRule="auto"/>
              <w:jc w:val="center"/>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委托代理人身份证（正面）</w:t>
            </w:r>
            <w:r>
              <w:rPr>
                <w:rFonts w:hint="eastAsia" w:ascii="宋体" w:hAnsi="宋体" w:eastAsia="宋体" w:cs="微软雅黑"/>
                <w:color w:val="auto"/>
                <w:spacing w:val="-2"/>
                <w:kern w:val="0"/>
                <w:szCs w:val="21"/>
                <w:highlight w:val="none"/>
                <w:lang w:eastAsia="zh-CN"/>
              </w:rPr>
              <w:t>扫描件</w:t>
            </w:r>
          </w:p>
        </w:tc>
        <w:tc>
          <w:tcPr>
            <w:tcW w:w="3899" w:type="dxa"/>
            <w:noWrap w:val="0"/>
            <w:vAlign w:val="center"/>
          </w:tcPr>
          <w:p w14:paraId="76FFD1EB">
            <w:pPr>
              <w:adjustRightInd w:val="0"/>
              <w:snapToGrid w:val="0"/>
              <w:spacing w:line="360" w:lineRule="auto"/>
              <w:jc w:val="center"/>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委托代理人身份证（反面）</w:t>
            </w:r>
            <w:r>
              <w:rPr>
                <w:rFonts w:hint="eastAsia" w:ascii="宋体" w:hAnsi="宋体" w:eastAsia="宋体" w:cs="微软雅黑"/>
                <w:color w:val="auto"/>
                <w:spacing w:val="-2"/>
                <w:kern w:val="0"/>
                <w:szCs w:val="21"/>
                <w:highlight w:val="none"/>
                <w:lang w:eastAsia="zh-CN"/>
              </w:rPr>
              <w:t>扫描件</w:t>
            </w:r>
          </w:p>
        </w:tc>
      </w:tr>
      <w:tr w14:paraId="1EA1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74F3DB9F">
            <w:pPr>
              <w:adjustRightInd w:val="0"/>
              <w:snapToGrid w:val="0"/>
              <w:spacing w:line="360" w:lineRule="auto"/>
              <w:jc w:val="center"/>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法定代表人身份证（正面）</w:t>
            </w:r>
            <w:r>
              <w:rPr>
                <w:rFonts w:hint="eastAsia" w:ascii="宋体" w:hAnsi="宋体" w:eastAsia="宋体" w:cs="微软雅黑"/>
                <w:color w:val="auto"/>
                <w:spacing w:val="-2"/>
                <w:kern w:val="0"/>
                <w:szCs w:val="21"/>
                <w:highlight w:val="none"/>
                <w:lang w:eastAsia="zh-CN"/>
              </w:rPr>
              <w:t>扫描件</w:t>
            </w:r>
          </w:p>
        </w:tc>
        <w:tc>
          <w:tcPr>
            <w:tcW w:w="3899" w:type="dxa"/>
            <w:noWrap w:val="0"/>
            <w:vAlign w:val="center"/>
          </w:tcPr>
          <w:p w14:paraId="2854F3B7">
            <w:pPr>
              <w:adjustRightInd w:val="0"/>
              <w:snapToGrid w:val="0"/>
              <w:spacing w:line="360" w:lineRule="auto"/>
              <w:jc w:val="center"/>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法定代表人身份证（反面）</w:t>
            </w:r>
            <w:r>
              <w:rPr>
                <w:rFonts w:hint="eastAsia" w:ascii="宋体" w:hAnsi="宋体" w:eastAsia="宋体" w:cs="微软雅黑"/>
                <w:color w:val="auto"/>
                <w:spacing w:val="-2"/>
                <w:kern w:val="0"/>
                <w:szCs w:val="21"/>
                <w:highlight w:val="none"/>
                <w:lang w:eastAsia="zh-CN"/>
              </w:rPr>
              <w:t>扫描件</w:t>
            </w:r>
          </w:p>
        </w:tc>
      </w:tr>
    </w:tbl>
    <w:p w14:paraId="3B510A9B">
      <w:pPr>
        <w:adjustRightInd w:val="0"/>
        <w:snapToGrid w:val="0"/>
        <w:spacing w:line="360" w:lineRule="auto"/>
        <w:ind w:firstLine="420" w:firstLineChars="200"/>
        <w:rPr>
          <w:rFonts w:ascii="宋体" w:hAnsi="宋体"/>
          <w:color w:val="auto"/>
          <w:szCs w:val="21"/>
          <w:highlight w:val="none"/>
        </w:rPr>
      </w:pPr>
    </w:p>
    <w:p w14:paraId="0CBC9D84">
      <w:pPr>
        <w:adjustRightInd w:val="0"/>
        <w:snapToGrid w:val="0"/>
        <w:spacing w:line="360" w:lineRule="auto"/>
        <w:ind w:firstLine="420" w:firstLineChars="200"/>
        <w:rPr>
          <w:rFonts w:ascii="宋体" w:hAnsi="宋体"/>
          <w:color w:val="auto"/>
          <w:szCs w:val="21"/>
          <w:highlight w:val="none"/>
        </w:rPr>
      </w:pPr>
    </w:p>
    <w:p w14:paraId="15904AD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注：投标人代表不是投标人的法定代表人（单位负责人）的提供。</w:t>
      </w:r>
    </w:p>
    <w:p w14:paraId="3BE2F91F">
      <w:pPr>
        <w:adjustRightInd w:val="0"/>
        <w:snapToGrid w:val="0"/>
        <w:spacing w:line="360" w:lineRule="auto"/>
        <w:ind w:firstLine="420" w:firstLineChars="200"/>
        <w:rPr>
          <w:rFonts w:ascii="宋体" w:hAnsi="宋体"/>
          <w:color w:val="auto"/>
          <w:szCs w:val="21"/>
          <w:highlight w:val="none"/>
        </w:rPr>
      </w:pPr>
    </w:p>
    <w:p w14:paraId="7DCF492C">
      <w:pPr>
        <w:adjustRightInd w:val="0"/>
        <w:snapToGrid w:val="0"/>
        <w:spacing w:line="360" w:lineRule="auto"/>
        <w:ind w:firstLine="420" w:firstLineChars="200"/>
        <w:rPr>
          <w:rFonts w:ascii="宋体" w:hAnsi="宋体"/>
          <w:color w:val="auto"/>
          <w:szCs w:val="21"/>
          <w:highlight w:val="none"/>
        </w:rPr>
      </w:pPr>
    </w:p>
    <w:p w14:paraId="31BD8CDF">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r>
        <w:rPr>
          <w:rFonts w:hint="eastAsia" w:ascii="宋体" w:hAnsi="宋体"/>
          <w:color w:val="auto"/>
          <w:szCs w:val="21"/>
          <w:highlight w:val="none"/>
          <w:u w:val="single"/>
        </w:rPr>
        <w:t xml:space="preserve">                   </w:t>
      </w:r>
    </w:p>
    <w:p w14:paraId="47989A8B">
      <w:pPr>
        <w:adjustRightInd w:val="0"/>
        <w:snapToGrid w:val="0"/>
        <w:spacing w:line="360" w:lineRule="auto"/>
        <w:ind w:right="420"/>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（签字或印章）：</w:t>
      </w:r>
      <w:r>
        <w:rPr>
          <w:rFonts w:hint="eastAsia" w:ascii="宋体" w:hAnsi="宋体"/>
          <w:color w:val="auto"/>
          <w:szCs w:val="21"/>
          <w:highlight w:val="none"/>
          <w:u w:val="single"/>
        </w:rPr>
        <w:t xml:space="preserve">                     </w:t>
      </w:r>
    </w:p>
    <w:p w14:paraId="386CEF72">
      <w:pPr>
        <w:adjustRightInd w:val="0"/>
        <w:snapToGrid w:val="0"/>
        <w:spacing w:line="360" w:lineRule="auto"/>
        <w:ind w:right="420"/>
        <w:rPr>
          <w:rFonts w:ascii="宋体" w:hAnsi="宋体"/>
          <w:color w:val="auto"/>
          <w:szCs w:val="21"/>
          <w:highlight w:val="none"/>
        </w:rPr>
      </w:pPr>
      <w:r>
        <w:rPr>
          <w:rFonts w:hint="eastAsia" w:ascii="宋体" w:hAnsi="宋体"/>
          <w:color w:val="auto"/>
          <w:szCs w:val="21"/>
          <w:highlight w:val="none"/>
        </w:rPr>
        <w:t>委托代理人（签字或印章）：</w:t>
      </w:r>
      <w:r>
        <w:rPr>
          <w:rFonts w:hint="eastAsia" w:ascii="宋体" w:hAnsi="宋体"/>
          <w:color w:val="auto"/>
          <w:szCs w:val="21"/>
          <w:highlight w:val="none"/>
          <w:u w:val="single"/>
        </w:rPr>
        <w:t xml:space="preserve">                     </w:t>
      </w:r>
    </w:p>
    <w:p w14:paraId="6BC8A7A1">
      <w:pPr>
        <w:adjustRightInd w:val="0"/>
        <w:snapToGrid w:val="0"/>
        <w:spacing w:line="360" w:lineRule="auto"/>
        <w:ind w:right="420"/>
        <w:rPr>
          <w:rFonts w:ascii="宋体" w:hAnsi="宋体"/>
          <w:color w:val="auto"/>
          <w:szCs w:val="21"/>
          <w:highlight w:val="none"/>
        </w:rPr>
      </w:pPr>
      <w:r>
        <w:rPr>
          <w:rFonts w:hint="eastAsia" w:ascii="宋体" w:hAnsi="宋体" w:cs="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1313794E">
      <w:pPr>
        <w:spacing w:line="400" w:lineRule="exact"/>
        <w:jc w:val="left"/>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br w:type="page"/>
      </w:r>
    </w:p>
    <w:p w14:paraId="669205A4">
      <w:pPr>
        <w:jc w:val="center"/>
        <w:rPr>
          <w:rFonts w:ascii="黑体" w:hAnsi="黑体" w:eastAsia="黑体" w:cs="黑体"/>
          <w:color w:val="auto"/>
          <w:szCs w:val="28"/>
          <w:highlight w:val="none"/>
        </w:rPr>
      </w:pPr>
      <w:r>
        <w:rPr>
          <w:rFonts w:hint="eastAsia" w:ascii="黑体" w:hAnsi="黑体" w:eastAsia="黑体" w:cs="黑体"/>
          <w:color w:val="auto"/>
          <w:sz w:val="28"/>
          <w:szCs w:val="28"/>
          <w:highlight w:val="none"/>
        </w:rPr>
        <w:t>法定代表人身份证明</w:t>
      </w:r>
    </w:p>
    <w:p w14:paraId="01D9B73A">
      <w:pPr>
        <w:spacing w:line="500" w:lineRule="exact"/>
        <w:rPr>
          <w:rFonts w:ascii="Calibri" w:hAnsi="Calibri"/>
          <w:color w:val="auto"/>
          <w:szCs w:val="22"/>
          <w:highlight w:val="none"/>
        </w:rPr>
      </w:pPr>
      <w:r>
        <w:rPr>
          <w:rFonts w:ascii="宋体" w:hAnsi="宋体" w:cs="宋体"/>
          <w:color w:val="auto"/>
          <w:szCs w:val="21"/>
          <w:highlight w:val="none"/>
        </w:rPr>
        <w:t>投标人名称：</w:t>
      </w:r>
      <w:r>
        <w:rPr>
          <w:rFonts w:ascii="宋体" w:hAnsi="宋体" w:cs="宋体"/>
          <w:color w:val="auto"/>
          <w:szCs w:val="21"/>
          <w:highlight w:val="none"/>
          <w:u w:val="single"/>
        </w:rPr>
        <w:t>                 </w:t>
      </w:r>
      <w:r>
        <w:rPr>
          <w:rFonts w:ascii="宋体" w:hAnsi="宋体" w:cs="宋体"/>
          <w:color w:val="auto"/>
          <w:szCs w:val="21"/>
          <w:highlight w:val="none"/>
        </w:rPr>
        <w:t xml:space="preserve">  </w:t>
      </w:r>
      <w:r>
        <w:rPr>
          <w:rFonts w:ascii="Calibri" w:hAnsi="Calibri"/>
          <w:color w:val="auto"/>
          <w:szCs w:val="21"/>
          <w:highlight w:val="none"/>
        </w:rPr>
        <w:t xml:space="preserve"> </w:t>
      </w:r>
    </w:p>
    <w:p w14:paraId="12CD9E22">
      <w:pPr>
        <w:spacing w:line="500" w:lineRule="exact"/>
        <w:rPr>
          <w:rFonts w:ascii="Calibri" w:hAnsi="Calibri"/>
          <w:color w:val="auto"/>
          <w:szCs w:val="22"/>
          <w:highlight w:val="none"/>
        </w:rPr>
      </w:pPr>
      <w:r>
        <w:rPr>
          <w:rFonts w:ascii="宋体" w:hAnsi="宋体" w:cs="宋体"/>
          <w:color w:val="auto"/>
          <w:szCs w:val="21"/>
          <w:highlight w:val="none"/>
        </w:rPr>
        <w:t>注册号：</w:t>
      </w:r>
      <w:r>
        <w:rPr>
          <w:rFonts w:ascii="宋体" w:hAnsi="宋体" w:cs="宋体"/>
          <w:color w:val="auto"/>
          <w:szCs w:val="21"/>
          <w:highlight w:val="none"/>
          <w:u w:val="single"/>
        </w:rPr>
        <w:t>                  </w:t>
      </w:r>
      <w:r>
        <w:rPr>
          <w:rFonts w:ascii="Calibri" w:hAnsi="Calibri"/>
          <w:color w:val="auto"/>
          <w:szCs w:val="21"/>
          <w:highlight w:val="none"/>
        </w:rPr>
        <w:t xml:space="preserve"> </w:t>
      </w:r>
    </w:p>
    <w:p w14:paraId="6447C5B0">
      <w:pPr>
        <w:spacing w:line="500" w:lineRule="exact"/>
        <w:rPr>
          <w:rFonts w:ascii="Calibri" w:hAnsi="Calibri"/>
          <w:color w:val="auto"/>
          <w:szCs w:val="22"/>
          <w:highlight w:val="none"/>
        </w:rPr>
      </w:pPr>
      <w:r>
        <w:rPr>
          <w:rFonts w:ascii="宋体" w:hAnsi="宋体" w:cs="宋体"/>
          <w:color w:val="auto"/>
          <w:szCs w:val="21"/>
          <w:highlight w:val="none"/>
        </w:rPr>
        <w:t>注册地址：</w:t>
      </w:r>
      <w:r>
        <w:rPr>
          <w:rFonts w:ascii="宋体" w:hAnsi="宋体" w:cs="宋体"/>
          <w:color w:val="auto"/>
          <w:szCs w:val="21"/>
          <w:highlight w:val="none"/>
          <w:u w:val="single"/>
        </w:rPr>
        <w:t>                                   </w:t>
      </w:r>
      <w:r>
        <w:rPr>
          <w:rFonts w:ascii="Calibri" w:hAnsi="Calibri"/>
          <w:color w:val="auto"/>
          <w:szCs w:val="21"/>
          <w:highlight w:val="none"/>
        </w:rPr>
        <w:t xml:space="preserve"> </w:t>
      </w:r>
    </w:p>
    <w:p w14:paraId="55E66718">
      <w:pPr>
        <w:spacing w:line="500" w:lineRule="exact"/>
        <w:rPr>
          <w:rFonts w:ascii="Calibri" w:hAnsi="Calibri"/>
          <w:color w:val="auto"/>
          <w:szCs w:val="22"/>
          <w:highlight w:val="none"/>
        </w:rPr>
      </w:pPr>
      <w:r>
        <w:rPr>
          <w:rFonts w:ascii="宋体" w:hAnsi="宋体" w:cs="宋体"/>
          <w:color w:val="auto"/>
          <w:szCs w:val="21"/>
          <w:highlight w:val="none"/>
        </w:rPr>
        <w:t xml:space="preserve">成立时间： </w:t>
      </w:r>
      <w:r>
        <w:rPr>
          <w:rFonts w:ascii="宋体" w:hAnsi="宋体" w:cs="宋体"/>
          <w:color w:val="auto"/>
          <w:szCs w:val="21"/>
          <w:highlight w:val="none"/>
          <w:u w:val="single"/>
        </w:rPr>
        <w:t>       </w:t>
      </w:r>
      <w:r>
        <w:rPr>
          <w:rFonts w:ascii="宋体" w:hAnsi="宋体" w:cs="宋体"/>
          <w:color w:val="auto"/>
          <w:szCs w:val="21"/>
          <w:highlight w:val="none"/>
        </w:rPr>
        <w:t xml:space="preserve">年 </w:t>
      </w:r>
      <w:r>
        <w:rPr>
          <w:rFonts w:ascii="宋体" w:hAnsi="宋体" w:cs="宋体"/>
          <w:color w:val="auto"/>
          <w:szCs w:val="21"/>
          <w:highlight w:val="none"/>
          <w:u w:val="single"/>
        </w:rPr>
        <w:t>     </w:t>
      </w:r>
      <w:r>
        <w:rPr>
          <w:rFonts w:ascii="宋体" w:hAnsi="宋体" w:cs="宋体"/>
          <w:color w:val="auto"/>
          <w:szCs w:val="21"/>
          <w:highlight w:val="none"/>
        </w:rPr>
        <w:t>月</w:t>
      </w:r>
      <w:r>
        <w:rPr>
          <w:rFonts w:ascii="宋体" w:hAnsi="宋体" w:cs="宋体"/>
          <w:color w:val="auto"/>
          <w:szCs w:val="21"/>
          <w:highlight w:val="none"/>
          <w:u w:val="single"/>
        </w:rPr>
        <w:t>   </w:t>
      </w:r>
      <w:r>
        <w:rPr>
          <w:rFonts w:ascii="宋体" w:hAnsi="宋体" w:cs="宋体"/>
          <w:color w:val="auto"/>
          <w:szCs w:val="21"/>
          <w:highlight w:val="none"/>
        </w:rPr>
        <w:t xml:space="preserve">  日</w:t>
      </w:r>
      <w:r>
        <w:rPr>
          <w:rFonts w:ascii="Calibri" w:hAnsi="Calibri"/>
          <w:color w:val="auto"/>
          <w:szCs w:val="21"/>
          <w:highlight w:val="none"/>
        </w:rPr>
        <w:t xml:space="preserve"> </w:t>
      </w:r>
    </w:p>
    <w:p w14:paraId="0E08AA75">
      <w:pPr>
        <w:spacing w:line="500" w:lineRule="exact"/>
        <w:rPr>
          <w:rFonts w:ascii="Calibri" w:hAnsi="Calibri"/>
          <w:color w:val="auto"/>
          <w:szCs w:val="22"/>
          <w:highlight w:val="none"/>
        </w:rPr>
      </w:pPr>
      <w:r>
        <w:rPr>
          <w:rFonts w:ascii="宋体" w:hAnsi="宋体" w:cs="宋体"/>
          <w:color w:val="auto"/>
          <w:szCs w:val="21"/>
          <w:highlight w:val="none"/>
        </w:rPr>
        <w:t>经营期限：</w:t>
      </w:r>
      <w:r>
        <w:rPr>
          <w:rFonts w:ascii="宋体" w:hAnsi="宋体" w:cs="宋体"/>
          <w:color w:val="auto"/>
          <w:szCs w:val="21"/>
          <w:highlight w:val="none"/>
          <w:u w:val="single"/>
        </w:rPr>
        <w:t>                 </w:t>
      </w:r>
      <w:r>
        <w:rPr>
          <w:rFonts w:ascii="Calibri" w:hAnsi="Calibri"/>
          <w:color w:val="auto"/>
          <w:szCs w:val="21"/>
          <w:highlight w:val="none"/>
        </w:rPr>
        <w:t xml:space="preserve"> </w:t>
      </w:r>
    </w:p>
    <w:p w14:paraId="6BA267D4">
      <w:pPr>
        <w:spacing w:line="500" w:lineRule="exact"/>
        <w:rPr>
          <w:rFonts w:ascii="Calibri" w:hAnsi="Calibri"/>
          <w:color w:val="auto"/>
          <w:szCs w:val="22"/>
          <w:highlight w:val="none"/>
        </w:rPr>
      </w:pPr>
      <w:r>
        <w:rPr>
          <w:rFonts w:ascii="宋体" w:hAnsi="宋体" w:cs="宋体"/>
          <w:color w:val="auto"/>
          <w:szCs w:val="21"/>
          <w:highlight w:val="none"/>
        </w:rPr>
        <w:t>经营范围：主营：</w:t>
      </w:r>
      <w:r>
        <w:rPr>
          <w:rFonts w:ascii="宋体" w:hAnsi="宋体" w:cs="宋体"/>
          <w:color w:val="auto"/>
          <w:szCs w:val="21"/>
          <w:highlight w:val="none"/>
          <w:u w:val="single"/>
        </w:rPr>
        <w:t>             </w:t>
      </w:r>
      <w:r>
        <w:rPr>
          <w:rFonts w:ascii="宋体" w:hAnsi="宋体" w:cs="宋体"/>
          <w:color w:val="auto"/>
          <w:szCs w:val="21"/>
          <w:highlight w:val="none"/>
        </w:rPr>
        <w:t xml:space="preserve">  ；兼营：</w:t>
      </w:r>
      <w:r>
        <w:rPr>
          <w:rFonts w:ascii="宋体" w:hAnsi="宋体" w:cs="宋体"/>
          <w:color w:val="auto"/>
          <w:szCs w:val="21"/>
          <w:highlight w:val="none"/>
          <w:u w:val="single"/>
        </w:rPr>
        <w:t>             </w:t>
      </w:r>
      <w:r>
        <w:rPr>
          <w:rFonts w:ascii="Calibri" w:hAnsi="Calibri"/>
          <w:color w:val="auto"/>
          <w:szCs w:val="21"/>
          <w:highlight w:val="none"/>
        </w:rPr>
        <w:t xml:space="preserve"> </w:t>
      </w:r>
    </w:p>
    <w:p w14:paraId="18A464E1">
      <w:pPr>
        <w:spacing w:line="500" w:lineRule="exact"/>
        <w:rPr>
          <w:rFonts w:ascii="Calibri" w:hAnsi="Calibri"/>
          <w:color w:val="auto"/>
          <w:szCs w:val="22"/>
          <w:highlight w:val="none"/>
        </w:rPr>
      </w:pPr>
      <w:r>
        <w:rPr>
          <w:rFonts w:ascii="宋体" w:hAnsi="宋体" w:cs="宋体"/>
          <w:color w:val="auto"/>
          <w:szCs w:val="21"/>
          <w:highlight w:val="none"/>
        </w:rPr>
        <w:t>姓名：</w:t>
      </w:r>
      <w:r>
        <w:rPr>
          <w:rFonts w:ascii="宋体" w:hAnsi="宋体" w:cs="宋体"/>
          <w:color w:val="auto"/>
          <w:szCs w:val="21"/>
          <w:highlight w:val="none"/>
          <w:u w:val="single"/>
        </w:rPr>
        <w:t>        </w:t>
      </w:r>
      <w:r>
        <w:rPr>
          <w:rFonts w:ascii="宋体" w:hAnsi="宋体" w:cs="宋体"/>
          <w:color w:val="auto"/>
          <w:szCs w:val="21"/>
          <w:highlight w:val="none"/>
        </w:rPr>
        <w:t xml:space="preserve">  性别：</w:t>
      </w:r>
      <w:r>
        <w:rPr>
          <w:rFonts w:ascii="宋体" w:hAnsi="宋体" w:cs="宋体"/>
          <w:color w:val="auto"/>
          <w:szCs w:val="21"/>
          <w:highlight w:val="none"/>
          <w:u w:val="single"/>
        </w:rPr>
        <w:t>     </w:t>
      </w:r>
      <w:r>
        <w:rPr>
          <w:rFonts w:ascii="宋体" w:hAnsi="宋体" w:cs="宋体"/>
          <w:color w:val="auto"/>
          <w:szCs w:val="21"/>
          <w:highlight w:val="none"/>
        </w:rPr>
        <w:t xml:space="preserve">  年龄：</w:t>
      </w:r>
      <w:r>
        <w:rPr>
          <w:rFonts w:ascii="宋体" w:hAnsi="宋体" w:cs="宋体"/>
          <w:color w:val="auto"/>
          <w:szCs w:val="21"/>
          <w:highlight w:val="none"/>
          <w:u w:val="single"/>
        </w:rPr>
        <w:t>    </w:t>
      </w:r>
      <w:r>
        <w:rPr>
          <w:rFonts w:ascii="宋体" w:hAnsi="宋体" w:cs="宋体"/>
          <w:color w:val="auto"/>
          <w:szCs w:val="21"/>
          <w:highlight w:val="none"/>
        </w:rPr>
        <w:t xml:space="preserve">  职务：</w:t>
      </w:r>
      <w:r>
        <w:rPr>
          <w:rFonts w:ascii="宋体" w:hAnsi="宋体" w:cs="宋体"/>
          <w:color w:val="auto"/>
          <w:szCs w:val="21"/>
          <w:highlight w:val="none"/>
          <w:u w:val="single"/>
        </w:rPr>
        <w:t>        </w:t>
      </w:r>
      <w:r>
        <w:rPr>
          <w:rFonts w:ascii="宋体" w:hAnsi="宋体" w:cs="宋体"/>
          <w:color w:val="auto"/>
          <w:szCs w:val="21"/>
          <w:highlight w:val="none"/>
        </w:rPr>
        <w:t xml:space="preserve"> 系</w:t>
      </w:r>
      <w:r>
        <w:rPr>
          <w:rFonts w:ascii="宋体" w:hAnsi="宋体" w:cs="宋体"/>
          <w:color w:val="auto"/>
          <w:szCs w:val="21"/>
          <w:highlight w:val="none"/>
          <w:u w:val="single"/>
        </w:rPr>
        <w:t>         </w:t>
      </w:r>
      <w:r>
        <w:rPr>
          <w:rFonts w:ascii="宋体" w:hAnsi="宋体" w:cs="宋体"/>
          <w:color w:val="auto"/>
          <w:szCs w:val="21"/>
          <w:highlight w:val="none"/>
        </w:rPr>
        <w:t xml:space="preserve">  （投标人名称）的法定代表人。</w:t>
      </w:r>
      <w:r>
        <w:rPr>
          <w:rFonts w:ascii="Calibri" w:hAnsi="Calibri"/>
          <w:color w:val="auto"/>
          <w:szCs w:val="21"/>
          <w:highlight w:val="none"/>
        </w:rPr>
        <w:t xml:space="preserve"> </w:t>
      </w:r>
    </w:p>
    <w:p w14:paraId="72054368">
      <w:pPr>
        <w:spacing w:line="500" w:lineRule="exact"/>
        <w:rPr>
          <w:rFonts w:ascii="Calibri" w:hAnsi="Calibri"/>
          <w:color w:val="auto"/>
          <w:szCs w:val="22"/>
          <w:highlight w:val="none"/>
        </w:rPr>
      </w:pPr>
      <w:r>
        <w:rPr>
          <w:rFonts w:ascii="宋体" w:hAnsi="宋体" w:cs="宋体"/>
          <w:color w:val="auto"/>
          <w:szCs w:val="21"/>
          <w:highlight w:val="none"/>
        </w:rPr>
        <w:t>特此证明。</w:t>
      </w:r>
      <w:r>
        <w:rPr>
          <w:rFonts w:ascii="Calibri" w:hAnsi="Calibri"/>
          <w:color w:val="auto"/>
          <w:szCs w:val="21"/>
          <w:highlight w:val="none"/>
        </w:rPr>
        <w:t xml:space="preserve"> </w:t>
      </w:r>
    </w:p>
    <w:p w14:paraId="3196E51E">
      <w:pPr>
        <w:spacing w:line="400" w:lineRule="exact"/>
        <w:rPr>
          <w:rFonts w:ascii="Calibri" w:hAnsi="Calibri"/>
          <w:color w:val="auto"/>
          <w:szCs w:val="22"/>
          <w:highlight w:val="none"/>
        </w:rPr>
      </w:pPr>
      <w:r>
        <w:rPr>
          <w:rFonts w:ascii="Calibri" w:hAnsi="Calibri"/>
          <w:color w:val="auto"/>
          <w:szCs w:val="21"/>
          <w:highlight w:val="none"/>
        </w:rPr>
        <w:t xml:space="preserve">  </w:t>
      </w:r>
    </w:p>
    <w:tbl>
      <w:tblPr>
        <w:tblStyle w:val="26"/>
        <w:tblW w:w="0" w:type="auto"/>
        <w:tblInd w:w="128" w:type="dxa"/>
        <w:tblLayout w:type="fixed"/>
        <w:tblCellMar>
          <w:top w:w="0" w:type="dxa"/>
          <w:left w:w="0" w:type="dxa"/>
          <w:bottom w:w="0" w:type="dxa"/>
          <w:right w:w="0" w:type="dxa"/>
        </w:tblCellMar>
      </w:tblPr>
      <w:tblGrid>
        <w:gridCol w:w="8747"/>
      </w:tblGrid>
      <w:tr w14:paraId="55615EEF">
        <w:tblPrEx>
          <w:tblCellMar>
            <w:top w:w="0" w:type="dxa"/>
            <w:left w:w="0" w:type="dxa"/>
            <w:bottom w:w="0" w:type="dxa"/>
            <w:right w:w="0" w:type="dxa"/>
          </w:tblCellMar>
        </w:tblPrEx>
        <w:trPr>
          <w:trHeight w:val="2683" w:hRule="atLeast"/>
        </w:trPr>
        <w:tc>
          <w:tcPr>
            <w:tcW w:w="8747"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24A83CE">
            <w:pPr>
              <w:spacing w:line="400" w:lineRule="exact"/>
              <w:jc w:val="center"/>
              <w:rPr>
                <w:rFonts w:ascii="Calibri" w:hAnsi="Calibri" w:eastAsia="宋体" w:cs="Times New Roman"/>
                <w:color w:val="auto"/>
                <w:szCs w:val="22"/>
                <w:highlight w:val="none"/>
              </w:rPr>
            </w:pPr>
            <w:r>
              <w:rPr>
                <w:rFonts w:ascii="宋体" w:hAnsi="宋体" w:eastAsia="宋体" w:cs="宋体"/>
                <w:color w:val="auto"/>
                <w:szCs w:val="21"/>
                <w:highlight w:val="none"/>
              </w:rPr>
              <w:t>法定代表人身份证</w:t>
            </w:r>
            <w:r>
              <w:rPr>
                <w:rFonts w:hint="eastAsia" w:ascii="宋体" w:hAnsi="宋体" w:eastAsia="宋体" w:cs="宋体"/>
                <w:color w:val="auto"/>
                <w:szCs w:val="21"/>
                <w:highlight w:val="none"/>
                <w:lang w:eastAsia="zh-CN"/>
              </w:rPr>
              <w:t>扫描件</w:t>
            </w:r>
            <w:r>
              <w:rPr>
                <w:rFonts w:ascii="Calibri" w:hAnsi="Calibri" w:eastAsia="宋体" w:cs="Times New Roman"/>
                <w:color w:val="auto"/>
                <w:szCs w:val="21"/>
                <w:highlight w:val="none"/>
              </w:rPr>
              <w:t xml:space="preserve"> </w:t>
            </w:r>
          </w:p>
        </w:tc>
      </w:tr>
    </w:tbl>
    <w:p w14:paraId="5A69934D">
      <w:pPr>
        <w:spacing w:line="400" w:lineRule="exact"/>
        <w:rPr>
          <w:rFonts w:ascii="Calibri" w:hAnsi="Calibri"/>
          <w:color w:val="auto"/>
          <w:szCs w:val="22"/>
          <w:highlight w:val="none"/>
        </w:rPr>
      </w:pPr>
      <w:r>
        <w:rPr>
          <w:rFonts w:ascii="Calibri" w:hAnsi="Calibri"/>
          <w:color w:val="auto"/>
          <w:szCs w:val="21"/>
          <w:highlight w:val="none"/>
        </w:rPr>
        <w:t xml:space="preserve">  </w:t>
      </w:r>
    </w:p>
    <w:p w14:paraId="35F045F7">
      <w:pPr>
        <w:spacing w:line="400" w:lineRule="exact"/>
        <w:rPr>
          <w:rFonts w:ascii="Calibri" w:hAnsi="Calibri"/>
          <w:color w:val="auto"/>
          <w:szCs w:val="22"/>
          <w:highlight w:val="none"/>
        </w:rPr>
      </w:pPr>
      <w:r>
        <w:rPr>
          <w:rFonts w:ascii="Calibri" w:hAnsi="Calibri"/>
          <w:color w:val="auto"/>
          <w:szCs w:val="21"/>
          <w:highlight w:val="none"/>
        </w:rPr>
        <w:t xml:space="preserve">  </w:t>
      </w:r>
    </w:p>
    <w:p w14:paraId="1E55118E">
      <w:pPr>
        <w:spacing w:line="400" w:lineRule="exact"/>
        <w:rPr>
          <w:rFonts w:ascii="Calibri" w:hAnsi="Calibri"/>
          <w:color w:val="auto"/>
          <w:szCs w:val="22"/>
          <w:highlight w:val="none"/>
        </w:rPr>
      </w:pPr>
      <w:r>
        <w:rPr>
          <w:rFonts w:ascii="Calibri" w:hAnsi="Calibri"/>
          <w:color w:val="auto"/>
          <w:szCs w:val="21"/>
          <w:highlight w:val="none"/>
        </w:rPr>
        <w:t xml:space="preserve">  </w:t>
      </w:r>
    </w:p>
    <w:p w14:paraId="61B483CA">
      <w:pPr>
        <w:spacing w:line="400" w:lineRule="exact"/>
        <w:rPr>
          <w:rFonts w:ascii="Calibri" w:hAnsi="Calibri"/>
          <w:color w:val="auto"/>
          <w:szCs w:val="22"/>
          <w:highlight w:val="none"/>
        </w:rPr>
      </w:pPr>
      <w:r>
        <w:rPr>
          <w:rFonts w:ascii="Calibri" w:hAnsi="Calibri"/>
          <w:color w:val="auto"/>
          <w:szCs w:val="21"/>
          <w:highlight w:val="none"/>
        </w:rPr>
        <w:t xml:space="preserve">  </w:t>
      </w:r>
    </w:p>
    <w:p w14:paraId="63DDF0E8">
      <w:pPr>
        <w:spacing w:line="500" w:lineRule="exact"/>
        <w:ind w:right="420"/>
        <w:rPr>
          <w:rFonts w:ascii="Calibri" w:hAnsi="Calibri"/>
          <w:color w:val="auto"/>
          <w:szCs w:val="22"/>
          <w:highlight w:val="none"/>
          <w:u w:val="single"/>
        </w:rPr>
      </w:pPr>
      <w:r>
        <w:rPr>
          <w:rFonts w:ascii="宋体" w:hAnsi="宋体" w:cs="宋体"/>
          <w:color w:val="auto"/>
          <w:szCs w:val="21"/>
          <w:highlight w:val="none"/>
        </w:rPr>
        <w:t>投标人名称（单位电子签章）：</w:t>
      </w:r>
      <w:r>
        <w:rPr>
          <w:rFonts w:hint="eastAsia" w:ascii="Calibri" w:hAnsi="Calibri"/>
          <w:color w:val="auto"/>
          <w:szCs w:val="21"/>
          <w:highlight w:val="none"/>
          <w:u w:val="single"/>
        </w:rPr>
        <w:t xml:space="preserve">                     </w:t>
      </w:r>
    </w:p>
    <w:p w14:paraId="46DF895E">
      <w:pPr>
        <w:spacing w:line="500" w:lineRule="exact"/>
        <w:rPr>
          <w:rFonts w:ascii="Calibri" w:hAnsi="Calibri"/>
          <w:color w:val="auto"/>
          <w:szCs w:val="22"/>
          <w:highlight w:val="none"/>
        </w:rPr>
      </w:pPr>
      <w:r>
        <w:rPr>
          <w:rFonts w:ascii="宋体" w:hAnsi="宋体" w:cs="宋体"/>
          <w:color w:val="auto"/>
          <w:szCs w:val="21"/>
          <w:highlight w:val="none"/>
          <w:u w:val="single"/>
        </w:rPr>
        <w:t>    </w:t>
      </w:r>
      <w:r>
        <w:rPr>
          <w:rFonts w:ascii="Calibri" w:hAnsi="Calibri"/>
          <w:color w:val="auto"/>
          <w:szCs w:val="21"/>
          <w:highlight w:val="none"/>
        </w:rPr>
        <w:t xml:space="preserve"> </w:t>
      </w:r>
      <w:r>
        <w:rPr>
          <w:rFonts w:ascii="宋体" w:hAnsi="宋体" w:cs="宋体"/>
          <w:color w:val="auto"/>
          <w:szCs w:val="21"/>
          <w:highlight w:val="none"/>
        </w:rPr>
        <w:t>年</w:t>
      </w:r>
      <w:r>
        <w:rPr>
          <w:rFonts w:ascii="宋体" w:hAnsi="宋体" w:cs="宋体"/>
          <w:color w:val="auto"/>
          <w:szCs w:val="21"/>
          <w:highlight w:val="none"/>
          <w:u w:val="single"/>
        </w:rPr>
        <w:t>    </w:t>
      </w:r>
      <w:r>
        <w:rPr>
          <w:rFonts w:ascii="宋体" w:hAnsi="宋体" w:cs="宋体"/>
          <w:color w:val="auto"/>
          <w:szCs w:val="21"/>
          <w:highlight w:val="none"/>
        </w:rPr>
        <w:t xml:space="preserve"> 月</w:t>
      </w:r>
      <w:r>
        <w:rPr>
          <w:rFonts w:ascii="宋体" w:hAnsi="宋体" w:cs="宋体"/>
          <w:color w:val="auto"/>
          <w:szCs w:val="21"/>
          <w:highlight w:val="none"/>
          <w:u w:val="single"/>
        </w:rPr>
        <w:t>    </w:t>
      </w:r>
      <w:r>
        <w:rPr>
          <w:rFonts w:ascii="宋体" w:hAnsi="宋体" w:cs="宋体"/>
          <w:color w:val="auto"/>
          <w:szCs w:val="21"/>
          <w:highlight w:val="none"/>
        </w:rPr>
        <w:t xml:space="preserve"> 日   </w:t>
      </w:r>
    </w:p>
    <w:p w14:paraId="64B93120">
      <w:pPr>
        <w:adjustRightInd w:val="0"/>
        <w:snapToGrid w:val="0"/>
        <w:spacing w:line="360" w:lineRule="auto"/>
        <w:jc w:val="left"/>
        <w:rPr>
          <w:rFonts w:ascii="黑体" w:hAnsi="黑体" w:eastAsia="黑体"/>
          <w:bCs/>
          <w:color w:val="auto"/>
          <w:sz w:val="28"/>
          <w:szCs w:val="28"/>
          <w:highlight w:val="none"/>
        </w:rPr>
      </w:pPr>
    </w:p>
    <w:p w14:paraId="71EA6596">
      <w:pPr>
        <w:pStyle w:val="47"/>
        <w:rPr>
          <w:color w:val="auto"/>
          <w:highlight w:val="none"/>
        </w:rPr>
      </w:pPr>
    </w:p>
    <w:p w14:paraId="75ABE550">
      <w:pPr>
        <w:pStyle w:val="47"/>
        <w:rPr>
          <w:color w:val="auto"/>
          <w:highlight w:val="none"/>
        </w:rPr>
      </w:pPr>
    </w:p>
    <w:p w14:paraId="79BC7996">
      <w:pPr>
        <w:pStyle w:val="47"/>
        <w:rPr>
          <w:color w:val="auto"/>
          <w:highlight w:val="none"/>
        </w:rPr>
      </w:pPr>
    </w:p>
    <w:p w14:paraId="5399F2EA">
      <w:pPr>
        <w:pStyle w:val="47"/>
        <w:rPr>
          <w:color w:val="auto"/>
          <w:highlight w:val="none"/>
        </w:rPr>
      </w:pPr>
    </w:p>
    <w:p w14:paraId="4C2FFF5D">
      <w:pPr>
        <w:pStyle w:val="47"/>
        <w:rPr>
          <w:rFonts w:hint="eastAsia"/>
          <w:color w:val="auto"/>
          <w:highlight w:val="none"/>
        </w:rPr>
      </w:pPr>
    </w:p>
    <w:p w14:paraId="3AB9DBD2">
      <w:pPr>
        <w:rPr>
          <w:rFonts w:hint="eastAsia" w:ascii="黑体" w:hAnsi="宋体" w:eastAsia="黑体"/>
          <w:color w:val="auto"/>
          <w:sz w:val="28"/>
          <w:szCs w:val="28"/>
          <w:highlight w:val="none"/>
        </w:rPr>
      </w:pPr>
      <w:bookmarkStart w:id="96" w:name="_Toc12192"/>
      <w:r>
        <w:rPr>
          <w:rFonts w:hint="eastAsia" w:ascii="黑体" w:hAnsi="宋体" w:eastAsia="黑体"/>
          <w:color w:val="auto"/>
          <w:sz w:val="28"/>
          <w:szCs w:val="28"/>
          <w:highlight w:val="none"/>
        </w:rPr>
        <w:br w:type="page"/>
      </w:r>
    </w:p>
    <w:p w14:paraId="43B9F09A">
      <w:pPr>
        <w:pStyle w:val="6"/>
        <w:adjustRightInd w:val="0"/>
        <w:snapToGrid w:val="0"/>
        <w:spacing w:before="0" w:after="0" w:line="360" w:lineRule="auto"/>
        <w:jc w:val="center"/>
        <w:rPr>
          <w:rFonts w:hAnsi="宋体"/>
          <w:color w:val="auto"/>
          <w:sz w:val="24"/>
          <w:szCs w:val="24"/>
          <w:highlight w:val="none"/>
        </w:rPr>
      </w:pPr>
      <w:r>
        <w:rPr>
          <w:rFonts w:hint="eastAsia" w:ascii="黑体" w:hAnsi="宋体" w:eastAsia="黑体"/>
          <w:color w:val="auto"/>
          <w:sz w:val="28"/>
          <w:szCs w:val="28"/>
          <w:highlight w:val="none"/>
        </w:rPr>
        <w:t>三、投标人提供的资格证明文件</w:t>
      </w:r>
      <w:bookmarkEnd w:id="96"/>
      <w:bookmarkStart w:id="97" w:name="_Toc294206743"/>
      <w:bookmarkStart w:id="98" w:name="_Toc294186060"/>
    </w:p>
    <w:p w14:paraId="766DA4D1">
      <w:pPr>
        <w:pStyle w:val="13"/>
        <w:adjustRightInd w:val="0"/>
        <w:snapToGrid w:val="0"/>
        <w:spacing w:line="360" w:lineRule="auto"/>
        <w:jc w:val="center"/>
        <w:rPr>
          <w:rFonts w:ascii="黑体" w:hAnsi="黑体" w:eastAsia="黑体" w:cs="Times New Roman"/>
          <w:b/>
          <w:bCs/>
          <w:color w:val="auto"/>
          <w:sz w:val="28"/>
          <w:szCs w:val="28"/>
          <w:highlight w:val="none"/>
        </w:rPr>
      </w:pPr>
      <w:r>
        <w:rPr>
          <w:rFonts w:hint="eastAsia" w:ascii="黑体" w:hAnsi="黑体" w:eastAsia="黑体" w:cs="Times New Roman"/>
          <w:b/>
          <w:bCs/>
          <w:color w:val="auto"/>
          <w:sz w:val="28"/>
          <w:szCs w:val="28"/>
          <w:highlight w:val="none"/>
        </w:rPr>
        <w:t>须  知</w:t>
      </w:r>
    </w:p>
    <w:p w14:paraId="10104819">
      <w:pPr>
        <w:tabs>
          <w:tab w:val="left" w:pos="4725"/>
        </w:tabs>
        <w:adjustRightInd w:val="0"/>
        <w:snapToGrid w:val="0"/>
        <w:spacing w:before="156" w:beforeLines="50" w:line="360" w:lineRule="auto"/>
        <w:ind w:firstLine="422" w:firstLineChars="200"/>
        <w:rPr>
          <w:rFonts w:ascii="宋体" w:hAnsi="宋体"/>
          <w:b/>
          <w:bCs/>
          <w:color w:val="auto"/>
          <w:szCs w:val="21"/>
          <w:highlight w:val="none"/>
        </w:rPr>
      </w:pPr>
      <w:r>
        <w:rPr>
          <w:rFonts w:hint="eastAsia" w:ascii="宋体" w:hAnsi="宋体"/>
          <w:b/>
          <w:color w:val="auto"/>
          <w:szCs w:val="21"/>
          <w:highlight w:val="none"/>
        </w:rPr>
        <w:t>1、投标人</w:t>
      </w:r>
      <w:r>
        <w:rPr>
          <w:rFonts w:hint="eastAsia" w:ascii="宋体" w:hAnsi="宋体"/>
          <w:b/>
          <w:bCs/>
          <w:color w:val="auto"/>
          <w:szCs w:val="21"/>
          <w:highlight w:val="none"/>
        </w:rPr>
        <w:t>应提供下列的证明材料</w:t>
      </w:r>
    </w:p>
    <w:tbl>
      <w:tblPr>
        <w:tblStyle w:val="26"/>
        <w:tblW w:w="9234"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8"/>
        <w:gridCol w:w="1968"/>
        <w:gridCol w:w="5976"/>
        <w:gridCol w:w="852"/>
      </w:tblGrid>
      <w:tr w14:paraId="004DF8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6512A6C0">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1968" w:type="dxa"/>
            <w:noWrap w:val="0"/>
            <w:vAlign w:val="center"/>
          </w:tcPr>
          <w:p w14:paraId="365F6445">
            <w:pPr>
              <w:pStyle w:val="52"/>
              <w:jc w:val="center"/>
              <w:rPr>
                <w:rFonts w:ascii="宋体" w:hAnsi="宋体" w:eastAsia="宋体" w:cs="宋体"/>
                <w:color w:val="auto"/>
                <w:szCs w:val="21"/>
                <w:highlight w:val="none"/>
              </w:rPr>
            </w:pPr>
            <w:r>
              <w:rPr>
                <w:rFonts w:hint="eastAsia" w:ascii="宋体" w:hAnsi="宋体" w:eastAsia="宋体" w:cs="宋体"/>
                <w:color w:val="auto"/>
                <w:sz w:val="21"/>
                <w:highlight w:val="none"/>
              </w:rPr>
              <w:t>法人营业执照</w:t>
            </w:r>
          </w:p>
        </w:tc>
        <w:tc>
          <w:tcPr>
            <w:tcW w:w="5976" w:type="dxa"/>
            <w:tcBorders>
              <w:right w:val="single" w:color="auto" w:sz="4" w:space="0"/>
            </w:tcBorders>
            <w:noWrap w:val="0"/>
            <w:vAlign w:val="center"/>
          </w:tcPr>
          <w:p w14:paraId="52CE570D">
            <w:pPr>
              <w:pStyle w:val="24"/>
              <w:spacing w:before="0" w:beforeAutospacing="0" w:after="0" w:afterAutospacing="0" w:line="400" w:lineRule="atLeast"/>
              <w:rPr>
                <w:color w:val="auto"/>
                <w:sz w:val="21"/>
                <w:szCs w:val="21"/>
                <w:highlight w:val="none"/>
              </w:rPr>
            </w:pPr>
            <w:r>
              <w:rPr>
                <w:rFonts w:hint="eastAsia"/>
                <w:color w:val="auto"/>
                <w:sz w:val="21"/>
                <w:szCs w:val="21"/>
                <w:highlight w:val="none"/>
              </w:rPr>
              <w:t>法人提交企业法人营业执照副本(或者法人登记证书)以及组织机构代码证副本</w:t>
            </w:r>
            <w:r>
              <w:rPr>
                <w:rFonts w:hint="eastAsia"/>
                <w:color w:val="auto"/>
                <w:sz w:val="21"/>
                <w:szCs w:val="21"/>
                <w:highlight w:val="none"/>
                <w:lang w:eastAsia="zh-CN"/>
              </w:rPr>
              <w:t>扫描件</w:t>
            </w:r>
            <w:r>
              <w:rPr>
                <w:rFonts w:hint="eastAsia"/>
                <w:color w:val="auto"/>
                <w:sz w:val="21"/>
                <w:szCs w:val="21"/>
                <w:highlight w:val="none"/>
              </w:rPr>
              <w:t>；</w:t>
            </w:r>
          </w:p>
          <w:p w14:paraId="34B02370">
            <w:pPr>
              <w:pStyle w:val="24"/>
              <w:spacing w:before="0" w:beforeAutospacing="0" w:after="0" w:afterAutospacing="0" w:line="400" w:lineRule="atLeast"/>
              <w:rPr>
                <w:color w:val="auto"/>
                <w:szCs w:val="21"/>
                <w:highlight w:val="none"/>
              </w:rPr>
            </w:pPr>
            <w:r>
              <w:rPr>
                <w:rFonts w:hint="eastAsia"/>
                <w:color w:val="auto"/>
                <w:sz w:val="21"/>
                <w:szCs w:val="21"/>
                <w:highlight w:val="none"/>
              </w:rPr>
              <w:t>注：已获取“统一社会信用代码”的“三证合一”、</w:t>
            </w:r>
            <w:r>
              <w:rPr>
                <w:rFonts w:hint="eastAsia"/>
                <w:color w:val="auto"/>
                <w:highlight w:val="none"/>
              </w:rPr>
              <w:t>“五证合一”</w:t>
            </w:r>
            <w:r>
              <w:rPr>
                <w:rFonts w:hint="eastAsia"/>
                <w:color w:val="auto"/>
                <w:sz w:val="21"/>
                <w:szCs w:val="21"/>
                <w:highlight w:val="none"/>
              </w:rPr>
              <w:t>企业，无须再提供组织机构代码证及税务登记证。</w:t>
            </w:r>
          </w:p>
        </w:tc>
        <w:tc>
          <w:tcPr>
            <w:tcW w:w="852" w:type="dxa"/>
            <w:tcBorders>
              <w:left w:val="single" w:color="auto" w:sz="4" w:space="0"/>
            </w:tcBorders>
            <w:noWrap w:val="0"/>
            <w:vAlign w:val="center"/>
          </w:tcPr>
          <w:p w14:paraId="591BB2EE">
            <w:pPr>
              <w:pStyle w:val="24"/>
              <w:spacing w:before="0" w:beforeAutospacing="0" w:after="0" w:afterAutospacing="0" w:line="400" w:lineRule="atLeast"/>
              <w:rPr>
                <w:rFonts w:hint="eastAsia"/>
                <w:color w:val="auto"/>
                <w:sz w:val="21"/>
                <w:highlight w:val="none"/>
              </w:rPr>
            </w:pPr>
            <w:r>
              <w:rPr>
                <w:rFonts w:hint="eastAsia"/>
                <w:color w:val="auto"/>
                <w:sz w:val="21"/>
                <w:highlight w:val="none"/>
              </w:rPr>
              <w:t>附件3-1</w:t>
            </w:r>
          </w:p>
        </w:tc>
      </w:tr>
      <w:tr w14:paraId="7DB2B9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1E4D765B">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1968" w:type="dxa"/>
            <w:noWrap w:val="0"/>
            <w:vAlign w:val="center"/>
          </w:tcPr>
          <w:p w14:paraId="33EF5E9E">
            <w:pPr>
              <w:pStyle w:val="52"/>
              <w:jc w:val="center"/>
              <w:rPr>
                <w:rFonts w:hint="eastAsia" w:ascii="宋体" w:hAnsi="宋体" w:eastAsia="宋体" w:cs="宋体"/>
                <w:color w:val="auto"/>
                <w:szCs w:val="21"/>
                <w:highlight w:val="none"/>
                <w:lang w:eastAsia="zh-CN"/>
              </w:rPr>
            </w:pPr>
            <w:r>
              <w:rPr>
                <w:rFonts w:hint="eastAsia" w:ascii="宋体" w:hAnsi="宋体" w:eastAsia="宋体" w:cs="宋体"/>
                <w:color w:val="auto"/>
                <w:sz w:val="21"/>
                <w:highlight w:val="none"/>
              </w:rPr>
              <w:t>法定代表或法人授权委托书原件及</w:t>
            </w:r>
            <w:r>
              <w:rPr>
                <w:rFonts w:hint="eastAsia" w:ascii="宋体" w:hAnsi="宋体" w:eastAsia="宋体" w:cs="宋体"/>
                <w:color w:val="auto"/>
                <w:sz w:val="21"/>
                <w:highlight w:val="none"/>
                <w:lang w:eastAsia="zh-CN"/>
              </w:rPr>
              <w:t>扫描件</w:t>
            </w:r>
          </w:p>
        </w:tc>
        <w:tc>
          <w:tcPr>
            <w:tcW w:w="5976" w:type="dxa"/>
            <w:tcBorders>
              <w:right w:val="single" w:color="auto" w:sz="4" w:space="0"/>
            </w:tcBorders>
            <w:noWrap w:val="0"/>
            <w:vAlign w:val="center"/>
          </w:tcPr>
          <w:p w14:paraId="0EA6873D">
            <w:pPr>
              <w:pStyle w:val="52"/>
              <w:rPr>
                <w:rFonts w:ascii="宋体" w:hAnsi="宋体" w:eastAsia="宋体" w:cs="宋体"/>
                <w:color w:val="auto"/>
                <w:szCs w:val="21"/>
                <w:highlight w:val="none"/>
              </w:rPr>
            </w:pPr>
            <w:r>
              <w:rPr>
                <w:rFonts w:hint="eastAsia" w:ascii="宋体" w:hAnsi="宋体" w:eastAsia="宋体" w:cs="宋体"/>
                <w:color w:val="auto"/>
                <w:sz w:val="21"/>
                <w:szCs w:val="21"/>
                <w:highlight w:val="none"/>
              </w:rPr>
              <w:t>法人提交法定代表人资格证明书</w:t>
            </w:r>
            <w:r>
              <w:rPr>
                <w:rFonts w:hint="eastAsia" w:ascii="宋体" w:hAnsi="宋体" w:eastAsia="宋体" w:cs="宋体"/>
                <w:color w:val="auto"/>
                <w:sz w:val="21"/>
                <w:szCs w:val="21"/>
                <w:highlight w:val="none"/>
                <w:lang w:eastAsia="zh-CN"/>
              </w:rPr>
              <w:t>扫描件</w:t>
            </w:r>
            <w:r>
              <w:rPr>
                <w:rFonts w:hint="eastAsia" w:ascii="宋体" w:hAnsi="宋体" w:eastAsia="宋体" w:cs="宋体"/>
                <w:color w:val="auto"/>
                <w:sz w:val="21"/>
                <w:szCs w:val="21"/>
                <w:highlight w:val="none"/>
              </w:rPr>
              <w:t>或者法定代表人授权委托书原件并附法定代表人身份证明</w:t>
            </w:r>
            <w:r>
              <w:rPr>
                <w:rFonts w:hint="eastAsia" w:ascii="宋体" w:hAnsi="宋体" w:eastAsia="宋体" w:cs="宋体"/>
                <w:color w:val="auto"/>
                <w:sz w:val="21"/>
                <w:szCs w:val="21"/>
                <w:highlight w:val="none"/>
                <w:lang w:eastAsia="zh-CN"/>
              </w:rPr>
              <w:t>扫描件</w:t>
            </w:r>
            <w:r>
              <w:rPr>
                <w:rFonts w:hint="eastAsia" w:ascii="宋体" w:hAnsi="宋体" w:eastAsia="宋体" w:cs="宋体"/>
                <w:color w:val="auto"/>
                <w:sz w:val="21"/>
                <w:szCs w:val="21"/>
                <w:highlight w:val="none"/>
              </w:rPr>
              <w:t xml:space="preserve">和被授权代理人有效身份证件； </w:t>
            </w:r>
          </w:p>
        </w:tc>
        <w:tc>
          <w:tcPr>
            <w:tcW w:w="852" w:type="dxa"/>
            <w:tcBorders>
              <w:left w:val="single" w:color="auto" w:sz="4" w:space="0"/>
            </w:tcBorders>
            <w:noWrap w:val="0"/>
            <w:vAlign w:val="center"/>
          </w:tcPr>
          <w:p w14:paraId="0155D06B">
            <w:pPr>
              <w:pStyle w:val="52"/>
              <w:rPr>
                <w:rFonts w:hint="eastAsia" w:ascii="宋体" w:hAnsi="宋体" w:eastAsia="宋体" w:cs="宋体"/>
                <w:color w:val="auto"/>
                <w:sz w:val="21"/>
                <w:highlight w:val="none"/>
              </w:rPr>
            </w:pPr>
          </w:p>
        </w:tc>
      </w:tr>
      <w:tr w14:paraId="4810B3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68DC4975">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1968" w:type="dxa"/>
            <w:noWrap w:val="0"/>
            <w:vAlign w:val="center"/>
          </w:tcPr>
          <w:p w14:paraId="17E99181">
            <w:pPr>
              <w:pStyle w:val="52"/>
              <w:jc w:val="center"/>
              <w:rPr>
                <w:rFonts w:ascii="宋体" w:hAnsi="宋体" w:eastAsia="宋体" w:cs="宋体"/>
                <w:color w:val="auto"/>
                <w:sz w:val="21"/>
                <w:highlight w:val="none"/>
              </w:rPr>
            </w:pPr>
            <w:r>
              <w:rPr>
                <w:rFonts w:hint="eastAsia" w:ascii="宋体" w:hAnsi="宋体" w:eastAsia="宋体" w:cs="宋体"/>
                <w:color w:val="auto"/>
                <w:sz w:val="21"/>
                <w:highlight w:val="none"/>
              </w:rPr>
              <w:t>供应商特定资格要求</w:t>
            </w:r>
          </w:p>
        </w:tc>
        <w:tc>
          <w:tcPr>
            <w:tcW w:w="5976" w:type="dxa"/>
            <w:tcBorders>
              <w:right w:val="single" w:color="auto" w:sz="4" w:space="0"/>
            </w:tcBorders>
            <w:noWrap w:val="0"/>
            <w:vAlign w:val="center"/>
          </w:tcPr>
          <w:p w14:paraId="244CDDDF">
            <w:pPr>
              <w:pStyle w:val="52"/>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852" w:type="dxa"/>
            <w:tcBorders>
              <w:left w:val="single" w:color="auto" w:sz="4" w:space="0"/>
            </w:tcBorders>
            <w:noWrap w:val="0"/>
            <w:vAlign w:val="center"/>
          </w:tcPr>
          <w:p w14:paraId="207F99B0">
            <w:pPr>
              <w:pStyle w:val="52"/>
              <w:rPr>
                <w:rFonts w:hint="eastAsia" w:ascii="宋体" w:hAnsi="宋体" w:eastAsia="宋体" w:cs="宋体"/>
                <w:color w:val="auto"/>
                <w:sz w:val="21"/>
                <w:highlight w:val="none"/>
              </w:rPr>
            </w:pPr>
          </w:p>
        </w:tc>
      </w:tr>
      <w:tr w14:paraId="00A172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8" w:hRule="atLeast"/>
        </w:trPr>
        <w:tc>
          <w:tcPr>
            <w:tcW w:w="438" w:type="dxa"/>
            <w:tcBorders>
              <w:bottom w:val="single" w:color="auto" w:sz="4" w:space="0"/>
            </w:tcBorders>
            <w:noWrap w:val="0"/>
            <w:vAlign w:val="center"/>
          </w:tcPr>
          <w:p w14:paraId="68DBA74A">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1968" w:type="dxa"/>
            <w:tcBorders>
              <w:bottom w:val="single" w:color="auto" w:sz="4" w:space="0"/>
            </w:tcBorders>
            <w:noWrap w:val="0"/>
            <w:vAlign w:val="center"/>
          </w:tcPr>
          <w:p w14:paraId="0C6CBFFA">
            <w:pPr>
              <w:pStyle w:val="52"/>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财务状况报告、依法缴纳税收、依法缴纳社会保障资金</w:t>
            </w:r>
          </w:p>
        </w:tc>
        <w:tc>
          <w:tcPr>
            <w:tcW w:w="5976" w:type="dxa"/>
            <w:tcBorders>
              <w:bottom w:val="single" w:color="auto" w:sz="4" w:space="0"/>
              <w:right w:val="single" w:color="auto" w:sz="4" w:space="0"/>
            </w:tcBorders>
            <w:noWrap w:val="0"/>
            <w:vAlign w:val="center"/>
          </w:tcPr>
          <w:p w14:paraId="662324A4">
            <w:pPr>
              <w:pStyle w:val="52"/>
              <w:rPr>
                <w:rFonts w:hint="eastAsia" w:ascii="宋体" w:hAnsi="宋体" w:eastAsia="宋体" w:cs="宋体"/>
                <w:color w:val="auto"/>
                <w:sz w:val="20"/>
                <w:szCs w:val="22"/>
                <w:highlight w:val="none"/>
                <w:lang w:eastAsia="zh-CN"/>
              </w:rPr>
            </w:pPr>
            <w:r>
              <w:rPr>
                <w:rFonts w:hint="eastAsia" w:ascii="宋体" w:hAnsi="宋体" w:eastAsia="宋体" w:cs="宋体"/>
                <w:color w:val="auto"/>
                <w:sz w:val="20"/>
                <w:szCs w:val="22"/>
                <w:highlight w:val="none"/>
                <w:lang w:eastAsia="zh-CN"/>
              </w:rPr>
              <w:t>提供</w:t>
            </w:r>
            <w:r>
              <w:rPr>
                <w:rFonts w:hint="eastAsia" w:ascii="宋体" w:hAnsi="宋体" w:eastAsia="宋体" w:cs="宋体"/>
                <w:color w:val="auto"/>
                <w:sz w:val="20"/>
                <w:szCs w:val="22"/>
                <w:highlight w:val="none"/>
                <w:lang w:val="en-US" w:eastAsia="zh-CN"/>
              </w:rPr>
              <w:t>2024</w:t>
            </w:r>
            <w:r>
              <w:rPr>
                <w:rFonts w:hint="eastAsia" w:ascii="宋体" w:hAnsi="宋体" w:eastAsia="宋体" w:cs="宋体"/>
                <w:color w:val="auto"/>
                <w:sz w:val="20"/>
                <w:szCs w:val="22"/>
                <w:highlight w:val="none"/>
                <w:lang w:eastAsia="zh-CN"/>
              </w:rPr>
              <w:t>年度财务状况报告扫描件（投标文件中只需提供上述报告中的审计结论意见书及资产负债表、损益利润分配表扫描件）或银行资信证明；新成立的或成立不足一年的的公司提供最近月份的财务报表或银行资信证明；</w:t>
            </w:r>
          </w:p>
          <w:p w14:paraId="18821A17">
            <w:pPr>
              <w:pStyle w:val="52"/>
              <w:rPr>
                <w:rFonts w:hint="eastAsia" w:ascii="宋体" w:hAnsi="宋体" w:eastAsia="宋体" w:cs="宋体"/>
                <w:color w:val="auto"/>
                <w:sz w:val="21"/>
                <w:highlight w:val="none"/>
              </w:rPr>
            </w:pPr>
            <w:r>
              <w:rPr>
                <w:rFonts w:hint="eastAsia" w:ascii="宋体" w:hAnsi="宋体" w:eastAsia="宋体" w:cs="宋体"/>
                <w:color w:val="auto"/>
                <w:sz w:val="21"/>
                <w:highlight w:val="none"/>
              </w:rPr>
              <w:t>提供202</w:t>
            </w:r>
            <w:r>
              <w:rPr>
                <w:rFonts w:hint="eastAsia" w:ascii="宋体" w:hAnsi="宋体" w:eastAsia="宋体" w:cs="宋体"/>
                <w:color w:val="auto"/>
                <w:sz w:val="21"/>
                <w:highlight w:val="none"/>
                <w:lang w:val="en-US" w:eastAsia="zh-CN"/>
              </w:rPr>
              <w:t>5</w:t>
            </w:r>
            <w:r>
              <w:rPr>
                <w:rFonts w:hint="eastAsia" w:ascii="宋体" w:hAnsi="宋体" w:eastAsia="宋体" w:cs="宋体"/>
                <w:color w:val="auto"/>
                <w:sz w:val="21"/>
                <w:highlight w:val="none"/>
              </w:rPr>
              <w:t>年</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月-202</w:t>
            </w:r>
            <w:r>
              <w:rPr>
                <w:rFonts w:hint="eastAsia" w:ascii="宋体" w:hAnsi="宋体" w:eastAsia="宋体" w:cs="宋体"/>
                <w:color w:val="auto"/>
                <w:sz w:val="21"/>
                <w:highlight w:val="none"/>
                <w:lang w:val="en-US" w:eastAsia="zh-CN"/>
              </w:rPr>
              <w:t>5</w:t>
            </w:r>
            <w:r>
              <w:rPr>
                <w:rFonts w:hint="eastAsia" w:ascii="宋体" w:hAnsi="宋体" w:eastAsia="宋体" w:cs="宋体"/>
                <w:color w:val="auto"/>
                <w:sz w:val="21"/>
                <w:highlight w:val="none"/>
              </w:rPr>
              <w:t>年</w:t>
            </w:r>
            <w:r>
              <w:rPr>
                <w:rFonts w:hint="eastAsia" w:ascii="宋体" w:hAnsi="宋体" w:eastAsia="宋体" w:cs="宋体"/>
                <w:color w:val="auto"/>
                <w:sz w:val="21"/>
                <w:highlight w:val="none"/>
                <w:lang w:val="en-US" w:eastAsia="zh-CN"/>
              </w:rPr>
              <w:t>7</w:t>
            </w:r>
            <w:r>
              <w:rPr>
                <w:rFonts w:hint="eastAsia" w:ascii="宋体" w:hAnsi="宋体" w:eastAsia="宋体" w:cs="宋体"/>
                <w:color w:val="auto"/>
                <w:sz w:val="21"/>
                <w:highlight w:val="none"/>
              </w:rPr>
              <w:t>月（任意连续3个月）依法纳税及依法缴纳社会保障金相关证明文件。</w:t>
            </w:r>
          </w:p>
          <w:p w14:paraId="570CE527">
            <w:pPr>
              <w:pStyle w:val="52"/>
              <w:rPr>
                <w:rFonts w:ascii="宋体" w:hAnsi="宋体" w:eastAsia="宋体" w:cs="宋体"/>
                <w:color w:val="auto"/>
                <w:sz w:val="21"/>
                <w:highlight w:val="none"/>
              </w:rPr>
            </w:pPr>
            <w:r>
              <w:rPr>
                <w:rFonts w:hint="eastAsia" w:ascii="宋体" w:hAnsi="宋体" w:eastAsia="宋体" w:cs="宋体"/>
                <w:color w:val="auto"/>
                <w:sz w:val="21"/>
                <w:highlight w:val="none"/>
              </w:rPr>
              <w:t>注：根据《湖南省财政厅关于政府采购促进中小企业发展有关措施的通知》要求：</w:t>
            </w:r>
            <w:r>
              <w:rPr>
                <w:rFonts w:hint="eastAsia" w:ascii="宋体" w:hAnsi="宋体" w:eastAsia="宋体" w:cs="宋体"/>
                <w:b/>
                <w:bCs/>
                <w:color w:val="auto"/>
                <w:sz w:val="21"/>
                <w:highlight w:val="none"/>
              </w:rPr>
              <w:t>中小微企业参与本项目投标</w:t>
            </w:r>
            <w:r>
              <w:rPr>
                <w:rFonts w:hint="eastAsia" w:ascii="宋体" w:hAnsi="宋体" w:eastAsia="宋体" w:cs="宋体"/>
                <w:color w:val="auto"/>
                <w:sz w:val="21"/>
                <w:highlight w:val="none"/>
              </w:rPr>
              <w:t>，只需提供‘湖南省政府采购供应商资格承诺函’，视同满足上述要求。其他投标人按要求提供。</w:t>
            </w:r>
          </w:p>
        </w:tc>
        <w:tc>
          <w:tcPr>
            <w:tcW w:w="852" w:type="dxa"/>
            <w:tcBorders>
              <w:left w:val="single" w:color="auto" w:sz="4" w:space="0"/>
              <w:bottom w:val="single" w:color="auto" w:sz="4" w:space="0"/>
            </w:tcBorders>
            <w:noWrap w:val="0"/>
            <w:vAlign w:val="center"/>
          </w:tcPr>
          <w:p w14:paraId="016E5119">
            <w:pPr>
              <w:pStyle w:val="52"/>
              <w:rPr>
                <w:rFonts w:hint="eastAsia" w:ascii="宋体" w:hAnsi="宋体" w:eastAsia="宋体" w:cs="宋体"/>
                <w:color w:val="auto"/>
                <w:sz w:val="21"/>
                <w:highlight w:val="none"/>
              </w:rPr>
            </w:pPr>
            <w:r>
              <w:rPr>
                <w:rFonts w:hint="eastAsia" w:ascii="宋体" w:hAnsi="宋体" w:eastAsia="宋体" w:cs="宋体"/>
                <w:color w:val="auto"/>
                <w:sz w:val="21"/>
                <w:highlight w:val="none"/>
              </w:rPr>
              <w:t>附件3-2</w:t>
            </w:r>
          </w:p>
        </w:tc>
      </w:tr>
      <w:tr w14:paraId="072496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438" w:type="dxa"/>
            <w:tcBorders>
              <w:top w:val="single" w:color="auto" w:sz="4" w:space="0"/>
            </w:tcBorders>
            <w:noWrap w:val="0"/>
            <w:vAlign w:val="center"/>
          </w:tcPr>
          <w:p w14:paraId="2E71BEC4">
            <w:pPr>
              <w:adjustRightInd w:val="0"/>
              <w:snapToGrid w:val="0"/>
              <w:spacing w:before="156" w:beforeLines="50" w:line="360" w:lineRule="auto"/>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w:t>
            </w:r>
          </w:p>
        </w:tc>
        <w:tc>
          <w:tcPr>
            <w:tcW w:w="1968" w:type="dxa"/>
            <w:tcBorders>
              <w:top w:val="single" w:color="auto" w:sz="4" w:space="0"/>
            </w:tcBorders>
            <w:noWrap w:val="0"/>
            <w:vAlign w:val="center"/>
          </w:tcPr>
          <w:p w14:paraId="0CDEF7AD">
            <w:pPr>
              <w:pStyle w:val="52"/>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具备履行合同所必需的设备和专业技术能力</w:t>
            </w:r>
          </w:p>
        </w:tc>
        <w:tc>
          <w:tcPr>
            <w:tcW w:w="5976" w:type="dxa"/>
            <w:tcBorders>
              <w:top w:val="single" w:color="auto" w:sz="4" w:space="0"/>
              <w:right w:val="single" w:color="auto" w:sz="4" w:space="0"/>
            </w:tcBorders>
            <w:noWrap w:val="0"/>
            <w:vAlign w:val="center"/>
          </w:tcPr>
          <w:p w14:paraId="2858298A">
            <w:pPr>
              <w:pStyle w:val="52"/>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按格式提供书面承诺。</w:t>
            </w:r>
          </w:p>
        </w:tc>
        <w:tc>
          <w:tcPr>
            <w:tcW w:w="852" w:type="dxa"/>
            <w:tcBorders>
              <w:top w:val="single" w:color="auto" w:sz="4" w:space="0"/>
              <w:left w:val="single" w:color="auto" w:sz="4" w:space="0"/>
            </w:tcBorders>
            <w:noWrap w:val="0"/>
            <w:vAlign w:val="center"/>
          </w:tcPr>
          <w:p w14:paraId="5FC50D06">
            <w:pPr>
              <w:pStyle w:val="52"/>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附件3-3 </w:t>
            </w:r>
          </w:p>
        </w:tc>
      </w:tr>
      <w:tr w14:paraId="6A8031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97" w:hRule="atLeast"/>
        </w:trPr>
        <w:tc>
          <w:tcPr>
            <w:tcW w:w="438" w:type="dxa"/>
            <w:noWrap w:val="0"/>
            <w:vAlign w:val="center"/>
          </w:tcPr>
          <w:p w14:paraId="336C9D7F">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1968" w:type="dxa"/>
            <w:noWrap w:val="0"/>
            <w:vAlign w:val="center"/>
          </w:tcPr>
          <w:p w14:paraId="67561EB8">
            <w:pPr>
              <w:pStyle w:val="52"/>
              <w:rPr>
                <w:rFonts w:ascii="宋体" w:hAnsi="宋体" w:eastAsia="宋体" w:cs="宋体"/>
                <w:color w:val="auto"/>
                <w:sz w:val="21"/>
                <w:highlight w:val="none"/>
              </w:rPr>
            </w:pPr>
            <w:r>
              <w:rPr>
                <w:rFonts w:hint="eastAsia" w:ascii="宋体" w:hAnsi="宋体" w:eastAsia="宋体" w:cs="宋体"/>
                <w:color w:val="auto"/>
                <w:sz w:val="21"/>
                <w:highlight w:val="none"/>
              </w:rPr>
              <w:t>与其他投标人无利害关系承诺</w:t>
            </w:r>
          </w:p>
        </w:tc>
        <w:tc>
          <w:tcPr>
            <w:tcW w:w="5976" w:type="dxa"/>
            <w:tcBorders>
              <w:right w:val="single" w:color="auto" w:sz="4" w:space="0"/>
            </w:tcBorders>
            <w:noWrap w:val="0"/>
            <w:vAlign w:val="center"/>
          </w:tcPr>
          <w:p w14:paraId="23188C33">
            <w:pPr>
              <w:pStyle w:val="24"/>
              <w:spacing w:before="0" w:beforeAutospacing="0" w:after="0" w:afterAutospacing="0" w:line="400" w:lineRule="atLeast"/>
              <w:rPr>
                <w:color w:val="auto"/>
                <w:sz w:val="21"/>
                <w:szCs w:val="21"/>
                <w:highlight w:val="none"/>
              </w:rPr>
            </w:pPr>
            <w:r>
              <w:rPr>
                <w:rFonts w:hint="eastAsia"/>
                <w:color w:val="auto"/>
                <w:sz w:val="21"/>
                <w:szCs w:val="21"/>
                <w:highlight w:val="none"/>
              </w:rPr>
              <w:t>提供单位负责人为同一人或者存在直接控股、管理关系的不同投标人，不得参加本项目同一合同项下的政府采购活动的书面承诺；</w:t>
            </w:r>
          </w:p>
        </w:tc>
        <w:tc>
          <w:tcPr>
            <w:tcW w:w="852" w:type="dxa"/>
            <w:tcBorders>
              <w:left w:val="single" w:color="auto" w:sz="4" w:space="0"/>
            </w:tcBorders>
            <w:noWrap w:val="0"/>
            <w:vAlign w:val="center"/>
          </w:tcPr>
          <w:p w14:paraId="45926949">
            <w:pPr>
              <w:pStyle w:val="52"/>
              <w:rPr>
                <w:rFonts w:hint="eastAsia" w:ascii="宋体" w:hAnsi="宋体" w:eastAsia="宋体" w:cs="宋体"/>
                <w:color w:val="auto"/>
                <w:sz w:val="21"/>
                <w:highlight w:val="none"/>
              </w:rPr>
            </w:pPr>
            <w:r>
              <w:rPr>
                <w:rFonts w:hint="eastAsia" w:ascii="宋体" w:hAnsi="宋体" w:eastAsia="宋体" w:cs="宋体"/>
                <w:color w:val="auto"/>
                <w:sz w:val="21"/>
                <w:highlight w:val="none"/>
              </w:rPr>
              <w:t>附件3-4</w:t>
            </w:r>
          </w:p>
        </w:tc>
      </w:tr>
      <w:tr w14:paraId="175265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5" w:hRule="atLeast"/>
        </w:trPr>
        <w:tc>
          <w:tcPr>
            <w:tcW w:w="438" w:type="dxa"/>
            <w:noWrap w:val="0"/>
            <w:vAlign w:val="center"/>
          </w:tcPr>
          <w:p w14:paraId="61FE1D4A">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1968" w:type="dxa"/>
            <w:noWrap w:val="0"/>
            <w:vAlign w:val="center"/>
          </w:tcPr>
          <w:p w14:paraId="3BE79E64">
            <w:pPr>
              <w:pStyle w:val="52"/>
              <w:jc w:val="center"/>
              <w:rPr>
                <w:rFonts w:hint="eastAsia" w:ascii="宋体" w:hAnsi="宋体" w:eastAsia="宋体" w:cs="宋体"/>
                <w:color w:val="auto"/>
                <w:szCs w:val="21"/>
                <w:highlight w:val="none"/>
              </w:rPr>
            </w:pPr>
            <w:r>
              <w:rPr>
                <w:rFonts w:hint="eastAsia" w:ascii="宋体" w:hAnsi="宋体" w:eastAsia="宋体" w:cs="宋体"/>
                <w:color w:val="auto"/>
                <w:sz w:val="21"/>
                <w:highlight w:val="none"/>
              </w:rPr>
              <w:t>无重大违法记录</w:t>
            </w:r>
          </w:p>
        </w:tc>
        <w:tc>
          <w:tcPr>
            <w:tcW w:w="5976" w:type="dxa"/>
            <w:tcBorders>
              <w:right w:val="single" w:color="auto" w:sz="4" w:space="0"/>
            </w:tcBorders>
            <w:noWrap w:val="0"/>
            <w:vAlign w:val="center"/>
          </w:tcPr>
          <w:p w14:paraId="4FE54D19">
            <w:pPr>
              <w:pStyle w:val="24"/>
              <w:spacing w:line="400" w:lineRule="atLeast"/>
              <w:jc w:val="both"/>
              <w:rPr>
                <w:color w:val="auto"/>
                <w:szCs w:val="21"/>
                <w:highlight w:val="none"/>
              </w:rPr>
            </w:pPr>
            <w:r>
              <w:rPr>
                <w:rFonts w:hint="eastAsia"/>
                <w:color w:val="auto"/>
                <w:sz w:val="21"/>
                <w:szCs w:val="21"/>
                <w:highlight w:val="none"/>
              </w:rPr>
              <w:t>提供参加政府采购活动前三年内，在经营活动中没有重大违法记录声明；</w:t>
            </w:r>
          </w:p>
        </w:tc>
        <w:tc>
          <w:tcPr>
            <w:tcW w:w="852" w:type="dxa"/>
            <w:tcBorders>
              <w:left w:val="single" w:color="auto" w:sz="4" w:space="0"/>
            </w:tcBorders>
            <w:noWrap w:val="0"/>
            <w:vAlign w:val="center"/>
          </w:tcPr>
          <w:p w14:paraId="234DB3C5">
            <w:pPr>
              <w:pStyle w:val="24"/>
              <w:spacing w:line="400" w:lineRule="atLeast"/>
              <w:jc w:val="both"/>
              <w:rPr>
                <w:rFonts w:hint="eastAsia"/>
                <w:color w:val="auto"/>
                <w:sz w:val="21"/>
                <w:highlight w:val="none"/>
              </w:rPr>
            </w:pPr>
            <w:r>
              <w:rPr>
                <w:rFonts w:hint="eastAsia"/>
                <w:color w:val="auto"/>
                <w:sz w:val="21"/>
                <w:highlight w:val="none"/>
              </w:rPr>
              <w:t>附件3-5</w:t>
            </w:r>
          </w:p>
        </w:tc>
      </w:tr>
      <w:tr w14:paraId="050013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619DB8FF">
            <w:pPr>
              <w:adjustRightInd w:val="0"/>
              <w:snapToGrid w:val="0"/>
              <w:spacing w:before="156" w:beforeLines="50" w:line="360" w:lineRule="auto"/>
              <w:jc w:val="center"/>
              <w:rPr>
                <w:rFonts w:ascii="宋体" w:hAnsi="宋体" w:eastAsia="宋体" w:cs="宋体"/>
                <w:color w:val="auto"/>
                <w:kern w:val="0"/>
                <w:szCs w:val="21"/>
                <w:highlight w:val="none"/>
              </w:rPr>
            </w:pPr>
            <w:r>
              <w:rPr>
                <w:rFonts w:hint="eastAsia" w:ascii="宋体" w:hAnsi="宋体" w:eastAsia="宋体" w:cs="Times New Roman"/>
                <w:color w:val="auto"/>
                <w:kern w:val="0"/>
                <w:szCs w:val="21"/>
                <w:highlight w:val="none"/>
              </w:rPr>
              <w:t>8</w:t>
            </w:r>
          </w:p>
        </w:tc>
        <w:tc>
          <w:tcPr>
            <w:tcW w:w="1968" w:type="dxa"/>
            <w:noWrap w:val="0"/>
            <w:vAlign w:val="center"/>
          </w:tcPr>
          <w:p w14:paraId="5D64F91B">
            <w:pPr>
              <w:pStyle w:val="52"/>
              <w:jc w:val="center"/>
              <w:rPr>
                <w:rFonts w:ascii="宋体" w:hAnsi="宋体" w:eastAsia="宋体" w:cs="宋体"/>
                <w:color w:val="auto"/>
                <w:sz w:val="21"/>
                <w:highlight w:val="none"/>
              </w:rPr>
            </w:pPr>
            <w:r>
              <w:rPr>
                <w:rFonts w:hint="eastAsia" w:ascii="宋体" w:hAnsi="宋体" w:eastAsia="宋体" w:cs="宋体"/>
                <w:color w:val="auto"/>
                <w:sz w:val="21"/>
                <w:highlight w:val="none"/>
              </w:rPr>
              <w:t>投标报价</w:t>
            </w:r>
          </w:p>
        </w:tc>
        <w:tc>
          <w:tcPr>
            <w:tcW w:w="5976" w:type="dxa"/>
            <w:tcBorders>
              <w:right w:val="single" w:color="auto" w:sz="4" w:space="0"/>
            </w:tcBorders>
            <w:noWrap w:val="0"/>
            <w:vAlign w:val="center"/>
          </w:tcPr>
          <w:p w14:paraId="10B48700">
            <w:pPr>
              <w:pStyle w:val="52"/>
              <w:rPr>
                <w:rFonts w:ascii="宋体" w:hAnsi="宋体" w:eastAsia="宋体" w:cs="宋体"/>
                <w:color w:val="auto"/>
                <w:sz w:val="21"/>
                <w:szCs w:val="21"/>
                <w:highlight w:val="none"/>
              </w:rPr>
            </w:pPr>
            <w:r>
              <w:rPr>
                <w:rFonts w:hint="eastAsia" w:ascii="宋体" w:hAnsi="宋体" w:eastAsia="宋体" w:cs="宋体"/>
                <w:color w:val="auto"/>
                <w:sz w:val="21"/>
                <w:highlight w:val="none"/>
              </w:rPr>
              <w:t>报价超过招标文件中规定的预算金额或者最高限价的；</w:t>
            </w:r>
          </w:p>
        </w:tc>
        <w:tc>
          <w:tcPr>
            <w:tcW w:w="852" w:type="dxa"/>
            <w:tcBorders>
              <w:left w:val="single" w:color="auto" w:sz="4" w:space="0"/>
            </w:tcBorders>
            <w:noWrap w:val="0"/>
            <w:vAlign w:val="center"/>
          </w:tcPr>
          <w:p w14:paraId="5779BD4A">
            <w:pPr>
              <w:pStyle w:val="52"/>
              <w:rPr>
                <w:rFonts w:hint="eastAsia" w:ascii="宋体" w:hAnsi="宋体" w:eastAsia="宋体" w:cs="宋体"/>
                <w:color w:val="auto"/>
                <w:sz w:val="21"/>
                <w:highlight w:val="none"/>
              </w:rPr>
            </w:pPr>
          </w:p>
        </w:tc>
      </w:tr>
      <w:tr w14:paraId="3568DF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115360D2">
            <w:pPr>
              <w:adjustRightInd w:val="0"/>
              <w:snapToGrid w:val="0"/>
              <w:spacing w:before="156" w:beforeLines="50" w:line="360" w:lineRule="auto"/>
              <w:jc w:val="center"/>
              <w:rPr>
                <w:rFonts w:hint="eastAsia" w:ascii="宋体" w:hAnsi="宋体" w:eastAsia="宋体" w:cs="Times New Roman"/>
                <w:color w:val="auto"/>
                <w:kern w:val="0"/>
                <w:szCs w:val="21"/>
                <w:highlight w:val="none"/>
                <w:lang w:eastAsia="zh-CN"/>
              </w:rPr>
            </w:pPr>
            <w:r>
              <w:rPr>
                <w:rFonts w:hint="eastAsia" w:ascii="宋体" w:hAnsi="宋体" w:eastAsia="宋体" w:cs="宋体"/>
                <w:color w:val="auto"/>
                <w:kern w:val="0"/>
                <w:szCs w:val="21"/>
                <w:highlight w:val="none"/>
                <w:lang w:val="en-US" w:eastAsia="zh-CN"/>
              </w:rPr>
              <w:t>9</w:t>
            </w:r>
          </w:p>
        </w:tc>
        <w:tc>
          <w:tcPr>
            <w:tcW w:w="1968" w:type="dxa"/>
            <w:noWrap w:val="0"/>
            <w:vAlign w:val="center"/>
          </w:tcPr>
          <w:p w14:paraId="2FA4261F">
            <w:pPr>
              <w:pStyle w:val="52"/>
              <w:jc w:val="center"/>
              <w:rPr>
                <w:rFonts w:ascii="宋体" w:hAnsi="宋体" w:eastAsia="宋体" w:cs="宋体"/>
                <w:color w:val="auto"/>
                <w:szCs w:val="21"/>
                <w:highlight w:val="none"/>
              </w:rPr>
            </w:pPr>
            <w:r>
              <w:rPr>
                <w:rFonts w:hint="eastAsia" w:ascii="宋体" w:hAnsi="宋体" w:eastAsia="宋体" w:cs="宋体"/>
                <w:color w:val="auto"/>
                <w:sz w:val="21"/>
                <w:highlight w:val="none"/>
              </w:rPr>
              <w:t>信用记录查询情况</w:t>
            </w:r>
          </w:p>
        </w:tc>
        <w:tc>
          <w:tcPr>
            <w:tcW w:w="5976" w:type="dxa"/>
            <w:tcBorders>
              <w:right w:val="single" w:color="auto" w:sz="4" w:space="0"/>
            </w:tcBorders>
            <w:noWrap w:val="0"/>
            <w:vAlign w:val="center"/>
          </w:tcPr>
          <w:p w14:paraId="2F895030">
            <w:pPr>
              <w:pStyle w:val="24"/>
              <w:spacing w:before="0" w:beforeAutospacing="0" w:after="0" w:afterAutospacing="0" w:line="400" w:lineRule="atLeast"/>
              <w:rPr>
                <w:color w:val="auto"/>
                <w:szCs w:val="21"/>
                <w:highlight w:val="none"/>
              </w:rPr>
            </w:pPr>
            <w:r>
              <w:rPr>
                <w:rFonts w:hint="eastAsia"/>
                <w:color w:val="auto"/>
                <w:sz w:val="21"/>
                <w:szCs w:val="21"/>
                <w:highlight w:val="none"/>
              </w:rPr>
              <w:t>投标人提供招标公告之日起通过“信用中国”网站（www.creditchina.gov.cn）或中国政府采购网（www.ccgp.gov.cn）查询的信用记录网上打印件或</w:t>
            </w:r>
            <w:r>
              <w:rPr>
                <w:color w:val="auto"/>
                <w:sz w:val="21"/>
                <w:szCs w:val="21"/>
                <w:highlight w:val="none"/>
              </w:rPr>
              <w:t>截图</w:t>
            </w:r>
            <w:r>
              <w:rPr>
                <w:rFonts w:hint="eastAsia"/>
                <w:color w:val="auto"/>
                <w:sz w:val="21"/>
                <w:szCs w:val="21"/>
                <w:highlight w:val="none"/>
              </w:rPr>
              <w:t>，应包括网站网址、查询内容、查询时间；</w:t>
            </w:r>
          </w:p>
        </w:tc>
        <w:tc>
          <w:tcPr>
            <w:tcW w:w="852" w:type="dxa"/>
            <w:tcBorders>
              <w:left w:val="single" w:color="auto" w:sz="4" w:space="0"/>
            </w:tcBorders>
            <w:noWrap w:val="0"/>
            <w:vAlign w:val="center"/>
          </w:tcPr>
          <w:p w14:paraId="1317654A">
            <w:pPr>
              <w:pStyle w:val="24"/>
              <w:spacing w:before="0" w:beforeAutospacing="0" w:after="0" w:afterAutospacing="0" w:line="400" w:lineRule="atLeast"/>
              <w:rPr>
                <w:color w:val="auto"/>
                <w:sz w:val="21"/>
                <w:highlight w:val="none"/>
              </w:rPr>
            </w:pPr>
            <w:r>
              <w:rPr>
                <w:rFonts w:hint="eastAsia"/>
                <w:color w:val="auto"/>
                <w:sz w:val="21"/>
                <w:highlight w:val="none"/>
              </w:rPr>
              <w:t>附件3-6</w:t>
            </w:r>
          </w:p>
        </w:tc>
      </w:tr>
      <w:tr w14:paraId="55A589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438" w:type="dxa"/>
            <w:noWrap w:val="0"/>
            <w:vAlign w:val="center"/>
          </w:tcPr>
          <w:p w14:paraId="6FF84CEF">
            <w:pPr>
              <w:adjustRightInd w:val="0"/>
              <w:snapToGrid w:val="0"/>
              <w:spacing w:before="156" w:beforeLines="50" w:line="360" w:lineRule="auto"/>
              <w:jc w:val="center"/>
              <w:rPr>
                <w:rFonts w:hint="default" w:ascii="宋体" w:hAnsi="宋体" w:eastAsia="宋体" w:cs="Times New Roman"/>
                <w:color w:val="auto"/>
                <w:kern w:val="0"/>
                <w:szCs w:val="21"/>
                <w:highlight w:val="none"/>
                <w:lang w:val="en-US" w:eastAsia="zh-CN"/>
              </w:rPr>
            </w:pPr>
            <w:r>
              <w:rPr>
                <w:rFonts w:hint="eastAsia" w:ascii="宋体" w:hAnsi="宋体" w:eastAsia="宋体" w:cs="Times New Roman"/>
                <w:color w:val="auto"/>
                <w:kern w:val="0"/>
                <w:szCs w:val="21"/>
                <w:highlight w:val="none"/>
                <w:lang w:val="en-US" w:eastAsia="zh-CN"/>
              </w:rPr>
              <w:t>10</w:t>
            </w:r>
          </w:p>
        </w:tc>
        <w:tc>
          <w:tcPr>
            <w:tcW w:w="1968" w:type="dxa"/>
            <w:noWrap w:val="0"/>
            <w:vAlign w:val="center"/>
          </w:tcPr>
          <w:p w14:paraId="7846B6EA">
            <w:pPr>
              <w:pStyle w:val="52"/>
              <w:rPr>
                <w:rFonts w:hint="eastAsia" w:ascii="宋体" w:hAnsi="宋体" w:eastAsia="宋体" w:cs="宋体"/>
                <w:color w:val="auto"/>
                <w:sz w:val="21"/>
                <w:highlight w:val="none"/>
              </w:rPr>
            </w:pPr>
            <w:r>
              <w:rPr>
                <w:rFonts w:hint="eastAsia" w:ascii="宋体" w:hAnsi="宋体" w:eastAsia="宋体" w:cs="宋体"/>
                <w:color w:val="auto"/>
                <w:sz w:val="21"/>
                <w:highlight w:val="none"/>
              </w:rPr>
              <w:t>投标响应文件</w:t>
            </w:r>
            <w:r>
              <w:rPr>
                <w:rFonts w:ascii="宋体" w:hAnsi="宋体" w:eastAsia="宋体" w:cs="宋体"/>
                <w:color w:val="auto"/>
                <w:sz w:val="21"/>
                <w:highlight w:val="none"/>
              </w:rPr>
              <w:t>的签署、盖章</w:t>
            </w:r>
          </w:p>
        </w:tc>
        <w:tc>
          <w:tcPr>
            <w:tcW w:w="5976" w:type="dxa"/>
            <w:noWrap w:val="0"/>
            <w:vAlign w:val="center"/>
          </w:tcPr>
          <w:p w14:paraId="02EDE078">
            <w:pPr>
              <w:pStyle w:val="24"/>
              <w:spacing w:before="0" w:beforeAutospacing="0" w:after="0" w:afterAutospacing="0" w:line="400" w:lineRule="atLeast"/>
              <w:rPr>
                <w:rFonts w:hint="eastAsia"/>
                <w:color w:val="auto"/>
                <w:sz w:val="21"/>
                <w:szCs w:val="21"/>
                <w:highlight w:val="none"/>
              </w:rPr>
            </w:pPr>
            <w:r>
              <w:rPr>
                <w:rFonts w:hint="eastAsia"/>
                <w:color w:val="auto"/>
                <w:sz w:val="21"/>
                <w:szCs w:val="21"/>
                <w:highlight w:val="none"/>
              </w:rPr>
              <w:t>响应</w:t>
            </w:r>
            <w:r>
              <w:rPr>
                <w:color w:val="auto"/>
                <w:sz w:val="21"/>
                <w:szCs w:val="21"/>
                <w:highlight w:val="none"/>
              </w:rPr>
              <w:t>文件</w:t>
            </w:r>
            <w:r>
              <w:rPr>
                <w:rFonts w:hint="eastAsia"/>
                <w:color w:val="auto"/>
                <w:sz w:val="21"/>
                <w:szCs w:val="21"/>
                <w:highlight w:val="none"/>
              </w:rPr>
              <w:t>是否按</w:t>
            </w:r>
            <w:r>
              <w:rPr>
                <w:color w:val="auto"/>
                <w:sz w:val="21"/>
                <w:szCs w:val="21"/>
                <w:highlight w:val="none"/>
              </w:rPr>
              <w:t>招标要求</w:t>
            </w:r>
            <w:r>
              <w:rPr>
                <w:color w:val="auto"/>
                <w:sz w:val="20"/>
                <w:szCs w:val="21"/>
                <w:highlight w:val="none"/>
              </w:rPr>
              <w:t>签</w:t>
            </w:r>
            <w:r>
              <w:rPr>
                <w:rFonts w:hint="eastAsia"/>
                <w:color w:val="auto"/>
                <w:sz w:val="20"/>
                <w:szCs w:val="21"/>
                <w:highlight w:val="none"/>
              </w:rPr>
              <w:t>字</w:t>
            </w:r>
            <w:r>
              <w:rPr>
                <w:color w:val="auto"/>
                <w:sz w:val="20"/>
                <w:szCs w:val="21"/>
                <w:highlight w:val="none"/>
              </w:rPr>
              <w:t>、盖章</w:t>
            </w:r>
          </w:p>
        </w:tc>
        <w:tc>
          <w:tcPr>
            <w:tcW w:w="852" w:type="dxa"/>
            <w:noWrap w:val="0"/>
            <w:vAlign w:val="center"/>
          </w:tcPr>
          <w:p w14:paraId="3E9666DC">
            <w:pPr>
              <w:pStyle w:val="24"/>
              <w:spacing w:before="0" w:beforeAutospacing="0" w:after="0" w:afterAutospacing="0" w:line="400" w:lineRule="atLeast"/>
              <w:rPr>
                <w:rFonts w:hint="eastAsia"/>
                <w:color w:val="auto"/>
                <w:sz w:val="21"/>
                <w:szCs w:val="21"/>
                <w:highlight w:val="none"/>
              </w:rPr>
            </w:pPr>
          </w:p>
        </w:tc>
      </w:tr>
    </w:tbl>
    <w:p w14:paraId="301F984B">
      <w:pPr>
        <w:tabs>
          <w:tab w:val="left" w:pos="4725"/>
        </w:tabs>
        <w:adjustRightInd w:val="0"/>
        <w:snapToGrid w:val="0"/>
        <w:spacing w:before="156" w:beforeLines="50" w:line="360" w:lineRule="auto"/>
        <w:ind w:firstLine="420" w:firstLineChars="200"/>
        <w:rPr>
          <w:rFonts w:ascii="宋体" w:hAnsi="宋体"/>
          <w:color w:val="auto"/>
          <w:szCs w:val="21"/>
          <w:highlight w:val="none"/>
        </w:rPr>
      </w:pPr>
    </w:p>
    <w:p w14:paraId="341043F3">
      <w:pPr>
        <w:pStyle w:val="47"/>
        <w:rPr>
          <w:color w:val="auto"/>
          <w:highlight w:val="none"/>
        </w:rPr>
      </w:pPr>
    </w:p>
    <w:p w14:paraId="68E54210">
      <w:pPr>
        <w:widowControl/>
        <w:adjustRightInd w:val="0"/>
        <w:snapToGrid w:val="0"/>
        <w:spacing w:line="360" w:lineRule="auto"/>
        <w:jc w:val="left"/>
        <w:rPr>
          <w:rFonts w:ascii="黑体" w:hAnsi="仿宋" w:eastAsia="黑体" w:cs="宋体"/>
          <w:color w:val="auto"/>
          <w:sz w:val="10"/>
          <w:szCs w:val="10"/>
          <w:highlight w:val="none"/>
        </w:rPr>
      </w:pP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-1 法人或者其他组织的营业执照等主体资格证明文件，自然人的身份证明</w:t>
      </w:r>
    </w:p>
    <w:p w14:paraId="4BD27F4B">
      <w:pPr>
        <w:widowControl/>
        <w:adjustRightInd w:val="0"/>
        <w:snapToGrid w:val="0"/>
        <w:spacing w:line="360" w:lineRule="auto"/>
        <w:jc w:val="center"/>
        <w:rPr>
          <w:rFonts w:ascii="黑体" w:hAnsi="仿宋" w:eastAsia="黑体" w:cs="宋体"/>
          <w:b/>
          <w:color w:val="auto"/>
          <w:sz w:val="28"/>
          <w:szCs w:val="28"/>
          <w:highlight w:val="none"/>
        </w:rPr>
      </w:pPr>
      <w:r>
        <w:rPr>
          <w:rFonts w:hint="eastAsia" w:ascii="黑体" w:hAnsi="仿宋" w:eastAsia="黑体" w:cs="宋体"/>
          <w:b/>
          <w:color w:val="auto"/>
          <w:sz w:val="28"/>
          <w:szCs w:val="28"/>
          <w:highlight w:val="none"/>
        </w:rPr>
        <w:t>法人或者其他组织的营业执照等主体资格证明文件，自然人的身份证明</w:t>
      </w:r>
    </w:p>
    <w:p w14:paraId="59BB5766">
      <w:pPr>
        <w:widowControl/>
        <w:adjustRightInd w:val="0"/>
        <w:snapToGrid w:val="0"/>
        <w:spacing w:before="156" w:beforeLines="50" w:line="360" w:lineRule="auto"/>
        <w:ind w:firstLine="420" w:firstLineChars="200"/>
        <w:jc w:val="left"/>
        <w:rPr>
          <w:rFonts w:ascii="宋体" w:hAnsi="宋体" w:cs="宋体"/>
          <w:color w:val="auto"/>
          <w:szCs w:val="21"/>
          <w:highlight w:val="none"/>
        </w:rPr>
      </w:pPr>
    </w:p>
    <w:p w14:paraId="1238F251">
      <w:pPr>
        <w:adjustRightInd w:val="0"/>
        <w:snapToGrid w:val="0"/>
        <w:spacing w:before="156" w:beforeLines="50"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注：按第二章第</w:t>
      </w:r>
      <w:r>
        <w:rPr>
          <w:rFonts w:ascii="宋体" w:hAnsi="宋体" w:cs="宋体"/>
          <w:color w:val="auto"/>
          <w:szCs w:val="21"/>
          <w:highlight w:val="none"/>
        </w:rPr>
        <w:t>1</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（1）项要求提供。</w:t>
      </w:r>
    </w:p>
    <w:p w14:paraId="65ADED75">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s="宋体"/>
          <w:color w:val="auto"/>
          <w:szCs w:val="21"/>
          <w:highlight w:val="none"/>
        </w:rPr>
        <w:t>（1）</w:t>
      </w:r>
      <w:r>
        <w:rPr>
          <w:rFonts w:hint="eastAsia" w:ascii="宋体" w:hAnsi="宋体"/>
          <w:color w:val="auto"/>
          <w:highlight w:val="none"/>
        </w:rPr>
        <w:t>投标人为法人的，应提交营业执照或法人登记证书的</w:t>
      </w:r>
      <w:r>
        <w:rPr>
          <w:rFonts w:hint="eastAsia" w:ascii="宋体" w:hAnsi="宋体"/>
          <w:color w:val="auto"/>
          <w:highlight w:val="none"/>
          <w:lang w:eastAsia="zh-CN"/>
        </w:rPr>
        <w:t>扫描件</w:t>
      </w:r>
      <w:r>
        <w:rPr>
          <w:rFonts w:hint="eastAsia" w:ascii="宋体" w:hAnsi="宋体"/>
          <w:color w:val="auto"/>
          <w:highlight w:val="none"/>
        </w:rPr>
        <w:t>；</w:t>
      </w:r>
    </w:p>
    <w:p w14:paraId="616567D9">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s="宋体"/>
          <w:color w:val="auto"/>
          <w:szCs w:val="21"/>
          <w:highlight w:val="none"/>
        </w:rPr>
        <w:t>（2）</w:t>
      </w:r>
      <w:r>
        <w:rPr>
          <w:rFonts w:hint="eastAsia" w:ascii="宋体" w:hAnsi="宋体"/>
          <w:color w:val="auto"/>
          <w:highlight w:val="none"/>
        </w:rPr>
        <w:t>投标人为非法人组织的，应提交依法登记证书</w:t>
      </w:r>
      <w:r>
        <w:rPr>
          <w:rFonts w:hint="eastAsia" w:ascii="宋体" w:hAnsi="宋体"/>
          <w:color w:val="auto"/>
          <w:highlight w:val="none"/>
          <w:lang w:eastAsia="zh-CN"/>
        </w:rPr>
        <w:t>扫描件</w:t>
      </w:r>
      <w:r>
        <w:rPr>
          <w:rFonts w:hint="eastAsia" w:ascii="宋体" w:hAnsi="宋体"/>
          <w:color w:val="auto"/>
          <w:highlight w:val="none"/>
        </w:rPr>
        <w:t>；</w:t>
      </w:r>
    </w:p>
    <w:p w14:paraId="2FAC87C8">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s="宋体"/>
          <w:color w:val="auto"/>
          <w:szCs w:val="21"/>
          <w:highlight w:val="none"/>
        </w:rPr>
        <w:t>（3）</w:t>
      </w:r>
      <w:r>
        <w:rPr>
          <w:rFonts w:hint="eastAsia" w:ascii="宋体" w:hAnsi="宋体"/>
          <w:color w:val="auto"/>
          <w:highlight w:val="none"/>
        </w:rPr>
        <w:t>投标人为个体工商户的，应提交个体工商户营业执照</w:t>
      </w:r>
      <w:r>
        <w:rPr>
          <w:rFonts w:hint="eastAsia" w:ascii="宋体" w:hAnsi="宋体"/>
          <w:color w:val="auto"/>
          <w:highlight w:val="none"/>
          <w:lang w:eastAsia="zh-CN"/>
        </w:rPr>
        <w:t>扫描件</w:t>
      </w:r>
      <w:r>
        <w:rPr>
          <w:rFonts w:hint="eastAsia" w:ascii="宋体" w:hAnsi="宋体"/>
          <w:color w:val="auto"/>
          <w:highlight w:val="none"/>
        </w:rPr>
        <w:t>；</w:t>
      </w:r>
    </w:p>
    <w:p w14:paraId="15964596">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s="宋体"/>
          <w:color w:val="auto"/>
          <w:szCs w:val="21"/>
          <w:highlight w:val="none"/>
        </w:rPr>
        <w:t>（4）</w:t>
      </w:r>
      <w:r>
        <w:rPr>
          <w:rFonts w:hint="eastAsia" w:ascii="宋体" w:hAnsi="宋体"/>
          <w:color w:val="auto"/>
          <w:highlight w:val="none"/>
        </w:rPr>
        <w:t>投标人为自然人的，应提交自然人的身份证明</w:t>
      </w:r>
      <w:r>
        <w:rPr>
          <w:rFonts w:hint="eastAsia" w:ascii="宋体" w:hAnsi="宋体"/>
          <w:color w:val="auto"/>
          <w:highlight w:val="none"/>
          <w:lang w:eastAsia="zh-CN"/>
        </w:rPr>
        <w:t>扫描件</w:t>
      </w:r>
      <w:r>
        <w:rPr>
          <w:rFonts w:hint="eastAsia" w:ascii="宋体" w:hAnsi="宋体"/>
          <w:color w:val="auto"/>
          <w:highlight w:val="none"/>
        </w:rPr>
        <w:t>。</w:t>
      </w:r>
    </w:p>
    <w:p w14:paraId="46566174">
      <w:pPr>
        <w:adjustRightInd w:val="0"/>
        <w:snapToGrid w:val="0"/>
        <w:spacing w:before="156" w:beforeLines="50" w:line="360" w:lineRule="auto"/>
        <w:ind w:firstLine="420" w:firstLineChars="200"/>
        <w:rPr>
          <w:rFonts w:ascii="宋体" w:hAnsi="宋体"/>
          <w:color w:val="auto"/>
          <w:highlight w:val="none"/>
        </w:rPr>
      </w:pPr>
    </w:p>
    <w:p w14:paraId="2158FB46">
      <w:pPr>
        <w:widowControl/>
        <w:jc w:val="left"/>
        <w:rPr>
          <w:rFonts w:ascii="黑体" w:hAnsi="仿宋" w:eastAsia="黑体" w:cs="宋体"/>
          <w:bCs/>
          <w:color w:val="auto"/>
          <w:sz w:val="10"/>
          <w:szCs w:val="10"/>
          <w:highlight w:val="none"/>
        </w:rPr>
      </w:pPr>
      <w:r>
        <w:rPr>
          <w:rFonts w:ascii="黑体" w:hAnsi="仿宋" w:cs="宋体"/>
          <w:b/>
          <w:color w:val="auto"/>
          <w:szCs w:val="21"/>
          <w:highlight w:val="none"/>
        </w:rPr>
        <w:br w:type="page"/>
      </w: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-2 湖南省政府采购供应商资格承诺函(格式)</w:t>
      </w:r>
    </w:p>
    <w:p w14:paraId="56BAD54B">
      <w:pPr>
        <w:widowControl/>
        <w:adjustRightInd w:val="0"/>
        <w:snapToGrid w:val="0"/>
        <w:spacing w:before="468" w:beforeLines="150" w:line="360" w:lineRule="auto"/>
        <w:jc w:val="center"/>
        <w:rPr>
          <w:rFonts w:ascii="宋体" w:hAnsi="宋体" w:cs="宋体"/>
          <w:color w:val="auto"/>
          <w:szCs w:val="21"/>
          <w:highlight w:val="none"/>
        </w:rPr>
      </w:pPr>
      <w:r>
        <w:rPr>
          <w:rFonts w:hint="eastAsia" w:ascii="黑体" w:hAnsi="仿宋" w:eastAsia="黑体" w:cs="宋体"/>
          <w:b/>
          <w:color w:val="auto"/>
          <w:sz w:val="28"/>
          <w:szCs w:val="28"/>
          <w:highlight w:val="none"/>
        </w:rPr>
        <w:t>湖南省政府采购供应商资格承诺函(格式)</w:t>
      </w:r>
    </w:p>
    <w:p w14:paraId="61383EC1">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7D5A45C">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按照《政府采购促进中小企业发展管理办法》(财库〔2020〕46号),本公司企业规模为:</w:t>
      </w:r>
    </w:p>
    <w:p w14:paraId="7EB4A8CD">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 xml:space="preserve"> □大型、 □中型 、  □小型  、 □微型。</w:t>
      </w:r>
    </w:p>
    <w:p w14:paraId="7700F71A">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□本公司自愿入驻湖南省政府采购电子卖场,遵守《湖南省政府采购电子卖场管理办法》(湘财购〔2019〕27号),如违反承诺,同意金融机构将增信保证划缴国库(非电子卖场采购活动项目不需勾选)。</w:t>
      </w:r>
    </w:p>
    <w:p w14:paraId="1D6AAF51">
      <w:pPr>
        <w:widowControl/>
        <w:spacing w:before="156" w:beforeLines="50" w:line="360" w:lineRule="auto"/>
        <w:ind w:firstLine="420" w:firstLineChars="200"/>
        <w:jc w:val="left"/>
        <w:rPr>
          <w:rFonts w:ascii="宋体" w:hAnsi="宋体" w:cs="宋体"/>
          <w:color w:val="auto"/>
          <w:szCs w:val="21"/>
          <w:highlight w:val="none"/>
        </w:rPr>
      </w:pPr>
    </w:p>
    <w:p w14:paraId="65D79264">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公司(单位)名称(盖章)：</w:t>
      </w:r>
      <w:r>
        <w:rPr>
          <w:rFonts w:hint="eastAsia" w:ascii="宋体" w:hAnsi="宋体"/>
          <w:color w:val="auto"/>
          <w:szCs w:val="21"/>
          <w:highlight w:val="none"/>
          <w:u w:val="single"/>
        </w:rPr>
        <w:t xml:space="preserve">                 </w:t>
      </w:r>
    </w:p>
    <w:p w14:paraId="5E8C1CD7">
      <w:pPr>
        <w:widowControl/>
        <w:spacing w:before="156" w:beforeLines="50" w:line="360" w:lineRule="auto"/>
        <w:ind w:firstLine="420" w:firstLineChars="200"/>
        <w:jc w:val="left"/>
        <w:rPr>
          <w:rFonts w:ascii="宋体" w:hAnsi="宋体"/>
          <w:color w:val="auto"/>
          <w:szCs w:val="21"/>
          <w:highlight w:val="none"/>
          <w:u w:val="single"/>
        </w:rPr>
      </w:pPr>
      <w:r>
        <w:rPr>
          <w:rFonts w:hint="eastAsia" w:ascii="宋体" w:hAnsi="宋体" w:cs="宋体"/>
          <w:color w:val="auto"/>
          <w:szCs w:val="21"/>
          <w:highlight w:val="none"/>
        </w:rPr>
        <w:t>机构代码、</w:t>
      </w:r>
      <w:r>
        <w:rPr>
          <w:rFonts w:hint="eastAsia" w:ascii="宋体" w:hAnsi="宋体"/>
          <w:color w:val="auto"/>
          <w:szCs w:val="21"/>
          <w:highlight w:val="none"/>
          <w:u w:val="single"/>
        </w:rPr>
        <w:t xml:space="preserve">                 </w:t>
      </w:r>
      <w:r>
        <w:rPr>
          <w:rFonts w:hint="eastAsia" w:ascii="宋体" w:hAnsi="宋体" w:cs="宋体"/>
          <w:color w:val="auto"/>
          <w:szCs w:val="21"/>
          <w:highlight w:val="none"/>
        </w:rPr>
        <w:t>注册登记机构、</w:t>
      </w:r>
      <w:r>
        <w:rPr>
          <w:rFonts w:hint="eastAsia" w:ascii="宋体" w:hAnsi="宋体"/>
          <w:color w:val="auto"/>
          <w:szCs w:val="21"/>
          <w:highlight w:val="none"/>
          <w:u w:val="single"/>
        </w:rPr>
        <w:t xml:space="preserve">                 </w:t>
      </w:r>
    </w:p>
    <w:p w14:paraId="041B440E">
      <w:pPr>
        <w:widowControl/>
        <w:spacing w:before="156" w:beforeLines="50" w:line="360" w:lineRule="auto"/>
        <w:ind w:firstLine="420" w:firstLineChars="200"/>
        <w:jc w:val="left"/>
        <w:rPr>
          <w:rFonts w:ascii="宋体" w:hAnsi="宋体"/>
          <w:color w:val="auto"/>
          <w:szCs w:val="21"/>
          <w:highlight w:val="none"/>
          <w:u w:val="single"/>
        </w:rPr>
      </w:pPr>
      <w:r>
        <w:rPr>
          <w:rFonts w:hint="eastAsia" w:ascii="宋体" w:hAnsi="宋体" w:cs="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s="宋体"/>
          <w:color w:val="auto"/>
          <w:szCs w:val="21"/>
          <w:highlight w:val="none"/>
        </w:rPr>
        <w:t>有效期</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s="宋体"/>
          <w:color w:val="auto"/>
          <w:szCs w:val="21"/>
          <w:highlight w:val="none"/>
        </w:rPr>
        <w:t>注册资本</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4F30046">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olor w:val="auto"/>
          <w:szCs w:val="21"/>
          <w:highlight w:val="none"/>
          <w:u w:val="single"/>
        </w:rPr>
        <w:t xml:space="preserve">                 </w:t>
      </w:r>
      <w:r>
        <w:rPr>
          <w:rFonts w:hint="eastAsia" w:ascii="宋体" w:hAnsi="宋体" w:cs="宋体"/>
          <w:color w:val="auto"/>
          <w:szCs w:val="21"/>
          <w:highlight w:val="none"/>
        </w:rPr>
        <w:t>、经济行业</w:t>
      </w:r>
      <w:r>
        <w:rPr>
          <w:rFonts w:hint="eastAsia" w:ascii="宋体" w:hAnsi="宋体"/>
          <w:color w:val="auto"/>
          <w:szCs w:val="21"/>
          <w:highlight w:val="none"/>
          <w:u w:val="single"/>
        </w:rPr>
        <w:t xml:space="preserve">                 </w:t>
      </w:r>
      <w:r>
        <w:rPr>
          <w:rFonts w:hint="eastAsia" w:ascii="宋体" w:hAnsi="宋体" w:cs="宋体"/>
          <w:color w:val="auto"/>
          <w:szCs w:val="21"/>
          <w:highlight w:val="none"/>
        </w:rPr>
        <w:t>、经济性质</w:t>
      </w:r>
      <w:r>
        <w:rPr>
          <w:rFonts w:hint="eastAsia" w:ascii="宋体" w:hAnsi="宋体"/>
          <w:color w:val="auto"/>
          <w:szCs w:val="21"/>
          <w:highlight w:val="none"/>
          <w:u w:val="single"/>
        </w:rPr>
        <w:t xml:space="preserve">                 </w:t>
      </w:r>
    </w:p>
    <w:p w14:paraId="3568F6C5">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法定代表人(负责人)姓名(签字)</w:t>
      </w:r>
      <w:r>
        <w:rPr>
          <w:rFonts w:hint="eastAsia" w:ascii="宋体" w:hAnsi="宋体"/>
          <w:color w:val="auto"/>
          <w:szCs w:val="21"/>
          <w:highlight w:val="none"/>
          <w:u w:val="single"/>
        </w:rPr>
        <w:t xml:space="preserve">                 </w:t>
      </w:r>
      <w:r>
        <w:rPr>
          <w:rFonts w:hint="eastAsia" w:ascii="宋体" w:hAnsi="宋体" w:cs="宋体"/>
          <w:color w:val="auto"/>
          <w:szCs w:val="21"/>
          <w:highlight w:val="none"/>
        </w:rPr>
        <w:t>、</w:t>
      </w:r>
    </w:p>
    <w:p w14:paraId="5829BAF5">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olor w:val="auto"/>
          <w:szCs w:val="21"/>
          <w:highlight w:val="none"/>
          <w:u w:val="single"/>
        </w:rPr>
        <w:t xml:space="preserve">                 </w:t>
      </w:r>
      <w:r>
        <w:rPr>
          <w:rFonts w:hint="eastAsia" w:ascii="宋体" w:hAnsi="宋体" w:cs="宋体"/>
          <w:color w:val="auto"/>
          <w:szCs w:val="21"/>
          <w:highlight w:val="none"/>
        </w:rPr>
        <w:t>、手机号:</w:t>
      </w:r>
      <w:r>
        <w:rPr>
          <w:rFonts w:hint="eastAsia" w:ascii="宋体" w:hAnsi="宋体"/>
          <w:color w:val="auto"/>
          <w:szCs w:val="21"/>
          <w:highlight w:val="none"/>
          <w:u w:val="single"/>
        </w:rPr>
        <w:t xml:space="preserve">                 </w:t>
      </w:r>
    </w:p>
    <w:p w14:paraId="77F2DBF4">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授权代表人姓名(签字)</w:t>
      </w:r>
      <w:r>
        <w:rPr>
          <w:rFonts w:hint="eastAsia" w:ascii="宋体" w:hAnsi="宋体"/>
          <w:color w:val="auto"/>
          <w:szCs w:val="21"/>
          <w:highlight w:val="none"/>
          <w:u w:val="single"/>
        </w:rPr>
        <w:t xml:space="preserve">                 </w:t>
      </w:r>
      <w:r>
        <w:rPr>
          <w:rFonts w:hint="eastAsia" w:ascii="宋体" w:hAnsi="宋体" w:cs="宋体"/>
          <w:color w:val="auto"/>
          <w:szCs w:val="21"/>
          <w:highlight w:val="none"/>
        </w:rPr>
        <w:t>、</w:t>
      </w:r>
    </w:p>
    <w:p w14:paraId="283B5C6C">
      <w:pPr>
        <w:widowControl/>
        <w:spacing w:before="156" w:beforeLines="50"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olor w:val="auto"/>
          <w:szCs w:val="21"/>
          <w:highlight w:val="none"/>
          <w:u w:val="single"/>
        </w:rPr>
        <w:t xml:space="preserve">                 </w:t>
      </w:r>
      <w:r>
        <w:rPr>
          <w:rFonts w:hint="eastAsia" w:ascii="宋体" w:hAnsi="宋体" w:cs="宋体"/>
          <w:color w:val="auto"/>
          <w:szCs w:val="21"/>
          <w:highlight w:val="none"/>
        </w:rPr>
        <w:t>、手机号:</w:t>
      </w:r>
      <w:r>
        <w:rPr>
          <w:rFonts w:hint="eastAsia" w:ascii="宋体" w:hAnsi="宋体"/>
          <w:color w:val="auto"/>
          <w:szCs w:val="21"/>
          <w:highlight w:val="none"/>
          <w:u w:val="single"/>
        </w:rPr>
        <w:t xml:space="preserve">                 </w:t>
      </w:r>
    </w:p>
    <w:p w14:paraId="76995380">
      <w:pPr>
        <w:widowControl/>
        <w:spacing w:before="156" w:beforeLines="50" w:line="360" w:lineRule="auto"/>
        <w:ind w:firstLine="420" w:firstLineChars="200"/>
        <w:jc w:val="left"/>
        <w:rPr>
          <w:rFonts w:ascii="宋体" w:hAnsi="宋体" w:cs="宋体"/>
          <w:color w:val="auto"/>
          <w:szCs w:val="21"/>
          <w:highlight w:val="none"/>
        </w:rPr>
      </w:pPr>
    </w:p>
    <w:p w14:paraId="3DD15428">
      <w:pPr>
        <w:widowControl/>
        <w:spacing w:line="360" w:lineRule="auto"/>
        <w:jc w:val="left"/>
        <w:rPr>
          <w:rFonts w:ascii="黑体" w:hAnsi="仿宋" w:eastAsia="黑体" w:cs="宋体"/>
          <w:bCs/>
          <w:color w:val="auto"/>
          <w:sz w:val="10"/>
          <w:szCs w:val="10"/>
          <w:highlight w:val="none"/>
        </w:rPr>
      </w:pPr>
      <w:r>
        <w:rPr>
          <w:rFonts w:ascii="黑体" w:hAnsi="仿宋" w:cs="宋体"/>
          <w:b/>
          <w:color w:val="auto"/>
          <w:szCs w:val="21"/>
          <w:highlight w:val="none"/>
        </w:rPr>
        <w:br w:type="page"/>
      </w: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-3 具备履行合同所必需的设备和专业技术能力</w:t>
      </w:r>
    </w:p>
    <w:p w14:paraId="14E7EE0D">
      <w:pPr>
        <w:widowControl/>
        <w:jc w:val="left"/>
        <w:rPr>
          <w:rFonts w:ascii="黑体" w:hAnsi="仿宋" w:eastAsia="黑体" w:cs="宋体"/>
          <w:color w:val="auto"/>
          <w:szCs w:val="21"/>
          <w:highlight w:val="none"/>
        </w:rPr>
      </w:pPr>
    </w:p>
    <w:p w14:paraId="4FFDE16D">
      <w:pPr>
        <w:pStyle w:val="46"/>
        <w:rPr>
          <w:rFonts w:hint="eastAsia" w:ascii="黑体" w:hAnsi="仿宋" w:eastAsia="黑体" w:cs="宋体"/>
          <w:color w:val="auto"/>
          <w:szCs w:val="21"/>
          <w:highlight w:val="none"/>
        </w:rPr>
      </w:pPr>
      <w:r>
        <w:rPr>
          <w:rFonts w:hint="eastAsia" w:ascii="黑体" w:hAnsi="仿宋" w:eastAsia="黑体" w:cs="宋体"/>
          <w:color w:val="auto"/>
          <w:szCs w:val="21"/>
          <w:highlight w:val="none"/>
          <w:lang w:eastAsia="zh-CN"/>
        </w:rPr>
        <w:t>双峰县水利局</w:t>
      </w:r>
      <w:r>
        <w:rPr>
          <w:rFonts w:hint="eastAsia" w:ascii="黑体" w:hAnsi="仿宋" w:eastAsia="黑体" w:cs="宋体"/>
          <w:color w:val="auto"/>
          <w:szCs w:val="21"/>
          <w:highlight w:val="none"/>
        </w:rPr>
        <w:t>、湘能卓信项目管理有限公司：</w:t>
      </w:r>
    </w:p>
    <w:p w14:paraId="008FCC7A">
      <w:pPr>
        <w:pStyle w:val="2"/>
        <w:rPr>
          <w:rFonts w:hint="eastAsia" w:ascii="黑体" w:hAnsi="仿宋" w:eastAsia="黑体" w:cs="宋体"/>
          <w:color w:val="auto"/>
          <w:szCs w:val="21"/>
          <w:highlight w:val="none"/>
        </w:rPr>
      </w:pPr>
    </w:p>
    <w:p w14:paraId="22C235A1">
      <w:pPr>
        <w:pStyle w:val="23"/>
        <w:ind w:firstLine="420" w:firstLineChars="200"/>
        <w:rPr>
          <w:color w:val="auto"/>
          <w:highlight w:val="none"/>
        </w:rPr>
      </w:pPr>
      <w:r>
        <w:rPr>
          <w:rFonts w:hint="eastAsia" w:ascii="黑体" w:hAnsi="仿宋" w:eastAsia="黑体" w:cs="宋体"/>
          <w:color w:val="auto"/>
          <w:szCs w:val="21"/>
          <w:highlight w:val="none"/>
        </w:rPr>
        <w:t>我单位具备履行</w:t>
      </w:r>
      <w:r>
        <w:rPr>
          <w:rFonts w:hint="eastAsia" w:ascii="黑体" w:hAnsi="仿宋" w:eastAsia="黑体" w:cs="宋体"/>
          <w:color w:val="auto"/>
          <w:szCs w:val="21"/>
          <w:highlight w:val="none"/>
          <w:lang w:eastAsia="zh-CN"/>
        </w:rPr>
        <w:t>双峰县2024年度水库及堤防堤坝白蚁等害堤动物综合治理项目</w:t>
      </w:r>
      <w:r>
        <w:rPr>
          <w:rFonts w:hint="eastAsia" w:ascii="黑体" w:hAnsi="仿宋" w:eastAsia="黑体" w:cs="宋体"/>
          <w:color w:val="auto"/>
          <w:szCs w:val="21"/>
          <w:highlight w:val="none"/>
        </w:rPr>
        <w:t>合同所必需的设备和专业技术能力。</w:t>
      </w:r>
    </w:p>
    <w:p w14:paraId="127A4ECF">
      <w:pPr>
        <w:widowControl/>
        <w:jc w:val="left"/>
        <w:rPr>
          <w:rFonts w:hint="eastAsia" w:ascii="黑体" w:hAnsi="仿宋" w:eastAsia="黑体" w:cs="宋体"/>
          <w:color w:val="auto"/>
          <w:szCs w:val="21"/>
          <w:highlight w:val="none"/>
        </w:rPr>
      </w:pPr>
      <w:r>
        <w:rPr>
          <w:rFonts w:hint="eastAsia" w:ascii="黑体" w:hAnsi="仿宋" w:eastAsia="黑体" w:cs="宋体"/>
          <w:color w:val="auto"/>
          <w:szCs w:val="21"/>
          <w:highlight w:val="none"/>
        </w:rPr>
        <w:t>特此承诺！</w:t>
      </w:r>
    </w:p>
    <w:p w14:paraId="430D1FCD">
      <w:pPr>
        <w:pStyle w:val="46"/>
        <w:rPr>
          <w:rFonts w:hint="eastAsia" w:ascii="黑体" w:hAnsi="仿宋" w:eastAsia="黑体" w:cs="宋体"/>
          <w:color w:val="auto"/>
          <w:szCs w:val="21"/>
          <w:highlight w:val="none"/>
        </w:rPr>
      </w:pPr>
    </w:p>
    <w:p w14:paraId="60364472">
      <w:pPr>
        <w:pStyle w:val="2"/>
        <w:rPr>
          <w:rFonts w:hint="eastAsia" w:ascii="黑体" w:hAnsi="仿宋" w:eastAsia="黑体" w:cs="宋体"/>
          <w:color w:val="auto"/>
          <w:szCs w:val="21"/>
          <w:highlight w:val="none"/>
        </w:rPr>
      </w:pPr>
    </w:p>
    <w:p w14:paraId="6F7014E9">
      <w:pPr>
        <w:pStyle w:val="23"/>
        <w:jc w:val="center"/>
        <w:rPr>
          <w:rFonts w:hint="eastAsia"/>
          <w:color w:val="auto"/>
          <w:highlight w:val="none"/>
        </w:rPr>
      </w:pPr>
      <w:r>
        <w:rPr>
          <w:rFonts w:hint="eastAsia"/>
          <w:color w:val="auto"/>
          <w:highlight w:val="none"/>
        </w:rPr>
        <w:t>投标人名称（盖电子章）：</w:t>
      </w:r>
    </w:p>
    <w:p w14:paraId="116D5F64">
      <w:pPr>
        <w:pStyle w:val="2"/>
        <w:jc w:val="center"/>
        <w:rPr>
          <w:rFonts w:hint="eastAsia"/>
          <w:color w:val="auto"/>
          <w:highlight w:val="none"/>
        </w:rPr>
      </w:pPr>
      <w:r>
        <w:rPr>
          <w:rFonts w:hint="eastAsia"/>
          <w:color w:val="auto"/>
          <w:highlight w:val="none"/>
        </w:rPr>
        <w:t>法人或授权委托人签章：</w:t>
      </w:r>
    </w:p>
    <w:p w14:paraId="6F7FB5BB">
      <w:pPr>
        <w:pStyle w:val="23"/>
        <w:jc w:val="center"/>
        <w:rPr>
          <w:color w:val="auto"/>
          <w:highlight w:val="none"/>
        </w:rPr>
      </w:pPr>
      <w:r>
        <w:rPr>
          <w:rFonts w:hint="eastAsia"/>
          <w:color w:val="auto"/>
          <w:highlight w:val="none"/>
        </w:rPr>
        <w:t xml:space="preserve"> 年    月    日</w:t>
      </w:r>
    </w:p>
    <w:p w14:paraId="41D65310">
      <w:pPr>
        <w:widowControl/>
        <w:spacing w:line="360" w:lineRule="auto"/>
        <w:jc w:val="left"/>
        <w:rPr>
          <w:rFonts w:ascii="黑体" w:hAnsi="仿宋" w:cs="宋体"/>
          <w:bCs/>
          <w:color w:val="auto"/>
          <w:sz w:val="10"/>
          <w:szCs w:val="10"/>
          <w:highlight w:val="none"/>
        </w:rPr>
      </w:pPr>
      <w:r>
        <w:rPr>
          <w:rFonts w:ascii="黑体" w:hAnsi="仿宋" w:eastAsia="黑体" w:cs="宋体"/>
          <w:color w:val="auto"/>
          <w:szCs w:val="21"/>
          <w:highlight w:val="none"/>
        </w:rPr>
        <w:br w:type="page"/>
      </w: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-4 与其他投标人无利害关系承诺</w:t>
      </w:r>
    </w:p>
    <w:p w14:paraId="0CC5861D">
      <w:pPr>
        <w:widowControl/>
        <w:jc w:val="left"/>
        <w:rPr>
          <w:rFonts w:ascii="黑体" w:hAnsi="仿宋" w:eastAsia="黑体" w:cs="宋体"/>
          <w:color w:val="auto"/>
          <w:szCs w:val="21"/>
          <w:highlight w:val="none"/>
        </w:rPr>
      </w:pPr>
    </w:p>
    <w:p w14:paraId="4EC91C5B">
      <w:pPr>
        <w:pStyle w:val="46"/>
        <w:rPr>
          <w:rFonts w:hint="eastAsia" w:ascii="黑体" w:hAnsi="仿宋" w:eastAsia="黑体" w:cs="宋体"/>
          <w:color w:val="auto"/>
          <w:szCs w:val="21"/>
          <w:highlight w:val="none"/>
        </w:rPr>
      </w:pPr>
      <w:r>
        <w:rPr>
          <w:rFonts w:hint="eastAsia" w:ascii="黑体" w:hAnsi="仿宋" w:eastAsia="黑体" w:cs="宋体"/>
          <w:color w:val="auto"/>
          <w:szCs w:val="21"/>
          <w:highlight w:val="none"/>
          <w:lang w:eastAsia="zh-CN"/>
        </w:rPr>
        <w:t>双峰县水利局</w:t>
      </w:r>
      <w:r>
        <w:rPr>
          <w:rFonts w:hint="eastAsia" w:ascii="黑体" w:hAnsi="仿宋" w:eastAsia="黑体" w:cs="宋体"/>
          <w:color w:val="auto"/>
          <w:szCs w:val="21"/>
          <w:highlight w:val="none"/>
        </w:rPr>
        <w:t>、湘能卓信项目管理有限公司：</w:t>
      </w:r>
    </w:p>
    <w:p w14:paraId="05214991">
      <w:pPr>
        <w:pStyle w:val="2"/>
        <w:rPr>
          <w:rFonts w:hint="eastAsia" w:ascii="黑体" w:hAnsi="仿宋" w:eastAsia="黑体" w:cs="宋体"/>
          <w:color w:val="auto"/>
          <w:szCs w:val="21"/>
          <w:highlight w:val="none"/>
        </w:rPr>
      </w:pPr>
    </w:p>
    <w:p w14:paraId="4224FAFD">
      <w:pPr>
        <w:pStyle w:val="23"/>
        <w:ind w:firstLine="420" w:firstLineChars="200"/>
        <w:rPr>
          <w:color w:val="auto"/>
          <w:highlight w:val="none"/>
        </w:rPr>
      </w:pPr>
      <w:r>
        <w:rPr>
          <w:rFonts w:hint="eastAsia" w:ascii="黑体" w:hAnsi="仿宋" w:eastAsia="黑体" w:cs="宋体"/>
          <w:color w:val="auto"/>
          <w:szCs w:val="21"/>
          <w:highlight w:val="none"/>
        </w:rPr>
        <w:t>我单位参与</w:t>
      </w:r>
      <w:r>
        <w:rPr>
          <w:rFonts w:hint="eastAsia" w:ascii="黑体" w:hAnsi="仿宋" w:eastAsia="黑体" w:cs="宋体"/>
          <w:color w:val="auto"/>
          <w:szCs w:val="21"/>
          <w:highlight w:val="none"/>
          <w:lang w:eastAsia="zh-CN"/>
        </w:rPr>
        <w:t>双峰县2024年度水库及堤防堤坝白蚁等害堤动物综合治理项目</w:t>
      </w:r>
      <w:r>
        <w:rPr>
          <w:rFonts w:hint="eastAsia" w:ascii="黑体" w:hAnsi="仿宋" w:eastAsia="黑体" w:cs="宋体"/>
          <w:color w:val="auto"/>
          <w:szCs w:val="21"/>
          <w:highlight w:val="none"/>
        </w:rPr>
        <w:t>投标。现承诺除本单位外，无其他与我单位有关的投标人（含单位负责人为同一人或者存在直接控股、管理关系的不同投标人）参与本项目投标。</w:t>
      </w:r>
    </w:p>
    <w:p w14:paraId="5EA8AC07">
      <w:pPr>
        <w:widowControl/>
        <w:jc w:val="left"/>
        <w:rPr>
          <w:rFonts w:hint="eastAsia" w:ascii="黑体" w:hAnsi="仿宋" w:eastAsia="黑体" w:cs="宋体"/>
          <w:color w:val="auto"/>
          <w:szCs w:val="21"/>
          <w:highlight w:val="none"/>
        </w:rPr>
      </w:pPr>
      <w:r>
        <w:rPr>
          <w:rFonts w:hint="eastAsia" w:ascii="黑体" w:hAnsi="仿宋" w:eastAsia="黑体" w:cs="宋体"/>
          <w:color w:val="auto"/>
          <w:szCs w:val="21"/>
          <w:highlight w:val="none"/>
        </w:rPr>
        <w:t>特此承诺！</w:t>
      </w:r>
    </w:p>
    <w:p w14:paraId="13A0AA3C">
      <w:pPr>
        <w:pStyle w:val="46"/>
        <w:rPr>
          <w:rFonts w:hint="eastAsia" w:ascii="黑体" w:hAnsi="仿宋" w:eastAsia="黑体" w:cs="宋体"/>
          <w:color w:val="auto"/>
          <w:szCs w:val="21"/>
          <w:highlight w:val="none"/>
        </w:rPr>
      </w:pPr>
    </w:p>
    <w:p w14:paraId="2DDD326A">
      <w:pPr>
        <w:pStyle w:val="2"/>
        <w:rPr>
          <w:rFonts w:hint="eastAsia" w:ascii="黑体" w:hAnsi="仿宋" w:eastAsia="黑体" w:cs="宋体"/>
          <w:color w:val="auto"/>
          <w:szCs w:val="21"/>
          <w:highlight w:val="none"/>
        </w:rPr>
      </w:pPr>
    </w:p>
    <w:p w14:paraId="0D34FF24">
      <w:pPr>
        <w:pStyle w:val="23"/>
        <w:jc w:val="center"/>
        <w:rPr>
          <w:rFonts w:hint="eastAsia"/>
          <w:color w:val="auto"/>
          <w:highlight w:val="none"/>
        </w:rPr>
      </w:pPr>
      <w:r>
        <w:rPr>
          <w:rFonts w:hint="eastAsia"/>
          <w:color w:val="auto"/>
          <w:highlight w:val="none"/>
        </w:rPr>
        <w:t>投标人名称（盖电子章）：</w:t>
      </w:r>
    </w:p>
    <w:p w14:paraId="2C123E5A">
      <w:pPr>
        <w:pStyle w:val="2"/>
        <w:jc w:val="center"/>
        <w:rPr>
          <w:rFonts w:hint="eastAsia"/>
          <w:color w:val="auto"/>
          <w:highlight w:val="none"/>
        </w:rPr>
      </w:pPr>
      <w:r>
        <w:rPr>
          <w:rFonts w:hint="eastAsia"/>
          <w:color w:val="auto"/>
          <w:highlight w:val="none"/>
        </w:rPr>
        <w:t>法人或授权委托人签章：</w:t>
      </w:r>
    </w:p>
    <w:p w14:paraId="4CB251AB">
      <w:pPr>
        <w:pStyle w:val="23"/>
        <w:jc w:val="center"/>
        <w:rPr>
          <w:color w:val="auto"/>
          <w:highlight w:val="none"/>
        </w:rPr>
      </w:pPr>
      <w:r>
        <w:rPr>
          <w:rFonts w:hint="eastAsia"/>
          <w:color w:val="auto"/>
          <w:highlight w:val="none"/>
        </w:rPr>
        <w:t xml:space="preserve"> 年    月    日</w:t>
      </w:r>
    </w:p>
    <w:p w14:paraId="2B99EB0C">
      <w:pPr>
        <w:widowControl/>
        <w:jc w:val="left"/>
        <w:rPr>
          <w:rFonts w:hint="eastAsia" w:ascii="黑体" w:hAnsi="仿宋" w:cs="宋体"/>
          <w:b/>
          <w:color w:val="auto"/>
          <w:szCs w:val="21"/>
          <w:highlight w:val="none"/>
        </w:rPr>
      </w:pPr>
      <w:r>
        <w:rPr>
          <w:rFonts w:ascii="黑体" w:hAnsi="仿宋" w:eastAsia="黑体" w:cs="宋体"/>
          <w:color w:val="auto"/>
          <w:szCs w:val="21"/>
          <w:highlight w:val="none"/>
        </w:rPr>
        <w:br w:type="page"/>
      </w: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-5 无重大违法记录</w:t>
      </w:r>
    </w:p>
    <w:p w14:paraId="212D4503">
      <w:pPr>
        <w:widowControl/>
        <w:jc w:val="left"/>
        <w:rPr>
          <w:rFonts w:ascii="黑体" w:hAnsi="仿宋" w:eastAsia="黑体" w:cs="宋体"/>
          <w:color w:val="auto"/>
          <w:szCs w:val="21"/>
          <w:highlight w:val="none"/>
        </w:rPr>
      </w:pPr>
    </w:p>
    <w:p w14:paraId="4A601DBA">
      <w:pPr>
        <w:pStyle w:val="46"/>
        <w:rPr>
          <w:rFonts w:hint="eastAsia" w:ascii="黑体" w:hAnsi="仿宋" w:eastAsia="黑体" w:cs="宋体"/>
          <w:color w:val="auto"/>
          <w:szCs w:val="21"/>
          <w:highlight w:val="none"/>
        </w:rPr>
      </w:pPr>
      <w:r>
        <w:rPr>
          <w:rFonts w:hint="eastAsia" w:ascii="黑体" w:hAnsi="仿宋" w:eastAsia="黑体" w:cs="宋体"/>
          <w:color w:val="auto"/>
          <w:szCs w:val="21"/>
          <w:highlight w:val="none"/>
          <w:lang w:eastAsia="zh-CN"/>
        </w:rPr>
        <w:t>双峰县水利局</w:t>
      </w:r>
      <w:r>
        <w:rPr>
          <w:rFonts w:hint="eastAsia" w:ascii="黑体" w:hAnsi="仿宋" w:eastAsia="黑体" w:cs="宋体"/>
          <w:color w:val="auto"/>
          <w:szCs w:val="21"/>
          <w:highlight w:val="none"/>
        </w:rPr>
        <w:t>、湘能卓信项目管理有限公司：</w:t>
      </w:r>
    </w:p>
    <w:p w14:paraId="095E61C3">
      <w:pPr>
        <w:pStyle w:val="2"/>
        <w:rPr>
          <w:rFonts w:hint="eastAsia" w:ascii="黑体" w:hAnsi="仿宋" w:eastAsia="黑体" w:cs="宋体"/>
          <w:color w:val="auto"/>
          <w:szCs w:val="21"/>
          <w:highlight w:val="none"/>
        </w:rPr>
      </w:pPr>
    </w:p>
    <w:p w14:paraId="0A0577CC">
      <w:pPr>
        <w:pStyle w:val="23"/>
        <w:ind w:firstLine="420" w:firstLineChars="200"/>
        <w:rPr>
          <w:rFonts w:ascii="黑体" w:hAnsi="仿宋" w:eastAsia="黑体" w:cs="宋体"/>
          <w:color w:val="auto"/>
          <w:szCs w:val="21"/>
          <w:highlight w:val="none"/>
        </w:rPr>
      </w:pPr>
      <w:r>
        <w:rPr>
          <w:rFonts w:hint="eastAsia" w:ascii="黑体" w:hAnsi="仿宋" w:eastAsia="黑体" w:cs="宋体"/>
          <w:color w:val="auto"/>
          <w:szCs w:val="21"/>
          <w:highlight w:val="none"/>
        </w:rPr>
        <w:t>我单位参与</w:t>
      </w:r>
      <w:r>
        <w:rPr>
          <w:rFonts w:hint="eastAsia" w:ascii="黑体" w:hAnsi="仿宋" w:eastAsia="黑体" w:cs="宋体"/>
          <w:color w:val="auto"/>
          <w:szCs w:val="21"/>
          <w:highlight w:val="none"/>
          <w:lang w:eastAsia="zh-CN"/>
        </w:rPr>
        <w:t>双峰县2024年度水库及堤防堤坝白蚁等害堤动物综合治理项目</w:t>
      </w:r>
      <w:r>
        <w:rPr>
          <w:rFonts w:hint="eastAsia" w:ascii="黑体" w:hAnsi="仿宋" w:eastAsia="黑体" w:cs="宋体"/>
          <w:color w:val="auto"/>
          <w:szCs w:val="21"/>
          <w:highlight w:val="none"/>
        </w:rPr>
        <w:t>投标。现声明我单位在参与本项目前三年内，在经营活动中没有重大违法记录。</w:t>
      </w:r>
    </w:p>
    <w:p w14:paraId="53A59A98">
      <w:pPr>
        <w:widowControl/>
        <w:jc w:val="left"/>
        <w:rPr>
          <w:rFonts w:hint="eastAsia" w:ascii="黑体" w:hAnsi="仿宋" w:eastAsia="黑体" w:cs="宋体"/>
          <w:color w:val="auto"/>
          <w:szCs w:val="21"/>
          <w:highlight w:val="none"/>
        </w:rPr>
      </w:pPr>
      <w:r>
        <w:rPr>
          <w:rFonts w:hint="eastAsia" w:ascii="黑体" w:hAnsi="仿宋" w:eastAsia="黑体" w:cs="宋体"/>
          <w:color w:val="auto"/>
          <w:szCs w:val="21"/>
          <w:highlight w:val="none"/>
        </w:rPr>
        <w:t>特此声明！</w:t>
      </w:r>
    </w:p>
    <w:p w14:paraId="202AB653">
      <w:pPr>
        <w:pStyle w:val="46"/>
        <w:rPr>
          <w:rFonts w:hint="eastAsia" w:ascii="黑体" w:hAnsi="仿宋" w:eastAsia="黑体" w:cs="宋体"/>
          <w:color w:val="auto"/>
          <w:szCs w:val="21"/>
          <w:highlight w:val="none"/>
        </w:rPr>
      </w:pPr>
    </w:p>
    <w:p w14:paraId="3F7FF170">
      <w:pPr>
        <w:pStyle w:val="2"/>
        <w:rPr>
          <w:rFonts w:hint="eastAsia" w:ascii="黑体" w:hAnsi="仿宋" w:eastAsia="黑体" w:cs="宋体"/>
          <w:color w:val="auto"/>
          <w:szCs w:val="21"/>
          <w:highlight w:val="none"/>
        </w:rPr>
      </w:pPr>
    </w:p>
    <w:p w14:paraId="16980007">
      <w:pPr>
        <w:pStyle w:val="23"/>
        <w:jc w:val="center"/>
        <w:rPr>
          <w:rFonts w:hint="eastAsia"/>
          <w:color w:val="auto"/>
          <w:highlight w:val="none"/>
        </w:rPr>
      </w:pPr>
      <w:r>
        <w:rPr>
          <w:rFonts w:hint="eastAsia"/>
          <w:color w:val="auto"/>
          <w:highlight w:val="none"/>
        </w:rPr>
        <w:t>投标人名称（盖电子章）：</w:t>
      </w:r>
    </w:p>
    <w:p w14:paraId="2E5D2288">
      <w:pPr>
        <w:pStyle w:val="2"/>
        <w:jc w:val="center"/>
        <w:rPr>
          <w:rFonts w:hint="eastAsia"/>
          <w:color w:val="auto"/>
          <w:highlight w:val="none"/>
        </w:rPr>
      </w:pPr>
      <w:r>
        <w:rPr>
          <w:rFonts w:hint="eastAsia"/>
          <w:color w:val="auto"/>
          <w:highlight w:val="none"/>
        </w:rPr>
        <w:t>法人或授权委托人签章：</w:t>
      </w:r>
    </w:p>
    <w:p w14:paraId="58A5E077">
      <w:pPr>
        <w:pStyle w:val="23"/>
        <w:jc w:val="center"/>
        <w:rPr>
          <w:color w:val="auto"/>
          <w:highlight w:val="none"/>
        </w:rPr>
      </w:pPr>
      <w:r>
        <w:rPr>
          <w:rFonts w:hint="eastAsia"/>
          <w:color w:val="auto"/>
          <w:highlight w:val="none"/>
        </w:rPr>
        <w:t xml:space="preserve"> 年    月    日</w:t>
      </w:r>
    </w:p>
    <w:p w14:paraId="401F3072">
      <w:pPr>
        <w:widowControl/>
        <w:jc w:val="left"/>
        <w:rPr>
          <w:rFonts w:ascii="黑体" w:hAnsi="仿宋" w:eastAsia="黑体" w:cs="宋体"/>
          <w:color w:val="auto"/>
          <w:sz w:val="10"/>
          <w:szCs w:val="10"/>
          <w:highlight w:val="none"/>
        </w:rPr>
      </w:pPr>
      <w:r>
        <w:rPr>
          <w:rFonts w:hint="eastAsia" w:ascii="黑体" w:hAnsi="仿宋" w:cs="宋体"/>
          <w:b/>
          <w:color w:val="auto"/>
          <w:szCs w:val="21"/>
          <w:highlight w:val="none"/>
        </w:rPr>
        <w:br w:type="page"/>
      </w:r>
      <w:r>
        <w:rPr>
          <w:rFonts w:hint="eastAsia" w:ascii="黑体" w:hAnsi="仿宋" w:cs="宋体"/>
          <w:b/>
          <w:color w:val="auto"/>
          <w:szCs w:val="21"/>
          <w:highlight w:val="none"/>
        </w:rPr>
        <w:t>附件</w:t>
      </w:r>
      <w:r>
        <w:rPr>
          <w:rFonts w:ascii="黑体" w:hAnsi="仿宋" w:cs="宋体"/>
          <w:b/>
          <w:color w:val="auto"/>
          <w:szCs w:val="21"/>
          <w:highlight w:val="none"/>
        </w:rPr>
        <w:t>3</w:t>
      </w:r>
      <w:r>
        <w:rPr>
          <w:rFonts w:hint="eastAsia" w:ascii="黑体" w:hAnsi="仿宋" w:cs="宋体"/>
          <w:b/>
          <w:color w:val="auto"/>
          <w:szCs w:val="21"/>
          <w:highlight w:val="none"/>
        </w:rPr>
        <w:t>-6 信用记录查询情况</w:t>
      </w:r>
    </w:p>
    <w:bookmarkEnd w:id="97"/>
    <w:bookmarkEnd w:id="98"/>
    <w:p w14:paraId="14EE6771">
      <w:pPr>
        <w:pStyle w:val="47"/>
        <w:rPr>
          <w:rFonts w:hint="eastAsia"/>
          <w:color w:val="auto"/>
          <w:highlight w:val="none"/>
        </w:rPr>
      </w:pPr>
    </w:p>
    <w:p w14:paraId="14169310">
      <w:pPr>
        <w:pStyle w:val="47"/>
        <w:rPr>
          <w:rFonts w:hint="eastAsia"/>
          <w:color w:val="auto"/>
          <w:highlight w:val="none"/>
        </w:rPr>
      </w:pPr>
      <w:r>
        <w:rPr>
          <w:rFonts w:hint="eastAsia"/>
          <w:color w:val="auto"/>
          <w:highlight w:val="none"/>
        </w:rPr>
        <w:t>投标人提供招标公告之日起通过“信用中国”网站（www.creditchina.gov.cn）或中国政府采购网（www.ccgp.gov.cn）查询的信用记录网上打印件或</w:t>
      </w:r>
      <w:r>
        <w:rPr>
          <w:color w:val="auto"/>
          <w:highlight w:val="none"/>
        </w:rPr>
        <w:t>截图</w:t>
      </w:r>
      <w:r>
        <w:rPr>
          <w:rFonts w:hint="eastAsia"/>
          <w:color w:val="auto"/>
          <w:highlight w:val="none"/>
        </w:rPr>
        <w:t>，应包括网站网址、查询内容、查询时间；</w:t>
      </w:r>
    </w:p>
    <w:p w14:paraId="5134A998">
      <w:pPr>
        <w:pStyle w:val="47"/>
        <w:rPr>
          <w:color w:val="auto"/>
          <w:highlight w:val="none"/>
        </w:rPr>
      </w:pPr>
    </w:p>
    <w:p w14:paraId="447E6CBE">
      <w:pPr>
        <w:widowControl/>
        <w:adjustRightInd w:val="0"/>
        <w:snapToGrid w:val="0"/>
        <w:spacing w:line="360" w:lineRule="auto"/>
        <w:ind w:firstLine="640" w:firstLineChars="200"/>
        <w:jc w:val="left"/>
        <w:rPr>
          <w:rFonts w:ascii="黑体" w:eastAsia="黑体"/>
          <w:color w:val="auto"/>
          <w:sz w:val="32"/>
          <w:szCs w:val="32"/>
          <w:highlight w:val="none"/>
        </w:rPr>
      </w:pPr>
    </w:p>
    <w:p w14:paraId="50E372A7">
      <w:pPr>
        <w:adjustRightInd w:val="0"/>
        <w:snapToGrid w:val="0"/>
        <w:spacing w:line="360" w:lineRule="auto"/>
        <w:jc w:val="center"/>
        <w:rPr>
          <w:rFonts w:ascii="黑体" w:eastAsia="黑体"/>
          <w:color w:val="auto"/>
          <w:sz w:val="32"/>
          <w:szCs w:val="32"/>
          <w:highlight w:val="none"/>
        </w:rPr>
      </w:pPr>
    </w:p>
    <w:p w14:paraId="53B25B21">
      <w:pPr>
        <w:adjustRightInd w:val="0"/>
        <w:snapToGrid w:val="0"/>
        <w:spacing w:line="360" w:lineRule="auto"/>
        <w:jc w:val="center"/>
        <w:rPr>
          <w:rFonts w:ascii="黑体" w:eastAsia="黑体"/>
          <w:color w:val="auto"/>
          <w:sz w:val="32"/>
          <w:szCs w:val="32"/>
          <w:highlight w:val="none"/>
        </w:rPr>
      </w:pPr>
    </w:p>
    <w:p w14:paraId="48F38073">
      <w:pPr>
        <w:pStyle w:val="13"/>
        <w:adjustRightInd w:val="0"/>
        <w:snapToGrid w:val="0"/>
        <w:spacing w:line="360" w:lineRule="auto"/>
        <w:jc w:val="center"/>
        <w:rPr>
          <w:rFonts w:ascii="华文中宋" w:hAnsi="华文中宋" w:eastAsia="华文中宋"/>
          <w:bCs/>
          <w:color w:val="auto"/>
          <w:sz w:val="72"/>
          <w:szCs w:val="72"/>
          <w:highlight w:val="none"/>
        </w:rPr>
      </w:pPr>
      <w:r>
        <w:rPr>
          <w:rFonts w:hint="eastAsia" w:ascii="华文中宋" w:hAnsi="华文中宋" w:eastAsia="华文中宋"/>
          <w:bCs/>
          <w:color w:val="auto"/>
          <w:sz w:val="72"/>
          <w:szCs w:val="72"/>
          <w:highlight w:val="none"/>
        </w:rPr>
        <w:br w:type="page"/>
      </w:r>
      <w:r>
        <w:rPr>
          <w:rFonts w:hint="eastAsia" w:ascii="华文中宋" w:hAnsi="华文中宋" w:eastAsia="华文中宋"/>
          <w:bCs/>
          <w:color w:val="auto"/>
          <w:sz w:val="72"/>
          <w:szCs w:val="72"/>
          <w:highlight w:val="none"/>
        </w:rPr>
        <w:t>政府采购</w:t>
      </w:r>
    </w:p>
    <w:p w14:paraId="5E712E3F">
      <w:pPr>
        <w:adjustRightInd w:val="0"/>
        <w:snapToGrid w:val="0"/>
        <w:spacing w:line="360" w:lineRule="auto"/>
        <w:jc w:val="center"/>
        <w:rPr>
          <w:rFonts w:ascii="宋体" w:hAnsi="宋体"/>
          <w:b/>
          <w:bCs/>
          <w:color w:val="auto"/>
          <w:sz w:val="84"/>
          <w:szCs w:val="84"/>
          <w:highlight w:val="none"/>
        </w:rPr>
      </w:pPr>
      <w:r>
        <w:rPr>
          <w:rFonts w:hint="eastAsia" w:ascii="宋体" w:hAnsi="宋体"/>
          <w:b/>
          <w:bCs/>
          <w:color w:val="auto"/>
          <w:sz w:val="84"/>
          <w:szCs w:val="84"/>
          <w:highlight w:val="none"/>
        </w:rPr>
        <w:t>投 标 文 件</w:t>
      </w:r>
    </w:p>
    <w:p w14:paraId="52460C7F">
      <w:pPr>
        <w:pStyle w:val="5"/>
        <w:adjustRightInd w:val="0"/>
        <w:snapToGrid w:val="0"/>
        <w:jc w:val="center"/>
        <w:rPr>
          <w:rFonts w:ascii="黑体" w:hAnsi="黑体" w:eastAsia="黑体"/>
          <w:color w:val="auto"/>
          <w:sz w:val="44"/>
          <w:szCs w:val="44"/>
          <w:highlight w:val="none"/>
        </w:rPr>
      </w:pPr>
      <w:bookmarkStart w:id="99" w:name="_Toc23425"/>
      <w:r>
        <w:rPr>
          <w:rFonts w:hint="eastAsia" w:ascii="黑体" w:hAnsi="黑体" w:eastAsia="黑体"/>
          <w:color w:val="auto"/>
          <w:sz w:val="44"/>
          <w:szCs w:val="44"/>
          <w:highlight w:val="none"/>
        </w:rPr>
        <w:t>第二部分 商务技术文件</w:t>
      </w:r>
      <w:bookmarkEnd w:id="99"/>
    </w:p>
    <w:p w14:paraId="7093981E">
      <w:pPr>
        <w:adjustRightInd w:val="0"/>
        <w:snapToGrid w:val="0"/>
        <w:spacing w:line="360" w:lineRule="auto"/>
        <w:rPr>
          <w:rFonts w:ascii="宋体" w:hAnsi="宋体"/>
          <w:color w:val="auto"/>
          <w:sz w:val="32"/>
          <w:szCs w:val="32"/>
          <w:highlight w:val="none"/>
        </w:rPr>
      </w:pPr>
    </w:p>
    <w:p w14:paraId="328D8A9C">
      <w:pPr>
        <w:pStyle w:val="13"/>
        <w:adjustRightInd w:val="0"/>
        <w:snapToGrid w:val="0"/>
        <w:spacing w:line="360" w:lineRule="auto"/>
        <w:ind w:firstLine="1988" w:firstLineChars="660"/>
        <w:rPr>
          <w:rFonts w:hAnsi="宋体"/>
          <w:b/>
          <w:bCs/>
          <w:color w:val="auto"/>
          <w:sz w:val="30"/>
          <w:szCs w:val="30"/>
          <w:highlight w:val="none"/>
        </w:rPr>
      </w:pPr>
    </w:p>
    <w:p w14:paraId="5B305774">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采购项目名称:</w:t>
      </w:r>
      <w:r>
        <w:rPr>
          <w:rFonts w:hint="eastAsia" w:hAnsi="宋体"/>
          <w:b/>
          <w:bCs/>
          <w:color w:val="auto"/>
          <w:sz w:val="30"/>
          <w:szCs w:val="30"/>
          <w:highlight w:val="none"/>
          <w:u w:val="single"/>
        </w:rPr>
        <w:t xml:space="preserve">                        </w:t>
      </w:r>
    </w:p>
    <w:p w14:paraId="026A08A9">
      <w:pPr>
        <w:pStyle w:val="13"/>
        <w:adjustRightInd w:val="0"/>
        <w:snapToGrid w:val="0"/>
        <w:spacing w:line="360" w:lineRule="auto"/>
        <w:ind w:firstLine="1988" w:firstLineChars="660"/>
        <w:rPr>
          <w:rFonts w:hint="eastAsia" w:hAnsi="宋体"/>
          <w:b/>
          <w:bCs/>
          <w:color w:val="auto"/>
          <w:sz w:val="30"/>
          <w:szCs w:val="30"/>
          <w:highlight w:val="none"/>
          <w:u w:val="single"/>
        </w:rPr>
      </w:pPr>
      <w:r>
        <w:rPr>
          <w:rFonts w:hint="eastAsia" w:hAnsi="宋体"/>
          <w:b/>
          <w:bCs/>
          <w:color w:val="auto"/>
          <w:sz w:val="30"/>
          <w:szCs w:val="30"/>
          <w:highlight w:val="none"/>
        </w:rPr>
        <w:t>包号及包名称：</w:t>
      </w:r>
      <w:r>
        <w:rPr>
          <w:rFonts w:hint="eastAsia" w:hAnsi="宋体"/>
          <w:b/>
          <w:bCs/>
          <w:color w:val="auto"/>
          <w:sz w:val="30"/>
          <w:szCs w:val="30"/>
          <w:highlight w:val="none"/>
          <w:u w:val="single"/>
        </w:rPr>
        <w:t xml:space="preserve">                     </w:t>
      </w:r>
    </w:p>
    <w:p w14:paraId="045AD431">
      <w:pPr>
        <w:pStyle w:val="13"/>
        <w:adjustRightInd w:val="0"/>
        <w:snapToGrid w:val="0"/>
        <w:spacing w:line="360" w:lineRule="auto"/>
        <w:ind w:firstLine="1988" w:firstLineChars="660"/>
        <w:rPr>
          <w:rFonts w:hAnsi="宋体"/>
          <w:b/>
          <w:bCs/>
          <w:color w:val="auto"/>
          <w:sz w:val="30"/>
          <w:szCs w:val="30"/>
          <w:highlight w:val="none"/>
        </w:rPr>
      </w:pPr>
      <w:r>
        <w:rPr>
          <w:rFonts w:hint="eastAsia" w:hAnsi="宋体"/>
          <w:b/>
          <w:bCs/>
          <w:color w:val="auto"/>
          <w:sz w:val="30"/>
          <w:szCs w:val="30"/>
          <w:highlight w:val="none"/>
        </w:rPr>
        <w:t>采   购   人：</w:t>
      </w:r>
      <w:r>
        <w:rPr>
          <w:rFonts w:hint="eastAsia" w:hAnsi="宋体"/>
          <w:b/>
          <w:bCs/>
          <w:color w:val="auto"/>
          <w:sz w:val="30"/>
          <w:szCs w:val="30"/>
          <w:highlight w:val="none"/>
          <w:u w:val="single"/>
        </w:rPr>
        <w:t xml:space="preserve">                       </w:t>
      </w:r>
    </w:p>
    <w:p w14:paraId="5437CDF6">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政府采购计划编号:</w:t>
      </w:r>
      <w:r>
        <w:rPr>
          <w:rFonts w:hint="eastAsia" w:hAnsi="宋体"/>
          <w:b/>
          <w:bCs/>
          <w:color w:val="auto"/>
          <w:sz w:val="30"/>
          <w:szCs w:val="30"/>
          <w:highlight w:val="none"/>
          <w:u w:val="single"/>
        </w:rPr>
        <w:t xml:space="preserve">                    </w:t>
      </w:r>
    </w:p>
    <w:p w14:paraId="749250DF">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委托代理编号:</w:t>
      </w:r>
      <w:r>
        <w:rPr>
          <w:rFonts w:hint="eastAsia" w:hAnsi="宋体"/>
          <w:b/>
          <w:bCs/>
          <w:color w:val="auto"/>
          <w:sz w:val="30"/>
          <w:szCs w:val="30"/>
          <w:highlight w:val="none"/>
          <w:u w:val="single"/>
        </w:rPr>
        <w:t xml:space="preserve">                        </w:t>
      </w:r>
    </w:p>
    <w:p w14:paraId="778AB351">
      <w:pPr>
        <w:pStyle w:val="13"/>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采购代理机构：</w:t>
      </w:r>
      <w:r>
        <w:rPr>
          <w:rFonts w:hint="eastAsia" w:hAnsi="宋体"/>
          <w:b/>
          <w:bCs/>
          <w:color w:val="auto"/>
          <w:sz w:val="30"/>
          <w:szCs w:val="30"/>
          <w:highlight w:val="none"/>
          <w:u w:val="single"/>
        </w:rPr>
        <w:t xml:space="preserve">                       </w:t>
      </w:r>
    </w:p>
    <w:p w14:paraId="6F8159BB">
      <w:pPr>
        <w:adjustRightInd w:val="0"/>
        <w:snapToGrid w:val="0"/>
        <w:spacing w:line="360" w:lineRule="auto"/>
        <w:rPr>
          <w:rFonts w:ascii="宋体" w:hAnsi="宋体"/>
          <w:color w:val="auto"/>
          <w:sz w:val="30"/>
          <w:szCs w:val="30"/>
          <w:highlight w:val="none"/>
        </w:rPr>
      </w:pPr>
    </w:p>
    <w:p w14:paraId="7F981CB6">
      <w:pPr>
        <w:adjustRightInd w:val="0"/>
        <w:snapToGrid w:val="0"/>
        <w:spacing w:line="360" w:lineRule="auto"/>
        <w:rPr>
          <w:rFonts w:ascii="宋体" w:hAnsi="宋体"/>
          <w:color w:val="auto"/>
          <w:sz w:val="30"/>
          <w:szCs w:val="30"/>
          <w:highlight w:val="none"/>
        </w:rPr>
      </w:pPr>
    </w:p>
    <w:p w14:paraId="39192ED1">
      <w:pPr>
        <w:adjustRightInd w:val="0"/>
        <w:snapToGrid w:val="0"/>
        <w:spacing w:line="360" w:lineRule="auto"/>
        <w:rPr>
          <w:rFonts w:hint="eastAsia" w:ascii="黑体" w:hAnsi="黑体" w:eastAsia="黑体" w:cs="黑体"/>
          <w:color w:val="auto"/>
          <w:sz w:val="30"/>
          <w:szCs w:val="30"/>
          <w:highlight w:val="none"/>
        </w:rPr>
      </w:pPr>
    </w:p>
    <w:p w14:paraId="54826EBC">
      <w:pPr>
        <w:adjustRightInd w:val="0"/>
        <w:snapToGrid w:val="0"/>
        <w:spacing w:line="360" w:lineRule="auto"/>
        <w:ind w:left="1273" w:leftChars="606" w:firstLine="640" w:firstLineChars="200"/>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rPr>
        <w:t>投标人</w:t>
      </w:r>
      <w:r>
        <w:rPr>
          <w:rFonts w:hint="eastAsia" w:ascii="黑体" w:hAnsi="黑体" w:eastAsia="黑体" w:cs="黑体"/>
          <w:color w:val="auto"/>
          <w:sz w:val="32"/>
          <w:szCs w:val="32"/>
          <w:highlight w:val="none"/>
          <w:u w:val="single"/>
        </w:rPr>
        <w:t xml:space="preserve">                         </w:t>
      </w:r>
    </w:p>
    <w:p w14:paraId="5B628A55">
      <w:pPr>
        <w:adjustRightInd w:val="0"/>
        <w:snapToGrid w:val="0"/>
        <w:spacing w:line="360" w:lineRule="auto"/>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年  月  日</w:t>
      </w:r>
    </w:p>
    <w:p w14:paraId="1A6CA570">
      <w:pPr>
        <w:widowControl/>
        <w:jc w:val="left"/>
        <w:rPr>
          <w:rFonts w:ascii="黑体" w:hAnsi="宋体" w:eastAsia="黑体"/>
          <w:b/>
          <w:bCs/>
          <w:color w:val="auto"/>
          <w:sz w:val="28"/>
          <w:szCs w:val="28"/>
          <w:highlight w:val="none"/>
        </w:rPr>
      </w:pPr>
    </w:p>
    <w:p w14:paraId="07501F2E">
      <w:pPr>
        <w:pStyle w:val="6"/>
        <w:adjustRightInd w:val="0"/>
        <w:snapToGrid w:val="0"/>
        <w:spacing w:before="0" w:after="0" w:line="360" w:lineRule="auto"/>
        <w:jc w:val="center"/>
        <w:rPr>
          <w:rFonts w:ascii="黑体" w:hAnsi="宋体" w:eastAsia="黑体"/>
          <w:color w:val="auto"/>
          <w:sz w:val="28"/>
          <w:szCs w:val="28"/>
          <w:highlight w:val="none"/>
        </w:rPr>
      </w:pPr>
      <w:r>
        <w:rPr>
          <w:rFonts w:hint="eastAsia" w:ascii="黑体" w:hAnsi="宋体" w:eastAsia="黑体"/>
          <w:color w:val="auto"/>
          <w:sz w:val="28"/>
          <w:szCs w:val="28"/>
          <w:highlight w:val="none"/>
        </w:rPr>
        <w:br w:type="page"/>
      </w:r>
      <w:bookmarkStart w:id="100" w:name="_Toc19717"/>
      <w:r>
        <w:rPr>
          <w:rFonts w:hint="eastAsia" w:ascii="黑体" w:hAnsi="宋体" w:eastAsia="黑体"/>
          <w:color w:val="auto"/>
          <w:sz w:val="28"/>
          <w:szCs w:val="28"/>
          <w:highlight w:val="none"/>
        </w:rPr>
        <w:t>四</w:t>
      </w:r>
      <w:r>
        <w:rPr>
          <w:rFonts w:ascii="黑体" w:hAnsi="宋体" w:eastAsia="黑体"/>
          <w:color w:val="auto"/>
          <w:sz w:val="28"/>
          <w:szCs w:val="28"/>
          <w:highlight w:val="none"/>
        </w:rPr>
        <w:t>、</w:t>
      </w:r>
      <w:r>
        <w:rPr>
          <w:rFonts w:hint="eastAsia" w:ascii="黑体" w:hAnsi="宋体" w:eastAsia="黑体"/>
          <w:color w:val="auto"/>
          <w:sz w:val="28"/>
          <w:szCs w:val="28"/>
          <w:highlight w:val="none"/>
        </w:rPr>
        <w:t>投标函</w:t>
      </w:r>
      <w:bookmarkEnd w:id="100"/>
    </w:p>
    <w:p w14:paraId="38D16281">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（采购人、采购代理机构）：</w:t>
      </w:r>
    </w:p>
    <w:p w14:paraId="5471D4FC">
      <w:pPr>
        <w:adjustRightInd w:val="0"/>
        <w:snapToGrid w:val="0"/>
        <w:spacing w:before="156" w:beforeLines="50" w:line="360" w:lineRule="auto"/>
        <w:ind w:firstLine="435"/>
        <w:rPr>
          <w:rFonts w:ascii="宋体" w:hAnsi="宋体"/>
          <w:color w:val="auto"/>
          <w:szCs w:val="21"/>
          <w:highlight w:val="none"/>
        </w:rPr>
      </w:pPr>
      <w:r>
        <w:rPr>
          <w:rFonts w:hint="eastAsia" w:ascii="宋体" w:hAnsi="宋体"/>
          <w:color w:val="auto"/>
          <w:szCs w:val="21"/>
          <w:highlight w:val="none"/>
        </w:rPr>
        <w:t>根据贵方为</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（项目名称）的投标邀请（</w:t>
      </w:r>
      <w:r>
        <w:rPr>
          <w:rFonts w:hint="eastAsia" w:ascii="宋体" w:hAnsi="宋体"/>
          <w:color w:val="auto"/>
          <w:highlight w:val="none"/>
        </w:rPr>
        <w:t>政府采购计划编号</w:t>
      </w:r>
      <w:r>
        <w:rPr>
          <w:rFonts w:hint="eastAsia" w:ascii="宋体" w:hAnsi="宋体"/>
          <w:iCs/>
          <w:color w:val="auto"/>
          <w:highlight w:val="none"/>
        </w:rPr>
        <w:t>：</w:t>
      </w:r>
      <w:r>
        <w:rPr>
          <w:rFonts w:hint="eastAsia" w:ascii="宋体" w:hAnsi="宋体"/>
          <w:iCs/>
          <w:color w:val="auto"/>
          <w:highlight w:val="none"/>
          <w:u w:val="single"/>
        </w:rPr>
        <w:t xml:space="preserve">      </w:t>
      </w:r>
      <w:r>
        <w:rPr>
          <w:rFonts w:hint="eastAsia" w:ascii="宋体" w:hAnsi="宋体"/>
          <w:iCs/>
          <w:color w:val="auto"/>
          <w:highlight w:val="none"/>
        </w:rPr>
        <w:t xml:space="preserve"> ，</w:t>
      </w:r>
      <w:r>
        <w:rPr>
          <w:rFonts w:hint="eastAsia" w:ascii="宋体" w:hAnsi="宋体"/>
          <w:color w:val="auto"/>
          <w:szCs w:val="21"/>
          <w:highlight w:val="none"/>
        </w:rPr>
        <w:t>委托代理编号：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），签字代表 </w:t>
      </w:r>
      <w:r>
        <w:rPr>
          <w:rFonts w:hint="eastAsia" w:ascii="宋体" w:hAnsi="宋体"/>
          <w:color w:val="auto"/>
          <w:szCs w:val="21"/>
          <w:highlight w:val="none"/>
          <w:u w:val="single"/>
        </w:rPr>
        <w:t xml:space="preserve">      </w:t>
      </w:r>
      <w:r>
        <w:rPr>
          <w:rFonts w:hint="eastAsia" w:ascii="宋体" w:hAnsi="宋体"/>
          <w:color w:val="auto"/>
          <w:szCs w:val="21"/>
          <w:highlight w:val="none"/>
        </w:rPr>
        <w:t>（姓名、职务）经正式授权并代表投标人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（投标人名称）提交下述投标文件：电子文档投标文件一份（上</w:t>
      </w:r>
      <w:r>
        <w:rPr>
          <w:rFonts w:ascii="宋体" w:hAnsi="宋体"/>
          <w:color w:val="auto"/>
          <w:szCs w:val="21"/>
          <w:highlight w:val="none"/>
        </w:rPr>
        <w:t>传交易平台）</w:t>
      </w:r>
      <w:r>
        <w:rPr>
          <w:rFonts w:hint="eastAsia" w:ascii="宋体" w:hAnsi="宋体"/>
          <w:color w:val="auto"/>
          <w:szCs w:val="21"/>
          <w:highlight w:val="none"/>
        </w:rPr>
        <w:t>，参加采购项目第</w:t>
      </w:r>
      <w:r>
        <w:rPr>
          <w:rFonts w:hint="eastAsia" w:ascii="宋体" w:hAnsi="宋体"/>
          <w:color w:val="auto"/>
          <w:szCs w:val="21"/>
          <w:highlight w:val="none"/>
          <w:u w:val="single"/>
        </w:rPr>
        <w:t xml:space="preserve">      </w:t>
      </w:r>
      <w:r>
        <w:rPr>
          <w:rFonts w:hint="eastAsia" w:ascii="宋体" w:hAnsi="宋体"/>
          <w:color w:val="auto"/>
          <w:szCs w:val="21"/>
          <w:highlight w:val="none"/>
        </w:rPr>
        <w:t>包投标，并在此声明，所递交的投标文件内容完整、真实。</w:t>
      </w:r>
    </w:p>
    <w:p w14:paraId="76CDC65E">
      <w:pPr>
        <w:adjustRightInd w:val="0"/>
        <w:snapToGrid w:val="0"/>
        <w:spacing w:before="156"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第一部分 资格证明文件</w:t>
      </w:r>
    </w:p>
    <w:p w14:paraId="25610E6F">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一、开标一览表</w:t>
      </w:r>
    </w:p>
    <w:p w14:paraId="5FBF0DFB">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二、授权委托书</w:t>
      </w:r>
    </w:p>
    <w:p w14:paraId="55646AFC">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三、投标人提供的资格证明文件</w:t>
      </w:r>
    </w:p>
    <w:p w14:paraId="2D79A6AB">
      <w:pPr>
        <w:adjustRightInd w:val="0"/>
        <w:snapToGrid w:val="0"/>
        <w:spacing w:before="156"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第二部分 商务技术文件</w:t>
      </w:r>
    </w:p>
    <w:p w14:paraId="47ADCAA4">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四、投标函</w:t>
      </w:r>
    </w:p>
    <w:p w14:paraId="27793C67">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五、分项报价</w:t>
      </w:r>
    </w:p>
    <w:p w14:paraId="04B8E65C">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六、采购需求响应</w:t>
      </w:r>
    </w:p>
    <w:p w14:paraId="616AF3BA">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七、合同条款偏离表</w:t>
      </w:r>
    </w:p>
    <w:p w14:paraId="36140CFD">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八、采购需求偏离表</w:t>
      </w:r>
    </w:p>
    <w:p w14:paraId="73CD97DC">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九、享受政府采购政策优惠的证明资料</w:t>
      </w:r>
    </w:p>
    <w:p w14:paraId="10A054D2">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十、投标货物符合招标文件规定的证明文件</w:t>
      </w:r>
    </w:p>
    <w:p w14:paraId="0D89EFFF">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十一、投标人认为需提供的其他资料</w:t>
      </w:r>
    </w:p>
    <w:p w14:paraId="5574082F">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在此，签字代表宣布同意如下：</w:t>
      </w:r>
    </w:p>
    <w:p w14:paraId="5A2355B2">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1、投标人严格按照招标文件的规定报价，见《开标一览表》。</w:t>
      </w:r>
    </w:p>
    <w:p w14:paraId="61E90E07">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2、投标人将按招标文件的规定履行合同责任和义务。</w:t>
      </w:r>
    </w:p>
    <w:p w14:paraId="4068FD2D">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3、投标人已详细审查招标文件。我们完全理解并同意放弃对这方面有不明及误解的权力。</w:t>
      </w:r>
    </w:p>
    <w:p w14:paraId="0C80B357">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szCs w:val="21"/>
          <w:highlight w:val="none"/>
        </w:rPr>
        <w:t>4、本投标有效期为自招标文件规定的提交投标文件截止之日起</w:t>
      </w:r>
      <w:r>
        <w:rPr>
          <w:rFonts w:hint="eastAsia" w:ascii="宋体" w:hAnsi="宋体"/>
          <w:color w:val="auto"/>
          <w:szCs w:val="21"/>
          <w:highlight w:val="none"/>
          <w:u w:val="single"/>
        </w:rPr>
        <w:t xml:space="preserve"> </w:t>
      </w:r>
      <w:r>
        <w:rPr>
          <w:rFonts w:ascii="宋体" w:hAnsi="宋体"/>
          <w:color w:val="auto"/>
          <w:szCs w:val="21"/>
          <w:highlight w:val="none"/>
          <w:u w:val="single"/>
        </w:rPr>
        <w:t>90</w:t>
      </w:r>
      <w:r>
        <w:rPr>
          <w:rFonts w:hint="eastAsia" w:ascii="宋体" w:hAnsi="宋体"/>
          <w:color w:val="auto"/>
          <w:szCs w:val="21"/>
          <w:highlight w:val="none"/>
          <w:u w:val="single"/>
        </w:rPr>
        <w:t xml:space="preserve"> </w:t>
      </w:r>
      <w:r>
        <w:rPr>
          <w:rFonts w:hint="eastAsia" w:ascii="宋体" w:hAnsi="宋体"/>
          <w:color w:val="auto"/>
          <w:szCs w:val="21"/>
          <w:highlight w:val="none"/>
        </w:rPr>
        <w:t>个日历日。在投标有效期内，</w:t>
      </w:r>
      <w:r>
        <w:rPr>
          <w:rFonts w:hint="eastAsia" w:ascii="宋体" w:hAnsi="宋体"/>
          <w:color w:val="auto"/>
          <w:highlight w:val="none"/>
        </w:rPr>
        <w:t>投标人同意遵守本</w:t>
      </w:r>
      <w:r>
        <w:rPr>
          <w:rFonts w:hint="eastAsia" w:ascii="宋体" w:hAnsi="宋体"/>
          <w:color w:val="auto"/>
          <w:szCs w:val="21"/>
          <w:highlight w:val="none"/>
        </w:rPr>
        <w:t>投标</w:t>
      </w:r>
      <w:r>
        <w:rPr>
          <w:rFonts w:hint="eastAsia" w:ascii="宋体" w:hAnsi="宋体"/>
          <w:color w:val="auto"/>
          <w:highlight w:val="none"/>
        </w:rPr>
        <w:t>文件中的承诺且在此期限期满之前</w:t>
      </w:r>
      <w:r>
        <w:rPr>
          <w:rFonts w:hint="eastAsia" w:ascii="宋体" w:hAnsi="宋体"/>
          <w:color w:val="auto"/>
          <w:szCs w:val="21"/>
          <w:highlight w:val="none"/>
        </w:rPr>
        <w:t>投标</w:t>
      </w:r>
      <w:r>
        <w:rPr>
          <w:rFonts w:hint="eastAsia" w:ascii="宋体" w:hAnsi="宋体"/>
          <w:color w:val="auto"/>
          <w:highlight w:val="none"/>
        </w:rPr>
        <w:t>文件</w:t>
      </w:r>
      <w:r>
        <w:rPr>
          <w:rFonts w:hint="eastAsia" w:ascii="宋体" w:hAnsi="宋体"/>
          <w:color w:val="auto"/>
          <w:szCs w:val="21"/>
          <w:highlight w:val="none"/>
        </w:rPr>
        <w:t>对我方具有法律约束力</w:t>
      </w:r>
      <w:r>
        <w:rPr>
          <w:rFonts w:hint="eastAsia" w:ascii="宋体" w:hAnsi="宋体"/>
          <w:color w:val="auto"/>
          <w:highlight w:val="none"/>
        </w:rPr>
        <w:t>。</w:t>
      </w:r>
    </w:p>
    <w:p w14:paraId="644D3FC6">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5、</w:t>
      </w:r>
      <w:r>
        <w:rPr>
          <w:rFonts w:hint="eastAsia" w:ascii="宋体" w:hAnsi="宋体"/>
          <w:color w:val="auto"/>
          <w:szCs w:val="21"/>
          <w:highlight w:val="none"/>
        </w:rPr>
        <w:t>同意提供贵方可能要求的与其投标有关的一切数据或资料。</w:t>
      </w:r>
    </w:p>
    <w:p w14:paraId="1D4276A4">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6、与本投标有关的一切正式往来信函请寄：</w:t>
      </w:r>
    </w:p>
    <w:p w14:paraId="71341A3B">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地址：</w:t>
      </w:r>
      <w:r>
        <w:rPr>
          <w:rFonts w:hint="eastAsia" w:ascii="宋体" w:hAnsi="宋体"/>
          <w:color w:val="auto"/>
          <w:szCs w:val="21"/>
          <w:highlight w:val="none"/>
          <w:u w:val="single"/>
        </w:rPr>
        <w:t xml:space="preserve">    </w:t>
      </w:r>
      <w:r>
        <w:rPr>
          <w:rFonts w:hint="eastAsia" w:ascii="宋体" w:hAnsi="宋体"/>
          <w:color w:val="auto"/>
          <w:szCs w:val="21"/>
          <w:highlight w:val="none"/>
        </w:rPr>
        <w:t>；邮编：</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；电话：</w:t>
      </w:r>
      <w:r>
        <w:rPr>
          <w:rFonts w:hint="eastAsia" w:ascii="宋体" w:hAnsi="宋体"/>
          <w:color w:val="auto"/>
          <w:szCs w:val="21"/>
          <w:highlight w:val="none"/>
          <w:u w:val="single"/>
        </w:rPr>
        <w:t xml:space="preserve">      </w:t>
      </w:r>
      <w:r>
        <w:rPr>
          <w:rFonts w:hint="eastAsia" w:ascii="宋体" w:hAnsi="宋体"/>
          <w:color w:val="auto"/>
          <w:szCs w:val="21"/>
          <w:highlight w:val="none"/>
        </w:rPr>
        <w:t>；电子邮箱：</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3ED4C93F">
      <w:pPr>
        <w:adjustRightInd w:val="0"/>
        <w:snapToGrid w:val="0"/>
        <w:spacing w:before="156" w:beforeLines="50" w:line="360" w:lineRule="auto"/>
        <w:ind w:firstLine="420" w:firstLineChars="200"/>
        <w:rPr>
          <w:rFonts w:ascii="宋体" w:hAnsi="宋体"/>
          <w:color w:val="auto"/>
          <w:szCs w:val="21"/>
          <w:highlight w:val="none"/>
        </w:rPr>
      </w:pPr>
    </w:p>
    <w:p w14:paraId="24302960">
      <w:pPr>
        <w:pStyle w:val="13"/>
        <w:adjustRightInd w:val="0"/>
        <w:snapToGrid w:val="0"/>
        <w:spacing w:before="156" w:beforeLines="50" w:line="360" w:lineRule="auto"/>
        <w:rPr>
          <w:rFonts w:hAnsi="宋体"/>
          <w:color w:val="auto"/>
          <w:highlight w:val="none"/>
        </w:rPr>
      </w:pPr>
    </w:p>
    <w:p w14:paraId="35AFA91B">
      <w:pPr>
        <w:adjustRightInd w:val="0"/>
        <w:snapToGrid w:val="0"/>
        <w:spacing w:before="156" w:beforeLines="50" w:line="360" w:lineRule="auto"/>
        <w:rPr>
          <w:rFonts w:ascii="宋体" w:hAnsi="宋体"/>
          <w:color w:val="auto"/>
          <w:szCs w:val="21"/>
          <w:highlight w:val="none"/>
          <w:u w:val="single"/>
        </w:rPr>
      </w:pPr>
      <w:r>
        <w:rPr>
          <w:rFonts w:hint="eastAsia" w:hAnsi="宋体"/>
          <w:color w:val="auto"/>
          <w:highlight w:val="none"/>
        </w:rPr>
        <w:t>投标人名称（盖单位章）：</w:t>
      </w:r>
      <w:r>
        <w:rPr>
          <w:rFonts w:hint="eastAsia" w:ascii="宋体" w:hAnsi="宋体"/>
          <w:color w:val="auto"/>
          <w:szCs w:val="21"/>
          <w:highlight w:val="none"/>
          <w:u w:val="single"/>
        </w:rPr>
        <w:t xml:space="preserve">              </w:t>
      </w:r>
      <w:r>
        <w:rPr>
          <w:rFonts w:hint="eastAsia" w:hAnsi="宋体"/>
          <w:color w:val="auto"/>
          <w:highlight w:val="none"/>
        </w:rPr>
        <w:t xml:space="preserve">                       </w:t>
      </w:r>
    </w:p>
    <w:p w14:paraId="3E2D81D7">
      <w:pPr>
        <w:adjustRightInd w:val="0"/>
        <w:snapToGrid w:val="0"/>
        <w:spacing w:before="156" w:beforeLines="50" w:line="360" w:lineRule="auto"/>
        <w:rPr>
          <w:rFonts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19B200E6">
      <w:pPr>
        <w:adjustRightInd w:val="0"/>
        <w:snapToGrid w:val="0"/>
        <w:spacing w:before="156" w:beforeLines="50" w:line="120" w:lineRule="auto"/>
        <w:rPr>
          <w:rFonts w:ascii="黑体" w:hAnsi="宋体" w:eastAsia="黑体"/>
          <w:b/>
          <w:bCs/>
          <w:color w:val="auto"/>
          <w:sz w:val="28"/>
          <w:szCs w:val="28"/>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黑体" w:hAnsi="宋体" w:eastAsia="黑体"/>
          <w:b/>
          <w:bCs/>
          <w:color w:val="auto"/>
          <w:sz w:val="28"/>
          <w:szCs w:val="28"/>
          <w:highlight w:val="none"/>
        </w:rPr>
        <w:br w:type="page"/>
      </w:r>
    </w:p>
    <w:p w14:paraId="3B70E80C">
      <w:pPr>
        <w:pStyle w:val="6"/>
        <w:jc w:val="center"/>
        <w:rPr>
          <w:rFonts w:hint="eastAsia" w:eastAsia="宋体"/>
          <w:color w:val="auto"/>
          <w:sz w:val="28"/>
          <w:szCs w:val="28"/>
          <w:highlight w:val="none"/>
          <w:lang w:eastAsia="zh-CN"/>
        </w:rPr>
      </w:pPr>
      <w:bookmarkStart w:id="101" w:name="_Toc1202"/>
      <w:r>
        <w:rPr>
          <w:rFonts w:hint="eastAsia"/>
          <w:color w:val="auto"/>
          <w:sz w:val="28"/>
          <w:szCs w:val="28"/>
          <w:highlight w:val="none"/>
        </w:rPr>
        <w:t>五、分项报价</w:t>
      </w:r>
      <w:bookmarkEnd w:id="101"/>
    </w:p>
    <w:p w14:paraId="6DB38254">
      <w:pPr>
        <w:pStyle w:val="7"/>
        <w:jc w:val="left"/>
        <w:rPr>
          <w:rFonts w:ascii="黑体" w:hAnsi="宋体" w:cs="微软雅黑"/>
          <w:b w:val="0"/>
          <w:color w:val="auto"/>
          <w:kern w:val="0"/>
          <w:sz w:val="21"/>
          <w:szCs w:val="21"/>
          <w:highlight w:val="none"/>
        </w:rPr>
      </w:pPr>
      <w:bookmarkStart w:id="102" w:name="_Toc13803"/>
      <w:r>
        <w:rPr>
          <w:rFonts w:hint="eastAsia" w:ascii="黑体" w:hAnsi="华文中宋" w:cs="宋体"/>
          <w:b w:val="0"/>
          <w:bCs w:val="0"/>
          <w:color w:val="auto"/>
          <w:spacing w:val="6"/>
          <w:kern w:val="0"/>
          <w:sz w:val="21"/>
          <w:szCs w:val="21"/>
          <w:highlight w:val="none"/>
        </w:rPr>
        <w:t>附件</w:t>
      </w:r>
      <w:r>
        <w:rPr>
          <w:rFonts w:ascii="黑体" w:hAnsi="华文中宋" w:cs="宋体"/>
          <w:b w:val="0"/>
          <w:bCs w:val="0"/>
          <w:color w:val="auto"/>
          <w:spacing w:val="6"/>
          <w:kern w:val="0"/>
          <w:sz w:val="21"/>
          <w:szCs w:val="21"/>
          <w:highlight w:val="none"/>
        </w:rPr>
        <w:t>5</w:t>
      </w:r>
      <w:r>
        <w:rPr>
          <w:rFonts w:hint="eastAsia" w:ascii="黑体" w:hAnsi="华文中宋" w:cs="宋体"/>
          <w:b w:val="0"/>
          <w:bCs w:val="0"/>
          <w:color w:val="auto"/>
          <w:spacing w:val="6"/>
          <w:kern w:val="0"/>
          <w:sz w:val="21"/>
          <w:szCs w:val="21"/>
          <w:highlight w:val="none"/>
        </w:rPr>
        <w:t xml:space="preserve">-1 </w:t>
      </w:r>
      <w:r>
        <w:rPr>
          <w:rFonts w:hint="eastAsia" w:ascii="黑体" w:hAnsi="宋体" w:cs="微软雅黑"/>
          <w:b w:val="0"/>
          <w:color w:val="auto"/>
          <w:spacing w:val="-2"/>
          <w:kern w:val="0"/>
          <w:sz w:val="21"/>
          <w:szCs w:val="21"/>
          <w:highlight w:val="none"/>
        </w:rPr>
        <w:t>分</w:t>
      </w:r>
      <w:r>
        <w:rPr>
          <w:rFonts w:hint="eastAsia" w:ascii="黑体" w:hAnsi="宋体" w:cs="微软雅黑"/>
          <w:b w:val="0"/>
          <w:color w:val="auto"/>
          <w:kern w:val="0"/>
          <w:sz w:val="21"/>
          <w:szCs w:val="21"/>
          <w:highlight w:val="none"/>
        </w:rPr>
        <w:t>项</w:t>
      </w:r>
      <w:r>
        <w:rPr>
          <w:rFonts w:hint="eastAsia" w:ascii="黑体" w:hAnsi="宋体" w:cs="微软雅黑"/>
          <w:b w:val="0"/>
          <w:color w:val="auto"/>
          <w:spacing w:val="-2"/>
          <w:kern w:val="0"/>
          <w:sz w:val="21"/>
          <w:szCs w:val="21"/>
          <w:highlight w:val="none"/>
        </w:rPr>
        <w:t>报</w:t>
      </w:r>
      <w:r>
        <w:rPr>
          <w:rFonts w:hint="eastAsia" w:ascii="黑体" w:hAnsi="宋体" w:cs="微软雅黑"/>
          <w:b w:val="0"/>
          <w:color w:val="auto"/>
          <w:kern w:val="0"/>
          <w:sz w:val="21"/>
          <w:szCs w:val="21"/>
          <w:highlight w:val="none"/>
        </w:rPr>
        <w:t>价说明</w:t>
      </w:r>
      <w:bookmarkEnd w:id="102"/>
      <w:r>
        <w:rPr>
          <w:rFonts w:hint="eastAsia" w:ascii="黑体" w:hAnsi="宋体" w:cs="微软雅黑"/>
          <w:b w:val="0"/>
          <w:color w:val="auto"/>
          <w:kern w:val="0"/>
          <w:sz w:val="21"/>
          <w:szCs w:val="21"/>
          <w:highlight w:val="none"/>
        </w:rPr>
        <w:t xml:space="preserve">  </w:t>
      </w:r>
    </w:p>
    <w:p w14:paraId="62C36C73">
      <w:pPr>
        <w:autoSpaceDE w:val="0"/>
        <w:autoSpaceDN w:val="0"/>
        <w:adjustRightInd w:val="0"/>
        <w:snapToGrid w:val="0"/>
        <w:spacing w:line="360" w:lineRule="auto"/>
        <w:jc w:val="center"/>
        <w:rPr>
          <w:rFonts w:ascii="黑体" w:hAnsi="宋体" w:eastAsia="黑体" w:cs="微软雅黑"/>
          <w:b/>
          <w:color w:val="auto"/>
          <w:kern w:val="0"/>
          <w:sz w:val="28"/>
          <w:szCs w:val="28"/>
          <w:highlight w:val="none"/>
        </w:rPr>
      </w:pPr>
      <w:r>
        <w:rPr>
          <w:rFonts w:hint="eastAsia" w:ascii="黑体" w:hAnsi="宋体" w:eastAsia="黑体" w:cs="微软雅黑"/>
          <w:b/>
          <w:color w:val="auto"/>
          <w:spacing w:val="-2"/>
          <w:kern w:val="0"/>
          <w:sz w:val="28"/>
          <w:szCs w:val="28"/>
          <w:highlight w:val="none"/>
        </w:rPr>
        <w:t>分</w:t>
      </w:r>
      <w:r>
        <w:rPr>
          <w:rFonts w:hint="eastAsia" w:ascii="黑体" w:hAnsi="宋体" w:eastAsia="黑体" w:cs="微软雅黑"/>
          <w:b/>
          <w:color w:val="auto"/>
          <w:kern w:val="0"/>
          <w:sz w:val="28"/>
          <w:szCs w:val="28"/>
          <w:highlight w:val="none"/>
        </w:rPr>
        <w:t>项</w:t>
      </w:r>
      <w:r>
        <w:rPr>
          <w:rFonts w:hint="eastAsia" w:ascii="黑体" w:hAnsi="宋体" w:eastAsia="黑体" w:cs="微软雅黑"/>
          <w:b/>
          <w:color w:val="auto"/>
          <w:spacing w:val="-2"/>
          <w:kern w:val="0"/>
          <w:sz w:val="28"/>
          <w:szCs w:val="28"/>
          <w:highlight w:val="none"/>
        </w:rPr>
        <w:t>报</w:t>
      </w:r>
      <w:r>
        <w:rPr>
          <w:rFonts w:hint="eastAsia" w:ascii="黑体" w:hAnsi="宋体" w:eastAsia="黑体" w:cs="微软雅黑"/>
          <w:b/>
          <w:color w:val="auto"/>
          <w:kern w:val="0"/>
          <w:sz w:val="28"/>
          <w:szCs w:val="28"/>
          <w:highlight w:val="none"/>
        </w:rPr>
        <w:t>价说明</w:t>
      </w:r>
    </w:p>
    <w:p w14:paraId="0532730C">
      <w:pPr>
        <w:autoSpaceDE w:val="0"/>
        <w:autoSpaceDN w:val="0"/>
        <w:adjustRightInd w:val="0"/>
        <w:snapToGrid w:val="0"/>
        <w:spacing w:line="360" w:lineRule="auto"/>
        <w:jc w:val="left"/>
        <w:rPr>
          <w:rFonts w:ascii="宋体" w:hAnsi="宋体" w:cs="微软雅黑"/>
          <w:color w:val="auto"/>
          <w:kern w:val="0"/>
          <w:szCs w:val="21"/>
          <w:highlight w:val="none"/>
        </w:rPr>
      </w:pPr>
      <w:r>
        <w:rPr>
          <w:rFonts w:hint="eastAsia" w:ascii="宋体" w:hAnsi="宋体" w:cs="微软雅黑"/>
          <w:color w:val="auto"/>
          <w:kern w:val="0"/>
          <w:szCs w:val="21"/>
          <w:highlight w:val="none"/>
        </w:rPr>
        <w:t>备注：根据</w:t>
      </w:r>
      <w:r>
        <w:rPr>
          <w:rFonts w:hint="eastAsia" w:ascii="宋体" w:hAnsi="宋体" w:cs="微软雅黑"/>
          <w:color w:val="auto"/>
          <w:kern w:val="0"/>
          <w:szCs w:val="21"/>
          <w:highlight w:val="none"/>
          <w:lang w:val="en-US" w:eastAsia="zh-CN"/>
        </w:rPr>
        <w:t>附件内容</w:t>
      </w:r>
      <w:r>
        <w:rPr>
          <w:rFonts w:hint="eastAsia" w:ascii="宋体" w:hAnsi="宋体" w:cs="微软雅黑"/>
          <w:color w:val="auto"/>
          <w:kern w:val="0"/>
          <w:szCs w:val="21"/>
          <w:highlight w:val="none"/>
        </w:rPr>
        <w:t>，对本节</w:t>
      </w:r>
      <w:r>
        <w:rPr>
          <w:rFonts w:hint="eastAsia" w:ascii="宋体" w:hAnsi="宋体"/>
          <w:bCs/>
          <w:color w:val="auto"/>
          <w:szCs w:val="21"/>
          <w:highlight w:val="none"/>
        </w:rPr>
        <w:t>“</w:t>
      </w:r>
      <w:r>
        <w:rPr>
          <w:rFonts w:hint="eastAsia" w:ascii="宋体" w:hAnsi="宋体" w:cs="微软雅黑"/>
          <w:color w:val="auto"/>
          <w:kern w:val="0"/>
          <w:szCs w:val="21"/>
          <w:highlight w:val="none"/>
        </w:rPr>
        <w:t>分项报价明细表</w:t>
      </w:r>
      <w:r>
        <w:rPr>
          <w:rFonts w:hint="eastAsia" w:ascii="宋体" w:hAnsi="宋体"/>
          <w:bCs/>
          <w:color w:val="auto"/>
          <w:szCs w:val="21"/>
          <w:highlight w:val="none"/>
        </w:rPr>
        <w:t>”进行</w:t>
      </w:r>
      <w:r>
        <w:rPr>
          <w:rFonts w:hint="eastAsia" w:ascii="宋体" w:hAnsi="宋体" w:cs="微软雅黑"/>
          <w:color w:val="auto"/>
          <w:kern w:val="0"/>
          <w:szCs w:val="21"/>
          <w:highlight w:val="none"/>
        </w:rPr>
        <w:t>编制，并说明。</w:t>
      </w:r>
    </w:p>
    <w:p w14:paraId="4FD0D682">
      <w:pPr>
        <w:rPr>
          <w:color w:val="auto"/>
          <w:highlight w:val="none"/>
        </w:rPr>
      </w:pPr>
    </w:p>
    <w:p w14:paraId="2361EBE3">
      <w:pPr>
        <w:pStyle w:val="7"/>
        <w:jc w:val="left"/>
        <w:rPr>
          <w:rFonts w:ascii="黑体" w:hAnsi="宋体" w:cs="微软雅黑"/>
          <w:b w:val="0"/>
          <w:color w:val="auto"/>
          <w:kern w:val="0"/>
          <w:sz w:val="21"/>
          <w:szCs w:val="21"/>
          <w:highlight w:val="none"/>
        </w:rPr>
      </w:pPr>
      <w:r>
        <w:rPr>
          <w:rFonts w:hint="eastAsia" w:ascii="黑体" w:hAnsi="华文中宋" w:cs="宋体"/>
          <w:b w:val="0"/>
          <w:bCs w:val="0"/>
          <w:color w:val="auto"/>
          <w:spacing w:val="6"/>
          <w:kern w:val="0"/>
          <w:sz w:val="21"/>
          <w:szCs w:val="21"/>
          <w:highlight w:val="none"/>
        </w:rPr>
        <w:br w:type="page"/>
      </w:r>
      <w:bookmarkStart w:id="103" w:name="_Toc25262"/>
      <w:r>
        <w:rPr>
          <w:rFonts w:hint="eastAsia" w:ascii="黑体" w:hAnsi="华文中宋" w:cs="宋体"/>
          <w:b w:val="0"/>
          <w:bCs w:val="0"/>
          <w:color w:val="auto"/>
          <w:spacing w:val="6"/>
          <w:kern w:val="0"/>
          <w:sz w:val="21"/>
          <w:szCs w:val="21"/>
          <w:highlight w:val="none"/>
        </w:rPr>
        <w:t>附件</w:t>
      </w:r>
      <w:r>
        <w:rPr>
          <w:rFonts w:ascii="黑体" w:hAnsi="华文中宋" w:cs="宋体"/>
          <w:b w:val="0"/>
          <w:bCs w:val="0"/>
          <w:color w:val="auto"/>
          <w:spacing w:val="6"/>
          <w:kern w:val="0"/>
          <w:sz w:val="21"/>
          <w:szCs w:val="21"/>
          <w:highlight w:val="none"/>
        </w:rPr>
        <w:t>5</w:t>
      </w:r>
      <w:r>
        <w:rPr>
          <w:rFonts w:hint="eastAsia" w:ascii="黑体" w:hAnsi="华文中宋" w:cs="宋体"/>
          <w:b w:val="0"/>
          <w:bCs w:val="0"/>
          <w:color w:val="auto"/>
          <w:spacing w:val="6"/>
          <w:kern w:val="0"/>
          <w:sz w:val="21"/>
          <w:szCs w:val="21"/>
          <w:highlight w:val="none"/>
        </w:rPr>
        <w:t xml:space="preserve">-2 </w:t>
      </w:r>
      <w:r>
        <w:rPr>
          <w:rFonts w:hint="eastAsia" w:ascii="黑体" w:hAnsi="宋体" w:cs="微软雅黑"/>
          <w:b w:val="0"/>
          <w:color w:val="auto"/>
          <w:spacing w:val="-2"/>
          <w:kern w:val="0"/>
          <w:position w:val="-3"/>
          <w:sz w:val="21"/>
          <w:szCs w:val="21"/>
          <w:highlight w:val="none"/>
        </w:rPr>
        <w:t>分</w:t>
      </w:r>
      <w:r>
        <w:rPr>
          <w:rFonts w:hint="eastAsia" w:ascii="黑体" w:hAnsi="宋体" w:cs="微软雅黑"/>
          <w:b w:val="0"/>
          <w:color w:val="auto"/>
          <w:kern w:val="0"/>
          <w:position w:val="-3"/>
          <w:sz w:val="21"/>
          <w:szCs w:val="21"/>
          <w:highlight w:val="none"/>
        </w:rPr>
        <w:t>项</w:t>
      </w:r>
      <w:r>
        <w:rPr>
          <w:rFonts w:hint="eastAsia" w:ascii="黑体" w:hAnsi="宋体" w:cs="微软雅黑"/>
          <w:b w:val="0"/>
          <w:color w:val="auto"/>
          <w:spacing w:val="-2"/>
          <w:kern w:val="0"/>
          <w:position w:val="-3"/>
          <w:sz w:val="21"/>
          <w:szCs w:val="21"/>
          <w:highlight w:val="none"/>
        </w:rPr>
        <w:t>报</w:t>
      </w:r>
      <w:r>
        <w:rPr>
          <w:rFonts w:hint="eastAsia" w:ascii="黑体" w:hAnsi="宋体" w:cs="微软雅黑"/>
          <w:b w:val="0"/>
          <w:color w:val="auto"/>
          <w:kern w:val="0"/>
          <w:position w:val="-3"/>
          <w:sz w:val="21"/>
          <w:szCs w:val="21"/>
          <w:highlight w:val="none"/>
        </w:rPr>
        <w:t>价明细表</w:t>
      </w:r>
      <w:bookmarkEnd w:id="103"/>
    </w:p>
    <w:p w14:paraId="1E0EA3A5">
      <w:pPr>
        <w:adjustRightInd w:val="0"/>
        <w:snapToGrid w:val="0"/>
        <w:spacing w:line="360" w:lineRule="auto"/>
        <w:jc w:val="center"/>
        <w:rPr>
          <w:rFonts w:hint="eastAsia" w:eastAsia="黑体"/>
          <w:color w:val="auto"/>
          <w:sz w:val="18"/>
          <w:szCs w:val="21"/>
          <w:highlight w:val="none"/>
          <w:lang w:eastAsia="zh-CN"/>
        </w:rPr>
      </w:pPr>
      <w:r>
        <w:rPr>
          <w:rFonts w:hint="eastAsia" w:ascii="黑体" w:hAnsi="宋体" w:eastAsia="黑体" w:cs="微软雅黑"/>
          <w:b/>
          <w:color w:val="auto"/>
          <w:spacing w:val="-2"/>
          <w:kern w:val="0"/>
          <w:position w:val="-3"/>
          <w:sz w:val="28"/>
          <w:szCs w:val="28"/>
          <w:highlight w:val="none"/>
        </w:rPr>
        <w:t>分</w:t>
      </w:r>
      <w:r>
        <w:rPr>
          <w:rFonts w:hint="eastAsia" w:ascii="黑体" w:hAnsi="宋体" w:eastAsia="黑体" w:cs="微软雅黑"/>
          <w:b/>
          <w:color w:val="auto"/>
          <w:kern w:val="0"/>
          <w:position w:val="-3"/>
          <w:sz w:val="28"/>
          <w:szCs w:val="28"/>
          <w:highlight w:val="none"/>
        </w:rPr>
        <w:t>项</w:t>
      </w:r>
      <w:r>
        <w:rPr>
          <w:rFonts w:hint="eastAsia" w:ascii="黑体" w:hAnsi="宋体" w:eastAsia="黑体" w:cs="微软雅黑"/>
          <w:b/>
          <w:color w:val="auto"/>
          <w:spacing w:val="-2"/>
          <w:kern w:val="0"/>
          <w:position w:val="-3"/>
          <w:sz w:val="28"/>
          <w:szCs w:val="28"/>
          <w:highlight w:val="none"/>
        </w:rPr>
        <w:t>报</w:t>
      </w:r>
      <w:r>
        <w:rPr>
          <w:rFonts w:hint="eastAsia" w:ascii="黑体" w:hAnsi="宋体" w:eastAsia="黑体" w:cs="微软雅黑"/>
          <w:b/>
          <w:color w:val="auto"/>
          <w:kern w:val="0"/>
          <w:position w:val="-3"/>
          <w:sz w:val="28"/>
          <w:szCs w:val="28"/>
          <w:highlight w:val="none"/>
        </w:rPr>
        <w:t>价明细表</w:t>
      </w:r>
      <w:r>
        <w:rPr>
          <w:rFonts w:hint="eastAsia" w:ascii="黑体" w:hAnsi="宋体" w:eastAsia="黑体" w:cs="微软雅黑"/>
          <w:b/>
          <w:color w:val="auto"/>
          <w:kern w:val="0"/>
          <w:position w:val="-3"/>
          <w:sz w:val="22"/>
          <w:szCs w:val="22"/>
          <w:highlight w:val="none"/>
          <w:lang w:eastAsia="zh-CN"/>
        </w:rPr>
        <w:t>（</w:t>
      </w:r>
      <w:r>
        <w:rPr>
          <w:rFonts w:hint="eastAsia" w:ascii="黑体" w:hAnsi="宋体" w:eastAsia="黑体" w:cs="微软雅黑"/>
          <w:b/>
          <w:color w:val="auto"/>
          <w:kern w:val="0"/>
          <w:position w:val="-3"/>
          <w:sz w:val="22"/>
          <w:szCs w:val="22"/>
          <w:highlight w:val="none"/>
          <w:lang w:val="en-US" w:eastAsia="zh-CN"/>
        </w:rPr>
        <w:t>按附件格式进行编制</w:t>
      </w:r>
      <w:r>
        <w:rPr>
          <w:rFonts w:hint="eastAsia" w:ascii="黑体" w:hAnsi="宋体" w:eastAsia="黑体" w:cs="微软雅黑"/>
          <w:b/>
          <w:color w:val="auto"/>
          <w:kern w:val="0"/>
          <w:position w:val="-3"/>
          <w:sz w:val="22"/>
          <w:szCs w:val="22"/>
          <w:highlight w:val="none"/>
          <w:lang w:eastAsia="zh-CN"/>
        </w:rPr>
        <w:t>）</w:t>
      </w:r>
    </w:p>
    <w:p w14:paraId="6CD6B4FF">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政府采购计划编号：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2309628E">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包号：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bl>
      <w:tblPr>
        <w:tblStyle w:val="26"/>
        <w:tblW w:w="99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6"/>
        <w:gridCol w:w="636"/>
        <w:gridCol w:w="724"/>
        <w:gridCol w:w="758"/>
        <w:gridCol w:w="1056"/>
        <w:gridCol w:w="1476"/>
        <w:gridCol w:w="636"/>
        <w:gridCol w:w="846"/>
        <w:gridCol w:w="636"/>
        <w:gridCol w:w="1266"/>
        <w:gridCol w:w="1266"/>
      </w:tblGrid>
      <w:tr w14:paraId="1F6BA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jc w:val="center"/>
        </w:trPr>
        <w:tc>
          <w:tcPr>
            <w:tcW w:w="9936"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63FAF">
            <w:pPr>
              <w:jc w:val="center"/>
              <w:rPr>
                <w:rFonts w:hint="eastAsia"/>
                <w:color w:val="auto"/>
                <w:highlight w:val="none"/>
              </w:rPr>
            </w:pPr>
            <w:r>
              <w:rPr>
                <w:rFonts w:hint="eastAsia"/>
                <w:color w:val="auto"/>
                <w:highlight w:val="none"/>
                <w:lang w:val="en-US" w:eastAsia="zh-CN"/>
              </w:rPr>
              <w:t>双峰县2024年水库及堤防堤坝白蚁等害堤动物综合治理项目117座水库工程量清单</w:t>
            </w:r>
          </w:p>
        </w:tc>
      </w:tr>
      <w:tr w14:paraId="14306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3F15">
            <w:pPr>
              <w:rPr>
                <w:rFonts w:hint="eastAsia"/>
                <w:color w:val="auto"/>
                <w:highlight w:val="none"/>
              </w:rPr>
            </w:pPr>
            <w:r>
              <w:rPr>
                <w:rFonts w:hint="eastAsia"/>
                <w:color w:val="auto"/>
                <w:highlight w:val="none"/>
                <w:lang w:val="en-US" w:eastAsia="zh-CN"/>
              </w:rPr>
              <w:t>序号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DE6C">
            <w:pPr>
              <w:rPr>
                <w:rFonts w:hint="eastAsia"/>
                <w:color w:val="auto"/>
                <w:highlight w:val="none"/>
              </w:rPr>
            </w:pPr>
            <w:r>
              <w:rPr>
                <w:rFonts w:hint="eastAsia"/>
                <w:color w:val="auto"/>
                <w:highlight w:val="none"/>
                <w:lang w:val="en-US" w:eastAsia="zh-CN"/>
              </w:rPr>
              <w:t>乡镇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897D">
            <w:pPr>
              <w:rPr>
                <w:rFonts w:hint="eastAsia"/>
                <w:color w:val="auto"/>
                <w:highlight w:val="none"/>
              </w:rPr>
            </w:pPr>
            <w:r>
              <w:rPr>
                <w:rFonts w:hint="eastAsia"/>
                <w:color w:val="auto"/>
                <w:highlight w:val="none"/>
                <w:lang w:val="en-US" w:eastAsia="zh-CN"/>
              </w:rPr>
              <w:t>水库名称</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023B">
            <w:pPr>
              <w:rPr>
                <w:rFonts w:hint="eastAsia"/>
                <w:color w:val="auto"/>
                <w:highlight w:val="none"/>
              </w:rPr>
            </w:pPr>
            <w:r>
              <w:rPr>
                <w:rFonts w:hint="eastAsia"/>
                <w:color w:val="auto"/>
                <w:highlight w:val="none"/>
                <w:lang w:val="en-US" w:eastAsia="zh-CN"/>
              </w:rPr>
              <w:t>危害等级</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ED5C">
            <w:pPr>
              <w:rPr>
                <w:rFonts w:hint="eastAsia"/>
                <w:color w:val="auto"/>
                <w:highlight w:val="none"/>
              </w:rPr>
            </w:pPr>
            <w:r>
              <w:rPr>
                <w:rFonts w:hint="eastAsia"/>
                <w:color w:val="auto"/>
                <w:highlight w:val="none"/>
                <w:lang w:val="en-US" w:eastAsia="zh-CN"/>
              </w:rPr>
              <w:t>工程等级</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384FB">
            <w:pPr>
              <w:rPr>
                <w:rFonts w:hint="eastAsia"/>
                <w:color w:val="auto"/>
                <w:highlight w:val="none"/>
              </w:rPr>
            </w:pPr>
            <w:r>
              <w:rPr>
                <w:rFonts w:hint="eastAsia"/>
                <w:color w:val="auto"/>
                <w:highlight w:val="none"/>
                <w:lang w:val="en-US" w:eastAsia="zh-CN"/>
              </w:rPr>
              <w:t>具体实施方式</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0CBD">
            <w:pPr>
              <w:rPr>
                <w:rFonts w:hint="eastAsia"/>
                <w:color w:val="auto"/>
                <w:highlight w:val="none"/>
              </w:rPr>
            </w:pPr>
            <w:r>
              <w:rPr>
                <w:rFonts w:hint="eastAsia"/>
                <w:color w:val="auto"/>
                <w:highlight w:val="none"/>
                <w:lang w:val="en-US" w:eastAsia="zh-CN"/>
              </w:rPr>
              <w:t>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1D816">
            <w:pPr>
              <w:rPr>
                <w:rFonts w:hint="eastAsia"/>
                <w:color w:val="auto"/>
                <w:highlight w:val="none"/>
              </w:rPr>
            </w:pPr>
            <w:r>
              <w:rPr>
                <w:rFonts w:hint="eastAsia"/>
                <w:color w:val="auto"/>
                <w:highlight w:val="none"/>
                <w:lang w:val="en-US" w:eastAsia="zh-CN"/>
              </w:rPr>
              <w:t>工程量</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C704">
            <w:pPr>
              <w:rPr>
                <w:rFonts w:hint="eastAsia"/>
                <w:color w:val="auto"/>
                <w:highlight w:val="none"/>
              </w:rPr>
            </w:pPr>
            <w:r>
              <w:rPr>
                <w:rFonts w:hint="eastAsia"/>
                <w:color w:val="auto"/>
                <w:highlight w:val="none"/>
                <w:lang w:val="en-US" w:eastAsia="zh-CN"/>
              </w:rPr>
              <w:t>单价</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48E8">
            <w:pPr>
              <w:rPr>
                <w:rFonts w:hint="eastAsia"/>
                <w:color w:val="auto"/>
                <w:highlight w:val="none"/>
              </w:rPr>
            </w:pPr>
            <w:r>
              <w:rPr>
                <w:rFonts w:hint="eastAsia"/>
                <w:color w:val="auto"/>
                <w:highlight w:val="none"/>
                <w:lang w:val="en-US" w:eastAsia="zh-CN"/>
              </w:rPr>
              <w:t>合价（元）</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644C">
            <w:pPr>
              <w:rPr>
                <w:rFonts w:hint="eastAsia"/>
                <w:color w:val="auto"/>
                <w:highlight w:val="none"/>
              </w:rPr>
            </w:pPr>
            <w:r>
              <w:rPr>
                <w:rFonts w:hint="eastAsia"/>
                <w:color w:val="auto"/>
                <w:highlight w:val="none"/>
                <w:lang w:val="en-US" w:eastAsia="zh-CN"/>
              </w:rPr>
              <w:t>总价（元）</w:t>
            </w:r>
          </w:p>
        </w:tc>
      </w:tr>
      <w:tr w14:paraId="47310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15990">
            <w:pPr>
              <w:rPr>
                <w:rFonts w:hint="default"/>
                <w:color w:val="auto"/>
                <w:highlight w:val="none"/>
                <w:lang w:val="en-US" w:eastAsia="zh-CN"/>
              </w:rPr>
            </w:pPr>
            <w:r>
              <w:rPr>
                <w:rFonts w:hint="eastAsia"/>
                <w:color w:val="auto"/>
                <w:highlight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BBF20">
            <w:pPr>
              <w:rPr>
                <w:rFonts w:hint="default"/>
                <w:color w:val="auto"/>
                <w:highlight w:val="none"/>
                <w:lang w:val="en-US" w:eastAsia="zh-CN"/>
              </w:rPr>
            </w:pPr>
            <w:r>
              <w:rPr>
                <w:rFonts w:hint="eastAsia"/>
                <w:color w:val="auto"/>
                <w:highlight w:val="none"/>
                <w:lang w:val="en-US" w:eastAsia="zh-CN"/>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B6EA">
            <w:pPr>
              <w:rPr>
                <w:rFonts w:hint="default"/>
                <w:color w:val="auto"/>
                <w:highlight w:val="none"/>
                <w:lang w:val="en-US" w:eastAsia="zh-CN"/>
              </w:rPr>
            </w:pPr>
            <w:r>
              <w:rPr>
                <w:rFonts w:hint="eastAsia"/>
                <w:color w:val="auto"/>
                <w:highlight w:val="none"/>
                <w:lang w:val="en-US" w:eastAsia="zh-CN"/>
              </w:rPr>
              <w:t>...</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E3F4">
            <w:pPr>
              <w:rPr>
                <w:rFonts w:hint="eastAsia"/>
                <w:color w:val="auto"/>
                <w:highlight w:val="none"/>
                <w:lang w:val="en-US" w:eastAsia="zh-CN"/>
              </w:rPr>
            </w:pPr>
            <w:r>
              <w:rPr>
                <w:rFonts w:hint="eastAsia"/>
                <w:color w:val="auto"/>
                <w:highlight w:val="none"/>
                <w:lang w:val="en-US" w:eastAsia="zh-CN"/>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9A1D">
            <w:pPr>
              <w:rPr>
                <w:rFonts w:hint="eastAsia"/>
                <w:color w:val="auto"/>
                <w:highlight w:val="none"/>
                <w:lang w:val="en-US" w:eastAsia="zh-CN"/>
              </w:rPr>
            </w:pPr>
            <w:r>
              <w:rPr>
                <w:rFonts w:hint="eastAsia"/>
                <w:color w:val="auto"/>
                <w:highlight w:val="none"/>
                <w:lang w:val="en-US" w:eastAsia="zh-CN"/>
              </w:rPr>
              <w:t>...</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433D">
            <w:pPr>
              <w:rPr>
                <w:rFonts w:hint="eastAsia"/>
                <w:color w:val="auto"/>
                <w:highlight w:val="none"/>
                <w:lang w:val="en-US" w:eastAsia="zh-CN"/>
              </w:rPr>
            </w:pPr>
            <w:r>
              <w:rPr>
                <w:rFonts w:hint="eastAsia"/>
                <w:color w:val="auto"/>
                <w:highlight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32D62">
            <w:pPr>
              <w:rPr>
                <w:rFonts w:hint="eastAsia"/>
                <w:color w:val="auto"/>
                <w:highlight w:val="none"/>
                <w:lang w:val="en-US" w:eastAsia="zh-CN"/>
              </w:rPr>
            </w:pPr>
            <w:r>
              <w:rPr>
                <w:rFonts w:hint="eastAsia"/>
                <w:color w:val="auto"/>
                <w:highlight w:val="none"/>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780B4">
            <w:pPr>
              <w:rPr>
                <w:rFonts w:hint="eastAsia"/>
                <w:color w:val="auto"/>
                <w:highlight w:val="none"/>
                <w:lang w:val="en-US" w:eastAsia="zh-CN"/>
              </w:rPr>
            </w:pPr>
            <w:r>
              <w:rPr>
                <w:rFonts w:hint="eastAsia"/>
                <w:color w:val="auto"/>
                <w:highlight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462CB">
            <w:pPr>
              <w:rPr>
                <w:rFonts w:hint="eastAsia"/>
                <w:color w:val="auto"/>
                <w:highlight w:val="none"/>
                <w:lang w:val="en-US" w:eastAsia="zh-CN"/>
              </w:rPr>
            </w:pPr>
            <w:r>
              <w:rPr>
                <w:rFonts w:hint="eastAsia"/>
                <w:color w:val="auto"/>
                <w:highlight w:val="none"/>
                <w:lang w:val="en-US" w:eastAsia="zh-CN"/>
              </w:rPr>
              <w:t>...</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10A9">
            <w:pPr>
              <w:rPr>
                <w:rFonts w:hint="eastAsia"/>
                <w:color w:val="auto"/>
                <w:highlight w:val="none"/>
                <w:lang w:val="en-US" w:eastAsia="zh-CN"/>
              </w:rPr>
            </w:pPr>
            <w:r>
              <w:rPr>
                <w:rFonts w:hint="eastAsia"/>
                <w:color w:val="auto"/>
                <w:highlight w:val="none"/>
                <w:lang w:val="en-US" w:eastAsia="zh-CN"/>
              </w:rPr>
              <w:t>...</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0B75">
            <w:pPr>
              <w:rPr>
                <w:rFonts w:hint="eastAsia"/>
                <w:color w:val="auto"/>
                <w:highlight w:val="none"/>
                <w:lang w:val="en-US" w:eastAsia="zh-CN"/>
              </w:rPr>
            </w:pPr>
            <w:r>
              <w:rPr>
                <w:rFonts w:hint="eastAsia"/>
                <w:color w:val="auto"/>
                <w:highlight w:val="none"/>
                <w:lang w:val="en-US" w:eastAsia="zh-CN"/>
              </w:rPr>
              <w:t>...</w:t>
            </w:r>
          </w:p>
        </w:tc>
      </w:tr>
    </w:tbl>
    <w:p w14:paraId="5519EE6F">
      <w:pPr>
        <w:adjustRightInd w:val="0"/>
        <w:snapToGrid w:val="0"/>
        <w:spacing w:line="360" w:lineRule="auto"/>
        <w:rPr>
          <w:rFonts w:hint="eastAsia" w:ascii="宋体" w:hAnsi="宋体"/>
          <w:color w:val="auto"/>
          <w:szCs w:val="21"/>
          <w:highlight w:val="none"/>
        </w:rPr>
      </w:pPr>
    </w:p>
    <w:tbl>
      <w:tblPr>
        <w:tblStyle w:val="26"/>
        <w:tblW w:w="100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613"/>
        <w:gridCol w:w="701"/>
        <w:gridCol w:w="754"/>
        <w:gridCol w:w="1066"/>
        <w:gridCol w:w="1455"/>
        <w:gridCol w:w="635"/>
        <w:gridCol w:w="873"/>
        <w:gridCol w:w="646"/>
        <w:gridCol w:w="1282"/>
        <w:gridCol w:w="1258"/>
      </w:tblGrid>
      <w:tr w14:paraId="1574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1000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A64C">
            <w:pPr>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双峰县2024年水库及堤防堤坝白蚁等害堤动物综合治理项目53.8km堤防工程量清单</w:t>
            </w:r>
          </w:p>
        </w:tc>
      </w:tr>
      <w:tr w14:paraId="3F52B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7"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EA96">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序号</w:t>
            </w:r>
          </w:p>
        </w:tc>
        <w:tc>
          <w:tcPr>
            <w:tcW w:w="6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779BF">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乡镇</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2F50A">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堤防名称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3EEA">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危害等级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73D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堤防等级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BB8D">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具体实施方式</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ACE7">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单位</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6229">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工程量</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07679">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单价</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1D101">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合价（元）</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0FBD">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总价（元）</w:t>
            </w:r>
          </w:p>
        </w:tc>
      </w:tr>
      <w:tr w14:paraId="27517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7FE6">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6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34174">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41B85">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26991">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1ADE">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9B26">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D8BE">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08CC1">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9ABF">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135F7">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46D1">
            <w:pPr>
              <w:rPr>
                <w:rFonts w:hint="eastAsia" w:ascii="Times New Roman" w:hAnsi="Times New Roman" w:cs="Times New Roman"/>
                <w:color w:val="auto"/>
                <w:highlight w:val="none"/>
                <w:lang w:val="en-US" w:eastAsia="zh-CN"/>
              </w:rPr>
            </w:pPr>
            <w:r>
              <w:rPr>
                <w:rFonts w:hint="eastAsia"/>
                <w:color w:val="auto"/>
                <w:highlight w:val="none"/>
                <w:lang w:val="en-US" w:eastAsia="zh-CN"/>
              </w:rPr>
              <w:t>...</w:t>
            </w:r>
          </w:p>
        </w:tc>
      </w:tr>
    </w:tbl>
    <w:p w14:paraId="6B681159">
      <w:pPr>
        <w:adjustRightInd w:val="0"/>
        <w:snapToGrid w:val="0"/>
        <w:spacing w:line="360" w:lineRule="auto"/>
        <w:rPr>
          <w:rFonts w:hint="eastAsia" w:ascii="宋体" w:hAnsi="宋体"/>
          <w:color w:val="auto"/>
          <w:szCs w:val="21"/>
          <w:highlight w:val="none"/>
        </w:rPr>
      </w:pPr>
    </w:p>
    <w:p w14:paraId="007E8340">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注：1.</w:t>
      </w:r>
      <w:r>
        <w:rPr>
          <w:rFonts w:hint="eastAsia" w:ascii="宋体" w:hAnsi="宋体"/>
          <w:b/>
          <w:color w:val="auto"/>
          <w:szCs w:val="21"/>
          <w:highlight w:val="none"/>
        </w:rPr>
        <w:t>本表应对应</w:t>
      </w:r>
      <w:r>
        <w:rPr>
          <w:rFonts w:hint="eastAsia" w:ascii="宋体" w:hAnsi="宋体"/>
          <w:color w:val="auto"/>
          <w:szCs w:val="21"/>
          <w:highlight w:val="none"/>
        </w:rPr>
        <w:t>“</w:t>
      </w:r>
      <w:r>
        <w:rPr>
          <w:rFonts w:hint="eastAsia" w:ascii="宋体" w:hAnsi="宋体"/>
          <w:b/>
          <w:color w:val="auto"/>
          <w:szCs w:val="21"/>
          <w:highlight w:val="none"/>
        </w:rPr>
        <w:t>开标一览表</w:t>
      </w:r>
      <w:r>
        <w:rPr>
          <w:rFonts w:hint="eastAsia" w:ascii="宋体" w:hAnsi="宋体"/>
          <w:color w:val="auto"/>
          <w:szCs w:val="21"/>
          <w:highlight w:val="none"/>
        </w:rPr>
        <w:t>”</w:t>
      </w:r>
      <w:r>
        <w:rPr>
          <w:rFonts w:hint="eastAsia" w:ascii="宋体" w:hAnsi="宋体"/>
          <w:b/>
          <w:color w:val="auto"/>
          <w:szCs w:val="21"/>
          <w:highlight w:val="none"/>
        </w:rPr>
        <w:t>，按包填写</w:t>
      </w:r>
      <w:r>
        <w:rPr>
          <w:rFonts w:hint="eastAsia" w:ascii="宋体" w:hAnsi="宋体"/>
          <w:color w:val="auto"/>
          <w:szCs w:val="21"/>
          <w:highlight w:val="none"/>
        </w:rPr>
        <w:t>。投标人如果不提供分项报价明细表，其</w:t>
      </w:r>
      <w:r>
        <w:rPr>
          <w:rFonts w:hint="eastAsia" w:ascii="宋体" w:hAnsi="宋体"/>
          <w:b/>
          <w:color w:val="auto"/>
          <w:szCs w:val="21"/>
          <w:highlight w:val="none"/>
        </w:rPr>
        <w:t>投标无效</w:t>
      </w:r>
      <w:r>
        <w:rPr>
          <w:rFonts w:hint="eastAsia" w:ascii="宋体" w:hAnsi="宋体"/>
          <w:color w:val="auto"/>
          <w:szCs w:val="21"/>
          <w:highlight w:val="none"/>
        </w:rPr>
        <w:t>。</w:t>
      </w:r>
    </w:p>
    <w:p w14:paraId="4A3A739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2.不得填写“免费”或“赠与”，也不得进行“零”报价，否则</w:t>
      </w:r>
      <w:r>
        <w:rPr>
          <w:rFonts w:hint="eastAsia" w:ascii="宋体" w:hAnsi="宋体"/>
          <w:b/>
          <w:color w:val="auto"/>
          <w:szCs w:val="21"/>
          <w:highlight w:val="none"/>
        </w:rPr>
        <w:t>投标无效</w:t>
      </w:r>
      <w:r>
        <w:rPr>
          <w:rFonts w:hint="eastAsia" w:ascii="宋体" w:hAnsi="宋体"/>
          <w:color w:val="auto"/>
          <w:szCs w:val="21"/>
          <w:highlight w:val="none"/>
        </w:rPr>
        <w:t>。</w:t>
      </w:r>
    </w:p>
    <w:p w14:paraId="037CE2D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3.如果开标一览表内容与本表内容不一致的，以开标一览表内容为准。</w:t>
      </w:r>
    </w:p>
    <w:p w14:paraId="3CC2ADB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bCs/>
          <w:color w:val="auto"/>
          <w:szCs w:val="21"/>
          <w:highlight w:val="none"/>
        </w:rPr>
        <w:t>投标人在投标截止时间前修改“开标一览表”中的投标报价的，应按第二章第13.7款规定修改本表相应内容。否则，</w:t>
      </w:r>
      <w:r>
        <w:rPr>
          <w:rFonts w:hint="eastAsia" w:ascii="宋体" w:hAnsi="宋体"/>
          <w:color w:val="auto"/>
          <w:szCs w:val="21"/>
          <w:highlight w:val="none"/>
        </w:rPr>
        <w:t>本表相应内容按投标报价修改的相同比例进行调整。</w:t>
      </w:r>
    </w:p>
    <w:p w14:paraId="16E0935E">
      <w:pPr>
        <w:adjustRightInd w:val="0"/>
        <w:snapToGrid w:val="0"/>
        <w:spacing w:line="360" w:lineRule="auto"/>
        <w:rPr>
          <w:rFonts w:ascii="宋体" w:hAnsi="宋体"/>
          <w:color w:val="auto"/>
          <w:szCs w:val="21"/>
          <w:highlight w:val="none"/>
        </w:rPr>
      </w:pPr>
    </w:p>
    <w:p w14:paraId="2B68B361">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25952B71">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6EF93B17">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2AA3366">
      <w:pPr>
        <w:adjustRightInd w:val="0"/>
        <w:snapToGrid w:val="0"/>
        <w:spacing w:line="360" w:lineRule="auto"/>
        <w:rPr>
          <w:rFonts w:ascii="宋体" w:hAnsi="宋体"/>
          <w:color w:val="auto"/>
          <w:szCs w:val="21"/>
          <w:highlight w:val="none"/>
        </w:rPr>
        <w:sectPr>
          <w:headerReference r:id="rId6" w:type="first"/>
          <w:footerReference r:id="rId9" w:type="first"/>
          <w:headerReference r:id="rId4" w:type="default"/>
          <w:footerReference r:id="rId7" w:type="default"/>
          <w:headerReference r:id="rId5" w:type="even"/>
          <w:footerReference r:id="rId8" w:type="even"/>
          <w:pgSz w:w="11906" w:h="16838"/>
          <w:pgMar w:top="1474" w:right="1474" w:bottom="1474" w:left="1588"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7D533955">
      <w:pPr>
        <w:pStyle w:val="6"/>
        <w:adjustRightInd w:val="0"/>
        <w:snapToGrid w:val="0"/>
        <w:spacing w:before="0" w:after="0" w:line="360" w:lineRule="auto"/>
        <w:jc w:val="center"/>
        <w:rPr>
          <w:rFonts w:ascii="黑体" w:hAnsi="宋体" w:eastAsia="黑体"/>
          <w:color w:val="auto"/>
          <w:sz w:val="28"/>
          <w:szCs w:val="28"/>
          <w:highlight w:val="none"/>
        </w:rPr>
      </w:pPr>
      <w:bookmarkStart w:id="104" w:name="_Toc32651"/>
      <w:r>
        <w:rPr>
          <w:rFonts w:hint="eastAsia" w:ascii="黑体" w:hAnsi="宋体" w:eastAsia="黑体"/>
          <w:color w:val="auto"/>
          <w:sz w:val="28"/>
          <w:szCs w:val="28"/>
          <w:highlight w:val="none"/>
        </w:rPr>
        <w:t>六、采购需求响应</w:t>
      </w:r>
      <w:bookmarkEnd w:id="104"/>
    </w:p>
    <w:p w14:paraId="7958E41A">
      <w:pPr>
        <w:adjustRightInd w:val="0"/>
        <w:snapToGrid w:val="0"/>
        <w:spacing w:line="360" w:lineRule="auto"/>
        <w:rPr>
          <w:rFonts w:ascii="宋体" w:hAnsi="宋体"/>
          <w:b/>
          <w:color w:val="auto"/>
          <w:szCs w:val="21"/>
          <w:highlight w:val="none"/>
        </w:rPr>
      </w:pPr>
    </w:p>
    <w:p w14:paraId="4361EF46">
      <w:pPr>
        <w:adjustRightInd w:val="0"/>
        <w:snapToGrid w:val="0"/>
        <w:spacing w:line="360" w:lineRule="auto"/>
        <w:rPr>
          <w:b/>
          <w:color w:val="auto"/>
          <w:highlight w:val="none"/>
        </w:rPr>
      </w:pPr>
      <w:r>
        <w:rPr>
          <w:rFonts w:hint="eastAsia" w:ascii="宋体" w:hAnsi="宋体"/>
          <w:b/>
          <w:color w:val="auto"/>
          <w:szCs w:val="21"/>
          <w:highlight w:val="none"/>
        </w:rPr>
        <w:t>编制说明</w:t>
      </w:r>
      <w:r>
        <w:rPr>
          <w:rFonts w:hint="eastAsia" w:ascii="宋体" w:hAnsi="宋体"/>
          <w:bCs/>
          <w:color w:val="auto"/>
          <w:szCs w:val="21"/>
          <w:highlight w:val="none"/>
        </w:rPr>
        <w:t>：</w:t>
      </w:r>
      <w:r>
        <w:rPr>
          <w:rFonts w:hint="eastAsia"/>
          <w:b/>
          <w:color w:val="auto"/>
          <w:highlight w:val="none"/>
        </w:rPr>
        <w:t>投标人应按招标文件第五章采购需求自行编写采购需求响应文件（其内容可包括，且不限于详细的技术指标和性能、售后服务和技术服务的组织及保证措施等，格式自拟）。</w:t>
      </w:r>
    </w:p>
    <w:p w14:paraId="38AA8532">
      <w:pPr>
        <w:pStyle w:val="14"/>
        <w:adjustRightInd w:val="0"/>
        <w:snapToGrid w:val="0"/>
        <w:spacing w:line="360" w:lineRule="auto"/>
        <w:ind w:left="-88" w:leftChars="-42"/>
        <w:rPr>
          <w:rFonts w:ascii="宋体" w:hAnsi="宋体"/>
          <w:bCs/>
          <w:color w:val="auto"/>
          <w:sz w:val="21"/>
          <w:szCs w:val="21"/>
          <w:highlight w:val="none"/>
        </w:rPr>
      </w:pPr>
    </w:p>
    <w:p w14:paraId="11EA9F9E">
      <w:pPr>
        <w:rPr>
          <w:color w:val="auto"/>
          <w:highlight w:val="none"/>
        </w:rPr>
      </w:pPr>
    </w:p>
    <w:p w14:paraId="07E1B69A">
      <w:pPr>
        <w:rPr>
          <w:color w:val="auto"/>
          <w:highlight w:val="none"/>
        </w:rPr>
      </w:pPr>
    </w:p>
    <w:p w14:paraId="23D3FC4C">
      <w:pPr>
        <w:pStyle w:val="14"/>
        <w:tabs>
          <w:tab w:val="left" w:pos="6208"/>
        </w:tabs>
        <w:adjustRightInd w:val="0"/>
        <w:snapToGrid w:val="0"/>
        <w:spacing w:line="360" w:lineRule="auto"/>
        <w:ind w:left="-88" w:leftChars="-42"/>
        <w:rPr>
          <w:rFonts w:ascii="宋体" w:hAnsi="宋体"/>
          <w:bCs/>
          <w:color w:val="auto"/>
          <w:sz w:val="21"/>
          <w:szCs w:val="21"/>
          <w:highlight w:val="none"/>
        </w:rPr>
      </w:pPr>
    </w:p>
    <w:p w14:paraId="7EC8DE35">
      <w:pPr>
        <w:adjustRightInd w:val="0"/>
        <w:snapToGrid w:val="0"/>
        <w:spacing w:line="360" w:lineRule="auto"/>
        <w:rPr>
          <w:rFonts w:ascii="宋体" w:hAnsi="宋体"/>
          <w:color w:val="auto"/>
          <w:szCs w:val="21"/>
          <w:highlight w:val="none"/>
        </w:rPr>
      </w:pPr>
    </w:p>
    <w:p w14:paraId="115070EE">
      <w:pPr>
        <w:adjustRightInd w:val="0"/>
        <w:snapToGrid w:val="0"/>
        <w:spacing w:line="360" w:lineRule="auto"/>
        <w:rPr>
          <w:rFonts w:hint="eastAsia" w:ascii="宋体" w:hAnsi="宋体"/>
          <w:color w:val="auto"/>
          <w:szCs w:val="21"/>
          <w:highlight w:val="none"/>
          <w:u w:val="single"/>
        </w:rPr>
      </w:pPr>
      <w:r>
        <w:rPr>
          <w:rFonts w:hint="eastAsia" w:ascii="宋体" w:hAnsi="宋体"/>
          <w:color w:val="auto"/>
          <w:szCs w:val="21"/>
          <w:highlight w:val="none"/>
        </w:rPr>
        <w:t>投标人名称（盖单位章）：</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1F12246E">
      <w:pPr>
        <w:adjustRightInd w:val="0"/>
        <w:snapToGrid w:val="0"/>
        <w:spacing w:line="360" w:lineRule="auto"/>
        <w:rPr>
          <w:rFonts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23619AF9">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78E008C">
      <w:pPr>
        <w:rPr>
          <w:color w:val="auto"/>
          <w:highlight w:val="none"/>
        </w:rPr>
      </w:pPr>
    </w:p>
    <w:p w14:paraId="78C6D7EA">
      <w:pPr>
        <w:rPr>
          <w:color w:val="auto"/>
          <w:highlight w:val="none"/>
        </w:rPr>
      </w:pPr>
    </w:p>
    <w:p w14:paraId="48A20B71">
      <w:pPr>
        <w:pStyle w:val="7"/>
        <w:adjustRightInd w:val="0"/>
        <w:snapToGrid w:val="0"/>
        <w:spacing w:before="156" w:beforeLines="50" w:after="0" w:line="360" w:lineRule="auto"/>
        <w:rPr>
          <w:rFonts w:ascii="黑体" w:hAnsi="黑体"/>
          <w:b w:val="0"/>
          <w:color w:val="auto"/>
          <w:sz w:val="21"/>
          <w:szCs w:val="21"/>
          <w:highlight w:val="none"/>
        </w:rPr>
      </w:pPr>
      <w:bookmarkStart w:id="105" w:name="_Toc21046"/>
      <w:r>
        <w:rPr>
          <w:rFonts w:hint="eastAsia" w:ascii="黑体" w:hAnsi="黑体" w:cs="宋体"/>
          <w:b w:val="0"/>
          <w:color w:val="auto"/>
          <w:spacing w:val="6"/>
          <w:kern w:val="0"/>
          <w:sz w:val="21"/>
          <w:szCs w:val="21"/>
          <w:highlight w:val="none"/>
        </w:rPr>
        <w:t>附件</w:t>
      </w:r>
      <w:r>
        <w:rPr>
          <w:rFonts w:ascii="黑体" w:hAnsi="黑体" w:cs="宋体"/>
          <w:b w:val="0"/>
          <w:color w:val="auto"/>
          <w:spacing w:val="6"/>
          <w:kern w:val="0"/>
          <w:sz w:val="21"/>
          <w:szCs w:val="21"/>
          <w:highlight w:val="none"/>
        </w:rPr>
        <w:t>6</w:t>
      </w:r>
      <w:r>
        <w:rPr>
          <w:rFonts w:hint="eastAsia" w:ascii="黑体" w:hAnsi="黑体" w:cs="宋体"/>
          <w:b w:val="0"/>
          <w:color w:val="auto"/>
          <w:spacing w:val="6"/>
          <w:kern w:val="0"/>
          <w:sz w:val="21"/>
          <w:szCs w:val="21"/>
          <w:highlight w:val="none"/>
        </w:rPr>
        <w:t>-1 响应</w:t>
      </w:r>
      <w:r>
        <w:rPr>
          <w:rFonts w:hint="eastAsia" w:ascii="黑体" w:hAnsi="黑体"/>
          <w:b w:val="0"/>
          <w:color w:val="auto"/>
          <w:sz w:val="21"/>
          <w:szCs w:val="21"/>
          <w:highlight w:val="none"/>
        </w:rPr>
        <w:t>一览表</w:t>
      </w:r>
      <w:bookmarkEnd w:id="105"/>
    </w:p>
    <w:p w14:paraId="5EC1FA81">
      <w:pPr>
        <w:adjustRightInd w:val="0"/>
        <w:snapToGrid w:val="0"/>
        <w:spacing w:before="156" w:beforeLines="50" w:line="360" w:lineRule="auto"/>
        <w:jc w:val="center"/>
        <w:rPr>
          <w:rFonts w:ascii="黑体" w:hAnsi="黑体" w:eastAsia="黑体"/>
          <w:b/>
          <w:bCs/>
          <w:color w:val="auto"/>
          <w:sz w:val="28"/>
          <w:szCs w:val="28"/>
          <w:highlight w:val="none"/>
        </w:rPr>
      </w:pPr>
      <w:r>
        <w:rPr>
          <w:rFonts w:hint="eastAsia" w:ascii="黑体" w:hAnsi="黑体" w:eastAsia="黑体"/>
          <w:b/>
          <w:bCs/>
          <w:color w:val="auto"/>
          <w:sz w:val="28"/>
          <w:szCs w:val="28"/>
          <w:highlight w:val="none"/>
        </w:rPr>
        <w:t>响应一览表</w:t>
      </w:r>
    </w:p>
    <w:p w14:paraId="1DF7EFAE">
      <w:pPr>
        <w:jc w:val="center"/>
        <w:rPr>
          <w:rFonts w:ascii="宋体" w:hAnsi="宋体"/>
          <w:color w:val="auto"/>
          <w:szCs w:val="21"/>
          <w:highlight w:val="none"/>
        </w:rPr>
      </w:pPr>
    </w:p>
    <w:tbl>
      <w:tblPr>
        <w:tblStyle w:val="26"/>
        <w:tblW w:w="8965"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1136"/>
        <w:gridCol w:w="1200"/>
      </w:tblGrid>
      <w:tr w14:paraId="5FDAE4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80" w:hRule="atLeast"/>
        </w:trPr>
        <w:tc>
          <w:tcPr>
            <w:tcW w:w="429" w:type="dxa"/>
            <w:noWrap w:val="0"/>
            <w:vAlign w:val="center"/>
          </w:tcPr>
          <w:p w14:paraId="04414AFB">
            <w:pPr>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 xml:space="preserve">包号 </w:t>
            </w:r>
          </w:p>
        </w:tc>
        <w:tc>
          <w:tcPr>
            <w:tcW w:w="957" w:type="dxa"/>
            <w:tcBorders>
              <w:right w:val="single" w:color="auto" w:sz="4" w:space="0"/>
            </w:tcBorders>
            <w:noWrap w:val="0"/>
            <w:vAlign w:val="center"/>
          </w:tcPr>
          <w:p w14:paraId="118E4A84">
            <w:pPr>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项目名称</w:t>
            </w:r>
          </w:p>
        </w:tc>
        <w:tc>
          <w:tcPr>
            <w:tcW w:w="2124" w:type="dxa"/>
            <w:tcBorders>
              <w:left w:val="single" w:color="auto" w:sz="4" w:space="0"/>
            </w:tcBorders>
            <w:noWrap w:val="0"/>
            <w:vAlign w:val="center"/>
          </w:tcPr>
          <w:p w14:paraId="19DBEF4A">
            <w:pPr>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标的名称</w:t>
            </w:r>
          </w:p>
        </w:tc>
        <w:tc>
          <w:tcPr>
            <w:tcW w:w="2127" w:type="dxa"/>
            <w:noWrap w:val="0"/>
            <w:vAlign w:val="center"/>
          </w:tcPr>
          <w:p w14:paraId="602FC96F">
            <w:pPr>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主要技术参数或要求</w:t>
            </w:r>
          </w:p>
        </w:tc>
        <w:tc>
          <w:tcPr>
            <w:tcW w:w="992" w:type="dxa"/>
            <w:noWrap w:val="0"/>
            <w:vAlign w:val="center"/>
          </w:tcPr>
          <w:p w14:paraId="610178E2">
            <w:pPr>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数量</w:t>
            </w:r>
          </w:p>
        </w:tc>
        <w:tc>
          <w:tcPr>
            <w:tcW w:w="1136" w:type="dxa"/>
            <w:noWrap w:val="0"/>
            <w:vAlign w:val="center"/>
          </w:tcPr>
          <w:p w14:paraId="0084DBE7">
            <w:pPr>
              <w:adjustRightInd w:val="0"/>
              <w:snapToGrid w:val="0"/>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是否响应</w:t>
            </w:r>
          </w:p>
        </w:tc>
        <w:tc>
          <w:tcPr>
            <w:tcW w:w="1200" w:type="dxa"/>
            <w:noWrap w:val="0"/>
            <w:vAlign w:val="center"/>
          </w:tcPr>
          <w:p w14:paraId="38DA6A16">
            <w:pPr>
              <w:adjustRightInd w:val="0"/>
              <w:snapToGrid w:val="0"/>
              <w:jc w:val="center"/>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备注</w:t>
            </w:r>
          </w:p>
        </w:tc>
      </w:tr>
      <w:tr w14:paraId="2D69CE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restart"/>
            <w:noWrap w:val="0"/>
            <w:vAlign w:val="top"/>
          </w:tcPr>
          <w:p w14:paraId="61426E11">
            <w:pPr>
              <w:rPr>
                <w:rFonts w:ascii="Times New Roman" w:hAnsi="Times New Roman" w:eastAsia="宋体" w:cs="Times New Roman"/>
                <w:color w:val="auto"/>
                <w:szCs w:val="21"/>
                <w:highlight w:val="none"/>
              </w:rPr>
            </w:pPr>
          </w:p>
        </w:tc>
        <w:tc>
          <w:tcPr>
            <w:tcW w:w="957" w:type="dxa"/>
            <w:vMerge w:val="restart"/>
            <w:tcBorders>
              <w:right w:val="single" w:color="auto" w:sz="4" w:space="0"/>
            </w:tcBorders>
            <w:noWrap w:val="0"/>
            <w:vAlign w:val="top"/>
          </w:tcPr>
          <w:p w14:paraId="05BD2CD0">
            <w:pPr>
              <w:rPr>
                <w:rFonts w:ascii="Times New Roman" w:hAnsi="Times New Roman" w:eastAsia="宋体" w:cs="Times New Roman"/>
                <w:color w:val="auto"/>
                <w:szCs w:val="21"/>
                <w:highlight w:val="none"/>
              </w:rPr>
            </w:pPr>
          </w:p>
        </w:tc>
        <w:tc>
          <w:tcPr>
            <w:tcW w:w="2124" w:type="dxa"/>
            <w:tcBorders>
              <w:left w:val="single" w:color="auto" w:sz="4" w:space="0"/>
            </w:tcBorders>
            <w:noWrap w:val="0"/>
            <w:vAlign w:val="top"/>
          </w:tcPr>
          <w:p w14:paraId="3A38CF89">
            <w:pPr>
              <w:rPr>
                <w:rFonts w:ascii="Times New Roman" w:hAnsi="Times New Roman" w:eastAsia="宋体" w:cs="Times New Roman"/>
                <w:color w:val="auto"/>
                <w:szCs w:val="21"/>
                <w:highlight w:val="none"/>
              </w:rPr>
            </w:pPr>
          </w:p>
        </w:tc>
        <w:tc>
          <w:tcPr>
            <w:tcW w:w="2127" w:type="dxa"/>
            <w:noWrap w:val="0"/>
            <w:vAlign w:val="top"/>
          </w:tcPr>
          <w:p w14:paraId="7C44F301">
            <w:pPr>
              <w:rPr>
                <w:rFonts w:ascii="Times New Roman" w:hAnsi="Times New Roman" w:eastAsia="宋体" w:cs="Times New Roman"/>
                <w:color w:val="auto"/>
                <w:szCs w:val="21"/>
                <w:highlight w:val="none"/>
              </w:rPr>
            </w:pPr>
          </w:p>
        </w:tc>
        <w:tc>
          <w:tcPr>
            <w:tcW w:w="992" w:type="dxa"/>
            <w:noWrap w:val="0"/>
            <w:vAlign w:val="top"/>
          </w:tcPr>
          <w:p w14:paraId="6953267E">
            <w:pPr>
              <w:rPr>
                <w:rFonts w:ascii="Times New Roman" w:hAnsi="Times New Roman" w:eastAsia="宋体" w:cs="Times New Roman"/>
                <w:color w:val="auto"/>
                <w:szCs w:val="21"/>
                <w:highlight w:val="none"/>
              </w:rPr>
            </w:pPr>
          </w:p>
        </w:tc>
        <w:tc>
          <w:tcPr>
            <w:tcW w:w="1136" w:type="dxa"/>
            <w:noWrap w:val="0"/>
            <w:vAlign w:val="top"/>
          </w:tcPr>
          <w:p w14:paraId="154772BE">
            <w:pPr>
              <w:adjustRightInd w:val="0"/>
              <w:snapToGrid w:val="0"/>
              <w:spacing w:before="156" w:beforeLines="50" w:line="360" w:lineRule="auto"/>
              <w:rPr>
                <w:rFonts w:ascii="Times New Roman" w:hAnsi="Times New Roman" w:eastAsia="宋体" w:cs="Times New Roman"/>
                <w:color w:val="auto"/>
                <w:szCs w:val="21"/>
                <w:highlight w:val="none"/>
              </w:rPr>
            </w:pPr>
          </w:p>
        </w:tc>
        <w:tc>
          <w:tcPr>
            <w:tcW w:w="1200" w:type="dxa"/>
            <w:noWrap w:val="0"/>
            <w:vAlign w:val="top"/>
          </w:tcPr>
          <w:p w14:paraId="4DAFEDA8">
            <w:pPr>
              <w:adjustRightInd w:val="0"/>
              <w:snapToGrid w:val="0"/>
              <w:spacing w:before="156" w:beforeLines="50" w:line="360" w:lineRule="auto"/>
              <w:rPr>
                <w:rFonts w:ascii="Times New Roman" w:hAnsi="Times New Roman" w:eastAsia="宋体" w:cs="Times New Roman"/>
                <w:color w:val="auto"/>
                <w:szCs w:val="21"/>
                <w:highlight w:val="none"/>
              </w:rPr>
            </w:pPr>
          </w:p>
        </w:tc>
      </w:tr>
      <w:tr w14:paraId="0B1703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noWrap w:val="0"/>
            <w:vAlign w:val="top"/>
          </w:tcPr>
          <w:p w14:paraId="3B5254C8">
            <w:pPr>
              <w:rPr>
                <w:rFonts w:ascii="Times New Roman" w:hAnsi="Times New Roman" w:eastAsia="宋体" w:cs="Times New Roman"/>
                <w:color w:val="auto"/>
                <w:szCs w:val="21"/>
                <w:highlight w:val="none"/>
              </w:rPr>
            </w:pPr>
          </w:p>
        </w:tc>
        <w:tc>
          <w:tcPr>
            <w:tcW w:w="957" w:type="dxa"/>
            <w:vMerge w:val="continue"/>
            <w:tcBorders>
              <w:right w:val="single" w:color="auto" w:sz="4" w:space="0"/>
            </w:tcBorders>
            <w:noWrap w:val="0"/>
            <w:vAlign w:val="top"/>
          </w:tcPr>
          <w:p w14:paraId="45CB5925">
            <w:pPr>
              <w:rPr>
                <w:rFonts w:ascii="Times New Roman" w:hAnsi="Times New Roman" w:eastAsia="宋体" w:cs="Times New Roman"/>
                <w:color w:val="auto"/>
                <w:szCs w:val="21"/>
                <w:highlight w:val="none"/>
              </w:rPr>
            </w:pPr>
          </w:p>
        </w:tc>
        <w:tc>
          <w:tcPr>
            <w:tcW w:w="2124" w:type="dxa"/>
            <w:tcBorders>
              <w:left w:val="single" w:color="auto" w:sz="4" w:space="0"/>
            </w:tcBorders>
            <w:noWrap w:val="0"/>
            <w:vAlign w:val="top"/>
          </w:tcPr>
          <w:p w14:paraId="3316B42D">
            <w:pPr>
              <w:rPr>
                <w:rFonts w:ascii="Times New Roman" w:hAnsi="Times New Roman" w:eastAsia="宋体" w:cs="Times New Roman"/>
                <w:color w:val="auto"/>
                <w:szCs w:val="21"/>
                <w:highlight w:val="none"/>
              </w:rPr>
            </w:pPr>
          </w:p>
        </w:tc>
        <w:tc>
          <w:tcPr>
            <w:tcW w:w="2127" w:type="dxa"/>
            <w:noWrap w:val="0"/>
            <w:vAlign w:val="top"/>
          </w:tcPr>
          <w:p w14:paraId="57B9D88A">
            <w:pPr>
              <w:rPr>
                <w:rFonts w:ascii="Times New Roman" w:hAnsi="Times New Roman" w:eastAsia="宋体" w:cs="Times New Roman"/>
                <w:color w:val="auto"/>
                <w:szCs w:val="21"/>
                <w:highlight w:val="none"/>
              </w:rPr>
            </w:pPr>
          </w:p>
        </w:tc>
        <w:tc>
          <w:tcPr>
            <w:tcW w:w="992" w:type="dxa"/>
            <w:noWrap w:val="0"/>
            <w:vAlign w:val="top"/>
          </w:tcPr>
          <w:p w14:paraId="5F0728AE">
            <w:pPr>
              <w:rPr>
                <w:rFonts w:ascii="Times New Roman" w:hAnsi="Times New Roman" w:eastAsia="宋体" w:cs="Times New Roman"/>
                <w:color w:val="auto"/>
                <w:szCs w:val="21"/>
                <w:highlight w:val="none"/>
              </w:rPr>
            </w:pPr>
          </w:p>
        </w:tc>
        <w:tc>
          <w:tcPr>
            <w:tcW w:w="1136" w:type="dxa"/>
            <w:noWrap w:val="0"/>
            <w:vAlign w:val="top"/>
          </w:tcPr>
          <w:p w14:paraId="6982B911">
            <w:pPr>
              <w:adjustRightInd w:val="0"/>
              <w:snapToGrid w:val="0"/>
              <w:spacing w:before="156" w:beforeLines="50" w:line="360" w:lineRule="auto"/>
              <w:rPr>
                <w:rFonts w:ascii="Times New Roman" w:hAnsi="Times New Roman" w:eastAsia="宋体" w:cs="Times New Roman"/>
                <w:color w:val="auto"/>
                <w:szCs w:val="21"/>
                <w:highlight w:val="none"/>
              </w:rPr>
            </w:pPr>
          </w:p>
        </w:tc>
        <w:tc>
          <w:tcPr>
            <w:tcW w:w="1200" w:type="dxa"/>
            <w:noWrap w:val="0"/>
            <w:vAlign w:val="top"/>
          </w:tcPr>
          <w:p w14:paraId="6DFBE62B">
            <w:pPr>
              <w:adjustRightInd w:val="0"/>
              <w:snapToGrid w:val="0"/>
              <w:spacing w:before="156" w:beforeLines="50" w:line="360" w:lineRule="auto"/>
              <w:rPr>
                <w:rFonts w:ascii="Times New Roman" w:hAnsi="Times New Roman" w:eastAsia="宋体" w:cs="Times New Roman"/>
                <w:color w:val="auto"/>
                <w:szCs w:val="21"/>
                <w:highlight w:val="none"/>
              </w:rPr>
            </w:pPr>
          </w:p>
        </w:tc>
      </w:tr>
      <w:tr w14:paraId="4E24D9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noWrap w:val="0"/>
            <w:vAlign w:val="top"/>
          </w:tcPr>
          <w:p w14:paraId="30227031">
            <w:pPr>
              <w:rPr>
                <w:rFonts w:ascii="Times New Roman" w:hAnsi="Times New Roman" w:eastAsia="宋体" w:cs="Times New Roman"/>
                <w:color w:val="auto"/>
                <w:szCs w:val="21"/>
                <w:highlight w:val="none"/>
              </w:rPr>
            </w:pPr>
          </w:p>
        </w:tc>
        <w:tc>
          <w:tcPr>
            <w:tcW w:w="957" w:type="dxa"/>
            <w:vMerge w:val="continue"/>
            <w:tcBorders>
              <w:right w:val="single" w:color="auto" w:sz="4" w:space="0"/>
            </w:tcBorders>
            <w:noWrap w:val="0"/>
            <w:vAlign w:val="top"/>
          </w:tcPr>
          <w:p w14:paraId="5512212F">
            <w:pPr>
              <w:rPr>
                <w:rFonts w:ascii="Times New Roman" w:hAnsi="Times New Roman" w:eastAsia="宋体" w:cs="Times New Roman"/>
                <w:color w:val="auto"/>
                <w:szCs w:val="21"/>
                <w:highlight w:val="none"/>
              </w:rPr>
            </w:pPr>
          </w:p>
        </w:tc>
        <w:tc>
          <w:tcPr>
            <w:tcW w:w="2124" w:type="dxa"/>
            <w:tcBorders>
              <w:left w:val="single" w:color="auto" w:sz="4" w:space="0"/>
            </w:tcBorders>
            <w:noWrap w:val="0"/>
            <w:vAlign w:val="top"/>
          </w:tcPr>
          <w:p w14:paraId="531991A8">
            <w:pPr>
              <w:rPr>
                <w:rFonts w:ascii="Times New Roman" w:hAnsi="Times New Roman" w:eastAsia="宋体" w:cs="Times New Roman"/>
                <w:color w:val="auto"/>
                <w:szCs w:val="21"/>
                <w:highlight w:val="none"/>
              </w:rPr>
            </w:pPr>
          </w:p>
        </w:tc>
        <w:tc>
          <w:tcPr>
            <w:tcW w:w="2127" w:type="dxa"/>
            <w:noWrap w:val="0"/>
            <w:vAlign w:val="top"/>
          </w:tcPr>
          <w:p w14:paraId="32666E59">
            <w:pPr>
              <w:rPr>
                <w:rFonts w:ascii="Times New Roman" w:hAnsi="Times New Roman" w:eastAsia="宋体" w:cs="Times New Roman"/>
                <w:color w:val="auto"/>
                <w:szCs w:val="21"/>
                <w:highlight w:val="none"/>
              </w:rPr>
            </w:pPr>
          </w:p>
        </w:tc>
        <w:tc>
          <w:tcPr>
            <w:tcW w:w="992" w:type="dxa"/>
            <w:noWrap w:val="0"/>
            <w:vAlign w:val="top"/>
          </w:tcPr>
          <w:p w14:paraId="5970A4B9">
            <w:pPr>
              <w:rPr>
                <w:rFonts w:ascii="Times New Roman" w:hAnsi="Times New Roman" w:eastAsia="宋体" w:cs="Times New Roman"/>
                <w:color w:val="auto"/>
                <w:szCs w:val="21"/>
                <w:highlight w:val="none"/>
              </w:rPr>
            </w:pPr>
          </w:p>
        </w:tc>
        <w:tc>
          <w:tcPr>
            <w:tcW w:w="1136" w:type="dxa"/>
            <w:noWrap w:val="0"/>
            <w:vAlign w:val="top"/>
          </w:tcPr>
          <w:p w14:paraId="28138D0B">
            <w:pPr>
              <w:rPr>
                <w:rFonts w:ascii="Times New Roman" w:hAnsi="Times New Roman" w:eastAsia="宋体" w:cs="Times New Roman"/>
                <w:color w:val="auto"/>
                <w:szCs w:val="21"/>
                <w:highlight w:val="none"/>
              </w:rPr>
            </w:pPr>
          </w:p>
        </w:tc>
        <w:tc>
          <w:tcPr>
            <w:tcW w:w="1200" w:type="dxa"/>
            <w:noWrap w:val="0"/>
            <w:vAlign w:val="top"/>
          </w:tcPr>
          <w:p w14:paraId="47BACB36">
            <w:pPr>
              <w:rPr>
                <w:rFonts w:ascii="Times New Roman" w:hAnsi="Times New Roman" w:eastAsia="宋体" w:cs="Times New Roman"/>
                <w:color w:val="auto"/>
                <w:szCs w:val="21"/>
                <w:highlight w:val="none"/>
              </w:rPr>
            </w:pPr>
          </w:p>
        </w:tc>
      </w:tr>
      <w:tr w14:paraId="5D9A5A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noWrap w:val="0"/>
            <w:vAlign w:val="top"/>
          </w:tcPr>
          <w:p w14:paraId="0ED2BF20">
            <w:pPr>
              <w:rPr>
                <w:rFonts w:ascii="Times New Roman" w:hAnsi="Times New Roman" w:eastAsia="宋体" w:cs="Times New Roman"/>
                <w:color w:val="auto"/>
                <w:szCs w:val="21"/>
                <w:highlight w:val="none"/>
              </w:rPr>
            </w:pPr>
          </w:p>
        </w:tc>
        <w:tc>
          <w:tcPr>
            <w:tcW w:w="957" w:type="dxa"/>
            <w:vMerge w:val="continue"/>
            <w:tcBorders>
              <w:right w:val="single" w:color="auto" w:sz="4" w:space="0"/>
            </w:tcBorders>
            <w:noWrap w:val="0"/>
            <w:vAlign w:val="top"/>
          </w:tcPr>
          <w:p w14:paraId="2A77917B">
            <w:pPr>
              <w:rPr>
                <w:rFonts w:ascii="Times New Roman" w:hAnsi="Times New Roman" w:eastAsia="宋体" w:cs="Times New Roman"/>
                <w:color w:val="auto"/>
                <w:szCs w:val="21"/>
                <w:highlight w:val="none"/>
              </w:rPr>
            </w:pPr>
          </w:p>
        </w:tc>
        <w:tc>
          <w:tcPr>
            <w:tcW w:w="2124" w:type="dxa"/>
            <w:tcBorders>
              <w:left w:val="single" w:color="auto" w:sz="4" w:space="0"/>
            </w:tcBorders>
            <w:noWrap w:val="0"/>
            <w:vAlign w:val="top"/>
          </w:tcPr>
          <w:p w14:paraId="34B4ED1C">
            <w:pPr>
              <w:rPr>
                <w:rFonts w:ascii="Times New Roman" w:hAnsi="Times New Roman" w:eastAsia="宋体" w:cs="Times New Roman"/>
                <w:color w:val="auto"/>
                <w:szCs w:val="21"/>
                <w:highlight w:val="none"/>
              </w:rPr>
            </w:pPr>
          </w:p>
        </w:tc>
        <w:tc>
          <w:tcPr>
            <w:tcW w:w="2127" w:type="dxa"/>
            <w:noWrap w:val="0"/>
            <w:vAlign w:val="top"/>
          </w:tcPr>
          <w:p w14:paraId="4FA7F702">
            <w:pPr>
              <w:rPr>
                <w:rFonts w:ascii="Times New Roman" w:hAnsi="Times New Roman" w:eastAsia="宋体" w:cs="Times New Roman"/>
                <w:color w:val="auto"/>
                <w:szCs w:val="21"/>
                <w:highlight w:val="none"/>
              </w:rPr>
            </w:pPr>
          </w:p>
        </w:tc>
        <w:tc>
          <w:tcPr>
            <w:tcW w:w="992" w:type="dxa"/>
            <w:noWrap w:val="0"/>
            <w:vAlign w:val="top"/>
          </w:tcPr>
          <w:p w14:paraId="6A407870">
            <w:pPr>
              <w:rPr>
                <w:rFonts w:ascii="Times New Roman" w:hAnsi="Times New Roman" w:eastAsia="宋体" w:cs="Times New Roman"/>
                <w:color w:val="auto"/>
                <w:szCs w:val="21"/>
                <w:highlight w:val="none"/>
              </w:rPr>
            </w:pPr>
          </w:p>
        </w:tc>
        <w:tc>
          <w:tcPr>
            <w:tcW w:w="1136" w:type="dxa"/>
            <w:noWrap w:val="0"/>
            <w:vAlign w:val="top"/>
          </w:tcPr>
          <w:p w14:paraId="101EF9A4">
            <w:pPr>
              <w:rPr>
                <w:rFonts w:ascii="Times New Roman" w:hAnsi="Times New Roman" w:eastAsia="宋体" w:cs="Times New Roman"/>
                <w:color w:val="auto"/>
                <w:szCs w:val="21"/>
                <w:highlight w:val="none"/>
              </w:rPr>
            </w:pPr>
          </w:p>
        </w:tc>
        <w:tc>
          <w:tcPr>
            <w:tcW w:w="1200" w:type="dxa"/>
            <w:noWrap w:val="0"/>
            <w:vAlign w:val="top"/>
          </w:tcPr>
          <w:p w14:paraId="769D1C20">
            <w:pPr>
              <w:rPr>
                <w:rFonts w:ascii="Times New Roman" w:hAnsi="Times New Roman" w:eastAsia="宋体" w:cs="Times New Roman"/>
                <w:color w:val="auto"/>
                <w:szCs w:val="21"/>
                <w:highlight w:val="none"/>
              </w:rPr>
            </w:pPr>
          </w:p>
        </w:tc>
      </w:tr>
      <w:tr w14:paraId="1E25B4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noWrap w:val="0"/>
            <w:vAlign w:val="top"/>
          </w:tcPr>
          <w:p w14:paraId="1F70583F">
            <w:pPr>
              <w:rPr>
                <w:rFonts w:ascii="Times New Roman" w:hAnsi="Times New Roman" w:eastAsia="宋体" w:cs="Times New Roman"/>
                <w:color w:val="auto"/>
                <w:szCs w:val="21"/>
                <w:highlight w:val="none"/>
              </w:rPr>
            </w:pPr>
          </w:p>
        </w:tc>
        <w:tc>
          <w:tcPr>
            <w:tcW w:w="957" w:type="dxa"/>
            <w:vMerge w:val="continue"/>
            <w:tcBorders>
              <w:right w:val="single" w:color="auto" w:sz="4" w:space="0"/>
            </w:tcBorders>
            <w:noWrap w:val="0"/>
            <w:vAlign w:val="top"/>
          </w:tcPr>
          <w:p w14:paraId="0985AB93">
            <w:pPr>
              <w:rPr>
                <w:rFonts w:ascii="Times New Roman" w:hAnsi="Times New Roman" w:eastAsia="宋体" w:cs="Times New Roman"/>
                <w:color w:val="auto"/>
                <w:szCs w:val="21"/>
                <w:highlight w:val="none"/>
              </w:rPr>
            </w:pPr>
          </w:p>
        </w:tc>
        <w:tc>
          <w:tcPr>
            <w:tcW w:w="2124" w:type="dxa"/>
            <w:tcBorders>
              <w:left w:val="single" w:color="auto" w:sz="4" w:space="0"/>
            </w:tcBorders>
            <w:noWrap w:val="0"/>
            <w:vAlign w:val="top"/>
          </w:tcPr>
          <w:p w14:paraId="4C4EB48C">
            <w:pPr>
              <w:rPr>
                <w:rFonts w:ascii="Times New Roman" w:hAnsi="Times New Roman" w:eastAsia="宋体" w:cs="Times New Roman"/>
                <w:color w:val="auto"/>
                <w:szCs w:val="21"/>
                <w:highlight w:val="none"/>
              </w:rPr>
            </w:pPr>
          </w:p>
        </w:tc>
        <w:tc>
          <w:tcPr>
            <w:tcW w:w="2127" w:type="dxa"/>
            <w:noWrap w:val="0"/>
            <w:vAlign w:val="top"/>
          </w:tcPr>
          <w:p w14:paraId="3A09E338">
            <w:pPr>
              <w:rPr>
                <w:rFonts w:ascii="Times New Roman" w:hAnsi="Times New Roman" w:eastAsia="宋体" w:cs="Times New Roman"/>
                <w:color w:val="auto"/>
                <w:szCs w:val="21"/>
                <w:highlight w:val="none"/>
              </w:rPr>
            </w:pPr>
          </w:p>
        </w:tc>
        <w:tc>
          <w:tcPr>
            <w:tcW w:w="992" w:type="dxa"/>
            <w:noWrap w:val="0"/>
            <w:vAlign w:val="top"/>
          </w:tcPr>
          <w:p w14:paraId="3331AC51">
            <w:pPr>
              <w:rPr>
                <w:rFonts w:ascii="Times New Roman" w:hAnsi="Times New Roman" w:eastAsia="宋体" w:cs="Times New Roman"/>
                <w:color w:val="auto"/>
                <w:szCs w:val="21"/>
                <w:highlight w:val="none"/>
              </w:rPr>
            </w:pPr>
          </w:p>
        </w:tc>
        <w:tc>
          <w:tcPr>
            <w:tcW w:w="1136" w:type="dxa"/>
            <w:noWrap w:val="0"/>
            <w:vAlign w:val="top"/>
          </w:tcPr>
          <w:p w14:paraId="7DFB39A3">
            <w:pPr>
              <w:rPr>
                <w:rFonts w:ascii="Times New Roman" w:hAnsi="Times New Roman" w:eastAsia="宋体" w:cs="Times New Roman"/>
                <w:color w:val="auto"/>
                <w:szCs w:val="21"/>
                <w:highlight w:val="none"/>
              </w:rPr>
            </w:pPr>
          </w:p>
        </w:tc>
        <w:tc>
          <w:tcPr>
            <w:tcW w:w="1200" w:type="dxa"/>
            <w:noWrap w:val="0"/>
            <w:vAlign w:val="top"/>
          </w:tcPr>
          <w:p w14:paraId="215DC831">
            <w:pPr>
              <w:rPr>
                <w:rFonts w:ascii="Times New Roman" w:hAnsi="Times New Roman" w:eastAsia="宋体" w:cs="Times New Roman"/>
                <w:color w:val="auto"/>
                <w:szCs w:val="21"/>
                <w:highlight w:val="none"/>
              </w:rPr>
            </w:pPr>
          </w:p>
        </w:tc>
      </w:tr>
    </w:tbl>
    <w:p w14:paraId="30828873">
      <w:pPr>
        <w:adjustRightInd w:val="0"/>
        <w:snapToGrid w:val="0"/>
        <w:spacing w:line="360" w:lineRule="auto"/>
        <w:rPr>
          <w:color w:val="auto"/>
          <w:highlight w:val="none"/>
        </w:rPr>
      </w:pPr>
    </w:p>
    <w:p w14:paraId="73D005E8">
      <w:pPr>
        <w:adjustRightInd w:val="0"/>
        <w:snapToGrid w:val="0"/>
        <w:spacing w:line="360" w:lineRule="auto"/>
        <w:rPr>
          <w:rFonts w:ascii="宋体" w:hAnsi="宋体"/>
          <w:color w:val="auto"/>
          <w:szCs w:val="21"/>
          <w:highlight w:val="none"/>
        </w:rPr>
      </w:pPr>
    </w:p>
    <w:p w14:paraId="7F3D4C04">
      <w:pPr>
        <w:adjustRightInd w:val="0"/>
        <w:snapToGrid w:val="0"/>
        <w:spacing w:line="360" w:lineRule="auto"/>
        <w:rPr>
          <w:rFonts w:ascii="宋体" w:hAnsi="宋体"/>
          <w:color w:val="auto"/>
          <w:szCs w:val="21"/>
          <w:highlight w:val="none"/>
        </w:rPr>
      </w:pPr>
    </w:p>
    <w:p w14:paraId="74E1403E">
      <w:pPr>
        <w:adjustRightInd w:val="0"/>
        <w:snapToGrid w:val="0"/>
        <w:spacing w:line="360" w:lineRule="auto"/>
        <w:rPr>
          <w:rFonts w:ascii="黑体" w:hAnsi="宋体" w:eastAsia="黑体"/>
          <w:color w:val="auto"/>
          <w:sz w:val="28"/>
          <w:szCs w:val="28"/>
          <w:highlight w:val="none"/>
        </w:rPr>
        <w:sectPr>
          <w:headerReference r:id="rId12" w:type="first"/>
          <w:headerReference r:id="rId10" w:type="default"/>
          <w:footerReference r:id="rId13" w:type="default"/>
          <w:headerReference r:id="rId11" w:type="even"/>
          <w:pgSz w:w="11906" w:h="16838"/>
          <w:pgMar w:top="1474" w:right="1474" w:bottom="1474" w:left="1588" w:header="851" w:footer="992" w:gutter="0"/>
          <w:pgBorders>
            <w:top w:val="none" w:sz="0" w:space="0"/>
            <w:left w:val="none" w:sz="0" w:space="0"/>
            <w:bottom w:val="none" w:sz="0" w:space="0"/>
            <w:right w:val="none" w:sz="0" w:space="0"/>
          </w:pgBorders>
          <w:pgNumType w:fmt="decimal" w:start="79"/>
          <w:cols w:space="720" w:num="1"/>
          <w:docGrid w:type="lines" w:linePitch="312" w:charSpace="0"/>
        </w:sectPr>
      </w:pPr>
    </w:p>
    <w:p w14:paraId="6BE1B00A">
      <w:pPr>
        <w:pStyle w:val="6"/>
        <w:adjustRightInd w:val="0"/>
        <w:snapToGrid w:val="0"/>
        <w:spacing w:before="156" w:beforeLines="50" w:after="0" w:line="360" w:lineRule="auto"/>
        <w:jc w:val="center"/>
        <w:rPr>
          <w:rFonts w:ascii="黑体" w:hAnsi="黑体" w:eastAsia="黑体"/>
          <w:color w:val="auto"/>
          <w:sz w:val="28"/>
          <w:szCs w:val="28"/>
          <w:highlight w:val="none"/>
        </w:rPr>
      </w:pPr>
      <w:bookmarkStart w:id="106" w:name="_Toc26208"/>
      <w:r>
        <w:rPr>
          <w:rFonts w:hint="eastAsia" w:ascii="黑体" w:hAnsi="黑体" w:eastAsia="黑体"/>
          <w:color w:val="auto"/>
          <w:sz w:val="28"/>
          <w:szCs w:val="28"/>
          <w:highlight w:val="none"/>
        </w:rPr>
        <w:t>七、合同条款偏离表</w:t>
      </w:r>
      <w:bookmarkEnd w:id="106"/>
    </w:p>
    <w:p w14:paraId="0E572840">
      <w:pPr>
        <w:adjustRightInd w:val="0"/>
        <w:snapToGrid w:val="0"/>
        <w:spacing w:before="156" w:beforeLines="50" w:line="360" w:lineRule="auto"/>
        <w:jc w:val="left"/>
        <w:rPr>
          <w:rFonts w:ascii="宋体" w:hAnsi="宋体"/>
          <w:color w:val="auto"/>
          <w:szCs w:val="21"/>
          <w:highlight w:val="none"/>
        </w:rPr>
      </w:pPr>
      <w:r>
        <w:rPr>
          <w:rFonts w:hint="eastAsia" w:ascii="宋体" w:hAnsi="宋体"/>
          <w:color w:val="auto"/>
          <w:spacing w:val="28"/>
          <w:szCs w:val="21"/>
          <w:highlight w:val="none"/>
        </w:rPr>
        <w:t>政府采购计划编号</w:t>
      </w: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7E2C68C0">
      <w:pPr>
        <w:adjustRightInd w:val="0"/>
        <w:snapToGrid w:val="0"/>
        <w:spacing w:before="156" w:beforeLines="50" w:line="360" w:lineRule="auto"/>
        <w:jc w:val="left"/>
        <w:rPr>
          <w:rFonts w:hint="eastAsia" w:ascii="宋体" w:hAnsi="宋体"/>
          <w:color w:val="auto"/>
          <w:szCs w:val="21"/>
          <w:highlight w:val="none"/>
          <w:u w:val="singl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tbl>
      <w:tblPr>
        <w:tblStyle w:val="26"/>
        <w:tblW w:w="90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845"/>
        <w:gridCol w:w="3550"/>
        <w:gridCol w:w="2970"/>
        <w:gridCol w:w="1042"/>
      </w:tblGrid>
      <w:tr w14:paraId="569BA5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noWrap w:val="0"/>
            <w:vAlign w:val="center"/>
          </w:tcPr>
          <w:p w14:paraId="338F0E96">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bCs/>
                <w:color w:val="auto"/>
                <w:szCs w:val="21"/>
                <w:highlight w:val="none"/>
              </w:rPr>
              <w:t>序</w:t>
            </w:r>
            <w:r>
              <w:rPr>
                <w:rFonts w:hint="eastAsia" w:ascii="宋体" w:hAnsi="宋体" w:eastAsia="宋体" w:cs="Times New Roman"/>
                <w:color w:val="auto"/>
                <w:szCs w:val="21"/>
                <w:highlight w:val="none"/>
              </w:rPr>
              <w:t>号</w:t>
            </w:r>
          </w:p>
        </w:tc>
        <w:tc>
          <w:tcPr>
            <w:tcW w:w="845" w:type="dxa"/>
            <w:noWrap w:val="0"/>
            <w:vAlign w:val="center"/>
          </w:tcPr>
          <w:p w14:paraId="538A0232">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招标文件章节</w:t>
            </w:r>
            <w:r>
              <w:rPr>
                <w:rFonts w:hint="eastAsia" w:ascii="宋体" w:hAnsi="宋体" w:eastAsia="宋体" w:cs="Times New Roman"/>
                <w:bCs/>
                <w:color w:val="auto"/>
                <w:szCs w:val="21"/>
                <w:highlight w:val="none"/>
              </w:rPr>
              <w:t>条</w:t>
            </w:r>
            <w:r>
              <w:rPr>
                <w:rFonts w:hint="eastAsia" w:ascii="宋体" w:hAnsi="宋体" w:eastAsia="宋体" w:cs="Times New Roman"/>
                <w:color w:val="auto"/>
                <w:szCs w:val="21"/>
                <w:highlight w:val="none"/>
              </w:rPr>
              <w:t>款号</w:t>
            </w:r>
          </w:p>
        </w:tc>
        <w:tc>
          <w:tcPr>
            <w:tcW w:w="3550" w:type="dxa"/>
            <w:noWrap w:val="0"/>
            <w:vAlign w:val="center"/>
          </w:tcPr>
          <w:p w14:paraId="4718D348">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Times New Roman" w:hAnsi="Times New Roman" w:eastAsia="宋体" w:cs="Times New Roman"/>
                <w:color w:val="auto"/>
                <w:highlight w:val="none"/>
              </w:rPr>
              <w:t>招标文件要求</w:t>
            </w:r>
          </w:p>
        </w:tc>
        <w:tc>
          <w:tcPr>
            <w:tcW w:w="2970" w:type="dxa"/>
            <w:tcBorders>
              <w:right w:val="single" w:color="auto" w:sz="4" w:space="0"/>
            </w:tcBorders>
            <w:noWrap w:val="0"/>
            <w:vAlign w:val="center"/>
          </w:tcPr>
          <w:p w14:paraId="73D4C8CA">
            <w:pPr>
              <w:adjustRightInd w:val="0"/>
              <w:snapToGrid w:val="0"/>
              <w:spacing w:before="50" w:line="360" w:lineRule="auto"/>
              <w:jc w:val="center"/>
              <w:rPr>
                <w:rFonts w:ascii="宋体" w:hAnsi="宋体" w:eastAsia="宋体" w:cs="Times New Roman"/>
                <w:color w:val="auto"/>
                <w:szCs w:val="21"/>
                <w:highlight w:val="none"/>
              </w:rPr>
            </w:pPr>
            <w:r>
              <w:rPr>
                <w:rFonts w:hint="eastAsia" w:ascii="Times New Roman" w:hAnsi="Times New Roman" w:eastAsia="宋体" w:cs="Times New Roman"/>
                <w:color w:val="auto"/>
                <w:highlight w:val="none"/>
              </w:rPr>
              <w:t>投标文件的应答</w:t>
            </w:r>
          </w:p>
        </w:tc>
        <w:tc>
          <w:tcPr>
            <w:tcW w:w="1042" w:type="dxa"/>
            <w:tcBorders>
              <w:left w:val="single" w:color="auto" w:sz="4" w:space="0"/>
            </w:tcBorders>
            <w:noWrap w:val="0"/>
            <w:vAlign w:val="center"/>
          </w:tcPr>
          <w:p w14:paraId="530AF05D">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偏离说明</w:t>
            </w:r>
          </w:p>
        </w:tc>
      </w:tr>
      <w:tr w14:paraId="29DB8F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8A76D03">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45" w:type="dxa"/>
            <w:noWrap w:val="0"/>
            <w:vAlign w:val="center"/>
          </w:tcPr>
          <w:p w14:paraId="575B7C3C">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550" w:type="dxa"/>
            <w:noWrap w:val="0"/>
            <w:vAlign w:val="center"/>
          </w:tcPr>
          <w:p w14:paraId="6E4E05B0">
            <w:pPr>
              <w:snapToGrid w:val="0"/>
              <w:spacing w:before="50" w:line="360" w:lineRule="auto"/>
              <w:ind w:left="13" w:leftChars="6"/>
              <w:jc w:val="lef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招标文件第二章投标须知及第六章政府采购合同条款的响应有偏离的条款。</w:t>
            </w:r>
            <w:r>
              <w:rPr>
                <w:rFonts w:ascii="宋体" w:hAnsi="宋体" w:eastAsia="宋体" w:cs="Times New Roman"/>
                <w:color w:val="auto"/>
                <w:szCs w:val="21"/>
                <w:highlight w:val="none"/>
              </w:rPr>
              <w:t xml:space="preserve"> </w:t>
            </w:r>
          </w:p>
        </w:tc>
        <w:tc>
          <w:tcPr>
            <w:tcW w:w="2970" w:type="dxa"/>
            <w:tcBorders>
              <w:right w:val="single" w:color="auto" w:sz="4" w:space="0"/>
            </w:tcBorders>
            <w:noWrap w:val="0"/>
            <w:vAlign w:val="center"/>
          </w:tcPr>
          <w:p w14:paraId="04520CDB">
            <w:pPr>
              <w:snapToGrid w:val="0"/>
              <w:spacing w:before="50" w:line="360" w:lineRule="auto"/>
              <w:ind w:left="80" w:leftChars="38"/>
              <w:jc w:val="lef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投标人如果对招标文件第二章投标须知及第六章政府采购合同条款的响应有偏离的，应将偏离条款逐条如实应答，并作出说明</w:t>
            </w:r>
          </w:p>
        </w:tc>
        <w:tc>
          <w:tcPr>
            <w:tcW w:w="1042" w:type="dxa"/>
            <w:tcBorders>
              <w:left w:val="single" w:color="auto" w:sz="4" w:space="0"/>
            </w:tcBorders>
            <w:noWrap w:val="0"/>
            <w:vAlign w:val="top"/>
          </w:tcPr>
          <w:p w14:paraId="5B850F68">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2C7E9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5A0B2257">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45" w:type="dxa"/>
            <w:noWrap w:val="0"/>
            <w:vAlign w:val="center"/>
          </w:tcPr>
          <w:p w14:paraId="2763232D">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550" w:type="dxa"/>
            <w:noWrap w:val="0"/>
            <w:vAlign w:val="center"/>
          </w:tcPr>
          <w:p w14:paraId="197B9701">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970" w:type="dxa"/>
            <w:tcBorders>
              <w:right w:val="single" w:color="auto" w:sz="4" w:space="0"/>
            </w:tcBorders>
            <w:noWrap w:val="0"/>
            <w:vAlign w:val="center"/>
          </w:tcPr>
          <w:p w14:paraId="2784B2E2">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2" w:type="dxa"/>
            <w:tcBorders>
              <w:left w:val="single" w:color="auto" w:sz="4" w:space="0"/>
            </w:tcBorders>
            <w:noWrap w:val="0"/>
            <w:vAlign w:val="center"/>
          </w:tcPr>
          <w:p w14:paraId="41A1DAEB">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5EB115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43CA453">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45" w:type="dxa"/>
            <w:noWrap w:val="0"/>
            <w:vAlign w:val="center"/>
          </w:tcPr>
          <w:p w14:paraId="6FA0DCBD">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550" w:type="dxa"/>
            <w:noWrap w:val="0"/>
            <w:vAlign w:val="center"/>
          </w:tcPr>
          <w:p w14:paraId="228C1385">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970" w:type="dxa"/>
            <w:tcBorders>
              <w:right w:val="single" w:color="auto" w:sz="4" w:space="0"/>
            </w:tcBorders>
            <w:noWrap w:val="0"/>
            <w:vAlign w:val="center"/>
          </w:tcPr>
          <w:p w14:paraId="7C4E91AB">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2" w:type="dxa"/>
            <w:tcBorders>
              <w:left w:val="single" w:color="auto" w:sz="4" w:space="0"/>
            </w:tcBorders>
            <w:noWrap w:val="0"/>
            <w:vAlign w:val="center"/>
          </w:tcPr>
          <w:p w14:paraId="7FDCA286">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2BB53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26FB7F9">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45" w:type="dxa"/>
            <w:noWrap w:val="0"/>
            <w:vAlign w:val="center"/>
          </w:tcPr>
          <w:p w14:paraId="464E29F5">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550" w:type="dxa"/>
            <w:noWrap w:val="0"/>
            <w:vAlign w:val="center"/>
          </w:tcPr>
          <w:p w14:paraId="61B7C93A">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970" w:type="dxa"/>
            <w:tcBorders>
              <w:right w:val="single" w:color="auto" w:sz="4" w:space="0"/>
            </w:tcBorders>
            <w:noWrap w:val="0"/>
            <w:vAlign w:val="center"/>
          </w:tcPr>
          <w:p w14:paraId="639EEAC5">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2" w:type="dxa"/>
            <w:tcBorders>
              <w:left w:val="single" w:color="auto" w:sz="4" w:space="0"/>
            </w:tcBorders>
            <w:noWrap w:val="0"/>
            <w:vAlign w:val="center"/>
          </w:tcPr>
          <w:p w14:paraId="695AB59A">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1A1FF9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B5632F1">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45" w:type="dxa"/>
            <w:noWrap w:val="0"/>
            <w:vAlign w:val="center"/>
          </w:tcPr>
          <w:p w14:paraId="5927A726">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550" w:type="dxa"/>
            <w:noWrap w:val="0"/>
            <w:vAlign w:val="center"/>
          </w:tcPr>
          <w:p w14:paraId="3B6D4E5A">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4012" w:type="dxa"/>
            <w:gridSpan w:val="2"/>
            <w:noWrap w:val="0"/>
            <w:vAlign w:val="center"/>
          </w:tcPr>
          <w:p w14:paraId="699901D0">
            <w:pPr>
              <w:adjustRightInd w:val="0"/>
              <w:snapToGrid w:val="0"/>
              <w:spacing w:before="50" w:line="360" w:lineRule="auto"/>
              <w:ind w:firstLine="422" w:firstLineChars="200"/>
              <w:jc w:val="left"/>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投标人保证：除本合同条款偏离表列出的偏离外，我单位对招标文件的其他商务、合同条款完全响应，无偏离。</w:t>
            </w:r>
          </w:p>
        </w:tc>
      </w:tr>
    </w:tbl>
    <w:p w14:paraId="6FDDEB3C">
      <w:pPr>
        <w:adjustRightInd w:val="0"/>
        <w:snapToGrid w:val="0"/>
        <w:spacing w:before="50" w:line="360" w:lineRule="auto"/>
        <w:ind w:left="-88" w:leftChars="-42"/>
        <w:rPr>
          <w:rFonts w:ascii="宋体" w:hAnsi="宋体"/>
          <w:color w:val="auto"/>
          <w:szCs w:val="21"/>
          <w:highlight w:val="none"/>
        </w:rPr>
      </w:pPr>
      <w:r>
        <w:rPr>
          <w:rFonts w:hint="eastAsia" w:ascii="宋体" w:hAnsi="宋体"/>
          <w:bCs/>
          <w:color w:val="auto"/>
          <w:szCs w:val="21"/>
          <w:highlight w:val="none"/>
        </w:rPr>
        <w:t>注：</w:t>
      </w:r>
      <w:r>
        <w:rPr>
          <w:rFonts w:hint="eastAsia" w:ascii="宋体" w:hAnsi="宋体"/>
          <w:color w:val="auto"/>
          <w:szCs w:val="21"/>
          <w:highlight w:val="none"/>
        </w:rPr>
        <w:t>1.投标人应根据招标文件第六章</w:t>
      </w:r>
      <w:r>
        <w:rPr>
          <w:rFonts w:hint="eastAsia" w:ascii="华文宋体" w:hAnsi="华文宋体" w:eastAsia="华文宋体"/>
          <w:color w:val="auto"/>
          <w:szCs w:val="21"/>
          <w:highlight w:val="none"/>
        </w:rPr>
        <w:t>“</w:t>
      </w:r>
      <w:r>
        <w:rPr>
          <w:rFonts w:hint="eastAsia" w:ascii="宋体" w:hAnsi="宋体"/>
          <w:color w:val="auto"/>
          <w:szCs w:val="21"/>
          <w:highlight w:val="none"/>
        </w:rPr>
        <w:t>政府采购合同</w:t>
      </w:r>
      <w:r>
        <w:rPr>
          <w:rFonts w:hint="eastAsia" w:ascii="华文宋体" w:hAnsi="华文宋体" w:eastAsia="华文宋体"/>
          <w:color w:val="auto"/>
          <w:szCs w:val="21"/>
          <w:highlight w:val="none"/>
        </w:rPr>
        <w:t>”</w:t>
      </w:r>
      <w:r>
        <w:rPr>
          <w:rFonts w:hint="eastAsia" w:ascii="宋体" w:hAnsi="宋体"/>
          <w:color w:val="auto"/>
          <w:szCs w:val="21"/>
          <w:highlight w:val="none"/>
        </w:rPr>
        <w:t>填写本表；</w:t>
      </w:r>
    </w:p>
    <w:p w14:paraId="7C46411C">
      <w:pPr>
        <w:adjustRightInd w:val="0"/>
        <w:snapToGrid w:val="0"/>
        <w:spacing w:before="50" w:line="360" w:lineRule="auto"/>
        <w:ind w:left="-88" w:leftChars="-42" w:firstLine="42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投标人如果对招标文件第六章“政府采购合同”的响应有偏离，应将偏离条款逐条如实应答，并作出说明；</w:t>
      </w:r>
    </w:p>
    <w:p w14:paraId="1B7E1184">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3.如不提供此表，则视为投标人不满足招标文件第六章的所有条款要求，其</w:t>
      </w:r>
      <w:r>
        <w:rPr>
          <w:rFonts w:hint="eastAsia" w:ascii="宋体" w:hAnsi="宋体"/>
          <w:b/>
          <w:color w:val="auto"/>
          <w:szCs w:val="21"/>
          <w:highlight w:val="none"/>
        </w:rPr>
        <w:t>投标无效</w:t>
      </w:r>
      <w:r>
        <w:rPr>
          <w:rFonts w:hint="eastAsia" w:ascii="宋体" w:hAnsi="宋体"/>
          <w:color w:val="auto"/>
          <w:szCs w:val="21"/>
          <w:highlight w:val="none"/>
        </w:rPr>
        <w:t>。</w:t>
      </w:r>
    </w:p>
    <w:p w14:paraId="7DEE307D">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4.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68417D9D">
      <w:pPr>
        <w:adjustRightInd w:val="0"/>
        <w:snapToGrid w:val="0"/>
        <w:spacing w:before="50" w:line="360" w:lineRule="auto"/>
        <w:rPr>
          <w:rFonts w:hint="eastAsia" w:ascii="宋体" w:hAnsi="宋体"/>
          <w:color w:val="auto"/>
          <w:szCs w:val="21"/>
          <w:highlight w:val="none"/>
        </w:rPr>
      </w:pPr>
    </w:p>
    <w:p w14:paraId="2C689733">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投标人名称（盖单位章）：</w:t>
      </w:r>
      <w:r>
        <w:rPr>
          <w:rFonts w:hint="eastAsia" w:ascii="宋体" w:hAnsi="宋体"/>
          <w:color w:val="auto"/>
          <w:szCs w:val="21"/>
          <w:highlight w:val="none"/>
          <w:u w:val="single"/>
        </w:rPr>
        <w:t xml:space="preserve">                   </w:t>
      </w:r>
    </w:p>
    <w:p w14:paraId="51A510D9">
      <w:pPr>
        <w:adjustRightInd w:val="0"/>
        <w:snapToGrid w:val="0"/>
        <w:spacing w:before="50"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24C95A76">
      <w:pPr>
        <w:adjustRightInd w:val="0"/>
        <w:snapToGrid w:val="0"/>
        <w:spacing w:before="50" w:line="168" w:lineRule="auto"/>
        <w:rPr>
          <w:rFonts w:ascii="黑体" w:hAnsi="宋体" w:eastAsia="黑体"/>
          <w:color w:val="auto"/>
          <w:sz w:val="28"/>
          <w:szCs w:val="28"/>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_日</w:t>
      </w:r>
    </w:p>
    <w:p w14:paraId="683D10EB">
      <w:pPr>
        <w:pStyle w:val="47"/>
        <w:rPr>
          <w:rFonts w:hint="eastAsia"/>
          <w:color w:val="auto"/>
          <w:highlight w:val="none"/>
        </w:rPr>
      </w:pPr>
    </w:p>
    <w:p w14:paraId="3E3DFC00">
      <w:pPr>
        <w:pStyle w:val="6"/>
        <w:adjustRightInd w:val="0"/>
        <w:snapToGrid w:val="0"/>
        <w:spacing w:before="156" w:beforeLines="50" w:after="0" w:line="360" w:lineRule="auto"/>
        <w:jc w:val="center"/>
        <w:rPr>
          <w:rFonts w:ascii="黑体" w:hAnsi="宋体" w:eastAsia="黑体"/>
          <w:color w:val="auto"/>
          <w:sz w:val="28"/>
          <w:szCs w:val="28"/>
          <w:highlight w:val="none"/>
        </w:rPr>
      </w:pPr>
      <w:bookmarkStart w:id="107" w:name="_Toc11663"/>
      <w:r>
        <w:rPr>
          <w:rFonts w:hint="eastAsia" w:ascii="黑体" w:hAnsi="宋体" w:eastAsia="黑体"/>
          <w:color w:val="auto"/>
          <w:sz w:val="28"/>
          <w:szCs w:val="28"/>
          <w:highlight w:val="none"/>
        </w:rPr>
        <w:t>八、采购需求偏离表</w:t>
      </w:r>
      <w:bookmarkEnd w:id="107"/>
    </w:p>
    <w:p w14:paraId="41E3C6AA">
      <w:pPr>
        <w:adjustRightInd w:val="0"/>
        <w:snapToGrid w:val="0"/>
        <w:spacing w:before="156" w:beforeLines="50" w:line="360" w:lineRule="auto"/>
        <w:rPr>
          <w:rFonts w:ascii="宋体" w:hAnsi="宋体"/>
          <w:color w:val="auto"/>
          <w:szCs w:val="21"/>
          <w:highlight w:val="none"/>
        </w:rPr>
      </w:pPr>
      <w:r>
        <w:rPr>
          <w:rFonts w:hint="eastAsia" w:ascii="宋体" w:hAnsi="宋体"/>
          <w:color w:val="auto"/>
          <w:spacing w:val="28"/>
          <w:szCs w:val="21"/>
          <w:highlight w:val="none"/>
        </w:rPr>
        <w:t>政府采购计划编号</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7DBC782">
      <w:pPr>
        <w:adjustRightInd w:val="0"/>
        <w:snapToGrid w:val="0"/>
        <w:spacing w:before="156" w:beforeLines="50" w:line="360" w:lineRule="auto"/>
        <w:rPr>
          <w:rFonts w:hint="eastAsia" w:ascii="宋体" w:hAnsi="宋体"/>
          <w:color w:val="auto"/>
          <w:szCs w:val="21"/>
          <w:highlight w:val="none"/>
          <w:u w:val="singl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tbl>
      <w:tblPr>
        <w:tblStyle w:val="2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851"/>
        <w:gridCol w:w="2551"/>
        <w:gridCol w:w="3827"/>
        <w:gridCol w:w="1048"/>
      </w:tblGrid>
      <w:tr w14:paraId="6866B3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noWrap w:val="0"/>
            <w:vAlign w:val="center"/>
          </w:tcPr>
          <w:p w14:paraId="15532EBB">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bCs/>
                <w:color w:val="auto"/>
                <w:szCs w:val="21"/>
                <w:highlight w:val="none"/>
              </w:rPr>
              <w:t>序</w:t>
            </w:r>
            <w:r>
              <w:rPr>
                <w:rFonts w:hint="eastAsia" w:ascii="宋体" w:hAnsi="宋体" w:eastAsia="宋体" w:cs="Times New Roman"/>
                <w:color w:val="auto"/>
                <w:szCs w:val="21"/>
                <w:highlight w:val="none"/>
              </w:rPr>
              <w:t>号</w:t>
            </w:r>
          </w:p>
        </w:tc>
        <w:tc>
          <w:tcPr>
            <w:tcW w:w="851" w:type="dxa"/>
            <w:noWrap w:val="0"/>
            <w:vAlign w:val="center"/>
          </w:tcPr>
          <w:p w14:paraId="04887E1E">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招标文件章节</w:t>
            </w:r>
            <w:r>
              <w:rPr>
                <w:rFonts w:hint="eastAsia" w:ascii="宋体" w:hAnsi="宋体" w:eastAsia="宋体" w:cs="Times New Roman"/>
                <w:bCs/>
                <w:color w:val="auto"/>
                <w:szCs w:val="21"/>
                <w:highlight w:val="none"/>
              </w:rPr>
              <w:t>条</w:t>
            </w:r>
            <w:r>
              <w:rPr>
                <w:rFonts w:hint="eastAsia" w:ascii="宋体" w:hAnsi="宋体" w:eastAsia="宋体" w:cs="Times New Roman"/>
                <w:color w:val="auto"/>
                <w:szCs w:val="21"/>
                <w:highlight w:val="none"/>
              </w:rPr>
              <w:t>款号</w:t>
            </w:r>
          </w:p>
        </w:tc>
        <w:tc>
          <w:tcPr>
            <w:tcW w:w="2551" w:type="dxa"/>
            <w:tcBorders>
              <w:right w:val="single" w:color="auto" w:sz="4" w:space="0"/>
            </w:tcBorders>
            <w:noWrap w:val="0"/>
            <w:vAlign w:val="top"/>
          </w:tcPr>
          <w:p w14:paraId="21BBDB32">
            <w:pPr>
              <w:adjustRightInd w:val="0"/>
              <w:snapToGrid w:val="0"/>
              <w:spacing w:before="50" w:line="360" w:lineRule="auto"/>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招标文件要求</w:t>
            </w:r>
          </w:p>
        </w:tc>
        <w:tc>
          <w:tcPr>
            <w:tcW w:w="3827" w:type="dxa"/>
            <w:tcBorders>
              <w:left w:val="single" w:color="auto" w:sz="4" w:space="0"/>
            </w:tcBorders>
            <w:noWrap w:val="0"/>
            <w:vAlign w:val="top"/>
          </w:tcPr>
          <w:p w14:paraId="3E33CC0A">
            <w:pPr>
              <w:adjustRightInd w:val="0"/>
              <w:snapToGrid w:val="0"/>
              <w:spacing w:before="50" w:line="360" w:lineRule="auto"/>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投标文件应答</w:t>
            </w:r>
          </w:p>
        </w:tc>
        <w:tc>
          <w:tcPr>
            <w:tcW w:w="1048" w:type="dxa"/>
            <w:noWrap w:val="0"/>
            <w:vAlign w:val="center"/>
          </w:tcPr>
          <w:p w14:paraId="39E477B2">
            <w:pPr>
              <w:adjustRightInd w:val="0"/>
              <w:snapToGrid w:val="0"/>
              <w:spacing w:before="50" w:line="360" w:lineRule="auto"/>
              <w:ind w:left="-88" w:leftChars="-42"/>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偏离说明</w:t>
            </w:r>
          </w:p>
        </w:tc>
      </w:tr>
      <w:tr w14:paraId="1E327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4FAC2538">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22C05E34">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1D02D340">
            <w:pPr>
              <w:snapToGrid w:val="0"/>
              <w:ind w:left="92" w:leftChars="44"/>
              <w:jc w:val="center"/>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见第五章采购需求条款。</w:t>
            </w:r>
          </w:p>
        </w:tc>
        <w:tc>
          <w:tcPr>
            <w:tcW w:w="3827" w:type="dxa"/>
            <w:tcBorders>
              <w:left w:val="single" w:color="auto" w:sz="4" w:space="0"/>
            </w:tcBorders>
            <w:noWrap w:val="0"/>
            <w:vAlign w:val="center"/>
          </w:tcPr>
          <w:p w14:paraId="22D1F9EC">
            <w:pPr>
              <w:snapToGrid w:val="0"/>
              <w:ind w:left="111" w:leftChars="53"/>
              <w:jc w:val="left"/>
              <w:textAlignment w:val="baseline"/>
              <w:rPr>
                <w:rFonts w:ascii="宋体" w:hAnsi="宋体" w:eastAsia="宋体" w:cs="Times New Roman"/>
                <w:color w:val="auto"/>
                <w:sz w:val="20"/>
                <w:szCs w:val="21"/>
                <w:highlight w:val="none"/>
              </w:rPr>
            </w:pPr>
            <w:r>
              <w:rPr>
                <w:rFonts w:hint="eastAsia" w:ascii="宋体" w:hAnsi="宋体" w:eastAsia="宋体" w:cs="Times New Roman"/>
                <w:color w:val="auto"/>
                <w:szCs w:val="21"/>
                <w:highlight w:val="none"/>
              </w:rPr>
              <w:t>投标人如果对招标文件第五章“采购需求”有偏离的，应将偏离条款逐条如实应答，并作出说明；</w:t>
            </w:r>
          </w:p>
        </w:tc>
        <w:tc>
          <w:tcPr>
            <w:tcW w:w="1048" w:type="dxa"/>
            <w:noWrap w:val="0"/>
            <w:vAlign w:val="center"/>
          </w:tcPr>
          <w:p w14:paraId="0102F094">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799AE3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71963FA6">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06234062">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3E5EB0C5">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827" w:type="dxa"/>
            <w:tcBorders>
              <w:left w:val="single" w:color="auto" w:sz="4" w:space="0"/>
            </w:tcBorders>
            <w:noWrap w:val="0"/>
            <w:vAlign w:val="center"/>
          </w:tcPr>
          <w:p w14:paraId="18DCF346">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8" w:type="dxa"/>
            <w:noWrap w:val="0"/>
            <w:vAlign w:val="center"/>
          </w:tcPr>
          <w:p w14:paraId="3CFA5C8D">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170486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76385BC0">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6B2BF233">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4B96D7CD">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827" w:type="dxa"/>
            <w:tcBorders>
              <w:left w:val="single" w:color="auto" w:sz="4" w:space="0"/>
            </w:tcBorders>
            <w:noWrap w:val="0"/>
            <w:vAlign w:val="center"/>
          </w:tcPr>
          <w:p w14:paraId="711168AE">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8" w:type="dxa"/>
            <w:noWrap w:val="0"/>
            <w:vAlign w:val="center"/>
          </w:tcPr>
          <w:p w14:paraId="76DD431D">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6CC7A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354151A2">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7374BD0B">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3B09713D">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827" w:type="dxa"/>
            <w:tcBorders>
              <w:left w:val="single" w:color="auto" w:sz="4" w:space="0"/>
            </w:tcBorders>
            <w:noWrap w:val="0"/>
            <w:vAlign w:val="center"/>
          </w:tcPr>
          <w:p w14:paraId="676C3501">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8" w:type="dxa"/>
            <w:noWrap w:val="0"/>
            <w:vAlign w:val="center"/>
          </w:tcPr>
          <w:p w14:paraId="1E0C031D">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7F6E37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6EC9C57D">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0A044CA4">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02C71183">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3827" w:type="dxa"/>
            <w:tcBorders>
              <w:left w:val="single" w:color="auto" w:sz="4" w:space="0"/>
            </w:tcBorders>
            <w:noWrap w:val="0"/>
            <w:vAlign w:val="center"/>
          </w:tcPr>
          <w:p w14:paraId="00FF48AB">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1048" w:type="dxa"/>
            <w:noWrap w:val="0"/>
            <w:vAlign w:val="center"/>
          </w:tcPr>
          <w:p w14:paraId="4BA7DA1F">
            <w:pPr>
              <w:adjustRightInd w:val="0"/>
              <w:snapToGrid w:val="0"/>
              <w:spacing w:before="50" w:line="360" w:lineRule="auto"/>
              <w:ind w:left="-88" w:leftChars="-42"/>
              <w:jc w:val="center"/>
              <w:rPr>
                <w:rFonts w:ascii="宋体" w:hAnsi="宋体" w:eastAsia="宋体" w:cs="Times New Roman"/>
                <w:color w:val="auto"/>
                <w:szCs w:val="21"/>
                <w:highlight w:val="none"/>
              </w:rPr>
            </w:pPr>
          </w:p>
        </w:tc>
      </w:tr>
      <w:tr w14:paraId="0A0631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129F0DBE">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851" w:type="dxa"/>
            <w:noWrap w:val="0"/>
            <w:vAlign w:val="center"/>
          </w:tcPr>
          <w:p w14:paraId="09A795A7">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2551" w:type="dxa"/>
            <w:tcBorders>
              <w:right w:val="single" w:color="auto" w:sz="4" w:space="0"/>
            </w:tcBorders>
            <w:noWrap w:val="0"/>
            <w:vAlign w:val="center"/>
          </w:tcPr>
          <w:p w14:paraId="47607E41">
            <w:pPr>
              <w:adjustRightInd w:val="0"/>
              <w:snapToGrid w:val="0"/>
              <w:spacing w:before="50" w:line="360" w:lineRule="auto"/>
              <w:ind w:left="-88" w:leftChars="-42"/>
              <w:jc w:val="center"/>
              <w:rPr>
                <w:rFonts w:ascii="宋体" w:hAnsi="宋体" w:eastAsia="宋体" w:cs="Times New Roman"/>
                <w:color w:val="auto"/>
                <w:szCs w:val="21"/>
                <w:highlight w:val="none"/>
              </w:rPr>
            </w:pPr>
          </w:p>
        </w:tc>
        <w:tc>
          <w:tcPr>
            <w:tcW w:w="4875" w:type="dxa"/>
            <w:gridSpan w:val="2"/>
            <w:tcBorders>
              <w:left w:val="single" w:color="auto" w:sz="4" w:space="0"/>
            </w:tcBorders>
            <w:noWrap w:val="0"/>
            <w:vAlign w:val="center"/>
          </w:tcPr>
          <w:p w14:paraId="0534A415">
            <w:pPr>
              <w:adjustRightInd w:val="0"/>
              <w:snapToGrid w:val="0"/>
              <w:spacing w:before="50" w:line="360" w:lineRule="auto"/>
              <w:ind w:firstLine="422" w:firstLineChars="200"/>
              <w:rPr>
                <w:rFonts w:ascii="宋体" w:hAnsi="宋体" w:eastAsia="宋体" w:cs="Times New Roman"/>
                <w:color w:val="auto"/>
                <w:szCs w:val="21"/>
                <w:highlight w:val="none"/>
              </w:rPr>
            </w:pPr>
            <w:r>
              <w:rPr>
                <w:rFonts w:hint="eastAsia" w:ascii="宋体" w:hAnsi="宋体" w:eastAsia="宋体" w:cs="Times New Roman"/>
                <w:b/>
                <w:color w:val="auto"/>
                <w:szCs w:val="21"/>
                <w:highlight w:val="none"/>
              </w:rPr>
              <w:t>投标人保证：除本采购需求偏离表列出的偏离外，我单位对招标文件的其他采购需求条款完全响应，无偏离。</w:t>
            </w:r>
          </w:p>
        </w:tc>
      </w:tr>
    </w:tbl>
    <w:p w14:paraId="44DCF9E5">
      <w:pPr>
        <w:adjustRightInd w:val="0"/>
        <w:snapToGrid w:val="0"/>
        <w:spacing w:before="50" w:line="360" w:lineRule="auto"/>
        <w:ind w:left="-88" w:leftChars="-42"/>
        <w:rPr>
          <w:rFonts w:ascii="宋体" w:hAnsi="宋体"/>
          <w:color w:val="auto"/>
          <w:szCs w:val="21"/>
          <w:highlight w:val="none"/>
        </w:rPr>
      </w:pPr>
      <w:r>
        <w:rPr>
          <w:rFonts w:hint="eastAsia" w:ascii="宋体" w:hAnsi="宋体"/>
          <w:bCs/>
          <w:color w:val="auto"/>
          <w:szCs w:val="21"/>
          <w:highlight w:val="none"/>
        </w:rPr>
        <w:t>注：</w:t>
      </w:r>
      <w:r>
        <w:rPr>
          <w:rFonts w:hint="eastAsia" w:ascii="宋体" w:hAnsi="宋体"/>
          <w:color w:val="auto"/>
          <w:szCs w:val="21"/>
          <w:highlight w:val="none"/>
        </w:rPr>
        <w:t>1.投标人应根据招标文件第五章“采购需求”填写本表；</w:t>
      </w:r>
    </w:p>
    <w:p w14:paraId="0A0AF814">
      <w:pPr>
        <w:adjustRightInd w:val="0"/>
        <w:snapToGrid w:val="0"/>
        <w:spacing w:before="50" w:line="360" w:lineRule="auto"/>
        <w:ind w:left="-88" w:leftChars="-42" w:firstLine="42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投标人如果对招标文件第五章“采购需求”的响应有偏离，应将偏离条款逐条如实应答，并作出说明；</w:t>
      </w:r>
    </w:p>
    <w:p w14:paraId="3BB2ED59">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3.如不提供此表，则视为投标人不满足招标文件第五章的所有条款要求，其</w:t>
      </w:r>
      <w:r>
        <w:rPr>
          <w:rFonts w:hint="eastAsia" w:ascii="宋体" w:hAnsi="宋体"/>
          <w:b/>
          <w:color w:val="auto"/>
          <w:szCs w:val="21"/>
          <w:highlight w:val="none"/>
        </w:rPr>
        <w:t>投标无效</w:t>
      </w:r>
      <w:r>
        <w:rPr>
          <w:rFonts w:hint="eastAsia" w:ascii="宋体" w:hAnsi="宋体"/>
          <w:color w:val="auto"/>
          <w:szCs w:val="21"/>
          <w:highlight w:val="none"/>
        </w:rPr>
        <w:t>。</w:t>
      </w:r>
    </w:p>
    <w:p w14:paraId="50CB6C98">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7EEF2B40">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5.本表偏离表与本章第七节“采购需求响应”不一致时，以“采购需求响应”为准。</w:t>
      </w:r>
    </w:p>
    <w:p w14:paraId="18020C0D">
      <w:pPr>
        <w:adjustRightInd w:val="0"/>
        <w:snapToGrid w:val="0"/>
        <w:spacing w:before="50" w:line="360" w:lineRule="auto"/>
        <w:rPr>
          <w:rFonts w:hint="eastAsia" w:ascii="宋体" w:hAnsi="宋体"/>
          <w:color w:val="auto"/>
          <w:szCs w:val="21"/>
          <w:highlight w:val="none"/>
        </w:rPr>
      </w:pPr>
    </w:p>
    <w:p w14:paraId="6FCD8E2A">
      <w:pPr>
        <w:adjustRightInd w:val="0"/>
        <w:snapToGrid w:val="0"/>
        <w:spacing w:before="50" w:line="360" w:lineRule="auto"/>
        <w:rPr>
          <w:rFonts w:hint="eastAsia" w:ascii="宋体" w:hAnsi="宋体"/>
          <w:color w:val="auto"/>
          <w:szCs w:val="21"/>
          <w:highlight w:val="none"/>
        </w:rPr>
      </w:pPr>
      <w:r>
        <w:rPr>
          <w:rFonts w:hint="eastAsia" w:ascii="宋体" w:hAnsi="宋体"/>
          <w:color w:val="auto"/>
          <w:szCs w:val="21"/>
          <w:highlight w:val="none"/>
        </w:rPr>
        <w:t>投标人名称（盖单位章）：</w:t>
      </w:r>
      <w:r>
        <w:rPr>
          <w:rFonts w:hint="eastAsia" w:ascii="宋体" w:hAnsi="宋体"/>
          <w:color w:val="auto"/>
          <w:szCs w:val="21"/>
          <w:highlight w:val="none"/>
          <w:u w:val="single"/>
        </w:rPr>
        <w:t xml:space="preserve">                     </w:t>
      </w:r>
    </w:p>
    <w:p w14:paraId="13188775">
      <w:pPr>
        <w:adjustRightInd w:val="0"/>
        <w:snapToGrid w:val="0"/>
        <w:spacing w:before="50"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0F4446AE">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4FA7FCF">
      <w:pPr>
        <w:pStyle w:val="6"/>
        <w:adjustRightInd w:val="0"/>
        <w:snapToGrid w:val="0"/>
        <w:spacing w:before="0" w:after="0" w:line="360" w:lineRule="auto"/>
        <w:rPr>
          <w:rFonts w:ascii="宋体" w:hAnsi="宋体"/>
          <w:color w:val="auto"/>
          <w:szCs w:val="21"/>
          <w:highlight w:val="none"/>
        </w:rPr>
        <w:sectPr>
          <w:pgSz w:w="11906" w:h="16838"/>
          <w:pgMar w:top="1474" w:right="1474" w:bottom="1474" w:left="147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5F3BB44C">
      <w:pPr>
        <w:pStyle w:val="6"/>
        <w:adjustRightInd w:val="0"/>
        <w:snapToGrid w:val="0"/>
        <w:spacing w:before="0" w:after="0" w:line="360" w:lineRule="auto"/>
        <w:jc w:val="center"/>
        <w:rPr>
          <w:rFonts w:hint="eastAsia" w:ascii="黑体" w:hAnsi="宋体" w:eastAsia="黑体"/>
          <w:color w:val="auto"/>
          <w:sz w:val="28"/>
          <w:szCs w:val="28"/>
          <w:highlight w:val="none"/>
        </w:rPr>
      </w:pPr>
      <w:bookmarkStart w:id="108" w:name="_Toc5232"/>
      <w:r>
        <w:rPr>
          <w:rFonts w:hint="eastAsia" w:ascii="宋体" w:hAnsi="宋体"/>
          <w:color w:val="auto"/>
          <w:szCs w:val="21"/>
          <w:highlight w:val="none"/>
        </w:rPr>
        <w:t>九</w:t>
      </w:r>
      <w:r>
        <w:rPr>
          <w:rFonts w:hint="eastAsia" w:ascii="黑体" w:hAnsi="宋体" w:eastAsia="黑体"/>
          <w:color w:val="auto"/>
          <w:sz w:val="28"/>
          <w:szCs w:val="28"/>
          <w:highlight w:val="none"/>
        </w:rPr>
        <w:t>、享受政府采购政策优惠的证明资料</w:t>
      </w:r>
      <w:bookmarkEnd w:id="108"/>
    </w:p>
    <w:p w14:paraId="635D549A">
      <w:pPr>
        <w:adjustRightInd w:val="0"/>
        <w:snapToGrid w:val="0"/>
        <w:ind w:firstLine="444" w:firstLineChars="200"/>
        <w:rPr>
          <w:rFonts w:hint="eastAsia" w:ascii="宋体" w:hAnsi="宋体" w:cs="宋体"/>
          <w:bCs/>
          <w:color w:val="auto"/>
          <w:spacing w:val="6"/>
          <w:kern w:val="0"/>
          <w:szCs w:val="21"/>
          <w:highlight w:val="none"/>
        </w:rPr>
      </w:pPr>
      <w:r>
        <w:rPr>
          <w:rFonts w:hint="eastAsia" w:ascii="宋体" w:hAnsi="宋体" w:cs="宋体"/>
          <w:bCs/>
          <w:color w:val="auto"/>
          <w:spacing w:val="6"/>
          <w:kern w:val="0"/>
          <w:szCs w:val="21"/>
          <w:highlight w:val="none"/>
        </w:rPr>
        <w:t>投标人符合第二章第33.6款要求的，应提供下列证明资料，并填写相关数据。否则，评审时不予以考虑。</w:t>
      </w:r>
    </w:p>
    <w:p w14:paraId="07AE3CE9">
      <w:pPr>
        <w:pStyle w:val="7"/>
        <w:spacing w:line="240" w:lineRule="auto"/>
        <w:rPr>
          <w:rFonts w:ascii="黑体" w:hAnsi="宋体"/>
          <w:b w:val="0"/>
          <w:bCs w:val="0"/>
          <w:color w:val="auto"/>
          <w:sz w:val="21"/>
          <w:szCs w:val="21"/>
          <w:highlight w:val="none"/>
        </w:rPr>
      </w:pPr>
      <w:bookmarkStart w:id="109" w:name="_Toc5168"/>
      <w:r>
        <w:rPr>
          <w:rFonts w:hint="eastAsia" w:ascii="黑体" w:hAnsi="华文中宋" w:cs="宋体"/>
          <w:b w:val="0"/>
          <w:bCs w:val="0"/>
          <w:color w:val="auto"/>
          <w:spacing w:val="6"/>
          <w:kern w:val="0"/>
          <w:sz w:val="21"/>
          <w:szCs w:val="21"/>
          <w:highlight w:val="none"/>
        </w:rPr>
        <w:t>附件</w:t>
      </w:r>
      <w:r>
        <w:rPr>
          <w:rFonts w:ascii="黑体" w:hAnsi="华文中宋" w:cs="宋体"/>
          <w:b w:val="0"/>
          <w:bCs w:val="0"/>
          <w:color w:val="auto"/>
          <w:spacing w:val="6"/>
          <w:kern w:val="0"/>
          <w:sz w:val="21"/>
          <w:szCs w:val="21"/>
          <w:highlight w:val="none"/>
        </w:rPr>
        <w:t>9</w:t>
      </w:r>
      <w:r>
        <w:rPr>
          <w:rFonts w:hint="eastAsia" w:ascii="黑体" w:hAnsi="华文中宋" w:cs="宋体"/>
          <w:b w:val="0"/>
          <w:bCs w:val="0"/>
          <w:color w:val="auto"/>
          <w:spacing w:val="6"/>
          <w:kern w:val="0"/>
          <w:sz w:val="21"/>
          <w:szCs w:val="21"/>
          <w:highlight w:val="none"/>
        </w:rPr>
        <w:t xml:space="preserve">-1 </w:t>
      </w:r>
      <w:r>
        <w:rPr>
          <w:rFonts w:hint="eastAsia" w:ascii="黑体" w:hAnsi="宋体"/>
          <w:b w:val="0"/>
          <w:bCs w:val="0"/>
          <w:color w:val="auto"/>
          <w:sz w:val="21"/>
          <w:szCs w:val="21"/>
          <w:highlight w:val="none"/>
        </w:rPr>
        <w:t>中小企业声明函</w:t>
      </w:r>
      <w:bookmarkEnd w:id="109"/>
    </w:p>
    <w:p w14:paraId="2C819DB9">
      <w:pPr>
        <w:widowControl/>
        <w:adjustRightInd w:val="0"/>
        <w:snapToGrid w:val="0"/>
        <w:spacing w:line="360" w:lineRule="auto"/>
        <w:jc w:val="center"/>
        <w:rPr>
          <w:rFonts w:ascii="黑体" w:hAnsi="黑体" w:eastAsia="黑体" w:cs="宋体"/>
          <w:b/>
          <w:bCs/>
          <w:color w:val="auto"/>
          <w:spacing w:val="6"/>
          <w:kern w:val="0"/>
          <w:sz w:val="28"/>
          <w:szCs w:val="28"/>
          <w:highlight w:val="none"/>
        </w:rPr>
      </w:pPr>
      <w:r>
        <w:rPr>
          <w:rFonts w:hint="eastAsia" w:ascii="黑体" w:hAnsi="黑体" w:eastAsia="黑体" w:cs="黑体"/>
          <w:b/>
          <w:bCs/>
          <w:color w:val="auto"/>
          <w:spacing w:val="6"/>
          <w:kern w:val="0"/>
          <w:sz w:val="28"/>
          <w:szCs w:val="28"/>
          <w:highlight w:val="none"/>
        </w:rPr>
        <w:t>中小企业声明函（服务类）</w:t>
      </w:r>
    </w:p>
    <w:p w14:paraId="1F7C3E3A">
      <w:pPr>
        <w:widowControl/>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lang w:bidi="ar"/>
        </w:rPr>
        <w:t>本公司（联合体）参加</w:t>
      </w:r>
      <w:r>
        <w:rPr>
          <w:rFonts w:hint="eastAsia" w:ascii="宋体" w:hAnsi="宋体" w:cs="宋体"/>
          <w:color w:val="auto"/>
          <w:kern w:val="0"/>
          <w:szCs w:val="21"/>
          <w:highlight w:val="none"/>
          <w:u w:val="single"/>
          <w:lang w:bidi="ar"/>
        </w:rPr>
        <w:t>（单位名称）</w:t>
      </w:r>
      <w:r>
        <w:rPr>
          <w:rFonts w:hint="eastAsia" w:ascii="宋体" w:hAnsi="宋体" w:cs="宋体"/>
          <w:color w:val="auto"/>
          <w:kern w:val="0"/>
          <w:szCs w:val="21"/>
          <w:highlight w:val="none"/>
          <w:lang w:bidi="ar"/>
        </w:rPr>
        <w:t>的</w:t>
      </w:r>
      <w:r>
        <w:rPr>
          <w:rFonts w:hint="eastAsia" w:ascii="宋体" w:hAnsi="宋体" w:cs="宋体"/>
          <w:color w:val="auto"/>
          <w:kern w:val="0"/>
          <w:szCs w:val="21"/>
          <w:highlight w:val="none"/>
          <w:u w:val="single"/>
          <w:lang w:bidi="ar"/>
        </w:rPr>
        <w:t>（项目名称）</w:t>
      </w:r>
      <w:r>
        <w:rPr>
          <w:rFonts w:hint="eastAsia" w:ascii="宋体" w:hAnsi="宋体" w:cs="宋体"/>
          <w:color w:val="auto"/>
          <w:kern w:val="0"/>
          <w:szCs w:val="21"/>
          <w:highlight w:val="none"/>
          <w:lang w:bidi="ar"/>
        </w:rPr>
        <w:t xml:space="preserve">采购活动，根据《政府采购促进中小企业发展管理办法》（财库﹝2020﹞46 号）的规定，本公司（联合体）郑重声明，为本项目提供服务的由符合政策要求的中小企业提供。具体情况如下： </w:t>
      </w:r>
    </w:p>
    <w:p w14:paraId="218DC6E4">
      <w:pPr>
        <w:widowControl/>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lang w:bidi="ar"/>
        </w:rPr>
        <w:t xml:space="preserve">1. </w:t>
      </w:r>
      <w:r>
        <w:rPr>
          <w:rFonts w:hint="eastAsia" w:ascii="宋体" w:hAnsi="宋体" w:cs="宋体"/>
          <w:color w:val="auto"/>
          <w:kern w:val="0"/>
          <w:szCs w:val="21"/>
          <w:highlight w:val="none"/>
          <w:u w:val="single"/>
          <w:lang w:bidi="ar"/>
        </w:rPr>
        <w:t xml:space="preserve">（标的名称） </w:t>
      </w:r>
      <w:r>
        <w:rPr>
          <w:rFonts w:hint="eastAsia" w:ascii="宋体" w:hAnsi="宋体" w:cs="宋体"/>
          <w:color w:val="auto"/>
          <w:kern w:val="0"/>
          <w:szCs w:val="21"/>
          <w:highlight w:val="none"/>
          <w:lang w:bidi="ar"/>
        </w:rPr>
        <w:t>，属于</w:t>
      </w:r>
      <w:r>
        <w:rPr>
          <w:rFonts w:hint="eastAsia" w:ascii="宋体" w:hAnsi="宋体" w:cs="宋体"/>
          <w:color w:val="auto"/>
          <w:kern w:val="0"/>
          <w:szCs w:val="21"/>
          <w:highlight w:val="none"/>
          <w:u w:val="single"/>
          <w:lang w:val="en-US" w:eastAsia="zh-CN" w:bidi="ar"/>
        </w:rPr>
        <w:t>其他未列明</w:t>
      </w:r>
      <w:r>
        <w:rPr>
          <w:rFonts w:hint="eastAsia" w:ascii="宋体" w:hAnsi="宋体" w:cs="宋体"/>
          <w:color w:val="auto"/>
          <w:kern w:val="0"/>
          <w:szCs w:val="21"/>
          <w:highlight w:val="none"/>
          <w:u w:val="single"/>
          <w:lang w:bidi="ar"/>
        </w:rPr>
        <w:t>行业</w:t>
      </w:r>
      <w:r>
        <w:rPr>
          <w:rFonts w:hint="eastAsia" w:ascii="宋体" w:hAnsi="宋体" w:cs="宋体"/>
          <w:color w:val="auto"/>
          <w:kern w:val="0"/>
          <w:szCs w:val="21"/>
          <w:highlight w:val="none"/>
          <w:lang w:bidi="ar"/>
        </w:rPr>
        <w:t>；投标人（服务商）为</w:t>
      </w:r>
      <w:r>
        <w:rPr>
          <w:rFonts w:hint="eastAsia" w:ascii="宋体" w:hAnsi="宋体" w:cs="宋体"/>
          <w:color w:val="auto"/>
          <w:kern w:val="0"/>
          <w:szCs w:val="21"/>
          <w:highlight w:val="none"/>
          <w:u w:val="single"/>
          <w:lang w:bidi="ar"/>
        </w:rPr>
        <w:t>（企业名称）</w:t>
      </w:r>
      <w:r>
        <w:rPr>
          <w:rFonts w:hint="eastAsia" w:ascii="宋体" w:hAnsi="宋体" w:cs="宋体"/>
          <w:color w:val="auto"/>
          <w:kern w:val="0"/>
          <w:szCs w:val="21"/>
          <w:highlight w:val="none"/>
          <w:lang w:bidi="ar"/>
        </w:rPr>
        <w:t>，从业人员</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人，营业收入为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万元，资产总额为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万元，属于</w:t>
      </w:r>
      <w:r>
        <w:rPr>
          <w:rFonts w:hint="eastAsia" w:ascii="宋体" w:hAnsi="宋体" w:cs="宋体"/>
          <w:color w:val="auto"/>
          <w:kern w:val="0"/>
          <w:szCs w:val="21"/>
          <w:highlight w:val="none"/>
          <w:u w:val="single"/>
          <w:lang w:bidi="ar"/>
        </w:rPr>
        <w:t>（中型企业、小型企业、微型企业）</w:t>
      </w:r>
      <w:r>
        <w:rPr>
          <w:rFonts w:hint="eastAsia" w:ascii="宋体" w:hAnsi="宋体" w:cs="宋体"/>
          <w:color w:val="auto"/>
          <w:kern w:val="0"/>
          <w:szCs w:val="21"/>
          <w:highlight w:val="none"/>
          <w:lang w:bidi="ar"/>
        </w:rPr>
        <w:t xml:space="preserve">； </w:t>
      </w:r>
    </w:p>
    <w:p w14:paraId="774DF730">
      <w:pPr>
        <w:widowControl/>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61B45E6E">
      <w:pPr>
        <w:widowControl/>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lang w:bidi="ar"/>
        </w:rPr>
        <w:t xml:space="preserve">企业名称（盖章）： </w:t>
      </w:r>
    </w:p>
    <w:p w14:paraId="1452589C">
      <w:pPr>
        <w:widowControl/>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lang w:bidi="ar"/>
        </w:rPr>
        <w:t xml:space="preserve">日 期： </w:t>
      </w:r>
    </w:p>
    <w:p w14:paraId="6593BC29">
      <w:pPr>
        <w:widowControl/>
        <w:ind w:firstLine="360" w:firstLineChars="200"/>
        <w:jc w:val="left"/>
        <w:rPr>
          <w:rFonts w:ascii="宋体" w:hAnsi="宋体" w:cs="宋体"/>
          <w:color w:val="auto"/>
          <w:kern w:val="0"/>
          <w:sz w:val="18"/>
          <w:szCs w:val="18"/>
          <w:highlight w:val="none"/>
          <w:lang w:bidi="ar"/>
        </w:rPr>
      </w:pPr>
    </w:p>
    <w:p w14:paraId="2A825BDB">
      <w:pPr>
        <w:widowControl/>
        <w:ind w:firstLine="420" w:firstLineChars="200"/>
        <w:jc w:val="left"/>
        <w:rPr>
          <w:rFonts w:ascii="黑体" w:hAnsi="华文中宋" w:eastAsia="黑体" w:cs="宋体"/>
          <w:bCs/>
          <w:color w:val="auto"/>
          <w:spacing w:val="6"/>
          <w:kern w:val="0"/>
          <w:szCs w:val="21"/>
          <w:highlight w:val="none"/>
        </w:rPr>
      </w:pPr>
      <w:r>
        <w:rPr>
          <w:rFonts w:hint="eastAsia" w:ascii="宋体" w:hAnsi="宋体" w:cs="宋体"/>
          <w:color w:val="auto"/>
          <w:kern w:val="0"/>
          <w:szCs w:val="21"/>
          <w:highlight w:val="none"/>
          <w:lang w:bidi="ar"/>
        </w:rPr>
        <w:t>注：从业人员、营业收入、资产总额填报上一年度数据，无上一年度数据的新成立企业可不填报。</w:t>
      </w:r>
    </w:p>
    <w:p w14:paraId="4F239ACF">
      <w:pPr>
        <w:pStyle w:val="47"/>
        <w:rPr>
          <w:color w:val="auto"/>
          <w:highlight w:val="none"/>
          <w:lang w:bidi="ar"/>
        </w:rPr>
      </w:pPr>
    </w:p>
    <w:p w14:paraId="3DBD9E7E">
      <w:pPr>
        <w:pStyle w:val="47"/>
        <w:rPr>
          <w:rFonts w:hint="eastAsia"/>
          <w:color w:val="auto"/>
          <w:highlight w:val="none"/>
          <w:lang w:bidi="ar"/>
        </w:rPr>
      </w:pPr>
      <w:r>
        <w:rPr>
          <w:rFonts w:hint="eastAsia"/>
          <w:color w:val="auto"/>
          <w:highlight w:val="none"/>
          <w:lang w:bidi="ar"/>
        </w:rPr>
        <w:t xml:space="preserve"> </w:t>
      </w:r>
    </w:p>
    <w:p w14:paraId="26F33C59">
      <w:pPr>
        <w:pStyle w:val="47"/>
        <w:rPr>
          <w:color w:val="auto"/>
          <w:highlight w:val="none"/>
          <w:lang w:bidi="ar"/>
        </w:rPr>
      </w:pPr>
    </w:p>
    <w:p w14:paraId="1595154B">
      <w:pPr>
        <w:pStyle w:val="47"/>
        <w:rPr>
          <w:color w:val="auto"/>
          <w:highlight w:val="none"/>
          <w:lang w:bidi="ar"/>
        </w:rPr>
      </w:pPr>
    </w:p>
    <w:p w14:paraId="49402B8D">
      <w:pPr>
        <w:pStyle w:val="47"/>
        <w:rPr>
          <w:color w:val="auto"/>
          <w:highlight w:val="none"/>
          <w:lang w:bidi="ar"/>
        </w:rPr>
      </w:pPr>
    </w:p>
    <w:p w14:paraId="6D97C681">
      <w:pPr>
        <w:pStyle w:val="47"/>
        <w:rPr>
          <w:color w:val="auto"/>
          <w:highlight w:val="none"/>
          <w:lang w:bidi="ar"/>
        </w:rPr>
      </w:pPr>
    </w:p>
    <w:p w14:paraId="6B23B12E">
      <w:pPr>
        <w:pStyle w:val="47"/>
        <w:rPr>
          <w:color w:val="auto"/>
          <w:highlight w:val="none"/>
          <w:lang w:bidi="ar"/>
        </w:rPr>
      </w:pPr>
    </w:p>
    <w:p w14:paraId="62DF1135">
      <w:pPr>
        <w:pStyle w:val="47"/>
        <w:rPr>
          <w:rFonts w:hint="eastAsia"/>
          <w:color w:val="auto"/>
          <w:highlight w:val="none"/>
          <w:lang w:bidi="ar"/>
        </w:rPr>
      </w:pPr>
    </w:p>
    <w:p w14:paraId="6782C745">
      <w:pPr>
        <w:pStyle w:val="7"/>
        <w:rPr>
          <w:rFonts w:ascii="黑体" w:hAnsi="黑体"/>
          <w:b w:val="0"/>
          <w:bCs w:val="0"/>
          <w:color w:val="auto"/>
          <w:sz w:val="21"/>
          <w:szCs w:val="21"/>
          <w:highlight w:val="none"/>
        </w:rPr>
      </w:pPr>
      <w:bookmarkStart w:id="110" w:name="_Toc82155492"/>
      <w:bookmarkStart w:id="111" w:name="_Toc62206227"/>
      <w:bookmarkStart w:id="112" w:name="_Toc22201164"/>
      <w:r>
        <w:rPr>
          <w:rFonts w:hint="eastAsia" w:ascii="黑体" w:hAnsi="黑体" w:cs="宋体"/>
          <w:b w:val="0"/>
          <w:bCs w:val="0"/>
          <w:color w:val="auto"/>
          <w:kern w:val="0"/>
          <w:sz w:val="21"/>
          <w:szCs w:val="21"/>
          <w:highlight w:val="none"/>
        </w:rPr>
        <w:br w:type="page"/>
      </w:r>
      <w:bookmarkStart w:id="113" w:name="_Toc31413"/>
      <w:r>
        <w:rPr>
          <w:rFonts w:hint="eastAsia" w:ascii="黑体" w:hAnsi="黑体" w:cs="宋体"/>
          <w:b w:val="0"/>
          <w:bCs w:val="0"/>
          <w:color w:val="auto"/>
          <w:kern w:val="0"/>
          <w:sz w:val="21"/>
          <w:szCs w:val="21"/>
          <w:highlight w:val="none"/>
        </w:rPr>
        <w:t>附件</w:t>
      </w:r>
      <w:r>
        <w:rPr>
          <w:rFonts w:ascii="黑体" w:hAnsi="黑体" w:cs="宋体"/>
          <w:b w:val="0"/>
          <w:bCs w:val="0"/>
          <w:color w:val="auto"/>
          <w:kern w:val="0"/>
          <w:sz w:val="21"/>
          <w:szCs w:val="21"/>
          <w:highlight w:val="none"/>
        </w:rPr>
        <w:t>9</w:t>
      </w:r>
      <w:r>
        <w:rPr>
          <w:rFonts w:hint="eastAsia" w:ascii="黑体" w:hAnsi="黑体" w:cs="宋体"/>
          <w:b w:val="0"/>
          <w:bCs w:val="0"/>
          <w:color w:val="auto"/>
          <w:kern w:val="0"/>
          <w:sz w:val="21"/>
          <w:szCs w:val="21"/>
          <w:highlight w:val="none"/>
        </w:rPr>
        <w:t xml:space="preserve">-2 </w:t>
      </w:r>
      <w:r>
        <w:rPr>
          <w:rFonts w:hint="eastAsia" w:ascii="黑体" w:hAnsi="黑体"/>
          <w:b w:val="0"/>
          <w:bCs w:val="0"/>
          <w:color w:val="auto"/>
          <w:sz w:val="21"/>
          <w:szCs w:val="21"/>
          <w:highlight w:val="none"/>
        </w:rPr>
        <w:t>残疾人福利性单位声明函</w:t>
      </w:r>
      <w:bookmarkEnd w:id="110"/>
      <w:bookmarkEnd w:id="111"/>
      <w:bookmarkEnd w:id="112"/>
      <w:bookmarkEnd w:id="113"/>
    </w:p>
    <w:p w14:paraId="4372A639">
      <w:pPr>
        <w:adjustRightInd w:val="0"/>
        <w:snapToGrid w:val="0"/>
        <w:spacing w:line="360" w:lineRule="auto"/>
        <w:jc w:val="center"/>
        <w:rPr>
          <w:rFonts w:ascii="黑体" w:hAnsi="黑体" w:eastAsia="黑体"/>
          <w:b/>
          <w:color w:val="auto"/>
          <w:spacing w:val="6"/>
          <w:sz w:val="28"/>
          <w:szCs w:val="28"/>
          <w:highlight w:val="none"/>
        </w:rPr>
      </w:pPr>
      <w:r>
        <w:rPr>
          <w:rFonts w:hint="eastAsia" w:ascii="黑体" w:hAnsi="黑体" w:eastAsia="黑体"/>
          <w:b/>
          <w:color w:val="auto"/>
          <w:spacing w:val="6"/>
          <w:sz w:val="28"/>
          <w:szCs w:val="28"/>
          <w:highlight w:val="none"/>
        </w:rPr>
        <w:t>残疾人福利性单位声明函</w:t>
      </w:r>
    </w:p>
    <w:p w14:paraId="4640E8D9">
      <w:pPr>
        <w:adjustRightInd w:val="0"/>
        <w:snapToGrid w:val="0"/>
        <w:spacing w:line="360" w:lineRule="auto"/>
        <w:ind w:firstLine="446" w:firstLineChars="200"/>
        <w:rPr>
          <w:rFonts w:ascii="宋体" w:hAnsi="宋体"/>
          <w:b/>
          <w:color w:val="auto"/>
          <w:spacing w:val="6"/>
          <w:szCs w:val="21"/>
          <w:highlight w:val="none"/>
        </w:rPr>
      </w:pPr>
    </w:p>
    <w:p w14:paraId="5649C4AC">
      <w:pPr>
        <w:adjustRightInd w:val="0"/>
        <w:snapToGrid w:val="0"/>
        <w:spacing w:line="360" w:lineRule="auto"/>
        <w:ind w:firstLine="504" w:firstLineChars="200"/>
        <w:rPr>
          <w:rFonts w:ascii="宋体" w:hAnsi="宋体"/>
          <w:color w:val="auto"/>
          <w:spacing w:val="6"/>
          <w:sz w:val="24"/>
          <w:highlight w:val="none"/>
        </w:rPr>
      </w:pPr>
      <w:r>
        <w:rPr>
          <w:rFonts w:hint="eastAsia" w:ascii="宋体" w:hAnsi="宋体"/>
          <w:color w:val="auto"/>
          <w:spacing w:val="6"/>
          <w:sz w:val="24"/>
          <w:highlight w:val="none"/>
        </w:rPr>
        <w:t>本单位郑重声明，根据《财政部民政部中国残疾人联合会关于促进残疾人就业政府采购政策的通知》（财库</w:t>
      </w:r>
      <w:r>
        <w:rPr>
          <w:rFonts w:hint="eastAsia" w:ascii="宋体" w:hAnsi="宋体"/>
          <w:color w:val="auto"/>
          <w:sz w:val="24"/>
          <w:highlight w:val="none"/>
        </w:rPr>
        <w:t>〔2017〕141</w:t>
      </w:r>
      <w:r>
        <w:rPr>
          <w:rFonts w:hint="eastAsia" w:ascii="宋体" w:hAnsi="宋体"/>
          <w:color w:val="auto"/>
          <w:spacing w:val="6"/>
          <w:sz w:val="24"/>
          <w:highlight w:val="none"/>
        </w:rPr>
        <w:t>号）的规定，本单位为符合条件的残疾人福利性单位，且本单位参加</w:t>
      </w:r>
      <w:r>
        <w:rPr>
          <w:rFonts w:hint="eastAsia" w:ascii="宋体" w:hAnsi="宋体"/>
          <w:color w:val="auto"/>
          <w:spacing w:val="6"/>
          <w:sz w:val="24"/>
          <w:highlight w:val="none"/>
          <w:u w:val="single"/>
        </w:rPr>
        <w:t xml:space="preserve">       </w:t>
      </w:r>
      <w:r>
        <w:rPr>
          <w:rFonts w:hint="eastAsia" w:ascii="宋体" w:hAnsi="宋体"/>
          <w:color w:val="auto"/>
          <w:spacing w:val="6"/>
          <w:sz w:val="24"/>
          <w:highlight w:val="none"/>
        </w:rPr>
        <w:t>单位的</w:t>
      </w:r>
      <w:r>
        <w:rPr>
          <w:rFonts w:hint="eastAsia" w:ascii="宋体" w:hAnsi="宋体"/>
          <w:color w:val="auto"/>
          <w:spacing w:val="6"/>
          <w:sz w:val="24"/>
          <w:highlight w:val="none"/>
          <w:u w:val="single"/>
        </w:rPr>
        <w:t xml:space="preserve">        </w:t>
      </w:r>
      <w:r>
        <w:rPr>
          <w:rFonts w:hint="eastAsia" w:ascii="宋体" w:hAnsi="宋体"/>
          <w:color w:val="auto"/>
          <w:spacing w:val="6"/>
          <w:sz w:val="24"/>
          <w:highlight w:val="none"/>
        </w:rPr>
        <w:t>项目采购活动由本单位承担工程/提供服务）。</w:t>
      </w:r>
    </w:p>
    <w:p w14:paraId="487E7649">
      <w:pPr>
        <w:adjustRightInd w:val="0"/>
        <w:snapToGrid w:val="0"/>
        <w:spacing w:line="360" w:lineRule="auto"/>
        <w:ind w:firstLine="504" w:firstLineChars="200"/>
        <w:rPr>
          <w:rFonts w:ascii="宋体" w:hAnsi="宋体"/>
          <w:color w:val="auto"/>
          <w:spacing w:val="6"/>
          <w:sz w:val="24"/>
          <w:highlight w:val="none"/>
        </w:rPr>
      </w:pPr>
      <w:r>
        <w:rPr>
          <w:rFonts w:hint="eastAsia" w:ascii="宋体" w:hAnsi="宋体"/>
          <w:color w:val="auto"/>
          <w:spacing w:val="6"/>
          <w:sz w:val="24"/>
          <w:highlight w:val="none"/>
        </w:rPr>
        <w:t>本单位对上述声明的真实性负责。如有虚假，将依法承担相应责任。</w:t>
      </w:r>
    </w:p>
    <w:p w14:paraId="22F603A4">
      <w:pPr>
        <w:adjustRightInd w:val="0"/>
        <w:snapToGrid w:val="0"/>
        <w:spacing w:line="360" w:lineRule="auto"/>
        <w:ind w:firstLine="504" w:firstLineChars="200"/>
        <w:rPr>
          <w:rFonts w:ascii="宋体" w:hAnsi="宋体"/>
          <w:color w:val="auto"/>
          <w:spacing w:val="6"/>
          <w:sz w:val="24"/>
          <w:highlight w:val="none"/>
        </w:rPr>
      </w:pPr>
    </w:p>
    <w:p w14:paraId="11371C2F">
      <w:pPr>
        <w:adjustRightInd w:val="0"/>
        <w:snapToGrid w:val="0"/>
        <w:spacing w:line="360" w:lineRule="auto"/>
        <w:ind w:firstLine="504" w:firstLineChars="200"/>
        <w:rPr>
          <w:rFonts w:ascii="宋体" w:hAnsi="宋体"/>
          <w:color w:val="auto"/>
          <w:spacing w:val="6"/>
          <w:sz w:val="24"/>
          <w:highlight w:val="none"/>
        </w:rPr>
      </w:pPr>
    </w:p>
    <w:p w14:paraId="70BBFD16">
      <w:pPr>
        <w:tabs>
          <w:tab w:val="left" w:pos="4395"/>
        </w:tabs>
        <w:adjustRightInd w:val="0"/>
        <w:snapToGrid w:val="0"/>
        <w:spacing w:line="480" w:lineRule="auto"/>
        <w:ind w:right="1559"/>
        <w:jc w:val="left"/>
        <w:rPr>
          <w:rFonts w:ascii="宋体" w:hAnsi="宋体"/>
          <w:color w:val="auto"/>
          <w:spacing w:val="6"/>
          <w:sz w:val="24"/>
          <w:highlight w:val="none"/>
        </w:rPr>
      </w:pPr>
      <w:r>
        <w:rPr>
          <w:rFonts w:hint="eastAsia" w:ascii="宋体" w:hAnsi="宋体"/>
          <w:color w:val="auto"/>
          <w:spacing w:val="6"/>
          <w:sz w:val="24"/>
          <w:highlight w:val="none"/>
        </w:rPr>
        <w:t>单位名称（盖章）：</w:t>
      </w:r>
      <w:r>
        <w:rPr>
          <w:rFonts w:hint="eastAsia" w:ascii="宋体" w:hAnsi="宋体"/>
          <w:color w:val="auto"/>
          <w:spacing w:val="6"/>
          <w:sz w:val="24"/>
          <w:highlight w:val="none"/>
          <w:u w:val="single"/>
        </w:rPr>
        <w:t xml:space="preserve">                       </w:t>
      </w:r>
    </w:p>
    <w:p w14:paraId="0691E516">
      <w:pPr>
        <w:tabs>
          <w:tab w:val="left" w:pos="4860"/>
        </w:tabs>
        <w:adjustRightInd w:val="0"/>
        <w:snapToGrid w:val="0"/>
        <w:spacing w:line="480" w:lineRule="auto"/>
        <w:ind w:right="1559"/>
        <w:rPr>
          <w:rFonts w:ascii="宋体" w:hAnsi="宋体"/>
          <w:color w:val="auto"/>
          <w:spacing w:val="6"/>
          <w:sz w:val="24"/>
          <w:highlight w:val="none"/>
        </w:rPr>
      </w:pPr>
      <w:r>
        <w:rPr>
          <w:rFonts w:hint="eastAsia" w:ascii="宋体" w:hAnsi="宋体"/>
          <w:color w:val="auto"/>
          <w:spacing w:val="6"/>
          <w:sz w:val="24"/>
          <w:highlight w:val="none"/>
        </w:rPr>
        <w:t>日  期：</w:t>
      </w:r>
      <w:r>
        <w:rPr>
          <w:rFonts w:hint="eastAsia" w:ascii="宋体" w:hAnsi="宋体"/>
          <w:color w:val="auto"/>
          <w:sz w:val="24"/>
          <w:highlight w:val="none"/>
          <w:u w:val="single"/>
        </w:rPr>
        <w:t xml:space="preserve">            </w:t>
      </w:r>
      <w:r>
        <w:rPr>
          <w:rFonts w:hint="eastAsia" w:ascii="宋体" w:hAnsi="宋体" w:cs="宋体"/>
          <w:color w:val="auto"/>
          <w:kern w:val="0"/>
          <w:sz w:val="24"/>
          <w:highlight w:val="none"/>
          <w:lang w:bidi="ar"/>
        </w:rPr>
        <w:t>年</w:t>
      </w:r>
      <w:r>
        <w:rPr>
          <w:rFonts w:hint="eastAsia" w:ascii="宋体" w:hAnsi="宋体"/>
          <w:color w:val="auto"/>
          <w:sz w:val="24"/>
          <w:highlight w:val="none"/>
          <w:u w:val="single"/>
        </w:rPr>
        <w:t xml:space="preserve">    </w:t>
      </w:r>
      <w:r>
        <w:rPr>
          <w:rFonts w:hint="eastAsia" w:ascii="宋体" w:hAnsi="宋体" w:cs="宋体"/>
          <w:color w:val="auto"/>
          <w:kern w:val="0"/>
          <w:sz w:val="24"/>
          <w:highlight w:val="none"/>
          <w:lang w:bidi="ar"/>
        </w:rPr>
        <w:t>月</w:t>
      </w:r>
      <w:r>
        <w:rPr>
          <w:rFonts w:hint="eastAsia" w:ascii="宋体" w:hAnsi="宋体"/>
          <w:color w:val="auto"/>
          <w:sz w:val="24"/>
          <w:highlight w:val="none"/>
          <w:u w:val="single"/>
        </w:rPr>
        <w:t xml:space="preserve">    </w:t>
      </w:r>
      <w:r>
        <w:rPr>
          <w:rFonts w:hint="eastAsia" w:ascii="宋体" w:hAnsi="宋体" w:cs="宋体"/>
          <w:color w:val="auto"/>
          <w:kern w:val="0"/>
          <w:sz w:val="24"/>
          <w:highlight w:val="none"/>
          <w:lang w:bidi="ar"/>
        </w:rPr>
        <w:t>日</w:t>
      </w:r>
    </w:p>
    <w:p w14:paraId="5CBB9DF9">
      <w:pPr>
        <w:widowControl/>
        <w:adjustRightInd w:val="0"/>
        <w:snapToGrid w:val="0"/>
        <w:spacing w:line="360" w:lineRule="auto"/>
        <w:jc w:val="left"/>
        <w:rPr>
          <w:rFonts w:ascii="宋体" w:hAnsi="宋体" w:cs="宋体"/>
          <w:color w:val="auto"/>
          <w:kern w:val="0"/>
          <w:szCs w:val="21"/>
          <w:highlight w:val="none"/>
        </w:rPr>
      </w:pPr>
    </w:p>
    <w:p w14:paraId="41D1F5BC">
      <w:pPr>
        <w:rPr>
          <w:rFonts w:hint="eastAsia" w:ascii="黑体" w:hAnsi="黑体" w:cs="宋体"/>
          <w:b/>
          <w:bCs/>
          <w:color w:val="auto"/>
          <w:kern w:val="0"/>
          <w:szCs w:val="21"/>
          <w:highlight w:val="none"/>
        </w:rPr>
      </w:pPr>
      <w:bookmarkStart w:id="114" w:name="_Toc22201165"/>
      <w:bookmarkStart w:id="115" w:name="_Toc82155493"/>
      <w:bookmarkStart w:id="116" w:name="_Toc62206228"/>
      <w:r>
        <w:rPr>
          <w:rFonts w:hint="eastAsia" w:ascii="黑体" w:hAnsi="黑体" w:cs="宋体"/>
          <w:b/>
          <w:bCs/>
          <w:color w:val="auto"/>
          <w:kern w:val="0"/>
          <w:szCs w:val="21"/>
          <w:highlight w:val="none"/>
        </w:rPr>
        <w:br w:type="page"/>
      </w:r>
    </w:p>
    <w:p w14:paraId="5589DCD1">
      <w:pPr>
        <w:rPr>
          <w:rFonts w:ascii="黑体" w:hAnsi="黑体"/>
          <w:color w:val="auto"/>
          <w:szCs w:val="21"/>
          <w:highlight w:val="none"/>
        </w:rPr>
      </w:pPr>
      <w:r>
        <w:rPr>
          <w:rFonts w:hint="eastAsia" w:ascii="黑体" w:hAnsi="黑体" w:cs="宋体"/>
          <w:b/>
          <w:bCs/>
          <w:color w:val="auto"/>
          <w:kern w:val="0"/>
          <w:szCs w:val="21"/>
          <w:highlight w:val="none"/>
        </w:rPr>
        <w:t>附件</w:t>
      </w:r>
      <w:r>
        <w:rPr>
          <w:rFonts w:ascii="黑体" w:hAnsi="黑体" w:cs="宋体"/>
          <w:b/>
          <w:bCs/>
          <w:color w:val="auto"/>
          <w:kern w:val="0"/>
          <w:szCs w:val="21"/>
          <w:highlight w:val="none"/>
        </w:rPr>
        <w:t>9</w:t>
      </w:r>
      <w:r>
        <w:rPr>
          <w:rFonts w:hint="eastAsia" w:ascii="黑体" w:hAnsi="黑体" w:cs="宋体"/>
          <w:b/>
          <w:bCs/>
          <w:color w:val="auto"/>
          <w:kern w:val="0"/>
          <w:szCs w:val="21"/>
          <w:highlight w:val="none"/>
        </w:rPr>
        <w:t xml:space="preserve">-3 </w:t>
      </w:r>
      <w:r>
        <w:rPr>
          <w:rFonts w:hint="eastAsia" w:ascii="黑体" w:hAnsi="黑体"/>
          <w:b/>
          <w:bCs/>
          <w:color w:val="auto"/>
          <w:szCs w:val="21"/>
          <w:highlight w:val="none"/>
        </w:rPr>
        <w:t>监狱企业证明资料</w:t>
      </w:r>
      <w:bookmarkEnd w:id="114"/>
      <w:bookmarkEnd w:id="115"/>
      <w:bookmarkEnd w:id="116"/>
    </w:p>
    <w:p w14:paraId="7964313D">
      <w:pPr>
        <w:adjustRightInd w:val="0"/>
        <w:snapToGrid w:val="0"/>
        <w:spacing w:line="360" w:lineRule="auto"/>
        <w:jc w:val="center"/>
        <w:rPr>
          <w:rFonts w:ascii="黑体" w:hAnsi="宋体"/>
          <w:b/>
          <w:color w:val="auto"/>
          <w:sz w:val="28"/>
          <w:szCs w:val="28"/>
          <w:highlight w:val="none"/>
        </w:rPr>
      </w:pPr>
      <w:r>
        <w:rPr>
          <w:rFonts w:hint="eastAsia" w:ascii="黑体" w:hAnsi="宋体"/>
          <w:b/>
          <w:color w:val="auto"/>
          <w:sz w:val="28"/>
          <w:szCs w:val="28"/>
          <w:highlight w:val="none"/>
        </w:rPr>
        <w:t>监狱企业证明资料</w:t>
      </w:r>
    </w:p>
    <w:p w14:paraId="2D3DDDAA">
      <w:pPr>
        <w:adjustRightInd w:val="0"/>
        <w:snapToGrid w:val="0"/>
        <w:spacing w:line="360" w:lineRule="auto"/>
        <w:rPr>
          <w:rFonts w:ascii="宋体" w:hAnsi="宋体"/>
          <w:b/>
          <w:color w:val="auto"/>
          <w:spacing w:val="6"/>
          <w:szCs w:val="21"/>
          <w:highlight w:val="none"/>
        </w:rPr>
      </w:pPr>
    </w:p>
    <w:p w14:paraId="68D718B7">
      <w:pPr>
        <w:adjustRightInd w:val="0"/>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注</w:t>
      </w:r>
      <w:r>
        <w:rPr>
          <w:rFonts w:hint="eastAsia" w:ascii="宋体" w:hAnsi="宋体" w:cs="宋体"/>
          <w:bCs/>
          <w:color w:val="auto"/>
          <w:spacing w:val="6"/>
          <w:kern w:val="0"/>
          <w:szCs w:val="21"/>
          <w:highlight w:val="none"/>
        </w:rPr>
        <w:t>：</w:t>
      </w:r>
      <w:r>
        <w:rPr>
          <w:rFonts w:hint="eastAsia" w:ascii="宋体" w:hAnsi="宋体"/>
          <w:color w:val="auto"/>
          <w:szCs w:val="21"/>
          <w:highlight w:val="none"/>
        </w:rPr>
        <w:t>按</w:t>
      </w:r>
      <w:r>
        <w:rPr>
          <w:rFonts w:hint="eastAsia" w:ascii="宋体" w:hAnsi="宋体"/>
          <w:color w:val="auto"/>
          <w:spacing w:val="6"/>
          <w:szCs w:val="21"/>
          <w:highlight w:val="none"/>
        </w:rPr>
        <w:t>《</w:t>
      </w:r>
      <w:r>
        <w:rPr>
          <w:rFonts w:hint="eastAsia" w:ascii="宋体" w:hAnsi="宋体"/>
          <w:color w:val="auto"/>
          <w:szCs w:val="21"/>
          <w:highlight w:val="none"/>
        </w:rPr>
        <w:t>财政部司法部关于政府采购支持监狱企业发展有关问题的通知</w:t>
      </w:r>
      <w:r>
        <w:rPr>
          <w:rFonts w:hint="eastAsia" w:ascii="宋体" w:hAnsi="宋体"/>
          <w:color w:val="auto"/>
          <w:spacing w:val="6"/>
          <w:szCs w:val="21"/>
          <w:highlight w:val="none"/>
        </w:rPr>
        <w:t>》</w:t>
      </w:r>
      <w:r>
        <w:rPr>
          <w:rFonts w:hint="eastAsia" w:ascii="宋体" w:hAnsi="宋体"/>
          <w:color w:val="auto"/>
          <w:szCs w:val="21"/>
          <w:highlight w:val="none"/>
        </w:rPr>
        <w:t>(财库〔2014〕68号)文件规定提供证明文件。</w:t>
      </w:r>
    </w:p>
    <w:p w14:paraId="7DFD7320">
      <w:pPr>
        <w:rPr>
          <w:rFonts w:hint="eastAsia" w:ascii="黑体" w:hAnsi="华文中宋" w:cs="宋体"/>
          <w:b/>
          <w:bCs/>
          <w:color w:val="auto"/>
          <w:spacing w:val="6"/>
          <w:kern w:val="0"/>
          <w:sz w:val="21"/>
          <w:szCs w:val="21"/>
          <w:highlight w:val="none"/>
        </w:rPr>
      </w:pPr>
      <w:bookmarkStart w:id="117" w:name="_Toc19722"/>
      <w:r>
        <w:rPr>
          <w:rFonts w:hint="eastAsia" w:ascii="黑体" w:hAnsi="华文中宋" w:cs="宋体"/>
          <w:b/>
          <w:bCs/>
          <w:color w:val="auto"/>
          <w:spacing w:val="6"/>
          <w:kern w:val="0"/>
          <w:sz w:val="21"/>
          <w:szCs w:val="21"/>
          <w:highlight w:val="none"/>
        </w:rPr>
        <w:br w:type="page"/>
      </w:r>
    </w:p>
    <w:p w14:paraId="42AA9E48">
      <w:pPr>
        <w:pStyle w:val="7"/>
        <w:rPr>
          <w:rFonts w:ascii="黑体" w:hAnsi="宋体"/>
          <w:b w:val="0"/>
          <w:bCs w:val="0"/>
          <w:color w:val="auto"/>
          <w:sz w:val="21"/>
          <w:szCs w:val="21"/>
          <w:highlight w:val="none"/>
        </w:rPr>
      </w:pPr>
      <w:r>
        <w:rPr>
          <w:rFonts w:hint="eastAsia" w:ascii="黑体" w:hAnsi="华文中宋" w:cs="宋体"/>
          <w:b w:val="0"/>
          <w:bCs w:val="0"/>
          <w:color w:val="auto"/>
          <w:spacing w:val="6"/>
          <w:kern w:val="0"/>
          <w:sz w:val="21"/>
          <w:szCs w:val="21"/>
          <w:highlight w:val="none"/>
        </w:rPr>
        <w:t>附件</w:t>
      </w:r>
      <w:r>
        <w:rPr>
          <w:rFonts w:ascii="黑体" w:hAnsi="华文中宋" w:cs="宋体"/>
          <w:b w:val="0"/>
          <w:bCs w:val="0"/>
          <w:color w:val="auto"/>
          <w:spacing w:val="6"/>
          <w:kern w:val="0"/>
          <w:sz w:val="21"/>
          <w:szCs w:val="21"/>
          <w:highlight w:val="none"/>
        </w:rPr>
        <w:t>9</w:t>
      </w:r>
      <w:r>
        <w:rPr>
          <w:rFonts w:hint="eastAsia" w:ascii="黑体" w:hAnsi="华文中宋" w:cs="宋体"/>
          <w:b w:val="0"/>
          <w:bCs w:val="0"/>
          <w:color w:val="auto"/>
          <w:spacing w:val="6"/>
          <w:kern w:val="0"/>
          <w:sz w:val="21"/>
          <w:szCs w:val="21"/>
          <w:highlight w:val="none"/>
        </w:rPr>
        <w:t xml:space="preserve">-4 </w:t>
      </w:r>
      <w:r>
        <w:rPr>
          <w:rFonts w:hint="eastAsia" w:ascii="黑体" w:hAnsi="宋体"/>
          <w:b w:val="0"/>
          <w:bCs w:val="0"/>
          <w:color w:val="auto"/>
          <w:sz w:val="21"/>
          <w:szCs w:val="21"/>
          <w:highlight w:val="none"/>
        </w:rPr>
        <w:t>强制采购或者优先采购产品的证明材料</w:t>
      </w:r>
      <w:bookmarkEnd w:id="117"/>
    </w:p>
    <w:p w14:paraId="444132A3">
      <w:pPr>
        <w:adjustRightInd w:val="0"/>
        <w:snapToGrid w:val="0"/>
        <w:spacing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强制采购或者优先采购产品</w:t>
      </w:r>
      <w:r>
        <w:rPr>
          <w:rFonts w:hint="eastAsia" w:ascii="黑体" w:hAnsi="黑体" w:eastAsia="黑体"/>
          <w:b/>
          <w:bCs/>
          <w:color w:val="auto"/>
          <w:sz w:val="28"/>
          <w:szCs w:val="28"/>
          <w:highlight w:val="none"/>
        </w:rPr>
        <w:t>的</w:t>
      </w:r>
      <w:r>
        <w:rPr>
          <w:rFonts w:hint="eastAsia" w:ascii="黑体" w:hAnsi="黑体" w:eastAsia="黑体"/>
          <w:b/>
          <w:color w:val="auto"/>
          <w:sz w:val="28"/>
          <w:szCs w:val="28"/>
          <w:highlight w:val="none"/>
        </w:rPr>
        <w:t>证明材料</w:t>
      </w:r>
    </w:p>
    <w:p w14:paraId="7DAF0763">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(不属于强制采购或者优先采购产品的无需提供)</w:t>
      </w:r>
    </w:p>
    <w:p w14:paraId="786DE779">
      <w:pPr>
        <w:adjustRightInd w:val="0"/>
        <w:snapToGrid w:val="0"/>
        <w:spacing w:line="360" w:lineRule="auto"/>
        <w:ind w:firstLine="420" w:firstLineChars="200"/>
        <w:jc w:val="left"/>
        <w:rPr>
          <w:rFonts w:ascii="宋体" w:hAnsi="宋体"/>
          <w:color w:val="auto"/>
          <w:szCs w:val="21"/>
          <w:highlight w:val="none"/>
        </w:rPr>
      </w:pPr>
    </w:p>
    <w:p w14:paraId="1F9D71E3">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注：投标人提供的产品</w:t>
      </w:r>
      <w:r>
        <w:rPr>
          <w:rFonts w:hint="eastAsia" w:ascii="宋体" w:hAnsi="宋体"/>
          <w:bCs/>
          <w:color w:val="auto"/>
          <w:szCs w:val="21"/>
          <w:highlight w:val="none"/>
        </w:rPr>
        <w:t>属于强制采购或者优先采购的</w:t>
      </w:r>
      <w:r>
        <w:rPr>
          <w:rFonts w:hint="eastAsia" w:ascii="宋体" w:hAnsi="宋体"/>
          <w:color w:val="auto"/>
          <w:szCs w:val="21"/>
          <w:highlight w:val="none"/>
        </w:rPr>
        <w:t>，应按第二章第33.6款规定提供证明材料和本章本节附页2“优先采购产品清单”，并加盖投标人单位章。</w:t>
      </w:r>
    </w:p>
    <w:p w14:paraId="2B570E95">
      <w:pPr>
        <w:pStyle w:val="47"/>
        <w:rPr>
          <w:rFonts w:hint="eastAsia"/>
          <w:color w:val="auto"/>
          <w:highlight w:val="none"/>
        </w:rPr>
      </w:pPr>
    </w:p>
    <w:p w14:paraId="1A70F1CA">
      <w:pPr>
        <w:pStyle w:val="7"/>
        <w:spacing w:before="0"/>
        <w:jc w:val="left"/>
        <w:rPr>
          <w:rFonts w:ascii="黑体" w:hAnsi="宋体"/>
          <w:b w:val="0"/>
          <w:color w:val="auto"/>
          <w:sz w:val="21"/>
          <w:szCs w:val="21"/>
          <w:highlight w:val="none"/>
        </w:rPr>
      </w:pPr>
      <w:r>
        <w:rPr>
          <w:rFonts w:ascii="黑体" w:hAnsi="华文中宋" w:cs="宋体"/>
          <w:color w:val="auto"/>
          <w:spacing w:val="6"/>
          <w:kern w:val="0"/>
          <w:highlight w:val="none"/>
        </w:rPr>
        <w:br w:type="page"/>
      </w:r>
      <w:bookmarkStart w:id="118" w:name="_Toc24272"/>
      <w:r>
        <w:rPr>
          <w:rFonts w:hint="eastAsia" w:ascii="黑体" w:hAnsi="华文中宋" w:cs="宋体"/>
          <w:b w:val="0"/>
          <w:bCs w:val="0"/>
          <w:color w:val="auto"/>
          <w:spacing w:val="6"/>
          <w:kern w:val="0"/>
          <w:sz w:val="21"/>
          <w:szCs w:val="21"/>
          <w:highlight w:val="none"/>
        </w:rPr>
        <w:t xml:space="preserve">附页 1 </w:t>
      </w:r>
      <w:r>
        <w:rPr>
          <w:rFonts w:hint="eastAsia" w:ascii="黑体" w:hAnsi="宋体"/>
          <w:b w:val="0"/>
          <w:color w:val="auto"/>
          <w:sz w:val="21"/>
          <w:szCs w:val="21"/>
          <w:highlight w:val="none"/>
        </w:rPr>
        <w:t>优先采购产品清单</w:t>
      </w:r>
      <w:bookmarkEnd w:id="118"/>
    </w:p>
    <w:p w14:paraId="7FD95900">
      <w:pPr>
        <w:adjustRightInd w:val="0"/>
        <w:snapToGrid w:val="0"/>
        <w:spacing w:line="360" w:lineRule="auto"/>
        <w:jc w:val="center"/>
        <w:rPr>
          <w:rFonts w:hint="eastAsia" w:ascii="宋体" w:hAnsi="宋体" w:eastAsia="黑体"/>
          <w:b/>
          <w:color w:val="auto"/>
          <w:spacing w:val="6"/>
          <w:szCs w:val="21"/>
          <w:highlight w:val="none"/>
          <w:lang w:eastAsia="zh-CN"/>
        </w:rPr>
      </w:pPr>
      <w:r>
        <w:rPr>
          <w:rFonts w:hint="eastAsia" w:ascii="黑体" w:hAnsi="宋体" w:eastAsia="黑体"/>
          <w:b/>
          <w:color w:val="auto"/>
          <w:sz w:val="28"/>
          <w:szCs w:val="28"/>
          <w:highlight w:val="none"/>
        </w:rPr>
        <w:t>优先采购产品清单</w:t>
      </w:r>
      <w:r>
        <w:rPr>
          <w:rFonts w:hint="eastAsia" w:ascii="黑体" w:hAnsi="宋体" w:eastAsia="黑体"/>
          <w:b/>
          <w:color w:val="auto"/>
          <w:sz w:val="28"/>
          <w:szCs w:val="28"/>
          <w:highlight w:val="none"/>
          <w:lang w:eastAsia="zh-CN"/>
        </w:rPr>
        <w:t>（</w:t>
      </w:r>
      <w:r>
        <w:rPr>
          <w:rFonts w:hint="eastAsia" w:ascii="黑体" w:hAnsi="宋体" w:eastAsia="黑体"/>
          <w:b/>
          <w:color w:val="auto"/>
          <w:sz w:val="28"/>
          <w:szCs w:val="28"/>
          <w:highlight w:val="none"/>
          <w:lang w:val="en-US" w:eastAsia="zh-CN"/>
        </w:rPr>
        <w:t>本项目不适用</w:t>
      </w:r>
      <w:r>
        <w:rPr>
          <w:rFonts w:hint="eastAsia" w:ascii="黑体" w:hAnsi="宋体" w:eastAsia="黑体"/>
          <w:b/>
          <w:color w:val="auto"/>
          <w:sz w:val="28"/>
          <w:szCs w:val="28"/>
          <w:highlight w:val="none"/>
          <w:lang w:eastAsia="zh-CN"/>
        </w:rPr>
        <w:t>）</w:t>
      </w:r>
    </w:p>
    <w:p w14:paraId="25779689">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政府采购计划编号：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786FA47A">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包       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bl>
      <w:tblPr>
        <w:tblStyle w:val="26"/>
        <w:tblW w:w="87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7"/>
        <w:gridCol w:w="1729"/>
        <w:gridCol w:w="1127"/>
        <w:gridCol w:w="1410"/>
        <w:gridCol w:w="1972"/>
        <w:gridCol w:w="1835"/>
      </w:tblGrid>
      <w:tr w14:paraId="0E4763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8740" w:type="dxa"/>
            <w:gridSpan w:val="6"/>
            <w:noWrap w:val="0"/>
            <w:vAlign w:val="center"/>
          </w:tcPr>
          <w:p w14:paraId="657D240E">
            <w:pPr>
              <w:widowControl/>
              <w:adjustRightInd w:val="0"/>
              <w:snapToGrid w:val="0"/>
              <w:spacing w:line="360" w:lineRule="auto"/>
              <w:ind w:firstLine="480" w:firstLineChars="200"/>
              <w:jc w:val="left"/>
              <w:rPr>
                <w:rFonts w:ascii="黑体" w:hAnsi="黑体" w:eastAsia="黑体" w:cs="Times New Roman"/>
                <w:color w:val="auto"/>
                <w:kern w:val="0"/>
                <w:sz w:val="24"/>
                <w:highlight w:val="none"/>
              </w:rPr>
            </w:pPr>
            <w:r>
              <w:rPr>
                <w:rFonts w:hint="eastAsia" w:ascii="黑体" w:hAnsi="宋体" w:eastAsia="黑体" w:cs="Times New Roman"/>
                <w:color w:val="auto"/>
                <w:kern w:val="0"/>
                <w:sz w:val="24"/>
                <w:highlight w:val="none"/>
              </w:rPr>
              <w:t>以下为投标人提供的政府采购优先采购产品，投标人对本表的真实性负责。如有虚假，将依法承担相应责任。</w:t>
            </w:r>
          </w:p>
        </w:tc>
      </w:tr>
      <w:tr w14:paraId="372A8A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667" w:type="dxa"/>
            <w:noWrap w:val="0"/>
            <w:vAlign w:val="center"/>
          </w:tcPr>
          <w:p w14:paraId="63AF3EAC">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p>
        </w:tc>
        <w:tc>
          <w:tcPr>
            <w:tcW w:w="1729" w:type="dxa"/>
            <w:noWrap w:val="0"/>
            <w:vAlign w:val="center"/>
          </w:tcPr>
          <w:p w14:paraId="65DC00E4">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p>
        </w:tc>
        <w:tc>
          <w:tcPr>
            <w:tcW w:w="1127" w:type="dxa"/>
            <w:tcBorders>
              <w:right w:val="single" w:color="auto" w:sz="4" w:space="0"/>
            </w:tcBorders>
            <w:noWrap w:val="0"/>
            <w:vAlign w:val="center"/>
          </w:tcPr>
          <w:p w14:paraId="57887B4E">
            <w:pPr>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w:t>
            </w:r>
          </w:p>
        </w:tc>
        <w:tc>
          <w:tcPr>
            <w:tcW w:w="1410" w:type="dxa"/>
            <w:tcBorders>
              <w:left w:val="single" w:color="auto" w:sz="4" w:space="0"/>
            </w:tcBorders>
            <w:noWrap w:val="0"/>
            <w:vAlign w:val="center"/>
          </w:tcPr>
          <w:p w14:paraId="4A315425">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w:t>
            </w:r>
          </w:p>
        </w:tc>
        <w:tc>
          <w:tcPr>
            <w:tcW w:w="1972" w:type="dxa"/>
            <w:noWrap w:val="0"/>
            <w:vAlign w:val="center"/>
          </w:tcPr>
          <w:p w14:paraId="6DD9B99F">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w:t>
            </w:r>
          </w:p>
        </w:tc>
        <w:tc>
          <w:tcPr>
            <w:tcW w:w="1835" w:type="dxa"/>
            <w:noWrap w:val="0"/>
            <w:vAlign w:val="center"/>
          </w:tcPr>
          <w:p w14:paraId="653867B6">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6</w:t>
            </w:r>
          </w:p>
        </w:tc>
      </w:tr>
      <w:tr w14:paraId="23AFA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667" w:type="dxa"/>
            <w:noWrap w:val="0"/>
            <w:vAlign w:val="center"/>
          </w:tcPr>
          <w:p w14:paraId="03FFE1AE">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序号</w:t>
            </w:r>
          </w:p>
        </w:tc>
        <w:tc>
          <w:tcPr>
            <w:tcW w:w="1729" w:type="dxa"/>
            <w:noWrap w:val="0"/>
            <w:vAlign w:val="center"/>
          </w:tcPr>
          <w:p w14:paraId="2509173C">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货物名称</w:t>
            </w:r>
          </w:p>
        </w:tc>
        <w:tc>
          <w:tcPr>
            <w:tcW w:w="1127" w:type="dxa"/>
            <w:tcBorders>
              <w:right w:val="single" w:color="auto" w:sz="4" w:space="0"/>
            </w:tcBorders>
            <w:noWrap w:val="0"/>
            <w:vAlign w:val="center"/>
          </w:tcPr>
          <w:p w14:paraId="036CE07D">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规格型号</w:t>
            </w:r>
          </w:p>
        </w:tc>
        <w:tc>
          <w:tcPr>
            <w:tcW w:w="1410" w:type="dxa"/>
            <w:tcBorders>
              <w:left w:val="single" w:color="auto" w:sz="4" w:space="0"/>
            </w:tcBorders>
            <w:noWrap w:val="0"/>
            <w:vAlign w:val="center"/>
          </w:tcPr>
          <w:p w14:paraId="04DE82AE">
            <w:pPr>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价格（元）</w:t>
            </w:r>
          </w:p>
        </w:tc>
        <w:tc>
          <w:tcPr>
            <w:tcW w:w="1972" w:type="dxa"/>
            <w:noWrap w:val="0"/>
            <w:vAlign w:val="center"/>
          </w:tcPr>
          <w:p w14:paraId="5E164413">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货物制造商名称</w:t>
            </w:r>
          </w:p>
        </w:tc>
        <w:tc>
          <w:tcPr>
            <w:tcW w:w="1835" w:type="dxa"/>
            <w:noWrap w:val="0"/>
            <w:vAlign w:val="center"/>
          </w:tcPr>
          <w:p w14:paraId="6D6C0B9E">
            <w:pPr>
              <w:widowControl/>
              <w:adjustRightInd w:val="0"/>
              <w:snapToGri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政策功能编码</w:t>
            </w:r>
          </w:p>
        </w:tc>
      </w:tr>
      <w:tr w14:paraId="2975AE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22534C6C">
            <w:pPr>
              <w:adjustRightInd w:val="0"/>
              <w:snapToGrid w:val="0"/>
              <w:spacing w:line="360" w:lineRule="auto"/>
              <w:jc w:val="left"/>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节能产品</w:t>
            </w:r>
          </w:p>
        </w:tc>
      </w:tr>
      <w:tr w14:paraId="6B964A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26C7298B">
            <w:pPr>
              <w:adjustRightInd w:val="0"/>
              <w:snapToGrid w:val="0"/>
              <w:spacing w:line="360" w:lineRule="auto"/>
              <w:jc w:val="center"/>
              <w:rPr>
                <w:rFonts w:ascii="宋体" w:hAnsi="宋体" w:eastAsia="宋体" w:cs="Times New Roman"/>
                <w:b/>
                <w:color w:val="auto"/>
                <w:szCs w:val="21"/>
                <w:highlight w:val="none"/>
              </w:rPr>
            </w:pPr>
          </w:p>
        </w:tc>
        <w:tc>
          <w:tcPr>
            <w:tcW w:w="1729" w:type="dxa"/>
            <w:noWrap w:val="0"/>
            <w:vAlign w:val="center"/>
          </w:tcPr>
          <w:p w14:paraId="48748DC7">
            <w:pPr>
              <w:adjustRightInd w:val="0"/>
              <w:snapToGrid w:val="0"/>
              <w:spacing w:line="360" w:lineRule="auto"/>
              <w:jc w:val="center"/>
              <w:rPr>
                <w:rFonts w:ascii="宋体" w:hAnsi="宋体" w:eastAsia="宋体" w:cs="Times New Roman"/>
                <w:b/>
                <w:color w:val="auto"/>
                <w:szCs w:val="21"/>
                <w:highlight w:val="none"/>
              </w:rPr>
            </w:pPr>
          </w:p>
        </w:tc>
        <w:tc>
          <w:tcPr>
            <w:tcW w:w="1127" w:type="dxa"/>
            <w:tcBorders>
              <w:right w:val="single" w:color="auto" w:sz="4" w:space="0"/>
            </w:tcBorders>
            <w:noWrap w:val="0"/>
            <w:vAlign w:val="center"/>
          </w:tcPr>
          <w:p w14:paraId="698769AB">
            <w:pPr>
              <w:adjustRightInd w:val="0"/>
              <w:snapToGrid w:val="0"/>
              <w:spacing w:line="360" w:lineRule="auto"/>
              <w:jc w:val="left"/>
              <w:rPr>
                <w:rFonts w:ascii="宋体" w:hAnsi="宋体" w:eastAsia="宋体" w:cs="Times New Roman"/>
                <w:b/>
                <w:color w:val="auto"/>
                <w:szCs w:val="21"/>
                <w:highlight w:val="none"/>
              </w:rPr>
            </w:pPr>
          </w:p>
        </w:tc>
        <w:tc>
          <w:tcPr>
            <w:tcW w:w="1410" w:type="dxa"/>
            <w:tcBorders>
              <w:left w:val="single" w:color="auto" w:sz="4" w:space="0"/>
            </w:tcBorders>
            <w:noWrap w:val="0"/>
            <w:vAlign w:val="center"/>
          </w:tcPr>
          <w:p w14:paraId="6DD47868">
            <w:pPr>
              <w:adjustRightInd w:val="0"/>
              <w:snapToGrid w:val="0"/>
              <w:spacing w:line="360" w:lineRule="auto"/>
              <w:jc w:val="left"/>
              <w:rPr>
                <w:rFonts w:ascii="宋体" w:hAnsi="宋体" w:eastAsia="宋体" w:cs="Times New Roman"/>
                <w:b/>
                <w:color w:val="auto"/>
                <w:szCs w:val="21"/>
                <w:highlight w:val="none"/>
              </w:rPr>
            </w:pPr>
          </w:p>
        </w:tc>
        <w:tc>
          <w:tcPr>
            <w:tcW w:w="1972" w:type="dxa"/>
            <w:noWrap w:val="0"/>
            <w:vAlign w:val="center"/>
          </w:tcPr>
          <w:p w14:paraId="605C65CE">
            <w:pPr>
              <w:adjustRightInd w:val="0"/>
              <w:snapToGrid w:val="0"/>
              <w:spacing w:line="360" w:lineRule="auto"/>
              <w:jc w:val="center"/>
              <w:rPr>
                <w:rFonts w:ascii="宋体" w:hAnsi="宋体" w:eastAsia="宋体" w:cs="Times New Roman"/>
                <w:b/>
                <w:color w:val="auto"/>
                <w:szCs w:val="21"/>
                <w:highlight w:val="none"/>
              </w:rPr>
            </w:pPr>
          </w:p>
        </w:tc>
        <w:tc>
          <w:tcPr>
            <w:tcW w:w="1835" w:type="dxa"/>
            <w:noWrap w:val="0"/>
            <w:vAlign w:val="top"/>
          </w:tcPr>
          <w:p w14:paraId="4A3F6B94">
            <w:pPr>
              <w:adjustRightInd w:val="0"/>
              <w:snapToGrid w:val="0"/>
              <w:spacing w:line="360" w:lineRule="auto"/>
              <w:jc w:val="center"/>
              <w:rPr>
                <w:rFonts w:ascii="宋体" w:hAnsi="宋体" w:eastAsia="宋体" w:cs="Times New Roman"/>
                <w:b/>
                <w:color w:val="auto"/>
                <w:szCs w:val="21"/>
                <w:highlight w:val="none"/>
              </w:rPr>
            </w:pPr>
          </w:p>
        </w:tc>
      </w:tr>
      <w:tr w14:paraId="3FEE74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09879CEF">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小计</w:t>
            </w:r>
          </w:p>
        </w:tc>
        <w:tc>
          <w:tcPr>
            <w:tcW w:w="1729" w:type="dxa"/>
            <w:noWrap w:val="0"/>
            <w:vAlign w:val="center"/>
          </w:tcPr>
          <w:p w14:paraId="1B599CF3">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c>
          <w:tcPr>
            <w:tcW w:w="1127" w:type="dxa"/>
            <w:tcBorders>
              <w:right w:val="single" w:color="auto" w:sz="4" w:space="0"/>
            </w:tcBorders>
            <w:noWrap w:val="0"/>
            <w:vAlign w:val="center"/>
          </w:tcPr>
          <w:p w14:paraId="622D3D41">
            <w:pPr>
              <w:adjustRightInd w:val="0"/>
              <w:snapToGrid w:val="0"/>
              <w:spacing w:line="360" w:lineRule="auto"/>
              <w:jc w:val="left"/>
              <w:rPr>
                <w:rFonts w:ascii="宋体" w:hAnsi="宋体" w:eastAsia="宋体" w:cs="Times New Roman"/>
                <w:b/>
                <w:color w:val="auto"/>
                <w:szCs w:val="21"/>
                <w:highlight w:val="none"/>
              </w:rPr>
            </w:pPr>
          </w:p>
        </w:tc>
        <w:tc>
          <w:tcPr>
            <w:tcW w:w="1410" w:type="dxa"/>
            <w:tcBorders>
              <w:left w:val="single" w:color="auto" w:sz="4" w:space="0"/>
            </w:tcBorders>
            <w:noWrap w:val="0"/>
            <w:vAlign w:val="center"/>
          </w:tcPr>
          <w:p w14:paraId="0873E25D">
            <w:pPr>
              <w:adjustRightInd w:val="0"/>
              <w:snapToGrid w:val="0"/>
              <w:spacing w:line="360" w:lineRule="auto"/>
              <w:jc w:val="left"/>
              <w:rPr>
                <w:rFonts w:ascii="宋体" w:hAnsi="宋体" w:eastAsia="宋体" w:cs="Times New Roman"/>
                <w:b/>
                <w:color w:val="auto"/>
                <w:szCs w:val="21"/>
                <w:highlight w:val="none"/>
              </w:rPr>
            </w:pPr>
          </w:p>
        </w:tc>
        <w:tc>
          <w:tcPr>
            <w:tcW w:w="1972" w:type="dxa"/>
            <w:noWrap w:val="0"/>
            <w:vAlign w:val="center"/>
          </w:tcPr>
          <w:p w14:paraId="1B49B219">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c>
          <w:tcPr>
            <w:tcW w:w="1835" w:type="dxa"/>
            <w:noWrap w:val="0"/>
            <w:vAlign w:val="top"/>
          </w:tcPr>
          <w:p w14:paraId="6D44FD64">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r>
      <w:tr w14:paraId="7401CD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7FEC3CA8">
            <w:pPr>
              <w:adjustRightInd w:val="0"/>
              <w:snapToGrid w:val="0"/>
              <w:spacing w:line="360" w:lineRule="auto"/>
              <w:jc w:val="left"/>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环境标志产品</w:t>
            </w:r>
          </w:p>
        </w:tc>
      </w:tr>
      <w:tr w14:paraId="794B12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392E6A2E">
            <w:pPr>
              <w:adjustRightInd w:val="0"/>
              <w:snapToGrid w:val="0"/>
              <w:spacing w:line="360" w:lineRule="auto"/>
              <w:jc w:val="center"/>
              <w:rPr>
                <w:rFonts w:ascii="宋体" w:hAnsi="宋体" w:eastAsia="宋体" w:cs="Times New Roman"/>
                <w:b/>
                <w:color w:val="auto"/>
                <w:szCs w:val="21"/>
                <w:highlight w:val="none"/>
              </w:rPr>
            </w:pPr>
          </w:p>
        </w:tc>
        <w:tc>
          <w:tcPr>
            <w:tcW w:w="1729" w:type="dxa"/>
            <w:noWrap w:val="0"/>
            <w:vAlign w:val="center"/>
          </w:tcPr>
          <w:p w14:paraId="1C27E2A5">
            <w:pPr>
              <w:adjustRightInd w:val="0"/>
              <w:snapToGrid w:val="0"/>
              <w:spacing w:line="360" w:lineRule="auto"/>
              <w:jc w:val="center"/>
              <w:rPr>
                <w:rFonts w:ascii="宋体" w:hAnsi="宋体" w:eastAsia="宋体" w:cs="Times New Roman"/>
                <w:b/>
                <w:color w:val="auto"/>
                <w:szCs w:val="21"/>
                <w:highlight w:val="none"/>
              </w:rPr>
            </w:pPr>
          </w:p>
        </w:tc>
        <w:tc>
          <w:tcPr>
            <w:tcW w:w="1127" w:type="dxa"/>
            <w:tcBorders>
              <w:right w:val="single" w:color="auto" w:sz="4" w:space="0"/>
            </w:tcBorders>
            <w:noWrap w:val="0"/>
            <w:vAlign w:val="center"/>
          </w:tcPr>
          <w:p w14:paraId="7FB1C0E1">
            <w:pPr>
              <w:adjustRightInd w:val="0"/>
              <w:snapToGrid w:val="0"/>
              <w:spacing w:line="360" w:lineRule="auto"/>
              <w:jc w:val="left"/>
              <w:rPr>
                <w:rFonts w:ascii="宋体" w:hAnsi="宋体" w:eastAsia="宋体" w:cs="Times New Roman"/>
                <w:b/>
                <w:color w:val="auto"/>
                <w:szCs w:val="21"/>
                <w:highlight w:val="none"/>
              </w:rPr>
            </w:pPr>
          </w:p>
        </w:tc>
        <w:tc>
          <w:tcPr>
            <w:tcW w:w="1410" w:type="dxa"/>
            <w:tcBorders>
              <w:left w:val="single" w:color="auto" w:sz="4" w:space="0"/>
            </w:tcBorders>
            <w:noWrap w:val="0"/>
            <w:vAlign w:val="center"/>
          </w:tcPr>
          <w:p w14:paraId="3ED6B576">
            <w:pPr>
              <w:adjustRightInd w:val="0"/>
              <w:snapToGrid w:val="0"/>
              <w:spacing w:line="360" w:lineRule="auto"/>
              <w:jc w:val="left"/>
              <w:rPr>
                <w:rFonts w:ascii="宋体" w:hAnsi="宋体" w:eastAsia="宋体" w:cs="Times New Roman"/>
                <w:b/>
                <w:color w:val="auto"/>
                <w:szCs w:val="21"/>
                <w:highlight w:val="none"/>
              </w:rPr>
            </w:pPr>
          </w:p>
        </w:tc>
        <w:tc>
          <w:tcPr>
            <w:tcW w:w="1972" w:type="dxa"/>
            <w:noWrap w:val="0"/>
            <w:vAlign w:val="center"/>
          </w:tcPr>
          <w:p w14:paraId="2147748B">
            <w:pPr>
              <w:adjustRightInd w:val="0"/>
              <w:snapToGrid w:val="0"/>
              <w:spacing w:line="360" w:lineRule="auto"/>
              <w:jc w:val="center"/>
              <w:rPr>
                <w:rFonts w:ascii="宋体" w:hAnsi="宋体" w:eastAsia="宋体" w:cs="Times New Roman"/>
                <w:b/>
                <w:color w:val="auto"/>
                <w:szCs w:val="21"/>
                <w:highlight w:val="none"/>
              </w:rPr>
            </w:pPr>
          </w:p>
        </w:tc>
        <w:tc>
          <w:tcPr>
            <w:tcW w:w="1835" w:type="dxa"/>
            <w:noWrap w:val="0"/>
            <w:vAlign w:val="top"/>
          </w:tcPr>
          <w:p w14:paraId="7EDFA3F3">
            <w:pPr>
              <w:adjustRightInd w:val="0"/>
              <w:snapToGrid w:val="0"/>
              <w:spacing w:line="360" w:lineRule="auto"/>
              <w:jc w:val="center"/>
              <w:rPr>
                <w:rFonts w:ascii="宋体" w:hAnsi="宋体" w:eastAsia="宋体" w:cs="Times New Roman"/>
                <w:b/>
                <w:color w:val="auto"/>
                <w:szCs w:val="21"/>
                <w:highlight w:val="none"/>
              </w:rPr>
            </w:pPr>
          </w:p>
        </w:tc>
      </w:tr>
      <w:tr w14:paraId="3141D9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3185872B">
            <w:pPr>
              <w:adjustRightInd w:val="0"/>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小计</w:t>
            </w:r>
          </w:p>
        </w:tc>
        <w:tc>
          <w:tcPr>
            <w:tcW w:w="1729" w:type="dxa"/>
            <w:noWrap w:val="0"/>
            <w:vAlign w:val="center"/>
          </w:tcPr>
          <w:p w14:paraId="657F084A">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c>
          <w:tcPr>
            <w:tcW w:w="1127" w:type="dxa"/>
            <w:tcBorders>
              <w:right w:val="single" w:color="auto" w:sz="4" w:space="0"/>
            </w:tcBorders>
            <w:noWrap w:val="0"/>
            <w:vAlign w:val="center"/>
          </w:tcPr>
          <w:p w14:paraId="5A2AA86F">
            <w:pPr>
              <w:adjustRightInd w:val="0"/>
              <w:snapToGrid w:val="0"/>
              <w:spacing w:line="360" w:lineRule="auto"/>
              <w:jc w:val="left"/>
              <w:rPr>
                <w:rFonts w:ascii="宋体" w:hAnsi="宋体" w:eastAsia="宋体" w:cs="Times New Roman"/>
                <w:b/>
                <w:color w:val="auto"/>
                <w:szCs w:val="21"/>
                <w:highlight w:val="none"/>
              </w:rPr>
            </w:pPr>
          </w:p>
        </w:tc>
        <w:tc>
          <w:tcPr>
            <w:tcW w:w="1410" w:type="dxa"/>
            <w:tcBorders>
              <w:left w:val="single" w:color="auto" w:sz="4" w:space="0"/>
            </w:tcBorders>
            <w:noWrap w:val="0"/>
            <w:vAlign w:val="center"/>
          </w:tcPr>
          <w:p w14:paraId="24FE02E2">
            <w:pPr>
              <w:adjustRightInd w:val="0"/>
              <w:snapToGrid w:val="0"/>
              <w:spacing w:line="360" w:lineRule="auto"/>
              <w:jc w:val="left"/>
              <w:rPr>
                <w:rFonts w:ascii="宋体" w:hAnsi="宋体" w:eastAsia="宋体" w:cs="Times New Roman"/>
                <w:b/>
                <w:color w:val="auto"/>
                <w:szCs w:val="21"/>
                <w:highlight w:val="none"/>
              </w:rPr>
            </w:pPr>
          </w:p>
        </w:tc>
        <w:tc>
          <w:tcPr>
            <w:tcW w:w="1972" w:type="dxa"/>
            <w:noWrap w:val="0"/>
            <w:vAlign w:val="center"/>
          </w:tcPr>
          <w:p w14:paraId="37FE3AF9">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c>
          <w:tcPr>
            <w:tcW w:w="1835" w:type="dxa"/>
            <w:noWrap w:val="0"/>
            <w:vAlign w:val="top"/>
          </w:tcPr>
          <w:p w14:paraId="64D39ECA">
            <w:pPr>
              <w:adjustRightInd w:val="0"/>
              <w:snapToGrid w:val="0"/>
              <w:spacing w:line="360" w:lineRule="auto"/>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w:t>
            </w:r>
          </w:p>
        </w:tc>
      </w:tr>
    </w:tbl>
    <w:p w14:paraId="74120FAA">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说明：</w:t>
      </w:r>
      <w:r>
        <w:rPr>
          <w:rFonts w:hint="eastAsia" w:ascii="宋体" w:hAnsi="宋体"/>
          <w:bCs/>
          <w:color w:val="auto"/>
          <w:szCs w:val="21"/>
          <w:highlight w:val="none"/>
        </w:rPr>
        <w:t>1.</w:t>
      </w:r>
      <w:r>
        <w:rPr>
          <w:rFonts w:hint="eastAsia" w:ascii="宋体" w:hAnsi="宋体"/>
          <w:color w:val="auto"/>
          <w:szCs w:val="21"/>
          <w:highlight w:val="none"/>
        </w:rPr>
        <w:t>本表用于计算政府采购优先采购产品（节能产品或环境标志产品）的政府采购政策加分或者价格扣除。</w:t>
      </w:r>
    </w:p>
    <w:p w14:paraId="50BA4C00">
      <w:pPr>
        <w:adjustRightInd w:val="0"/>
        <w:snapToGrid w:val="0"/>
        <w:spacing w:line="360" w:lineRule="auto"/>
        <w:ind w:firstLine="630" w:firstLineChars="300"/>
        <w:jc w:val="left"/>
        <w:rPr>
          <w:rFonts w:ascii="宋体" w:hAnsi="宋体"/>
          <w:color w:val="auto"/>
          <w:szCs w:val="21"/>
          <w:highlight w:val="none"/>
        </w:rPr>
      </w:pPr>
      <w:r>
        <w:rPr>
          <w:rFonts w:hint="eastAsia" w:ascii="宋体" w:hAnsi="宋体"/>
          <w:color w:val="auto"/>
          <w:szCs w:val="21"/>
          <w:highlight w:val="none"/>
        </w:rPr>
        <w:t>2.栏目4“价格”为综合单价，包含货物所有隐含的内容，如运输费、保险费、管理费和利润等。</w:t>
      </w:r>
    </w:p>
    <w:p w14:paraId="6BED40E9">
      <w:pPr>
        <w:adjustRightInd w:val="0"/>
        <w:snapToGrid w:val="0"/>
        <w:spacing w:line="360" w:lineRule="auto"/>
        <w:ind w:firstLine="630" w:firstLineChars="300"/>
        <w:jc w:val="left"/>
        <w:rPr>
          <w:rFonts w:ascii="宋体" w:hAnsi="宋体"/>
          <w:color w:val="auto"/>
          <w:szCs w:val="21"/>
          <w:highlight w:val="none"/>
        </w:rPr>
      </w:pPr>
      <w:r>
        <w:rPr>
          <w:rFonts w:hint="eastAsia" w:ascii="宋体" w:hAnsi="宋体"/>
          <w:color w:val="auto"/>
          <w:szCs w:val="21"/>
          <w:highlight w:val="none"/>
        </w:rPr>
        <w:t>3.栏目6“政策功能编码”是指货物的中国环境标志认证证书编号、中国节能标志认证证书号（货物同时属于节能产品、环境标志产品的，只须填写一种）。</w:t>
      </w:r>
    </w:p>
    <w:p w14:paraId="465FAA05">
      <w:pPr>
        <w:adjustRightInd w:val="0"/>
        <w:snapToGrid w:val="0"/>
        <w:spacing w:line="360" w:lineRule="auto"/>
        <w:ind w:firstLine="630" w:firstLineChars="300"/>
        <w:rPr>
          <w:rFonts w:ascii="宋体" w:hAnsi="宋体"/>
          <w:bCs/>
          <w:color w:val="auto"/>
          <w:szCs w:val="21"/>
          <w:highlight w:val="none"/>
        </w:rPr>
      </w:pPr>
      <w:r>
        <w:rPr>
          <w:rFonts w:hint="eastAsia" w:ascii="宋体" w:hAnsi="宋体"/>
          <w:bCs/>
          <w:color w:val="auto"/>
          <w:szCs w:val="21"/>
          <w:highlight w:val="none"/>
        </w:rPr>
        <w:t>4.投标人在投标截止时间前修改“开标一览表”中的投标报价的，应按第二章第13.7款规定修改本表相应内容。否则，评审时涉及本表所有优惠不予以考虑。</w:t>
      </w:r>
    </w:p>
    <w:p w14:paraId="2FA18F31">
      <w:pPr>
        <w:adjustRightInd w:val="0"/>
        <w:snapToGrid w:val="0"/>
        <w:spacing w:line="360" w:lineRule="auto"/>
        <w:rPr>
          <w:rFonts w:ascii="宋体" w:hAnsi="宋体"/>
          <w:color w:val="auto"/>
          <w:szCs w:val="21"/>
          <w:highlight w:val="none"/>
        </w:rPr>
      </w:pPr>
    </w:p>
    <w:p w14:paraId="1E8E919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投标人名称（盖单位章）：________________________</w:t>
      </w:r>
    </w:p>
    <w:p w14:paraId="37D0C130">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或其委托代理人（签字或印章）：</w:t>
      </w:r>
      <w:r>
        <w:rPr>
          <w:rFonts w:hint="eastAsia" w:ascii="宋体" w:hAnsi="宋体"/>
          <w:color w:val="auto"/>
          <w:szCs w:val="21"/>
          <w:highlight w:val="none"/>
          <w:u w:val="single"/>
        </w:rPr>
        <w:t xml:space="preserve">       </w:t>
      </w:r>
    </w:p>
    <w:p w14:paraId="49CE46A9">
      <w:pPr>
        <w:adjustRightInd w:val="0"/>
        <w:snapToGrid w:val="0"/>
        <w:spacing w:line="360" w:lineRule="auto"/>
        <w:rPr>
          <w:rFonts w:ascii="宋体" w:hAnsi="宋体"/>
          <w:color w:val="auto"/>
          <w:szCs w:val="21"/>
          <w:highlight w:val="none"/>
        </w:rPr>
      </w:pPr>
      <w:r>
        <w:rPr>
          <w:rFonts w:hint="eastAsia"/>
          <w:color w:val="auto"/>
          <w:highlight w:val="none"/>
        </w:rPr>
        <w:t xml:space="preserve">日期：  </w:t>
      </w:r>
      <w:r>
        <w:rPr>
          <w:rFonts w:hint="eastAsia" w:ascii="宋体" w:hAnsi="宋体"/>
          <w:color w:val="auto"/>
          <w:szCs w:val="21"/>
          <w:highlight w:val="none"/>
          <w:u w:val="single"/>
        </w:rPr>
        <w:t xml:space="preserve">       </w:t>
      </w:r>
      <w:r>
        <w:rPr>
          <w:rFonts w:hint="eastAsia"/>
          <w:color w:val="auto"/>
          <w:highlight w:val="none"/>
        </w:rPr>
        <w:t>年</w:t>
      </w:r>
      <w:r>
        <w:rPr>
          <w:rFonts w:hint="eastAsia" w:ascii="宋体" w:hAnsi="宋体"/>
          <w:color w:val="auto"/>
          <w:szCs w:val="21"/>
          <w:highlight w:val="none"/>
          <w:u w:val="single"/>
        </w:rPr>
        <w:t xml:space="preserve">       </w:t>
      </w:r>
      <w:r>
        <w:rPr>
          <w:rFonts w:hint="eastAsia"/>
          <w:color w:val="auto"/>
          <w:highlight w:val="none"/>
        </w:rPr>
        <w:t>月</w:t>
      </w:r>
      <w:r>
        <w:rPr>
          <w:rFonts w:hint="eastAsia" w:ascii="宋体" w:hAnsi="宋体"/>
          <w:color w:val="auto"/>
          <w:szCs w:val="21"/>
          <w:highlight w:val="none"/>
          <w:u w:val="single"/>
        </w:rPr>
        <w:t xml:space="preserve">       </w:t>
      </w:r>
      <w:r>
        <w:rPr>
          <w:rFonts w:hint="eastAsia"/>
          <w:color w:val="auto"/>
          <w:highlight w:val="none"/>
        </w:rPr>
        <w:t>日</w:t>
      </w:r>
    </w:p>
    <w:p w14:paraId="014F131D">
      <w:pPr>
        <w:pStyle w:val="6"/>
        <w:adjustRightInd w:val="0"/>
        <w:snapToGrid w:val="0"/>
        <w:spacing w:before="0" w:after="0" w:line="360" w:lineRule="auto"/>
        <w:jc w:val="center"/>
        <w:rPr>
          <w:rFonts w:ascii="黑体" w:hAnsi="宋体" w:eastAsia="黑体"/>
          <w:color w:val="auto"/>
          <w:sz w:val="28"/>
          <w:szCs w:val="28"/>
          <w:highlight w:val="none"/>
        </w:rPr>
      </w:pPr>
      <w:bookmarkStart w:id="119" w:name="_Toc32736"/>
      <w:bookmarkStart w:id="120" w:name="_Toc22806"/>
      <w:r>
        <w:rPr>
          <w:rFonts w:hint="eastAsia" w:ascii="黑体" w:hAnsi="宋体" w:eastAsia="黑体"/>
          <w:color w:val="auto"/>
          <w:sz w:val="28"/>
          <w:szCs w:val="28"/>
          <w:highlight w:val="none"/>
        </w:rPr>
        <w:br w:type="page"/>
      </w:r>
      <w:r>
        <w:rPr>
          <w:rFonts w:hint="eastAsia" w:ascii="黑体" w:hAnsi="宋体" w:eastAsia="黑体"/>
          <w:color w:val="auto"/>
          <w:sz w:val="28"/>
          <w:szCs w:val="28"/>
          <w:highlight w:val="none"/>
        </w:rPr>
        <w:t>十、投标人软件符合招标文件规定的证明文件</w:t>
      </w:r>
      <w:bookmarkEnd w:id="119"/>
      <w:bookmarkEnd w:id="120"/>
    </w:p>
    <w:p w14:paraId="690D062F">
      <w:pPr>
        <w:adjustRightInd w:val="0"/>
        <w:snapToGrid w:val="0"/>
        <w:spacing w:line="360" w:lineRule="auto"/>
        <w:rPr>
          <w:rFonts w:ascii="宋体" w:hAnsi="宋体"/>
          <w:color w:val="auto"/>
          <w:szCs w:val="21"/>
          <w:highlight w:val="none"/>
        </w:rPr>
      </w:pPr>
    </w:p>
    <w:p w14:paraId="5EB6FF94">
      <w:pPr>
        <w:adjustRightInd w:val="0"/>
        <w:snapToGrid w:val="0"/>
        <w:spacing w:line="360" w:lineRule="auto"/>
        <w:rPr>
          <w:rFonts w:ascii="宋体" w:hAnsi="宋体"/>
          <w:color w:val="auto"/>
          <w:highlight w:val="none"/>
        </w:rPr>
      </w:pPr>
      <w:r>
        <w:rPr>
          <w:rFonts w:hint="eastAsia" w:ascii="宋体" w:hAnsi="宋体"/>
          <w:color w:val="auto"/>
          <w:szCs w:val="21"/>
          <w:highlight w:val="none"/>
        </w:rPr>
        <w:t>注：提供第五章规定的证明材料</w:t>
      </w:r>
      <w:r>
        <w:rPr>
          <w:rFonts w:hint="eastAsia" w:ascii="宋体" w:hAnsi="宋体"/>
          <w:color w:val="auto"/>
          <w:szCs w:val="21"/>
          <w:highlight w:val="none"/>
          <w:lang w:eastAsia="zh-CN"/>
        </w:rPr>
        <w:t>扫描件</w:t>
      </w:r>
      <w:r>
        <w:rPr>
          <w:rFonts w:hint="eastAsia" w:ascii="宋体" w:hAnsi="宋体"/>
          <w:color w:val="auto"/>
          <w:szCs w:val="21"/>
          <w:highlight w:val="none"/>
        </w:rPr>
        <w:t>。</w:t>
      </w:r>
    </w:p>
    <w:p w14:paraId="6CC6EC8D">
      <w:pPr>
        <w:widowControl/>
        <w:jc w:val="left"/>
        <w:rPr>
          <w:rFonts w:ascii="黑体" w:eastAsia="黑体"/>
          <w:color w:val="auto"/>
          <w:sz w:val="10"/>
          <w:szCs w:val="10"/>
          <w:highlight w:val="none"/>
        </w:rPr>
      </w:pPr>
      <w:r>
        <w:rPr>
          <w:rFonts w:ascii="黑体" w:eastAsia="黑体"/>
          <w:b/>
          <w:bCs/>
          <w:color w:val="auto"/>
          <w:sz w:val="28"/>
          <w:szCs w:val="28"/>
          <w:highlight w:val="none"/>
        </w:rPr>
        <w:br w:type="page"/>
      </w:r>
    </w:p>
    <w:p w14:paraId="2889D3B0">
      <w:pPr>
        <w:pStyle w:val="6"/>
        <w:adjustRightInd w:val="0"/>
        <w:snapToGrid w:val="0"/>
        <w:spacing w:before="0" w:after="0" w:line="360" w:lineRule="auto"/>
        <w:jc w:val="center"/>
        <w:rPr>
          <w:rFonts w:ascii="黑体" w:hAnsi="宋体" w:eastAsia="黑体"/>
          <w:color w:val="auto"/>
          <w:sz w:val="28"/>
          <w:szCs w:val="28"/>
          <w:highlight w:val="none"/>
        </w:rPr>
      </w:pPr>
      <w:bookmarkStart w:id="121" w:name="_Toc1913"/>
      <w:r>
        <w:rPr>
          <w:rFonts w:hint="eastAsia" w:ascii="黑体" w:hAnsi="宋体" w:eastAsia="黑体"/>
          <w:color w:val="auto"/>
          <w:sz w:val="28"/>
          <w:szCs w:val="28"/>
          <w:highlight w:val="none"/>
        </w:rPr>
        <w:t>十一、投标人认为需提供的其他资料</w:t>
      </w:r>
      <w:bookmarkEnd w:id="121"/>
    </w:p>
    <w:p w14:paraId="47320E81">
      <w:pPr>
        <w:adjustRightInd w:val="0"/>
        <w:snapToGrid w:val="0"/>
        <w:spacing w:before="156" w:beforeLines="50" w:line="360" w:lineRule="auto"/>
        <w:rPr>
          <w:rFonts w:ascii="宋体" w:hAnsi="宋体"/>
          <w:color w:val="auto"/>
          <w:highlight w:val="none"/>
        </w:rPr>
      </w:pPr>
    </w:p>
    <w:p w14:paraId="7FA3E6D7">
      <w:pPr>
        <w:adjustRightInd w:val="0"/>
        <w:snapToGrid w:val="0"/>
        <w:spacing w:before="156" w:beforeLines="50" w:line="360" w:lineRule="auto"/>
        <w:rPr>
          <w:rFonts w:ascii="宋体" w:hAnsi="宋体"/>
          <w:color w:val="auto"/>
          <w:highlight w:val="none"/>
        </w:rPr>
      </w:pPr>
      <w:r>
        <w:rPr>
          <w:rFonts w:hint="eastAsia" w:ascii="宋体" w:hAnsi="宋体"/>
          <w:color w:val="auto"/>
          <w:highlight w:val="none"/>
        </w:rPr>
        <w:t>注：投标人认为需提供的其他资料包括：</w:t>
      </w:r>
    </w:p>
    <w:p w14:paraId="2E52C600">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1.招标文件第四章评标方法及标准要求的其他相关资料；</w:t>
      </w:r>
    </w:p>
    <w:p w14:paraId="5718CDCD">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2.招标文件第五章采购需求要求的其他资料。</w:t>
      </w:r>
    </w:p>
    <w:p w14:paraId="0A043BBD">
      <w:pPr>
        <w:pStyle w:val="47"/>
        <w:ind w:firstLine="0" w:firstLineChars="0"/>
        <w:rPr>
          <w:rFonts w:hint="eastAsia"/>
          <w:color w:val="auto"/>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DejaVu Sans">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55EE2">
    <w:pPr>
      <w:pStyle w:val="1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E83D88">
                          <w:pPr>
                            <w:pStyle w:val="1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Q6KUMgBAACZ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No4h6kNXlijXg3B7TNhE6S1XGGGnwjixwm7arrwSf95L1uMf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EOilDIAQAAmQMAAA4AAAAAAAAAAQAgAAAAHgEAAGRycy9lMm9Eb2Mu&#10;eG1sUEsFBgAAAAAGAAYAWQEAAFgFAAAAAA==&#10;">
              <v:fill on="f" focussize="0,0"/>
              <v:stroke on="f"/>
              <v:imagedata o:title=""/>
              <o:lock v:ext="edit" aspectratio="f"/>
              <v:textbox inset="0mm,0mm,0mm,0mm" style="mso-fit-shape-to-text:t;">
                <w:txbxContent>
                  <w:p w14:paraId="24E83D88">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73F7C">
    <w:pPr>
      <w:pStyle w:val="17"/>
      <w:framePr w:wrap="around" w:vAnchor="text" w:hAnchor="margin" w:xAlign="right" w:y="1"/>
      <w:rPr>
        <w:rStyle w:val="30"/>
      </w:rPr>
    </w:pPr>
    <w:r>
      <w:fldChar w:fldCharType="begin"/>
    </w:r>
    <w:r>
      <w:rPr>
        <w:rStyle w:val="30"/>
      </w:rPr>
      <w:instrText xml:space="preserve">PAGE  </w:instrText>
    </w:r>
    <w:r>
      <w:fldChar w:fldCharType="end"/>
    </w:r>
  </w:p>
  <w:p w14:paraId="6D40FB83">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B4995">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EFF1B">
    <w:pPr>
      <w:pStyle w:val="17"/>
      <w:tabs>
        <w:tab w:val="center" w:pos="4242"/>
        <w:tab w:val="clear" w:pos="4153"/>
        <w:tab w:val="clear" w:pos="8306"/>
      </w:tabs>
      <w:ind w:left="180" w:right="359" w:rightChars="171" w:hanging="180" w:hangingChars="100"/>
      <w:rPr>
        <w:rFonts w:eastAsia="楷体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BB57BE">
                          <w:pPr>
                            <w:pStyle w:val="17"/>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BB57BE">
                    <w:pPr>
                      <w:pStyle w:val="17"/>
                    </w:pPr>
                    <w:r>
                      <w:fldChar w:fldCharType="begin"/>
                    </w:r>
                    <w:r>
                      <w:instrText xml:space="preserve"> PAGE  \* MERGEFORMAT </w:instrText>
                    </w:r>
                    <w:r>
                      <w:fldChar w:fldCharType="separate"/>
                    </w:r>
                    <w:r>
                      <w:t>79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725E">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31F8F">
    <w:pPr>
      <w:ind w:right="-340" w:rightChars="-162"/>
      <w:rPr>
        <w:rFonts w:hint="eastAsia"/>
        <w:u w:val="none"/>
      </w:rPr>
    </w:pPr>
    <w:r>
      <w:rPr>
        <w:rFonts w:hint="eastAsia"/>
        <w:u w:val="none"/>
      </w:rPr>
      <w:t xml:space="preserve">湘能卓信项目管理有限公司            </w:t>
    </w:r>
    <w:r>
      <w:rPr>
        <w:rFonts w:hint="eastAsia"/>
        <w:b/>
        <w:bCs/>
        <w:i/>
        <w:iCs/>
        <w:u w:val="none"/>
      </w:rPr>
      <w:t xml:space="preserve">招标文件          </w:t>
    </w:r>
    <w:r>
      <w:rPr>
        <w:rFonts w:hint="eastAsia" w:ascii="宋体" w:hAnsi="宋体"/>
        <w:bCs/>
        <w:iCs/>
        <w:kern w:val="0"/>
        <w:u w:val="none"/>
      </w:rPr>
      <w:t xml:space="preserve">共 </w:t>
    </w:r>
    <w:r>
      <w:rPr>
        <w:rFonts w:hint="eastAsia" w:ascii="宋体" w:hAnsi="宋体"/>
        <w:bCs/>
        <w:iCs/>
        <w:kern w:val="0"/>
        <w:u w:val="none"/>
        <w:lang w:val="en-US" w:eastAsia="zh-CN"/>
      </w:rPr>
      <w:t>88</w:t>
    </w:r>
    <w:r>
      <w:rPr>
        <w:rFonts w:hint="eastAsia" w:ascii="宋体" w:hAnsi="宋体"/>
        <w:bCs/>
        <w:iCs/>
        <w:kern w:val="0"/>
        <w:u w:val="none"/>
      </w:rPr>
      <w:t xml:space="preserve"> 页     </w:t>
    </w:r>
    <w:r>
      <w:rPr>
        <w:rFonts w:hint="eastAsia"/>
        <w:bCs/>
        <w:iCs/>
        <w:kern w:val="0"/>
        <w:u w:val="none"/>
      </w:rPr>
      <w:t>第</w:t>
    </w:r>
    <w:r>
      <w:rPr>
        <w:rFonts w:ascii="宋体" w:hAnsi="宋体"/>
        <w:bCs/>
        <w:iCs/>
        <w:kern w:val="0"/>
        <w:u w:val="none"/>
      </w:rPr>
      <w:fldChar w:fldCharType="begin"/>
    </w:r>
    <w:r>
      <w:rPr>
        <w:rFonts w:ascii="宋体" w:hAnsi="宋体"/>
        <w:bCs/>
        <w:iCs/>
        <w:kern w:val="0"/>
        <w:u w:val="none"/>
      </w:rPr>
      <w:instrText xml:space="preserve"> PAGE </w:instrText>
    </w:r>
    <w:r>
      <w:rPr>
        <w:rFonts w:ascii="宋体" w:hAnsi="宋体"/>
        <w:bCs/>
        <w:iCs/>
        <w:kern w:val="0"/>
        <w:u w:val="none"/>
      </w:rPr>
      <w:fldChar w:fldCharType="separate"/>
    </w:r>
    <w:r>
      <w:rPr>
        <w:rFonts w:ascii="宋体" w:hAnsi="宋体"/>
        <w:bCs/>
        <w:iCs/>
        <w:kern w:val="0"/>
        <w:u w:val="none"/>
      </w:rPr>
      <w:t>81</w:t>
    </w:r>
    <w:r>
      <w:rPr>
        <w:rFonts w:ascii="宋体" w:hAnsi="宋体"/>
        <w:bCs/>
        <w:iCs/>
        <w:kern w:val="0"/>
        <w:u w:val="none"/>
      </w:rPr>
      <w:fldChar w:fldCharType="end"/>
    </w:r>
    <w:r>
      <w:rPr>
        <w:rFonts w:hint="eastAsia" w:ascii="宋体" w:hAnsi="宋体"/>
        <w:bCs/>
        <w:iCs/>
        <w:kern w:val="0"/>
        <w:u w:val="none"/>
      </w:rPr>
      <w:t xml:space="preserve"> 页</w:t>
    </w:r>
  </w:p>
  <w:p w14:paraId="61BA3C2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6E43">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E2612">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11DB3">
    <w:pPr>
      <w:ind w:right="-340" w:rightChars="-162"/>
      <w:rPr>
        <w:rFonts w:hint="eastAsia"/>
        <w:u w:val="single"/>
      </w:rPr>
    </w:pPr>
    <w:r>
      <w:rPr>
        <w:rFonts w:hint="eastAsia"/>
        <w:u w:val="single"/>
      </w:rPr>
      <w:t xml:space="preserve">湘能卓信项目管理有限公司            </w:t>
    </w:r>
    <w:r>
      <w:rPr>
        <w:rFonts w:hint="eastAsia"/>
        <w:b/>
        <w:bCs/>
        <w:i/>
        <w:iCs/>
        <w:u w:val="single"/>
      </w:rPr>
      <w:t xml:space="preserve">招标文件          </w:t>
    </w:r>
    <w:r>
      <w:rPr>
        <w:rFonts w:hint="eastAsia" w:ascii="宋体" w:hAnsi="宋体"/>
        <w:bCs/>
        <w:iCs/>
        <w:kern w:val="0"/>
        <w:u w:val="single"/>
      </w:rPr>
      <w:t>共</w:t>
    </w:r>
    <w:r>
      <w:rPr>
        <w:rFonts w:hint="eastAsia" w:ascii="宋体" w:hAnsi="宋体"/>
        <w:bCs/>
        <w:iCs/>
        <w:kern w:val="0"/>
        <w:u w:val="single"/>
        <w:lang w:val="en-US" w:eastAsia="zh-CN"/>
      </w:rPr>
      <w:t>88</w:t>
    </w:r>
    <w:r>
      <w:rPr>
        <w:rFonts w:hint="eastAsia" w:ascii="宋体" w:hAnsi="宋体"/>
        <w:bCs/>
        <w:iCs/>
        <w:kern w:val="0"/>
        <w:u w:val="single"/>
      </w:rPr>
      <w:t xml:space="preserve">页     </w:t>
    </w:r>
    <w:r>
      <w:rPr>
        <w:rFonts w:hint="eastAsia"/>
        <w:bCs/>
        <w:iCs/>
        <w:kern w:val="0"/>
        <w:u w:val="single"/>
      </w:rPr>
      <w:t>第</w:t>
    </w:r>
    <w:r>
      <w:rPr>
        <w:rFonts w:ascii="宋体" w:hAnsi="宋体"/>
        <w:bCs/>
        <w:iCs/>
        <w:kern w:val="0"/>
        <w:u w:val="single"/>
      </w:rPr>
      <w:fldChar w:fldCharType="begin"/>
    </w:r>
    <w:r>
      <w:rPr>
        <w:rFonts w:ascii="宋体" w:hAnsi="宋体"/>
        <w:bCs/>
        <w:iCs/>
        <w:kern w:val="0"/>
        <w:u w:val="single"/>
      </w:rPr>
      <w:instrText xml:space="preserve"> PAGE </w:instrText>
    </w:r>
    <w:r>
      <w:rPr>
        <w:rFonts w:ascii="宋体" w:hAnsi="宋体"/>
        <w:bCs/>
        <w:iCs/>
        <w:kern w:val="0"/>
        <w:u w:val="single"/>
      </w:rPr>
      <w:fldChar w:fldCharType="separate"/>
    </w:r>
    <w:r>
      <w:rPr>
        <w:rFonts w:ascii="宋体" w:hAnsi="宋体"/>
        <w:bCs/>
        <w:iCs/>
        <w:kern w:val="0"/>
        <w:u w:val="single"/>
      </w:rPr>
      <w:t>81</w:t>
    </w:r>
    <w:r>
      <w:rPr>
        <w:rFonts w:ascii="宋体" w:hAnsi="宋体"/>
        <w:bCs/>
        <w:iCs/>
        <w:kern w:val="0"/>
        <w:u w:val="single"/>
      </w:rPr>
      <w:fldChar w:fldCharType="end"/>
    </w:r>
    <w:r>
      <w:rPr>
        <w:rFonts w:hint="eastAsia" w:ascii="宋体" w:hAnsi="宋体"/>
        <w:bCs/>
        <w:iCs/>
        <w:kern w:val="0"/>
        <w:u w:val="single"/>
      </w:rPr>
      <w:t xml:space="preserve"> 页</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BC9F4">
    <w:pPr>
      <w:pStyle w:val="19"/>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0FB1">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NzgzZDU0NWVmY2ZlNTVjOGQ3MzI1NTliZjYxNmIifQ=="/>
  </w:docVars>
  <w:rsids>
    <w:rsidRoot w:val="00172A27"/>
    <w:rsid w:val="0000075C"/>
    <w:rsid w:val="00007B20"/>
    <w:rsid w:val="00024011"/>
    <w:rsid w:val="00053A3C"/>
    <w:rsid w:val="00060D85"/>
    <w:rsid w:val="0006574C"/>
    <w:rsid w:val="00070913"/>
    <w:rsid w:val="00083E1B"/>
    <w:rsid w:val="00085DF7"/>
    <w:rsid w:val="000A6E93"/>
    <w:rsid w:val="000A73C7"/>
    <w:rsid w:val="000C2881"/>
    <w:rsid w:val="001348F9"/>
    <w:rsid w:val="00140354"/>
    <w:rsid w:val="00143625"/>
    <w:rsid w:val="00176F40"/>
    <w:rsid w:val="001D71C9"/>
    <w:rsid w:val="00232947"/>
    <w:rsid w:val="00235812"/>
    <w:rsid w:val="00242572"/>
    <w:rsid w:val="0026798E"/>
    <w:rsid w:val="00277BBC"/>
    <w:rsid w:val="002834BB"/>
    <w:rsid w:val="0029138E"/>
    <w:rsid w:val="002A3B31"/>
    <w:rsid w:val="002D0E4C"/>
    <w:rsid w:val="002E206A"/>
    <w:rsid w:val="002F3FC1"/>
    <w:rsid w:val="00310579"/>
    <w:rsid w:val="003121F7"/>
    <w:rsid w:val="00313701"/>
    <w:rsid w:val="00316CE9"/>
    <w:rsid w:val="00324A4F"/>
    <w:rsid w:val="00340D3C"/>
    <w:rsid w:val="0035660F"/>
    <w:rsid w:val="00374FCE"/>
    <w:rsid w:val="00383F36"/>
    <w:rsid w:val="00386EB4"/>
    <w:rsid w:val="003905C3"/>
    <w:rsid w:val="003C2FBA"/>
    <w:rsid w:val="003C3E9D"/>
    <w:rsid w:val="003D48DF"/>
    <w:rsid w:val="003D4EA5"/>
    <w:rsid w:val="003D4FC5"/>
    <w:rsid w:val="003D7D76"/>
    <w:rsid w:val="003F430D"/>
    <w:rsid w:val="00432213"/>
    <w:rsid w:val="00433662"/>
    <w:rsid w:val="00444412"/>
    <w:rsid w:val="004C4C91"/>
    <w:rsid w:val="004D1DB1"/>
    <w:rsid w:val="004E0CA6"/>
    <w:rsid w:val="00503F76"/>
    <w:rsid w:val="00531FE1"/>
    <w:rsid w:val="00537E4F"/>
    <w:rsid w:val="00552E92"/>
    <w:rsid w:val="00561C7A"/>
    <w:rsid w:val="00571AE3"/>
    <w:rsid w:val="00576CB9"/>
    <w:rsid w:val="005A1082"/>
    <w:rsid w:val="005B4560"/>
    <w:rsid w:val="005C721C"/>
    <w:rsid w:val="005E0DF4"/>
    <w:rsid w:val="00656528"/>
    <w:rsid w:val="006767A1"/>
    <w:rsid w:val="0068370A"/>
    <w:rsid w:val="00686B99"/>
    <w:rsid w:val="00697B7B"/>
    <w:rsid w:val="006B4CEA"/>
    <w:rsid w:val="006D1F20"/>
    <w:rsid w:val="006F4C1E"/>
    <w:rsid w:val="006F7BFF"/>
    <w:rsid w:val="007008CB"/>
    <w:rsid w:val="00704B84"/>
    <w:rsid w:val="0075448D"/>
    <w:rsid w:val="007624AB"/>
    <w:rsid w:val="00796F59"/>
    <w:rsid w:val="007A59EB"/>
    <w:rsid w:val="007C3B91"/>
    <w:rsid w:val="007D6AE7"/>
    <w:rsid w:val="007E5F67"/>
    <w:rsid w:val="007F1370"/>
    <w:rsid w:val="008222FE"/>
    <w:rsid w:val="008271A7"/>
    <w:rsid w:val="0083102F"/>
    <w:rsid w:val="00831C5A"/>
    <w:rsid w:val="00836C7E"/>
    <w:rsid w:val="00840E91"/>
    <w:rsid w:val="00874A48"/>
    <w:rsid w:val="0089043F"/>
    <w:rsid w:val="00913775"/>
    <w:rsid w:val="009142E6"/>
    <w:rsid w:val="00933430"/>
    <w:rsid w:val="00946F3F"/>
    <w:rsid w:val="00977B40"/>
    <w:rsid w:val="0099151D"/>
    <w:rsid w:val="009A5663"/>
    <w:rsid w:val="009A78D9"/>
    <w:rsid w:val="009C153B"/>
    <w:rsid w:val="009C266E"/>
    <w:rsid w:val="009D7645"/>
    <w:rsid w:val="009F1CDE"/>
    <w:rsid w:val="00A10527"/>
    <w:rsid w:val="00A16F4D"/>
    <w:rsid w:val="00A22AFD"/>
    <w:rsid w:val="00A239A2"/>
    <w:rsid w:val="00A24977"/>
    <w:rsid w:val="00A477B5"/>
    <w:rsid w:val="00A66FA7"/>
    <w:rsid w:val="00A9162D"/>
    <w:rsid w:val="00A91C2F"/>
    <w:rsid w:val="00A948F2"/>
    <w:rsid w:val="00A96633"/>
    <w:rsid w:val="00AA5FB5"/>
    <w:rsid w:val="00AB18C0"/>
    <w:rsid w:val="00AB6C09"/>
    <w:rsid w:val="00AE1856"/>
    <w:rsid w:val="00B02F44"/>
    <w:rsid w:val="00B13159"/>
    <w:rsid w:val="00B2669D"/>
    <w:rsid w:val="00B7740A"/>
    <w:rsid w:val="00BB4151"/>
    <w:rsid w:val="00BC1D50"/>
    <w:rsid w:val="00BF4718"/>
    <w:rsid w:val="00C05FCD"/>
    <w:rsid w:val="00C219E9"/>
    <w:rsid w:val="00C30366"/>
    <w:rsid w:val="00C61D16"/>
    <w:rsid w:val="00C66A86"/>
    <w:rsid w:val="00C7284E"/>
    <w:rsid w:val="00C72D80"/>
    <w:rsid w:val="00C86EFD"/>
    <w:rsid w:val="00CD38A2"/>
    <w:rsid w:val="00D0011E"/>
    <w:rsid w:val="00D2430E"/>
    <w:rsid w:val="00D30C20"/>
    <w:rsid w:val="00D51550"/>
    <w:rsid w:val="00D673BE"/>
    <w:rsid w:val="00D71A36"/>
    <w:rsid w:val="00D918A0"/>
    <w:rsid w:val="00D932EA"/>
    <w:rsid w:val="00DA5602"/>
    <w:rsid w:val="00DB5C1B"/>
    <w:rsid w:val="00DB5E6A"/>
    <w:rsid w:val="00DC2C32"/>
    <w:rsid w:val="00DD76ED"/>
    <w:rsid w:val="00E16D57"/>
    <w:rsid w:val="00E20930"/>
    <w:rsid w:val="00E36668"/>
    <w:rsid w:val="00E40088"/>
    <w:rsid w:val="00E4135C"/>
    <w:rsid w:val="00E4753A"/>
    <w:rsid w:val="00E55AEE"/>
    <w:rsid w:val="00E72869"/>
    <w:rsid w:val="00E84725"/>
    <w:rsid w:val="00E963D3"/>
    <w:rsid w:val="00E96F3E"/>
    <w:rsid w:val="00EA22B9"/>
    <w:rsid w:val="00EB17B3"/>
    <w:rsid w:val="00EF78F3"/>
    <w:rsid w:val="00F239D6"/>
    <w:rsid w:val="00F27743"/>
    <w:rsid w:val="00F57CC5"/>
    <w:rsid w:val="00F679CE"/>
    <w:rsid w:val="00F72D87"/>
    <w:rsid w:val="00F92B46"/>
    <w:rsid w:val="00FB52C9"/>
    <w:rsid w:val="018B65C8"/>
    <w:rsid w:val="018C244D"/>
    <w:rsid w:val="01B82BAB"/>
    <w:rsid w:val="024A73DB"/>
    <w:rsid w:val="02EB264D"/>
    <w:rsid w:val="03697F6B"/>
    <w:rsid w:val="03E35AEF"/>
    <w:rsid w:val="040C699C"/>
    <w:rsid w:val="048C4DD3"/>
    <w:rsid w:val="04B11F12"/>
    <w:rsid w:val="050F6E34"/>
    <w:rsid w:val="05E0700A"/>
    <w:rsid w:val="0603688A"/>
    <w:rsid w:val="06F61738"/>
    <w:rsid w:val="07875FBB"/>
    <w:rsid w:val="07D41754"/>
    <w:rsid w:val="095F763D"/>
    <w:rsid w:val="09750CBE"/>
    <w:rsid w:val="09BA2AC6"/>
    <w:rsid w:val="09DE7E5F"/>
    <w:rsid w:val="09F4786A"/>
    <w:rsid w:val="0B664CB3"/>
    <w:rsid w:val="0B94433C"/>
    <w:rsid w:val="0C877C83"/>
    <w:rsid w:val="0D2C2451"/>
    <w:rsid w:val="0D8D003F"/>
    <w:rsid w:val="0E98481D"/>
    <w:rsid w:val="0F19203C"/>
    <w:rsid w:val="1010343F"/>
    <w:rsid w:val="10282537"/>
    <w:rsid w:val="11BE5D2B"/>
    <w:rsid w:val="11F272A1"/>
    <w:rsid w:val="12B4380A"/>
    <w:rsid w:val="13144368"/>
    <w:rsid w:val="13533E53"/>
    <w:rsid w:val="13FA7090"/>
    <w:rsid w:val="14044EE5"/>
    <w:rsid w:val="14A9724A"/>
    <w:rsid w:val="159E7205"/>
    <w:rsid w:val="15AD1E16"/>
    <w:rsid w:val="15B53BC7"/>
    <w:rsid w:val="15D324FC"/>
    <w:rsid w:val="175B58E8"/>
    <w:rsid w:val="17852965"/>
    <w:rsid w:val="178E244B"/>
    <w:rsid w:val="19467ED2"/>
    <w:rsid w:val="1A231FC1"/>
    <w:rsid w:val="1A72259A"/>
    <w:rsid w:val="1B21595C"/>
    <w:rsid w:val="1C8B68B6"/>
    <w:rsid w:val="1D0C2F27"/>
    <w:rsid w:val="1E682B71"/>
    <w:rsid w:val="20072E01"/>
    <w:rsid w:val="20087C0F"/>
    <w:rsid w:val="20455E1F"/>
    <w:rsid w:val="2191148D"/>
    <w:rsid w:val="219264E8"/>
    <w:rsid w:val="21A15A2B"/>
    <w:rsid w:val="22117A1E"/>
    <w:rsid w:val="22E55F1F"/>
    <w:rsid w:val="242877DE"/>
    <w:rsid w:val="242E1C8E"/>
    <w:rsid w:val="25284981"/>
    <w:rsid w:val="26D0062C"/>
    <w:rsid w:val="270F0823"/>
    <w:rsid w:val="27294FDF"/>
    <w:rsid w:val="273F392A"/>
    <w:rsid w:val="27864CC1"/>
    <w:rsid w:val="28016318"/>
    <w:rsid w:val="28D62AA9"/>
    <w:rsid w:val="29EE439A"/>
    <w:rsid w:val="2AC76112"/>
    <w:rsid w:val="2BF5510A"/>
    <w:rsid w:val="2F5C3695"/>
    <w:rsid w:val="2FF26266"/>
    <w:rsid w:val="305E48E6"/>
    <w:rsid w:val="309177FC"/>
    <w:rsid w:val="31AD2358"/>
    <w:rsid w:val="32883A6D"/>
    <w:rsid w:val="3362086A"/>
    <w:rsid w:val="34E23A7E"/>
    <w:rsid w:val="3644773E"/>
    <w:rsid w:val="37790091"/>
    <w:rsid w:val="38797524"/>
    <w:rsid w:val="38A8605B"/>
    <w:rsid w:val="38FC2559"/>
    <w:rsid w:val="393F222C"/>
    <w:rsid w:val="39865A64"/>
    <w:rsid w:val="3AA52853"/>
    <w:rsid w:val="3B874AA7"/>
    <w:rsid w:val="3BD553B9"/>
    <w:rsid w:val="3CC167CC"/>
    <w:rsid w:val="3D180068"/>
    <w:rsid w:val="3DBF44D4"/>
    <w:rsid w:val="3DD32436"/>
    <w:rsid w:val="3E4F30BA"/>
    <w:rsid w:val="3E8B0280"/>
    <w:rsid w:val="3F206D48"/>
    <w:rsid w:val="3F294BCE"/>
    <w:rsid w:val="3F4E2A77"/>
    <w:rsid w:val="3FF878C8"/>
    <w:rsid w:val="40023570"/>
    <w:rsid w:val="40291AE2"/>
    <w:rsid w:val="408829FA"/>
    <w:rsid w:val="41532919"/>
    <w:rsid w:val="427A6373"/>
    <w:rsid w:val="429A08F9"/>
    <w:rsid w:val="42B555FD"/>
    <w:rsid w:val="42FF2D1C"/>
    <w:rsid w:val="43B40919"/>
    <w:rsid w:val="44E51697"/>
    <w:rsid w:val="44F56E3A"/>
    <w:rsid w:val="45B7491B"/>
    <w:rsid w:val="464566E5"/>
    <w:rsid w:val="46C8271F"/>
    <w:rsid w:val="473202DD"/>
    <w:rsid w:val="47411441"/>
    <w:rsid w:val="480A3467"/>
    <w:rsid w:val="486465AD"/>
    <w:rsid w:val="48A54310"/>
    <w:rsid w:val="48F168CE"/>
    <w:rsid w:val="49DE3930"/>
    <w:rsid w:val="4A0E3256"/>
    <w:rsid w:val="4AA221AE"/>
    <w:rsid w:val="4AAE702D"/>
    <w:rsid w:val="4ADB717D"/>
    <w:rsid w:val="4C235CCD"/>
    <w:rsid w:val="4CBC0556"/>
    <w:rsid w:val="4CC76658"/>
    <w:rsid w:val="4E9A077F"/>
    <w:rsid w:val="4F292BD8"/>
    <w:rsid w:val="4F766D5E"/>
    <w:rsid w:val="4F7A5180"/>
    <w:rsid w:val="4F8E5EDD"/>
    <w:rsid w:val="4FAD084A"/>
    <w:rsid w:val="502B0565"/>
    <w:rsid w:val="507A1C34"/>
    <w:rsid w:val="51FA5785"/>
    <w:rsid w:val="522917DA"/>
    <w:rsid w:val="53A932BB"/>
    <w:rsid w:val="5456081F"/>
    <w:rsid w:val="556C6A8B"/>
    <w:rsid w:val="562F7245"/>
    <w:rsid w:val="56A33168"/>
    <w:rsid w:val="56B45C26"/>
    <w:rsid w:val="57122BC6"/>
    <w:rsid w:val="57410DA1"/>
    <w:rsid w:val="57513EAB"/>
    <w:rsid w:val="57C35D21"/>
    <w:rsid w:val="58297231"/>
    <w:rsid w:val="589D7375"/>
    <w:rsid w:val="58AB56AC"/>
    <w:rsid w:val="58D235D5"/>
    <w:rsid w:val="59661737"/>
    <w:rsid w:val="5ACB0249"/>
    <w:rsid w:val="5BE24019"/>
    <w:rsid w:val="5CAE3AE7"/>
    <w:rsid w:val="5D455023"/>
    <w:rsid w:val="5D6C75F3"/>
    <w:rsid w:val="5D7768FB"/>
    <w:rsid w:val="5E5C7BF1"/>
    <w:rsid w:val="5F0019DD"/>
    <w:rsid w:val="5F52004A"/>
    <w:rsid w:val="5F894698"/>
    <w:rsid w:val="5FE7285A"/>
    <w:rsid w:val="60501E8E"/>
    <w:rsid w:val="60603A82"/>
    <w:rsid w:val="60AA6C83"/>
    <w:rsid w:val="60D7326D"/>
    <w:rsid w:val="6145595F"/>
    <w:rsid w:val="61FA3C48"/>
    <w:rsid w:val="6246378A"/>
    <w:rsid w:val="6249156D"/>
    <w:rsid w:val="62BD60DC"/>
    <w:rsid w:val="62E71AA0"/>
    <w:rsid w:val="64234CA7"/>
    <w:rsid w:val="64375F5C"/>
    <w:rsid w:val="655C6080"/>
    <w:rsid w:val="65690E81"/>
    <w:rsid w:val="65EC6134"/>
    <w:rsid w:val="666F1B52"/>
    <w:rsid w:val="668B5B40"/>
    <w:rsid w:val="673D1934"/>
    <w:rsid w:val="67B36680"/>
    <w:rsid w:val="69893875"/>
    <w:rsid w:val="69920A7C"/>
    <w:rsid w:val="69A04061"/>
    <w:rsid w:val="69DC613E"/>
    <w:rsid w:val="6A6D488B"/>
    <w:rsid w:val="6A8E035E"/>
    <w:rsid w:val="6B1E16E2"/>
    <w:rsid w:val="6C741EF9"/>
    <w:rsid w:val="6D21195D"/>
    <w:rsid w:val="6EDF2750"/>
    <w:rsid w:val="6EE132F8"/>
    <w:rsid w:val="6F4E704A"/>
    <w:rsid w:val="6FF927B8"/>
    <w:rsid w:val="70295A1E"/>
    <w:rsid w:val="70795A00"/>
    <w:rsid w:val="70BE3A2B"/>
    <w:rsid w:val="71171FB3"/>
    <w:rsid w:val="713518D1"/>
    <w:rsid w:val="71671EF3"/>
    <w:rsid w:val="7182545E"/>
    <w:rsid w:val="72531AA1"/>
    <w:rsid w:val="726E40EB"/>
    <w:rsid w:val="7383484D"/>
    <w:rsid w:val="745F76AE"/>
    <w:rsid w:val="74BC30A8"/>
    <w:rsid w:val="74CF0F6A"/>
    <w:rsid w:val="76671A31"/>
    <w:rsid w:val="76CC0C3E"/>
    <w:rsid w:val="76E557A9"/>
    <w:rsid w:val="778E6469"/>
    <w:rsid w:val="780305DD"/>
    <w:rsid w:val="78904560"/>
    <w:rsid w:val="78947487"/>
    <w:rsid w:val="78BE4504"/>
    <w:rsid w:val="7957472F"/>
    <w:rsid w:val="7AF7432E"/>
    <w:rsid w:val="7C3F756C"/>
    <w:rsid w:val="7C484810"/>
    <w:rsid w:val="7C5B3151"/>
    <w:rsid w:val="7D4A591B"/>
    <w:rsid w:val="7D8C7EAD"/>
    <w:rsid w:val="7DA04086"/>
    <w:rsid w:val="7E6B0C8A"/>
    <w:rsid w:val="7E952C03"/>
    <w:rsid w:val="7EA147B9"/>
    <w:rsid w:val="7F204924"/>
    <w:rsid w:val="7F231565"/>
    <w:rsid w:val="7F5060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5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jc w:val="center"/>
      <w:outlineLvl w:val="0"/>
    </w:pPr>
    <w:rPr>
      <w:rFonts w:ascii="Times New Roman" w:hAnsi="Times New Roman" w:eastAsia="宋体" w:cs="Times New Roman"/>
      <w:b/>
      <w:bCs/>
      <w:sz w:val="24"/>
      <w:szCs w:val="20"/>
    </w:rPr>
  </w:style>
  <w:style w:type="paragraph" w:styleId="5">
    <w:name w:val="heading 2"/>
    <w:basedOn w:val="1"/>
    <w:next w:val="1"/>
    <w:link w:val="36"/>
    <w:qFormat/>
    <w:uiPriority w:val="0"/>
    <w:pPr>
      <w:keepNext/>
      <w:keepLines/>
      <w:spacing w:line="360" w:lineRule="auto"/>
      <w:outlineLvl w:val="1"/>
    </w:pPr>
    <w:rPr>
      <w:rFonts w:ascii="Arial" w:hAnsi="Arial" w:eastAsia="宋体" w:cs="Times New Roman"/>
      <w:b/>
      <w:bCs/>
      <w:sz w:val="24"/>
      <w:szCs w:val="32"/>
    </w:rPr>
  </w:style>
  <w:style w:type="paragraph" w:styleId="6">
    <w:name w:val="heading 3"/>
    <w:basedOn w:val="1"/>
    <w:next w:val="1"/>
    <w:link w:val="37"/>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8">
    <w:name w:val="Default Paragraph Font"/>
    <w:qFormat/>
    <w:uiPriority w:val="0"/>
    <w:rPr>
      <w:rFonts w:ascii="Times New Roman" w:hAnsi="Times New Roman" w:eastAsia="宋体" w:cs="Times New Roman"/>
    </w:rPr>
  </w:style>
  <w:style w:type="table" w:default="1" w:styleId="26">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Normal Indent"/>
    <w:basedOn w:val="1"/>
    <w:qFormat/>
    <w:uiPriority w:val="0"/>
    <w:pPr>
      <w:widowControl/>
      <w:ind w:firstLine="420"/>
      <w:jc w:val="left"/>
    </w:pPr>
    <w:rPr>
      <w:rFonts w:ascii="Times New Roman" w:hAnsi="Times New Roman" w:eastAsia="宋体" w:cs="Times New Roman"/>
      <w:kern w:val="0"/>
      <w:sz w:val="20"/>
      <w:szCs w:val="20"/>
    </w:rPr>
  </w:style>
  <w:style w:type="paragraph" w:styleId="8">
    <w:name w:val="toa heading"/>
    <w:basedOn w:val="1"/>
    <w:next w:val="1"/>
    <w:qFormat/>
    <w:uiPriority w:val="0"/>
    <w:pPr>
      <w:spacing w:before="120" w:line="360" w:lineRule="auto"/>
      <w:ind w:firstLine="880" w:firstLineChars="200"/>
    </w:pPr>
    <w:rPr>
      <w:rFonts w:ascii="Arial" w:hAnsi="Arial" w:eastAsia="仿宋"/>
      <w:sz w:val="28"/>
      <w:szCs w:val="22"/>
    </w:rPr>
  </w:style>
  <w:style w:type="paragraph" w:styleId="9">
    <w:name w:val="annotation text"/>
    <w:basedOn w:val="1"/>
    <w:qFormat/>
    <w:uiPriority w:val="0"/>
    <w:pPr>
      <w:jc w:val="left"/>
    </w:pPr>
  </w:style>
  <w:style w:type="paragraph" w:styleId="10">
    <w:name w:val="Body Text Indent"/>
    <w:basedOn w:val="1"/>
    <w:next w:val="11"/>
    <w:qFormat/>
    <w:uiPriority w:val="0"/>
    <w:pPr>
      <w:spacing w:after="120"/>
      <w:ind w:left="420" w:leftChars="200"/>
    </w:pPr>
    <w:rPr>
      <w:rFonts w:ascii="Times New Roman" w:hAnsi="Times New Roman" w:eastAsia="宋体" w:cs="Times New Roman"/>
    </w:rPr>
  </w:style>
  <w:style w:type="paragraph" w:styleId="11">
    <w:name w:val="Body Text First Indent 2"/>
    <w:basedOn w:val="10"/>
    <w:qFormat/>
    <w:uiPriority w:val="0"/>
    <w:pPr>
      <w:ind w:firstLine="420" w:firstLineChars="200"/>
    </w:pPr>
    <w:rPr>
      <w:rFonts w:ascii="Times New Roman" w:hAnsi="Times New Roman" w:eastAsia="宋体" w:cs="Times New Roman"/>
    </w:rPr>
  </w:style>
  <w:style w:type="paragraph" w:styleId="12">
    <w:name w:val="toc 3"/>
    <w:basedOn w:val="1"/>
    <w:next w:val="1"/>
    <w:qFormat/>
    <w:uiPriority w:val="0"/>
    <w:pPr>
      <w:adjustRightInd w:val="0"/>
      <w:snapToGrid w:val="0"/>
      <w:spacing w:line="360" w:lineRule="auto"/>
      <w:ind w:left="400" w:leftChars="400"/>
    </w:pPr>
    <w:rPr>
      <w:rFonts w:ascii="Times New Roman" w:hAnsi="Times New Roman" w:eastAsia="宋体" w:cs="Times New Roman"/>
      <w:b/>
    </w:rPr>
  </w:style>
  <w:style w:type="paragraph" w:styleId="13">
    <w:name w:val="Plain Text"/>
    <w:basedOn w:val="1"/>
    <w:link w:val="38"/>
    <w:qFormat/>
    <w:uiPriority w:val="0"/>
    <w:rPr>
      <w:rFonts w:ascii="宋体" w:hAnsi="Courier New" w:eastAsia="宋体" w:cs="Courier New"/>
      <w:szCs w:val="21"/>
    </w:rPr>
  </w:style>
  <w:style w:type="paragraph" w:styleId="14">
    <w:name w:val="Date"/>
    <w:basedOn w:val="1"/>
    <w:next w:val="1"/>
    <w:qFormat/>
    <w:uiPriority w:val="0"/>
    <w:rPr>
      <w:rFonts w:ascii="Times New Roman" w:hAnsi="Times New Roman" w:eastAsia="宋体" w:cs="Times New Roman"/>
      <w:sz w:val="24"/>
      <w:szCs w:val="20"/>
    </w:rPr>
  </w:style>
  <w:style w:type="paragraph" w:styleId="1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16">
    <w:name w:val="Balloon Text"/>
    <w:basedOn w:val="1"/>
    <w:link w:val="39"/>
    <w:qFormat/>
    <w:uiPriority w:val="0"/>
    <w:rPr>
      <w:rFonts w:ascii="Times New Roman" w:hAnsi="Times New Roman" w:eastAsia="宋体" w:cs="Times New Roman"/>
      <w:sz w:val="18"/>
      <w:szCs w:val="18"/>
    </w:rPr>
  </w:style>
  <w:style w:type="paragraph" w:styleId="17">
    <w:name w:val="footer"/>
    <w:basedOn w:val="1"/>
    <w:link w:val="40"/>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8">
    <w:name w:val="envelope return"/>
    <w:basedOn w:val="1"/>
    <w:qFormat/>
    <w:uiPriority w:val="0"/>
    <w:pPr>
      <w:snapToGrid w:val="0"/>
    </w:pPr>
    <w:rPr>
      <w:rFonts w:ascii="Arial" w:hAnsi="Arial"/>
    </w:rPr>
  </w:style>
  <w:style w:type="paragraph" w:styleId="19">
    <w:name w:val="header"/>
    <w:basedOn w:val="1"/>
    <w:link w:val="4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20">
    <w:name w:val="toc 1"/>
    <w:basedOn w:val="1"/>
    <w:next w:val="1"/>
    <w:qFormat/>
    <w:uiPriority w:val="0"/>
    <w:pPr>
      <w:spacing w:line="360" w:lineRule="auto"/>
    </w:pPr>
    <w:rPr>
      <w:rFonts w:ascii="宋体" w:hAnsi="宋体" w:eastAsia="宋体" w:cs="Times New Roman"/>
      <w:b/>
      <w:sz w:val="24"/>
      <w:szCs w:val="21"/>
    </w:rPr>
  </w:style>
  <w:style w:type="paragraph" w:styleId="21">
    <w:name w:val="toc 4"/>
    <w:basedOn w:val="1"/>
    <w:next w:val="1"/>
    <w:qFormat/>
    <w:uiPriority w:val="0"/>
    <w:pPr>
      <w:adjustRightInd w:val="0"/>
      <w:snapToGrid w:val="0"/>
      <w:spacing w:line="360" w:lineRule="auto"/>
      <w:ind w:left="600" w:leftChars="600"/>
    </w:pPr>
    <w:rPr>
      <w:rFonts w:ascii="Calibri" w:hAnsi="Calibri" w:eastAsia="宋体" w:cs="Times New Roman"/>
      <w:b/>
      <w:szCs w:val="22"/>
    </w:rPr>
  </w:style>
  <w:style w:type="paragraph" w:styleId="22">
    <w:name w:val="toc 2"/>
    <w:basedOn w:val="1"/>
    <w:next w:val="1"/>
    <w:qFormat/>
    <w:uiPriority w:val="0"/>
    <w:pPr>
      <w:spacing w:line="360" w:lineRule="auto"/>
      <w:ind w:left="200" w:leftChars="200"/>
    </w:pPr>
    <w:rPr>
      <w:rFonts w:ascii="Times New Roman" w:hAnsi="Times New Roman" w:eastAsia="宋体" w:cs="Times New Roman"/>
      <w:b/>
    </w:rPr>
  </w:style>
  <w:style w:type="paragraph" w:styleId="23">
    <w:name w:val="Body Text 2"/>
    <w:basedOn w:val="1"/>
    <w:next w:val="2"/>
    <w:qFormat/>
    <w:uiPriority w:val="0"/>
    <w:pPr>
      <w:spacing w:after="120" w:line="480" w:lineRule="auto"/>
    </w:pPr>
    <w:rPr>
      <w:rFonts w:ascii="Times New Roman" w:hAnsi="Times New Roman" w:eastAsia="宋体" w:cs="Times New Roman"/>
    </w:rPr>
  </w:style>
  <w:style w:type="paragraph" w:styleId="24">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25">
    <w:name w:val="Body Text First Indent"/>
    <w:basedOn w:val="2"/>
    <w:qFormat/>
    <w:uiPriority w:val="0"/>
    <w:pPr>
      <w:adjustRightInd w:val="0"/>
      <w:ind w:firstLine="425"/>
      <w:textAlignment w:val="baseline"/>
    </w:pPr>
    <w:rPr>
      <w:kern w:val="0"/>
      <w:szCs w:val="20"/>
    </w:rPr>
  </w:style>
  <w:style w:type="table" w:styleId="27">
    <w:name w:val="Table Grid"/>
    <w:basedOn w:val="2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Times New Roman" w:hAnsi="Times New Roman" w:eastAsia="宋体" w:cs="Times New Roman"/>
      <w:b/>
      <w:bCs/>
    </w:rPr>
  </w:style>
  <w:style w:type="character" w:styleId="30">
    <w:name w:val="page number"/>
    <w:qFormat/>
    <w:uiPriority w:val="0"/>
    <w:rPr>
      <w:rFonts w:ascii="Times New Roman" w:hAnsi="Times New Roman" w:eastAsia="宋体" w:cs="Times New Roman"/>
    </w:rPr>
  </w:style>
  <w:style w:type="character" w:styleId="31">
    <w:name w:val="Emphasis"/>
    <w:basedOn w:val="28"/>
    <w:link w:val="1"/>
    <w:qFormat/>
    <w:uiPriority w:val="0"/>
    <w:rPr>
      <w:rFonts w:ascii="Times New Roman" w:hAnsi="Times New Roman" w:eastAsia="宋体" w:cs="Times New Roman"/>
      <w:kern w:val="2"/>
      <w:sz w:val="21"/>
      <w:szCs w:val="24"/>
      <w:lang w:val="en-US" w:eastAsia="zh-CN" w:bidi="ar-SA"/>
    </w:rPr>
  </w:style>
  <w:style w:type="character" w:styleId="32">
    <w:name w:val="Hyperlink"/>
    <w:qFormat/>
    <w:uiPriority w:val="0"/>
    <w:rPr>
      <w:rFonts w:ascii="Times New Roman" w:hAnsi="Times New Roman" w:eastAsia="宋体" w:cs="Times New Roman"/>
      <w:color w:val="0563C1"/>
      <w:u w:val="single"/>
    </w:rPr>
  </w:style>
  <w:style w:type="paragraph" w:customStyle="1" w:styleId="33">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4">
    <w:name w:val="Intense Quote"/>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35">
    <w:name w:val="标题 1 Char1"/>
    <w:link w:val="4"/>
    <w:qFormat/>
    <w:uiPriority w:val="0"/>
    <w:rPr>
      <w:rFonts w:ascii="Times New Roman" w:hAnsi="Times New Roman" w:eastAsia="宋体" w:cs="Times New Roman"/>
      <w:b/>
      <w:bCs/>
      <w:sz w:val="24"/>
      <w:szCs w:val="20"/>
    </w:rPr>
  </w:style>
  <w:style w:type="character" w:customStyle="1" w:styleId="36">
    <w:name w:val="标题 2 字符"/>
    <w:link w:val="5"/>
    <w:qFormat/>
    <w:uiPriority w:val="0"/>
    <w:rPr>
      <w:rFonts w:ascii="Arial" w:hAnsi="Arial" w:eastAsia="宋体" w:cs="Times New Roman"/>
      <w:b/>
      <w:bCs/>
      <w:sz w:val="24"/>
      <w:szCs w:val="32"/>
    </w:rPr>
  </w:style>
  <w:style w:type="character" w:customStyle="1" w:styleId="37">
    <w:name w:val="标题 3 字符"/>
    <w:basedOn w:val="28"/>
    <w:link w:val="6"/>
    <w:qFormat/>
    <w:uiPriority w:val="0"/>
    <w:rPr>
      <w:rFonts w:ascii="Times New Roman" w:hAnsi="Times New Roman" w:eastAsia="宋体" w:cs="Times New Roman"/>
      <w:b/>
      <w:bCs/>
      <w:sz w:val="32"/>
      <w:szCs w:val="32"/>
    </w:rPr>
  </w:style>
  <w:style w:type="character" w:customStyle="1" w:styleId="38">
    <w:name w:val="纯文本 字符"/>
    <w:link w:val="13"/>
    <w:qFormat/>
    <w:uiPriority w:val="0"/>
    <w:rPr>
      <w:rFonts w:ascii="宋体" w:hAnsi="Courier New" w:eastAsia="宋体" w:cs="Courier New"/>
      <w:kern w:val="2"/>
      <w:sz w:val="21"/>
      <w:szCs w:val="21"/>
    </w:rPr>
  </w:style>
  <w:style w:type="character" w:customStyle="1" w:styleId="39">
    <w:name w:val="批注框文本 字符"/>
    <w:link w:val="16"/>
    <w:qFormat/>
    <w:uiPriority w:val="0"/>
    <w:rPr>
      <w:rFonts w:ascii="Times New Roman" w:hAnsi="Times New Roman" w:eastAsia="宋体" w:cs="Times New Roman"/>
      <w:kern w:val="2"/>
      <w:sz w:val="18"/>
      <w:szCs w:val="18"/>
    </w:rPr>
  </w:style>
  <w:style w:type="character" w:customStyle="1" w:styleId="40">
    <w:name w:val="页脚 字符"/>
    <w:link w:val="17"/>
    <w:qFormat/>
    <w:uiPriority w:val="0"/>
    <w:rPr>
      <w:rFonts w:ascii="Times New Roman" w:hAnsi="Times New Roman" w:eastAsia="宋体" w:cs="Times New Roman"/>
      <w:kern w:val="2"/>
      <w:sz w:val="18"/>
      <w:szCs w:val="18"/>
    </w:rPr>
  </w:style>
  <w:style w:type="character" w:customStyle="1" w:styleId="41">
    <w:name w:val="页眉 字符"/>
    <w:link w:val="19"/>
    <w:qFormat/>
    <w:uiPriority w:val="0"/>
    <w:rPr>
      <w:rFonts w:ascii="Times New Roman" w:hAnsi="Times New Roman" w:eastAsia="宋体" w:cs="Times New Roman"/>
      <w:kern w:val="2"/>
      <w:sz w:val="18"/>
      <w:szCs w:val="18"/>
    </w:rPr>
  </w:style>
  <w:style w:type="paragraph" w:styleId="42">
    <w:name w:val="List Paragraph"/>
    <w:basedOn w:val="1"/>
    <w:qFormat/>
    <w:uiPriority w:val="99"/>
    <w:pPr>
      <w:ind w:firstLine="420" w:firstLineChars="200"/>
    </w:pPr>
  </w:style>
  <w:style w:type="paragraph" w:customStyle="1" w:styleId="43">
    <w:name w:val="正文文本缩进_0"/>
    <w:basedOn w:val="44"/>
    <w:next w:val="45"/>
    <w:qFormat/>
    <w:uiPriority w:val="0"/>
    <w:pPr>
      <w:spacing w:after="120"/>
      <w:ind w:left="420" w:leftChars="200"/>
    </w:pPr>
  </w:style>
  <w:style w:type="paragraph" w:customStyle="1" w:styleId="44">
    <w:name w:val="正文_0"/>
    <w:next w:val="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正文文本缩进 2_0"/>
    <w:basedOn w:val="44"/>
    <w:qFormat/>
    <w:uiPriority w:val="0"/>
    <w:pPr>
      <w:spacing w:after="120" w:line="480" w:lineRule="auto"/>
      <w:ind w:left="420" w:leftChars="200"/>
    </w:pPr>
  </w:style>
  <w:style w:type="paragraph" w:customStyle="1" w:styleId="46">
    <w:name w:val="表格文字"/>
    <w:basedOn w:val="1"/>
    <w:next w:val="2"/>
    <w:qFormat/>
    <w:uiPriority w:val="0"/>
    <w:pPr>
      <w:adjustRightInd w:val="0"/>
      <w:spacing w:line="420" w:lineRule="atLeast"/>
      <w:jc w:val="left"/>
      <w:textAlignment w:val="baseline"/>
    </w:pPr>
    <w:rPr>
      <w:kern w:val="0"/>
    </w:rPr>
  </w:style>
  <w:style w:type="paragraph" w:customStyle="1" w:styleId="47">
    <w:name w:val="列出段落1"/>
    <w:basedOn w:val="48"/>
    <w:qFormat/>
    <w:uiPriority w:val="0"/>
    <w:pPr>
      <w:ind w:firstLine="420" w:firstLineChars="200"/>
    </w:pPr>
    <w:rPr>
      <w:rFonts w:ascii="Times New Roman" w:hAnsi="Times New Roman" w:eastAsia="宋体" w:cs="Times New Roman"/>
      <w:szCs w:val="21"/>
    </w:rPr>
  </w:style>
  <w:style w:type="paragraph" w:customStyle="1" w:styleId="48">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4"/>
    <w:next w:val="5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正文文本_4"/>
    <w:basedOn w:val="49"/>
    <w:qFormat/>
    <w:uiPriority w:val="0"/>
    <w:pPr>
      <w:spacing w:after="120"/>
    </w:pPr>
  </w:style>
  <w:style w:type="character" w:customStyle="1" w:styleId="51">
    <w:name w:val="NormalCharacter"/>
    <w:link w:val="1"/>
    <w:qFormat/>
    <w:uiPriority w:val="0"/>
    <w:rPr>
      <w:rFonts w:ascii="Times New Roman" w:hAnsi="Times New Roman" w:eastAsia="宋体" w:cs="Times New Roman"/>
    </w:rPr>
  </w:style>
  <w:style w:type="paragraph" w:customStyle="1" w:styleId="52">
    <w:name w:val="Normal_8"/>
    <w:qFormat/>
    <w:uiPriority w:val="0"/>
    <w:rPr>
      <w:rFonts w:ascii="Times New Roman" w:hAnsi="Times New Roman" w:eastAsia="Times New Roman" w:cs="Times New Roman"/>
      <w:sz w:val="24"/>
      <w:szCs w:val="24"/>
      <w:lang w:val="en-US" w:eastAsia="zh-CN" w:bidi="ar-SA"/>
    </w:rPr>
  </w:style>
  <w:style w:type="table" w:customStyle="1" w:styleId="53">
    <w:name w:val="Table Normal"/>
    <w:qFormat/>
    <w:uiPriority w:val="0"/>
    <w:rPr>
      <w:lang w:val="en-US" w:eastAsia="zh-CN" w:bidi="ar-SA"/>
    </w:rPr>
    <w:tblPr>
      <w:tblCellMar>
        <w:top w:w="0" w:type="dxa"/>
        <w:left w:w="0" w:type="dxa"/>
        <w:bottom w:w="0" w:type="dxa"/>
        <w:right w:w="0" w:type="dxa"/>
      </w:tblCellMar>
    </w:tblPr>
  </w:style>
  <w:style w:type="paragraph" w:customStyle="1" w:styleId="54">
    <w:name w:val="Normal_8_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Normal_8_3"/>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6">
    <w:name w:val="font41"/>
    <w:qFormat/>
    <w:uiPriority w:val="0"/>
    <w:rPr>
      <w:rFonts w:hint="eastAsia" w:ascii="宋体" w:hAnsi="宋体" w:eastAsia="宋体" w:cs="宋体"/>
      <w:color w:val="000000"/>
      <w:sz w:val="15"/>
      <w:szCs w:val="15"/>
      <w:u w:val="none"/>
    </w:rPr>
  </w:style>
  <w:style w:type="character" w:customStyle="1" w:styleId="57">
    <w:name w:val="font101"/>
    <w:qFormat/>
    <w:uiPriority w:val="0"/>
    <w:rPr>
      <w:rFonts w:hint="eastAsia" w:ascii="宋体" w:hAnsi="宋体" w:eastAsia="宋体" w:cs="宋体"/>
      <w:color w:val="FF0000"/>
      <w:sz w:val="15"/>
      <w:szCs w:val="15"/>
      <w:u w:val="none"/>
    </w:rPr>
  </w:style>
  <w:style w:type="character" w:customStyle="1" w:styleId="58">
    <w:name w:val="font31"/>
    <w:qFormat/>
    <w:uiPriority w:val="0"/>
    <w:rPr>
      <w:rFonts w:hint="eastAsia" w:ascii="宋体" w:hAnsi="宋体" w:eastAsia="宋体" w:cs="宋体"/>
      <w:color w:val="000000"/>
      <w:sz w:val="20"/>
      <w:szCs w:val="20"/>
      <w:u w:val="none"/>
    </w:rPr>
  </w:style>
  <w:style w:type="character" w:customStyle="1" w:styleId="59">
    <w:name w:val="font21"/>
    <w:qFormat/>
    <w:uiPriority w:val="0"/>
    <w:rPr>
      <w:rFonts w:hint="eastAsia" w:ascii="宋体" w:hAnsi="宋体" w:eastAsia="宋体" w:cs="宋体"/>
      <w:color w:val="FF0000"/>
      <w:sz w:val="20"/>
      <w:szCs w:val="20"/>
      <w:u w:val="none"/>
    </w:rPr>
  </w:style>
  <w:style w:type="character" w:customStyle="1" w:styleId="60">
    <w:name w:val="font71"/>
    <w:qFormat/>
    <w:uiPriority w:val="0"/>
    <w:rPr>
      <w:rFonts w:hint="eastAsia" w:ascii="宋体" w:hAnsi="宋体" w:eastAsia="宋体" w:cs="宋体"/>
      <w:color w:val="000000"/>
      <w:sz w:val="20"/>
      <w:szCs w:val="20"/>
      <w:u w:val="none"/>
    </w:rPr>
  </w:style>
  <w:style w:type="character" w:customStyle="1" w:styleId="61">
    <w:name w:val="font51"/>
    <w:qFormat/>
    <w:uiPriority w:val="0"/>
    <w:rPr>
      <w:rFonts w:ascii="DejaVu Sans" w:hAnsi="DejaVu Sans" w:eastAsia="DejaVu Sans" w:cs="DejaVu Sans"/>
      <w:color w:val="000000"/>
      <w:sz w:val="20"/>
      <w:szCs w:val="20"/>
      <w:u w:val="none"/>
    </w:rPr>
  </w:style>
  <w:style w:type="character" w:customStyle="1" w:styleId="62">
    <w:name w:val="font112"/>
    <w:qFormat/>
    <w:uiPriority w:val="0"/>
    <w:rPr>
      <w:rFonts w:hint="eastAsia" w:ascii="宋体" w:hAnsi="宋体" w:eastAsia="宋体" w:cs="宋体"/>
      <w:b/>
      <w:bCs/>
      <w:color w:val="000000"/>
      <w:sz w:val="21"/>
      <w:szCs w:val="21"/>
      <w:u w:val="none"/>
    </w:rPr>
  </w:style>
  <w:style w:type="character" w:customStyle="1" w:styleId="63">
    <w:name w:val="font121"/>
    <w:qFormat/>
    <w:uiPriority w:val="0"/>
    <w:rPr>
      <w:rFonts w:hint="eastAsia" w:ascii="宋体" w:hAnsi="宋体" w:eastAsia="宋体" w:cs="宋体"/>
      <w:b/>
      <w:bCs/>
      <w:color w:val="000000"/>
      <w:sz w:val="20"/>
      <w:szCs w:val="20"/>
      <w:u w:val="none"/>
    </w:rPr>
  </w:style>
  <w:style w:type="paragraph" w:customStyle="1" w:styleId="64">
    <w:name w:val="段落正文"/>
    <w:basedOn w:val="1"/>
    <w:qFormat/>
    <w:uiPriority w:val="0"/>
    <w:pPr>
      <w:spacing w:before="50" w:line="420" w:lineRule="auto"/>
      <w:ind w:left="113" w:right="48" w:rightChars="20" w:firstLine="200" w:firstLineChars="200"/>
    </w:pPr>
    <w:rPr>
      <w:rFonts w:ascii="Times New Roman" w:hAnsi="Times New Roman" w:eastAsia="仿宋"/>
      <w:spacing w:val="2"/>
      <w:sz w:val="28"/>
      <w:szCs w:val="20"/>
    </w:rPr>
  </w:style>
  <w:style w:type="paragraph" w:customStyle="1" w:styleId="65">
    <w:name w:val="Normal_0"/>
    <w:qFormat/>
    <w:uiPriority w:val="0"/>
    <w:rPr>
      <w:rFonts w:ascii="Times New Roman" w:hAnsi="Times New Roman" w:eastAsia="Times New Roman" w:cs="Times New Roman"/>
      <w:sz w:val="24"/>
      <w:szCs w:val="24"/>
      <w:lang w:val="en-US" w:eastAsia="zh-CN" w:bidi="ar-SA"/>
    </w:rPr>
  </w:style>
  <w:style w:type="paragraph" w:customStyle="1" w:styleId="66">
    <w:name w:val="Normal_1"/>
    <w:qFormat/>
    <w:uiPriority w:val="0"/>
    <w:rPr>
      <w:rFonts w:ascii="Calibri" w:hAnsi="Calibri" w:eastAsia="宋体" w:cs="Times New Roman"/>
      <w:sz w:val="24"/>
      <w:szCs w:val="24"/>
      <w:lang w:val="en-US" w:eastAsia="zh-CN" w:bidi="ar-SA"/>
    </w:rPr>
  </w:style>
  <w:style w:type="paragraph" w:customStyle="1" w:styleId="67">
    <w:name w:val="列表段落1"/>
    <w:basedOn w:val="1"/>
    <w:qFormat/>
    <w:uiPriority w:val="0"/>
    <w:pPr>
      <w:ind w:firstLine="200" w:firstLineChars="200"/>
    </w:pPr>
  </w:style>
  <w:style w:type="paragraph" w:customStyle="1" w:styleId="68">
    <w:name w:val="Table Text"/>
    <w:basedOn w:val="1"/>
    <w:semiHidden/>
    <w:qFormat/>
    <w:uiPriority w:val="0"/>
    <w:rPr>
      <w:rFonts w:ascii="宋体" w:hAnsi="宋体" w:eastAsia="宋体" w:cs="宋体"/>
      <w:sz w:val="34"/>
      <w:szCs w:val="34"/>
      <w:lang w:val="en-US" w:eastAsia="en-US" w:bidi="ar-SA"/>
    </w:rPr>
  </w:style>
  <w:style w:type="paragraph" w:customStyle="1" w:styleId="69">
    <w:name w:val="Normal_0_0"/>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91</Pages>
  <Words>39825</Words>
  <Characters>42108</Characters>
  <Lines>629</Lines>
  <Paragraphs>177</Paragraphs>
  <TotalTime>16</TotalTime>
  <ScaleCrop>false</ScaleCrop>
  <LinksUpToDate>false</LinksUpToDate>
  <CharactersWithSpaces>45906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2023-03-26T07:47:00Z</dcterms:created>
  <dc:creator>Administrator</dc:creator>
  <cp:lastModifiedBy>罗小波</cp:lastModifiedBy>
  <cp:lastPrinted>2025-08-05T10:36:00Z</cp:lastPrinted>
  <dcterms:modified xsi:type="dcterms:W3CDTF">2025-08-22T01:50:44Z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F94F4A1AC6624A7AABD903ABD8F36765_13</vt:lpwstr>
  </property>
  <property fmtid="{D5CDD505-2E9C-101B-9397-08002B2CF9AE}" pid="4" name="KSOTemplateDocerSaveRecord">
    <vt:lpwstr>eyJoZGlkIjoiOTBiNzgzZDU0NWVmY2ZlNTVjOGQ3MzI1NTliZjYxNmIiLCJ1c2VySWQiOiI1MDA4NzI1NDgifQ==</vt:lpwstr>
  </property>
</Properties>
</file>