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440601-2025-02255</w:t>
      </w:r>
    </w:p>
    <w:p>
      <w:pPr>
        <w:pStyle w:val="null3"/>
        <w:jc w:val="center"/>
        <w:outlineLvl w:val="3"/>
      </w:pPr>
      <w:r>
        <w:rPr>
          <w:sz w:val="24"/>
          <w:b/>
        </w:rPr>
        <w:t>采购项目编号：</w:t>
      </w:r>
      <w:r>
        <w:rPr>
          <w:sz w:val="24"/>
          <w:b/>
        </w:rPr>
        <w:t>GDHH202522C</w:t>
      </w:r>
    </w:p>
    <w:p>
      <w:pPr>
        <w:pStyle w:val="null3"/>
        <w:jc w:val="center"/>
        <w:outlineLvl w:val="3"/>
      </w:pPr>
      <w:r>
        <w:rPr>
          <w:sz w:val="24"/>
          <w:b/>
        </w:rPr>
        <w:t>项目名称：</w:t>
      </w:r>
      <w:r>
        <w:rPr>
          <w:sz w:val="24"/>
          <w:b/>
        </w:rPr>
        <w:t>2025年下半年佛山市登革热疫点（或高风险区域）应急消杀社会化服务项目(四次)</w:t>
      </w:r>
    </w:p>
    <w:p>
      <w:pPr>
        <w:pStyle w:val="null3"/>
        <w:jc w:val="center"/>
        <w:outlineLvl w:val="3"/>
      </w:pPr>
      <w:r>
        <w:rPr>
          <w:sz w:val="24"/>
          <w:b/>
        </w:rPr>
        <w:t>采购人：</w:t>
      </w:r>
      <w:r>
        <w:rPr>
          <w:sz w:val="24"/>
          <w:b/>
        </w:rPr>
        <w:t>佛山市疾病预防控制中心（佛山市卫生监督所）</w:t>
      </w:r>
    </w:p>
    <w:p>
      <w:pPr>
        <w:pStyle w:val="null3"/>
        <w:jc w:val="center"/>
        <w:outlineLvl w:val="3"/>
      </w:pPr>
      <w:r>
        <w:rPr>
          <w:sz w:val="24"/>
          <w:b/>
        </w:rPr>
        <w:t>采购代理机构：</w:t>
      </w:r>
      <w:r>
        <w:rPr>
          <w:sz w:val="24"/>
          <w:b/>
        </w:rPr>
        <w:t>广东海虹招标代理有限公司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广东海虹招标代理有限公司</w:t>
      </w:r>
      <w:r>
        <w:rPr/>
        <w:t>受</w:t>
      </w:r>
      <w:r>
        <w:rPr/>
        <w:t>佛山市疾病预防控制中心（佛山市卫生监督所）</w:t>
      </w:r>
      <w:r>
        <w:rPr/>
        <w:t>的委托，采用</w:t>
      </w:r>
      <w:r>
        <w:rPr/>
        <w:t>竞争性磋商</w:t>
      </w:r>
      <w:r>
        <w:rPr/>
        <w:t>方式组织采购</w:t>
      </w:r>
      <w:r>
        <w:rPr/>
        <w:t>2025年下半年佛山市登革热疫点（或高风险区域）应急消杀社会化服务项目(四次)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2025年下半年佛山市登革热疫点（或高风险区域）应急消杀社会化服务项目(四次)</w:t>
      </w:r>
    </w:p>
    <w:p>
      <w:pPr>
        <w:pStyle w:val="null3"/>
        <w:ind w:firstLine="480"/>
      </w:pPr>
      <w:r>
        <w:rPr/>
        <w:t>采购计划编号：</w:t>
      </w:r>
      <w:r>
        <w:rPr/>
        <w:t>440601-2025-02255</w:t>
      </w:r>
    </w:p>
    <w:p>
      <w:pPr>
        <w:pStyle w:val="null3"/>
        <w:ind w:firstLine="480"/>
      </w:pPr>
      <w:r>
        <w:rPr/>
        <w:t>采购项目编号：</w:t>
      </w:r>
      <w:r>
        <w:rPr/>
        <w:t>GDHH202522C</w:t>
      </w:r>
    </w:p>
    <w:p>
      <w:pPr>
        <w:pStyle w:val="null3"/>
        <w:ind w:firstLine="480"/>
      </w:pPr>
      <w:r>
        <w:rPr/>
        <w:t>采购方式：</w:t>
      </w:r>
      <w:r>
        <w:rPr/>
        <w:t>竞争性磋商</w:t>
      </w:r>
    </w:p>
    <w:p>
      <w:pPr>
        <w:pStyle w:val="null3"/>
        <w:ind w:firstLine="480"/>
      </w:pPr>
      <w:r>
        <w:rPr/>
        <w:t>预算金额：</w:t>
      </w:r>
      <w:r>
        <w:rPr/>
        <w:t>216,000.00</w:t>
      </w:r>
      <w:r>
        <w:rPr/>
        <w:t>元</w:t>
      </w:r>
    </w:p>
    <w:p>
      <w:pPr>
        <w:pStyle w:val="null3"/>
        <w:outlineLvl w:val="3"/>
      </w:pPr>
      <w:r>
        <w:rPr>
          <w:sz w:val="24"/>
          <w:b/>
        </w:rPr>
        <w:t>2.项目内容及需求情况（采购项目技术规格、参数及要求）</w:t>
      </w:r>
    </w:p>
    <w:p>
      <w:pPr>
        <w:pStyle w:val="null3"/>
      </w:pPr>
      <w:r>
        <w:rPr/>
        <w:t>采购包1(登革热疫点（或高风险区域）应急消杀社会化服务-高明区):</w:t>
      </w:r>
    </w:p>
    <w:p>
      <w:pPr>
        <w:pStyle w:val="null3"/>
      </w:pPr>
      <w:r>
        <w:rPr/>
        <w:t>采购包预算金额：216,000.00元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登革热疫点（或高风险区域）应急消杀社会化服务-高明区</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216,000.00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以下两种证明材料之一：①提供《政府采购供应商资格信用承诺函》，具体要求详见采购公告附件；②提供响应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以下三种证明材料之一：①提供《政府采购供应商资格信用承诺函》，具体要求详见采购公告附件；②提供2024年度财务状况报告；③提供响应截止日前6个月内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采购包1（登革热疫点（或高风险区域）应急消杀社会化服务-高明区）：</w:t>
      </w:r>
      <w:r>
        <w:rPr/>
        <w:t>参与的供应商服务全部由符合政策要求的中小企业承接。供应商必须为中小微企业或监狱企业或残疾人福利性单位。（提供《中小企业声明函》或属于监狱企业的证明材料或《残疾人福利性单位声明函》，否则不予认定）。中小企业划分标准所属行业为：其他未列明行业。</w:t>
      </w:r>
    </w:p>
    <w:p>
      <w:pPr>
        <w:pStyle w:val="null3"/>
        <w:outlineLvl w:val="3"/>
      </w:pPr>
      <w:r>
        <w:rPr>
          <w:sz w:val="24"/>
          <w:b/>
        </w:rPr>
        <w:t>3.本项目特定的资格要求：</w:t>
      </w:r>
    </w:p>
    <w:p>
      <w:pPr>
        <w:pStyle w:val="null3"/>
      </w:pPr>
      <w:r>
        <w:rPr/>
        <w:t>采购包1（登革热疫点（或高风险区域）应急消杀社会化服务-高明区）：</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3)本项目不接受联合体参与磋商。</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佛山市疾病预防控制中心（佛山市卫生监督所）</w:t>
      </w:r>
    </w:p>
    <w:p>
      <w:pPr>
        <w:pStyle w:val="null3"/>
        <w:ind w:firstLine="480"/>
      </w:pPr>
      <w:r>
        <w:rPr/>
        <w:t>地址：</w:t>
      </w:r>
      <w:r>
        <w:rPr/>
        <w:t>禅城区影荫路3号</w:t>
      </w:r>
    </w:p>
    <w:p>
      <w:pPr>
        <w:pStyle w:val="null3"/>
        <w:ind w:firstLine="480"/>
      </w:pPr>
      <w:r>
        <w:rPr/>
        <w:t>联系方式：</w:t>
      </w:r>
      <w:r>
        <w:rPr/>
        <w:t>0757-82212055</w:t>
      </w:r>
    </w:p>
    <w:p>
      <w:pPr>
        <w:pStyle w:val="null3"/>
        <w:outlineLvl w:val="3"/>
      </w:pPr>
      <w:r>
        <w:rPr>
          <w:sz w:val="24"/>
          <w:b/>
        </w:rPr>
        <w:t>2.采购代理机构信息</w:t>
      </w:r>
    </w:p>
    <w:p>
      <w:pPr>
        <w:pStyle w:val="null3"/>
        <w:ind w:firstLine="480"/>
      </w:pPr>
      <w:r>
        <w:rPr/>
        <w:t>名称：</w:t>
      </w:r>
      <w:r>
        <w:rPr/>
        <w:t>广东海虹招标代理有限公司</w:t>
      </w:r>
    </w:p>
    <w:p>
      <w:pPr>
        <w:pStyle w:val="null3"/>
        <w:ind w:firstLine="480"/>
      </w:pPr>
      <w:r>
        <w:rPr/>
        <w:t xml:space="preserve"> 地址：</w:t>
      </w:r>
      <w:r>
        <w:rPr/>
        <w:t>广东省佛山市禅城区华远东路13号发展大厦12楼E号</w:t>
      </w:r>
    </w:p>
    <w:p>
      <w:pPr>
        <w:pStyle w:val="null3"/>
        <w:ind w:firstLine="480"/>
      </w:pPr>
      <w:r>
        <w:rPr/>
        <w:t xml:space="preserve"> 联系方式：</w:t>
      </w:r>
      <w:r>
        <w:rPr/>
        <w:t>0757-82285519</w:t>
      </w:r>
    </w:p>
    <w:p>
      <w:pPr>
        <w:pStyle w:val="null3"/>
        <w:outlineLvl w:val="3"/>
      </w:pPr>
      <w:r>
        <w:rPr>
          <w:sz w:val="24"/>
          <w:b/>
        </w:rPr>
        <w:t xml:space="preserve"> 3.项目联系方式</w:t>
      </w:r>
    </w:p>
    <w:p>
      <w:pPr>
        <w:pStyle w:val="null3"/>
        <w:ind w:firstLine="480"/>
      </w:pPr>
      <w:r>
        <w:rPr/>
        <w:t xml:space="preserve"> 项目联系人：</w:t>
      </w:r>
      <w:r>
        <w:rPr/>
        <w:t>招小姐</w:t>
      </w:r>
    </w:p>
    <w:p>
      <w:pPr>
        <w:pStyle w:val="null3"/>
        <w:ind w:firstLine="480"/>
      </w:pPr>
      <w:r>
        <w:rPr/>
        <w:t xml:space="preserve"> 电话：</w:t>
      </w:r>
      <w:r>
        <w:rPr/>
        <w:t>0757-82285519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广东海虹招标代理有限公司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rPr>
        <w:t>为有效应对</w:t>
      </w:r>
      <w:r>
        <w:rPr>
          <w:sz w:val="20"/>
        </w:rPr>
        <w:t xml:space="preserve"> 2025 </w:t>
      </w:r>
      <w:r>
        <w:rPr>
          <w:sz w:val="20"/>
        </w:rPr>
        <w:t>年下半年佛山市将出现的登革热</w:t>
      </w:r>
      <w:r>
        <w:rPr>
          <w:sz w:val="20"/>
        </w:rPr>
        <w:t>等虫媒</w:t>
      </w:r>
      <w:r>
        <w:rPr>
          <w:sz w:val="20"/>
        </w:rPr>
        <w:t>传染病疫情</w:t>
      </w:r>
      <w:r>
        <w:rPr>
          <w:sz w:val="20"/>
        </w:rPr>
        <w:t>以及蚊媒高风险区域</w:t>
      </w:r>
      <w:r>
        <w:rPr>
          <w:sz w:val="20"/>
        </w:rPr>
        <w:t>，通过规范应急消杀流程、强化社会化服务合作、提升消杀队伍专业素养等措施，构建高效、科学的传染病应急消杀体系，降低疫情传播风险，切实保障人民群众身体健康和生命安全，采购人通过竞争性磋商方式，选定</w:t>
      </w:r>
      <w:r>
        <w:rPr>
          <w:sz w:val="20"/>
        </w:rPr>
        <w:t>供应商</w:t>
      </w:r>
      <w:r>
        <w:rPr>
          <w:sz w:val="20"/>
        </w:rPr>
        <w:t>作为市级登革热疫点（或高风险区域）应急消杀队伍参与我市登革热疫点（或高风险区域）</w:t>
      </w:r>
      <w:r>
        <w:rPr>
          <w:sz w:val="20"/>
        </w:rPr>
        <w:t>应急</w:t>
      </w:r>
      <w:r>
        <w:rPr>
          <w:sz w:val="20"/>
        </w:rPr>
        <w:t>消杀工作，提升我市登革热疫情现场（或高风险区域）应急处置能力。</w:t>
      </w:r>
    </w:p>
    <w:p>
      <w:pPr>
        <w:pStyle w:val="null3"/>
        <w:ind w:firstLine="480"/>
      </w:pPr>
      <w:r>
        <w:rPr>
          <w:sz w:val="20"/>
        </w:rPr>
        <w:t>采购项目清单：</w:t>
      </w:r>
    </w:p>
    <w:tbl>
      <w:tblPr>
        <w:tblW w:w="0" w:type="auto"/>
        <w:tblBorders>
          <w:top w:val="none" w:color="000000" w:sz="4"/>
          <w:left w:val="none" w:color="000000" w:sz="4"/>
          <w:bottom w:val="none" w:color="000000" w:sz="4"/>
          <w:right w:val="none" w:color="000000" w:sz="4"/>
          <w:insideH w:val="none"/>
          <w:insideV w:val="none"/>
        </w:tblBorders>
      </w:tblPr>
      <w:tblGrid>
        <w:gridCol w:w="941"/>
        <w:gridCol w:w="2220"/>
        <w:gridCol w:w="1941"/>
        <w:gridCol w:w="1529"/>
        <w:gridCol w:w="1676"/>
      </w:tblGrid>
      <w:tr>
        <w:tc>
          <w:tcPr>
            <w:tcW w:type="dxa" w:w="94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采购包</w:t>
            </w:r>
          </w:p>
        </w:tc>
        <w:tc>
          <w:tcPr>
            <w:tcW w:type="dxa" w:w="222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采购包名称</w:t>
            </w:r>
          </w:p>
        </w:tc>
        <w:tc>
          <w:tcPr>
            <w:tcW w:type="dxa" w:w="194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预估消杀次数</w:t>
            </w:r>
          </w:p>
          <w:p>
            <w:pPr>
              <w:pStyle w:val="null3"/>
              <w:jc w:val="center"/>
            </w:pPr>
            <w:r>
              <w:rPr>
                <w:sz w:val="20"/>
              </w:rPr>
              <w:t>（以实际情况为准）</w:t>
            </w:r>
          </w:p>
        </w:tc>
        <w:tc>
          <w:tcPr>
            <w:tcW w:type="dxa" w:w="152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单价最高限价（元）</w:t>
            </w:r>
          </w:p>
        </w:tc>
        <w:tc>
          <w:tcPr>
            <w:tcW w:type="dxa" w:w="167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采购包预算金额（元）</w:t>
            </w:r>
          </w:p>
        </w:tc>
      </w:tr>
      <w:tr>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22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登革热疫点（或高风险区域）应急消杀社会化服务</w:t>
            </w:r>
            <w:r>
              <w:rPr>
                <w:sz w:val="20"/>
              </w:rPr>
              <w:t>-</w:t>
            </w:r>
            <w:r>
              <w:rPr>
                <w:sz w:val="20"/>
              </w:rPr>
              <w:t>高明区</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54</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r>
              <w:rPr>
                <w:sz w:val="20"/>
              </w:rPr>
              <w:t>4,000.00</w:t>
            </w:r>
          </w:p>
        </w:tc>
        <w:tc>
          <w:tcPr>
            <w:tcW w:type="dxa" w:w="16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￥216,000.00</w:t>
            </w:r>
          </w:p>
        </w:tc>
      </w:tr>
    </w:tbl>
    <w:p>
      <w:pPr>
        <w:pStyle w:val="null3"/>
        <w:ind w:firstLine="402"/>
      </w:pPr>
      <w:r>
        <w:rPr>
          <w:sz w:val="20"/>
          <w:b/>
        </w:rPr>
        <w:t>本项目</w:t>
      </w:r>
      <w:r>
        <w:rPr>
          <w:sz w:val="20"/>
          <w:b/>
        </w:rPr>
        <w:t>按</w:t>
      </w:r>
      <w:r>
        <w:rPr>
          <w:sz w:val="20"/>
          <w:b/>
        </w:rPr>
        <w:t>单价进行报价，凡超过单价最高限价（</w:t>
      </w:r>
      <w:r>
        <w:rPr>
          <w:sz w:val="20"/>
          <w:b/>
        </w:rPr>
        <w:t>4000</w:t>
      </w:r>
      <w:r>
        <w:rPr>
          <w:sz w:val="20"/>
          <w:b/>
        </w:rPr>
        <w:t>元</w:t>
      </w:r>
      <w:r>
        <w:rPr>
          <w:sz w:val="20"/>
          <w:b/>
        </w:rPr>
        <w:t>/</w:t>
      </w:r>
      <w:r>
        <w:rPr>
          <w:sz w:val="20"/>
          <w:b/>
        </w:rPr>
        <w:t>次）的投标报价，视为无效投标</w:t>
      </w:r>
      <w:r>
        <w:rPr>
          <w:sz w:val="20"/>
        </w:rPr>
        <w:t>。</w:t>
      </w:r>
    </w:p>
    <w:p>
      <w:pPr>
        <w:pStyle w:val="null3"/>
      </w:pPr>
      <w:r>
        <w:rPr/>
        <w:t>采购包1（登革热疫点（或高风险区域）应急消杀社会化服务-高明区）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服务期：自合同签订之日起至2025年12月31日（或累计结算金额达到采购包预算金额，先到为准）。</w:t>
            </w:r>
          </w:p>
        </w:tc>
      </w:tr>
      <w:tr>
        <w:tc>
          <w:tcPr>
            <w:tcW w:type="dxa" w:w="4153"/>
          </w:tcPr>
          <w:p>
            <w:pPr>
              <w:pStyle w:val="null3"/>
            </w:pPr>
            <w:r>
              <w:rPr/>
              <w:t>标的提供的地点</w:t>
            </w:r>
          </w:p>
        </w:tc>
        <w:tc>
          <w:tcPr>
            <w:tcW w:type="dxa" w:w="4153"/>
          </w:tcPr>
          <w:p>
            <w:pPr>
              <w:pStyle w:val="null3"/>
            </w:pPr>
            <w:r>
              <w:rPr/>
              <w:t>佛山市高明区行政区域</w:t>
            </w:r>
          </w:p>
        </w:tc>
      </w:tr>
      <w:tr>
        <w:tc>
          <w:tcPr>
            <w:tcW w:type="dxa" w:w="4153"/>
          </w:tcPr>
          <w:p>
            <w:pPr>
              <w:pStyle w:val="null3"/>
            </w:pPr>
            <w:r>
              <w:rPr/>
              <w:t>付款方式</w:t>
            </w:r>
          </w:p>
        </w:tc>
        <w:tc>
          <w:tcPr>
            <w:tcW w:type="dxa" w:w="4153"/>
          </w:tcPr>
          <w:p>
            <w:pPr>
              <w:pStyle w:val="null3"/>
            </w:pPr>
            <w:r>
              <w:rPr/>
              <w:t>1期：支付比例100%,由采购人按下列程序付款： 1. 本项目服务款项按月结算，每月结算上月费用。2. 本项目合同生效后，以月为单位，按照服务次数结算，即按成交单价×服务次数，作为最终结算金额。采购人收到供应商提供的合法发票之日起5个工作日内，采购人向供应商支付应付实际的款项。3.成交供应商凭以下有效文件与采购人结算： （1）合同；（2）成交供应商开具的正式发票； （3）收款方、出具发票方、合同乙方均必须与成交供应商名称一致。 4.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1期：验收要求：1.由采购人和区、镇街有关机构共同就供应商的应急消杀工作开展情况进行验收。2.验收内容：本项目全部服务内容。验收材料应包括：项目工作报告等完成服务内容的有关证明材料。 3.验收标准按磋商文件和合同规定的要求和有关的规定、规范进行，未有规定或者规定不明确的，双方另行协商一致解决。</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 本采购包预算金额为216,000.00元，消杀次数预计约54次（以实际情况为准）。本项目单价最高限价：4000元/次（注：每次按4小时，每队10人计算，单价费用包括人员工资、管理费用、消杀药物费用、设备折旧费、交通费、餐费、各项税费等一切与完成本项目相关费用及合同实施过程中应预见和不可预见的费用成本）。2.本项目按单价进行报价，凡超过单价最高限价（4000元/次）的投标报价，视为无效投标。3. 供应商必须自行考虑本项目在实施期间的一切可能产生的费用。在本项目合同执行过程中，采购人将不再另行支付与本项目相关的任何费用，一切额外服务和特殊情况所需的费用均包含在成交价内。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登革热疫点（或高风险区域）应急消杀社会化服务-高明区</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216,000.00</w:t>
            </w:r>
          </w:p>
        </w:tc>
        <w:tc>
          <w:tcPr>
            <w:tcW w:type="dxa" w:w="933"/>
          </w:tcPr>
          <w:p>
            <w:pPr>
              <w:pStyle w:val="null3"/>
              <w:jc w:val="right"/>
            </w:pPr>
            <w:r>
              <w:rPr/>
              <w:t>216,000.00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登革热疫点（或高风险区域）应急消杀社会化服务-高明区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b/>
              </w:rPr>
              <w:t>项目内容及要求：</w:t>
            </w:r>
          </w:p>
          <w:p>
            <w:pPr>
              <w:pStyle w:val="null3"/>
            </w:pPr>
            <w:r>
              <w:rPr>
                <w:sz w:val="20"/>
                <w:b/>
              </w:rPr>
              <w:t>1.</w:t>
            </w:r>
            <w:r>
              <w:rPr>
                <w:sz w:val="20"/>
                <w:b/>
              </w:rPr>
              <w:t>登革热媒介伊蚊控制工作：</w:t>
            </w:r>
          </w:p>
          <w:p>
            <w:pPr>
              <w:pStyle w:val="null3"/>
              <w:ind w:firstLine="400"/>
            </w:pPr>
            <w:r>
              <w:rPr>
                <w:sz w:val="20"/>
              </w:rPr>
              <w:t>在登革热、基孔肯雅热等传染病疫情发生时，供应商根据采购人对疫情风险评估和应急处置要求，协同区级和镇街的消杀应急队伍开展疫点处置工作。迅速将疫点核心区（不少于</w:t>
            </w:r>
            <w:r>
              <w:rPr>
                <w:sz w:val="20"/>
              </w:rPr>
              <w:t>100</w:t>
            </w:r>
            <w:r>
              <w:rPr>
                <w:sz w:val="20"/>
              </w:rPr>
              <w:t>米）范围内成蚊密度和外环境孳生地控制在登革热疫情防控要求。</w:t>
            </w:r>
          </w:p>
          <w:p>
            <w:pPr>
              <w:pStyle w:val="null3"/>
              <w:ind w:firstLine="400"/>
            </w:pPr>
            <w:r>
              <w:rPr>
                <w:sz w:val="20"/>
              </w:rPr>
              <w:t>接到采购人通知后，供应商须按配置要求组织每队</w:t>
            </w:r>
            <w:r>
              <w:rPr>
                <w:sz w:val="20"/>
              </w:rPr>
              <w:t>10</w:t>
            </w:r>
            <w:r>
              <w:rPr>
                <w:sz w:val="20"/>
              </w:rPr>
              <w:t>名</w:t>
            </w:r>
            <w:r>
              <w:rPr>
                <w:sz w:val="20"/>
              </w:rPr>
              <w:t>消杀人员、药械在规定时间到达指定地点，并迅速完成应急处置任务，处置结束后</w:t>
            </w:r>
            <w:r>
              <w:rPr>
                <w:sz w:val="20"/>
              </w:rPr>
              <w:t>24</w:t>
            </w:r>
            <w:r>
              <w:rPr>
                <w:sz w:val="20"/>
              </w:rPr>
              <w:t>小时内向采购人报送现场处置情况书面报告及施工台账，内容包括时间、地点、出动人数、药械、使用量、消杀范围、消杀路径、面积、存在问题、困难以及下一步工作建议等。</w:t>
            </w:r>
          </w:p>
          <w:p>
            <w:pPr>
              <w:pStyle w:val="null3"/>
            </w:pPr>
            <w:r>
              <w:rPr>
                <w:sz w:val="20"/>
                <w:b/>
              </w:rPr>
              <w:t>2.</w:t>
            </w:r>
            <w:r>
              <w:rPr>
                <w:sz w:val="20"/>
                <w:b/>
              </w:rPr>
              <w:t>队伍能力建设：</w:t>
            </w:r>
          </w:p>
          <w:p>
            <w:pPr>
              <w:pStyle w:val="null3"/>
            </w:pPr>
            <w:r>
              <w:rPr>
                <w:sz w:val="21"/>
              </w:rPr>
              <w:t xml:space="preserve">      供应商合同期内为其负责消杀的队伍至少开展2次业务技能培训，至少组织开展一次应急技能培训和处置演练，能够在接到采购人通知后30分钟内出发前往并在2小时内到达现场，并确保应急预备队熟悉应急处置流程，提升队伍应急保障能力和意识。</w:t>
            </w:r>
          </w:p>
        </w:tc>
      </w:tr>
      <w:tr>
        <w:tc>
          <w:tcPr>
            <w:tcW w:type="dxa" w:w="2076"/>
          </w:tcPr>
          <w:p/>
        </w:tc>
        <w:tc>
          <w:tcPr>
            <w:tcW w:type="dxa" w:w="415"/>
          </w:tcPr>
          <w:p>
            <w:pPr>
              <w:pStyle w:val="null3"/>
            </w:pPr>
            <w:r>
              <w:rPr/>
              <w:t>2</w:t>
            </w:r>
          </w:p>
        </w:tc>
        <w:tc>
          <w:tcPr>
            <w:tcW w:type="dxa" w:w="5814"/>
          </w:tcPr>
          <w:p>
            <w:pPr>
              <w:pStyle w:val="null3"/>
            </w:pPr>
            <w:r>
              <w:rPr>
                <w:sz w:val="20"/>
                <w:b/>
              </w:rPr>
              <w:t>业务管理要求：</w:t>
            </w:r>
          </w:p>
          <w:p>
            <w:pPr>
              <w:pStyle w:val="null3"/>
              <w:ind w:firstLine="400"/>
            </w:pPr>
            <w:r>
              <w:rPr>
                <w:sz w:val="20"/>
              </w:rPr>
              <w:t>（1）采购人负责对供应商的服务项目进行日常管理、质量考核（详见附件）。</w:t>
            </w:r>
          </w:p>
          <w:p>
            <w:pPr>
              <w:pStyle w:val="null3"/>
              <w:ind w:firstLine="400"/>
            </w:pPr>
            <w:r>
              <w:rPr>
                <w:sz w:val="20"/>
              </w:rPr>
              <w:t>（2）供应商主要负责现场应急消杀相关操作，处置结束后24小时内向采购人报送现场处置情况书面报告及台账，并且对相关资料归档备案。</w:t>
            </w:r>
          </w:p>
          <w:p>
            <w:pPr>
              <w:pStyle w:val="null3"/>
            </w:pPr>
            <w:r>
              <w:rPr>
                <w:sz w:val="21"/>
              </w:rPr>
              <w:t xml:space="preserve">      （3）采购人统一要求、分配和管理供应商涉及本项目的业务工作；供应商负责对消杀人员开展培训、记录考勤和考评职责落实情况，确保应急监测工作和处置等所需的人员、器械、设备、药物、车辆等落实到位。</w:t>
            </w:r>
          </w:p>
        </w:tc>
      </w:tr>
      <w:tr>
        <w:tc>
          <w:tcPr>
            <w:tcW w:type="dxa" w:w="2076"/>
          </w:tcPr>
          <w:p/>
        </w:tc>
        <w:tc>
          <w:tcPr>
            <w:tcW w:type="dxa" w:w="415"/>
          </w:tcPr>
          <w:p>
            <w:pPr>
              <w:pStyle w:val="null3"/>
            </w:pPr>
            <w:r>
              <w:rPr/>
              <w:t>3</w:t>
            </w:r>
          </w:p>
        </w:tc>
        <w:tc>
          <w:tcPr>
            <w:tcW w:type="dxa" w:w="5814"/>
          </w:tcPr>
          <w:p>
            <w:pPr>
              <w:pStyle w:val="null3"/>
            </w:pPr>
            <w:r>
              <w:rPr>
                <w:sz w:val="20"/>
                <w:b/>
              </w:rPr>
              <w:t>人员管理要求：</w:t>
            </w:r>
          </w:p>
          <w:p>
            <w:pPr>
              <w:pStyle w:val="null3"/>
              <w:ind w:firstLine="400"/>
            </w:pPr>
            <w:r>
              <w:rPr>
                <w:sz w:val="20"/>
              </w:rPr>
              <w:t>（1）供应商直接参与本项目消杀人员每队10人，其中管理人员1名、组长2名、技术人员7名，并确保队伍稳定性。</w:t>
            </w:r>
          </w:p>
          <w:p>
            <w:pPr>
              <w:pStyle w:val="null3"/>
              <w:ind w:firstLine="400"/>
            </w:pPr>
            <w:r>
              <w:rPr>
                <w:sz w:val="20"/>
              </w:rPr>
              <w:t>（2）该队伍主管人员确保电话24小时畅通，做好计划安排，巡查并掌握本项目工作区域具体情况，组长做好日常监督巡查工作。</w:t>
            </w:r>
          </w:p>
          <w:p>
            <w:pPr>
              <w:pStyle w:val="null3"/>
              <w:ind w:firstLine="400"/>
            </w:pPr>
            <w:r>
              <w:rPr>
                <w:sz w:val="20"/>
              </w:rPr>
              <w:t>（3）该队伍专业人员须经培训合格后持证上岗，并掌握相关器械、设施设备的使用方法和技巧。施工作业时穿着工作服及佩戴工作证，保持衣冠整洁，阴天或夜间作业穿着反光衣。</w:t>
            </w:r>
          </w:p>
          <w:p>
            <w:pPr>
              <w:pStyle w:val="null3"/>
              <w:ind w:firstLine="400"/>
            </w:pPr>
            <w:r>
              <w:rPr>
                <w:sz w:val="20"/>
              </w:rPr>
              <w:t>（4）该队伍施工作业时，工作人员须做好个人防护、遵纪守法、文明作业，不得抽烟、饮食、瞌睡、聚堆闲聊、收集废品和从事其他与作业无关的事项。</w:t>
            </w:r>
          </w:p>
          <w:p>
            <w:pPr>
              <w:pStyle w:val="null3"/>
              <w:ind w:firstLine="400"/>
            </w:pPr>
            <w:r>
              <w:rPr>
                <w:sz w:val="20"/>
              </w:rPr>
              <w:t>（5）项目组人员须按要求全程参与本项目，在合同期内不得擅自更换。供应商如因特别原因，需要更换项目组人员时，应事前向采购人提出书面申请。如供应商未经采购人书面同意擅自更换项目组人员，扣减分值为20分/人。</w:t>
            </w:r>
          </w:p>
          <w:p>
            <w:pPr>
              <w:pStyle w:val="null3"/>
            </w:pPr>
            <w:r>
              <w:rPr>
                <w:sz w:val="21"/>
              </w:rPr>
              <w:t xml:space="preserve">      （6）采购人有权以书面形式要求供应商更换不能按规定履行合同的人员。采购人要求或同意更换的人员，其代替人员的资质仍应得到采购人的认可，且其资历和经验均不低于被更换人员。</w:t>
            </w:r>
          </w:p>
        </w:tc>
      </w:tr>
      <w:tr>
        <w:tc>
          <w:tcPr>
            <w:tcW w:type="dxa" w:w="2076"/>
          </w:tcPr>
          <w:p/>
        </w:tc>
        <w:tc>
          <w:tcPr>
            <w:tcW w:type="dxa" w:w="415"/>
          </w:tcPr>
          <w:p>
            <w:pPr>
              <w:pStyle w:val="null3"/>
            </w:pPr>
            <w:r>
              <w:rPr/>
              <w:t>4</w:t>
            </w:r>
          </w:p>
        </w:tc>
        <w:tc>
          <w:tcPr>
            <w:tcW w:type="dxa" w:w="5814"/>
          </w:tcPr>
          <w:p>
            <w:pPr>
              <w:pStyle w:val="null3"/>
            </w:pPr>
            <w:r>
              <w:rPr>
                <w:sz w:val="20"/>
                <w:b/>
              </w:rPr>
              <w:t>药械管理要求：</w:t>
            </w:r>
          </w:p>
          <w:p>
            <w:pPr>
              <w:pStyle w:val="null3"/>
              <w:ind w:firstLine="400"/>
            </w:pPr>
            <w:r>
              <w:rPr>
                <w:sz w:val="20"/>
              </w:rPr>
              <w:t>供应商严格按本项目要求配备并满足登革热疫点消杀所需的器械、设备和药物等物资，同时保证产品合格、技术过关和质量达标，不符合要求产品扣减分值按5分/件。</w:t>
            </w:r>
          </w:p>
          <w:p>
            <w:pPr>
              <w:pStyle w:val="null3"/>
            </w:pPr>
            <w:r>
              <w:rPr>
                <w:sz w:val="21"/>
              </w:rPr>
              <w:t xml:space="preserve">      供应商须设立独立仓库分类、分层存放药械，保持通风良好，设置规范标签，专人管理和维护，同时确保涉及本项目的药械专项专用。消杀器械配备要求不低于以下标准：背负式超低容量喷雾器8台、常量喷雾器8台、热烟雾喷雾器2台和车载超低容量喷雾器1台。</w:t>
            </w:r>
          </w:p>
        </w:tc>
      </w:tr>
      <w:tr>
        <w:tc>
          <w:tcPr>
            <w:tcW w:type="dxa" w:w="2076"/>
          </w:tcPr>
          <w:p/>
        </w:tc>
        <w:tc>
          <w:tcPr>
            <w:tcW w:type="dxa" w:w="415"/>
          </w:tcPr>
          <w:p>
            <w:pPr>
              <w:pStyle w:val="null3"/>
            </w:pPr>
            <w:r>
              <w:rPr/>
              <w:t>5</w:t>
            </w:r>
          </w:p>
        </w:tc>
        <w:tc>
          <w:tcPr>
            <w:tcW w:type="dxa" w:w="5814"/>
          </w:tcPr>
          <w:p>
            <w:pPr>
              <w:pStyle w:val="null3"/>
            </w:pPr>
            <w:r>
              <w:rPr>
                <w:sz w:val="20"/>
                <w:b/>
              </w:rPr>
              <w:t>考核评估：</w:t>
            </w:r>
          </w:p>
          <w:p>
            <w:pPr>
              <w:pStyle w:val="null3"/>
            </w:pPr>
            <w:r>
              <w:rPr>
                <w:sz w:val="21"/>
              </w:rPr>
              <w:t xml:space="preserve">      采用按月考核与不定期随机抽查方式开展服务项目质量考核，每个处置核心区蚊媒密度需在3天内达到有关防控工作要求，或按白纹伊蚊（雌性）成蚊密度下降率不低于80%且外环境RI为0为达标指标，并根据月度考核结果进行综合评估，最终依据评分计算每月支付项目经费数额。</w:t>
            </w:r>
          </w:p>
        </w:tc>
      </w:tr>
      <w:tr>
        <w:tc>
          <w:tcPr>
            <w:tcW w:type="dxa" w:w="2076"/>
          </w:tcPr>
          <w:p/>
        </w:tc>
        <w:tc>
          <w:tcPr>
            <w:tcW w:type="dxa" w:w="415"/>
          </w:tcPr>
          <w:p>
            <w:pPr>
              <w:pStyle w:val="null3"/>
            </w:pPr>
            <w:r>
              <w:rPr/>
              <w:t>6</w:t>
            </w:r>
          </w:p>
        </w:tc>
        <w:tc>
          <w:tcPr>
            <w:tcW w:type="dxa" w:w="5814"/>
          </w:tcPr>
          <w:p>
            <w:pPr>
              <w:pStyle w:val="null3"/>
            </w:pPr>
            <w:r>
              <w:rPr>
                <w:sz w:val="20"/>
                <w:b/>
              </w:rPr>
              <w:t>服务质量考核及处罚：</w:t>
            </w:r>
          </w:p>
          <w:p>
            <w:pPr>
              <w:pStyle w:val="null3"/>
              <w:ind w:firstLine="400"/>
            </w:pPr>
            <w:r>
              <w:rPr>
                <w:sz w:val="20"/>
              </w:rPr>
              <w:t>（1）采购人每月对供应商的服务实行考核计分制，每月100分，并根据附表《质量考核表》进行评分：80分（含）为合格，80分以下为不合格。</w:t>
            </w:r>
          </w:p>
          <w:p>
            <w:pPr>
              <w:pStyle w:val="null3"/>
            </w:pPr>
            <w:r>
              <w:rPr>
                <w:sz w:val="20"/>
              </w:rPr>
              <w:t>若当月实际得分80分（含）以上，全额支付当月服务费；</w:t>
            </w:r>
          </w:p>
          <w:p>
            <w:pPr>
              <w:pStyle w:val="null3"/>
            </w:pPr>
            <w:r>
              <w:rPr>
                <w:sz w:val="20"/>
              </w:rPr>
              <w:t>若当月实际得分少于80分（不含），则每少1分，当月服务费扣罚200元/分；</w:t>
            </w:r>
          </w:p>
          <w:p>
            <w:pPr>
              <w:pStyle w:val="null3"/>
            </w:pPr>
            <w:r>
              <w:rPr>
                <w:sz w:val="20"/>
              </w:rPr>
              <w:t>若当月实际得分少于60分（不含），则扣罚当月服务费。</w:t>
            </w:r>
          </w:p>
          <w:p>
            <w:pPr>
              <w:pStyle w:val="null3"/>
              <w:ind w:firstLine="400"/>
            </w:pPr>
            <w:r>
              <w:rPr>
                <w:sz w:val="20"/>
              </w:rPr>
              <w:t>（2）供应商单月得分少于80分（不含）的，采购人有权向供应商发出限期整改通知书，供应商须按要求整改。</w:t>
            </w:r>
          </w:p>
          <w:p>
            <w:pPr>
              <w:pStyle w:val="null3"/>
              <w:ind w:firstLine="400"/>
            </w:pPr>
            <w:r>
              <w:rPr>
                <w:sz w:val="20"/>
              </w:rPr>
              <w:t>（3）供应商累计2个月的单月得分少于80分（不含）或单月得分少于60分（不含）的，采购人有权与供应商终止或解除合同，并把供应商列入黑名单，5年内不再接受供应商参与任何竞标或评选申请，由此产生的一切经济和法律责任由供应商承担。</w:t>
            </w:r>
          </w:p>
          <w:p>
            <w:pPr>
              <w:pStyle w:val="null3"/>
              <w:ind w:firstLine="400"/>
            </w:pPr>
            <w:r>
              <w:rPr>
                <w:sz w:val="20"/>
              </w:rPr>
              <w:t>（4）供应商工作人员泄露传染病疫情信息、监测数据和其他涉及本项目工作内容，可能或已经造成不良影响和后果的，一经查实，采购人有权追究相应法律责任，并有权终止合同，5年内不再接受供应商参与任何竞标或评选申请。</w:t>
            </w:r>
          </w:p>
          <w:p>
            <w:pPr>
              <w:pStyle w:val="null3"/>
              <w:ind w:firstLine="400"/>
            </w:pPr>
            <w:r>
              <w:rPr>
                <w:sz w:val="20"/>
              </w:rPr>
              <w:t>（5）供应商须将涉及本项目全部工作人员的个人详细信息（包括基本信息、学历学位、资格证书、职业技能证书、工作经历等）备齐后交给采购人备案，服务期间不能出现冒名顶替或学历学位造假等情况，否则一经查实，采购人有权追究相应的法律责任，并有权终止合同。</w:t>
            </w:r>
          </w:p>
          <w:p>
            <w:pPr>
              <w:pStyle w:val="null3"/>
              <w:ind w:firstLine="400"/>
            </w:pPr>
            <w:r>
              <w:rPr>
                <w:sz w:val="20"/>
              </w:rPr>
              <w:t>（6）供应商在本项目服务工作期间，统一工作服，出现不统一着装、不佩带证件上岗等情况时，第一次采购人给予扣减分值5分/人，第二次扣减分值10分/人，第三次采购人有权终止合同。</w:t>
            </w:r>
          </w:p>
          <w:p>
            <w:pPr>
              <w:pStyle w:val="null3"/>
              <w:ind w:firstLine="400"/>
            </w:pPr>
            <w:r>
              <w:rPr>
                <w:sz w:val="20"/>
              </w:rPr>
              <w:t>（7）供应商接到采购人应急监测或应急处置通知后，未能在30分钟内出发前往并且2小时内到达疫点的，采购人按每10分钟扣减分值2分，当次累计扣减分值达10分的，采购人有权终止合同。</w:t>
            </w:r>
          </w:p>
          <w:p>
            <w:pPr>
              <w:pStyle w:val="null3"/>
              <w:ind w:firstLine="400"/>
            </w:pPr>
            <w:r>
              <w:rPr>
                <w:sz w:val="20"/>
              </w:rPr>
              <w:t>（8）供应商开展蚊媒传染病疫点应急消杀工作，白纹伊蚊成蚊密度下降率不低于80%，否则第一次采购人给予扣减分值10分/次并要求供应商限时整改，第二次扣减分值20分/次并要求限时整改，整改期间时长不纳入计费时间，第三次采购人有权终止合同。</w:t>
            </w:r>
          </w:p>
          <w:p>
            <w:pPr>
              <w:pStyle w:val="null3"/>
            </w:pPr>
            <w:r>
              <w:rPr>
                <w:sz w:val="21"/>
              </w:rPr>
              <w:t xml:space="preserve">      （9）供应商须做好药械的储备和管理，并保证在应急处置过程中严格按规范和要求使用，不得出现使用禁用药物、高抗药物、过期药物或未按指定浓度使用药物等情况，否则一经核实，第一次采购人给予扣减分值20分/次并要求供应商限时整改，第二次采购人有权终止合同。</w:t>
            </w:r>
          </w:p>
        </w:tc>
      </w:tr>
      <w:tr>
        <w:tc>
          <w:tcPr>
            <w:tcW w:type="dxa" w:w="2076"/>
          </w:tcPr>
          <w:p/>
        </w:tc>
        <w:tc>
          <w:tcPr>
            <w:tcW w:type="dxa" w:w="415"/>
          </w:tcPr>
          <w:p>
            <w:pPr>
              <w:pStyle w:val="null3"/>
            </w:pPr>
            <w:r>
              <w:rPr/>
              <w:t>7</w:t>
            </w:r>
          </w:p>
        </w:tc>
        <w:tc>
          <w:tcPr>
            <w:tcW w:type="dxa" w:w="5814"/>
          </w:tcPr>
          <w:p>
            <w:pPr>
              <w:pStyle w:val="null3"/>
            </w:pPr>
            <w:r>
              <w:rPr>
                <w:sz w:val="20"/>
                <w:b/>
              </w:rPr>
              <w:t>项目</w:t>
            </w:r>
            <w:r>
              <w:rPr>
                <w:sz w:val="20"/>
                <w:b/>
              </w:rPr>
              <w:t>实施要求：</w:t>
            </w:r>
          </w:p>
          <w:p>
            <w:pPr>
              <w:pStyle w:val="null3"/>
              <w:ind w:firstLine="400"/>
            </w:pPr>
            <w:r>
              <w:rPr>
                <w:sz w:val="20"/>
              </w:rPr>
              <w:t>（1）登革热疫点消杀工作方案：由供应商按照采购人要求提供具体的项目实施方案，经采购人审核通过后实施。</w:t>
            </w:r>
          </w:p>
          <w:p>
            <w:pPr>
              <w:pStyle w:val="null3"/>
              <w:ind w:firstLine="400"/>
            </w:pPr>
            <w:r>
              <w:rPr>
                <w:sz w:val="20"/>
              </w:rPr>
              <w:t>（2）地点：</w:t>
            </w:r>
            <w:r>
              <w:rPr>
                <w:sz w:val="20"/>
                <w:b/>
              </w:rPr>
              <w:t>佛山市高明区行政区域内</w:t>
            </w:r>
            <w:r>
              <w:rPr>
                <w:sz w:val="20"/>
              </w:rPr>
              <w:t>，根据实际工作要求确定具体地点。</w:t>
            </w:r>
          </w:p>
          <w:p>
            <w:pPr>
              <w:pStyle w:val="null3"/>
              <w:ind w:firstLine="400"/>
            </w:pPr>
            <w:r>
              <w:rPr>
                <w:sz w:val="20"/>
              </w:rPr>
              <w:t>（3）登革热疫点消杀工作人员：供应商每次消杀任务能够安排充足消杀人员（登革热疫点媒介伊蚊控制工作至少10名消杀人员），在规定时间内携带充足药械到达指定地点，并迅速完成应急处置任务。消杀人员应经过培训，并掌握消杀要求。</w:t>
            </w:r>
          </w:p>
          <w:p>
            <w:pPr>
              <w:pStyle w:val="null3"/>
              <w:ind w:firstLine="400"/>
            </w:pPr>
            <w:r>
              <w:rPr>
                <w:sz w:val="20"/>
              </w:rPr>
              <w:t>（4）结果上报：处置结束后24小时内向采购人报送现场处置情况书面报告及施工台账，内容包括时间、地点、出动人数、药械、使用量、消杀范围、消杀路径、面积、存在问题、困难以及下一步工作建议等。</w:t>
            </w:r>
          </w:p>
          <w:p>
            <w:pPr>
              <w:pStyle w:val="null3"/>
              <w:ind w:firstLine="400"/>
            </w:pPr>
            <w:r>
              <w:rPr>
                <w:sz w:val="20"/>
              </w:rPr>
              <w:t>（5）工作合理化建议提出：供应商应根据采购人不同时期的工作需求，向采购人提出针对性的项目工作建议并提出具体的可行性操作计划。</w:t>
            </w:r>
          </w:p>
          <w:p>
            <w:pPr>
              <w:pStyle w:val="null3"/>
              <w:ind w:firstLine="400"/>
            </w:pPr>
            <w:r>
              <w:rPr>
                <w:sz w:val="20"/>
              </w:rPr>
              <w:t>（6）应急消杀服务：采购人需要实施应急消杀时，供应商应及时协助采购人制定消杀方案，并且需在接到采购人应急监测或应急处置通知后30分钟内出发前往，并且2小时内到达指定地点按要求开展消杀工作。</w:t>
            </w:r>
          </w:p>
          <w:p>
            <w:pPr>
              <w:pStyle w:val="null3"/>
            </w:pPr>
            <w:r>
              <w:rPr>
                <w:sz w:val="21"/>
              </w:rPr>
              <w:t xml:space="preserve">      （7）质控要求：在进行登革热疫点消杀时，供应商需严格按照《病媒生物化学防治技术指南 空间喷雾》GB/T 31714-2015及《病媒生物化学防治技术指南 滞留喷洒》GB/T 31715-2015操作要求进行质控。</w:t>
            </w:r>
          </w:p>
        </w:tc>
      </w:tr>
      <w:tr>
        <w:tc>
          <w:tcPr>
            <w:tcW w:type="dxa" w:w="2076"/>
          </w:tcPr>
          <w:p/>
        </w:tc>
        <w:tc>
          <w:tcPr>
            <w:tcW w:type="dxa" w:w="415"/>
          </w:tcPr>
          <w:p>
            <w:pPr>
              <w:pStyle w:val="null3"/>
            </w:pPr>
            <w:r>
              <w:rPr/>
              <w:t>8</w:t>
            </w:r>
          </w:p>
        </w:tc>
        <w:tc>
          <w:tcPr>
            <w:tcW w:type="dxa" w:w="5814"/>
          </w:tcPr>
          <w:p>
            <w:pPr>
              <w:pStyle w:val="null3"/>
              <w:jc w:val="left"/>
            </w:pPr>
            <w:r>
              <w:rPr>
                <w:sz w:val="20"/>
                <w:b/>
              </w:rPr>
              <w:t>工作要求：</w:t>
            </w:r>
          </w:p>
          <w:p>
            <w:pPr>
              <w:pStyle w:val="null3"/>
              <w:ind w:firstLine="400"/>
            </w:pPr>
            <w:r>
              <w:rPr>
                <w:sz w:val="20"/>
              </w:rPr>
              <w:t>（1）供应商负责提供每次消杀所需的交通工具，并积极配合消杀工作。</w:t>
            </w:r>
          </w:p>
          <w:p>
            <w:pPr>
              <w:pStyle w:val="null3"/>
              <w:ind w:firstLine="400"/>
            </w:pPr>
            <w:r>
              <w:rPr>
                <w:sz w:val="20"/>
              </w:rPr>
              <w:t>（2）供应商消杀器械设备、消杀人员充裕、消杀药物充裕，能满现场消杀的要求，能按时按质完成任务。</w:t>
            </w:r>
          </w:p>
          <w:p>
            <w:pPr>
              <w:pStyle w:val="null3"/>
              <w:ind w:firstLine="400"/>
            </w:pPr>
            <w:r>
              <w:rPr>
                <w:sz w:val="20"/>
              </w:rPr>
              <w:t>（3）供应商技术服务水平高，操作规范，管理规范、制度完善、质量控制严格，近3年无数据严重质量问题。</w:t>
            </w:r>
          </w:p>
          <w:p>
            <w:pPr>
              <w:pStyle w:val="null3"/>
              <w:ind w:firstLine="400"/>
            </w:pPr>
            <w:r>
              <w:rPr>
                <w:sz w:val="20"/>
              </w:rPr>
              <w:t>（4）供应商沟通协调能力强，与各辖区、镇街部门工作配合到位，近3年未受到经采购人查证核实的被消杀镇街的投诉。</w:t>
            </w:r>
          </w:p>
          <w:p>
            <w:pPr>
              <w:pStyle w:val="null3"/>
              <w:ind w:firstLine="400"/>
            </w:pPr>
            <w:r>
              <w:rPr>
                <w:sz w:val="20"/>
              </w:rPr>
              <w:t>（5）供应商应按照专业操守尽职尽责，结合采购方的要求，按照国际国内的相关标准进行消杀工作，并且按当次消杀方案约定日期记录消杀过程及结果并汇总。</w:t>
            </w:r>
          </w:p>
          <w:p>
            <w:pPr>
              <w:pStyle w:val="null3"/>
              <w:ind w:firstLine="400"/>
            </w:pPr>
            <w:r>
              <w:rPr>
                <w:sz w:val="20"/>
              </w:rPr>
              <w:t>（6）供应商对消杀结果的真实性负责，由于虚假、错误检验数据和结论而给造成损失的，或者给社会带来不良影响的，采购人有权终止合同，并由供应商承担赔偿责任及相应法律责任。</w:t>
            </w:r>
          </w:p>
          <w:p>
            <w:pPr>
              <w:pStyle w:val="null3"/>
              <w:ind w:firstLine="400"/>
            </w:pPr>
            <w:r>
              <w:rPr>
                <w:sz w:val="20"/>
              </w:rPr>
              <w:t>（7）</w:t>
            </w:r>
            <w:r>
              <w:rPr>
                <w:sz w:val="20"/>
              </w:rPr>
              <w:t>涉及消杀的全部情况包括数据及结果，供应商不得擅自向除采购人外的任何单位与个人透露，否则采购人有权终止合同；如造成经济损失及不良影响的，追究其经济赔偿责任和法律责任。</w:t>
            </w:r>
          </w:p>
          <w:p>
            <w:pPr>
              <w:pStyle w:val="null3"/>
              <w:ind w:firstLine="400"/>
            </w:pPr>
            <w:r>
              <w:rPr>
                <w:sz w:val="20"/>
              </w:rPr>
              <w:t>（8）供应商应积极配合采购人开展后续工作，及时反馈特殊情况的信息。应安排专人与采购人联系，并提供手机、QQ、邮箱等联系方式，必要时应在半小时内及时响应采购人需求。</w:t>
            </w:r>
          </w:p>
          <w:p>
            <w:pPr>
              <w:pStyle w:val="null3"/>
              <w:ind w:firstLine="400"/>
            </w:pPr>
            <w:r>
              <w:rPr>
                <w:sz w:val="20"/>
              </w:rPr>
              <w:t>（9）供应商对其消杀的点位负责，消杀记录结果反映评估点的真实状况。</w:t>
            </w:r>
          </w:p>
          <w:p>
            <w:pPr>
              <w:pStyle w:val="null3"/>
              <w:ind w:firstLine="400"/>
            </w:pPr>
            <w:r>
              <w:rPr>
                <w:sz w:val="20"/>
              </w:rPr>
              <w:t>（10）供应商应针对每次任务提供承接项目的质量保障计划、措施和结果，保证原始记录规范完整，并接受采购人组织的专家检查及评估。</w:t>
            </w:r>
          </w:p>
          <w:p>
            <w:pPr>
              <w:pStyle w:val="null3"/>
            </w:pPr>
            <w:r>
              <w:rPr>
                <w:sz w:val="21"/>
              </w:rPr>
              <w:t xml:space="preserve">      （11）对供应商在开展抽检消杀过程中弄虚作假或不配合采购人开展工作的，采购人有权终止合同，并追究其经济赔偿责任和法律责任。</w:t>
            </w:r>
          </w:p>
        </w:tc>
      </w:tr>
      <w:tr>
        <w:tc>
          <w:tcPr>
            <w:tcW w:type="dxa" w:w="2076"/>
          </w:tcPr>
          <w:p/>
        </w:tc>
        <w:tc>
          <w:tcPr>
            <w:tcW w:type="dxa" w:w="415"/>
          </w:tcPr>
          <w:p>
            <w:pPr>
              <w:pStyle w:val="null3"/>
            </w:pPr>
            <w:r>
              <w:rPr/>
              <w:t>9</w:t>
            </w:r>
          </w:p>
        </w:tc>
        <w:tc>
          <w:tcPr>
            <w:tcW w:type="dxa" w:w="5814"/>
          </w:tcPr>
          <w:p>
            <w:pPr>
              <w:pStyle w:val="null3"/>
            </w:pPr>
            <w:r>
              <w:rPr>
                <w:sz w:val="20"/>
                <w:b/>
              </w:rPr>
              <w:t>消杀工作的具体实施：</w:t>
            </w:r>
          </w:p>
          <w:p>
            <w:pPr>
              <w:pStyle w:val="null3"/>
              <w:ind w:firstLine="400"/>
            </w:pPr>
            <w:r>
              <w:rPr>
                <w:sz w:val="20"/>
              </w:rPr>
              <w:t>（1）消杀依据：按照《病媒生物化学防治技术指南 空间喷雾》GB/T 31714-2015及《病媒生物化学防治技术指南 滞留喷洒》GB/T 31715-2015要求开展消杀工作，并进行有效的质量控制措施。</w:t>
            </w:r>
          </w:p>
          <w:p>
            <w:pPr>
              <w:pStyle w:val="null3"/>
              <w:ind w:firstLine="400"/>
            </w:pPr>
            <w:r>
              <w:rPr>
                <w:sz w:val="20"/>
              </w:rPr>
              <w:t>（2）消杀项目：供应商应具备能够满足本项目要求的消杀能力。</w:t>
            </w:r>
          </w:p>
          <w:p>
            <w:pPr>
              <w:pStyle w:val="null3"/>
              <w:ind w:firstLine="400"/>
            </w:pPr>
            <w:r>
              <w:rPr>
                <w:sz w:val="20"/>
              </w:rPr>
              <w:t>（3）消杀时间：供应商应在规定的时间内完成采购人部署的消杀工作任务，供应商应当在消杀任务结束后24小时内完成结果记录并送达采购人。同时，供应商应每月汇总消杀情况信息，并交由采购人相关科室核实。若供应商需要延期，须书面征得采购人同意后方视为有效。</w:t>
            </w:r>
          </w:p>
          <w:p>
            <w:pPr>
              <w:pStyle w:val="null3"/>
              <w:ind w:firstLine="400"/>
            </w:pPr>
            <w:r>
              <w:rPr>
                <w:sz w:val="20"/>
              </w:rPr>
              <w:t>（4）供应商对其消杀的点位负责，供应商开展蚊媒传染病疫点应急消杀工作，白纹伊蚊成蚊密度下降率不低于80%，否则第一次采购人给予扣减分值10分/次并要求供应商限时整改，第二次扣减分值20分/次并要求限时整改，重新处理直至成蚊密度达到登革热防控要求，第三次采购人有权终止合同。消杀记录结果反映评估点的真实状况。</w:t>
            </w:r>
          </w:p>
          <w:p>
            <w:pPr>
              <w:pStyle w:val="null3"/>
            </w:pPr>
            <w:r>
              <w:rPr>
                <w:sz w:val="20"/>
              </w:rPr>
              <w:t xml:space="preserve">      （5）根据本项目采购需求的要求及供应商响应文件相关承诺，由采购人、区、镇街有关机构共同组织验收。</w:t>
            </w:r>
          </w:p>
        </w:tc>
      </w:tr>
      <w:tr>
        <w:tc>
          <w:tcPr>
            <w:tcW w:type="dxa" w:w="2076"/>
          </w:tcPr>
          <w:p/>
        </w:tc>
        <w:tc>
          <w:tcPr>
            <w:tcW w:type="dxa" w:w="415"/>
          </w:tcPr>
          <w:p>
            <w:pPr>
              <w:pStyle w:val="null3"/>
            </w:pPr>
            <w:r>
              <w:rPr/>
              <w:t>10</w:t>
            </w:r>
          </w:p>
        </w:tc>
        <w:tc>
          <w:tcPr>
            <w:tcW w:type="dxa" w:w="5814"/>
          </w:tcPr>
          <w:p>
            <w:pPr>
              <w:pStyle w:val="null3"/>
            </w:pPr>
            <w:r>
              <w:rPr>
                <w:sz w:val="20"/>
                <w:b/>
              </w:rPr>
              <w:t>供应商要求：</w:t>
            </w:r>
          </w:p>
          <w:p>
            <w:pPr>
              <w:pStyle w:val="null3"/>
            </w:pPr>
            <w:r>
              <w:rPr/>
              <w:t xml:space="preserve">      （1）供应商需按照采购人规定的时间完成消杀任务，消杀结束后24小时内完成消杀台账及结果记录并送达采购人。同时，供应商应每月汇总消杀结果信息，并交由采购人相关科室核实。另外，供应商未经采购人同意不得擅自将消杀结果告知第三方，一经发现终止项目合同。</w:t>
            </w:r>
          </w:p>
          <w:p>
            <w:pPr>
              <w:pStyle w:val="null3"/>
            </w:pPr>
            <w:r>
              <w:rPr/>
              <w:t xml:space="preserve">      （2）供应商消杀器械、消杀药物及车辆数量充足、质量精良，消杀工作开始前需提交该次计划消杀评估点清单，经采购人同意后再开展。</w:t>
            </w:r>
          </w:p>
          <w:p>
            <w:pPr>
              <w:pStyle w:val="null3"/>
            </w:pPr>
            <w:r>
              <w:rPr/>
              <w:t xml:space="preserve">      （3）供应商设备、人员具备开展工作所需的消杀技术能力，能按期按质完成消杀任务并上报消杀记录等数据。采购人将不定期对供应商的上述情况进行评估核查，若出现与响应文件所述内容和条件不符的，采购人有权终止合同。</w:t>
            </w:r>
          </w:p>
          <w:p>
            <w:pPr>
              <w:pStyle w:val="null3"/>
            </w:pPr>
            <w:r>
              <w:rPr/>
              <w:t xml:space="preserve">      （4）供应商须按照采购人要求开展工作。消杀过程中，供应商必须严格按照采购人要求进行消杀；消杀完成后，必须按照采购人要求记录消杀台账并汇总。</w:t>
            </w:r>
          </w:p>
          <w:p>
            <w:pPr>
              <w:pStyle w:val="null3"/>
            </w:pPr>
            <w:r>
              <w:rPr/>
              <w:t xml:space="preserve">      （5）供应商应具备数据处理及分析评估能力，对所有评估点的消杀结果进行统计和分析，于项目完成后以书面形式向采购人提交全年任务分析报告，并提出相应工作建议。</w:t>
            </w:r>
          </w:p>
          <w:p>
            <w:pPr>
              <w:pStyle w:val="null3"/>
            </w:pPr>
            <w:r>
              <w:rPr/>
              <w:t xml:space="preserve">      （6）供应商具有健全的组织机构和内部管理制度，拥有完善的质量控制制度和技术档案管理制度及完善的财务管理制度，拥有良好的社会信誉；</w:t>
            </w:r>
          </w:p>
          <w:p>
            <w:pPr>
              <w:pStyle w:val="null3"/>
            </w:pPr>
            <w:r>
              <w:rPr>
                <w:sz w:val="21"/>
              </w:rPr>
              <w:t xml:space="preserve">      （7）供应商应根据国家和省、市相关法规、政策和文件的有关规定，按时按质按量完成任务</w:t>
            </w:r>
            <w:r>
              <w:rPr>
                <w:sz w:val="21"/>
              </w:rPr>
              <w:t>。</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sz w:val="21"/>
              </w:rPr>
              <w:t>其他要求：</w:t>
            </w:r>
          </w:p>
          <w:p>
            <w:pPr>
              <w:pStyle w:val="null3"/>
            </w:pPr>
            <w:r>
              <w:rPr>
                <w:sz w:val="21"/>
              </w:rPr>
              <w:t>★</w:t>
            </w:r>
            <w:r>
              <w:rPr>
                <w:sz w:val="21"/>
              </w:rPr>
              <w:t>（1）供应商必须如实提供响应所需证明材料，不得使用虚假资料响应，一经发现，立即取消成交资格，并追究法律责任。（供应商须提供承诺函，并加盖公章，格式自拟）</w:t>
            </w:r>
          </w:p>
        </w:tc>
      </w:tr>
      <w:tr>
        <w:tc>
          <w:tcPr>
            <w:tcW w:type="dxa" w:w="2076"/>
          </w:tcPr>
          <w:p>
            <w:pPr>
              <w:pStyle w:val="null3"/>
            </w:pPr>
            <w:r>
              <w:rPr/>
              <w:t>★</w:t>
            </w:r>
          </w:p>
        </w:tc>
        <w:tc>
          <w:tcPr>
            <w:tcW w:type="dxa" w:w="415"/>
          </w:tcPr>
          <w:p>
            <w:pPr>
              <w:pStyle w:val="null3"/>
            </w:pPr>
            <w:r>
              <w:rPr/>
              <w:t>12</w:t>
            </w:r>
          </w:p>
        </w:tc>
        <w:tc>
          <w:tcPr>
            <w:tcW w:type="dxa" w:w="5814"/>
          </w:tcPr>
          <w:p>
            <w:pPr>
              <w:pStyle w:val="null3"/>
              <w:jc w:val="left"/>
            </w:pPr>
            <w:r>
              <w:rPr/>
              <w:t>其他要求：</w:t>
            </w:r>
          </w:p>
          <w:p>
            <w:pPr>
              <w:pStyle w:val="null3"/>
            </w:pPr>
            <w:r>
              <w:rPr>
                <w:sz w:val="21"/>
              </w:rPr>
              <w:t>★</w:t>
            </w:r>
            <w:r>
              <w:rPr>
                <w:sz w:val="21"/>
              </w:rPr>
              <w:t>（2）供应商在接受采购人委托任务过程中，要严格按照法律法规和采购人要求的工作规范开展应急消杀工作。（供应商须提供承诺函，并加盖公章，格式自拟）</w:t>
            </w:r>
          </w:p>
        </w:tc>
      </w:tr>
      <w:tr>
        <w:tc>
          <w:tcPr>
            <w:tcW w:type="dxa" w:w="2076"/>
          </w:tcPr>
          <w:p/>
        </w:tc>
        <w:tc>
          <w:tcPr>
            <w:tcW w:type="dxa" w:w="415"/>
          </w:tcPr>
          <w:p>
            <w:pPr>
              <w:pStyle w:val="null3"/>
            </w:pPr>
            <w:r>
              <w:rPr/>
              <w:t>13</w:t>
            </w:r>
          </w:p>
        </w:tc>
        <w:tc>
          <w:tcPr>
            <w:tcW w:type="dxa" w:w="5814"/>
          </w:tcPr>
          <w:p>
            <w:pPr>
              <w:pStyle w:val="null3"/>
              <w:jc w:val="left"/>
            </w:pPr>
            <w:r>
              <w:rPr/>
              <w:t>其他要求：</w:t>
            </w:r>
          </w:p>
          <w:p>
            <w:pPr>
              <w:pStyle w:val="null3"/>
            </w:pPr>
            <w:r>
              <w:rPr>
                <w:sz w:val="21"/>
              </w:rPr>
              <w:t>（3）供应商应当积极配合相关部门对资金使用情况进行监督检查与绩效评价。</w:t>
            </w:r>
          </w:p>
        </w:tc>
      </w:tr>
      <w:tr>
        <w:tc>
          <w:tcPr>
            <w:tcW w:type="dxa" w:w="2076"/>
          </w:tcPr>
          <w:p/>
        </w:tc>
        <w:tc>
          <w:tcPr>
            <w:tcW w:type="dxa" w:w="415"/>
          </w:tcPr>
          <w:p>
            <w:pPr>
              <w:pStyle w:val="null3"/>
            </w:pPr>
            <w:r>
              <w:rPr/>
              <w:t>14</w:t>
            </w:r>
          </w:p>
        </w:tc>
        <w:tc>
          <w:tcPr>
            <w:tcW w:type="dxa" w:w="5814"/>
          </w:tcPr>
          <w:p>
            <w:pPr>
              <w:pStyle w:val="null3"/>
              <w:jc w:val="left"/>
            </w:pPr>
            <w:r>
              <w:rPr/>
              <w:t>其他要求：</w:t>
            </w:r>
          </w:p>
          <w:p>
            <w:pPr>
              <w:pStyle w:val="null3"/>
            </w:pPr>
            <w:r>
              <w:rPr>
                <w:sz w:val="21"/>
              </w:rPr>
              <w:t>（4）若任务开展中出现违法违规、弄虚作假的情况，立即终止本项目合同，采购人有权拒绝支付费用并要求赔偿、追究其法律责任。</w:t>
            </w:r>
          </w:p>
        </w:tc>
      </w:tr>
      <w:tr>
        <w:tc>
          <w:tcPr>
            <w:tcW w:type="dxa" w:w="2076"/>
          </w:tcPr>
          <w:p/>
        </w:tc>
        <w:tc>
          <w:tcPr>
            <w:tcW w:type="dxa" w:w="415"/>
          </w:tcPr>
          <w:p>
            <w:pPr>
              <w:pStyle w:val="null3"/>
            </w:pPr>
            <w:r>
              <w:rPr/>
              <w:t>15</w:t>
            </w:r>
          </w:p>
        </w:tc>
        <w:tc>
          <w:tcPr>
            <w:tcW w:type="dxa" w:w="5814"/>
          </w:tcPr>
          <w:p>
            <w:pPr>
              <w:pStyle w:val="null3"/>
              <w:jc w:val="left"/>
            </w:pPr>
            <w:r>
              <w:rPr/>
              <w:t>其他要求：</w:t>
            </w:r>
          </w:p>
          <w:p>
            <w:pPr>
              <w:pStyle w:val="null3"/>
            </w:pPr>
            <w:r>
              <w:rPr>
                <w:sz w:val="21"/>
              </w:rPr>
              <w:t>（5）出现重大工作失误、差错或出具的报告书存在严重漏洞、错误的，采购人有权停止委托任务1个月；项目合同期内，若出现2次或以上重大差错的，采购人有权终止项目合同并对此不作任何补偿。</w:t>
            </w:r>
          </w:p>
        </w:tc>
      </w:tr>
      <w:tr>
        <w:tc>
          <w:tcPr>
            <w:tcW w:type="dxa" w:w="2076"/>
          </w:tcPr>
          <w:p>
            <w:pPr>
              <w:pStyle w:val="null3"/>
            </w:pPr>
            <w:r>
              <w:rPr/>
              <w:t>★</w:t>
            </w:r>
          </w:p>
        </w:tc>
        <w:tc>
          <w:tcPr>
            <w:tcW w:type="dxa" w:w="415"/>
          </w:tcPr>
          <w:p>
            <w:pPr>
              <w:pStyle w:val="null3"/>
            </w:pPr>
            <w:r>
              <w:rPr/>
              <w:t>16</w:t>
            </w:r>
          </w:p>
        </w:tc>
        <w:tc>
          <w:tcPr>
            <w:tcW w:type="dxa" w:w="5814"/>
          </w:tcPr>
          <w:p>
            <w:pPr>
              <w:pStyle w:val="null3"/>
              <w:jc w:val="left"/>
            </w:pPr>
            <w:r>
              <w:rPr/>
              <w:t>其他要求：</w:t>
            </w:r>
          </w:p>
          <w:p>
            <w:pPr>
              <w:pStyle w:val="null3"/>
            </w:pPr>
            <w:r>
              <w:rPr>
                <w:sz w:val="21"/>
              </w:rPr>
              <w:t>★</w:t>
            </w:r>
            <w:r>
              <w:rPr>
                <w:sz w:val="21"/>
              </w:rPr>
              <w:t>（6）本项目协议所涉及工作的有关信息、数据和结果，为采购人所有，供应商未经采购人允许，不得擅自将有关信息、数据和结果向第三方披露，否则采购人有权终止合同，如造成经济损失或不良影响的，将追究经济赔偿责任和法律责任。（供应商须提供承诺函，并加盖公章，格式自拟）</w:t>
            </w:r>
          </w:p>
        </w:tc>
      </w:tr>
      <w:tr>
        <w:tc>
          <w:tcPr>
            <w:tcW w:type="dxa" w:w="2076"/>
          </w:tcPr>
          <w:p/>
        </w:tc>
        <w:tc>
          <w:tcPr>
            <w:tcW w:type="dxa" w:w="415"/>
          </w:tcPr>
          <w:p>
            <w:pPr>
              <w:pStyle w:val="null3"/>
            </w:pPr>
            <w:r>
              <w:rPr/>
              <w:t>17</w:t>
            </w:r>
          </w:p>
        </w:tc>
        <w:tc>
          <w:tcPr>
            <w:tcW w:type="dxa" w:w="5814"/>
          </w:tcPr>
          <w:p>
            <w:pPr>
              <w:pStyle w:val="null3"/>
              <w:jc w:val="left"/>
            </w:pPr>
            <w:r>
              <w:rPr/>
              <w:t>其他要求：</w:t>
            </w:r>
          </w:p>
          <w:p>
            <w:pPr>
              <w:pStyle w:val="null3"/>
            </w:pPr>
            <w:r>
              <w:rPr>
                <w:sz w:val="21"/>
              </w:rPr>
              <w:t>（7）供应商须严格按照响应文件承诺内容提供相应服务，采购人有权直接或委托第三方对供应商关于项目准备情况、实施过程、售后服务情况进行检查、考核和客观评价。</w:t>
            </w:r>
          </w:p>
        </w:tc>
      </w:tr>
      <w:tr>
        <w:tc>
          <w:tcPr>
            <w:tcW w:type="dxa" w:w="2076"/>
          </w:tcPr>
          <w:p/>
        </w:tc>
        <w:tc>
          <w:tcPr>
            <w:tcW w:type="dxa" w:w="415"/>
          </w:tcPr>
          <w:p>
            <w:pPr>
              <w:pStyle w:val="null3"/>
            </w:pPr>
            <w:r>
              <w:rPr/>
              <w:t>18</w:t>
            </w:r>
          </w:p>
        </w:tc>
        <w:tc>
          <w:tcPr>
            <w:tcW w:type="dxa" w:w="5814"/>
          </w:tcPr>
          <w:p>
            <w:pPr>
              <w:pStyle w:val="null3"/>
            </w:pPr>
            <w:r>
              <w:rPr>
                <w:sz w:val="21"/>
              </w:rPr>
              <w:t>其他要求：</w:t>
            </w:r>
          </w:p>
          <w:p>
            <w:pPr>
              <w:pStyle w:val="null3"/>
            </w:pPr>
            <w:r>
              <w:rPr>
                <w:sz w:val="21"/>
              </w:rPr>
              <w:t>（8）供应商在执行采购人任务过程中，出现严重失误、出具虚假报告等行为，采购人有权终止合同并对此不作任何补偿。</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sz w:val="21"/>
              </w:rPr>
              <w:t>★</w:t>
            </w:r>
            <w:r>
              <w:rPr>
                <w:sz w:val="21"/>
              </w:rPr>
              <w:t>在服务期内，若中标（成交）区域的登革热疫情紧急或蚊媒高风险区域范围较大时，而成交供应商的应急消杀力量不能满足应急需求（如限定时间内处理后蚊媒密度超标）时，采购人有权调集本项目其它区域的应急力量进行支援，成交供应商需完全服从配合。若其他未中标（成交）区域出现登革热疫情紧急或蚊媒高风险区域范围较大时，承诺完全服从采购人的调配。如无正当理由拒绝调配的，采购人给予扣减分值10分/次。（需提供承诺函，并加盖公章，格式自拟）</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sz w:val="21"/>
              </w:rPr>
              <w:t>★</w:t>
            </w:r>
            <w:r>
              <w:rPr>
                <w:sz w:val="21"/>
              </w:rPr>
              <w:t>若成交供应商负责的区域，因该区域包的消杀资金已使用完毕，采购人按照疫情情况，可调集其他包组成交供应商支援该区域消杀，成交供应商需完全服从配合。（提供承诺函，</w:t>
            </w:r>
            <w:r>
              <w:rPr>
                <w:sz w:val="21"/>
              </w:rPr>
              <w:t>并加盖公章，格式自拟）</w:t>
            </w:r>
          </w:p>
        </w:tc>
      </w:tr>
      <w:tr>
        <w:tc>
          <w:tcPr>
            <w:tcW w:type="dxa" w:w="2076"/>
          </w:tcPr>
          <w:p/>
        </w:tc>
        <w:tc>
          <w:tcPr>
            <w:tcW w:type="dxa" w:w="415"/>
          </w:tcPr>
          <w:p>
            <w:pPr>
              <w:pStyle w:val="null3"/>
            </w:pPr>
            <w:r>
              <w:rPr/>
              <w:t>21</w:t>
            </w:r>
          </w:p>
        </w:tc>
        <w:tc>
          <w:tcPr>
            <w:tcW w:type="dxa" w:w="5814"/>
          </w:tcPr>
          <w:p>
            <w:pPr>
              <w:pStyle w:val="null3"/>
            </w:pPr>
            <w:r>
              <w:rPr>
                <w:sz w:val="20"/>
                <w:b/>
                <w:color w:val="000000"/>
              </w:rPr>
              <w:t>应急消杀社会化服务项目质量考核表</w:t>
            </w:r>
          </w:p>
          <w:tbl>
            <w:tblPr>
              <w:tblBorders>
                <w:top w:val="none" w:color="000000" w:sz="4"/>
                <w:left w:val="none" w:color="000000" w:sz="4"/>
                <w:bottom w:val="none" w:color="000000" w:sz="4"/>
                <w:right w:val="none" w:color="000000" w:sz="4"/>
                <w:insideH w:val="none"/>
                <w:insideV w:val="none"/>
              </w:tblBorders>
            </w:tblPr>
            <w:tblGrid>
              <w:gridCol w:w="577"/>
              <w:gridCol w:w="404"/>
              <w:gridCol w:w="3636"/>
              <w:gridCol w:w="519"/>
              <w:gridCol w:w="462"/>
            </w:tblGrid>
            <w:tr>
              <w:tc>
                <w:tcPr>
                  <w:tcW w:type="dxa" w:w="5598"/>
                  <w:gridSpan w:val="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应急消杀社会化服务项目质量考核表</w:t>
                  </w: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考核项目</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分值</w:t>
                  </w:r>
                </w:p>
              </w:tc>
              <w:tc>
                <w:tcPr>
                  <w:tcW w:type="dxa" w:w="36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评分标准</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考核情况</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得分</w:t>
                  </w:r>
                </w:p>
              </w:tc>
            </w:tr>
            <w:tr>
              <w:tc>
                <w:tcPr>
                  <w:tcW w:type="dxa" w:w="5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组织管理</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20</w:t>
                  </w:r>
                </w:p>
              </w:tc>
              <w:tc>
                <w:tcPr>
                  <w:tcW w:type="dxa" w:w="36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w:t>
                  </w:r>
                  <w:r>
                    <w:rPr>
                      <w:sz w:val="21"/>
                      <w:color w:val="000000"/>
                    </w:rPr>
                    <w:t>未制定施工方案（要求、人员、药械、计划、考评、结果报送等）每项扣2分；</w:t>
                  </w:r>
                </w:p>
              </w:tc>
              <w:tc>
                <w:tcPr>
                  <w:tcW w:type="dxa" w:w="5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77"/>
                  <w:vMerge/>
                  <w:tcBorders>
                    <w:top w:val="none" w:color="000000" w:sz="4"/>
                    <w:left w:val="single" w:color="000000" w:sz="4"/>
                    <w:bottom w:val="single" w:color="000000" w:sz="4"/>
                    <w:right w:val="single" w:color="000000" w:sz="4"/>
                  </w:tcBorders>
                </w:tcPr>
                <w:p/>
              </w:tc>
              <w:tc>
                <w:tcPr>
                  <w:tcW w:type="dxa" w:w="404"/>
                  <w:vMerge/>
                  <w:tcBorders>
                    <w:top w:val="none" w:color="000000" w:sz="4"/>
                    <w:left w:val="none" w:color="000000" w:sz="4"/>
                    <w:bottom w:val="single" w:color="000000" w:sz="4"/>
                    <w:right w:val="single" w:color="000000" w:sz="4"/>
                  </w:tcBorders>
                </w:tcPr>
                <w:p/>
              </w:tc>
              <w:tc>
                <w:tcPr>
                  <w:tcW w:type="dxa" w:w="36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2.</w:t>
                  </w:r>
                  <w:r>
                    <w:rPr>
                      <w:sz w:val="21"/>
                      <w:color w:val="000000"/>
                    </w:rPr>
                    <w:t>未开展消杀技能培训和处置演练扣5分；</w:t>
                  </w:r>
                </w:p>
              </w:tc>
              <w:tc>
                <w:tcPr>
                  <w:tcW w:type="dxa" w:w="519"/>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r>
            <w:tr>
              <w:tc>
                <w:tcPr>
                  <w:tcW w:type="dxa" w:w="577"/>
                  <w:vMerge/>
                  <w:tcBorders>
                    <w:top w:val="none" w:color="000000" w:sz="4"/>
                    <w:left w:val="single" w:color="000000" w:sz="4"/>
                    <w:bottom w:val="single" w:color="000000" w:sz="4"/>
                    <w:right w:val="single" w:color="000000" w:sz="4"/>
                  </w:tcBorders>
                </w:tcPr>
                <w:p/>
              </w:tc>
              <w:tc>
                <w:tcPr>
                  <w:tcW w:type="dxa" w:w="404"/>
                  <w:vMerge/>
                  <w:tcBorders>
                    <w:top w:val="none" w:color="000000" w:sz="4"/>
                    <w:left w:val="none" w:color="000000" w:sz="4"/>
                    <w:bottom w:val="single" w:color="000000" w:sz="4"/>
                    <w:right w:val="single" w:color="000000" w:sz="4"/>
                  </w:tcBorders>
                </w:tcPr>
                <w:p/>
              </w:tc>
              <w:tc>
                <w:tcPr>
                  <w:tcW w:type="dxa" w:w="36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3.</w:t>
                  </w:r>
                  <w:r>
                    <w:rPr>
                      <w:sz w:val="21"/>
                      <w:color w:val="000000"/>
                    </w:rPr>
                    <w:t>消杀药械不满足要求、存放不规范以及无使用记录扣5分；</w:t>
                  </w:r>
                </w:p>
              </w:tc>
              <w:tc>
                <w:tcPr>
                  <w:tcW w:type="dxa" w:w="519"/>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r>
            <w:tr>
              <w:tc>
                <w:tcPr>
                  <w:tcW w:type="dxa" w:w="577"/>
                  <w:vMerge/>
                  <w:tcBorders>
                    <w:top w:val="none" w:color="000000" w:sz="4"/>
                    <w:left w:val="single" w:color="000000" w:sz="4"/>
                    <w:bottom w:val="single" w:color="000000" w:sz="4"/>
                    <w:right w:val="single" w:color="000000" w:sz="4"/>
                  </w:tcBorders>
                </w:tcPr>
                <w:p/>
              </w:tc>
              <w:tc>
                <w:tcPr>
                  <w:tcW w:type="dxa" w:w="404"/>
                  <w:vMerge/>
                  <w:tcBorders>
                    <w:top w:val="none" w:color="000000" w:sz="4"/>
                    <w:left w:val="none" w:color="000000" w:sz="4"/>
                    <w:bottom w:val="single" w:color="000000" w:sz="4"/>
                    <w:right w:val="single" w:color="000000" w:sz="4"/>
                  </w:tcBorders>
                </w:tcPr>
                <w:p/>
              </w:tc>
              <w:tc>
                <w:tcPr>
                  <w:tcW w:type="dxa" w:w="36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4.</w:t>
                  </w:r>
                  <w:r>
                    <w:rPr>
                      <w:sz w:val="21"/>
                      <w:color w:val="000000"/>
                    </w:rPr>
                    <w:t>因特殊原因更换项目组人员时未事前提出书面申请，或未经同意擅自更换项目组人员，每人扣20分；</w:t>
                  </w:r>
                </w:p>
              </w:tc>
              <w:tc>
                <w:tcPr>
                  <w:tcW w:type="dxa" w:w="519"/>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r>
            <w:tr>
              <w:tc>
                <w:tcPr>
                  <w:tcW w:type="dxa" w:w="577"/>
                  <w:vMerge/>
                  <w:tcBorders>
                    <w:top w:val="none" w:color="000000" w:sz="4"/>
                    <w:left w:val="single" w:color="000000" w:sz="4"/>
                    <w:bottom w:val="single" w:color="000000" w:sz="4"/>
                    <w:right w:val="single" w:color="000000" w:sz="4"/>
                  </w:tcBorders>
                </w:tcPr>
                <w:p/>
              </w:tc>
              <w:tc>
                <w:tcPr>
                  <w:tcW w:type="dxa" w:w="404"/>
                  <w:vMerge/>
                  <w:tcBorders>
                    <w:top w:val="none" w:color="000000" w:sz="4"/>
                    <w:left w:val="none" w:color="000000" w:sz="4"/>
                    <w:bottom w:val="single" w:color="000000" w:sz="4"/>
                    <w:right w:val="single" w:color="000000" w:sz="4"/>
                  </w:tcBorders>
                </w:tcPr>
                <w:p/>
              </w:tc>
              <w:tc>
                <w:tcPr>
                  <w:tcW w:type="dxa" w:w="36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5.</w:t>
                  </w:r>
                  <w:r>
                    <w:rPr>
                      <w:sz w:val="21"/>
                      <w:color w:val="000000"/>
                    </w:rPr>
                    <w:t>泄露疫情信息、监测数据和其他项目内容扣20分。</w:t>
                  </w:r>
                </w:p>
              </w:tc>
              <w:tc>
                <w:tcPr>
                  <w:tcW w:type="dxa" w:w="519"/>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r>
            <w:tr>
              <w:tc>
                <w:tcPr>
                  <w:tcW w:type="dxa" w:w="577"/>
                  <w:vMerge/>
                  <w:tcBorders>
                    <w:top w:val="none" w:color="000000" w:sz="4"/>
                    <w:left w:val="single" w:color="000000" w:sz="4"/>
                    <w:bottom w:val="single" w:color="000000" w:sz="4"/>
                    <w:right w:val="single" w:color="000000" w:sz="4"/>
                  </w:tcBorders>
                </w:tcPr>
                <w:p/>
              </w:tc>
              <w:tc>
                <w:tcPr>
                  <w:tcW w:type="dxa" w:w="404"/>
                  <w:vMerge/>
                  <w:tcBorders>
                    <w:top w:val="none" w:color="000000" w:sz="4"/>
                    <w:left w:val="none" w:color="000000" w:sz="4"/>
                    <w:bottom w:val="single" w:color="000000" w:sz="4"/>
                    <w:right w:val="single" w:color="000000" w:sz="4"/>
                  </w:tcBorders>
                </w:tcPr>
                <w:p/>
              </w:tc>
              <w:tc>
                <w:tcPr>
                  <w:tcW w:type="dxa" w:w="36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6.</w:t>
                  </w:r>
                  <w:r>
                    <w:rPr>
                      <w:sz w:val="21"/>
                      <w:color w:val="000000"/>
                    </w:rPr>
                    <w:t>当疫情紧急时，无正当合理理由拒绝采购人调配的，扣10分。</w:t>
                  </w:r>
                </w:p>
              </w:tc>
              <w:tc>
                <w:tcPr>
                  <w:tcW w:type="dxa" w:w="519"/>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r>
            <w:tr>
              <w:tc>
                <w:tcPr>
                  <w:tcW w:type="dxa" w:w="5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现场操作</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65</w:t>
                  </w:r>
                </w:p>
              </w:tc>
              <w:tc>
                <w:tcPr>
                  <w:tcW w:type="dxa" w:w="36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w:t>
                  </w:r>
                  <w:r>
                    <w:rPr>
                      <w:sz w:val="21"/>
                      <w:color w:val="000000"/>
                    </w:rPr>
                    <w:t>项目主管人员无法联系、团队迟到等情况每10分钟扣2分；</w:t>
                  </w:r>
                </w:p>
              </w:tc>
              <w:tc>
                <w:tcPr>
                  <w:tcW w:type="dxa" w:w="5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77"/>
                  <w:vMerge/>
                  <w:tcBorders>
                    <w:top w:val="none" w:color="000000" w:sz="4"/>
                    <w:left w:val="single" w:color="000000" w:sz="4"/>
                    <w:bottom w:val="single" w:color="000000" w:sz="4"/>
                    <w:right w:val="single" w:color="000000" w:sz="4"/>
                  </w:tcBorders>
                </w:tcPr>
                <w:p/>
              </w:tc>
              <w:tc>
                <w:tcPr>
                  <w:tcW w:type="dxa" w:w="404"/>
                  <w:vMerge/>
                  <w:tcBorders>
                    <w:top w:val="none" w:color="000000" w:sz="4"/>
                    <w:left w:val="none" w:color="000000" w:sz="4"/>
                    <w:bottom w:val="single" w:color="000000" w:sz="4"/>
                    <w:right w:val="single" w:color="000000" w:sz="4"/>
                  </w:tcBorders>
                </w:tcPr>
                <w:p/>
              </w:tc>
              <w:tc>
                <w:tcPr>
                  <w:tcW w:type="dxa" w:w="36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2.</w:t>
                  </w:r>
                  <w:r>
                    <w:rPr>
                      <w:sz w:val="21"/>
                      <w:color w:val="000000"/>
                    </w:rPr>
                    <w:t>施工作业时未持证上岗，或穿不统一，每人每次扣5分；</w:t>
                  </w:r>
                </w:p>
              </w:tc>
              <w:tc>
                <w:tcPr>
                  <w:tcW w:type="dxa" w:w="519"/>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r>
            <w:tr>
              <w:tc>
                <w:tcPr>
                  <w:tcW w:type="dxa" w:w="577"/>
                  <w:vMerge/>
                  <w:tcBorders>
                    <w:top w:val="none" w:color="000000" w:sz="4"/>
                    <w:left w:val="single" w:color="000000" w:sz="4"/>
                    <w:bottom w:val="single" w:color="000000" w:sz="4"/>
                    <w:right w:val="single" w:color="000000" w:sz="4"/>
                  </w:tcBorders>
                </w:tcPr>
                <w:p/>
              </w:tc>
              <w:tc>
                <w:tcPr>
                  <w:tcW w:type="dxa" w:w="404"/>
                  <w:vMerge/>
                  <w:tcBorders>
                    <w:top w:val="none" w:color="000000" w:sz="4"/>
                    <w:left w:val="none" w:color="000000" w:sz="4"/>
                    <w:bottom w:val="single" w:color="000000" w:sz="4"/>
                    <w:right w:val="single" w:color="000000" w:sz="4"/>
                  </w:tcBorders>
                </w:tcPr>
                <w:p/>
              </w:tc>
              <w:tc>
                <w:tcPr>
                  <w:tcW w:type="dxa" w:w="36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3.</w:t>
                  </w:r>
                  <w:r>
                    <w:rPr>
                      <w:sz w:val="21"/>
                      <w:color w:val="000000"/>
                    </w:rPr>
                    <w:t>施工人员有抽烟、饮食、聚堆闲聊、收集废品或从事其他与作业无关的事项时每人每次扣5分；</w:t>
                  </w:r>
                </w:p>
              </w:tc>
              <w:tc>
                <w:tcPr>
                  <w:tcW w:type="dxa" w:w="519"/>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r>
            <w:tr>
              <w:tc>
                <w:tcPr>
                  <w:tcW w:type="dxa" w:w="577"/>
                  <w:vMerge/>
                  <w:tcBorders>
                    <w:top w:val="none" w:color="000000" w:sz="4"/>
                    <w:left w:val="single" w:color="000000" w:sz="4"/>
                    <w:bottom w:val="single" w:color="000000" w:sz="4"/>
                    <w:right w:val="single" w:color="000000" w:sz="4"/>
                  </w:tcBorders>
                </w:tcPr>
                <w:p/>
              </w:tc>
              <w:tc>
                <w:tcPr>
                  <w:tcW w:type="dxa" w:w="404"/>
                  <w:vMerge/>
                  <w:tcBorders>
                    <w:top w:val="none" w:color="000000" w:sz="4"/>
                    <w:left w:val="none" w:color="000000" w:sz="4"/>
                    <w:bottom w:val="single" w:color="000000" w:sz="4"/>
                    <w:right w:val="single" w:color="000000" w:sz="4"/>
                  </w:tcBorders>
                </w:tcPr>
                <w:p/>
              </w:tc>
              <w:tc>
                <w:tcPr>
                  <w:tcW w:type="dxa" w:w="36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4.</w:t>
                  </w:r>
                  <w:r>
                    <w:rPr>
                      <w:sz w:val="21"/>
                      <w:color w:val="000000"/>
                    </w:rPr>
                    <w:t>消杀工作未按计划开展（协商同意且于协商当天上报新计划除外）每项扣5分；</w:t>
                  </w:r>
                </w:p>
              </w:tc>
              <w:tc>
                <w:tcPr>
                  <w:tcW w:type="dxa" w:w="519"/>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r>
            <w:tr>
              <w:tc>
                <w:tcPr>
                  <w:tcW w:type="dxa" w:w="577"/>
                  <w:vMerge/>
                  <w:tcBorders>
                    <w:top w:val="none" w:color="000000" w:sz="4"/>
                    <w:left w:val="single" w:color="000000" w:sz="4"/>
                    <w:bottom w:val="single" w:color="000000" w:sz="4"/>
                    <w:right w:val="single" w:color="000000" w:sz="4"/>
                  </w:tcBorders>
                </w:tcPr>
                <w:p/>
              </w:tc>
              <w:tc>
                <w:tcPr>
                  <w:tcW w:type="dxa" w:w="404"/>
                  <w:vMerge/>
                  <w:tcBorders>
                    <w:top w:val="none" w:color="000000" w:sz="4"/>
                    <w:left w:val="none" w:color="000000" w:sz="4"/>
                    <w:bottom w:val="single" w:color="000000" w:sz="4"/>
                    <w:right w:val="single" w:color="000000" w:sz="4"/>
                  </w:tcBorders>
                </w:tcPr>
                <w:p/>
              </w:tc>
              <w:tc>
                <w:tcPr>
                  <w:tcW w:type="dxa" w:w="36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5.</w:t>
                  </w:r>
                  <w:r>
                    <w:rPr>
                      <w:sz w:val="21"/>
                      <w:color w:val="000000"/>
                    </w:rPr>
                    <w:t>未按时完成或未规范开展工作每次扣5分；</w:t>
                  </w:r>
                </w:p>
              </w:tc>
              <w:tc>
                <w:tcPr>
                  <w:tcW w:type="dxa" w:w="519"/>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r>
            <w:tr>
              <w:tc>
                <w:tcPr>
                  <w:tcW w:type="dxa" w:w="577"/>
                  <w:vMerge/>
                  <w:tcBorders>
                    <w:top w:val="none" w:color="000000" w:sz="4"/>
                    <w:left w:val="single" w:color="000000" w:sz="4"/>
                    <w:bottom w:val="single" w:color="000000" w:sz="4"/>
                    <w:right w:val="single" w:color="000000" w:sz="4"/>
                  </w:tcBorders>
                </w:tcPr>
                <w:p/>
              </w:tc>
              <w:tc>
                <w:tcPr>
                  <w:tcW w:type="dxa" w:w="404"/>
                  <w:vMerge/>
                  <w:tcBorders>
                    <w:top w:val="none" w:color="000000" w:sz="4"/>
                    <w:left w:val="none" w:color="000000" w:sz="4"/>
                    <w:bottom w:val="single" w:color="000000" w:sz="4"/>
                    <w:right w:val="single" w:color="000000" w:sz="4"/>
                  </w:tcBorders>
                </w:tcPr>
                <w:p/>
              </w:tc>
              <w:tc>
                <w:tcPr>
                  <w:tcW w:type="dxa" w:w="36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6.</w:t>
                  </w:r>
                  <w:r>
                    <w:rPr>
                      <w:sz w:val="21"/>
                      <w:color w:val="000000"/>
                    </w:rPr>
                    <w:t>登革热疫情处置出动人员少于10人或物资不全每人每项扣5分；</w:t>
                  </w:r>
                </w:p>
              </w:tc>
              <w:tc>
                <w:tcPr>
                  <w:tcW w:type="dxa" w:w="519"/>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r>
            <w:tr>
              <w:tc>
                <w:tcPr>
                  <w:tcW w:type="dxa" w:w="577"/>
                  <w:vMerge/>
                  <w:tcBorders>
                    <w:top w:val="none" w:color="000000" w:sz="4"/>
                    <w:left w:val="single" w:color="000000" w:sz="4"/>
                    <w:bottom w:val="single" w:color="000000" w:sz="4"/>
                    <w:right w:val="single" w:color="000000" w:sz="4"/>
                  </w:tcBorders>
                </w:tcPr>
                <w:p/>
              </w:tc>
              <w:tc>
                <w:tcPr>
                  <w:tcW w:type="dxa" w:w="404"/>
                  <w:vMerge/>
                  <w:tcBorders>
                    <w:top w:val="none" w:color="000000" w:sz="4"/>
                    <w:left w:val="none" w:color="000000" w:sz="4"/>
                    <w:bottom w:val="single" w:color="000000" w:sz="4"/>
                    <w:right w:val="single" w:color="000000" w:sz="4"/>
                  </w:tcBorders>
                </w:tcPr>
                <w:p/>
              </w:tc>
              <w:tc>
                <w:tcPr>
                  <w:tcW w:type="dxa" w:w="36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7.</w:t>
                  </w:r>
                  <w:r>
                    <w:rPr>
                      <w:sz w:val="21"/>
                      <w:color w:val="000000"/>
                    </w:rPr>
                    <w:t>消杀药物为该区域中、高抗卫生杀虫剂扣10分；</w:t>
                  </w:r>
                </w:p>
              </w:tc>
              <w:tc>
                <w:tcPr>
                  <w:tcW w:type="dxa" w:w="519"/>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r>
            <w:tr>
              <w:tc>
                <w:tcPr>
                  <w:tcW w:type="dxa" w:w="577"/>
                  <w:vMerge/>
                  <w:tcBorders>
                    <w:top w:val="none" w:color="000000" w:sz="4"/>
                    <w:left w:val="single" w:color="000000" w:sz="4"/>
                    <w:bottom w:val="single" w:color="000000" w:sz="4"/>
                    <w:right w:val="single" w:color="000000" w:sz="4"/>
                  </w:tcBorders>
                </w:tcPr>
                <w:p/>
              </w:tc>
              <w:tc>
                <w:tcPr>
                  <w:tcW w:type="dxa" w:w="404"/>
                  <w:vMerge/>
                  <w:tcBorders>
                    <w:top w:val="none" w:color="000000" w:sz="4"/>
                    <w:left w:val="none" w:color="000000" w:sz="4"/>
                    <w:bottom w:val="single" w:color="000000" w:sz="4"/>
                    <w:right w:val="single" w:color="000000" w:sz="4"/>
                  </w:tcBorders>
                </w:tcPr>
                <w:p/>
              </w:tc>
              <w:tc>
                <w:tcPr>
                  <w:tcW w:type="dxa" w:w="36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8.</w:t>
                  </w:r>
                  <w:r>
                    <w:rPr>
                      <w:sz w:val="21"/>
                      <w:color w:val="000000"/>
                    </w:rPr>
                    <w:t>登革热疫情处置，出动消杀器械少于5台超低容量喷雾器、2台常量喷雾器，或使用药物剂型不符合要求每项扣5分；</w:t>
                  </w:r>
                </w:p>
              </w:tc>
              <w:tc>
                <w:tcPr>
                  <w:tcW w:type="dxa" w:w="519"/>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r>
            <w:tr>
              <w:tc>
                <w:tcPr>
                  <w:tcW w:type="dxa" w:w="577"/>
                  <w:vMerge/>
                  <w:tcBorders>
                    <w:top w:val="none" w:color="000000" w:sz="4"/>
                    <w:left w:val="single" w:color="000000" w:sz="4"/>
                    <w:bottom w:val="single" w:color="000000" w:sz="4"/>
                    <w:right w:val="single" w:color="000000" w:sz="4"/>
                  </w:tcBorders>
                </w:tcPr>
                <w:p/>
              </w:tc>
              <w:tc>
                <w:tcPr>
                  <w:tcW w:type="dxa" w:w="404"/>
                  <w:vMerge/>
                  <w:tcBorders>
                    <w:top w:val="none" w:color="000000" w:sz="4"/>
                    <w:left w:val="none" w:color="000000" w:sz="4"/>
                    <w:bottom w:val="single" w:color="000000" w:sz="4"/>
                    <w:right w:val="single" w:color="000000" w:sz="4"/>
                  </w:tcBorders>
                </w:tcPr>
                <w:p/>
              </w:tc>
              <w:tc>
                <w:tcPr>
                  <w:tcW w:type="dxa" w:w="36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9.</w:t>
                  </w:r>
                  <w:r>
                    <w:rPr>
                      <w:sz w:val="21"/>
                      <w:color w:val="000000"/>
                    </w:rPr>
                    <w:t>施药不规范（包括喷杀时间、喷杀半径、遗漏死角、药剂种类、施药剂量、用药方法、风速风向）每项扣5分；</w:t>
                  </w:r>
                </w:p>
              </w:tc>
              <w:tc>
                <w:tcPr>
                  <w:tcW w:type="dxa" w:w="519"/>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r>
            <w:tr>
              <w:tc>
                <w:tcPr>
                  <w:tcW w:type="dxa" w:w="577"/>
                  <w:vMerge/>
                  <w:tcBorders>
                    <w:top w:val="none" w:color="000000" w:sz="4"/>
                    <w:left w:val="single" w:color="000000" w:sz="4"/>
                    <w:bottom w:val="single" w:color="000000" w:sz="4"/>
                    <w:right w:val="single" w:color="000000" w:sz="4"/>
                  </w:tcBorders>
                </w:tcPr>
                <w:p/>
              </w:tc>
              <w:tc>
                <w:tcPr>
                  <w:tcW w:type="dxa" w:w="404"/>
                  <w:vMerge/>
                  <w:tcBorders>
                    <w:top w:val="none" w:color="000000" w:sz="4"/>
                    <w:left w:val="none" w:color="000000" w:sz="4"/>
                    <w:bottom w:val="single" w:color="000000" w:sz="4"/>
                    <w:right w:val="single" w:color="000000" w:sz="4"/>
                  </w:tcBorders>
                </w:tcPr>
                <w:p/>
              </w:tc>
              <w:tc>
                <w:tcPr>
                  <w:tcW w:type="dxa" w:w="36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10.</w:t>
                  </w:r>
                  <w:r>
                    <w:rPr>
                      <w:sz w:val="21"/>
                      <w:color w:val="000000"/>
                    </w:rPr>
                    <w:t>施药过程中未主动询问有人的住户是否需要喷杀成蚊（重点对一楼住户及其花园）每户扣5分；</w:t>
                  </w:r>
                </w:p>
              </w:tc>
              <w:tc>
                <w:tcPr>
                  <w:tcW w:type="dxa" w:w="519"/>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r>
            <w:tr>
              <w:tc>
                <w:tcPr>
                  <w:tcW w:type="dxa" w:w="577"/>
                  <w:vMerge/>
                  <w:tcBorders>
                    <w:top w:val="none" w:color="000000" w:sz="4"/>
                    <w:left w:val="single" w:color="000000" w:sz="4"/>
                    <w:bottom w:val="single" w:color="000000" w:sz="4"/>
                    <w:right w:val="single" w:color="000000" w:sz="4"/>
                  </w:tcBorders>
                </w:tcPr>
                <w:p/>
              </w:tc>
              <w:tc>
                <w:tcPr>
                  <w:tcW w:type="dxa" w:w="404"/>
                  <w:vMerge/>
                  <w:tcBorders>
                    <w:top w:val="none" w:color="000000" w:sz="4"/>
                    <w:left w:val="none" w:color="000000" w:sz="4"/>
                    <w:bottom w:val="single" w:color="000000" w:sz="4"/>
                    <w:right w:val="single" w:color="000000" w:sz="4"/>
                  </w:tcBorders>
                </w:tcPr>
                <w:p/>
              </w:tc>
              <w:tc>
                <w:tcPr>
                  <w:tcW w:type="dxa" w:w="36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11.</w:t>
                  </w:r>
                  <w:r>
                    <w:rPr>
                      <w:sz w:val="21"/>
                    </w:rPr>
                    <w:t>白纹伊蚊</w:t>
                  </w:r>
                  <w:r>
                    <w:rPr>
                      <w:sz w:val="21"/>
                      <w:color w:val="000000"/>
                    </w:rPr>
                    <w:t>成蚊密度下降率不低于80%，扣10分。</w:t>
                  </w:r>
                </w:p>
              </w:tc>
              <w:tc>
                <w:tcPr>
                  <w:tcW w:type="dxa" w:w="519"/>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r>
            <w:tr>
              <w:tc>
                <w:tcPr>
                  <w:tcW w:type="dxa" w:w="5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相关资料</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w:t>
                  </w:r>
                </w:p>
              </w:tc>
              <w:tc>
                <w:tcPr>
                  <w:tcW w:type="dxa" w:w="36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w:t>
                  </w:r>
                  <w:r>
                    <w:rPr>
                      <w:sz w:val="21"/>
                      <w:color w:val="000000"/>
                    </w:rPr>
                    <w:t>未按时报送工作计划、总结、台账的每项扣10分；</w:t>
                  </w:r>
                </w:p>
              </w:tc>
              <w:tc>
                <w:tcPr>
                  <w:tcW w:type="dxa" w:w="5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77"/>
                  <w:vMerge/>
                  <w:tcBorders>
                    <w:top w:val="none" w:color="000000" w:sz="4"/>
                    <w:left w:val="single" w:color="000000" w:sz="4"/>
                    <w:bottom w:val="single" w:color="000000" w:sz="4"/>
                    <w:right w:val="single" w:color="000000" w:sz="4"/>
                  </w:tcBorders>
                </w:tcPr>
                <w:p/>
              </w:tc>
              <w:tc>
                <w:tcPr>
                  <w:tcW w:type="dxa" w:w="404"/>
                  <w:vMerge/>
                  <w:tcBorders>
                    <w:top w:val="none" w:color="000000" w:sz="4"/>
                    <w:left w:val="none" w:color="000000" w:sz="4"/>
                    <w:bottom w:val="single" w:color="000000" w:sz="4"/>
                    <w:right w:val="single" w:color="000000" w:sz="4"/>
                  </w:tcBorders>
                </w:tcPr>
                <w:p/>
              </w:tc>
              <w:tc>
                <w:tcPr>
                  <w:tcW w:type="dxa" w:w="36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2.</w:t>
                  </w:r>
                  <w:r>
                    <w:rPr>
                      <w:sz w:val="21"/>
                      <w:color w:val="000000"/>
                    </w:rPr>
                    <w:t>团队有关培训、考勤或考评记录缺失每项扣5分；</w:t>
                  </w:r>
                </w:p>
              </w:tc>
              <w:tc>
                <w:tcPr>
                  <w:tcW w:type="dxa" w:w="519"/>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r>
            <w:tr>
              <w:tc>
                <w:tcPr>
                  <w:tcW w:type="dxa" w:w="577"/>
                  <w:vMerge/>
                  <w:tcBorders>
                    <w:top w:val="none" w:color="000000" w:sz="4"/>
                    <w:left w:val="single" w:color="000000" w:sz="4"/>
                    <w:bottom w:val="single" w:color="000000" w:sz="4"/>
                    <w:right w:val="single" w:color="000000" w:sz="4"/>
                  </w:tcBorders>
                </w:tcPr>
                <w:p/>
              </w:tc>
              <w:tc>
                <w:tcPr>
                  <w:tcW w:type="dxa" w:w="404"/>
                  <w:vMerge/>
                  <w:tcBorders>
                    <w:top w:val="none" w:color="000000" w:sz="4"/>
                    <w:left w:val="none" w:color="000000" w:sz="4"/>
                    <w:bottom w:val="single" w:color="000000" w:sz="4"/>
                    <w:right w:val="single" w:color="000000" w:sz="4"/>
                  </w:tcBorders>
                </w:tcPr>
                <w:p/>
              </w:tc>
              <w:tc>
                <w:tcPr>
                  <w:tcW w:type="dxa" w:w="36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3.</w:t>
                  </w:r>
                  <w:r>
                    <w:rPr>
                      <w:sz w:val="21"/>
                      <w:color w:val="000000"/>
                    </w:rPr>
                    <w:t>无季度工作总结、图片和施工记录等每项扣3分。</w:t>
                  </w:r>
                </w:p>
              </w:tc>
              <w:tc>
                <w:tcPr>
                  <w:tcW w:type="dxa" w:w="519"/>
                  <w:vMerge/>
                  <w:tcBorders>
                    <w:top w:val="none" w:color="000000" w:sz="4"/>
                    <w:left w:val="non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合计</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100</w:t>
                  </w:r>
                </w:p>
              </w:tc>
              <w:tc>
                <w:tcPr>
                  <w:tcW w:type="dxa" w:w="36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注：得分等于该项分值减去该项扣分，扣完即止。</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考核单位：    考核人：       考核时间：       被考核单位签章：</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1.采购代理机构：本项目是指广东海虹招标代理有限公司，负责整个采购活动的组织，依法负责编制和发布磋商文件，对磋商文件拥有最终的解释权，不以任何身份出任磋商小组成员。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佛山市疾病预防控制中心（佛山市卫生监督所）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兼投不兼中：1.本项目可兼投但不能兼中。2.在2025年下半年佛山市登革热疫点（或高风险区域）应急消杀社会化服务项目和2025年下半年佛山市登革热疫点（或高风险区域）应急消杀社会化服务项目（三次）中已成为了登革热疫点（或高风险区域）应急消杀社会化服务-顺德区、禅城区、南海区、三水区的成交供应商不能参与本项目，如参与了本项目将不能通过符合性审查。</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采购机构代理服务收费标准：（1）各采购包按下述方式进行独立计算；（2）本项目以各采购包采购预算金额作为采购代理服务费的计算基数； （3）采购代理服务费采用差额定率累进法进行计算，参照国家计委颁布的《招标代理服务收费管理暂行办法》（计价格[2002]1980号）中服务类采购（招标）的标准执行。</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政府采购质押融资，根据《佛山市财政局关于加强政府采购管理进一步优化政府采购营商环境的通知》（佛财采购函[2024]8号），参与政府采购的中小微企业供应商可凭借中标(成交)通知书或政府采购合同，利用“省中小融”、“粤信融”、“中征应收账款融资服务平台”等平台向金融机构申请融资，获得无财产抵押贷款。</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广东海虹招标代理有限公司</w:t>
      </w:r>
      <w:r>
        <w:rPr/>
        <w:t>代收。具体操作要求详见</w:t>
      </w:r>
      <w:r>
        <w:rPr/>
        <w:t>广东海虹招标代理有限公司</w:t>
      </w:r>
      <w:r>
        <w:rPr/>
        <w:t>有关指引，递交事宜请自行咨询</w:t>
      </w:r>
      <w:r>
        <w:rPr/>
        <w:t>广东海虹招标代理有限公司</w:t>
      </w:r>
      <w:r>
        <w:rPr/>
        <w:t>；请各供应商在响应文件递交截止时间前按须知前附表规定的金额递交至</w:t>
      </w:r>
      <w:r>
        <w:rPr/>
        <w:t>广东海虹招标代理有限公司</w:t>
      </w:r>
      <w:r>
        <w:rPr/>
        <w:t>，到账情况以开启时</w:t>
      </w:r>
      <w:r>
        <w:rPr/>
        <w:t>广东海虹招标代理有限公司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招小姐</w:t>
      </w:r>
    </w:p>
    <w:p>
      <w:pPr>
        <w:pStyle w:val="null3"/>
        <w:ind w:firstLine="480"/>
      </w:pPr>
      <w:r>
        <w:rPr/>
        <w:t>电话：</w:t>
      </w:r>
      <w:r>
        <w:rPr/>
        <w:t>0757-82285519</w:t>
      </w:r>
    </w:p>
    <w:p>
      <w:pPr>
        <w:pStyle w:val="null3"/>
        <w:ind w:firstLine="480"/>
      </w:pPr>
      <w:r>
        <w:rPr/>
        <w:t>传真：</w:t>
      </w:r>
      <w:r>
        <w:rPr/>
        <w:t>0757-82285519</w:t>
      </w:r>
    </w:p>
    <w:p>
      <w:pPr>
        <w:pStyle w:val="null3"/>
        <w:ind w:firstLine="480"/>
      </w:pPr>
      <w:r>
        <w:rPr/>
        <w:t>邮箱：</w:t>
      </w:r>
      <w:r>
        <w:rPr/>
        <w:t>gdhh2022@126.com</w:t>
      </w:r>
    </w:p>
    <w:p>
      <w:pPr>
        <w:pStyle w:val="null3"/>
        <w:ind w:firstLine="480"/>
      </w:pPr>
      <w:r>
        <w:rPr/>
        <w:t>地址：</w:t>
      </w:r>
      <w:r>
        <w:rPr/>
        <w:t>广东省佛山市禅城区华远东路13号发展大厦12楼E号</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政府采购监督管理机构名称：佛山市财政局(政府采购监管科)</w:t>
      </w:r>
    </w:p>
    <w:p>
      <w:pPr>
        <w:pStyle w:val="null3"/>
      </w:pPr>
      <w:r>
        <w:rPr/>
        <w:t>地 址：佛山市禅城区季华五路8号财政大厦8楼</w:t>
      </w:r>
    </w:p>
    <w:p>
      <w:pPr>
        <w:pStyle w:val="null3"/>
      </w:pPr>
      <w:r>
        <w:rPr/>
        <w:t>电 话：0757-83282245</w:t>
      </w:r>
    </w:p>
    <w:p>
      <w:pPr>
        <w:pStyle w:val="null3"/>
      </w:pPr>
      <w:r>
        <w:rPr/>
        <w:t>邮 编：528000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登革热疫点（或高风险区域）应急消杀社会化服务-高明区)：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广东海虹招标代理有限公司</w:t>
      </w:r>
      <w:r>
        <w:rPr/>
        <w:t>统一对外发布。</w:t>
      </w:r>
    </w:p>
    <w:p>
      <w:pPr>
        <w:pStyle w:val="null3"/>
        <w:ind w:firstLine="480"/>
      </w:pPr>
      <w:r>
        <w:rPr/>
        <w:t>（2）对</w:t>
      </w:r>
      <w:r>
        <w:rPr/>
        <w:t>广东海虹招标代理有限公司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采购包1（登革热疫点（或高风险区域）应急消杀社会化服务-高明区）：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采购包1（登革热疫点（或高风险区域）应急消杀社会化服务-高明区）：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两种证明材料之一：①提供《政府采购供应商资格信用承诺函》，具体要求详见采购公告附件；②提供响应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提供以下三种证明材料之一：①提供《政府采购供应商资格信用承诺函》，具体要求详见采购公告附件；②提供2024年度财务状况报告；③提供响应截止日前6个月内基本开户行出具的资信证明。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供应商必须符合法律、行政法规规定的其他条件</w:t>
            </w:r>
          </w:p>
        </w:tc>
        <w:tc>
          <w:tcPr>
            <w:tcW w:type="dxa" w:w="4238"/>
          </w:tcPr>
          <w:p>
            <w:pPr>
              <w:pStyle w:val="null3"/>
            </w:pPr>
            <w:r>
              <w:rPr/>
              <w:t>本项目不接受联合体参与磋商。</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服务全部由符合政策要求的中小企业承接。供应商必须为中小微企业或监狱企业或残疾人福利性单位。（提供《中小企业声明函》或属于监狱企业的证明材料或《残疾人福利性单位声明函》，否则不予认定）。中小企业划分标准所属行业为：其他未列明行业。</w:t>
            </w:r>
          </w:p>
        </w:tc>
      </w:tr>
    </w:tbl>
    <w:p>
      <w:pPr>
        <w:pStyle w:val="null3"/>
        <w:ind w:firstLine="480"/>
      </w:pPr>
      <w:r>
        <w:rPr/>
        <w:t>表二符合性审查表：</w:t>
      </w:r>
    </w:p>
    <w:p>
      <w:pPr>
        <w:pStyle w:val="null3"/>
      </w:pPr>
      <w:r>
        <w:rPr/>
        <w:t>采购包1（登革热疫点（或高风险区域）应急消杀社会化服务-高明区）：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响应报价</w:t>
            </w:r>
          </w:p>
        </w:tc>
        <w:tc>
          <w:tcPr>
            <w:tcW w:type="dxa" w:w="4238"/>
          </w:tcPr>
          <w:p>
            <w:pPr>
              <w:pStyle w:val="null3"/>
            </w:pPr>
            <w:r>
              <w:rPr/>
              <w:t>1）响应报价没有超出单价最高限价；2）对本采购包全部采购内容进行响应报价；3）响应报价是唯一确定的。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响应文件按照磋商文件规定要求签署、盖章。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响应有效期</w:t>
            </w:r>
          </w:p>
        </w:tc>
        <w:tc>
          <w:tcPr>
            <w:tcW w:type="dxa" w:w="4238"/>
          </w:tcPr>
          <w:p>
            <w:pPr>
              <w:pStyle w:val="null3"/>
            </w:pPr>
            <w:r>
              <w:rPr/>
              <w:t>提供《响应承诺函》，报价有效期为自提交响应文件的截止之日起90日。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实质性响应磋商文件中“★”号条款的技术、商务要求：响应方案不得对实质性技术与商务的（即标注★号条款）条款产生偏离。</w:t>
            </w:r>
          </w:p>
        </w:tc>
      </w:tr>
      <w:tr>
        <w:tc>
          <w:tcPr>
            <w:tcW w:type="dxa" w:w="890"/>
          </w:tcPr>
          <w:p>
            <w:pPr>
              <w:pStyle w:val="null3"/>
            </w:pPr>
            <w:r>
              <w:rPr/>
              <w:t>6</w:t>
            </w:r>
          </w:p>
        </w:tc>
        <w:tc>
          <w:tcPr>
            <w:tcW w:type="dxa" w:w="3178"/>
          </w:tcPr>
          <w:p>
            <w:pPr>
              <w:pStyle w:val="null3"/>
            </w:pPr>
            <w:r>
              <w:rPr/>
              <w:t>报价修正</w:t>
            </w:r>
          </w:p>
        </w:tc>
        <w:tc>
          <w:tcPr>
            <w:tcW w:type="dxa" w:w="4238"/>
          </w:tcPr>
          <w:p>
            <w:pPr>
              <w:pStyle w:val="null3"/>
            </w:pPr>
            <w:r>
              <w:rPr/>
              <w:t>如出现响应报价错误的处理原则修正后的报价,供应商按规定书面确认。</w:t>
            </w:r>
          </w:p>
        </w:tc>
      </w:tr>
      <w:tr>
        <w:tc>
          <w:tcPr>
            <w:tcW w:type="dxa" w:w="890"/>
          </w:tcPr>
          <w:p>
            <w:pPr>
              <w:pStyle w:val="null3"/>
            </w:pPr>
            <w:r>
              <w:rPr/>
              <w:t>7</w:t>
            </w:r>
          </w:p>
        </w:tc>
        <w:tc>
          <w:tcPr>
            <w:tcW w:type="dxa" w:w="3178"/>
          </w:tcPr>
          <w:p>
            <w:pPr>
              <w:pStyle w:val="null3"/>
            </w:pPr>
            <w:r>
              <w:rPr/>
              <w:t>串标投标</w:t>
            </w:r>
          </w:p>
        </w:tc>
        <w:tc>
          <w:tcPr>
            <w:tcW w:type="dxa" w:w="4238"/>
          </w:tcPr>
          <w:p>
            <w:pPr>
              <w:pStyle w:val="null3"/>
            </w:pPr>
            <w:r>
              <w:rPr/>
              <w:t>未出现视为供应商串标投标所列的情形。</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响应文件未含有采购人不可接受的附加条件。</w:t>
            </w:r>
          </w:p>
        </w:tc>
      </w:tr>
      <w:tr>
        <w:tc>
          <w:tcPr>
            <w:tcW w:type="dxa" w:w="890"/>
          </w:tcPr>
          <w:p>
            <w:pPr>
              <w:pStyle w:val="null3"/>
            </w:pPr>
            <w:r>
              <w:rPr/>
              <w:t>9</w:t>
            </w:r>
          </w:p>
        </w:tc>
        <w:tc>
          <w:tcPr>
            <w:tcW w:type="dxa" w:w="3178"/>
          </w:tcPr>
          <w:p>
            <w:pPr>
              <w:pStyle w:val="null3"/>
            </w:pPr>
            <w:r>
              <w:rPr/>
              <w:t>其它</w:t>
            </w:r>
          </w:p>
        </w:tc>
        <w:tc>
          <w:tcPr>
            <w:tcW w:type="dxa" w:w="4238"/>
          </w:tcPr>
          <w:p>
            <w:pPr>
              <w:pStyle w:val="null3"/>
            </w:pPr>
            <w:r>
              <w:rPr/>
              <w:t>没有法律、法规和磋商文件规定的其它无效情形。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采购包1(登革热疫点（或高风险区域）应急消杀社会化服务-高明区):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服务目标评价 (10.0分)</w:t>
            </w:r>
          </w:p>
        </w:tc>
        <w:tc>
          <w:tcPr>
            <w:tcW w:type="dxa" w:w="5076"/>
          </w:tcPr>
          <w:p>
            <w:pPr>
              <w:pStyle w:val="null3"/>
              <w:jc w:val="left"/>
            </w:pPr>
            <w:r>
              <w:rPr/>
              <w:t>根据供应商针对本项目作出的服务目标进行评价： 1、服务目标清晰明确，十分切合服务对象需求的，得10分； 2、服务目标尚可清晰明确，较切合服务对象需求的，得6分； 3、服务目标不清晰，不够明确，不切合服务对象需求的，得3分； 4、不提供服务目标不得分。</w:t>
            </w:r>
          </w:p>
        </w:tc>
      </w:tr>
      <w:tr>
        <w:tc>
          <w:tcPr>
            <w:tcW w:type="dxa" w:w="922"/>
            <w:gridSpan w:val="2"/>
            <w:vMerge/>
          </w:tcPr>
          <w:p/>
        </w:tc>
        <w:tc>
          <w:tcPr>
            <w:tcW w:type="dxa" w:w="2307"/>
          </w:tcPr>
          <w:p>
            <w:pPr>
              <w:pStyle w:val="null3"/>
              <w:jc w:val="left"/>
            </w:pPr>
            <w:r>
              <w:rPr/>
              <w:t>实施方案 (15.0分)</w:t>
            </w:r>
          </w:p>
        </w:tc>
        <w:tc>
          <w:tcPr>
            <w:tcW w:type="dxa" w:w="5076"/>
          </w:tcPr>
          <w:p>
            <w:pPr>
              <w:pStyle w:val="null3"/>
              <w:jc w:val="left"/>
            </w:pPr>
            <w:r>
              <w:rPr/>
              <w:t>根据供应商提供的实施方案进行评审，实施方案包括对项目服务内容开展的工作方法、技术路线、服务流程、项目进度计划、改进完善措施等内容： 1、实施方案完善、合理、详细，针对性、可行性强，完全能满足项目服务要求的，得15分； 2、实施方案较完整、合理、较详细，针对性、可行性较强，满足项目服务要求的得10分； 3、实施方案基本完整、合理但较简单，有一定针对性、可行性，基本满足项目服务要求的，得5分； 4、实施方案不完整、合理差，针对性、可行性较差，部分满足项目服务要求的，得2分。 5、无提供实施方案或其他情况不得分。</w:t>
            </w:r>
          </w:p>
        </w:tc>
      </w:tr>
      <w:tr>
        <w:tc>
          <w:tcPr>
            <w:tcW w:type="dxa" w:w="922"/>
            <w:gridSpan w:val="2"/>
            <w:vMerge/>
          </w:tcPr>
          <w:p/>
        </w:tc>
        <w:tc>
          <w:tcPr>
            <w:tcW w:type="dxa" w:w="2307"/>
          </w:tcPr>
          <w:p>
            <w:pPr>
              <w:pStyle w:val="null3"/>
              <w:jc w:val="left"/>
            </w:pPr>
            <w:r>
              <w:rPr/>
              <w:t>服务质量保障措施方案 (10.0分)</w:t>
            </w:r>
          </w:p>
        </w:tc>
        <w:tc>
          <w:tcPr>
            <w:tcW w:type="dxa" w:w="5076"/>
          </w:tcPr>
          <w:p>
            <w:pPr>
              <w:pStyle w:val="null3"/>
              <w:jc w:val="left"/>
            </w:pPr>
            <w:r>
              <w:rPr/>
              <w:t>根据供应商作出的服务质量保障措施方案(包括但不限于服务团队、消杀药械等物资、培训方案（岗前及在岗培训方案）等) 进行综合评价： 1、质量保证措施方案详细完整，能提出具有针对性的质量措施目标、质量保障措施科学合理，可行性强，有明确的质量承诺，完全贴合项目需求，得10分； 2、项目质量保证措施方案比较完整，有质量目标明确、质量保障措施比较合理，具备一定可行性，有质量承诺，基本贴合项目需求，得6分； 3、项目质量保证措施方案不够完整，有质量目标、质量保障措施，质量承诺，合理性及可行性欠缺，部分贴合项目需求，得3分； 4、无或其他不得分。</w:t>
            </w:r>
          </w:p>
        </w:tc>
      </w:tr>
      <w:tr>
        <w:tc>
          <w:tcPr>
            <w:tcW w:type="dxa" w:w="922"/>
            <w:gridSpan w:val="2"/>
            <w:vMerge/>
          </w:tcPr>
          <w:p/>
        </w:tc>
        <w:tc>
          <w:tcPr>
            <w:tcW w:type="dxa" w:w="2307"/>
          </w:tcPr>
          <w:p>
            <w:pPr>
              <w:pStyle w:val="null3"/>
              <w:jc w:val="left"/>
            </w:pPr>
            <w:r>
              <w:rPr/>
              <w:t>登革热媒介应急处置方案 (10.0分)</w:t>
            </w:r>
          </w:p>
        </w:tc>
        <w:tc>
          <w:tcPr>
            <w:tcW w:type="dxa" w:w="5076"/>
          </w:tcPr>
          <w:p>
            <w:pPr>
              <w:pStyle w:val="null3"/>
              <w:jc w:val="left"/>
            </w:pPr>
            <w:r>
              <w:rPr/>
              <w:t>根据供应商作出的登革热媒介应急处置方案进行综合评价： 1、方案全面、具体、合理，应急能力强，得10分； 2、方案基本合理但不全面，应急能力较强，得6分； 3、方案不全面、合理性差，应急能力差，得3分。 4、无或其他不得分。</w:t>
            </w:r>
          </w:p>
        </w:tc>
      </w:tr>
      <w:tr>
        <w:tc>
          <w:tcPr>
            <w:tcW w:type="dxa" w:w="922"/>
            <w:gridSpan w:val="2"/>
            <w:vMerge/>
          </w:tcPr>
          <w:p/>
        </w:tc>
        <w:tc>
          <w:tcPr>
            <w:tcW w:type="dxa" w:w="2307"/>
          </w:tcPr>
          <w:p>
            <w:pPr>
              <w:pStyle w:val="null3"/>
              <w:jc w:val="left"/>
            </w:pPr>
            <w:r>
              <w:rPr/>
              <w:t>服务响应承诺方案 (5.0分)</w:t>
            </w:r>
          </w:p>
        </w:tc>
        <w:tc>
          <w:tcPr>
            <w:tcW w:type="dxa" w:w="5076"/>
          </w:tcPr>
          <w:p>
            <w:pPr>
              <w:pStyle w:val="null3"/>
              <w:jc w:val="left"/>
            </w:pPr>
            <w:r>
              <w:rPr/>
              <w:t>为更好地提供优质、便利、快捷的服务，供应商提供服务响应承诺方案，包括但不限于热线电话、响应时间、组织每队至少10名专业人员时间、带上充足的药械、到达指定地点的承诺时间、承诺到达时间的分析说明等。 1、方案具体、合理、可行，服务响应到达现场时间迅速，得5分； 2、方案具体，但合理性及可行性一般，服务响应到达现场时间较迅速，得3分； 3、提供了方案，但合理性及可行性比较差，服务响应到达现场时间较慢，得1分； 4、没有提供方案的，得0分。</w:t>
            </w:r>
          </w:p>
        </w:tc>
      </w:tr>
      <w:tr>
        <w:tc>
          <w:tcPr>
            <w:tcW w:type="dxa" w:w="922"/>
            <w:gridSpan w:val="2"/>
            <w:vMerge/>
          </w:tcPr>
          <w:p/>
        </w:tc>
        <w:tc>
          <w:tcPr>
            <w:tcW w:type="dxa" w:w="2307"/>
          </w:tcPr>
          <w:p>
            <w:pPr>
              <w:pStyle w:val="null3"/>
              <w:jc w:val="left"/>
            </w:pPr>
            <w:r>
              <w:rPr/>
              <w:t>服务人员防护措施 (5.0分)</w:t>
            </w:r>
          </w:p>
        </w:tc>
        <w:tc>
          <w:tcPr>
            <w:tcW w:type="dxa" w:w="5076"/>
          </w:tcPr>
          <w:p>
            <w:pPr>
              <w:pStyle w:val="null3"/>
              <w:jc w:val="left"/>
            </w:pPr>
            <w:r>
              <w:rPr/>
              <w:t>根据供应商提供的安全防护措施进行综合评价： 1、针对本项目情况，服务人员安全防护措施计划详细、保证防护措施合理且切实可行，得5分； 2、针对本项目情况，服务人员安全防护措施计划较详细、保证防护措施可行，得3分； 3、针对本项目情况，服务人员安全防护措施计划一般、保证防护措施差，得1分； 4、无或其他不得分。</w:t>
            </w:r>
          </w:p>
        </w:tc>
      </w:tr>
      <w:tr>
        <w:tc>
          <w:tcPr>
            <w:tcW w:type="dxa" w:w="922"/>
            <w:gridSpan w:val="2"/>
            <w:vMerge/>
          </w:tcPr>
          <w:p/>
        </w:tc>
        <w:tc>
          <w:tcPr>
            <w:tcW w:type="dxa" w:w="2307"/>
          </w:tcPr>
          <w:p>
            <w:pPr>
              <w:pStyle w:val="null3"/>
              <w:jc w:val="left"/>
            </w:pPr>
            <w:r>
              <w:rPr/>
              <w:t>针对服务区域的其他建议 (5.0分)</w:t>
            </w:r>
          </w:p>
        </w:tc>
        <w:tc>
          <w:tcPr>
            <w:tcW w:type="dxa" w:w="5076"/>
          </w:tcPr>
          <w:p>
            <w:pPr>
              <w:pStyle w:val="null3"/>
              <w:jc w:val="left"/>
            </w:pPr>
            <w:r>
              <w:rPr/>
              <w:t>根据投标人提供的针对服务区域的其他建议（包括人流量、居民生活习惯、建筑物、植被、公共设施特征进行详细分析，提出有利于控制本区域疫情的建议）方案进行评价： 1、提出有利于控制本区域疫情的建议方案，方案具体详细、可行，分析十分透彻，得5分； 2、提出有利于控制本区域疫情的建议方案，方案分析比较透彻，有一定可行性，不够详细，得3分； 3、提出了控制本区域疫情的建议方案，方案分析比较简单，可行性欠缺，不够详细，得1分； 4、无或其他不得分。</w:t>
            </w:r>
          </w:p>
        </w:tc>
      </w:tr>
      <w:tr>
        <w:tc>
          <w:tcPr>
            <w:tcW w:type="dxa" w:w="922"/>
            <w:gridSpan w:val="2"/>
            <w:vMerge w:val="restart"/>
          </w:tcPr>
          <w:p>
            <w:pPr>
              <w:pStyle w:val="null3"/>
              <w:jc w:val="center"/>
            </w:pPr>
            <w:r>
              <w:rPr/>
              <w:t>商务部分</w:t>
            </w:r>
          </w:p>
        </w:tc>
        <w:tc>
          <w:tcPr>
            <w:tcW w:type="dxa" w:w="2307"/>
          </w:tcPr>
          <w:p>
            <w:pPr>
              <w:pStyle w:val="null3"/>
              <w:jc w:val="left"/>
            </w:pPr>
            <w:r>
              <w:rPr/>
              <w:t>体系认证 (6.0分)</w:t>
            </w:r>
          </w:p>
        </w:tc>
        <w:tc>
          <w:tcPr>
            <w:tcW w:type="dxa" w:w="5076"/>
          </w:tcPr>
          <w:p>
            <w:pPr>
              <w:pStyle w:val="null3"/>
              <w:jc w:val="left"/>
            </w:pPr>
            <w:r>
              <w:rPr/>
              <w:t>供应商具有以下认证证书： 1.供应商具有有效的质量管理体系认证，得2分； 2.供应商具有有效的职业健康安全管理体系认证，得2分； 3.供应商具有有效的环境管理体系认证，得2分； 注：本小项最高得6分。须提供相关证书复印件以及在全国认证认可信息公共服务平台上http://cx.cnca.cn查询结果的截图并加盖供应商公章，证书范围必须与本项目相关的，且证书状态必须为“有效”，否则不得分。</w:t>
            </w:r>
          </w:p>
        </w:tc>
      </w:tr>
      <w:tr>
        <w:tc>
          <w:tcPr>
            <w:tcW w:type="dxa" w:w="922"/>
            <w:gridSpan w:val="2"/>
            <w:vMerge/>
          </w:tcPr>
          <w:p/>
        </w:tc>
        <w:tc>
          <w:tcPr>
            <w:tcW w:type="dxa" w:w="2307"/>
          </w:tcPr>
          <w:p>
            <w:pPr>
              <w:pStyle w:val="null3"/>
              <w:jc w:val="left"/>
            </w:pPr>
            <w:r>
              <w:rPr/>
              <w:t>同类业绩 (10.0分)</w:t>
            </w:r>
          </w:p>
        </w:tc>
        <w:tc>
          <w:tcPr>
            <w:tcW w:type="dxa" w:w="5076"/>
          </w:tcPr>
          <w:p>
            <w:pPr>
              <w:pStyle w:val="null3"/>
              <w:jc w:val="left"/>
            </w:pPr>
            <w:r>
              <w:rPr/>
              <w:t>根据供应商自2023年1月1日以来承接过疾病预防控制机构或卫生健康部门组织的登革热疫情应急消杀业绩进行评分： 1.每提供一个疾病预防控制机构或卫生健康部门组织的登革热疫情应急消杀业绩的，得1分。本小项最高可得5分。（提供合同或者可以证明有开展上述业绩文件材料的扫描件（支撑材料须提供首页关键内容及签章页）加盖供应商公章，不提供不得分。） 2.提供第1小项业绩对应的客户评价（或消杀验收报告），且评价为优秀、满意或类似好评的，每个业绩得1分，本小项最高可得5分。（须提供相关用户书面满意度评价或消杀验收报告（需用户单位盖章），满意度评价（或消杀验收报告）要和上述业绩相对应，不符合要求或不提供不得分。） 注：本项最高得10分。</w:t>
            </w:r>
          </w:p>
        </w:tc>
      </w:tr>
      <w:tr>
        <w:tc>
          <w:tcPr>
            <w:tcW w:type="dxa" w:w="922"/>
            <w:gridSpan w:val="2"/>
            <w:vMerge/>
          </w:tcPr>
          <w:p/>
        </w:tc>
        <w:tc>
          <w:tcPr>
            <w:tcW w:type="dxa" w:w="2307"/>
          </w:tcPr>
          <w:p>
            <w:pPr>
              <w:pStyle w:val="null3"/>
              <w:jc w:val="left"/>
            </w:pPr>
            <w:r>
              <w:rPr/>
              <w:t>消杀器械储备 (10.0分)</w:t>
            </w:r>
          </w:p>
        </w:tc>
        <w:tc>
          <w:tcPr>
            <w:tcW w:type="dxa" w:w="5076"/>
          </w:tcPr>
          <w:p>
            <w:pPr>
              <w:pStyle w:val="null3"/>
              <w:jc w:val="left"/>
            </w:pPr>
            <w:r>
              <w:rPr/>
              <w:t>对供应商提供的消杀器械储备进行综合评分： 1、有1台或以上车载超低容量喷雾器，得5分； 2、有8台或以上背负式超低容量喷雾器，得2分； 3、有8台或以上常量喷雾器，得2分； 4、有2台或以上热烟雾机，得1分； 5、无或数量不足不得分。 车载超低容量喷雾器需提供租用合同或者发票复印件才能得分。其他消杀器械需要提供发票复印件。不提供相关材料或证明材料不清晰评委无法辨认的，该得分点得0分。</w:t>
            </w:r>
          </w:p>
        </w:tc>
      </w:tr>
      <w:tr>
        <w:tc>
          <w:tcPr>
            <w:tcW w:type="dxa" w:w="922"/>
            <w:gridSpan w:val="2"/>
            <w:vMerge/>
          </w:tcPr>
          <w:p/>
        </w:tc>
        <w:tc>
          <w:tcPr>
            <w:tcW w:type="dxa" w:w="2307"/>
          </w:tcPr>
          <w:p>
            <w:pPr>
              <w:pStyle w:val="null3"/>
              <w:jc w:val="left"/>
            </w:pPr>
            <w:r>
              <w:rPr/>
              <w:t>企业荣誉 (4.0分)</w:t>
            </w:r>
          </w:p>
        </w:tc>
        <w:tc>
          <w:tcPr>
            <w:tcW w:type="dxa" w:w="5076"/>
          </w:tcPr>
          <w:p>
            <w:pPr>
              <w:pStyle w:val="null3"/>
              <w:jc w:val="left"/>
            </w:pPr>
            <w:r>
              <w:rPr/>
              <w:t>供应商自2023年1月1日以来承接过登革热疫情应急处置，并获得区（县）级或以上卫健疾控部门颁发的荣誉、表彰或奖项，得4分。【注：须提供荣誉证书、获奖证书或颁奖（表彰）文件等扫描件，无或未按要求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依次序分别以技术部分得分、商务部分得分由高到低顺序排列。排名第一的谈判供应商为第一成交候选人，排名第二的谈判供应商为第二成交候选人，排名第三的谈判供应商为第三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color w:val="000000"/>
          <w:shd w:fill="FFFFFF" w:val="clear"/>
        </w:rPr>
        <w:t>佛山市政府采购项目合同书</w:t>
      </w:r>
    </w:p>
    <w:p>
      <w:pPr>
        <w:pStyle w:val="null3"/>
        <w:ind w:firstLine="480"/>
        <w:jc w:val="both"/>
      </w:pPr>
      <w:r>
        <w:rPr/>
        <w:t xml:space="preserve"> </w:t>
      </w:r>
    </w:p>
    <w:p>
      <w:pPr>
        <w:pStyle w:val="null3"/>
        <w:ind w:firstLine="2409"/>
        <w:jc w:val="both"/>
      </w:pPr>
      <w:r>
        <w:rPr>
          <w:sz w:val="24"/>
          <w:b/>
          <w:color w:val="000000"/>
        </w:rPr>
        <w:t>项目编号：</w:t>
      </w:r>
    </w:p>
    <w:p>
      <w:pPr>
        <w:pStyle w:val="null3"/>
        <w:ind w:firstLine="2409"/>
        <w:jc w:val="both"/>
      </w:pPr>
      <w:r>
        <w:rPr>
          <w:sz w:val="24"/>
          <w:b/>
          <w:color w:val="000000"/>
        </w:rPr>
        <w:t>项目名称：</w:t>
      </w:r>
    </w:p>
    <w:p>
      <w:pPr>
        <w:pStyle w:val="null3"/>
        <w:ind w:firstLine="2409"/>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2015"/>
        <w:gridCol w:w="6291"/>
      </w:tblGrid>
      <w:tr>
        <w:tc>
          <w:tcPr>
            <w:tcW w:type="dxa" w:w="20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甲</w:t>
            </w:r>
            <w:r>
              <w:rPr>
                <w:sz w:val="20"/>
              </w:rPr>
              <w:t xml:space="preserve">    </w:t>
            </w:r>
            <w:r>
              <w:rPr>
                <w:sz w:val="28"/>
                <w:color w:val="000000"/>
              </w:rPr>
              <w:t>方：</w:t>
            </w:r>
          </w:p>
        </w:tc>
        <w:tc>
          <w:tcPr>
            <w:tcW w:type="dxa" w:w="62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u w:val="single"/>
              </w:rPr>
              <w:t xml:space="preserve">       </w:t>
            </w:r>
            <w:r>
              <w:rPr>
                <w:sz w:val="28"/>
                <w:color w:val="000000"/>
                <w:u w:val="single"/>
              </w:rPr>
              <w:t>采购人名称</w:t>
            </w:r>
            <w:r>
              <w:rPr>
                <w:sz w:val="20"/>
                <w:u w:val="single"/>
              </w:rPr>
              <w:t xml:space="preserve">        </w:t>
            </w:r>
          </w:p>
        </w:tc>
      </w:tr>
      <w:tr>
        <w:tc>
          <w:tcPr>
            <w:tcW w:type="dxa" w:w="2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乙</w:t>
            </w:r>
            <w:r>
              <w:rPr>
                <w:sz w:val="20"/>
              </w:rPr>
              <w:t xml:space="preserve">    </w:t>
            </w:r>
            <w:r>
              <w:rPr>
                <w:sz w:val="28"/>
                <w:color w:val="000000"/>
              </w:rPr>
              <w:t>方：</w:t>
            </w:r>
          </w:p>
        </w:tc>
        <w:tc>
          <w:tcPr>
            <w:tcW w:type="dxa" w:w="6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u w:val="single"/>
              </w:rPr>
              <w:t xml:space="preserve"> </w:t>
            </w:r>
            <w:r>
              <w:rPr>
                <w:sz w:val="28"/>
                <w:color w:val="000000"/>
                <w:u w:val="single"/>
              </w:rPr>
              <w:t>（中标</w:t>
            </w:r>
            <w:r>
              <w:rPr>
                <w:sz w:val="28"/>
                <w:color w:val="000000"/>
                <w:u w:val="single"/>
              </w:rPr>
              <w:t>/</w:t>
            </w:r>
            <w:r>
              <w:rPr>
                <w:sz w:val="28"/>
                <w:color w:val="000000"/>
                <w:u w:val="single"/>
              </w:rPr>
              <w:t>成交供应商名称）</w:t>
            </w:r>
            <w:r>
              <w:rPr>
                <w:sz w:val="20"/>
                <w:u w:val="single"/>
              </w:rPr>
              <w:t xml:space="preserve">    </w:t>
            </w:r>
          </w:p>
        </w:tc>
      </w:tr>
      <w:tr>
        <w:tc>
          <w:tcPr>
            <w:tcW w:type="dxa" w:w="2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签订日期：</w:t>
            </w:r>
          </w:p>
        </w:tc>
        <w:tc>
          <w:tcPr>
            <w:tcW w:type="dxa" w:w="6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8"/>
                <w:color w:val="000000"/>
                <w:u w:val="single"/>
              </w:rPr>
              <w:t>年</w:t>
            </w:r>
            <w:r>
              <w:rPr>
                <w:sz w:val="28"/>
                <w:color w:val="000000"/>
                <w:u w:val="single"/>
              </w:rPr>
              <w:t>月日</w:t>
            </w:r>
            <w:r>
              <w:rPr>
                <w:sz w:val="20"/>
                <w:u w:val="single"/>
              </w:rPr>
              <w:t xml:space="preserve">      </w:t>
            </w:r>
          </w:p>
        </w:tc>
      </w:tr>
    </w:tbl>
    <w:p>
      <w:pPr>
        <w:pStyle w:val="null3"/>
        <w:ind w:firstLine="480"/>
        <w:jc w:val="center"/>
      </w:pPr>
      <w:r>
        <w:rPr>
          <w:sz w:val="21"/>
          <w:i/>
          <w:color w:val="000000"/>
        </w:rPr>
        <w:t>注：本合同仅为合同的参考文本，可根据项目的具体要求进行修订。</w:t>
      </w:r>
    </w:p>
    <w:p>
      <w:pPr>
        <w:pStyle w:val="null3"/>
        <w:ind w:firstLine="480"/>
      </w:pPr>
      <w:r>
        <w:rPr/>
        <w:t xml:space="preserve"> </w:t>
      </w:r>
    </w:p>
    <w:p>
      <w:pPr>
        <w:pStyle w:val="null3"/>
        <w:ind w:firstLine="480"/>
        <w:jc w:val="both"/>
      </w:pPr>
      <w:r>
        <w:rPr>
          <w:sz w:val="24"/>
          <w:color w:val="000000"/>
          <w:shd w:fill="FFFFFF" w:val="clear"/>
        </w:rPr>
        <w:t>根据《中华人民共和国政府采购法》《中华人民共和国民法典》和本项目采购文件的要求，经双方协商，本着平等互利和诚实信用的原则，一致同意签订本合同如下。</w:t>
      </w:r>
    </w:p>
    <w:p>
      <w:pPr>
        <w:pStyle w:val="null3"/>
        <w:ind w:firstLine="480"/>
        <w:jc w:val="both"/>
      </w:pPr>
      <w:r>
        <w:rPr>
          <w:sz w:val="24"/>
          <w:b/>
          <w:color w:val="000000"/>
          <w:shd w:fill="FFFFFF" w:val="clear"/>
        </w:rPr>
        <w:t>一、项目主要内容及实现功能目标</w:t>
      </w:r>
    </w:p>
    <w:p>
      <w:pPr>
        <w:pStyle w:val="null3"/>
        <w:ind w:firstLine="480"/>
      </w:pPr>
      <w:r>
        <w:rPr>
          <w:sz w:val="24"/>
          <w:color w:val="000000"/>
          <w:shd w:fill="FFFFFF" w:val="clear"/>
        </w:rPr>
        <w:t>1.</w:t>
      </w:r>
      <w:r>
        <w:rPr>
          <w:sz w:val="24"/>
          <w:color w:val="000000"/>
          <w:shd w:fill="FFFFFF" w:val="clear"/>
        </w:rPr>
        <w:t>登革热媒介伊蚊控制工作：</w:t>
      </w:r>
    </w:p>
    <w:p>
      <w:pPr>
        <w:pStyle w:val="null3"/>
        <w:ind w:firstLine="480"/>
      </w:pPr>
      <w:r>
        <w:rPr>
          <w:sz w:val="24"/>
          <w:color w:val="000000"/>
          <w:shd w:fill="FFFFFF" w:val="clear"/>
        </w:rPr>
        <w:t>在登革热、基孔肯雅热等传染病疫情发生时，乙方根据甲方对疫情风险评估和应急处置要求，协同区级和镇街的消杀应急队伍开展疫点处置工作。迅速将疫点核心区（不少于</w:t>
      </w:r>
      <w:r>
        <w:rPr>
          <w:sz w:val="24"/>
          <w:color w:val="000000"/>
          <w:shd w:fill="FFFFFF" w:val="clear"/>
        </w:rPr>
        <w:t>100</w:t>
      </w:r>
      <w:r>
        <w:rPr>
          <w:sz w:val="24"/>
          <w:color w:val="000000"/>
          <w:shd w:fill="FFFFFF" w:val="clear"/>
        </w:rPr>
        <w:t>米）范围内成蚊密度和外环境孳生地控制在登革热疫情防控要求。</w:t>
      </w:r>
    </w:p>
    <w:p>
      <w:pPr>
        <w:pStyle w:val="null3"/>
        <w:ind w:firstLine="480"/>
      </w:pPr>
      <w:r>
        <w:rPr>
          <w:sz w:val="24"/>
          <w:color w:val="000000"/>
          <w:shd w:fill="FFFFFF" w:val="clear"/>
        </w:rPr>
        <w:t>接到甲方通知后，乙方须按配置要求组织每队</w:t>
      </w:r>
      <w:r>
        <w:rPr>
          <w:sz w:val="24"/>
          <w:color w:val="000000"/>
          <w:shd w:fill="FFFFFF" w:val="clear"/>
        </w:rPr>
        <w:t>10</w:t>
      </w:r>
      <w:r>
        <w:rPr>
          <w:sz w:val="24"/>
          <w:color w:val="000000"/>
          <w:shd w:fill="FFFFFF" w:val="clear"/>
        </w:rPr>
        <w:t>名消杀人员、药械在规定时间到达指定地点，并迅速完成应急处置任务，处置结束后</w:t>
      </w:r>
      <w:r>
        <w:rPr>
          <w:sz w:val="24"/>
          <w:color w:val="000000"/>
          <w:shd w:fill="FFFFFF" w:val="clear"/>
        </w:rPr>
        <w:t>24</w:t>
      </w:r>
      <w:r>
        <w:rPr>
          <w:sz w:val="24"/>
          <w:color w:val="000000"/>
          <w:shd w:fill="FFFFFF" w:val="clear"/>
        </w:rPr>
        <w:t>小时内向甲方报送现场处置情况书面报告及施工台账，内容包括时间、地点、出动人数、药械、使用量、消杀范围、</w:t>
      </w:r>
      <w:r>
        <w:rPr>
          <w:sz w:val="24"/>
          <w:color w:val="000000"/>
          <w:shd w:fill="FFFFFF" w:val="clear"/>
        </w:rPr>
        <w:t>消杀路径、</w:t>
      </w:r>
      <w:r>
        <w:rPr>
          <w:sz w:val="24"/>
          <w:color w:val="000000"/>
          <w:shd w:fill="FFFFFF" w:val="clear"/>
        </w:rPr>
        <w:t>面积、存在问题、困难以及下一步工作建议等。</w:t>
      </w:r>
    </w:p>
    <w:p>
      <w:pPr>
        <w:pStyle w:val="null3"/>
        <w:ind w:firstLine="480"/>
      </w:pPr>
      <w:r>
        <w:rPr>
          <w:sz w:val="24"/>
          <w:color w:val="000000"/>
          <w:shd w:fill="FFFFFF" w:val="clear"/>
        </w:rPr>
        <w:t>2.</w:t>
      </w:r>
      <w:r>
        <w:rPr>
          <w:sz w:val="24"/>
          <w:color w:val="000000"/>
          <w:shd w:fill="FFFFFF" w:val="clear"/>
        </w:rPr>
        <w:t>队伍能力建设：</w:t>
      </w:r>
    </w:p>
    <w:p>
      <w:pPr>
        <w:pStyle w:val="null3"/>
        <w:ind w:firstLine="420"/>
        <w:jc w:val="both"/>
      </w:pPr>
      <w:r>
        <w:rPr>
          <w:sz w:val="24"/>
          <w:color w:val="000000"/>
          <w:shd w:fill="FFFFFF" w:val="clear"/>
        </w:rPr>
        <w:t>乙方合同期内为其负责消杀的队伍至少开展</w:t>
      </w:r>
      <w:r>
        <w:rPr>
          <w:sz w:val="24"/>
          <w:color w:val="000000"/>
          <w:shd w:fill="FFFFFF" w:val="clear"/>
        </w:rPr>
        <w:t>2</w:t>
      </w:r>
      <w:r>
        <w:rPr>
          <w:sz w:val="24"/>
          <w:color w:val="000000"/>
          <w:shd w:fill="FFFFFF" w:val="clear"/>
        </w:rPr>
        <w:t>次业务技能培训，至少组织开展一次应急技能培训和处置演练，能够在接到甲方通知后</w:t>
      </w:r>
      <w:r>
        <w:rPr>
          <w:sz w:val="20"/>
          <w:u w:val="single"/>
        </w:rPr>
        <w:t xml:space="preserve">   </w:t>
      </w:r>
      <w:r>
        <w:rPr>
          <w:sz w:val="24"/>
          <w:color w:val="000000"/>
          <w:shd w:fill="FFFFFF" w:val="clear"/>
        </w:rPr>
        <w:t>小时内到达现场，并确保应急预备队熟悉应急处置流程，提升队伍应急保障能力和意识。</w:t>
      </w:r>
    </w:p>
    <w:p>
      <w:pPr>
        <w:pStyle w:val="null3"/>
        <w:ind w:firstLine="480"/>
        <w:jc w:val="both"/>
      </w:pPr>
      <w:r>
        <w:rPr>
          <w:sz w:val="24"/>
          <w:b/>
          <w:color w:val="000000"/>
          <w:shd w:fill="FFFFFF" w:val="clear"/>
        </w:rPr>
        <w:t>二、业务管理</w:t>
      </w:r>
    </w:p>
    <w:p>
      <w:pPr>
        <w:pStyle w:val="null3"/>
        <w:ind w:firstLine="480"/>
        <w:jc w:val="both"/>
      </w:pPr>
      <w:r>
        <w:rPr>
          <w:sz w:val="24"/>
        </w:rPr>
        <w:t>（一）甲方负责对乙方的</w:t>
      </w:r>
      <w:r>
        <w:rPr>
          <w:sz w:val="24"/>
          <w:shd w:fill="FFFFFF" w:val="clear"/>
        </w:rPr>
        <w:t>服务项目</w:t>
      </w:r>
      <w:r>
        <w:rPr>
          <w:sz w:val="24"/>
        </w:rPr>
        <w:t>进行日常管理、质量考核（详见附件）。</w:t>
      </w:r>
    </w:p>
    <w:p>
      <w:pPr>
        <w:pStyle w:val="null3"/>
        <w:ind w:firstLine="480"/>
        <w:jc w:val="both"/>
      </w:pPr>
      <w:r>
        <w:rPr>
          <w:sz w:val="24"/>
        </w:rPr>
        <w:t>（二）乙方主要负责现场应急消杀相关操作，处置结束后24小时内向甲方报送现场处置情况书面报告及台账，并且对相关资料归档备案。</w:t>
      </w:r>
    </w:p>
    <w:p>
      <w:pPr>
        <w:pStyle w:val="null3"/>
        <w:ind w:firstLine="480"/>
        <w:jc w:val="both"/>
      </w:pPr>
      <w:r>
        <w:rPr>
          <w:sz w:val="24"/>
        </w:rPr>
        <w:t>（三）甲方统一要求、分配和管理乙方涉及本项目的业务工作；乙方负责对消杀人员开展培训、记录考勤和考评职责落实情况，确保应急监测工作和处置等所需的人员、器械、设备、药物、车辆等落实到位。</w:t>
      </w:r>
    </w:p>
    <w:p>
      <w:pPr>
        <w:pStyle w:val="null3"/>
        <w:ind w:firstLine="480"/>
        <w:jc w:val="both"/>
      </w:pPr>
      <w:r>
        <w:rPr>
          <w:sz w:val="24"/>
        </w:rPr>
        <w:t>（四）乙方自行负责消杀队伍的办公场所和员工培训，并应保证各项业务工作顺利实施。</w:t>
      </w:r>
    </w:p>
    <w:p>
      <w:pPr>
        <w:pStyle w:val="null3"/>
        <w:ind w:firstLine="480"/>
        <w:jc w:val="both"/>
      </w:pPr>
      <w:r>
        <w:rPr>
          <w:sz w:val="24"/>
          <w:b/>
          <w:color w:val="000000"/>
          <w:shd w:fill="FFFFFF" w:val="clear"/>
        </w:rPr>
        <w:t>三、人员管理</w:t>
      </w:r>
    </w:p>
    <w:p>
      <w:pPr>
        <w:pStyle w:val="null3"/>
        <w:ind w:right="-90" w:firstLine="480"/>
        <w:jc w:val="both"/>
      </w:pPr>
      <w:r>
        <w:rPr>
          <w:sz w:val="24"/>
        </w:rPr>
        <w:t>（一）乙方直接参与本</w:t>
      </w:r>
      <w:r>
        <w:rPr>
          <w:sz w:val="24"/>
          <w:shd w:fill="FFFFFF" w:val="clear"/>
        </w:rPr>
        <w:t>项目</w:t>
      </w:r>
      <w:r>
        <w:rPr>
          <w:sz w:val="24"/>
        </w:rPr>
        <w:t>消杀人员10人，其中管理人员1名、组长2名、技术人员7名，并确保队伍稳定性。</w:t>
      </w:r>
    </w:p>
    <w:p>
      <w:pPr>
        <w:pStyle w:val="null3"/>
        <w:ind w:right="-90" w:firstLine="480"/>
        <w:jc w:val="both"/>
      </w:pPr>
      <w:r>
        <w:rPr>
          <w:sz w:val="24"/>
        </w:rPr>
        <w:t>（二）该队伍主管人员确保电话24小时畅通，按照甲方的要求做好计划安排，巡查并掌握本项目工作区域具体情况，组长做好日常监督巡查工作，在消杀完毕后将处置过程发现的问题和建议形成书面报告交给甲方。</w:t>
      </w:r>
    </w:p>
    <w:p>
      <w:pPr>
        <w:pStyle w:val="null3"/>
        <w:ind w:right="-90" w:firstLine="480"/>
        <w:jc w:val="both"/>
      </w:pPr>
      <w:r>
        <w:rPr>
          <w:sz w:val="24"/>
        </w:rPr>
        <w:t>（三）该队伍专业人员须经培训合格后持证上岗，并掌握相关器械、设施设备的使用方法和技巧。施工作业时穿着工作服及佩戴工作证，保持衣冠整洁，阴天或夜间作业穿着反光衣。</w:t>
      </w:r>
    </w:p>
    <w:p>
      <w:pPr>
        <w:pStyle w:val="null3"/>
        <w:ind w:right="-90" w:firstLine="480"/>
        <w:jc w:val="both"/>
      </w:pPr>
      <w:r>
        <w:rPr>
          <w:sz w:val="24"/>
        </w:rPr>
        <w:t>（四）该队伍施工作业时，工作人员须做好个人防护、遵纪守法、文明作业，不得抽烟、饮食、瞌睡、聚堆闲聊、收集废品和从事其他与作业无关的事项。</w:t>
      </w:r>
    </w:p>
    <w:p>
      <w:pPr>
        <w:pStyle w:val="null3"/>
        <w:ind w:right="-90" w:firstLine="480"/>
        <w:jc w:val="both"/>
      </w:pPr>
      <w:r>
        <w:rPr>
          <w:sz w:val="24"/>
        </w:rPr>
        <w:t>（五）项目组人员须按要求全程参与本项目，在合同期内不得擅自更换。乙方如因特别原因，需要更换项目组人员时，应事前向甲方提出书面申请。如乙方未经甲方书面同意擅自更换项目组人员，扣减分值为20分/人。</w:t>
      </w:r>
    </w:p>
    <w:p>
      <w:pPr>
        <w:pStyle w:val="null3"/>
        <w:ind w:right="-90" w:firstLine="480"/>
        <w:jc w:val="both"/>
      </w:pPr>
      <w:r>
        <w:rPr>
          <w:sz w:val="24"/>
        </w:rPr>
        <w:t>（六）甲方有权以书面形式要求乙方更换不能按规定履行合同的人员，甲方要求或同意更换的人员，其代替人员的资质仍应得到甲方的认可，且其资历和经验均不低于被更换人员。</w:t>
      </w:r>
    </w:p>
    <w:p>
      <w:pPr>
        <w:pStyle w:val="null3"/>
        <w:ind w:right="-90" w:firstLine="480"/>
        <w:jc w:val="both"/>
      </w:pPr>
      <w:r>
        <w:rPr>
          <w:sz w:val="24"/>
        </w:rPr>
        <w:t>（七）乙方应按照《中华人民共和国劳动法》的相关规定发放工资，应按照《中华人民共和国社会保险法》的相关规定，支付国家规定必须购买的社会保险费用，不得因乙方与项目服务人员的劳动关系影响本合同的正常履行。</w:t>
      </w:r>
    </w:p>
    <w:p>
      <w:pPr>
        <w:pStyle w:val="null3"/>
        <w:ind w:right="-90" w:firstLine="480"/>
        <w:jc w:val="both"/>
      </w:pPr>
      <w:r>
        <w:rPr>
          <w:sz w:val="24"/>
        </w:rPr>
        <w:t>（八）乙方必须确保工作人员的工作规范，如工作过程中出现职业伤害、工伤、经济赔偿、民事纠纷、刑事责任等，由乙方全部负责。</w:t>
      </w:r>
    </w:p>
    <w:p>
      <w:pPr>
        <w:pStyle w:val="null3"/>
        <w:ind w:firstLine="480"/>
        <w:jc w:val="both"/>
      </w:pPr>
      <w:r>
        <w:rPr>
          <w:sz w:val="24"/>
          <w:b/>
          <w:shd w:fill="FFFFFF" w:val="clear"/>
        </w:rPr>
        <w:t>四、药械管理</w:t>
      </w:r>
    </w:p>
    <w:p>
      <w:pPr>
        <w:pStyle w:val="null3"/>
        <w:ind w:firstLine="480"/>
        <w:jc w:val="both"/>
      </w:pPr>
      <w:r>
        <w:rPr>
          <w:sz w:val="24"/>
        </w:rPr>
        <w:t>乙方严格按本项目要求配备并满足登革热疫点消杀所需的器械、设备和药物等物资，同时保证产品合格、技术过关和质量达标，不符合要求产品扣减分值按5分/件。</w:t>
      </w:r>
    </w:p>
    <w:p>
      <w:pPr>
        <w:pStyle w:val="null3"/>
        <w:ind w:firstLine="480"/>
        <w:jc w:val="both"/>
      </w:pPr>
      <w:r>
        <w:rPr>
          <w:sz w:val="24"/>
          <w:shd w:fill="FFFFFF" w:val="clear"/>
        </w:rPr>
        <w:t>乙方须设立独立仓库分类、分层存放药械，保持通风良好，设置规范标签，专人管理和维护，同时确保涉及本项目的药械专项专用。消杀器械配备要求不低于以下标准：</w:t>
      </w:r>
      <w:r>
        <w:rPr>
          <w:sz w:val="24"/>
          <w:shd w:fill="FFFFFF" w:val="clear"/>
        </w:rPr>
        <w:t>背负式超低容量喷雾器8台、常量喷雾器8台、热烟雾喷雾器2台和车载超低容量喷雾器1台。</w:t>
      </w:r>
    </w:p>
    <w:p>
      <w:pPr>
        <w:pStyle w:val="null3"/>
        <w:ind w:firstLine="480"/>
        <w:jc w:val="both"/>
      </w:pPr>
      <w:r>
        <w:rPr>
          <w:sz w:val="24"/>
          <w:b/>
          <w:shd w:fill="FFFFFF" w:val="clear"/>
        </w:rPr>
        <w:t>五、合同费用说明</w:t>
      </w:r>
    </w:p>
    <w:p>
      <w:pPr>
        <w:pStyle w:val="null3"/>
        <w:ind w:firstLine="480"/>
        <w:jc w:val="both"/>
      </w:pPr>
      <w:r>
        <w:rPr>
          <w:sz w:val="24"/>
        </w:rPr>
        <w:t>合同总额：</w:t>
      </w:r>
    </w:p>
    <w:p>
      <w:pPr>
        <w:pStyle w:val="null3"/>
        <w:ind w:firstLine="480"/>
        <w:jc w:val="both"/>
      </w:pPr>
      <w:r>
        <w:rPr>
          <w:sz w:val="24"/>
        </w:rPr>
        <w:t>小写：￥</w:t>
      </w:r>
      <w:r>
        <w:rPr>
          <w:sz w:val="24"/>
          <w:u w:val="single"/>
        </w:rPr>
        <w:t xml:space="preserve">        </w:t>
      </w:r>
      <w:r>
        <w:rPr>
          <w:sz w:val="24"/>
        </w:rPr>
        <w:t>元；</w:t>
      </w:r>
    </w:p>
    <w:p>
      <w:pPr>
        <w:pStyle w:val="null3"/>
        <w:ind w:firstLine="480"/>
        <w:jc w:val="both"/>
      </w:pPr>
      <w:r>
        <w:rPr>
          <w:sz w:val="24"/>
        </w:rPr>
        <w:t>大写： 仟 佰 拾 万 仟 佰 拾 元 角。</w:t>
      </w:r>
    </w:p>
    <w:p>
      <w:pPr>
        <w:pStyle w:val="null3"/>
        <w:ind w:firstLine="480"/>
        <w:jc w:val="both"/>
      </w:pPr>
      <w:r>
        <w:rPr>
          <w:sz w:val="24"/>
        </w:rPr>
        <w:t>单价标准：￥</w:t>
      </w:r>
      <w:r>
        <w:rPr>
          <w:sz w:val="24"/>
          <w:u w:val="single"/>
        </w:rPr>
        <w:t xml:space="preserve">     </w:t>
      </w:r>
      <w:r>
        <w:rPr>
          <w:sz w:val="24"/>
        </w:rPr>
        <w:t>元/次。</w:t>
      </w:r>
    </w:p>
    <w:p>
      <w:pPr>
        <w:pStyle w:val="null3"/>
        <w:ind w:firstLine="480"/>
        <w:jc w:val="both"/>
      </w:pPr>
      <w:r>
        <w:rPr>
          <w:sz w:val="24"/>
          <w:b/>
          <w:shd w:fill="FFFFFF" w:val="clear"/>
        </w:rPr>
        <w:t>六、考核评估和付款方式</w:t>
      </w:r>
    </w:p>
    <w:p>
      <w:pPr>
        <w:pStyle w:val="null3"/>
        <w:ind w:firstLine="480"/>
        <w:jc w:val="both"/>
      </w:pPr>
      <w:r>
        <w:rPr>
          <w:sz w:val="24"/>
        </w:rPr>
        <w:t>（一）采用按月考核与不定期随机抽查方式开展服务项目质量考核，</w:t>
      </w:r>
      <w:r>
        <w:rPr>
          <w:sz w:val="24"/>
        </w:rPr>
        <w:t>每个处置核心区蚊媒密度需在3天内达到有关防控工作要求，或按白纹伊蚊（雌性）成蚊密度下降率不低于80%且外环境RI为0为达标指标，并根据月度考核结果进行综合评估，最终依据评分计算每月支付项目经费数额。</w:t>
      </w:r>
    </w:p>
    <w:p>
      <w:pPr>
        <w:pStyle w:val="null3"/>
        <w:ind w:firstLine="480"/>
        <w:jc w:val="both"/>
      </w:pPr>
      <w:r>
        <w:rPr>
          <w:sz w:val="24"/>
        </w:rPr>
        <w:t>（二）</w:t>
      </w:r>
      <w:r>
        <w:rPr>
          <w:sz w:val="24"/>
          <w:b/>
        </w:rPr>
        <w:t>每月消杀任务费用结算：按单价标准（中标价格为单价标准）×实际参与消杀次数，作为最终结算金额。</w:t>
      </w:r>
      <w:r>
        <w:rPr>
          <w:sz w:val="24"/>
        </w:rPr>
        <w:t>（注：每次按4小时，每队10人计算，单价费用包括人员工资、管理费用、消杀药物费用、设备折旧费、交通费、餐费、各项税费等一切与完成本项目相关费用及合同实施过程中应预见和不可预见的费用成本）。</w:t>
      </w:r>
    </w:p>
    <w:p>
      <w:pPr>
        <w:pStyle w:val="null3"/>
        <w:ind w:firstLine="480"/>
        <w:jc w:val="both"/>
      </w:pPr>
      <w:r>
        <w:rPr>
          <w:sz w:val="24"/>
        </w:rPr>
        <w:t>本项目合同生效后，以月为单位，按照实际服务次数结算，即按单价标准</w:t>
      </w:r>
      <w:r>
        <w:rPr>
          <w:sz w:val="24"/>
          <w:b/>
        </w:rPr>
        <w:t>（中标价格为单价标准）</w:t>
      </w:r>
      <w:r>
        <w:rPr>
          <w:sz w:val="24"/>
        </w:rPr>
        <w:t>×实际服务次数，作为最终结算金额。甲方收到乙方提供的等额合法有效增值税普通发票、服务记录及相关结算资料之日起5个工作日内，甲方向乙方支付应付实际的款项。收款方、出具发票方、合同供应商均必须与乙方名称一致。</w:t>
      </w:r>
    </w:p>
    <w:p>
      <w:pPr>
        <w:pStyle w:val="null3"/>
        <w:ind w:firstLine="480"/>
        <w:jc w:val="both"/>
      </w:pPr>
      <w:r>
        <w:rPr>
          <w:sz w:val="24"/>
        </w:rPr>
        <w:t>（三）本项目合同金额为实施本项目所须的一切费用：包括人工费、车辆费、机具折旧、监测消杀器械费、税费、消杀药物费、运输费、管理费用等合同实施过程中的应预见和不可预见费用等完成合同规定责任和义务、达到本项目合同目的的一切费用及企业利润。</w:t>
      </w:r>
    </w:p>
    <w:p>
      <w:pPr>
        <w:pStyle w:val="null3"/>
        <w:ind w:firstLine="480"/>
        <w:jc w:val="both"/>
      </w:pPr>
      <w:r>
        <w:rPr>
          <w:sz w:val="24"/>
        </w:rPr>
        <w:t>（四）乙方必须自行考虑本项目在实施期间的一切可能产生的费用。在本项目合同执行过程中，甲方将不再另行支付与本项目相关的任何费用，一切额外服务和特殊情况所需的费用均包含在成交价内。</w:t>
      </w:r>
    </w:p>
    <w:p>
      <w:pPr>
        <w:pStyle w:val="null3"/>
        <w:ind w:firstLine="480"/>
        <w:jc w:val="both"/>
      </w:pPr>
      <w:r>
        <w:rPr>
          <w:sz w:val="24"/>
        </w:rPr>
        <w:t>（五）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ind w:firstLine="480"/>
        <w:jc w:val="both"/>
      </w:pPr>
      <w:r>
        <w:rPr>
          <w:sz w:val="24"/>
          <w:b/>
          <w:shd w:fill="FFFFFF" w:val="clear"/>
        </w:rPr>
        <w:t>七、服务质量考核及处罚</w:t>
      </w:r>
    </w:p>
    <w:p>
      <w:pPr>
        <w:pStyle w:val="null3"/>
        <w:ind w:firstLine="480"/>
        <w:jc w:val="both"/>
      </w:pPr>
      <w:r>
        <w:rPr>
          <w:sz w:val="24"/>
        </w:rPr>
        <w:t>（一）甲方每月对乙方的服务实行考核计分制，每月考核成绩满分100分，并根据附表《质量考核表》进行评分：80分（含）为合格，80分以下为不合格。</w:t>
      </w:r>
    </w:p>
    <w:p>
      <w:pPr>
        <w:pStyle w:val="null3"/>
        <w:ind w:firstLine="480"/>
        <w:jc w:val="both"/>
      </w:pPr>
      <w:r>
        <w:rPr>
          <w:sz w:val="24"/>
        </w:rPr>
        <w:t>若当月实际得分80分（含）以上，全额支付当月服务费；</w:t>
      </w:r>
    </w:p>
    <w:p>
      <w:pPr>
        <w:pStyle w:val="null3"/>
        <w:ind w:firstLine="480"/>
        <w:jc w:val="both"/>
      </w:pPr>
      <w:r>
        <w:rPr>
          <w:sz w:val="24"/>
        </w:rPr>
        <w:t>若当月实际得分少于80分（不含），则每少1分，当月服务费扣罚200元/分；</w:t>
      </w:r>
    </w:p>
    <w:p>
      <w:pPr>
        <w:pStyle w:val="null3"/>
        <w:ind w:firstLine="480"/>
        <w:jc w:val="both"/>
      </w:pPr>
      <w:r>
        <w:rPr>
          <w:sz w:val="24"/>
        </w:rPr>
        <w:t>若当月实际得分少于60分（不含），则扣罚当月服务费。</w:t>
      </w:r>
    </w:p>
    <w:p>
      <w:pPr>
        <w:pStyle w:val="null3"/>
        <w:ind w:firstLine="480"/>
        <w:jc w:val="both"/>
      </w:pPr>
      <w:r>
        <w:rPr>
          <w:sz w:val="24"/>
        </w:rPr>
        <w:t>（二）乙方单月得分少于80分（不含）的，甲方有权向乙方发出限期整改通知书，乙方须按要求整改。</w:t>
      </w:r>
    </w:p>
    <w:p>
      <w:pPr>
        <w:pStyle w:val="null3"/>
        <w:ind w:firstLine="480"/>
        <w:jc w:val="both"/>
      </w:pPr>
      <w:r>
        <w:rPr>
          <w:sz w:val="24"/>
        </w:rPr>
        <w:t>（三）乙方累计2个月的单月得分少于80分（不含）或单月得分少于60分（不含）的，甲方有权与乙方终止或解除合同，并把乙方列入黑名单，5年内不再接受乙方参与任何竞标或评选申请，由此产生的一切经济和法律责任由乙方承担。</w:t>
      </w:r>
    </w:p>
    <w:p>
      <w:pPr>
        <w:pStyle w:val="null3"/>
        <w:ind w:firstLine="480"/>
        <w:jc w:val="both"/>
      </w:pPr>
      <w:r>
        <w:rPr>
          <w:sz w:val="24"/>
        </w:rPr>
        <w:t>（四）乙方工作人员泄露传染病疫情信息、监测数据和其他涉及本项目工作内容，可能或已经造成不良影响和后果的，一经查实，甲方有权追究相应法律责任，并有权终止合同，5年内不再接受乙方参与任何竞标或评选申请。</w:t>
      </w:r>
    </w:p>
    <w:p>
      <w:pPr>
        <w:pStyle w:val="null3"/>
        <w:ind w:firstLine="480"/>
        <w:jc w:val="both"/>
      </w:pPr>
      <w:r>
        <w:rPr>
          <w:sz w:val="24"/>
        </w:rPr>
        <w:t>（五）乙方须将涉及本</w:t>
      </w:r>
      <w:r>
        <w:rPr>
          <w:sz w:val="24"/>
          <w:shd w:fill="FFFFFF" w:val="clear"/>
        </w:rPr>
        <w:t>项目全部</w:t>
      </w:r>
      <w:r>
        <w:rPr>
          <w:sz w:val="24"/>
        </w:rPr>
        <w:t>工作人员的个人详细信息（包括基本信息、学历学位、资格证书、职业技能证书、工作经历等）备齐后交给甲方备案，服务期间不能出现冒名顶替或学历学位造假等情况，否则一经查实，甲方有权追究相应的法律责任，并有权终止合同。</w:t>
      </w:r>
    </w:p>
    <w:p>
      <w:pPr>
        <w:pStyle w:val="null3"/>
        <w:ind w:firstLine="480"/>
        <w:jc w:val="both"/>
      </w:pPr>
      <w:r>
        <w:rPr>
          <w:sz w:val="24"/>
        </w:rPr>
        <w:t>（六）乙方在本项目服务工作期间，出现不统一着装、不佩带证件上岗等情况时，第一次甲方给予扣减分值5分/人，第二次扣减分值10分/人，第三次甲方有权终止合同。</w:t>
      </w:r>
    </w:p>
    <w:p>
      <w:pPr>
        <w:pStyle w:val="null3"/>
        <w:ind w:firstLine="480"/>
        <w:jc w:val="both"/>
      </w:pPr>
      <w:r>
        <w:rPr>
          <w:sz w:val="24"/>
        </w:rPr>
        <w:t>（七）乙方</w:t>
      </w:r>
      <w:r>
        <w:rPr>
          <w:sz w:val="24"/>
          <w:shd w:fill="FFFFFF" w:val="clear"/>
        </w:rPr>
        <w:t>接到</w:t>
      </w:r>
      <w:r>
        <w:rPr>
          <w:sz w:val="24"/>
        </w:rPr>
        <w:t>甲方</w:t>
      </w:r>
      <w:r>
        <w:rPr>
          <w:sz w:val="24"/>
          <w:shd w:fill="FFFFFF" w:val="clear"/>
        </w:rPr>
        <w:t>应急监测或应急处置通知</w:t>
      </w:r>
      <w:r>
        <w:rPr>
          <w:sz w:val="24"/>
        </w:rPr>
        <w:t>后，未能在30分钟内出发前往并且2小时内到达疫点的，甲方按每10分钟扣减分值2分，当次累计扣减分值达10分的，甲方有权终止合同并要求乙方赔偿损失。</w:t>
      </w:r>
    </w:p>
    <w:p>
      <w:pPr>
        <w:pStyle w:val="null3"/>
        <w:ind w:firstLine="480"/>
        <w:jc w:val="both"/>
      </w:pPr>
      <w:r>
        <w:rPr>
          <w:sz w:val="24"/>
        </w:rPr>
        <w:t>（八）乙方开展蚊媒传染病疫点媒介应急控制工作，成蚊密度下降率不低于80%，否则第一次甲方给予扣减分值10分/次并要求乙方限时整改，第二次扣减分值20分/次并要求限时整改、重新处理直至成蚊密度达到登革热防控要求，第三次甲方有权终止合同。</w:t>
      </w:r>
    </w:p>
    <w:p>
      <w:pPr>
        <w:pStyle w:val="null3"/>
        <w:ind w:firstLine="480"/>
        <w:jc w:val="both"/>
      </w:pPr>
      <w:r>
        <w:rPr>
          <w:sz w:val="24"/>
        </w:rPr>
        <w:t>（九）乙方须做好药械的储备和管理，并保证在应急处置过程中严格按规范和要求使用，不得出现使用禁用药物、高抗药物、过期药物或未按指定浓度使用药物等情况，否则一经核实，第一次甲方给予扣减分值20分/次并要求乙方限时整改，第二次甲方有权终止合同。</w:t>
      </w:r>
    </w:p>
    <w:p>
      <w:pPr>
        <w:pStyle w:val="null3"/>
        <w:ind w:firstLine="480"/>
        <w:jc w:val="both"/>
      </w:pPr>
      <w:r>
        <w:rPr>
          <w:sz w:val="24"/>
        </w:rPr>
        <w:t>（十）</w:t>
      </w:r>
      <w:r>
        <w:rPr>
          <w:sz w:val="24"/>
        </w:rPr>
        <w:t>因乙方或乙方聘请的员工泄露疫情或相关工作信息，造成社会不良后果，一经查实，甲方有权追究相应法律责任并有权终止合同。</w:t>
      </w:r>
    </w:p>
    <w:p>
      <w:pPr>
        <w:pStyle w:val="null3"/>
        <w:ind w:firstLine="420"/>
        <w:jc w:val="both"/>
      </w:pPr>
      <w:r>
        <w:rPr>
          <w:sz w:val="24"/>
        </w:rPr>
        <w:t>（十一）合同期内，发生综合治理、安全生产事故给甲方造成重大负面影响的，甲方有权终止合同。</w:t>
      </w:r>
    </w:p>
    <w:p>
      <w:pPr>
        <w:pStyle w:val="null3"/>
        <w:ind w:firstLine="420"/>
        <w:jc w:val="both"/>
      </w:pPr>
      <w:r>
        <w:rPr>
          <w:sz w:val="24"/>
        </w:rPr>
        <w:t>（十二）合同期内，如出现乙方使用不符合规定的药物或不当投（施）药造成不良后果，甲方有权追究相应法律责任并有权终止合同，乙方承担由此产生的风险并赔偿由此导致的损失。</w:t>
      </w:r>
    </w:p>
    <w:p>
      <w:pPr>
        <w:pStyle w:val="null3"/>
        <w:ind w:firstLine="480"/>
        <w:jc w:val="both"/>
      </w:pPr>
      <w:r>
        <w:rPr>
          <w:sz w:val="24"/>
          <w:b/>
          <w:shd w:fill="FFFFFF" w:val="clear"/>
        </w:rPr>
        <w:t>八</w:t>
      </w:r>
      <w:r>
        <w:rPr>
          <w:sz w:val="24"/>
          <w:b/>
          <w:shd w:fill="FFFFFF" w:val="clear"/>
        </w:rPr>
        <w:t>、服务期间（项目完成期限）</w:t>
      </w:r>
    </w:p>
    <w:p>
      <w:pPr>
        <w:pStyle w:val="null3"/>
        <w:ind w:firstLine="435"/>
        <w:jc w:val="both"/>
      </w:pPr>
      <w:r>
        <w:rPr>
          <w:sz w:val="24"/>
        </w:rPr>
        <w:t>委托服务期间自</w:t>
      </w:r>
      <w:r>
        <w:rPr>
          <w:sz w:val="24"/>
          <w:u w:val="single"/>
        </w:rPr>
        <w:t xml:space="preserve">2025 </w:t>
      </w:r>
      <w:r>
        <w:rPr>
          <w:sz w:val="24"/>
        </w:rPr>
        <w:t>年</w:t>
      </w:r>
      <w:r>
        <w:rPr>
          <w:sz w:val="24"/>
          <w:u w:val="single"/>
        </w:rPr>
        <w:t xml:space="preserve">    </w:t>
      </w:r>
      <w:r>
        <w:rPr>
          <w:sz w:val="24"/>
        </w:rPr>
        <w:t>月</w:t>
      </w:r>
      <w:r>
        <w:rPr>
          <w:sz w:val="24"/>
          <w:u w:val="single"/>
        </w:rPr>
        <w:t xml:space="preserve">  </w:t>
      </w:r>
      <w:r>
        <w:rPr>
          <w:sz w:val="24"/>
        </w:rPr>
        <w:t>日至</w:t>
      </w:r>
      <w:r>
        <w:rPr>
          <w:sz w:val="24"/>
          <w:u w:val="single"/>
        </w:rPr>
        <w:t xml:space="preserve"> 2025</w:t>
      </w:r>
      <w:r>
        <w:rPr>
          <w:sz w:val="24"/>
        </w:rPr>
        <w:t>年</w:t>
      </w:r>
      <w:r>
        <w:rPr>
          <w:sz w:val="24"/>
          <w:u w:val="single"/>
        </w:rPr>
        <w:t xml:space="preserve"> 12 </w:t>
      </w:r>
      <w:r>
        <w:rPr>
          <w:sz w:val="24"/>
        </w:rPr>
        <w:t>月</w:t>
      </w:r>
      <w:r>
        <w:rPr>
          <w:sz w:val="24"/>
          <w:u w:val="single"/>
        </w:rPr>
        <w:t xml:space="preserve"> 31 </w:t>
      </w:r>
      <w:r>
        <w:rPr>
          <w:sz w:val="24"/>
        </w:rPr>
        <w:t>日止。</w:t>
      </w:r>
      <w:r>
        <w:rPr>
          <w:sz w:val="24"/>
          <w:u w:val="single"/>
        </w:rPr>
        <w:t>（合同生效之日起到合同结束或累计结算金额达到合同总金额     万，先到为准。）</w:t>
      </w:r>
    </w:p>
    <w:p>
      <w:pPr>
        <w:pStyle w:val="null3"/>
        <w:ind w:firstLine="480"/>
        <w:jc w:val="both"/>
      </w:pPr>
      <w:r>
        <w:rPr>
          <w:sz w:val="24"/>
          <w:b/>
          <w:shd w:fill="FFFFFF" w:val="clear"/>
        </w:rPr>
        <w:t>九</w:t>
      </w:r>
      <w:r>
        <w:rPr>
          <w:sz w:val="24"/>
          <w:b/>
          <w:shd w:fill="FFFFFF" w:val="clear"/>
        </w:rPr>
        <w:t>、项目实施要求</w:t>
      </w:r>
    </w:p>
    <w:p>
      <w:pPr>
        <w:pStyle w:val="null3"/>
        <w:ind w:firstLine="480"/>
        <w:jc w:val="both"/>
      </w:pPr>
      <w:r>
        <w:rPr>
          <w:sz w:val="24"/>
        </w:rPr>
        <w:t>1</w:t>
      </w:r>
      <w:r>
        <w:rPr>
          <w:sz w:val="24"/>
        </w:rPr>
        <w:t>、登革热疫点消杀工作方案：由乙方按照甲方要求提供具体的项目实施方案，经甲方审核通过后实施。</w:t>
      </w:r>
    </w:p>
    <w:p>
      <w:pPr>
        <w:pStyle w:val="null3"/>
        <w:ind w:firstLine="480"/>
        <w:jc w:val="both"/>
      </w:pPr>
      <w:r>
        <w:rPr>
          <w:sz w:val="24"/>
        </w:rPr>
        <w:t>2</w:t>
      </w:r>
      <w:r>
        <w:rPr>
          <w:sz w:val="24"/>
        </w:rPr>
        <w:t>、地点：佛山市</w:t>
      </w:r>
      <w:r>
        <w:rPr>
          <w:sz w:val="24"/>
          <w:u w:val="single"/>
        </w:rPr>
        <w:t xml:space="preserve">    </w:t>
      </w:r>
      <w:r>
        <w:rPr>
          <w:sz w:val="24"/>
        </w:rPr>
        <w:t>区域内，根据实际工作要求确定具体地点。</w:t>
      </w:r>
    </w:p>
    <w:p>
      <w:pPr>
        <w:pStyle w:val="null3"/>
        <w:ind w:firstLine="480"/>
        <w:jc w:val="both"/>
      </w:pPr>
      <w:r>
        <w:rPr>
          <w:sz w:val="24"/>
        </w:rPr>
        <w:t>3</w:t>
      </w:r>
      <w:r>
        <w:rPr>
          <w:sz w:val="24"/>
        </w:rPr>
        <w:t>、登革热疫点消杀工作人员：乙方每次消杀任务能够安排充足消杀人员（登革热疫点媒介伊蚊控制工作至少10名消杀人员），在规定时间内携带充足药械到达指定地点，并按时保质迅速完成应急处置任务。消杀人员应经过培训，并掌握消杀要求。</w:t>
      </w:r>
    </w:p>
    <w:p>
      <w:pPr>
        <w:pStyle w:val="null3"/>
        <w:ind w:firstLine="480"/>
        <w:jc w:val="both"/>
      </w:pPr>
      <w:r>
        <w:rPr>
          <w:sz w:val="24"/>
        </w:rPr>
        <w:t>4</w:t>
      </w:r>
      <w:r>
        <w:rPr>
          <w:sz w:val="24"/>
        </w:rPr>
        <w:t>、结果上报：处置结束后24小时内向甲方报送现场处置情况书面报告及完整详细无误的施工台账，内容包括时间、地点、出动人数、药械、使用量、消杀范围、消杀路径、面积、存在问题、困难以及下一步工作建议等。</w:t>
      </w:r>
    </w:p>
    <w:p>
      <w:pPr>
        <w:pStyle w:val="null3"/>
        <w:ind w:firstLine="480"/>
        <w:jc w:val="both"/>
      </w:pPr>
      <w:r>
        <w:rPr>
          <w:sz w:val="24"/>
        </w:rPr>
        <w:t>5</w:t>
      </w:r>
      <w:r>
        <w:rPr>
          <w:sz w:val="24"/>
        </w:rPr>
        <w:t>、工作合理化建议提出：乙方应根据甲方不同时期的工作需求，向甲方提出针对性的项目工作建议并提出具体的可行性操作计划。</w:t>
      </w:r>
    </w:p>
    <w:p>
      <w:pPr>
        <w:pStyle w:val="null3"/>
        <w:ind w:firstLine="480"/>
        <w:jc w:val="both"/>
      </w:pPr>
      <w:r>
        <w:rPr>
          <w:sz w:val="24"/>
        </w:rPr>
        <w:t>6</w:t>
      </w:r>
      <w:r>
        <w:rPr>
          <w:sz w:val="24"/>
        </w:rPr>
        <w:t>、应急消杀服务：甲方需要实施应急消杀时，乙方应及时协助甲方制定消杀方案，并且需在接到甲方应急监测或应急处置通知后30分钟内出发前往，2小时内到达指定地点按要求开展消杀工作。</w:t>
      </w:r>
    </w:p>
    <w:p>
      <w:pPr>
        <w:pStyle w:val="null3"/>
        <w:ind w:firstLine="480"/>
        <w:jc w:val="both"/>
      </w:pPr>
      <w:r>
        <w:rPr>
          <w:sz w:val="24"/>
        </w:rPr>
        <w:t>7</w:t>
      </w:r>
      <w:r>
        <w:rPr>
          <w:sz w:val="24"/>
        </w:rPr>
        <w:t>、质控要求：在进行登革热疫点消杀时，乙方需严格按照《病媒生物化学防治技术指南 空间喷雾》GB/T 31714-2015及《病媒生物化学防治技术指南 滞留喷洒》GB/T 31715-2015操作要求进行质控。</w:t>
      </w:r>
    </w:p>
    <w:p>
      <w:pPr>
        <w:pStyle w:val="null3"/>
        <w:ind w:firstLine="480"/>
        <w:jc w:val="both"/>
      </w:pPr>
      <w:r>
        <w:rPr>
          <w:sz w:val="24"/>
        </w:rPr>
        <w:t>8</w:t>
      </w:r>
      <w:r>
        <w:rPr>
          <w:sz w:val="24"/>
        </w:rPr>
        <w:t>、乙方对其消杀的点位负责，乙方开展蚊媒传染病疫点应急消杀工作，白纹伊蚊成蚊密度下降率不低于80%，否则第一次甲方给予扣减分值10分/次并要求乙方限时整改，第二次扣减分值20分/次并要求乙方限时整改、重新处理直至成蚊密度达到登革热防控要求，第三次甲方有权终止合同。消杀记录结果应反映评估点的真实状况。</w:t>
      </w:r>
    </w:p>
    <w:p>
      <w:pPr>
        <w:pStyle w:val="null3"/>
        <w:ind w:firstLine="480"/>
        <w:jc w:val="both"/>
      </w:pPr>
      <w:r>
        <w:rPr>
          <w:sz w:val="24"/>
        </w:rPr>
        <w:t>9</w:t>
      </w:r>
      <w:r>
        <w:rPr>
          <w:sz w:val="24"/>
        </w:rPr>
        <w:t>、根据本项目采购需求的要求及乙方响应文件相关承诺，由甲方与区、镇街有关机构共同组织验收。</w:t>
      </w:r>
    </w:p>
    <w:p>
      <w:pPr>
        <w:pStyle w:val="null3"/>
        <w:ind w:firstLine="480"/>
        <w:jc w:val="both"/>
      </w:pPr>
      <w:r>
        <w:rPr>
          <w:sz w:val="24"/>
        </w:rPr>
        <w:t>10</w:t>
      </w:r>
      <w:r>
        <w:rPr>
          <w:sz w:val="24"/>
        </w:rPr>
        <w:t>、在合同期内，若中标（成交）区域的登革热疫情紧急或蚊媒高风险区域范围较大时，而乙方的应急消杀力量不能满足应急需求(如限定时间内处理后蚊媒密度超标)时，甲方有权调集本项目其它区域的应急力量进行支援，乙方完全服从配合。若其他未中标（成交）区域出现登革热疫情紧急或蚊媒高风险区域范围较大时，乙方承诺完全服从甲方的调配。如无正当理由拒绝调配的，甲方给予扣减分值10分/次。</w:t>
      </w:r>
    </w:p>
    <w:p>
      <w:pPr>
        <w:pStyle w:val="null3"/>
        <w:ind w:firstLine="480"/>
        <w:jc w:val="both"/>
      </w:pPr>
      <w:r>
        <w:rPr>
          <w:sz w:val="24"/>
        </w:rPr>
        <w:t>11</w:t>
      </w:r>
      <w:r>
        <w:rPr>
          <w:sz w:val="24"/>
        </w:rPr>
        <w:t>、若乙方负责的区域，因该区域包的消杀资金已使用完毕，甲方按照疫情情况，可调集其他包组成交供应商支援该区域消杀，乙方完全服从配合。</w:t>
      </w:r>
    </w:p>
    <w:p>
      <w:pPr>
        <w:pStyle w:val="null3"/>
        <w:ind w:firstLine="480"/>
        <w:jc w:val="both"/>
      </w:pPr>
      <w:r>
        <w:rPr>
          <w:sz w:val="24"/>
          <w:b/>
          <w:shd w:fill="FFFFFF" w:val="clear"/>
        </w:rPr>
        <w:t>十、保密</w:t>
      </w:r>
    </w:p>
    <w:p>
      <w:pPr>
        <w:pStyle w:val="null3"/>
        <w:ind w:firstLine="480"/>
        <w:jc w:val="both"/>
      </w:pPr>
      <w:r>
        <w:rPr>
          <w:sz w:val="24"/>
        </w:rPr>
        <w:t>项目实施过程中至乙方正式向甲方交付技术文档资料时止，乙方必须采取措施对本项目实施过程中的数据、技术文档等资料保密，否则，由于乙方过错导致的上述资料泄密的，乙方必须承担一切责任。项目完成后，甲、乙双方均有责任对本项目的技术保密承担责任，该保密期限为永久。</w:t>
      </w:r>
    </w:p>
    <w:p>
      <w:pPr>
        <w:pStyle w:val="null3"/>
        <w:ind w:firstLine="480"/>
        <w:jc w:val="both"/>
      </w:pPr>
      <w:r>
        <w:rPr>
          <w:sz w:val="24"/>
          <w:b/>
          <w:shd w:fill="FFFFFF" w:val="clear"/>
        </w:rPr>
        <w:t>十一、违约责任与赔偿损失</w:t>
      </w:r>
    </w:p>
    <w:p>
      <w:pPr>
        <w:pStyle w:val="null3"/>
        <w:ind w:firstLine="480"/>
        <w:jc w:val="both"/>
      </w:pPr>
      <w:r>
        <w:rPr>
          <w:sz w:val="24"/>
        </w:rPr>
        <w:t>（1）乙方提供的服务不符合采购文件、响应文件或本合同规定的，甲方有权拒收，并且乙方须向甲方支付本合同总价5%的违约金，违约金不足以赔偿甲方损失的，按实际损失赔偿。</w:t>
      </w:r>
    </w:p>
    <w:p>
      <w:pPr>
        <w:pStyle w:val="null3"/>
        <w:ind w:firstLine="480"/>
        <w:jc w:val="both"/>
      </w:pPr>
      <w:r>
        <w:rPr>
          <w:sz w:val="24"/>
        </w:rPr>
        <w:t>（2）乙方未能按本合同规定的时间提供服务，从逾期之日起每日按本合同总价3‰的数额向甲方支付违约金；逾期半个月以上的，甲方有权终止合同，且乙方须向甲方支付本合同总价5%的违约金，由此造成的甲方经济损失由乙方承担。</w:t>
      </w:r>
    </w:p>
    <w:p>
      <w:pPr>
        <w:pStyle w:val="null3"/>
        <w:ind w:firstLine="480"/>
        <w:jc w:val="both"/>
      </w:pPr>
      <w:r>
        <w:rPr>
          <w:sz w:val="24"/>
        </w:rPr>
        <w:t>（3）因乙方违约致使甲方追究其违约责任所产生的一切费用及损失（包括但不限于律师费、诉讼费、差旅费、鉴定费、保全费等）均由乙方承担。</w:t>
      </w:r>
    </w:p>
    <w:p>
      <w:pPr>
        <w:pStyle w:val="null3"/>
        <w:ind w:firstLine="480"/>
        <w:jc w:val="both"/>
      </w:pPr>
      <w:r>
        <w:rPr>
          <w:sz w:val="24"/>
        </w:rPr>
        <w:t>（4）其它违约责任按《中华人民共和国民法典》处理。</w:t>
      </w:r>
    </w:p>
    <w:p>
      <w:pPr>
        <w:pStyle w:val="null3"/>
        <w:ind w:firstLine="480"/>
        <w:jc w:val="both"/>
      </w:pPr>
      <w:r>
        <w:rPr>
          <w:sz w:val="24"/>
          <w:b/>
          <w:shd w:fill="FFFFFF" w:val="clear"/>
        </w:rPr>
        <w:t>十</w:t>
      </w:r>
      <w:r>
        <w:rPr>
          <w:sz w:val="24"/>
          <w:b/>
          <w:shd w:fill="FFFFFF" w:val="clear"/>
        </w:rPr>
        <w:t>二</w:t>
      </w:r>
      <w:r>
        <w:rPr>
          <w:sz w:val="24"/>
          <w:b/>
          <w:shd w:fill="FFFFFF" w:val="clear"/>
        </w:rPr>
        <w:t>、提出异议的时间和方法</w:t>
      </w:r>
    </w:p>
    <w:p>
      <w:pPr>
        <w:pStyle w:val="null3"/>
        <w:ind w:firstLine="480"/>
        <w:jc w:val="both"/>
      </w:pPr>
      <w:r>
        <w:rPr>
          <w:sz w:val="24"/>
        </w:rPr>
        <w:t>1.</w:t>
      </w:r>
      <w:r>
        <w:rPr>
          <w:sz w:val="24"/>
        </w:rPr>
        <w:t>甲方有异议时，应及时向乙方提出书面异议。</w:t>
      </w:r>
    </w:p>
    <w:p>
      <w:pPr>
        <w:pStyle w:val="null3"/>
        <w:ind w:firstLine="480"/>
        <w:jc w:val="both"/>
      </w:pPr>
      <w:r>
        <w:rPr>
          <w:sz w:val="24"/>
        </w:rPr>
        <w:t>2.</w:t>
      </w:r>
      <w:r>
        <w:rPr>
          <w:sz w:val="24"/>
        </w:rPr>
        <w:t>乙方在接到甲方书面异议后，应在3天内负责处理并函复甲方处理情况，否则，即视为默认甲方提出的异议和处理意见。</w:t>
      </w:r>
    </w:p>
    <w:p>
      <w:pPr>
        <w:pStyle w:val="null3"/>
        <w:ind w:firstLine="480"/>
        <w:jc w:val="both"/>
      </w:pPr>
      <w:r>
        <w:rPr>
          <w:sz w:val="24"/>
        </w:rPr>
        <w:t>3.</w:t>
      </w:r>
      <w:r>
        <w:rPr>
          <w:sz w:val="24"/>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ind w:firstLine="480"/>
        <w:jc w:val="both"/>
      </w:pPr>
      <w:r>
        <w:rPr>
          <w:sz w:val="24"/>
          <w:b/>
          <w:shd w:fill="FFFFFF" w:val="clear"/>
        </w:rPr>
        <w:t>十三、争议的解决</w:t>
      </w:r>
    </w:p>
    <w:p>
      <w:pPr>
        <w:pStyle w:val="null3"/>
        <w:ind w:firstLine="480"/>
        <w:jc w:val="both"/>
      </w:pPr>
      <w:r>
        <w:rPr>
          <w:sz w:val="24"/>
        </w:rPr>
        <w:t>1.</w:t>
      </w:r>
      <w:r>
        <w:rPr>
          <w:sz w:val="24"/>
        </w:rPr>
        <w:t>合同履行过程中发生的任何争议，如双方未能通过友好协商解决，应向佛山市有管辖权的人民法院提起诉讼。</w:t>
      </w:r>
    </w:p>
    <w:p>
      <w:pPr>
        <w:pStyle w:val="null3"/>
        <w:ind w:firstLine="480"/>
        <w:jc w:val="both"/>
      </w:pPr>
      <w:r>
        <w:rPr>
          <w:sz w:val="24"/>
        </w:rPr>
        <w:t>2.</w:t>
      </w:r>
      <w:r>
        <w:rPr>
          <w:sz w:val="24"/>
        </w:rPr>
        <w:t>法院审理期间，除提交法院审理的事项外，其它无争议的事项和条款仍应继续履行。</w:t>
      </w:r>
    </w:p>
    <w:p>
      <w:pPr>
        <w:pStyle w:val="null3"/>
        <w:ind w:firstLine="480"/>
        <w:jc w:val="both"/>
      </w:pPr>
      <w:r>
        <w:rPr>
          <w:sz w:val="24"/>
          <w:b/>
          <w:shd w:fill="FFFFFF" w:val="clear"/>
        </w:rPr>
        <w:t>十四、不可抗力</w:t>
      </w:r>
    </w:p>
    <w:p>
      <w:pPr>
        <w:pStyle w:val="null3"/>
        <w:ind w:firstLine="480"/>
        <w:jc w:val="both"/>
      </w:pPr>
      <w:r>
        <w:rPr>
          <w:sz w:val="24"/>
        </w:rPr>
        <w:t>任何一方由于不可抗力原因不能履行合同时，应在不可抗力事件结束后48小时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sz w:val="24"/>
          <w:b/>
          <w:shd w:fill="FFFFFF" w:val="clear"/>
        </w:rPr>
        <w:t>十五、税费</w:t>
      </w:r>
    </w:p>
    <w:p>
      <w:pPr>
        <w:pStyle w:val="null3"/>
        <w:ind w:firstLine="480"/>
        <w:jc w:val="both"/>
      </w:pPr>
      <w:r>
        <w:rPr>
          <w:sz w:val="24"/>
        </w:rPr>
        <w:t>1.</w:t>
      </w:r>
      <w:r>
        <w:rPr>
          <w:sz w:val="24"/>
        </w:rPr>
        <w:t>本合同实施过程中所发生的一切税费及不可预见费均由乙方承担。</w:t>
      </w:r>
    </w:p>
    <w:p>
      <w:pPr>
        <w:pStyle w:val="null3"/>
        <w:ind w:firstLine="480"/>
        <w:jc w:val="both"/>
      </w:pPr>
      <w:r>
        <w:rPr>
          <w:sz w:val="24"/>
        </w:rPr>
        <w:t>2.</w:t>
      </w:r>
      <w:r>
        <w:rPr>
          <w:sz w:val="24"/>
        </w:rPr>
        <w:t>乙方依照税务规章优先在合同履约地开具发票及纳税，咨询：0757-12366。</w:t>
      </w:r>
    </w:p>
    <w:p>
      <w:pPr>
        <w:pStyle w:val="null3"/>
        <w:ind w:firstLine="480"/>
        <w:jc w:val="both"/>
      </w:pPr>
      <w:r>
        <w:rPr>
          <w:sz w:val="24"/>
          <w:b/>
          <w:shd w:fill="FFFFFF" w:val="clear"/>
        </w:rPr>
        <w:t>十六、合同生效与合同备案</w:t>
      </w:r>
    </w:p>
    <w:p>
      <w:pPr>
        <w:pStyle w:val="null3"/>
        <w:ind w:firstLine="480"/>
        <w:jc w:val="both"/>
      </w:pPr>
      <w:r>
        <w:rPr>
          <w:sz w:val="24"/>
        </w:rPr>
        <w:t>1.</w:t>
      </w:r>
      <w:r>
        <w:rPr>
          <w:sz w:val="24"/>
        </w:rPr>
        <w:t>本合同在甲乙双方法定代表人或其授权代表签字盖章后生效。</w:t>
      </w:r>
    </w:p>
    <w:p>
      <w:pPr>
        <w:pStyle w:val="null3"/>
        <w:ind w:firstLine="480"/>
        <w:jc w:val="both"/>
      </w:pPr>
      <w:r>
        <w:rPr>
          <w:sz w:val="24"/>
        </w:rPr>
        <w:t>2.</w:t>
      </w:r>
      <w:r>
        <w:rPr>
          <w:sz w:val="24"/>
        </w:rPr>
        <w:t>自采购合同签订之日起7个工作日内，由甲方按照有关规定将采购合同副本报同级人民政府财政部门（政府采购管理部门）备案。</w:t>
      </w:r>
    </w:p>
    <w:p>
      <w:pPr>
        <w:pStyle w:val="null3"/>
        <w:ind w:firstLine="480"/>
        <w:jc w:val="both"/>
      </w:pPr>
      <w:r>
        <w:rPr>
          <w:sz w:val="24"/>
          <w:b/>
          <w:shd w:fill="FFFFFF" w:val="clear"/>
        </w:rPr>
        <w:t>十七、乙方应提供的资料内容</w:t>
      </w:r>
    </w:p>
    <w:p>
      <w:pPr>
        <w:pStyle w:val="null3"/>
        <w:ind w:firstLine="480"/>
        <w:jc w:val="both"/>
      </w:pPr>
      <w:r>
        <w:rPr>
          <w:sz w:val="21"/>
          <w:u w:val="single"/>
        </w:rPr>
        <w:t xml:space="preserve">                                                           </w:t>
      </w:r>
      <w:r>
        <w:rPr>
          <w:sz w:val="24"/>
        </w:rPr>
        <w:t>。</w:t>
      </w:r>
    </w:p>
    <w:p>
      <w:pPr>
        <w:pStyle w:val="null3"/>
        <w:ind w:firstLine="480"/>
        <w:jc w:val="both"/>
      </w:pPr>
      <w:r>
        <w:rPr>
          <w:sz w:val="24"/>
          <w:b/>
          <w:shd w:fill="FFFFFF" w:val="clear"/>
        </w:rPr>
        <w:t>十八、关于政府采购合同融资</w:t>
      </w:r>
    </w:p>
    <w:p>
      <w:pPr>
        <w:pStyle w:val="null3"/>
        <w:ind w:firstLine="480"/>
        <w:jc w:val="both"/>
      </w:pPr>
      <w:r>
        <w:rPr>
          <w:sz w:val="24"/>
        </w:rPr>
        <w:t>1.</w:t>
      </w:r>
      <w:r>
        <w:rPr>
          <w:sz w:val="24"/>
        </w:rPr>
        <w:t>乙方是否已申请政府采购合同融资：</w:t>
      </w:r>
      <w:r>
        <w:rPr>
          <w:sz w:val="24"/>
          <w:u w:val="single"/>
        </w:rPr>
        <w:t xml:space="preserve"> 是 /否 </w:t>
      </w:r>
      <w:r>
        <w:rPr>
          <w:sz w:val="24"/>
        </w:rPr>
        <w:t>；</w:t>
      </w:r>
    </w:p>
    <w:p>
      <w:pPr>
        <w:pStyle w:val="null3"/>
        <w:ind w:firstLine="480"/>
        <w:jc w:val="both"/>
      </w:pPr>
      <w:r>
        <w:rPr>
          <w:sz w:val="24"/>
        </w:rPr>
        <w:t>2.</w:t>
      </w:r>
      <w:r>
        <w:rPr>
          <w:sz w:val="24"/>
        </w:rPr>
        <w:t xml:space="preserve">融资银行及联系方式： </w:t>
      </w:r>
      <w:r>
        <w:rPr>
          <w:sz w:val="24"/>
          <w:u w:val="single"/>
        </w:rPr>
        <w:t xml:space="preserve">                                         </w:t>
      </w:r>
      <w:r>
        <w:rPr>
          <w:sz w:val="24"/>
        </w:rPr>
        <w:t>。</w:t>
      </w:r>
    </w:p>
    <w:p>
      <w:pPr>
        <w:pStyle w:val="null3"/>
        <w:ind w:firstLine="480"/>
        <w:jc w:val="both"/>
      </w:pPr>
      <w:r>
        <w:rPr>
          <w:sz w:val="24"/>
        </w:rPr>
        <w:t>3.</w:t>
      </w:r>
      <w:r>
        <w:rPr>
          <w:sz w:val="24"/>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p>
    <w:p>
      <w:pPr>
        <w:pStyle w:val="null3"/>
        <w:ind w:firstLine="480"/>
        <w:jc w:val="both"/>
      </w:pPr>
      <w:r>
        <w:rPr>
          <w:sz w:val="24"/>
          <w:b/>
          <w:shd w:fill="FFFFFF" w:val="clear"/>
        </w:rPr>
        <w:t>十九、其它</w:t>
      </w:r>
    </w:p>
    <w:p>
      <w:pPr>
        <w:pStyle w:val="null3"/>
        <w:ind w:firstLine="480"/>
        <w:jc w:val="both"/>
      </w:pPr>
      <w:r>
        <w:rPr>
          <w:sz w:val="24"/>
        </w:rPr>
        <w:t>1.</w:t>
      </w:r>
      <w:r>
        <w:rPr>
          <w:sz w:val="24"/>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ind w:firstLine="480"/>
        <w:jc w:val="both"/>
      </w:pPr>
      <w:r>
        <w:rPr>
          <w:sz w:val="24"/>
        </w:rPr>
        <w:t>2.</w:t>
      </w:r>
      <w:r>
        <w:rPr>
          <w:sz w:val="24"/>
        </w:rPr>
        <w:t>如一方（包括联系人）地址、电话、传真号码有变更，应在变更后3个工作日内书面通知对方联系人或负责人，否则，因此造成的损失由未履行通知义务方承担相应责任。</w:t>
      </w:r>
    </w:p>
    <w:p>
      <w:pPr>
        <w:pStyle w:val="null3"/>
        <w:ind w:firstLine="480"/>
        <w:jc w:val="both"/>
      </w:pPr>
      <w:r>
        <w:rPr>
          <w:sz w:val="24"/>
        </w:rPr>
        <w:t>3.</w:t>
      </w:r>
      <w:r>
        <w:rPr>
          <w:sz w:val="24"/>
        </w:rPr>
        <w:t>未经甲方书面同意，乙方不得擅自向第三方转让其主体性和关键性合同义务。</w:t>
      </w:r>
    </w:p>
    <w:p>
      <w:pPr>
        <w:pStyle w:val="null3"/>
        <w:ind w:firstLine="480"/>
        <w:jc w:val="both"/>
      </w:pPr>
      <w:r>
        <w:rPr>
          <w:sz w:val="24"/>
        </w:rPr>
        <w:t>4.</w:t>
      </w:r>
      <w:r>
        <w:rPr>
          <w:sz w:val="24"/>
        </w:rPr>
        <w:t>本合同一式</w:t>
      </w:r>
      <w:r>
        <w:rPr>
          <w:sz w:val="24"/>
          <w:u w:val="single"/>
        </w:rPr>
        <w:t xml:space="preserve">   </w:t>
      </w:r>
      <w:r>
        <w:rPr>
          <w:sz w:val="24"/>
        </w:rPr>
        <w:t>份，甲方执</w:t>
      </w:r>
      <w:r>
        <w:rPr>
          <w:sz w:val="24"/>
          <w:u w:val="single"/>
        </w:rPr>
        <w:t xml:space="preserve">  </w:t>
      </w:r>
      <w:r>
        <w:rPr>
          <w:sz w:val="24"/>
        </w:rPr>
        <w:t>份，乙方执</w:t>
      </w:r>
      <w:r>
        <w:rPr>
          <w:sz w:val="24"/>
          <w:u w:val="single"/>
        </w:rPr>
        <w:t xml:space="preserve">  </w:t>
      </w:r>
      <w:r>
        <w:rPr>
          <w:sz w:val="24"/>
        </w:rPr>
        <w:t>份，见证单位执一份。</w:t>
      </w:r>
    </w:p>
    <w:p>
      <w:pPr>
        <w:pStyle w:val="null3"/>
        <w:ind w:firstLine="480"/>
        <w:jc w:val="both"/>
      </w:pPr>
      <w:r>
        <w:rPr>
          <w:sz w:val="24"/>
        </w:rPr>
        <w:t>5.</w:t>
      </w:r>
      <w:r>
        <w:rPr>
          <w:sz w:val="24"/>
        </w:rPr>
        <w:t>本合同（含附件）共计</w:t>
      </w:r>
      <w:r>
        <w:rPr>
          <w:sz w:val="24"/>
          <w:u w:val="single"/>
        </w:rPr>
        <w:t xml:space="preserve">   </w:t>
      </w:r>
      <w:r>
        <w:rPr>
          <w:sz w:val="24"/>
        </w:rPr>
        <w:t>页，缺页之合同为无效合同。</w:t>
      </w:r>
    </w:p>
    <w:p>
      <w:pPr>
        <w:pStyle w:val="null3"/>
        <w:ind w:firstLine="480"/>
        <w:jc w:val="both"/>
      </w:pPr>
      <w:r>
        <w:rPr>
          <w:sz w:val="24"/>
        </w:rPr>
        <w:t>6.</w:t>
      </w:r>
      <w:r>
        <w:rPr>
          <w:sz w:val="24"/>
        </w:rPr>
        <w:t>本合同签约履约地点：广东省佛山市。</w:t>
      </w:r>
    </w:p>
    <w:p>
      <w:pPr>
        <w:pStyle w:val="null3"/>
        <w:ind w:firstLine="480"/>
        <w:jc w:val="both"/>
      </w:pPr>
      <w:r>
        <w:rPr>
          <w:sz w:val="24"/>
        </w:rPr>
        <w:t>7.</w:t>
      </w:r>
      <w:r>
        <w:rPr>
          <w:sz w:val="24"/>
        </w:rPr>
        <w:t>本合同所指“书面通知”包括但不限于短信、电子邮件等数据电文的通知形式，到达时间以民事诉讼法的规定为准，但进行书面通知前后，通知方均有义务电话确认通知事项。</w:t>
      </w:r>
    </w:p>
    <w:p>
      <w:pPr>
        <w:pStyle w:val="null3"/>
        <w:ind w:firstLine="480"/>
        <w:jc w:val="both"/>
      </w:pPr>
      <w:r>
        <w:rPr>
          <w:sz w:val="24"/>
        </w:rPr>
        <w:t>8.</w:t>
      </w:r>
      <w:r>
        <w:rPr>
          <w:sz w:val="24"/>
        </w:rPr>
        <w:t>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4206"/>
        <w:gridCol w:w="3950"/>
        <w:gridCol w:w="150"/>
      </w:tblGrid>
      <w:tr>
        <w:tc>
          <w:tcPr>
            <w:tcW w:type="dxa" w:w="4206"/>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4"/>
                <w:b/>
                <w:color w:val="000000"/>
                <w:shd w:fill="FFFFFF" w:val="clear"/>
              </w:rPr>
              <w:t>甲方（盖章）：</w:t>
            </w:r>
          </w:p>
          <w:p>
            <w:pPr>
              <w:pStyle w:val="null3"/>
              <w:jc w:val="both"/>
            </w:pPr>
            <w:r>
              <w:rPr>
                <w:sz w:val="24"/>
                <w:color w:val="000000"/>
                <w:shd w:fill="FFFFFF" w:val="clear"/>
              </w:rPr>
              <w:t>代表：</w:t>
            </w:r>
            <w:r>
              <w:rPr>
                <w:sz w:val="20"/>
                <w:u w:val="single"/>
              </w:rPr>
              <w:t xml:space="preserve">                            </w:t>
            </w:r>
            <w:r>
              <w:rPr>
                <w:sz w:val="20"/>
              </w:rPr>
              <w:t xml:space="preserve"> </w:t>
            </w:r>
          </w:p>
          <w:p>
            <w:pPr>
              <w:pStyle w:val="null3"/>
              <w:jc w:val="both"/>
            </w:pPr>
            <w:r>
              <w:rPr>
                <w:sz w:val="24"/>
                <w:color w:val="000000"/>
                <w:shd w:fill="FFFFFF" w:val="clear"/>
              </w:rPr>
              <w:t>地址：</w:t>
            </w:r>
          </w:p>
          <w:p>
            <w:pPr>
              <w:pStyle w:val="null3"/>
              <w:jc w:val="both"/>
            </w:pPr>
            <w:r>
              <w:rPr>
                <w:sz w:val="24"/>
                <w:color w:val="000000"/>
                <w:shd w:fill="FFFFFF" w:val="clear"/>
              </w:rPr>
              <w:t>电话：</w:t>
            </w:r>
          </w:p>
          <w:p>
            <w:pPr>
              <w:pStyle w:val="null3"/>
              <w:jc w:val="both"/>
            </w:pPr>
            <w:r>
              <w:rPr>
                <w:sz w:val="24"/>
                <w:color w:val="000000"/>
                <w:shd w:fill="FFFFFF" w:val="clear"/>
              </w:rPr>
              <w:t>传真：</w:t>
            </w:r>
          </w:p>
          <w:p>
            <w:pPr>
              <w:pStyle w:val="null3"/>
              <w:jc w:val="both"/>
            </w:pPr>
            <w:r>
              <w:rPr>
                <w:sz w:val="24"/>
                <w:color w:val="000000"/>
                <w:shd w:fill="FFFFFF" w:val="clear"/>
              </w:rPr>
              <w:t>日期：</w:t>
            </w:r>
            <w:r>
              <w:rPr>
                <w:sz w:val="20"/>
              </w:rPr>
              <w:t xml:space="preserve">           </w:t>
            </w:r>
            <w:r>
              <w:rPr>
                <w:sz w:val="24"/>
                <w:color w:val="000000"/>
                <w:shd w:fill="FFFFFF" w:val="clear"/>
              </w:rPr>
              <w:t>年</w:t>
            </w:r>
            <w:r>
              <w:rPr>
                <w:sz w:val="20"/>
              </w:rPr>
              <w:t xml:space="preserve">     </w:t>
            </w:r>
            <w:r>
              <w:rPr>
                <w:sz w:val="24"/>
                <w:color w:val="000000"/>
                <w:shd w:fill="FFFFFF" w:val="clear"/>
              </w:rPr>
              <w:t>月</w:t>
            </w:r>
            <w:r>
              <w:rPr>
                <w:sz w:val="20"/>
              </w:rPr>
              <w:t xml:space="preserve">    </w:t>
            </w:r>
            <w:r>
              <w:rPr>
                <w:sz w:val="24"/>
                <w:color w:val="000000"/>
                <w:shd w:fill="FFFFFF" w:val="clear"/>
              </w:rPr>
              <w:t>日</w:t>
            </w:r>
          </w:p>
        </w:tc>
        <w:tc>
          <w:tcPr>
            <w:tcW w:type="dxa" w:w="39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color w:val="000000"/>
                <w:shd w:fill="FFFFFF" w:val="clear"/>
              </w:rPr>
              <w:t>乙方（盖章）：</w:t>
            </w:r>
          </w:p>
          <w:p>
            <w:pPr>
              <w:pStyle w:val="null3"/>
              <w:jc w:val="both"/>
            </w:pPr>
            <w:r>
              <w:rPr>
                <w:sz w:val="24"/>
                <w:color w:val="000000"/>
                <w:shd w:fill="FFFFFF" w:val="clear"/>
              </w:rPr>
              <w:t>代表：</w:t>
            </w:r>
            <w:r>
              <w:rPr>
                <w:sz w:val="20"/>
                <w:u w:val="single"/>
              </w:rPr>
              <w:t xml:space="preserve">                         </w:t>
            </w:r>
          </w:p>
          <w:p>
            <w:pPr>
              <w:pStyle w:val="null3"/>
              <w:jc w:val="both"/>
            </w:pPr>
            <w:r>
              <w:rPr>
                <w:sz w:val="24"/>
                <w:color w:val="000000"/>
                <w:shd w:fill="FFFFFF" w:val="clear"/>
              </w:rPr>
              <w:t>地址：</w:t>
            </w:r>
          </w:p>
          <w:p>
            <w:pPr>
              <w:pStyle w:val="null3"/>
              <w:jc w:val="both"/>
            </w:pPr>
            <w:r>
              <w:rPr>
                <w:sz w:val="24"/>
                <w:color w:val="000000"/>
                <w:shd w:fill="FFFFFF" w:val="clear"/>
              </w:rPr>
              <w:t>电话：</w:t>
            </w:r>
          </w:p>
          <w:p>
            <w:pPr>
              <w:pStyle w:val="null3"/>
              <w:jc w:val="both"/>
            </w:pPr>
            <w:r>
              <w:rPr>
                <w:sz w:val="24"/>
                <w:color w:val="000000"/>
                <w:shd w:fill="FFFFFF" w:val="clear"/>
              </w:rPr>
              <w:t>传真：</w:t>
            </w:r>
          </w:p>
          <w:p>
            <w:pPr>
              <w:pStyle w:val="null3"/>
              <w:jc w:val="both"/>
            </w:pPr>
            <w:r>
              <w:rPr>
                <w:sz w:val="24"/>
                <w:color w:val="000000"/>
                <w:shd w:fill="FFFFFF" w:val="clear"/>
              </w:rPr>
              <w:t>日期：</w:t>
            </w:r>
            <w:r>
              <w:rPr>
                <w:sz w:val="20"/>
              </w:rPr>
              <w:t xml:space="preserve">        </w:t>
            </w:r>
            <w:r>
              <w:rPr>
                <w:sz w:val="24"/>
                <w:color w:val="000000"/>
                <w:shd w:fill="FFFFFF" w:val="clear"/>
              </w:rPr>
              <w:t>年</w:t>
            </w:r>
            <w:r>
              <w:rPr>
                <w:sz w:val="20"/>
              </w:rPr>
              <w:t xml:space="preserve">     </w:t>
            </w:r>
            <w:r>
              <w:rPr>
                <w:sz w:val="24"/>
                <w:color w:val="000000"/>
                <w:shd w:fill="FFFFFF" w:val="clear"/>
              </w:rPr>
              <w:t>月</w:t>
            </w:r>
            <w:r>
              <w:rPr>
                <w:sz w:val="20"/>
              </w:rPr>
              <w:t xml:space="preserve">     </w:t>
            </w:r>
            <w:r>
              <w:rPr>
                <w:sz w:val="24"/>
                <w:color w:val="000000"/>
                <w:shd w:fill="FFFFFF" w:val="clear"/>
              </w:rPr>
              <w:t>日</w:t>
            </w:r>
          </w:p>
        </w:tc>
        <w:tc>
          <w:tcPr>
            <w:tcW w:type="dxa" w:w="15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firstLine="480"/>
              <w:jc w:val="both"/>
            </w:pPr>
            <w:r>
              <w:rPr>
                <w:sz w:val="20"/>
              </w:rPr>
              <w:t xml:space="preserve"> </w:t>
            </w:r>
          </w:p>
        </w:tc>
      </w:tr>
      <w:tr>
        <w:tc>
          <w:tcPr>
            <w:tcW w:type="dxa" w:w="4206"/>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ind w:firstLine="480"/>
              <w:jc w:val="both"/>
            </w:pPr>
          </w:p>
        </w:tc>
        <w:tc>
          <w:tcPr>
            <w:tcW w:type="dxa" w:w="4100"/>
            <w:gridSpan w:val="2"/>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jc w:val="both"/>
            </w:pPr>
            <w:r>
              <w:rPr>
                <w:sz w:val="24"/>
                <w:b/>
                <w:color w:val="000000"/>
                <w:shd w:fill="FFFFFF" w:val="clear"/>
              </w:rPr>
              <w:t>收款方、开票方须与乙方一致，专户为：</w:t>
            </w:r>
          </w:p>
          <w:p>
            <w:pPr>
              <w:pStyle w:val="null3"/>
              <w:jc w:val="both"/>
            </w:pPr>
            <w:r>
              <w:rPr>
                <w:sz w:val="24"/>
                <w:color w:val="000000"/>
                <w:shd w:fill="FFFFFF" w:val="clear"/>
              </w:rPr>
              <w:t>开户名称：</w:t>
            </w:r>
          </w:p>
          <w:p>
            <w:pPr>
              <w:pStyle w:val="null3"/>
              <w:jc w:val="both"/>
            </w:pPr>
            <w:r>
              <w:rPr>
                <w:sz w:val="24"/>
                <w:color w:val="000000"/>
                <w:shd w:fill="FFFFFF" w:val="clear"/>
              </w:rPr>
              <w:t>银行账号：</w:t>
            </w:r>
          </w:p>
          <w:p>
            <w:pPr>
              <w:pStyle w:val="null3"/>
              <w:jc w:val="both"/>
            </w:pPr>
            <w:r>
              <w:rPr>
                <w:sz w:val="24"/>
                <w:color w:val="000000"/>
                <w:shd w:fill="FFFFFF" w:val="clear"/>
              </w:rPr>
              <w:t>开</w:t>
            </w:r>
            <w:r>
              <w:rPr>
                <w:sz w:val="24"/>
                <w:color w:val="000000"/>
                <w:shd w:fill="FFFFFF" w:val="clear"/>
              </w:rPr>
              <w:t>户</w:t>
            </w:r>
            <w:r>
              <w:rPr>
                <w:sz w:val="24"/>
                <w:color w:val="000000"/>
                <w:shd w:fill="FFFFFF" w:val="clear"/>
              </w:rPr>
              <w:t>行：</w:t>
            </w:r>
          </w:p>
        </w:tc>
      </w:tr>
    </w:tbl>
    <w:p>
      <w:pPr>
        <w:pStyle w:val="null3"/>
        <w:ind w:firstLine="480"/>
        <w:jc w:val="both"/>
      </w:pPr>
      <w:r>
        <w:rPr>
          <w:sz w:val="24"/>
          <w:b/>
          <w:color w:val="000000"/>
        </w:rPr>
        <w:t>见证单位（盖章）：广东海虹招标代理有限公司</w:t>
      </w:r>
    </w:p>
    <w:p>
      <w:pPr>
        <w:pStyle w:val="null3"/>
        <w:ind w:firstLine="480"/>
        <w:jc w:val="both"/>
      </w:pPr>
      <w:r>
        <w:rPr>
          <w:sz w:val="24"/>
          <w:b/>
          <w:color w:val="000000"/>
        </w:rPr>
        <w:t>见证人（签字）：</w:t>
      </w:r>
    </w:p>
    <w:p>
      <w:pPr>
        <w:pStyle w:val="null3"/>
        <w:ind w:firstLine="480"/>
        <w:jc w:val="both"/>
      </w:pPr>
      <w:r>
        <w:rPr>
          <w:sz w:val="24"/>
          <w:b/>
          <w:color w:val="000000"/>
          <w:shd w:fill="FFFFFF" w:val="clear"/>
        </w:rPr>
        <w:t>日期：</w:t>
      </w:r>
      <w:r>
        <w:rPr>
          <w:sz w:val="20"/>
          <w:b/>
        </w:rPr>
        <w:t xml:space="preserve">    </w:t>
      </w:r>
      <w:r>
        <w:rPr>
          <w:sz w:val="24"/>
          <w:b/>
          <w:color w:val="000000"/>
          <w:shd w:fill="FFFFFF" w:val="clear"/>
        </w:rPr>
        <w:t>年</w:t>
      </w:r>
      <w:r>
        <w:rPr>
          <w:sz w:val="20"/>
          <w:b/>
        </w:rPr>
        <w:t xml:space="preserve">    </w:t>
      </w:r>
      <w:r>
        <w:rPr>
          <w:sz w:val="24"/>
          <w:b/>
          <w:color w:val="000000"/>
          <w:shd w:fill="FFFFFF" w:val="clear"/>
        </w:rPr>
        <w:t>月</w:t>
      </w:r>
      <w:r>
        <w:rPr>
          <w:sz w:val="20"/>
          <w:b/>
        </w:rPr>
        <w:t xml:space="preserve">    </w:t>
      </w:r>
      <w:r>
        <w:rPr>
          <w:sz w:val="24"/>
          <w:b/>
          <w:color w:val="000000"/>
          <w:shd w:fill="FFFFFF" w:val="clear"/>
        </w:rPr>
        <w:t>日</w:t>
      </w:r>
    </w:p>
    <w:p>
      <w:pPr>
        <w:pStyle w:val="null3"/>
        <w:ind w:firstLine="480"/>
        <w:jc w:val="both"/>
      </w:pPr>
      <w:r>
        <w:rPr>
          <w:sz w:val="24"/>
          <w:b/>
          <w:color w:val="000000"/>
          <w:shd w:fill="FFFFFF" w:val="clear"/>
        </w:rPr>
        <w:t>合同附件清单：</w:t>
      </w:r>
    </w:p>
    <w:p>
      <w:pPr>
        <w:pStyle w:val="null3"/>
        <w:ind w:firstLine="480"/>
        <w:jc w:val="both"/>
      </w:pPr>
      <w:r>
        <w:rPr>
          <w:sz w:val="24"/>
          <w:b/>
          <w:color w:val="000000"/>
          <w:shd w:fill="FFFFFF" w:val="clear"/>
        </w:rPr>
        <w:t>附件一、《应急消杀社会化服务项目质量考核表》</w:t>
      </w:r>
    </w:p>
    <w:tbl>
      <w:tblPr>
        <w:tblW w:w="0" w:type="auto"/>
        <w:tblBorders>
          <w:top w:val="none" w:color="000000" w:sz="4"/>
          <w:left w:val="none" w:color="000000" w:sz="4"/>
          <w:bottom w:val="none" w:color="000000" w:sz="4"/>
          <w:right w:val="none" w:color="000000" w:sz="4"/>
          <w:insideH w:val="none"/>
          <w:insideV w:val="none"/>
        </w:tblBorders>
      </w:tblPr>
      <w:tblGrid>
        <w:gridCol w:w="661"/>
        <w:gridCol w:w="496"/>
        <w:gridCol w:w="4959"/>
        <w:gridCol w:w="1075"/>
        <w:gridCol w:w="744"/>
      </w:tblGrid>
      <w:tr>
        <w:tc>
          <w:tcPr>
            <w:tcW w:type="dxa" w:w="7935"/>
            <w:gridSpan w:val="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应急消杀社会化服务项目质量考核表</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考核项目</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分值</w:t>
            </w:r>
          </w:p>
        </w:tc>
        <w:tc>
          <w:tcPr>
            <w:tcW w:type="dxa" w:w="49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评分标准</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考核情况</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得分</w:t>
            </w:r>
          </w:p>
        </w:tc>
      </w:tr>
      <w:tr>
        <w:tc>
          <w:tcPr>
            <w:tcW w:type="dxa" w:w="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组织管理</w:t>
            </w:r>
          </w:p>
        </w:tc>
        <w:tc>
          <w:tcPr>
            <w:tcW w:type="dxa" w:w="4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20</w:t>
            </w:r>
          </w:p>
        </w:tc>
        <w:tc>
          <w:tcPr>
            <w:tcW w:type="dxa" w:w="49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w:t>
            </w:r>
            <w:r>
              <w:rPr>
                <w:sz w:val="21"/>
                <w:color w:val="000000"/>
              </w:rPr>
              <w:t>未制定施工方案（要求、人员、药械、计划、考评、结果报送等）每项扣2分；</w:t>
            </w:r>
          </w:p>
        </w:tc>
        <w:tc>
          <w:tcPr>
            <w:tcW w:type="dxa" w:w="10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61"/>
            <w:vMerge/>
            <w:tcBorders>
              <w:top w:val="none" w:color="000000" w:sz="4"/>
              <w:left w:val="single" w:color="000000" w:sz="4"/>
              <w:bottom w:val="single" w:color="000000" w:sz="4"/>
              <w:right w:val="single" w:color="000000" w:sz="4"/>
            </w:tcBorders>
          </w:tcPr>
          <w:p/>
        </w:tc>
        <w:tc>
          <w:tcPr>
            <w:tcW w:type="dxa" w:w="496"/>
            <w:vMerge/>
            <w:tcBorders>
              <w:top w:val="none" w:color="000000" w:sz="4"/>
              <w:left w:val="none" w:color="000000" w:sz="4"/>
              <w:bottom w:val="single" w:color="000000" w:sz="4"/>
              <w:right w:val="single" w:color="000000" w:sz="4"/>
            </w:tcBorders>
          </w:tcPr>
          <w:p/>
        </w:tc>
        <w:tc>
          <w:tcPr>
            <w:tcW w:type="dxa" w:w="49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2.</w:t>
            </w:r>
            <w:r>
              <w:rPr>
                <w:sz w:val="21"/>
                <w:color w:val="000000"/>
              </w:rPr>
              <w:t>未开展消杀技能培训和处置演练扣5分；</w:t>
            </w:r>
          </w:p>
        </w:tc>
        <w:tc>
          <w:tcPr>
            <w:tcW w:type="dxa" w:w="1075"/>
            <w:vMerge/>
            <w:tcBorders>
              <w:top w:val="none" w:color="000000" w:sz="4"/>
              <w:left w:val="none" w:color="000000" w:sz="4"/>
              <w:bottom w:val="single" w:color="000000" w:sz="4"/>
              <w:right w:val="single" w:color="000000" w:sz="4"/>
            </w:tcBorders>
          </w:tcPr>
          <w:p/>
        </w:tc>
        <w:tc>
          <w:tcPr>
            <w:tcW w:type="dxa" w:w="744"/>
            <w:vMerge/>
            <w:tcBorders>
              <w:top w:val="none" w:color="000000" w:sz="4"/>
              <w:left w:val="none" w:color="000000" w:sz="4"/>
              <w:bottom w:val="single" w:color="000000" w:sz="4"/>
              <w:right w:val="single" w:color="000000" w:sz="4"/>
            </w:tcBorders>
          </w:tcPr>
          <w:p/>
        </w:tc>
      </w:tr>
      <w:tr>
        <w:tc>
          <w:tcPr>
            <w:tcW w:type="dxa" w:w="661"/>
            <w:vMerge/>
            <w:tcBorders>
              <w:top w:val="none" w:color="000000" w:sz="4"/>
              <w:left w:val="single" w:color="000000" w:sz="4"/>
              <w:bottom w:val="single" w:color="000000" w:sz="4"/>
              <w:right w:val="single" w:color="000000" w:sz="4"/>
            </w:tcBorders>
          </w:tcPr>
          <w:p/>
        </w:tc>
        <w:tc>
          <w:tcPr>
            <w:tcW w:type="dxa" w:w="496"/>
            <w:vMerge/>
            <w:tcBorders>
              <w:top w:val="none" w:color="000000" w:sz="4"/>
              <w:left w:val="none" w:color="000000" w:sz="4"/>
              <w:bottom w:val="single" w:color="000000" w:sz="4"/>
              <w:right w:val="single" w:color="000000" w:sz="4"/>
            </w:tcBorders>
          </w:tcPr>
          <w:p/>
        </w:tc>
        <w:tc>
          <w:tcPr>
            <w:tcW w:type="dxa" w:w="49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3.</w:t>
            </w:r>
            <w:r>
              <w:rPr>
                <w:sz w:val="21"/>
                <w:color w:val="000000"/>
              </w:rPr>
              <w:t>消杀药械不满足要求、存放不规范以及无使用记录扣5分；</w:t>
            </w:r>
          </w:p>
        </w:tc>
        <w:tc>
          <w:tcPr>
            <w:tcW w:type="dxa" w:w="1075"/>
            <w:vMerge/>
            <w:tcBorders>
              <w:top w:val="none" w:color="000000" w:sz="4"/>
              <w:left w:val="none" w:color="000000" w:sz="4"/>
              <w:bottom w:val="single" w:color="000000" w:sz="4"/>
              <w:right w:val="single" w:color="000000" w:sz="4"/>
            </w:tcBorders>
          </w:tcPr>
          <w:p/>
        </w:tc>
        <w:tc>
          <w:tcPr>
            <w:tcW w:type="dxa" w:w="744"/>
            <w:vMerge/>
            <w:tcBorders>
              <w:top w:val="none" w:color="000000" w:sz="4"/>
              <w:left w:val="none" w:color="000000" w:sz="4"/>
              <w:bottom w:val="single" w:color="000000" w:sz="4"/>
              <w:right w:val="single" w:color="000000" w:sz="4"/>
            </w:tcBorders>
          </w:tcPr>
          <w:p/>
        </w:tc>
      </w:tr>
      <w:tr>
        <w:tc>
          <w:tcPr>
            <w:tcW w:type="dxa" w:w="661"/>
            <w:vMerge/>
            <w:tcBorders>
              <w:top w:val="none" w:color="000000" w:sz="4"/>
              <w:left w:val="single" w:color="000000" w:sz="4"/>
              <w:bottom w:val="single" w:color="000000" w:sz="4"/>
              <w:right w:val="single" w:color="000000" w:sz="4"/>
            </w:tcBorders>
          </w:tcPr>
          <w:p/>
        </w:tc>
        <w:tc>
          <w:tcPr>
            <w:tcW w:type="dxa" w:w="496"/>
            <w:vMerge/>
            <w:tcBorders>
              <w:top w:val="none" w:color="000000" w:sz="4"/>
              <w:left w:val="none" w:color="000000" w:sz="4"/>
              <w:bottom w:val="single" w:color="000000" w:sz="4"/>
              <w:right w:val="single" w:color="000000" w:sz="4"/>
            </w:tcBorders>
          </w:tcPr>
          <w:p/>
        </w:tc>
        <w:tc>
          <w:tcPr>
            <w:tcW w:type="dxa" w:w="49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4.</w:t>
            </w:r>
            <w:r>
              <w:rPr>
                <w:sz w:val="21"/>
                <w:color w:val="000000"/>
              </w:rPr>
              <w:t>因特殊原因更换项目组人员时未事前提出书面申请，或未经同意擅自更换项目组人员，每人扣20分；</w:t>
            </w:r>
          </w:p>
        </w:tc>
        <w:tc>
          <w:tcPr>
            <w:tcW w:type="dxa" w:w="1075"/>
            <w:vMerge/>
            <w:tcBorders>
              <w:top w:val="none" w:color="000000" w:sz="4"/>
              <w:left w:val="none" w:color="000000" w:sz="4"/>
              <w:bottom w:val="single" w:color="000000" w:sz="4"/>
              <w:right w:val="single" w:color="000000" w:sz="4"/>
            </w:tcBorders>
          </w:tcPr>
          <w:p/>
        </w:tc>
        <w:tc>
          <w:tcPr>
            <w:tcW w:type="dxa" w:w="744"/>
            <w:vMerge/>
            <w:tcBorders>
              <w:top w:val="none" w:color="000000" w:sz="4"/>
              <w:left w:val="none" w:color="000000" w:sz="4"/>
              <w:bottom w:val="single" w:color="000000" w:sz="4"/>
              <w:right w:val="single" w:color="000000" w:sz="4"/>
            </w:tcBorders>
          </w:tcPr>
          <w:p/>
        </w:tc>
      </w:tr>
      <w:tr>
        <w:tc>
          <w:tcPr>
            <w:tcW w:type="dxa" w:w="661"/>
            <w:vMerge/>
            <w:tcBorders>
              <w:top w:val="none" w:color="000000" w:sz="4"/>
              <w:left w:val="single" w:color="000000" w:sz="4"/>
              <w:bottom w:val="single" w:color="000000" w:sz="4"/>
              <w:right w:val="single" w:color="000000" w:sz="4"/>
            </w:tcBorders>
          </w:tcPr>
          <w:p/>
        </w:tc>
        <w:tc>
          <w:tcPr>
            <w:tcW w:type="dxa" w:w="496"/>
            <w:vMerge/>
            <w:tcBorders>
              <w:top w:val="none" w:color="000000" w:sz="4"/>
              <w:left w:val="none" w:color="000000" w:sz="4"/>
              <w:bottom w:val="single" w:color="000000" w:sz="4"/>
              <w:right w:val="single" w:color="000000" w:sz="4"/>
            </w:tcBorders>
          </w:tcPr>
          <w:p/>
        </w:tc>
        <w:tc>
          <w:tcPr>
            <w:tcW w:type="dxa" w:w="49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5.</w:t>
            </w:r>
            <w:r>
              <w:rPr>
                <w:sz w:val="21"/>
                <w:color w:val="000000"/>
              </w:rPr>
              <w:t>泄露疫情信息、监测数据和其他项目内容扣20分。</w:t>
            </w:r>
          </w:p>
        </w:tc>
        <w:tc>
          <w:tcPr>
            <w:tcW w:type="dxa" w:w="1075"/>
            <w:vMerge/>
            <w:tcBorders>
              <w:top w:val="none" w:color="000000" w:sz="4"/>
              <w:left w:val="none" w:color="000000" w:sz="4"/>
              <w:bottom w:val="single" w:color="000000" w:sz="4"/>
              <w:right w:val="single" w:color="000000" w:sz="4"/>
            </w:tcBorders>
          </w:tcPr>
          <w:p/>
        </w:tc>
        <w:tc>
          <w:tcPr>
            <w:tcW w:type="dxa" w:w="744"/>
            <w:vMerge/>
            <w:tcBorders>
              <w:top w:val="none" w:color="000000" w:sz="4"/>
              <w:left w:val="none" w:color="000000" w:sz="4"/>
              <w:bottom w:val="single" w:color="000000" w:sz="4"/>
              <w:right w:val="single" w:color="000000" w:sz="4"/>
            </w:tcBorders>
          </w:tcPr>
          <w:p/>
        </w:tc>
      </w:tr>
      <w:tr>
        <w:tc>
          <w:tcPr>
            <w:tcW w:type="dxa" w:w="661"/>
            <w:vMerge/>
            <w:tcBorders>
              <w:top w:val="none" w:color="000000" w:sz="4"/>
              <w:left w:val="single" w:color="000000" w:sz="4"/>
              <w:bottom w:val="single" w:color="000000" w:sz="4"/>
              <w:right w:val="single" w:color="000000" w:sz="4"/>
            </w:tcBorders>
          </w:tcPr>
          <w:p/>
        </w:tc>
        <w:tc>
          <w:tcPr>
            <w:tcW w:type="dxa" w:w="496"/>
            <w:vMerge/>
            <w:tcBorders>
              <w:top w:val="none" w:color="000000" w:sz="4"/>
              <w:left w:val="none" w:color="000000" w:sz="4"/>
              <w:bottom w:val="single" w:color="000000" w:sz="4"/>
              <w:right w:val="single" w:color="000000" w:sz="4"/>
            </w:tcBorders>
          </w:tcPr>
          <w:p/>
        </w:tc>
        <w:tc>
          <w:tcPr>
            <w:tcW w:type="dxa" w:w="49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6.</w:t>
            </w:r>
            <w:r>
              <w:rPr>
                <w:sz w:val="21"/>
                <w:color w:val="000000"/>
              </w:rPr>
              <w:t>当疫情紧急时，无正当合理理由拒绝采购人调配的，扣10分。</w:t>
            </w:r>
          </w:p>
        </w:tc>
        <w:tc>
          <w:tcPr>
            <w:tcW w:type="dxa" w:w="1075"/>
            <w:vMerge/>
            <w:tcBorders>
              <w:top w:val="none" w:color="000000" w:sz="4"/>
              <w:left w:val="none" w:color="000000" w:sz="4"/>
              <w:bottom w:val="single" w:color="000000" w:sz="4"/>
              <w:right w:val="single" w:color="000000" w:sz="4"/>
            </w:tcBorders>
          </w:tcPr>
          <w:p/>
        </w:tc>
        <w:tc>
          <w:tcPr>
            <w:tcW w:type="dxa" w:w="744"/>
            <w:vMerge/>
            <w:tcBorders>
              <w:top w:val="none" w:color="000000" w:sz="4"/>
              <w:left w:val="none" w:color="000000" w:sz="4"/>
              <w:bottom w:val="single" w:color="000000" w:sz="4"/>
              <w:right w:val="single" w:color="000000" w:sz="4"/>
            </w:tcBorders>
          </w:tcPr>
          <w:p/>
        </w:tc>
      </w:tr>
      <w:tr>
        <w:tc>
          <w:tcPr>
            <w:tcW w:type="dxa" w:w="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现场操作</w:t>
            </w:r>
          </w:p>
        </w:tc>
        <w:tc>
          <w:tcPr>
            <w:tcW w:type="dxa" w:w="4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65</w:t>
            </w:r>
          </w:p>
        </w:tc>
        <w:tc>
          <w:tcPr>
            <w:tcW w:type="dxa" w:w="49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w:t>
            </w:r>
            <w:r>
              <w:rPr>
                <w:sz w:val="21"/>
                <w:color w:val="000000"/>
              </w:rPr>
              <w:t>项目主管人员无法联系、团队迟到等情况每10分钟扣2分；</w:t>
            </w:r>
          </w:p>
        </w:tc>
        <w:tc>
          <w:tcPr>
            <w:tcW w:type="dxa" w:w="10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61"/>
            <w:vMerge/>
            <w:tcBorders>
              <w:top w:val="none" w:color="000000" w:sz="4"/>
              <w:left w:val="single" w:color="000000" w:sz="4"/>
              <w:bottom w:val="single" w:color="000000" w:sz="4"/>
              <w:right w:val="single" w:color="000000" w:sz="4"/>
            </w:tcBorders>
          </w:tcPr>
          <w:p/>
        </w:tc>
        <w:tc>
          <w:tcPr>
            <w:tcW w:type="dxa" w:w="496"/>
            <w:vMerge/>
            <w:tcBorders>
              <w:top w:val="none" w:color="000000" w:sz="4"/>
              <w:left w:val="none" w:color="000000" w:sz="4"/>
              <w:bottom w:val="single" w:color="000000" w:sz="4"/>
              <w:right w:val="single" w:color="000000" w:sz="4"/>
            </w:tcBorders>
          </w:tcPr>
          <w:p/>
        </w:tc>
        <w:tc>
          <w:tcPr>
            <w:tcW w:type="dxa" w:w="49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2.</w:t>
            </w:r>
            <w:r>
              <w:rPr>
                <w:sz w:val="21"/>
                <w:color w:val="000000"/>
              </w:rPr>
              <w:t>施工作业时未持证上岗，或穿不统一，每人每次扣5分；</w:t>
            </w:r>
          </w:p>
        </w:tc>
        <w:tc>
          <w:tcPr>
            <w:tcW w:type="dxa" w:w="1075"/>
            <w:vMerge/>
            <w:tcBorders>
              <w:top w:val="none" w:color="000000" w:sz="4"/>
              <w:left w:val="none" w:color="000000" w:sz="4"/>
              <w:bottom w:val="single" w:color="000000" w:sz="4"/>
              <w:right w:val="single" w:color="000000" w:sz="4"/>
            </w:tcBorders>
          </w:tcPr>
          <w:p/>
        </w:tc>
        <w:tc>
          <w:tcPr>
            <w:tcW w:type="dxa" w:w="744"/>
            <w:vMerge/>
            <w:tcBorders>
              <w:top w:val="none" w:color="000000" w:sz="4"/>
              <w:left w:val="none" w:color="000000" w:sz="4"/>
              <w:bottom w:val="single" w:color="000000" w:sz="4"/>
              <w:right w:val="single" w:color="000000" w:sz="4"/>
            </w:tcBorders>
          </w:tcPr>
          <w:p/>
        </w:tc>
      </w:tr>
      <w:tr>
        <w:tc>
          <w:tcPr>
            <w:tcW w:type="dxa" w:w="661"/>
            <w:vMerge/>
            <w:tcBorders>
              <w:top w:val="none" w:color="000000" w:sz="4"/>
              <w:left w:val="single" w:color="000000" w:sz="4"/>
              <w:bottom w:val="single" w:color="000000" w:sz="4"/>
              <w:right w:val="single" w:color="000000" w:sz="4"/>
            </w:tcBorders>
          </w:tcPr>
          <w:p/>
        </w:tc>
        <w:tc>
          <w:tcPr>
            <w:tcW w:type="dxa" w:w="496"/>
            <w:vMerge/>
            <w:tcBorders>
              <w:top w:val="none" w:color="000000" w:sz="4"/>
              <w:left w:val="none" w:color="000000" w:sz="4"/>
              <w:bottom w:val="single" w:color="000000" w:sz="4"/>
              <w:right w:val="single" w:color="000000" w:sz="4"/>
            </w:tcBorders>
          </w:tcPr>
          <w:p/>
        </w:tc>
        <w:tc>
          <w:tcPr>
            <w:tcW w:type="dxa" w:w="49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3.</w:t>
            </w:r>
            <w:r>
              <w:rPr>
                <w:sz w:val="21"/>
                <w:color w:val="000000"/>
              </w:rPr>
              <w:t>施工人员有抽烟、饮食、聚堆闲聊、收集废品或从事其他与作业无关的事项时每人每次扣5分；</w:t>
            </w:r>
          </w:p>
        </w:tc>
        <w:tc>
          <w:tcPr>
            <w:tcW w:type="dxa" w:w="1075"/>
            <w:vMerge/>
            <w:tcBorders>
              <w:top w:val="none" w:color="000000" w:sz="4"/>
              <w:left w:val="none" w:color="000000" w:sz="4"/>
              <w:bottom w:val="single" w:color="000000" w:sz="4"/>
              <w:right w:val="single" w:color="000000" w:sz="4"/>
            </w:tcBorders>
          </w:tcPr>
          <w:p/>
        </w:tc>
        <w:tc>
          <w:tcPr>
            <w:tcW w:type="dxa" w:w="744"/>
            <w:vMerge/>
            <w:tcBorders>
              <w:top w:val="none" w:color="000000" w:sz="4"/>
              <w:left w:val="none" w:color="000000" w:sz="4"/>
              <w:bottom w:val="single" w:color="000000" w:sz="4"/>
              <w:right w:val="single" w:color="000000" w:sz="4"/>
            </w:tcBorders>
          </w:tcPr>
          <w:p/>
        </w:tc>
      </w:tr>
      <w:tr>
        <w:tc>
          <w:tcPr>
            <w:tcW w:type="dxa" w:w="661"/>
            <w:vMerge/>
            <w:tcBorders>
              <w:top w:val="none" w:color="000000" w:sz="4"/>
              <w:left w:val="single" w:color="000000" w:sz="4"/>
              <w:bottom w:val="single" w:color="000000" w:sz="4"/>
              <w:right w:val="single" w:color="000000" w:sz="4"/>
            </w:tcBorders>
          </w:tcPr>
          <w:p/>
        </w:tc>
        <w:tc>
          <w:tcPr>
            <w:tcW w:type="dxa" w:w="496"/>
            <w:vMerge/>
            <w:tcBorders>
              <w:top w:val="none" w:color="000000" w:sz="4"/>
              <w:left w:val="none" w:color="000000" w:sz="4"/>
              <w:bottom w:val="single" w:color="000000" w:sz="4"/>
              <w:right w:val="single" w:color="000000" w:sz="4"/>
            </w:tcBorders>
          </w:tcPr>
          <w:p/>
        </w:tc>
        <w:tc>
          <w:tcPr>
            <w:tcW w:type="dxa" w:w="49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4.</w:t>
            </w:r>
            <w:r>
              <w:rPr>
                <w:sz w:val="21"/>
                <w:color w:val="000000"/>
              </w:rPr>
              <w:t>消杀工作未按计划开展（协商同意且于协商当天上报新计划除外）每项扣5分；</w:t>
            </w:r>
          </w:p>
        </w:tc>
        <w:tc>
          <w:tcPr>
            <w:tcW w:type="dxa" w:w="1075"/>
            <w:vMerge/>
            <w:tcBorders>
              <w:top w:val="none" w:color="000000" w:sz="4"/>
              <w:left w:val="none" w:color="000000" w:sz="4"/>
              <w:bottom w:val="single" w:color="000000" w:sz="4"/>
              <w:right w:val="single" w:color="000000" w:sz="4"/>
            </w:tcBorders>
          </w:tcPr>
          <w:p/>
        </w:tc>
        <w:tc>
          <w:tcPr>
            <w:tcW w:type="dxa" w:w="744"/>
            <w:vMerge/>
            <w:tcBorders>
              <w:top w:val="none" w:color="000000" w:sz="4"/>
              <w:left w:val="none" w:color="000000" w:sz="4"/>
              <w:bottom w:val="single" w:color="000000" w:sz="4"/>
              <w:right w:val="single" w:color="000000" w:sz="4"/>
            </w:tcBorders>
          </w:tcPr>
          <w:p/>
        </w:tc>
      </w:tr>
      <w:tr>
        <w:tc>
          <w:tcPr>
            <w:tcW w:type="dxa" w:w="661"/>
            <w:vMerge/>
            <w:tcBorders>
              <w:top w:val="none" w:color="000000" w:sz="4"/>
              <w:left w:val="single" w:color="000000" w:sz="4"/>
              <w:bottom w:val="single" w:color="000000" w:sz="4"/>
              <w:right w:val="single" w:color="000000" w:sz="4"/>
            </w:tcBorders>
          </w:tcPr>
          <w:p/>
        </w:tc>
        <w:tc>
          <w:tcPr>
            <w:tcW w:type="dxa" w:w="496"/>
            <w:vMerge/>
            <w:tcBorders>
              <w:top w:val="none" w:color="000000" w:sz="4"/>
              <w:left w:val="none" w:color="000000" w:sz="4"/>
              <w:bottom w:val="single" w:color="000000" w:sz="4"/>
              <w:right w:val="single" w:color="000000" w:sz="4"/>
            </w:tcBorders>
          </w:tcPr>
          <w:p/>
        </w:tc>
        <w:tc>
          <w:tcPr>
            <w:tcW w:type="dxa" w:w="49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5.</w:t>
            </w:r>
            <w:r>
              <w:rPr>
                <w:sz w:val="21"/>
                <w:color w:val="000000"/>
              </w:rPr>
              <w:t>未按时完成或未规范开展工作每次扣5分；</w:t>
            </w:r>
          </w:p>
        </w:tc>
        <w:tc>
          <w:tcPr>
            <w:tcW w:type="dxa" w:w="1075"/>
            <w:vMerge/>
            <w:tcBorders>
              <w:top w:val="none" w:color="000000" w:sz="4"/>
              <w:left w:val="none" w:color="000000" w:sz="4"/>
              <w:bottom w:val="single" w:color="000000" w:sz="4"/>
              <w:right w:val="single" w:color="000000" w:sz="4"/>
            </w:tcBorders>
          </w:tcPr>
          <w:p/>
        </w:tc>
        <w:tc>
          <w:tcPr>
            <w:tcW w:type="dxa" w:w="744"/>
            <w:vMerge/>
            <w:tcBorders>
              <w:top w:val="none" w:color="000000" w:sz="4"/>
              <w:left w:val="none" w:color="000000" w:sz="4"/>
              <w:bottom w:val="single" w:color="000000" w:sz="4"/>
              <w:right w:val="single" w:color="000000" w:sz="4"/>
            </w:tcBorders>
          </w:tcPr>
          <w:p/>
        </w:tc>
      </w:tr>
      <w:tr>
        <w:tc>
          <w:tcPr>
            <w:tcW w:type="dxa" w:w="661"/>
            <w:vMerge/>
            <w:tcBorders>
              <w:top w:val="none" w:color="000000" w:sz="4"/>
              <w:left w:val="single" w:color="000000" w:sz="4"/>
              <w:bottom w:val="single" w:color="000000" w:sz="4"/>
              <w:right w:val="single" w:color="000000" w:sz="4"/>
            </w:tcBorders>
          </w:tcPr>
          <w:p/>
        </w:tc>
        <w:tc>
          <w:tcPr>
            <w:tcW w:type="dxa" w:w="496"/>
            <w:vMerge/>
            <w:tcBorders>
              <w:top w:val="none" w:color="000000" w:sz="4"/>
              <w:left w:val="none" w:color="000000" w:sz="4"/>
              <w:bottom w:val="single" w:color="000000" w:sz="4"/>
              <w:right w:val="single" w:color="000000" w:sz="4"/>
            </w:tcBorders>
          </w:tcPr>
          <w:p/>
        </w:tc>
        <w:tc>
          <w:tcPr>
            <w:tcW w:type="dxa" w:w="49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6.</w:t>
            </w:r>
            <w:r>
              <w:rPr>
                <w:sz w:val="21"/>
                <w:color w:val="000000"/>
              </w:rPr>
              <w:t>登革热疫情处置出动人员少于10人或物资不全每人每项扣5分；</w:t>
            </w:r>
          </w:p>
        </w:tc>
        <w:tc>
          <w:tcPr>
            <w:tcW w:type="dxa" w:w="1075"/>
            <w:vMerge/>
            <w:tcBorders>
              <w:top w:val="none" w:color="000000" w:sz="4"/>
              <w:left w:val="none" w:color="000000" w:sz="4"/>
              <w:bottom w:val="single" w:color="000000" w:sz="4"/>
              <w:right w:val="single" w:color="000000" w:sz="4"/>
            </w:tcBorders>
          </w:tcPr>
          <w:p/>
        </w:tc>
        <w:tc>
          <w:tcPr>
            <w:tcW w:type="dxa" w:w="744"/>
            <w:vMerge/>
            <w:tcBorders>
              <w:top w:val="none" w:color="000000" w:sz="4"/>
              <w:left w:val="none" w:color="000000" w:sz="4"/>
              <w:bottom w:val="single" w:color="000000" w:sz="4"/>
              <w:right w:val="single" w:color="000000" w:sz="4"/>
            </w:tcBorders>
          </w:tcPr>
          <w:p/>
        </w:tc>
      </w:tr>
      <w:tr>
        <w:tc>
          <w:tcPr>
            <w:tcW w:type="dxa" w:w="661"/>
            <w:vMerge/>
            <w:tcBorders>
              <w:top w:val="none" w:color="000000" w:sz="4"/>
              <w:left w:val="single" w:color="000000" w:sz="4"/>
              <w:bottom w:val="single" w:color="000000" w:sz="4"/>
              <w:right w:val="single" w:color="000000" w:sz="4"/>
            </w:tcBorders>
          </w:tcPr>
          <w:p/>
        </w:tc>
        <w:tc>
          <w:tcPr>
            <w:tcW w:type="dxa" w:w="496"/>
            <w:vMerge/>
            <w:tcBorders>
              <w:top w:val="none" w:color="000000" w:sz="4"/>
              <w:left w:val="none" w:color="000000" w:sz="4"/>
              <w:bottom w:val="single" w:color="000000" w:sz="4"/>
              <w:right w:val="single" w:color="000000" w:sz="4"/>
            </w:tcBorders>
          </w:tcPr>
          <w:p/>
        </w:tc>
        <w:tc>
          <w:tcPr>
            <w:tcW w:type="dxa" w:w="49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7.</w:t>
            </w:r>
            <w:r>
              <w:rPr>
                <w:sz w:val="21"/>
                <w:color w:val="000000"/>
              </w:rPr>
              <w:t>消杀药物为该区域中、高抗卫生杀虫剂扣10分；</w:t>
            </w:r>
          </w:p>
        </w:tc>
        <w:tc>
          <w:tcPr>
            <w:tcW w:type="dxa" w:w="1075"/>
            <w:vMerge/>
            <w:tcBorders>
              <w:top w:val="none" w:color="000000" w:sz="4"/>
              <w:left w:val="none" w:color="000000" w:sz="4"/>
              <w:bottom w:val="single" w:color="000000" w:sz="4"/>
              <w:right w:val="single" w:color="000000" w:sz="4"/>
            </w:tcBorders>
          </w:tcPr>
          <w:p/>
        </w:tc>
        <w:tc>
          <w:tcPr>
            <w:tcW w:type="dxa" w:w="744"/>
            <w:vMerge/>
            <w:tcBorders>
              <w:top w:val="none" w:color="000000" w:sz="4"/>
              <w:left w:val="none" w:color="000000" w:sz="4"/>
              <w:bottom w:val="single" w:color="000000" w:sz="4"/>
              <w:right w:val="single" w:color="000000" w:sz="4"/>
            </w:tcBorders>
          </w:tcPr>
          <w:p/>
        </w:tc>
      </w:tr>
      <w:tr>
        <w:tc>
          <w:tcPr>
            <w:tcW w:type="dxa" w:w="661"/>
            <w:vMerge/>
            <w:tcBorders>
              <w:top w:val="none" w:color="000000" w:sz="4"/>
              <w:left w:val="single" w:color="000000" w:sz="4"/>
              <w:bottom w:val="single" w:color="000000" w:sz="4"/>
              <w:right w:val="single" w:color="000000" w:sz="4"/>
            </w:tcBorders>
          </w:tcPr>
          <w:p/>
        </w:tc>
        <w:tc>
          <w:tcPr>
            <w:tcW w:type="dxa" w:w="496"/>
            <w:vMerge/>
            <w:tcBorders>
              <w:top w:val="none" w:color="000000" w:sz="4"/>
              <w:left w:val="none" w:color="000000" w:sz="4"/>
              <w:bottom w:val="single" w:color="000000" w:sz="4"/>
              <w:right w:val="single" w:color="000000" w:sz="4"/>
            </w:tcBorders>
          </w:tcPr>
          <w:p/>
        </w:tc>
        <w:tc>
          <w:tcPr>
            <w:tcW w:type="dxa" w:w="49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8.</w:t>
            </w:r>
            <w:r>
              <w:rPr>
                <w:sz w:val="21"/>
                <w:color w:val="000000"/>
              </w:rPr>
              <w:t>登革热疫情处置，出动消杀器械少于5台超低容量喷雾器、2台常量喷雾器，或使用药物剂型不符合要求每项扣5分；</w:t>
            </w:r>
          </w:p>
        </w:tc>
        <w:tc>
          <w:tcPr>
            <w:tcW w:type="dxa" w:w="1075"/>
            <w:vMerge/>
            <w:tcBorders>
              <w:top w:val="none" w:color="000000" w:sz="4"/>
              <w:left w:val="none" w:color="000000" w:sz="4"/>
              <w:bottom w:val="single" w:color="000000" w:sz="4"/>
              <w:right w:val="single" w:color="000000" w:sz="4"/>
            </w:tcBorders>
          </w:tcPr>
          <w:p/>
        </w:tc>
        <w:tc>
          <w:tcPr>
            <w:tcW w:type="dxa" w:w="744"/>
            <w:vMerge/>
            <w:tcBorders>
              <w:top w:val="none" w:color="000000" w:sz="4"/>
              <w:left w:val="none" w:color="000000" w:sz="4"/>
              <w:bottom w:val="single" w:color="000000" w:sz="4"/>
              <w:right w:val="single" w:color="000000" w:sz="4"/>
            </w:tcBorders>
          </w:tcPr>
          <w:p/>
        </w:tc>
      </w:tr>
      <w:tr>
        <w:tc>
          <w:tcPr>
            <w:tcW w:type="dxa" w:w="661"/>
            <w:vMerge/>
            <w:tcBorders>
              <w:top w:val="none" w:color="000000" w:sz="4"/>
              <w:left w:val="single" w:color="000000" w:sz="4"/>
              <w:bottom w:val="single" w:color="000000" w:sz="4"/>
              <w:right w:val="single" w:color="000000" w:sz="4"/>
            </w:tcBorders>
          </w:tcPr>
          <w:p/>
        </w:tc>
        <w:tc>
          <w:tcPr>
            <w:tcW w:type="dxa" w:w="496"/>
            <w:vMerge/>
            <w:tcBorders>
              <w:top w:val="none" w:color="000000" w:sz="4"/>
              <w:left w:val="none" w:color="000000" w:sz="4"/>
              <w:bottom w:val="single" w:color="000000" w:sz="4"/>
              <w:right w:val="single" w:color="000000" w:sz="4"/>
            </w:tcBorders>
          </w:tcPr>
          <w:p/>
        </w:tc>
        <w:tc>
          <w:tcPr>
            <w:tcW w:type="dxa" w:w="49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9.</w:t>
            </w:r>
            <w:r>
              <w:rPr>
                <w:sz w:val="21"/>
                <w:color w:val="000000"/>
              </w:rPr>
              <w:t>施药不规范（包括喷杀时间、喷杀半径、遗漏死角、药剂种类、施药剂量、用药方法、风速风向）每项扣5分；</w:t>
            </w:r>
          </w:p>
        </w:tc>
        <w:tc>
          <w:tcPr>
            <w:tcW w:type="dxa" w:w="1075"/>
            <w:vMerge/>
            <w:tcBorders>
              <w:top w:val="none" w:color="000000" w:sz="4"/>
              <w:left w:val="none" w:color="000000" w:sz="4"/>
              <w:bottom w:val="single" w:color="000000" w:sz="4"/>
              <w:right w:val="single" w:color="000000" w:sz="4"/>
            </w:tcBorders>
          </w:tcPr>
          <w:p/>
        </w:tc>
        <w:tc>
          <w:tcPr>
            <w:tcW w:type="dxa" w:w="744"/>
            <w:vMerge/>
            <w:tcBorders>
              <w:top w:val="none" w:color="000000" w:sz="4"/>
              <w:left w:val="none" w:color="000000" w:sz="4"/>
              <w:bottom w:val="single" w:color="000000" w:sz="4"/>
              <w:right w:val="single" w:color="000000" w:sz="4"/>
            </w:tcBorders>
          </w:tcPr>
          <w:p/>
        </w:tc>
      </w:tr>
      <w:tr>
        <w:tc>
          <w:tcPr>
            <w:tcW w:type="dxa" w:w="661"/>
            <w:vMerge/>
            <w:tcBorders>
              <w:top w:val="none" w:color="000000" w:sz="4"/>
              <w:left w:val="single" w:color="000000" w:sz="4"/>
              <w:bottom w:val="single" w:color="000000" w:sz="4"/>
              <w:right w:val="single" w:color="000000" w:sz="4"/>
            </w:tcBorders>
          </w:tcPr>
          <w:p/>
        </w:tc>
        <w:tc>
          <w:tcPr>
            <w:tcW w:type="dxa" w:w="496"/>
            <w:vMerge/>
            <w:tcBorders>
              <w:top w:val="none" w:color="000000" w:sz="4"/>
              <w:left w:val="none" w:color="000000" w:sz="4"/>
              <w:bottom w:val="single" w:color="000000" w:sz="4"/>
              <w:right w:val="single" w:color="000000" w:sz="4"/>
            </w:tcBorders>
          </w:tcPr>
          <w:p/>
        </w:tc>
        <w:tc>
          <w:tcPr>
            <w:tcW w:type="dxa" w:w="49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10.</w:t>
            </w:r>
            <w:r>
              <w:rPr>
                <w:sz w:val="21"/>
                <w:color w:val="000000"/>
              </w:rPr>
              <w:t>施药过程中未主动询问有人的住户是否需要喷杀成蚊（重点对一楼住户及其花园）每户扣5分；</w:t>
            </w:r>
          </w:p>
        </w:tc>
        <w:tc>
          <w:tcPr>
            <w:tcW w:type="dxa" w:w="1075"/>
            <w:vMerge/>
            <w:tcBorders>
              <w:top w:val="none" w:color="000000" w:sz="4"/>
              <w:left w:val="none" w:color="000000" w:sz="4"/>
              <w:bottom w:val="single" w:color="000000" w:sz="4"/>
              <w:right w:val="single" w:color="000000" w:sz="4"/>
            </w:tcBorders>
          </w:tcPr>
          <w:p/>
        </w:tc>
        <w:tc>
          <w:tcPr>
            <w:tcW w:type="dxa" w:w="744"/>
            <w:vMerge/>
            <w:tcBorders>
              <w:top w:val="none" w:color="000000" w:sz="4"/>
              <w:left w:val="none" w:color="000000" w:sz="4"/>
              <w:bottom w:val="single" w:color="000000" w:sz="4"/>
              <w:right w:val="single" w:color="000000" w:sz="4"/>
            </w:tcBorders>
          </w:tcPr>
          <w:p/>
        </w:tc>
      </w:tr>
      <w:tr>
        <w:tc>
          <w:tcPr>
            <w:tcW w:type="dxa" w:w="661"/>
            <w:vMerge/>
            <w:tcBorders>
              <w:top w:val="none" w:color="000000" w:sz="4"/>
              <w:left w:val="single" w:color="000000" w:sz="4"/>
              <w:bottom w:val="single" w:color="000000" w:sz="4"/>
              <w:right w:val="single" w:color="000000" w:sz="4"/>
            </w:tcBorders>
          </w:tcPr>
          <w:p/>
        </w:tc>
        <w:tc>
          <w:tcPr>
            <w:tcW w:type="dxa" w:w="496"/>
            <w:vMerge/>
            <w:tcBorders>
              <w:top w:val="none" w:color="000000" w:sz="4"/>
              <w:left w:val="none" w:color="000000" w:sz="4"/>
              <w:bottom w:val="single" w:color="000000" w:sz="4"/>
              <w:right w:val="single" w:color="000000" w:sz="4"/>
            </w:tcBorders>
          </w:tcPr>
          <w:p/>
        </w:tc>
        <w:tc>
          <w:tcPr>
            <w:tcW w:type="dxa" w:w="49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11.</w:t>
            </w:r>
            <w:r>
              <w:rPr>
                <w:sz w:val="21"/>
              </w:rPr>
              <w:t>白纹伊蚊</w:t>
            </w:r>
            <w:r>
              <w:rPr>
                <w:sz w:val="21"/>
                <w:color w:val="000000"/>
              </w:rPr>
              <w:t>成蚊密度下降率不低于80%，扣10分。</w:t>
            </w:r>
          </w:p>
        </w:tc>
        <w:tc>
          <w:tcPr>
            <w:tcW w:type="dxa" w:w="1075"/>
            <w:vMerge/>
            <w:tcBorders>
              <w:top w:val="none" w:color="000000" w:sz="4"/>
              <w:left w:val="none" w:color="000000" w:sz="4"/>
              <w:bottom w:val="single" w:color="000000" w:sz="4"/>
              <w:right w:val="single" w:color="000000" w:sz="4"/>
            </w:tcBorders>
          </w:tcPr>
          <w:p/>
        </w:tc>
        <w:tc>
          <w:tcPr>
            <w:tcW w:type="dxa" w:w="744"/>
            <w:vMerge/>
            <w:tcBorders>
              <w:top w:val="none" w:color="000000" w:sz="4"/>
              <w:left w:val="none" w:color="000000" w:sz="4"/>
              <w:bottom w:val="single" w:color="000000" w:sz="4"/>
              <w:right w:val="single" w:color="000000" w:sz="4"/>
            </w:tcBorders>
          </w:tcPr>
          <w:p/>
        </w:tc>
      </w:tr>
      <w:tr>
        <w:tc>
          <w:tcPr>
            <w:tcW w:type="dxa" w:w="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相关资料</w:t>
            </w:r>
          </w:p>
        </w:tc>
        <w:tc>
          <w:tcPr>
            <w:tcW w:type="dxa" w:w="4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w:t>
            </w:r>
          </w:p>
        </w:tc>
        <w:tc>
          <w:tcPr>
            <w:tcW w:type="dxa" w:w="49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1.</w:t>
            </w:r>
            <w:r>
              <w:rPr>
                <w:sz w:val="21"/>
                <w:color w:val="000000"/>
              </w:rPr>
              <w:t>未按时报送工作计划、总结、台账的每项扣10分；</w:t>
            </w:r>
          </w:p>
        </w:tc>
        <w:tc>
          <w:tcPr>
            <w:tcW w:type="dxa" w:w="10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61"/>
            <w:vMerge/>
            <w:tcBorders>
              <w:top w:val="none" w:color="000000" w:sz="4"/>
              <w:left w:val="single" w:color="000000" w:sz="4"/>
              <w:bottom w:val="single" w:color="000000" w:sz="4"/>
              <w:right w:val="single" w:color="000000" w:sz="4"/>
            </w:tcBorders>
          </w:tcPr>
          <w:p/>
        </w:tc>
        <w:tc>
          <w:tcPr>
            <w:tcW w:type="dxa" w:w="496"/>
            <w:vMerge/>
            <w:tcBorders>
              <w:top w:val="none" w:color="000000" w:sz="4"/>
              <w:left w:val="none" w:color="000000" w:sz="4"/>
              <w:bottom w:val="single" w:color="000000" w:sz="4"/>
              <w:right w:val="single" w:color="000000" w:sz="4"/>
            </w:tcBorders>
          </w:tcPr>
          <w:p/>
        </w:tc>
        <w:tc>
          <w:tcPr>
            <w:tcW w:type="dxa" w:w="49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2.</w:t>
            </w:r>
            <w:r>
              <w:rPr>
                <w:sz w:val="21"/>
                <w:color w:val="000000"/>
              </w:rPr>
              <w:t>团队有关培训、考勤或考评记录缺失每项扣5分；</w:t>
            </w:r>
          </w:p>
        </w:tc>
        <w:tc>
          <w:tcPr>
            <w:tcW w:type="dxa" w:w="1075"/>
            <w:vMerge/>
            <w:tcBorders>
              <w:top w:val="none" w:color="000000" w:sz="4"/>
              <w:left w:val="none" w:color="000000" w:sz="4"/>
              <w:bottom w:val="single" w:color="000000" w:sz="4"/>
              <w:right w:val="single" w:color="000000" w:sz="4"/>
            </w:tcBorders>
          </w:tcPr>
          <w:p/>
        </w:tc>
        <w:tc>
          <w:tcPr>
            <w:tcW w:type="dxa" w:w="744"/>
            <w:vMerge/>
            <w:tcBorders>
              <w:top w:val="none" w:color="000000" w:sz="4"/>
              <w:left w:val="none" w:color="000000" w:sz="4"/>
              <w:bottom w:val="single" w:color="000000" w:sz="4"/>
              <w:right w:val="single" w:color="000000" w:sz="4"/>
            </w:tcBorders>
          </w:tcPr>
          <w:p/>
        </w:tc>
      </w:tr>
      <w:tr>
        <w:tc>
          <w:tcPr>
            <w:tcW w:type="dxa" w:w="661"/>
            <w:vMerge/>
            <w:tcBorders>
              <w:top w:val="none" w:color="000000" w:sz="4"/>
              <w:left w:val="single" w:color="000000" w:sz="4"/>
              <w:bottom w:val="single" w:color="000000" w:sz="4"/>
              <w:right w:val="single" w:color="000000" w:sz="4"/>
            </w:tcBorders>
          </w:tcPr>
          <w:p/>
        </w:tc>
        <w:tc>
          <w:tcPr>
            <w:tcW w:type="dxa" w:w="496"/>
            <w:vMerge/>
            <w:tcBorders>
              <w:top w:val="none" w:color="000000" w:sz="4"/>
              <w:left w:val="none" w:color="000000" w:sz="4"/>
              <w:bottom w:val="single" w:color="000000" w:sz="4"/>
              <w:right w:val="single" w:color="000000" w:sz="4"/>
            </w:tcBorders>
          </w:tcPr>
          <w:p/>
        </w:tc>
        <w:tc>
          <w:tcPr>
            <w:tcW w:type="dxa" w:w="49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3.</w:t>
            </w:r>
            <w:r>
              <w:rPr>
                <w:sz w:val="21"/>
                <w:color w:val="000000"/>
              </w:rPr>
              <w:t>无季度工作总结、图片和施工记录等每项扣3分。</w:t>
            </w:r>
          </w:p>
        </w:tc>
        <w:tc>
          <w:tcPr>
            <w:tcW w:type="dxa" w:w="1075"/>
            <w:vMerge/>
            <w:tcBorders>
              <w:top w:val="none" w:color="000000" w:sz="4"/>
              <w:left w:val="none" w:color="000000" w:sz="4"/>
              <w:bottom w:val="single" w:color="000000" w:sz="4"/>
              <w:right w:val="single" w:color="000000" w:sz="4"/>
            </w:tcBorders>
          </w:tcPr>
          <w:p/>
        </w:tc>
        <w:tc>
          <w:tcPr>
            <w:tcW w:type="dxa" w:w="744"/>
            <w:vMerge/>
            <w:tcBorders>
              <w:top w:val="none" w:color="000000" w:sz="4"/>
              <w:left w:val="none" w:color="000000" w:sz="4"/>
              <w:bottom w:val="single" w:color="000000" w:sz="4"/>
              <w:right w:val="single" w:color="000000" w:sz="4"/>
            </w:tcBorders>
          </w:tcP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合计</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100</w:t>
            </w:r>
          </w:p>
        </w:tc>
        <w:tc>
          <w:tcPr>
            <w:tcW w:type="dxa" w:w="49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935"/>
            <w:gridSpan w:val="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注：得分等于该项分值减去该项扣分，扣完即止。</w:t>
            </w:r>
          </w:p>
        </w:tc>
      </w:tr>
      <w:tr>
        <w:tc>
          <w:tcPr>
            <w:tcW w:type="dxa" w:w="7935"/>
            <w:gridSpan w:val="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考核单位：    考核人：       考核时间：       被考核单位签章：</w:t>
            </w:r>
          </w:p>
        </w:tc>
      </w:tr>
    </w:tbl>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440601-2025-02255</w:t>
      </w:r>
    </w:p>
    <w:p>
      <w:pPr>
        <w:pStyle w:val="null3"/>
        <w:jc w:val="center"/>
        <w:outlineLvl w:val="3"/>
      </w:pPr>
      <w:r>
        <w:rPr>
          <w:sz w:val="24"/>
          <w:b/>
        </w:rPr>
        <w:t>采购项目编号：</w:t>
      </w:r>
      <w:r>
        <w:rPr>
          <w:sz w:val="24"/>
          <w:b/>
        </w:rPr>
        <w:t>GDHH202522C</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广东海虹招标代理有限公司</w:t>
      </w:r>
    </w:p>
    <w:p>
      <w:pPr>
        <w:pStyle w:val="null3"/>
        <w:ind w:firstLine="480"/>
      </w:pPr>
      <w:r>
        <w:rPr/>
        <w:t xml:space="preserve"> 你方组织的</w:t>
      </w:r>
      <w:r>
        <w:rPr>
          <w:u w:val="single"/>
        </w:rPr>
        <w:t>“</w:t>
      </w:r>
      <w:r>
        <w:rPr>
          <w:u w:val="single"/>
        </w:rPr>
        <w:t>2025年下半年佛山市登革热疫点（或高风险区域）应急消杀社会化服务项目(四次)</w:t>
      </w:r>
      <w:r>
        <w:rPr>
          <w:u w:val="single"/>
        </w:rPr>
        <w:t>”</w:t>
      </w:r>
      <w:r>
        <w:rPr/>
        <w:t>项目的竞争性磋商[采购项目编号为：</w:t>
      </w:r>
      <w:r>
        <w:rPr>
          <w:u w:val="single"/>
        </w:rPr>
        <w:t>GDHH202522C</w:t>
      </w:r>
      <w:r>
        <w:rPr/>
        <w:t>]，我方愿参与响应。</w:t>
      </w:r>
    </w:p>
    <w:p>
      <w:pPr>
        <w:pStyle w:val="null3"/>
        <w:ind w:firstLine="480"/>
      </w:pPr>
      <w:r>
        <w:rPr/>
        <w:t>我方确认收到贵方提供的</w:t>
      </w:r>
      <w:r>
        <w:rPr>
          <w:u w:val="single"/>
        </w:rPr>
        <w:t>“</w:t>
      </w:r>
      <w:r>
        <w:rPr>
          <w:u w:val="single"/>
        </w:rPr>
        <w:t>2025年下半年佛山市登革热疫点（或高风险区域）应急消杀社会化服务项目(四次)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广东海虹招标代理有限公司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2025年下半年佛山市登革热疫点（或高风险区域）应急消杀社会化服务项目(四次)</w:t>
      </w:r>
      <w:r>
        <w:rPr/>
        <w:t>”项目采购[采购项目编号为</w:t>
      </w:r>
      <w:r>
        <w:rPr/>
        <w:t>GDHH202522C</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佛山市疾病预防控制中心（佛山市卫生监督所）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广东海虹招标代理有限公司</w:t>
      </w:r>
    </w:p>
    <w:p>
      <w:pPr>
        <w:pStyle w:val="null3"/>
        <w:ind w:firstLine="480"/>
      </w:pPr>
      <w:r>
        <w:rPr/>
        <w:t>我单位参加贵公司组织的</w:t>
      </w:r>
      <w:r>
        <w:rPr/>
        <w:t>2025年下半年佛山市登革热疫点（或高风险区域）应急消杀社会化服务项目(四次)</w:t>
      </w:r>
      <w:r>
        <w:rPr/>
        <w:t>（采购项目编号：</w:t>
      </w:r>
      <w:r>
        <w:rPr/>
        <w:t>GDHH202522C</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广东海虹招标代理有限公司</w:t>
      </w:r>
    </w:p>
    <w:p>
      <w:pPr>
        <w:pStyle w:val="null3"/>
        <w:ind w:firstLine="480"/>
      </w:pPr>
      <w:r>
        <w:rPr/>
        <w:t>我单位已登记并准备参与“</w:t>
      </w:r>
      <w:r>
        <w:rPr/>
        <w:t>2025年下半年佛山市登革热疫点（或高风险区域）应急消杀社会化服务项目(四次)</w:t>
      </w:r>
      <w:r>
        <w:rPr/>
        <w:t>”项目（采购项目编号：</w:t>
      </w:r>
      <w:r>
        <w:rPr/>
        <w:t>GDHH202522C</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