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8E39">
      <w:pPr>
        <w:numPr>
          <w:numId w:val="0"/>
        </w:num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  <w:lang w:eastAsia="zh-CN"/>
        </w:rPr>
      </w:pPr>
      <w:bookmarkStart w:id="0" w:name="_Toc22605"/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采购需求</w:t>
      </w:r>
      <w:bookmarkEnd w:id="0"/>
    </w:p>
    <w:p w14:paraId="03DF4413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1241C1B3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本采购需求中提出的服务方案仅为参考，如无明确限制，投标人可以进行优化，提供满足采购人实际需要的更优（或者性能实质上不低于的）服务方案，且此方案须经评标委员会评审认可。</w:t>
      </w:r>
    </w:p>
    <w:p w14:paraId="4FD8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r>
        <w:rPr>
          <w:rFonts w:ascii="宋体" w:hAnsi="宋体" w:eastAsia="宋体" w:cs="宋体"/>
          <w:sz w:val="24"/>
          <w:szCs w:val="24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bookmarkStart w:id="9" w:name="_GoBack"/>
      <w:bookmarkEnd w:id="9"/>
    </w:p>
    <w:p w14:paraId="7141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6A74C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04F4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3.如采购人允许采用分包方式履行合同的，应当明确可以分包履行的相关内容。</w:t>
      </w:r>
    </w:p>
    <w:p w14:paraId="1F62C1DA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1" w:name="_Toc4148"/>
      <w:bookmarkStart w:id="2" w:name="_Toc21798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1"/>
      <w:bookmarkEnd w:id="2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2F82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4336605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14E50CA3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6" w:type="pct"/>
            <w:vAlign w:val="center"/>
          </w:tcPr>
          <w:p w14:paraId="019B6E14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7DBF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46429B5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2A449210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484" w:type="dxa"/>
            <w:vAlign w:val="top"/>
          </w:tcPr>
          <w:p w14:paraId="7070C22B">
            <w:pPr>
              <w:pStyle w:val="8"/>
              <w:spacing w:before="117" w:line="336" w:lineRule="auto"/>
              <w:ind w:left="114" w:leftChars="0" w:right="106" w:rightChars="0"/>
              <w:jc w:val="both"/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  <w:t>合同生效以及具备预付款支付条件后5个工作日支付合同价40%的预付款，白蚁普查任务完成，白蚁防治项目竣工验收合格后支付至合同价的 100%。</w:t>
            </w:r>
          </w:p>
        </w:tc>
      </w:tr>
      <w:tr w14:paraId="0433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7AA016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556258D4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5484" w:type="dxa"/>
            <w:vAlign w:val="top"/>
          </w:tcPr>
          <w:p w14:paraId="64B170D5">
            <w:pPr>
              <w:pStyle w:val="8"/>
              <w:spacing w:before="117" w:line="336" w:lineRule="auto"/>
              <w:ind w:left="114" w:leftChars="0" w:right="106" w:rightChars="0"/>
              <w:jc w:val="both"/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  <w:t>定远县境内，采购人指定地点</w:t>
            </w:r>
          </w:p>
        </w:tc>
      </w:tr>
      <w:tr w14:paraId="44EC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DAE7AE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4131BA9E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5484" w:type="dxa"/>
            <w:vAlign w:val="top"/>
          </w:tcPr>
          <w:p w14:paraId="79899FFB">
            <w:pPr>
              <w:pStyle w:val="8"/>
              <w:spacing w:before="117" w:line="336" w:lineRule="auto"/>
              <w:ind w:left="114" w:leftChars="0" w:right="106" w:rightChars="0"/>
              <w:jc w:val="both"/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@仿宋_GB2312"/>
                <w:b w:val="0"/>
                <w:bCs/>
                <w:color w:val="auto"/>
                <w:kern w:val="0"/>
                <w:sz w:val="24"/>
                <w:szCs w:val="28"/>
                <w:highlight w:val="none"/>
                <w:lang w:val="en-US" w:eastAsia="zh-CN" w:bidi="ar-SA"/>
              </w:rPr>
              <w:t>自签订合同之日起至出具完整的检查成果。</w:t>
            </w:r>
          </w:p>
        </w:tc>
      </w:tr>
      <w:tr w14:paraId="173B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CA8E3B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 w14:paraId="4C866BAC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6" w:type="pct"/>
            <w:vAlign w:val="center"/>
          </w:tcPr>
          <w:p w14:paraId="2B2A953C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定远县2025年中央财政水利发展资金小型水库白蚁普查项目</w:t>
            </w:r>
          </w:p>
          <w:p w14:paraId="4D28D1F0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所属行业：其他未列明的行业</w:t>
            </w:r>
          </w:p>
        </w:tc>
      </w:tr>
      <w:tr w14:paraId="65AF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EEE383D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5</w:t>
            </w:r>
          </w:p>
        </w:tc>
        <w:tc>
          <w:tcPr>
            <w:tcW w:w="1192" w:type="pct"/>
            <w:vAlign w:val="center"/>
          </w:tcPr>
          <w:p w14:paraId="69C0AEB2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……</w:t>
            </w:r>
          </w:p>
        </w:tc>
        <w:tc>
          <w:tcPr>
            <w:tcW w:w="3216" w:type="pct"/>
            <w:vAlign w:val="center"/>
          </w:tcPr>
          <w:p w14:paraId="0ED597AC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………………</w:t>
            </w:r>
          </w:p>
        </w:tc>
      </w:tr>
    </w:tbl>
    <w:p w14:paraId="695F8A58">
      <w:pPr>
        <w:numPr>
          <w:ilvl w:val="0"/>
          <w:numId w:val="0"/>
        </w:numPr>
        <w:spacing w:line="360" w:lineRule="auto"/>
        <w:outlineLvl w:val="9"/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</w:pPr>
      <w:bookmarkStart w:id="3" w:name="_Toc16543"/>
    </w:p>
    <w:p w14:paraId="77D28BD4">
      <w:pPr>
        <w:numPr>
          <w:ilvl w:val="0"/>
          <w:numId w:val="1"/>
        </w:numPr>
        <w:spacing w:line="360" w:lineRule="auto"/>
        <w:ind w:firstLine="482" w:firstLineChars="200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bookmarkStart w:id="4" w:name="_Toc8753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项目概况</w:t>
      </w:r>
      <w:bookmarkEnd w:id="3"/>
      <w:bookmarkEnd w:id="4"/>
    </w:p>
    <w:p w14:paraId="2A59BC2C">
      <w:pPr>
        <w:numPr>
          <w:ilvl w:val="0"/>
          <w:numId w:val="0"/>
        </w:numPr>
        <w:spacing w:line="360" w:lineRule="auto"/>
        <w:outlineLvl w:val="1"/>
        <w:rPr>
          <w:rFonts w:hint="default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定远县2025年中央财政水利发展资金小型水库白蚁普查项目</w:t>
      </w:r>
    </w:p>
    <w:p w14:paraId="71765921">
      <w:pPr>
        <w:pStyle w:val="2"/>
        <w:numPr>
          <w:ilvl w:val="0"/>
          <w:numId w:val="0"/>
        </w:numPr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</w:p>
    <w:p w14:paraId="40417EB4">
      <w:pPr>
        <w:numPr>
          <w:ilvl w:val="0"/>
          <w:numId w:val="0"/>
        </w:numPr>
        <w:spacing w:line="360" w:lineRule="auto"/>
        <w:ind w:left="437" w:leftChars="0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bookmarkStart w:id="5" w:name="_Toc13016"/>
      <w:bookmarkStart w:id="6" w:name="_Toc27920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三、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服务需求</w:t>
      </w:r>
      <w:bookmarkEnd w:id="5"/>
      <w:bookmarkEnd w:id="6"/>
    </w:p>
    <w:p w14:paraId="7E8CA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left="479" w:leftChars="228" w:firstLine="0" w:firstLineChars="0"/>
        <w:textAlignment w:val="auto"/>
        <w:rPr>
          <w:rFonts w:hint="default" w:eastAsia="@微软简标宋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定远县2025年中央财政水利发展资金小型水库白蚁普查项目，对全县347座小型水库和11.2公里炉桥圩进行白蚁检查，进行 2 轮普查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lang w:val="en-US" w:eastAsia="zh-CN"/>
        </w:rPr>
        <w:t>(在春季和秋季各检查一次)，</w:t>
      </w:r>
      <w:r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规范整理各项检查记录，梳理检查台账，形成检查报告，做好资料整编工作等，并按要求在白蚁系统中填报检查成果。普查标准：按《水利工程白蚁防治工作指导意见》和《安徽省2024年度水利工程白蚁等害堤动物防治工作实施方案》要求。</w:t>
      </w:r>
    </w:p>
    <w:p w14:paraId="0E025578">
      <w:pPr>
        <w:numPr>
          <w:ilvl w:val="0"/>
          <w:numId w:val="0"/>
        </w:numPr>
        <w:spacing w:line="360" w:lineRule="auto"/>
        <w:ind w:left="437" w:leftChars="0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bookmarkStart w:id="7" w:name="_Toc16414"/>
      <w:bookmarkStart w:id="8" w:name="_Toc20717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四、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报价要求</w:t>
      </w:r>
      <w:bookmarkEnd w:id="7"/>
      <w:bookmarkEnd w:id="8"/>
    </w:p>
    <w:p w14:paraId="3D40C064">
      <w:pPr>
        <w:pStyle w:val="2"/>
        <w:spacing w:before="184" w:line="289" w:lineRule="auto"/>
        <w:ind w:left="479" w:leftChars="228" w:right="617" w:firstLine="480" w:firstLineChars="200"/>
        <w:outlineLvl w:val="1"/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/>
          <w:color w:val="auto"/>
          <w:kern w:val="0"/>
          <w:sz w:val="24"/>
          <w:szCs w:val="28"/>
          <w:highlight w:val="none"/>
          <w:lang w:val="en-US" w:eastAsia="zh-CN" w:bidi="ar-SA"/>
        </w:rPr>
        <w:t>本项目最高限价 31万元，投标人报价不得超过此限价，否则投标文件无效。</w:t>
      </w:r>
    </w:p>
    <w:p w14:paraId="33EAEA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C5AD3"/>
    <w:multiLevelType w:val="singleLevel"/>
    <w:tmpl w:val="8F9C5A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2025-08-04T01:30:13Z</dcterms:created>
  <dc:creator>Administrator</dc:creator>
  <cp:lastModifiedBy>一薪一亿</cp:lastModifiedBy>
  <dcterms:modified xsi:type="dcterms:W3CDTF">2025-08-04T01:31:20Z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eyJoZGlkIjoiYjk3YjE2ZmQ3NDQ2YmQzZDRmNDZhNmJhNmIzZmNhMjEiLCJ1c2VySWQiOiIxMTczOTcyMDU4In0=</vt:lpwstr>
  </property>
  <property fmtid="{D5CDD505-2E9C-101B-9397-08002B2CF9AE}" pid="4" name="ICV">
    <vt:lpwstr>F1BEDF9E10DC4FF9B8DFA627FCC03B8B_12</vt:lpwstr>
  </property>
</Properties>
</file>