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9C85">
      <w:pPr>
        <w:widowControl w:val="0"/>
        <w:jc w:val="center"/>
        <w:outlineLvl w:val="0"/>
        <w:rPr>
          <w:rFonts w:ascii="宋体" w:hAnsi="宋体" w:cs="宋体"/>
          <w:color w:val="000000" w:themeColor="text1"/>
          <w:highlight w:val="none"/>
          <w14:textFill>
            <w14:solidFill>
              <w14:schemeClr w14:val="tx1"/>
            </w14:solidFill>
          </w14:textFill>
        </w:rPr>
      </w:pPr>
      <w:bookmarkStart w:id="0" w:name="_Toc508110170"/>
      <w:bookmarkStart w:id="1" w:name="_Toc331341741"/>
      <w:bookmarkStart w:id="2" w:name="_Toc66736792"/>
      <w:bookmarkStart w:id="3" w:name="_Toc66457104"/>
      <w:bookmarkStart w:id="4" w:name="_Toc331427646"/>
      <w:bookmarkStart w:id="5" w:name="_Toc508109881"/>
      <w:bookmarkStart w:id="6" w:name="_Toc13920"/>
      <w:bookmarkStart w:id="7" w:name="_Toc6729"/>
      <w:bookmarkStart w:id="191" w:name="_GoBack"/>
      <w:r>
        <w:rPr>
          <w:rFonts w:hint="eastAsia" w:ascii="宋体" w:hAnsi="宋体" w:cs="宋体"/>
          <w:b/>
          <w:bCs/>
          <w:color w:val="000000" w:themeColor="text1"/>
          <w:sz w:val="48"/>
          <w:szCs w:val="48"/>
          <w:highlight w:val="none"/>
          <w14:textFill>
            <w14:solidFill>
              <w14:schemeClr w14:val="tx1"/>
            </w14:solidFill>
          </w14:textFill>
        </w:rPr>
        <w:drawing>
          <wp:inline distT="0" distB="0" distL="114300" distR="114300">
            <wp:extent cx="6204585" cy="8519795"/>
            <wp:effectExtent l="0" t="0" r="13335" b="14605"/>
            <wp:docPr id="3" name="图片 3" descr="22cd167ef23ce72eb944176bbd29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cd167ef23ce72eb944176bbd29008c"/>
                    <pic:cNvPicPr>
                      <a:picLocks noChangeAspect="1"/>
                    </pic:cNvPicPr>
                  </pic:nvPicPr>
                  <pic:blipFill>
                    <a:blip r:embed="rId6"/>
                    <a:stretch>
                      <a:fillRect/>
                    </a:stretch>
                  </pic:blipFill>
                  <pic:spPr>
                    <a:xfrm>
                      <a:off x="0" y="0"/>
                      <a:ext cx="6204585" cy="8519795"/>
                    </a:xfrm>
                    <a:prstGeom prst="rect">
                      <a:avLst/>
                    </a:prstGeom>
                  </pic:spPr>
                </pic:pic>
              </a:graphicData>
            </a:graphic>
          </wp:inline>
        </w:drawing>
      </w:r>
      <w:bookmarkEnd w:id="191"/>
      <w:r>
        <w:rPr>
          <w:rFonts w:hint="eastAsia" w:ascii="宋体" w:hAnsi="宋体" w:cs="宋体"/>
          <w:b/>
          <w:bCs/>
          <w:color w:val="000000" w:themeColor="text1"/>
          <w:sz w:val="48"/>
          <w:szCs w:val="48"/>
          <w:highlight w:val="none"/>
          <w14:textFill>
            <w14:solidFill>
              <w14:schemeClr w14:val="tx1"/>
            </w14:solidFill>
          </w14:textFill>
        </w:rPr>
        <w:t xml:space="preserve">第一章  </w:t>
      </w:r>
      <w:bookmarkEnd w:id="0"/>
      <w:bookmarkEnd w:id="1"/>
      <w:bookmarkEnd w:id="2"/>
      <w:bookmarkEnd w:id="3"/>
      <w:bookmarkEnd w:id="4"/>
      <w:bookmarkEnd w:id="5"/>
      <w:bookmarkEnd w:id="6"/>
      <w:r>
        <w:rPr>
          <w:rFonts w:hint="eastAsia" w:ascii="宋体" w:hAnsi="宋体" w:cs="宋体"/>
          <w:b/>
          <w:bCs/>
          <w:color w:val="000000" w:themeColor="text1"/>
          <w:sz w:val="48"/>
          <w:szCs w:val="48"/>
          <w:highlight w:val="none"/>
          <w14:textFill>
            <w14:solidFill>
              <w14:schemeClr w14:val="tx1"/>
            </w14:solidFill>
          </w14:textFill>
        </w:rPr>
        <w:t>竞争性磋商公告</w:t>
      </w:r>
      <w:bookmarkEnd w:id="7"/>
    </w:p>
    <w:p w14:paraId="2053715F">
      <w:pPr>
        <w:pStyle w:val="2"/>
        <w:tabs>
          <w:tab w:val="left" w:pos="0"/>
          <w:tab w:val="left" w:pos="3165"/>
          <w:tab w:val="center" w:pos="4153"/>
        </w:tabs>
        <w:spacing w:line="360" w:lineRule="auto"/>
        <w:rPr>
          <w:rFonts w:ascii="宋体" w:hAnsi="宋体" w:eastAsia="宋体" w:cs="宋体"/>
          <w:color w:val="000000" w:themeColor="text1"/>
          <w:sz w:val="44"/>
          <w:highlight w:val="none"/>
          <w14:textFill>
            <w14:solidFill>
              <w14:schemeClr w14:val="tx1"/>
            </w14:solidFill>
          </w14:textFill>
        </w:rPr>
      </w:pPr>
      <w:bookmarkStart w:id="8" w:name="_Hlk162798357"/>
      <w:r>
        <w:rPr>
          <w:rFonts w:hint="eastAsia" w:ascii="宋体" w:hAnsi="宋体" w:eastAsia="宋体" w:cs="宋体"/>
          <w:color w:val="000000" w:themeColor="text1"/>
          <w:sz w:val="44"/>
          <w:highlight w:val="none"/>
          <w14:textFill>
            <w14:solidFill>
              <w14:schemeClr w14:val="tx1"/>
            </w14:solidFill>
          </w14:textFill>
        </w:rPr>
        <w:t>竞争性磋商公告</w:t>
      </w:r>
    </w:p>
    <w:p w14:paraId="2D79A184">
      <w:pPr>
        <w:pBdr>
          <w:top w:val="single" w:color="auto" w:sz="4" w:space="1"/>
          <w:left w:val="single" w:color="auto" w:sz="4" w:space="4"/>
          <w:bottom w:val="single" w:color="auto" w:sz="4" w:space="1"/>
          <w:right w:val="single" w:color="auto" w:sz="4" w:space="4"/>
        </w:pBdr>
        <w:spacing w:line="460" w:lineRule="exact"/>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065A2448">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60" w:lineRule="exact"/>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u w:val="single"/>
          <w:lang w:val="en-US" w:eastAsia="zh-CN"/>
          <w14:textFill>
            <w14:solidFill>
              <w14:schemeClr w14:val="tx1"/>
            </w14:solidFill>
          </w14:textFill>
        </w:rPr>
        <w:t>施甸县2025年水利工程白蚁等害堤动物防治项目</w:t>
      </w:r>
      <w:r>
        <w:rPr>
          <w:rFonts w:hint="eastAsia" w:ascii="宋体" w:hAnsi="宋体"/>
          <w:color w:val="000000" w:themeColor="text1"/>
          <w:sz w:val="24"/>
          <w:szCs w:val="24"/>
          <w:highlight w:val="none"/>
          <w14:textFill>
            <w14:solidFill>
              <w14:schemeClr w14:val="tx1"/>
            </w14:solidFill>
          </w14:textFill>
        </w:rPr>
        <w:t>的潜在</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应在</w:t>
      </w:r>
      <w:r>
        <w:rPr>
          <w:rFonts w:hint="eastAsia" w:ascii="宋体" w:hAnsi="宋体"/>
          <w:color w:val="000000" w:themeColor="text1"/>
          <w:sz w:val="24"/>
          <w:szCs w:val="24"/>
          <w:highlight w:val="none"/>
          <w:u w:val="single"/>
          <w:lang w:eastAsia="zh-CN"/>
          <w14:textFill>
            <w14:solidFill>
              <w14:schemeClr w14:val="tx1"/>
            </w14:solidFill>
          </w14:textFill>
        </w:rPr>
        <w:t>政府采购云平台（https://www.zcygov.cn）</w:t>
      </w:r>
      <w:r>
        <w:rPr>
          <w:rFonts w:hint="eastAsia" w:ascii="宋体" w:hAnsi="宋体"/>
          <w:color w:val="000000" w:themeColor="text1"/>
          <w:sz w:val="24"/>
          <w:szCs w:val="24"/>
          <w:highlight w:val="none"/>
          <w14:textFill>
            <w14:solidFill>
              <w14:schemeClr w14:val="tx1"/>
            </w14:solidFill>
          </w14:textFill>
        </w:rPr>
        <w:t>获取磋商文件，并于</w:t>
      </w:r>
      <w:r>
        <w:rPr>
          <w:rFonts w:hint="eastAsia" w:ascii="宋体" w:hAnsi="宋体"/>
          <w:color w:val="000000" w:themeColor="text1"/>
          <w:sz w:val="24"/>
          <w:szCs w:val="24"/>
          <w:highlight w:val="none"/>
          <w:u w:val="single"/>
          <w14:textFill>
            <w14:solidFill>
              <w14:schemeClr w14:val="tx1"/>
            </w14:solidFill>
          </w14:textFill>
        </w:rPr>
        <w:t>202</w:t>
      </w:r>
      <w:r>
        <w:rPr>
          <w:rFonts w:hint="eastAsia" w:ascii="宋体" w:hAnsi="宋体"/>
          <w:color w:val="000000" w:themeColor="text1"/>
          <w:sz w:val="24"/>
          <w:szCs w:val="24"/>
          <w:highlight w:val="none"/>
          <w:u w:val="single"/>
          <w:lang w:val="en-US" w:eastAsia="zh-CN"/>
          <w14:textFill>
            <w14:solidFill>
              <w14:schemeClr w14:val="tx1"/>
            </w14:solidFill>
          </w14:textFill>
        </w:rPr>
        <w:t>5</w:t>
      </w:r>
      <w:r>
        <w:rPr>
          <w:rFonts w:hint="eastAsia" w:ascii="宋体" w:hAnsi="宋体"/>
          <w:color w:val="000000" w:themeColor="text1"/>
          <w:sz w:val="24"/>
          <w:szCs w:val="24"/>
          <w:highlight w:val="none"/>
          <w:u w:val="single"/>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8</w:t>
      </w:r>
      <w:r>
        <w:rPr>
          <w:rFonts w:hint="eastAsia" w:ascii="宋体" w:hAnsi="宋体"/>
          <w:color w:val="000000" w:themeColor="text1"/>
          <w:sz w:val="24"/>
          <w:szCs w:val="24"/>
          <w:highlight w:val="none"/>
          <w:u w:val="singl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26</w:t>
      </w:r>
      <w:r>
        <w:rPr>
          <w:rFonts w:hint="eastAsia" w:ascii="宋体" w:hAnsi="宋体"/>
          <w:color w:val="000000" w:themeColor="text1"/>
          <w:sz w:val="24"/>
          <w:szCs w:val="24"/>
          <w:highlight w:val="none"/>
          <w:u w:val="singl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09</w:t>
      </w:r>
      <w:r>
        <w:rPr>
          <w:rFonts w:hint="eastAsia" w:ascii="宋体" w:hAnsi="宋体"/>
          <w:color w:val="000000" w:themeColor="text1"/>
          <w:sz w:val="24"/>
          <w:szCs w:val="24"/>
          <w:highlight w:val="none"/>
          <w:u w:val="single"/>
          <w14:textFill>
            <w14:solidFill>
              <w14:schemeClr w14:val="tx1"/>
            </w14:solidFill>
          </w14:textFill>
        </w:rPr>
        <w:t>时00分</w:t>
      </w:r>
      <w:r>
        <w:rPr>
          <w:rFonts w:hint="eastAsia" w:ascii="宋体" w:hAnsi="宋体"/>
          <w:bCs/>
          <w:color w:val="000000" w:themeColor="text1"/>
          <w:sz w:val="24"/>
          <w:szCs w:val="24"/>
          <w:highlight w:val="none"/>
          <w14:textFill>
            <w14:solidFill>
              <w14:schemeClr w14:val="tx1"/>
            </w14:solidFill>
          </w14:textFill>
        </w:rPr>
        <w:t>（北京时间</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lang w:val="en-US" w:eastAsia="zh-CN"/>
          <w14:textFill>
            <w14:solidFill>
              <w14:schemeClr w14:val="tx1"/>
            </w14:solidFill>
          </w14:textFill>
        </w:rPr>
        <w:t>具体时间以系统为准</w:t>
      </w:r>
      <w:r>
        <w:rPr>
          <w:rFonts w:hint="eastAsia" w:ascii="宋体" w:hAnsi="宋体"/>
          <w:bCs/>
          <w:color w:val="000000" w:themeColor="text1"/>
          <w:sz w:val="24"/>
          <w:szCs w:val="24"/>
          <w:highlight w:val="none"/>
          <w14:textFill>
            <w14:solidFill>
              <w14:schemeClr w14:val="tx1"/>
            </w14:solidFill>
          </w14:textFill>
        </w:rPr>
        <w:t>）前提交响应</w:t>
      </w:r>
      <w:r>
        <w:rPr>
          <w:rFonts w:ascii="宋体" w:hAnsi="宋体"/>
          <w:bCs/>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14:textFill>
            <w14:solidFill>
              <w14:schemeClr w14:val="tx1"/>
            </w14:solidFill>
          </w14:textFill>
        </w:rPr>
        <w:t>。</w:t>
      </w:r>
    </w:p>
    <w:bookmarkEnd w:id="8"/>
    <w:p w14:paraId="66FC3B36">
      <w:pPr>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一、项目基本情况</w:t>
      </w:r>
    </w:p>
    <w:p w14:paraId="6B9B7CA9">
      <w:pPr>
        <w:spacing w:line="360" w:lineRule="auto"/>
        <w:ind w:firstLine="480" w:firstLineChars="200"/>
        <w:rPr>
          <w:rFonts w:hint="eastAsia" w:ascii="宋体" w:hAnsi="宋体" w:cs="宋体"/>
          <w:b w:val="0"/>
          <w:bCs w:val="0"/>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1.项目编号：</w:t>
      </w:r>
      <w:r>
        <w:rPr>
          <w:rFonts w:hint="eastAsia" w:ascii="宋体" w:hAnsi="宋体" w:cs="宋体"/>
          <w:b w:val="0"/>
          <w:bCs w:val="0"/>
          <w:color w:val="000000" w:themeColor="text1"/>
          <w:highlight w:val="none"/>
          <w:lang w:val="en-US" w:eastAsia="zh-CN"/>
          <w14:textFill>
            <w14:solidFill>
              <w14:schemeClr w14:val="tx1"/>
            </w14:solidFill>
          </w14:textFill>
        </w:rPr>
        <w:t>YNBY-2025-13</w:t>
      </w:r>
    </w:p>
    <w:p w14:paraId="5C0E2110">
      <w:pPr>
        <w:pageBreakBefore w:val="0"/>
        <w:kinsoku/>
        <w:overflowPunct/>
        <w:topLinePunct w:val="0"/>
        <w:autoSpaceDE/>
        <w:autoSpaceDN/>
        <w:bidi w:val="0"/>
        <w:adjustRightInd/>
        <w:spacing w:line="480" w:lineRule="auto"/>
        <w:ind w:firstLine="480" w:firstLineChars="200"/>
        <w:textAlignment w:val="auto"/>
        <w:rPr>
          <w:rFonts w:hint="eastAsia" w:ascii="宋体" w:hAnsi="宋体" w:cs="宋体"/>
          <w:b w:val="0"/>
          <w:bCs w:val="0"/>
          <w:color w:val="000000"/>
          <w:highlight w:val="none"/>
          <w:lang w:val="en-US" w:eastAsia="zh-CN"/>
        </w:rPr>
      </w:pPr>
      <w:r>
        <w:rPr>
          <w:rFonts w:hint="eastAsia" w:ascii="宋体" w:hAnsi="宋体" w:cs="宋体"/>
          <w:b w:val="0"/>
          <w:bCs w:val="0"/>
          <w:color w:val="000000" w:themeColor="text1"/>
          <w:highlight w:val="none"/>
          <w:lang w:val="en-US" w:eastAsia="zh-CN"/>
          <w14:textFill>
            <w14:solidFill>
              <w14:schemeClr w14:val="tx1"/>
            </w14:solidFill>
          </w14:textFill>
        </w:rPr>
        <w:t xml:space="preserve">  政采云项目编号：</w:t>
      </w:r>
      <w:r>
        <w:rPr>
          <w:rFonts w:hint="eastAsia" w:ascii="宋体" w:hAnsi="宋体" w:cs="宋体"/>
          <w:b w:val="0"/>
          <w:bCs w:val="0"/>
          <w:color w:val="000000"/>
          <w:highlight w:val="none"/>
          <w:lang w:val="en-US" w:eastAsia="zh-CN"/>
        </w:rPr>
        <w:t>BSZC2025-C3-00867-YNBY-0013</w:t>
      </w:r>
    </w:p>
    <w:p w14:paraId="62620D87">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2.项目名称：</w:t>
      </w:r>
      <w:r>
        <w:rPr>
          <w:rFonts w:hint="eastAsia" w:ascii="宋体" w:hAnsi="宋体" w:cs="宋体"/>
          <w:color w:val="000000" w:themeColor="text1"/>
          <w:highlight w:val="none"/>
          <w:lang w:eastAsia="zh-CN"/>
          <w14:textFill>
            <w14:solidFill>
              <w14:schemeClr w14:val="tx1"/>
            </w14:solidFill>
          </w14:textFill>
        </w:rPr>
        <w:t>施甸县2025年水利工程白蚁等害堤动物防治项目</w:t>
      </w:r>
    </w:p>
    <w:p w14:paraId="72515B98">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3.采购方式：竞争性磋商</w:t>
      </w:r>
    </w:p>
    <w:p w14:paraId="1E3DBCFA">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4.预算</w:t>
      </w:r>
      <w:r>
        <w:rPr>
          <w:rFonts w:hint="eastAsia" w:ascii="宋体" w:hAnsi="宋体" w:cs="宋体"/>
          <w:color w:val="000000" w:themeColor="text1"/>
          <w:highlight w:val="none"/>
          <w:lang w:eastAsia="zh-CN"/>
          <w14:textFill>
            <w14:solidFill>
              <w14:schemeClr w14:val="tx1"/>
            </w14:solidFill>
          </w14:textFill>
        </w:rPr>
        <w:t>金额</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734400.00</w:t>
      </w:r>
      <w:r>
        <w:rPr>
          <w:rFonts w:hint="eastAsia" w:ascii="宋体" w:hAnsi="宋体" w:cs="宋体"/>
          <w:color w:val="000000" w:themeColor="text1"/>
          <w:highlight w:val="none"/>
          <w14:textFill>
            <w14:solidFill>
              <w14:schemeClr w14:val="tx1"/>
            </w14:solidFill>
          </w14:textFill>
        </w:rPr>
        <w:t>元</w:t>
      </w:r>
    </w:p>
    <w:p w14:paraId="32ED3DF3">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5.最高限价：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 722040.58</w:t>
      </w:r>
      <w:r>
        <w:rPr>
          <w:rFonts w:hint="eastAsia" w:ascii="宋体" w:hAnsi="宋体" w:cs="宋体"/>
          <w:color w:val="000000" w:themeColor="text1"/>
          <w:highlight w:val="none"/>
          <w14:textFill>
            <w14:solidFill>
              <w14:schemeClr w14:val="tx1"/>
            </w14:solidFill>
          </w14:textFill>
        </w:rPr>
        <w:t>元</w:t>
      </w:r>
    </w:p>
    <w:p w14:paraId="220532C8">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.采购内容 ：</w:t>
      </w:r>
    </w:p>
    <w:p w14:paraId="26AF66A3">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1施甸县2025年水利工程白蚁等害堤动物防治项目，根据工程普查结果和危害情况完成53座水库、18.91Km堤防防治工作。项目防治措施：白蚁危害采用人工挖巢、饵剂诱杀、药物喷洒、安装白蚁智能监测装置措施进行防治；红火蚁危害采用饵剂诱杀、药物灌巢、药物喷洒措施进行防治</w:t>
      </w:r>
      <w:r>
        <w:rPr>
          <w:rFonts w:hint="eastAsia" w:ascii="宋体" w:hAnsi="宋体" w:cs="宋体"/>
          <w:color w:val="000000" w:themeColor="text1"/>
          <w:highlight w:val="none"/>
          <w:lang w:eastAsia="zh-CN"/>
          <w14:textFill>
            <w14:solidFill>
              <w14:schemeClr w14:val="tx1"/>
            </w14:solidFill>
          </w14:textFill>
        </w:rPr>
        <w:t>。</w:t>
      </w:r>
    </w:p>
    <w:p w14:paraId="6C881ABA">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.2本工程具体内容详见工程量清单，请</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认真复核。</w:t>
      </w:r>
    </w:p>
    <w:p w14:paraId="396E600F">
      <w:pPr>
        <w:widowControl w:val="0"/>
        <w:spacing w:line="360" w:lineRule="auto"/>
        <w:ind w:firstLine="472"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2"/>
          <w:highlight w:val="none"/>
          <w:lang w:val="en-US" w:eastAsia="zh-CN"/>
          <w14:textFill>
            <w14:solidFill>
              <w14:schemeClr w14:val="tx1"/>
            </w14:solidFill>
          </w14:textFill>
        </w:rPr>
        <w:t>6</w:t>
      </w:r>
      <w:r>
        <w:rPr>
          <w:rFonts w:hint="eastAsia" w:ascii="宋体" w:hAnsi="宋体" w:cs="宋体"/>
          <w:color w:val="000000" w:themeColor="text1"/>
          <w:spacing w:val="-2"/>
          <w:highlight w:val="none"/>
          <w14:textFill>
            <w14:solidFill>
              <w14:schemeClr w14:val="tx1"/>
            </w14:solidFill>
          </w14:textFill>
        </w:rPr>
        <w:t>.3标段划分：本次采购共划分为一个标段，</w:t>
      </w:r>
      <w:r>
        <w:rPr>
          <w:rFonts w:hint="eastAsia" w:ascii="宋体" w:hAnsi="宋体" w:cs="宋体"/>
          <w:color w:val="000000" w:themeColor="text1"/>
          <w:spacing w:val="-2"/>
          <w:highlight w:val="none"/>
          <w:lang w:eastAsia="zh-CN"/>
          <w14:textFill>
            <w14:solidFill>
              <w14:schemeClr w14:val="tx1"/>
            </w14:solidFill>
          </w14:textFill>
        </w:rPr>
        <w:t>供应商</w:t>
      </w:r>
      <w:r>
        <w:rPr>
          <w:rFonts w:hint="eastAsia" w:ascii="宋体" w:hAnsi="宋体" w:cs="宋体"/>
          <w:color w:val="000000" w:themeColor="text1"/>
          <w:spacing w:val="-2"/>
          <w:highlight w:val="none"/>
          <w14:textFill>
            <w14:solidFill>
              <w14:schemeClr w14:val="tx1"/>
            </w14:solidFill>
          </w14:textFill>
        </w:rPr>
        <w:t>须对项目内所有内容进行磋商报价。</w:t>
      </w:r>
    </w:p>
    <w:p w14:paraId="670BB949">
      <w:pPr>
        <w:numPr>
          <w:ilvl w:val="0"/>
          <w:numId w:val="6"/>
        </w:numPr>
        <w:spacing w:line="360" w:lineRule="auto"/>
        <w:ind w:left="480" w:leftChars="200" w:firstLine="0" w:firstLineChars="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工</w:t>
      </w:r>
      <w:r>
        <w:rPr>
          <w:rFonts w:hint="eastAsia" w:ascii="宋体" w:hAnsi="宋体" w:cs="宋体"/>
          <w:color w:val="000000" w:themeColor="text1"/>
          <w:highlight w:val="none"/>
          <w14:textFill>
            <w14:solidFill>
              <w14:schemeClr w14:val="tx1"/>
            </w14:solidFill>
          </w14:textFill>
        </w:rPr>
        <w:t>期：</w:t>
      </w:r>
      <w:r>
        <w:rPr>
          <w:rFonts w:hint="eastAsia" w:ascii="宋体" w:hAnsi="宋体" w:cs="宋体"/>
          <w:color w:val="000000" w:themeColor="text1"/>
          <w:highlight w:val="none"/>
          <w:lang w:val="en-US" w:eastAsia="zh-CN"/>
          <w14:textFill>
            <w14:solidFill>
              <w14:schemeClr w14:val="tx1"/>
            </w14:solidFill>
          </w14:textFill>
        </w:rPr>
        <w:t>3个月。</w:t>
      </w:r>
    </w:p>
    <w:p w14:paraId="296FA101">
      <w:pPr>
        <w:numPr>
          <w:ilvl w:val="0"/>
          <w:numId w:val="6"/>
        </w:numPr>
        <w:spacing w:line="360" w:lineRule="auto"/>
        <w:ind w:left="480" w:leftChars="20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项目地点：</w:t>
      </w:r>
      <w:r>
        <w:rPr>
          <w:rFonts w:hint="eastAsia" w:ascii="宋体" w:hAnsi="宋体" w:cs="宋体"/>
          <w:color w:val="auto"/>
          <w:highlight w:val="none"/>
          <w:lang w:eastAsia="zh-CN"/>
        </w:rPr>
        <w:t>施甸县</w:t>
      </w:r>
      <w:r>
        <w:rPr>
          <w:rFonts w:hint="eastAsia" w:ascii="宋体" w:hAnsi="宋体" w:cs="宋体"/>
          <w:color w:val="auto"/>
          <w:highlight w:val="none"/>
          <w:lang w:val="en-US" w:eastAsia="zh-CN"/>
        </w:rPr>
        <w:t>境内</w:t>
      </w:r>
      <w:r>
        <w:rPr>
          <w:rFonts w:hint="eastAsia" w:ascii="宋体" w:hAnsi="宋体" w:cs="宋体"/>
          <w:color w:val="auto"/>
          <w:highlight w:val="none"/>
        </w:rPr>
        <w:t>。</w:t>
      </w:r>
    </w:p>
    <w:p w14:paraId="12DE37D5">
      <w:pPr>
        <w:spacing w:line="360" w:lineRule="auto"/>
        <w:ind w:firstLine="480" w:firstLineChars="20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.质量要求：满足国家相关标准、行业标准、地方标准及规范，一次性验收合格</w:t>
      </w:r>
      <w:r>
        <w:rPr>
          <w:rFonts w:hint="eastAsia" w:ascii="宋体" w:hAnsi="宋体" w:cs="宋体"/>
          <w:color w:val="000000" w:themeColor="text1"/>
          <w:highlight w:val="none"/>
          <w:lang w:eastAsia="zh-CN"/>
          <w14:textFill>
            <w14:solidFill>
              <w14:schemeClr w14:val="tx1"/>
            </w14:solidFill>
          </w14:textFill>
        </w:rPr>
        <w:t>。</w:t>
      </w:r>
    </w:p>
    <w:p w14:paraId="2C76C772">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10.其他要求：水库白蚁智能监测装置从投入运行开始计质保运维服务为</w:t>
      </w:r>
      <w:r>
        <w:rPr>
          <w:rFonts w:hint="eastAsia" w:ascii="宋体" w:hAnsi="宋体" w:cs="宋体"/>
          <w:color w:val="auto"/>
          <w:highlight w:val="none"/>
          <w:lang w:val="en-US" w:eastAsia="zh-CN"/>
        </w:rPr>
        <w:t>3年。</w:t>
      </w:r>
    </w:p>
    <w:p w14:paraId="23BA227F">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r>
        <w:rPr>
          <w:rFonts w:hint="eastAsia" w:ascii="宋体" w:hAnsi="宋体" w:cs="宋体"/>
          <w:color w:val="000000" w:themeColor="text1"/>
          <w:highlight w:val="none"/>
          <w14:textFill>
            <w14:solidFill>
              <w14:schemeClr w14:val="tx1"/>
            </w14:solidFill>
          </w14:textFill>
        </w:rPr>
        <w:t>.该工程</w:t>
      </w:r>
      <w:r>
        <w:rPr>
          <w:rFonts w:hint="eastAsia" w:ascii="宋体" w:hAnsi="宋体" w:cs="宋体"/>
          <w:color w:val="000000" w:themeColor="text1"/>
          <w:highlight w:val="none"/>
          <w:lang w:val="en-US" w:eastAsia="zh-CN"/>
          <w14:textFill>
            <w14:solidFill>
              <w14:schemeClr w14:val="tx1"/>
            </w14:solidFill>
          </w14:textFill>
        </w:rPr>
        <w:t>不允许</w:t>
      </w:r>
      <w:r>
        <w:rPr>
          <w:rFonts w:hint="eastAsia" w:ascii="宋体" w:hAnsi="宋体" w:cs="宋体"/>
          <w:color w:val="000000" w:themeColor="text1"/>
          <w:highlight w:val="none"/>
          <w14:textFill>
            <w14:solidFill>
              <w14:schemeClr w14:val="tx1"/>
            </w14:solidFill>
          </w14:textFill>
        </w:rPr>
        <w:t>转包分包。</w:t>
      </w:r>
    </w:p>
    <w:p w14:paraId="367463FD">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.资格审查方法：资格后审。</w:t>
      </w:r>
    </w:p>
    <w:p w14:paraId="2CF4CCA1">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.本项目不接受联合体</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w:t>
      </w:r>
    </w:p>
    <w:p w14:paraId="1521829E">
      <w:pPr>
        <w:pStyle w:val="11"/>
        <w:ind w:left="480"/>
        <w:rPr>
          <w:color w:val="000000" w:themeColor="text1"/>
          <w:highlight w:val="none"/>
          <w14:textFill>
            <w14:solidFill>
              <w14:schemeClr w14:val="tx1"/>
            </w14:solidFill>
          </w14:textFill>
        </w:rPr>
      </w:pPr>
    </w:p>
    <w:p w14:paraId="74E21A90">
      <w:pPr>
        <w:widowControl w:val="0"/>
        <w:snapToGrid w:val="0"/>
        <w:spacing w:line="360" w:lineRule="auto"/>
        <w:outlineLvl w:val="1"/>
        <w:rPr>
          <w:rFonts w:ascii="宋体" w:hAnsi="宋体" w:cs="宋体"/>
          <w:b/>
          <w:bCs/>
          <w:color w:val="000000" w:themeColor="text1"/>
          <w:sz w:val="28"/>
          <w:szCs w:val="28"/>
          <w:highlight w:val="none"/>
          <w14:textFill>
            <w14:solidFill>
              <w14:schemeClr w14:val="tx1"/>
            </w14:solidFill>
          </w14:textFill>
        </w:rPr>
      </w:pPr>
      <w:bookmarkStart w:id="9" w:name="_Toc27148"/>
      <w:bookmarkStart w:id="10" w:name="_Toc35393804"/>
      <w:bookmarkStart w:id="11" w:name="_Toc35393635"/>
      <w:r>
        <w:rPr>
          <w:rFonts w:hint="eastAsia" w:ascii="宋体" w:hAnsi="宋体" w:cs="宋体"/>
          <w:b/>
          <w:bCs/>
          <w:color w:val="000000" w:themeColor="text1"/>
          <w:sz w:val="28"/>
          <w:szCs w:val="28"/>
          <w:highlight w:val="none"/>
          <w14:textFill>
            <w14:solidFill>
              <w14:schemeClr w14:val="tx1"/>
            </w14:solidFill>
          </w14:textFill>
        </w:rPr>
        <w:t>二、申请人的资格要求：</w:t>
      </w:r>
      <w:bookmarkEnd w:id="9"/>
    </w:p>
    <w:p w14:paraId="18E83BE1">
      <w:pPr>
        <w:widowControl w:val="0"/>
        <w:snapToGrid w:val="0"/>
        <w:spacing w:line="360" w:lineRule="auto"/>
        <w:ind w:firstLine="482" w:firstLineChars="200"/>
        <w:rPr>
          <w:rFonts w:ascii="宋体" w:hAnsi="宋体" w:cs="宋体"/>
          <w:b/>
          <w:bCs/>
          <w:color w:val="auto"/>
          <w:highlight w:val="none"/>
        </w:rPr>
      </w:pPr>
      <w:r>
        <w:rPr>
          <w:rFonts w:hint="eastAsia" w:ascii="宋体" w:hAnsi="宋体" w:cs="宋体"/>
          <w:b/>
          <w:bCs/>
          <w:color w:val="auto"/>
          <w:highlight w:val="none"/>
        </w:rPr>
        <w:t>1.满足《中华人民共和国政府采购法》第二十二条规定：</w:t>
      </w:r>
    </w:p>
    <w:p w14:paraId="0CB61988">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具有独立承担民事责任的能力</w:t>
      </w:r>
      <w:r>
        <w:rPr>
          <w:rFonts w:hint="eastAsia" w:ascii="宋体" w:hAnsi="宋体" w:cs="宋体"/>
          <w:color w:val="auto"/>
          <w:highlight w:val="none"/>
          <w:lang w:eastAsia="zh-CN"/>
        </w:rPr>
        <w:t>。</w:t>
      </w:r>
    </w:p>
    <w:p w14:paraId="1F39A321">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（2）具有良好的商业信誉和健全的财务会计制度（</w:t>
      </w:r>
      <w:r>
        <w:rPr>
          <w:rFonts w:hint="eastAsia" w:ascii="宋体" w:hAnsi="宋体" w:cs="宋体"/>
          <w:color w:val="auto"/>
          <w:highlight w:val="none"/>
          <w:lang w:eastAsia="zh-CN"/>
        </w:rPr>
        <w:t>供应商</w:t>
      </w:r>
      <w:r>
        <w:rPr>
          <w:rFonts w:hint="eastAsia" w:ascii="宋体" w:hAnsi="宋体" w:cs="宋体"/>
          <w:color w:val="auto"/>
          <w:highlight w:val="none"/>
        </w:rPr>
        <w:t>提供2023年度或2024年度经第三方审计的财务报告及报表或企业自身出具的合法有效的财务报表；</w:t>
      </w:r>
      <w:r>
        <w:rPr>
          <w:rFonts w:hint="eastAsia" w:ascii="宋体" w:hAnsi="宋体" w:cs="宋体"/>
          <w:color w:val="auto"/>
          <w:highlight w:val="none"/>
          <w:lang w:eastAsia="zh-CN"/>
        </w:rPr>
        <w:t>供应商</w:t>
      </w:r>
      <w:r>
        <w:rPr>
          <w:rFonts w:hint="eastAsia" w:ascii="宋体" w:hAnsi="宋体" w:cs="宋体"/>
          <w:color w:val="auto"/>
          <w:highlight w:val="none"/>
        </w:rPr>
        <w:t>成立不足1年的，可提供企业成立至今合法有效的财务资料）</w:t>
      </w:r>
      <w:r>
        <w:rPr>
          <w:rFonts w:hint="eastAsia" w:ascii="宋体" w:hAnsi="宋体" w:cs="宋体"/>
          <w:color w:val="auto"/>
          <w:highlight w:val="none"/>
          <w:lang w:eastAsia="zh-CN"/>
        </w:rPr>
        <w:t>。</w:t>
      </w:r>
    </w:p>
    <w:p w14:paraId="6DB94FB0">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eastAsia="zh-CN"/>
        </w:rPr>
        <w:t>具有履行合同所必需的设备和专业技术能力。</w:t>
      </w:r>
    </w:p>
    <w:p w14:paraId="14F07E30">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（4）有依法缴纳税收和社会保障资金的良好记录（</w:t>
      </w:r>
      <w:r>
        <w:rPr>
          <w:rFonts w:hint="eastAsia" w:ascii="宋体" w:hAnsi="宋体" w:cs="宋体"/>
          <w:color w:val="auto"/>
          <w:highlight w:val="none"/>
          <w:lang w:eastAsia="zh-CN"/>
        </w:rPr>
        <w:t>供应商</w:t>
      </w:r>
      <w:r>
        <w:rPr>
          <w:rFonts w:hint="eastAsia" w:ascii="宋体" w:hAnsi="宋体" w:cs="宋体"/>
          <w:color w:val="auto"/>
          <w:highlight w:val="none"/>
        </w:rPr>
        <w:t>提供缴税所属时间在2024年01月至本项目</w:t>
      </w:r>
      <w:r>
        <w:rPr>
          <w:rFonts w:hint="eastAsia" w:ascii="宋体" w:hAnsi="宋体" w:cs="宋体"/>
          <w:color w:val="auto"/>
          <w:highlight w:val="none"/>
          <w:lang w:eastAsia="zh-CN"/>
        </w:rPr>
        <w:t>磋商</w:t>
      </w:r>
      <w:r>
        <w:rPr>
          <w:rFonts w:hint="eastAsia" w:ascii="宋体" w:hAnsi="宋体" w:cs="宋体"/>
          <w:color w:val="auto"/>
          <w:highlight w:val="none"/>
        </w:rPr>
        <w:t>响应文件提交截止时间前任意1个月的税务局税收通用缴款书或银行电子缴税（费）凭证或税务局出具纳税情况的相关证明，依法免税的，应提供依法免税的相关证明文件；至开标截止时间</w:t>
      </w:r>
      <w:r>
        <w:rPr>
          <w:rFonts w:hint="eastAsia" w:ascii="宋体" w:hAnsi="宋体" w:cs="宋体"/>
          <w:color w:val="auto"/>
          <w:highlight w:val="none"/>
          <w:lang w:eastAsia="zh-CN"/>
        </w:rPr>
        <w:t>供应商</w:t>
      </w:r>
      <w:r>
        <w:rPr>
          <w:rFonts w:hint="eastAsia" w:ascii="宋体" w:hAnsi="宋体" w:cs="宋体"/>
          <w:color w:val="auto"/>
          <w:highlight w:val="none"/>
        </w:rPr>
        <w:t>成立时间不足1个月的可根据自身情况提供依法缴纳税收相关材料或提供书面情况说明；</w:t>
      </w:r>
      <w:r>
        <w:rPr>
          <w:rFonts w:hint="eastAsia" w:ascii="宋体" w:hAnsi="宋体" w:cs="宋体"/>
          <w:color w:val="auto"/>
          <w:highlight w:val="none"/>
          <w:lang w:eastAsia="zh-CN"/>
        </w:rPr>
        <w:t>供应商</w:t>
      </w:r>
      <w:r>
        <w:rPr>
          <w:rFonts w:hint="eastAsia" w:ascii="宋体" w:hAnsi="宋体" w:cs="宋体"/>
          <w:color w:val="auto"/>
          <w:highlight w:val="none"/>
        </w:rPr>
        <w:t>提供缴费所属时间在2024年01月至本项目</w:t>
      </w:r>
      <w:r>
        <w:rPr>
          <w:rFonts w:hint="eastAsia" w:ascii="宋体" w:hAnsi="宋体" w:cs="宋体"/>
          <w:color w:val="auto"/>
          <w:highlight w:val="none"/>
          <w:lang w:eastAsia="zh-CN"/>
        </w:rPr>
        <w:t>磋商</w:t>
      </w:r>
      <w:r>
        <w:rPr>
          <w:rFonts w:hint="eastAsia" w:ascii="宋体" w:hAnsi="宋体" w:cs="宋体"/>
          <w:color w:val="auto"/>
          <w:highlight w:val="none"/>
        </w:rPr>
        <w:t>响应文件提交截止时间前任意1个月的社会保险费缴款书或银行电子缴税（费）凭证或社保管理部门出具的有效的缴款证明，依法免缴的，应提供依法免缴的相关证明文件；至开标截止时间</w:t>
      </w:r>
      <w:r>
        <w:rPr>
          <w:rFonts w:hint="eastAsia" w:ascii="宋体" w:hAnsi="宋体" w:cs="宋体"/>
          <w:color w:val="auto"/>
          <w:highlight w:val="none"/>
          <w:lang w:eastAsia="zh-CN"/>
        </w:rPr>
        <w:t>供应商</w:t>
      </w:r>
      <w:r>
        <w:rPr>
          <w:rFonts w:hint="eastAsia" w:ascii="宋体" w:hAnsi="宋体" w:cs="宋体"/>
          <w:color w:val="auto"/>
          <w:highlight w:val="none"/>
        </w:rPr>
        <w:t>成立时间不足1个月的可根据自身情况提供依法缴纳社会保障资金相关材料或提供书面情况说明）</w:t>
      </w:r>
      <w:r>
        <w:rPr>
          <w:rFonts w:hint="eastAsia" w:ascii="宋体" w:hAnsi="宋体" w:cs="宋体"/>
          <w:color w:val="auto"/>
          <w:highlight w:val="none"/>
          <w:lang w:eastAsia="zh-CN"/>
        </w:rPr>
        <w:t>。</w:t>
      </w:r>
    </w:p>
    <w:p w14:paraId="17E5F5C9">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（5）参加政府采购活动前三年内，在经营活动中没有重大违法记录</w:t>
      </w:r>
      <w:r>
        <w:rPr>
          <w:rFonts w:hint="eastAsia" w:ascii="宋体" w:hAnsi="宋体" w:cs="宋体"/>
          <w:color w:val="auto"/>
          <w:highlight w:val="none"/>
          <w:lang w:eastAsia="zh-CN"/>
        </w:rPr>
        <w:t>。</w:t>
      </w:r>
    </w:p>
    <w:p w14:paraId="17048415">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（6）法律、行政法规规定的其他条件</w:t>
      </w:r>
      <w:r>
        <w:rPr>
          <w:rFonts w:hint="eastAsia" w:ascii="宋体" w:hAnsi="宋体" w:cs="宋体"/>
          <w:color w:val="auto"/>
          <w:highlight w:val="none"/>
          <w:lang w:eastAsia="zh-CN"/>
        </w:rPr>
        <w:t>。</w:t>
      </w:r>
    </w:p>
    <w:p w14:paraId="67DD5D7C">
      <w:pPr>
        <w:widowControl w:val="0"/>
        <w:snapToGrid w:val="0"/>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（7）单位负责人为同一人或者存在直接控股、管理关系的不同</w:t>
      </w:r>
      <w:r>
        <w:rPr>
          <w:rFonts w:hint="eastAsia" w:ascii="宋体" w:hAnsi="宋体" w:cs="宋体"/>
          <w:color w:val="auto"/>
          <w:highlight w:val="none"/>
          <w:lang w:eastAsia="zh-CN"/>
        </w:rPr>
        <w:t>供应商</w:t>
      </w:r>
      <w:r>
        <w:rPr>
          <w:rFonts w:hint="eastAsia" w:ascii="宋体" w:hAnsi="宋体" w:cs="宋体"/>
          <w:color w:val="auto"/>
          <w:highlight w:val="none"/>
        </w:rPr>
        <w:t>，不得参加同一合同项下的政府采购活动</w:t>
      </w:r>
      <w:r>
        <w:rPr>
          <w:rFonts w:hint="eastAsia" w:ascii="宋体" w:hAnsi="宋体" w:cs="宋体"/>
          <w:color w:val="auto"/>
          <w:highlight w:val="none"/>
          <w:lang w:eastAsia="zh-CN"/>
        </w:rPr>
        <w:t>。</w:t>
      </w:r>
    </w:p>
    <w:p w14:paraId="3270E1E0">
      <w:pPr>
        <w:spacing w:line="510" w:lineRule="exact"/>
        <w:ind w:firstLine="480" w:firstLineChars="200"/>
        <w:rPr>
          <w:b w:val="0"/>
          <w:bCs w:val="0"/>
          <w:color w:val="000000" w:themeColor="text1"/>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2.落实政府采购政策需满足的资格要求：</w:t>
      </w:r>
    </w:p>
    <w:p w14:paraId="12F189F6">
      <w:pPr>
        <w:widowControl w:val="0"/>
        <w:numPr>
          <w:ilvl w:val="0"/>
          <w:numId w:val="0"/>
        </w:numPr>
        <w:snapToGrid w:val="0"/>
        <w:spacing w:line="360" w:lineRule="auto"/>
        <w:ind w:firstLine="720" w:firstLineChars="300"/>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本项目为专门面向中小企业的政府采购项目，不再执行价格评审优惠的扶持政策。监狱企业、残疾人福利性单位视同小微企业。供应商须按磋商文件规定格式提供中小企业声明函（或监狱企业声明函或残疾人福利性单位声明函）。</w:t>
      </w:r>
    </w:p>
    <w:p w14:paraId="795EE16C">
      <w:pPr>
        <w:widowControl w:val="0"/>
        <w:numPr>
          <w:ilvl w:val="0"/>
          <w:numId w:val="0"/>
        </w:numPr>
        <w:snapToGrid w:val="0"/>
        <w:spacing w:line="360" w:lineRule="auto"/>
        <w:ind w:firstLine="480" w:firstLineChars="200"/>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本项目特定资格要求：</w:t>
      </w:r>
    </w:p>
    <w:p w14:paraId="74AAFAFF">
      <w:pPr>
        <w:widowControl w:val="0"/>
        <w:numPr>
          <w:ilvl w:val="0"/>
          <w:numId w:val="0"/>
        </w:numPr>
        <w:snapToGrid w:val="0"/>
        <w:spacing w:line="360" w:lineRule="auto"/>
        <w:ind w:firstLine="720" w:firstLineChars="300"/>
        <w:rPr>
          <w:rFonts w:hint="eastAsia" w:ascii="宋体" w:hAnsi="宋体" w:eastAsia="宋体" w:cs="宋体"/>
          <w:b w:val="0"/>
          <w:bCs w:val="0"/>
          <w:color w:val="auto"/>
          <w:highlight w:val="none"/>
          <w:lang w:val="en-US" w:eastAsia="zh-CN"/>
        </w:rPr>
      </w:pPr>
      <w:r>
        <w:rPr>
          <w:rFonts w:hint="eastAsia" w:ascii="宋体" w:hAnsi="宋体" w:cs="宋体"/>
          <w:b w:val="0"/>
          <w:bCs w:val="0"/>
          <w:color w:val="auto"/>
        </w:rPr>
        <w:t>拟投入本项目负责人</w:t>
      </w:r>
      <w:r>
        <w:rPr>
          <w:rFonts w:hint="eastAsia" w:ascii="宋体" w:hAnsi="宋体" w:cs="宋体"/>
          <w:b w:val="0"/>
          <w:bCs w:val="0"/>
          <w:color w:val="auto"/>
          <w:lang w:eastAsia="zh-CN"/>
        </w:rPr>
        <w:t>：</w:t>
      </w:r>
      <w:r>
        <w:rPr>
          <w:rFonts w:hint="eastAsia" w:ascii="宋体" w:hAnsi="宋体" w:cs="宋体"/>
          <w:b w:val="0"/>
          <w:bCs w:val="0"/>
          <w:color w:val="auto"/>
        </w:rPr>
        <w:t>应为本单位在职员工</w:t>
      </w:r>
      <w:r>
        <w:rPr>
          <w:rFonts w:hint="eastAsia" w:ascii="宋体" w:hAnsi="宋体" w:cs="宋体"/>
          <w:b w:val="0"/>
          <w:bCs w:val="0"/>
          <w:color w:val="auto"/>
          <w:lang w:eastAsia="zh-CN"/>
        </w:rPr>
        <w:t>，</w:t>
      </w:r>
      <w:r>
        <w:rPr>
          <w:rFonts w:hint="eastAsia" w:ascii="宋体" w:hAnsi="宋体" w:cs="宋体"/>
          <w:b w:val="0"/>
          <w:bCs w:val="0"/>
          <w:color w:val="auto"/>
        </w:rPr>
        <w:t>具备白蚁防治</w:t>
      </w:r>
      <w:r>
        <w:rPr>
          <w:rFonts w:hint="eastAsia" w:ascii="宋体" w:hAnsi="宋体" w:cs="宋体"/>
          <w:b w:val="0"/>
          <w:bCs w:val="0"/>
          <w:color w:val="auto"/>
          <w:lang w:eastAsia="zh-CN"/>
        </w:rPr>
        <w:t>专业</w:t>
      </w:r>
      <w:r>
        <w:rPr>
          <w:rFonts w:hint="eastAsia" w:ascii="宋体" w:hAnsi="宋体" w:cs="宋体"/>
          <w:b w:val="0"/>
          <w:bCs w:val="0"/>
          <w:color w:val="auto"/>
          <w:lang w:val="en-US" w:eastAsia="zh-CN"/>
        </w:rPr>
        <w:t>中级及以上</w:t>
      </w:r>
      <w:r>
        <w:rPr>
          <w:rFonts w:hint="eastAsia" w:ascii="宋体" w:hAnsi="宋体" w:cs="宋体"/>
          <w:b w:val="0"/>
          <w:bCs w:val="0"/>
          <w:color w:val="auto"/>
        </w:rPr>
        <w:t>资格证书</w:t>
      </w:r>
      <w:r>
        <w:rPr>
          <w:rFonts w:hint="eastAsia" w:ascii="宋体" w:hAnsi="宋体" w:cs="宋体"/>
          <w:b w:val="0"/>
          <w:bCs w:val="0"/>
          <w:color w:val="auto"/>
          <w:lang w:val="en-US" w:eastAsia="zh-CN"/>
        </w:rPr>
        <w:t>或职称证书</w:t>
      </w:r>
      <w:r>
        <w:rPr>
          <w:rFonts w:hint="eastAsia" w:ascii="宋体" w:hAnsi="宋体" w:cs="宋体"/>
          <w:b w:val="0"/>
          <w:bCs w:val="0"/>
          <w:color w:val="auto"/>
        </w:rPr>
        <w:t>，提供社保证明材料。</w:t>
      </w:r>
    </w:p>
    <w:p w14:paraId="38FEDF99">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.本项目不接受联合体</w:t>
      </w:r>
      <w:bookmarkStart w:id="12" w:name="_Toc331341744"/>
      <w:bookmarkStart w:id="13" w:name="_Toc331427649"/>
      <w:bookmarkStart w:id="14" w:name="_Toc508110182"/>
      <w:bookmarkStart w:id="15" w:name="_Toc25690"/>
      <w:bookmarkStart w:id="16" w:name="_Toc66457107"/>
      <w:bookmarkStart w:id="17" w:name="_Toc66736795"/>
      <w:bookmarkStart w:id="18" w:name="_Toc508109893"/>
      <w:r>
        <w:rPr>
          <w:rFonts w:hint="eastAsia" w:ascii="宋体" w:hAnsi="宋体" w:cs="宋体"/>
          <w:color w:val="000000" w:themeColor="text1"/>
          <w:highlight w:val="none"/>
          <w:lang w:val="en-US"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w:t>
      </w:r>
    </w:p>
    <w:p w14:paraId="47018617">
      <w:pPr>
        <w:widowControl w:val="0"/>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.单位负责人为同一人或者存在直接控股、管理关系的不同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，不得参加同一合同项下的政府采购活动。</w:t>
      </w:r>
    </w:p>
    <w:p w14:paraId="3548BCFB">
      <w:pPr>
        <w:keepNext w:val="0"/>
        <w:keepLines w:val="0"/>
        <w:pageBreakBefore w:val="0"/>
        <w:widowControl/>
        <w:kinsoku/>
        <w:wordWrap w:val="0"/>
        <w:overflowPunct/>
        <w:topLinePunct w:val="0"/>
        <w:autoSpaceDE/>
        <w:autoSpaceDN/>
        <w:bidi w:val="0"/>
        <w:adjustRightInd/>
        <w:snapToGrid/>
        <w:spacing w:line="510" w:lineRule="exact"/>
        <w:ind w:firstLine="480" w:firstLineChars="200"/>
        <w:textAlignment w:val="auto"/>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6.信誉要求：按照《财政部关于在政府采购活动中查询及使用信用记录有关问题的通知》(财库</w:t>
      </w:r>
      <w:r>
        <w:rPr>
          <w:rFonts w:hint="eastAsia" w:ascii="宋体" w:hAnsi="宋体" w:eastAsia="宋体" w:cs="宋体"/>
          <w:b w:val="0"/>
          <w:bCs w:val="0"/>
          <w:color w:val="000000" w:themeColor="text1"/>
          <w:highlight w:val="none"/>
          <w:lang w:val="en-US" w:eastAsia="zh-CN"/>
          <w14:textFill>
            <w14:solidFill>
              <w14:schemeClr w14:val="tx1"/>
            </w14:solidFill>
          </w14:textFill>
        </w:rPr>
        <w:t>〔20</w:t>
      </w:r>
      <w:r>
        <w:rPr>
          <w:rFonts w:hint="eastAsia" w:ascii="宋体" w:hAnsi="宋体" w:cs="宋体"/>
          <w:b w:val="0"/>
          <w:bCs w:val="0"/>
          <w:color w:val="000000" w:themeColor="text1"/>
          <w:highlight w:val="none"/>
          <w:lang w:val="en-US" w:eastAsia="zh-CN"/>
          <w14:textFill>
            <w14:solidFill>
              <w14:schemeClr w14:val="tx1"/>
            </w14:solidFill>
          </w14:textFill>
        </w:rPr>
        <w:t>16</w:t>
      </w:r>
      <w:r>
        <w:rPr>
          <w:rFonts w:hint="eastAsia" w:ascii="宋体" w:hAnsi="宋体" w:cs="宋体"/>
          <w:color w:val="000000" w:themeColor="text1"/>
          <w:spacing w:val="-2"/>
          <w:kern w:val="2"/>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125号) 相关要求 ，各级财政部门 、采购人 、采购代理机构通过“信用中国 ”网站(www.creditchina.gov.cn) 、中国政府采购网 (www.ccgp.gov.cnwww.ccgp.gov.cn) 等渠道查询供应商信用记录，并采取必要方式做好信用信息查询记录和证据留存，信用信息查询记录及相关证据与采购文件一并保存。供应商未被列入失信被执行人记录、重大税收违法案件当事人名单、政府采购严重违法失信行为 (被禁止在一定期限内参加政府采购活动但期限届满的除外) ，参加本项目的供应商信用报告查询截止时点：本项目竞争性磋商公告发布之日起至递交响应文件截止时间。</w:t>
      </w:r>
    </w:p>
    <w:bookmarkEnd w:id="12"/>
    <w:bookmarkEnd w:id="13"/>
    <w:bookmarkEnd w:id="14"/>
    <w:bookmarkEnd w:id="15"/>
    <w:bookmarkEnd w:id="16"/>
    <w:bookmarkEnd w:id="17"/>
    <w:bookmarkEnd w:id="18"/>
    <w:p w14:paraId="40A7CEDB">
      <w:pPr>
        <w:pStyle w:val="46"/>
        <w:tabs>
          <w:tab w:val="left" w:pos="0"/>
        </w:tabs>
        <w:spacing w:before="0" w:beforeAutospacing="0" w:after="0" w:afterAutospacing="0" w:line="360" w:lineRule="auto"/>
        <w:ind w:firstLine="480"/>
        <w:rPr>
          <w:b/>
          <w:bCs/>
          <w:color w:val="000000" w:themeColor="text1"/>
          <w:sz w:val="28"/>
          <w:szCs w:val="28"/>
          <w:highlight w:val="none"/>
          <w14:textFill>
            <w14:solidFill>
              <w14:schemeClr w14:val="tx1"/>
            </w14:solidFill>
          </w14:textFill>
        </w:rPr>
      </w:pPr>
      <w:bookmarkStart w:id="19" w:name="_Toc31332"/>
      <w:r>
        <w:rPr>
          <w:rFonts w:hint="eastAsia"/>
          <w:b/>
          <w:bCs/>
          <w:color w:val="000000" w:themeColor="text1"/>
          <w:sz w:val="28"/>
          <w:szCs w:val="28"/>
          <w:highlight w:val="none"/>
          <w14:textFill>
            <w14:solidFill>
              <w14:schemeClr w14:val="tx1"/>
            </w14:solidFill>
          </w14:textFill>
        </w:rPr>
        <w:t>三、竞争性磋商文件的获取</w:t>
      </w:r>
      <w:bookmarkEnd w:id="19"/>
    </w:p>
    <w:p w14:paraId="1779383C">
      <w:pPr>
        <w:pStyle w:val="46"/>
        <w:tabs>
          <w:tab w:val="left" w:pos="0"/>
        </w:tabs>
        <w:spacing w:before="0" w:beforeAutospacing="0" w:after="0" w:afterAutospacing="0" w:line="460" w:lineRule="exact"/>
        <w:ind w:firstLine="480"/>
        <w:rPr>
          <w:rFonts w:hint="eastAsia"/>
          <w:color w:val="000000" w:themeColor="text1"/>
          <w:highlight w:val="none"/>
          <w14:textFill>
            <w14:solidFill>
              <w14:schemeClr w14:val="tx1"/>
            </w14:solidFill>
          </w14:textFill>
        </w:rPr>
      </w:pPr>
      <w:bookmarkStart w:id="20" w:name="_Toc331427651"/>
      <w:bookmarkStart w:id="21" w:name="_Toc66736797"/>
      <w:bookmarkStart w:id="22" w:name="_Toc508109895"/>
      <w:bookmarkStart w:id="23" w:name="_Toc66457109"/>
      <w:bookmarkStart w:id="24" w:name="_Toc29638"/>
      <w:bookmarkStart w:id="25" w:name="_Toc331341746"/>
      <w:bookmarkStart w:id="26" w:name="_Toc508110184"/>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时间：</w:t>
      </w:r>
      <w:r>
        <w:rPr>
          <w:rFonts w:hint="eastAsia"/>
          <w:color w:val="000000"/>
          <w:highlight w:val="none"/>
          <w:lang w:val="en-US" w:eastAsia="zh-CN"/>
        </w:rPr>
        <w:t>2025</w:t>
      </w:r>
      <w:r>
        <w:rPr>
          <w:rFonts w:hint="eastAsia"/>
          <w:color w:val="000000"/>
          <w:highlight w:val="none"/>
        </w:rPr>
        <w:t>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13</w:t>
      </w:r>
      <w:r>
        <w:rPr>
          <w:rFonts w:hint="eastAsia"/>
          <w:color w:val="000000"/>
          <w:highlight w:val="none"/>
        </w:rPr>
        <w:t>日至</w:t>
      </w:r>
      <w:r>
        <w:rPr>
          <w:rFonts w:hint="eastAsia"/>
          <w:color w:val="000000"/>
          <w:highlight w:val="none"/>
          <w:lang w:val="en-US" w:eastAsia="zh-CN"/>
        </w:rPr>
        <w:t>2025</w:t>
      </w:r>
      <w:r>
        <w:rPr>
          <w:rFonts w:hint="eastAsia"/>
          <w:color w:val="000000"/>
          <w:highlight w:val="none"/>
        </w:rPr>
        <w:t>年</w:t>
      </w:r>
      <w:r>
        <w:rPr>
          <w:rFonts w:hint="eastAsia"/>
          <w:color w:val="000000"/>
          <w:highlight w:val="none"/>
          <w:lang w:val="en-US" w:eastAsia="zh-CN"/>
        </w:rPr>
        <w:t>8</w:t>
      </w:r>
      <w:r>
        <w:rPr>
          <w:rFonts w:hint="eastAsia"/>
          <w:color w:val="000000"/>
          <w:highlight w:val="none"/>
        </w:rPr>
        <w:t>月</w:t>
      </w:r>
      <w:r>
        <w:rPr>
          <w:rFonts w:hint="eastAsia"/>
          <w:color w:val="000000"/>
          <w:highlight w:val="none"/>
          <w:lang w:val="en-US" w:eastAsia="zh-CN"/>
        </w:rPr>
        <w:t>19</w:t>
      </w:r>
      <w:r>
        <w:rPr>
          <w:rFonts w:hint="eastAsia"/>
          <w:color w:val="000000"/>
          <w:highlight w:val="none"/>
        </w:rPr>
        <w:t>日，每天上午00:00至12:00，下午12:00至2</w:t>
      </w:r>
      <w:r>
        <w:rPr>
          <w:rFonts w:hint="eastAsia"/>
          <w:color w:val="000000"/>
          <w:highlight w:val="none"/>
          <w:lang w:val="en-US" w:eastAsia="zh-CN"/>
        </w:rPr>
        <w:t>3</w:t>
      </w:r>
      <w:r>
        <w:rPr>
          <w:rFonts w:hint="eastAsia"/>
          <w:color w:val="000000"/>
          <w:highlight w:val="none"/>
        </w:rPr>
        <w:t>:</w:t>
      </w:r>
      <w:r>
        <w:rPr>
          <w:rFonts w:hint="eastAsia"/>
          <w:color w:val="000000"/>
          <w:highlight w:val="none"/>
          <w:lang w:val="en-US" w:eastAsia="zh-CN"/>
        </w:rPr>
        <w:t>59</w:t>
      </w:r>
      <w:r>
        <w:rPr>
          <w:rFonts w:hint="eastAsia"/>
          <w:color w:val="000000"/>
          <w:highlight w:val="none"/>
        </w:rPr>
        <w:t>（北京时间，法定节假日除外 ）。</w:t>
      </w:r>
    </w:p>
    <w:p w14:paraId="7EC84142">
      <w:pPr>
        <w:pStyle w:val="46"/>
        <w:tabs>
          <w:tab w:val="left" w:pos="0"/>
        </w:tabs>
        <w:spacing w:before="0" w:beforeAutospacing="0" w:after="0" w:afterAutospacing="0" w:line="460" w:lineRule="exact"/>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地点：政采云平台线上获取（http://www.zcygov.cn）</w:t>
      </w:r>
    </w:p>
    <w:p w14:paraId="4F541B35">
      <w:pPr>
        <w:pStyle w:val="46"/>
        <w:keepNext w:val="0"/>
        <w:keepLines w:val="0"/>
        <w:pageBreakBefore w:val="0"/>
        <w:widowControl/>
        <w:tabs>
          <w:tab w:val="left" w:pos="0"/>
        </w:tabs>
        <w:kinsoku/>
        <w:wordWrap w:val="0"/>
        <w:overflowPunct/>
        <w:topLinePunct w:val="0"/>
        <w:autoSpaceDE/>
        <w:autoSpaceDN/>
        <w:bidi w:val="0"/>
        <w:adjustRightInd/>
        <w:snapToGrid/>
        <w:spacing w:before="0" w:beforeAutospacing="0" w:after="0" w:afterAutospacing="0" w:line="500" w:lineRule="exact"/>
        <w:ind w:firstLine="482"/>
        <w:textAlignment w:val="auto"/>
        <w:rPr>
          <w:rFonts w:hint="eastAsia" w:ascii="宋体" w:hAnsi="宋体" w:eastAsia="宋体" w:cs="宋体"/>
          <w:color w:val="000000" w:themeColor="text1"/>
          <w:highlight w:val="none"/>
          <w:lang w:val="en-US" w:eastAsia="zh-CN"/>
          <w14:textFill>
            <w14:solidFill>
              <w14:schemeClr w14:val="tx1"/>
            </w14:solidFill>
          </w14:textFill>
        </w:rPr>
      </w:pPr>
      <w:bookmarkStart w:id="27" w:name="_Toc4367"/>
      <w:r>
        <w:rPr>
          <w:rFonts w:hint="eastAsia"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方式：凡有意参加</w:t>
      </w:r>
      <w:r>
        <w:rPr>
          <w:rFonts w:hint="eastAsia" w:cs="宋体"/>
          <w:color w:val="000000" w:themeColor="text1"/>
          <w:highlight w:val="none"/>
          <w:lang w:val="en-US" w:eastAsia="zh-CN"/>
          <w14:textFill>
            <w14:solidFill>
              <w14:schemeClr w14:val="tx1"/>
            </w14:solidFill>
          </w14:textFill>
        </w:rPr>
        <w:t>磋商者</w:t>
      </w:r>
      <w:r>
        <w:rPr>
          <w:rFonts w:hint="eastAsia" w:ascii="宋体" w:hAnsi="宋体" w:eastAsia="宋体" w:cs="宋体"/>
          <w:color w:val="000000" w:themeColor="text1"/>
          <w:highlight w:val="none"/>
          <w:lang w:val="en-US" w:eastAsia="zh-CN"/>
          <w14:textFill>
            <w14:solidFill>
              <w14:schemeClr w14:val="tx1"/>
            </w14:solidFill>
          </w14:textFill>
        </w:rPr>
        <w:t>，须在政采云平台办理数字证书（CA），并在政采云绑定数字证书（CA）后线上获取采购文件及其它采购资料。CA申领链接：</w:t>
      </w:r>
      <w:bookmarkStart w:id="28" w:name="OLE_LINK5"/>
      <w:r>
        <w:rPr>
          <w:rFonts w:hint="eastAsia" w:ascii="宋体" w:hAnsi="宋体" w:eastAsia="宋体" w:cs="宋体"/>
          <w:color w:val="000000" w:themeColor="text1"/>
          <w:highlight w:val="none"/>
          <w:lang w:val="en-US" w:eastAsia="zh-CN"/>
          <w14:textFill>
            <w14:solidFill>
              <w14:schemeClr w14:val="tx1"/>
            </w14:solidFill>
          </w14:textFill>
        </w:rPr>
        <w:fldChar w:fldCharType="begin"/>
      </w:r>
      <w:r>
        <w:rPr>
          <w:rFonts w:hint="eastAsia" w:ascii="宋体" w:hAnsi="宋体" w:eastAsia="宋体" w:cs="宋体"/>
          <w:color w:val="000000" w:themeColor="text1"/>
          <w:highlight w:val="none"/>
          <w:lang w:val="en-US" w:eastAsia="zh-CN"/>
          <w14:textFill>
            <w14:solidFill>
              <w14:schemeClr w14:val="tx1"/>
            </w14:solidFill>
          </w14:textFill>
        </w:rPr>
        <w:instrText xml:space="preserve"> HYPERLINK "http://yzt.ynsmartcert.cn/cms/yztyzt0011.html" </w:instrText>
      </w:r>
      <w:r>
        <w:rPr>
          <w:rFonts w:hint="eastAsia" w:ascii="宋体" w:hAnsi="宋体" w:eastAsia="宋体" w:cs="宋体"/>
          <w:color w:val="000000" w:themeColor="text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highlight w:val="none"/>
          <w:lang w:val="en-US" w:eastAsia="zh-CN"/>
          <w14:textFill>
            <w14:solidFill>
              <w14:schemeClr w14:val="tx1"/>
            </w14:solidFill>
          </w14:textFill>
        </w:rPr>
        <w:t>http://yzt.ynsmartcert.cn/cms/yztyzt0011.html</w:t>
      </w:r>
      <w:r>
        <w:rPr>
          <w:rFonts w:hint="eastAsia" w:ascii="宋体" w:hAnsi="宋体" w:eastAsia="宋体" w:cs="宋体"/>
          <w:color w:val="000000" w:themeColor="text1"/>
          <w:highlight w:val="none"/>
          <w:lang w:val="en-US" w:eastAsia="zh-CN"/>
          <w14:textFill>
            <w14:solidFill>
              <w14:schemeClr w14:val="tx1"/>
            </w14:solidFill>
          </w14:textFill>
        </w:rPr>
        <w:fldChar w:fldCharType="end"/>
      </w:r>
      <w:bookmarkEnd w:id="28"/>
      <w:r>
        <w:rPr>
          <w:rFonts w:hint="eastAsia" w:ascii="宋体" w:hAnsi="宋体" w:eastAsia="宋体" w:cs="宋体"/>
          <w:color w:val="000000" w:themeColor="text1"/>
          <w:highlight w:val="none"/>
          <w:lang w:val="en-US" w:eastAsia="zh-CN"/>
          <w14:textFill>
            <w14:solidFill>
              <w14:schemeClr w14:val="tx1"/>
            </w14:solidFill>
          </w14:textFill>
        </w:rPr>
        <w:t>，紧急CA办理电话：</w:t>
      </w:r>
      <w:bookmarkStart w:id="29" w:name="OLE_LINK9"/>
      <w:r>
        <w:rPr>
          <w:rFonts w:hint="eastAsia" w:ascii="宋体" w:hAnsi="宋体" w:eastAsia="宋体" w:cs="宋体"/>
          <w:color w:val="000000" w:themeColor="text1"/>
          <w:highlight w:val="none"/>
          <w:lang w:val="en-US" w:eastAsia="zh-CN"/>
          <w14:textFill>
            <w14:solidFill>
              <w14:schemeClr w14:val="tx1"/>
            </w14:solidFill>
          </w14:textFill>
        </w:rPr>
        <w:t>19987563037</w:t>
      </w:r>
      <w:bookmarkEnd w:id="29"/>
      <w:r>
        <w:rPr>
          <w:rFonts w:hint="eastAsia" w:ascii="宋体" w:hAnsi="宋体" w:eastAsia="宋体" w:cs="宋体"/>
          <w:color w:val="000000" w:themeColor="text1"/>
          <w:highlight w:val="none"/>
          <w:lang w:val="en-US" w:eastAsia="zh-CN"/>
          <w14:textFill>
            <w14:solidFill>
              <w14:schemeClr w14:val="tx1"/>
            </w14:solidFill>
          </w14:textFill>
        </w:rPr>
        <w:t>。CA申领后需登陆政采云平台完成数字证书（CA）绑定才可以使用，数字证书（CA）详见其办理流程。按上述要求获取文件的供应商视为合法获取了本项目采购文件，具备本项目的</w:t>
      </w:r>
      <w:r>
        <w:rPr>
          <w:rFonts w:hint="eastAsia" w:cs="宋体"/>
          <w:color w:val="000000" w:themeColor="text1"/>
          <w:highlight w:val="none"/>
          <w:lang w:val="en-US" w:eastAsia="zh-CN"/>
          <w14:textFill>
            <w14:solidFill>
              <w14:schemeClr w14:val="tx1"/>
            </w14:solidFill>
          </w14:textFill>
        </w:rPr>
        <w:t>磋商</w:t>
      </w:r>
      <w:r>
        <w:rPr>
          <w:rFonts w:hint="eastAsia" w:ascii="宋体" w:hAnsi="宋体" w:eastAsia="宋体" w:cs="宋体"/>
          <w:color w:val="000000" w:themeColor="text1"/>
          <w:highlight w:val="none"/>
          <w:lang w:val="en-US" w:eastAsia="zh-CN"/>
          <w14:textFill>
            <w14:solidFill>
              <w14:schemeClr w14:val="tx1"/>
            </w14:solidFill>
          </w14:textFill>
        </w:rPr>
        <w:t>资格。</w:t>
      </w:r>
      <w:bookmarkStart w:id="30" w:name="OLE_LINK8"/>
    </w:p>
    <w:bookmarkEnd w:id="30"/>
    <w:p w14:paraId="079E0A21">
      <w:pPr>
        <w:pStyle w:val="46"/>
        <w:keepNext w:val="0"/>
        <w:keepLines w:val="0"/>
        <w:pageBreakBefore w:val="0"/>
        <w:tabs>
          <w:tab w:val="left" w:pos="0"/>
        </w:tabs>
        <w:kinsoku/>
        <w:wordWrap/>
        <w:overflowPunct/>
        <w:topLinePunct w:val="0"/>
        <w:autoSpaceDE/>
        <w:autoSpaceDN/>
        <w:bidi w:val="0"/>
        <w:adjustRightInd/>
        <w:spacing w:before="0" w:beforeAutospacing="0" w:after="0" w:afterAutospacing="0" w:line="500" w:lineRule="exact"/>
        <w:ind w:firstLine="48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注：供应商如已在云南 CA办理过企业数字证书（CA）的，直接绑定即可，无需重复办理。云南省外供应商在政采云平台办理的其他CA可直接使用，无需重复办理。</w:t>
      </w:r>
    </w:p>
    <w:p w14:paraId="18D72A92">
      <w:pPr>
        <w:pStyle w:val="46"/>
        <w:keepNext w:val="0"/>
        <w:keepLines w:val="0"/>
        <w:pageBreakBefore w:val="0"/>
        <w:tabs>
          <w:tab w:val="left" w:pos="0"/>
        </w:tabs>
        <w:kinsoku/>
        <w:wordWrap/>
        <w:overflowPunct/>
        <w:topLinePunct w:val="0"/>
        <w:autoSpaceDE/>
        <w:autoSpaceDN/>
        <w:bidi w:val="0"/>
        <w:adjustRightInd/>
        <w:spacing w:before="0" w:beforeAutospacing="0" w:after="0" w:afterAutospacing="0" w:line="500" w:lineRule="exact"/>
        <w:ind w:firstLine="480"/>
        <w:textAlignment w:val="auto"/>
        <w:rPr>
          <w:rFonts w:hint="eastAsia"/>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4.售价：¥0.00元。</w:t>
      </w:r>
    </w:p>
    <w:p w14:paraId="3C06B1A4">
      <w:pPr>
        <w:pStyle w:val="46"/>
        <w:tabs>
          <w:tab w:val="left" w:pos="0"/>
        </w:tabs>
        <w:spacing w:before="0" w:beforeAutospacing="0" w:after="0" w:afterAutospacing="0" w:line="460" w:lineRule="exact"/>
        <w:ind w:firstLine="480"/>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四、磋商响应文件递交及相关事宜</w:t>
      </w:r>
      <w:bookmarkEnd w:id="20"/>
      <w:bookmarkEnd w:id="21"/>
      <w:bookmarkEnd w:id="22"/>
      <w:bookmarkEnd w:id="23"/>
      <w:bookmarkEnd w:id="24"/>
      <w:bookmarkEnd w:id="25"/>
      <w:bookmarkEnd w:id="26"/>
      <w:bookmarkEnd w:id="27"/>
    </w:p>
    <w:p w14:paraId="0CE1F1E6">
      <w:pPr>
        <w:pStyle w:val="46"/>
        <w:tabs>
          <w:tab w:val="left" w:pos="0"/>
        </w:tabs>
        <w:spacing w:before="0" w:beforeAutospacing="0" w:after="0" w:afterAutospacing="0" w:line="460" w:lineRule="exact"/>
        <w:ind w:firstLine="480"/>
        <w:rPr>
          <w:color w:val="000000" w:themeColor="text1"/>
          <w:highlight w:val="none"/>
          <w14:textFill>
            <w14:solidFill>
              <w14:schemeClr w14:val="tx1"/>
            </w14:solidFill>
          </w14:textFill>
        </w:rPr>
      </w:pPr>
      <w:bookmarkStart w:id="31" w:name="_Toc500281680"/>
      <w:bookmarkStart w:id="32" w:name="_Toc501809864"/>
      <w:bookmarkStart w:id="33" w:name="_Toc505339275"/>
      <w:r>
        <w:rPr>
          <w:rFonts w:hint="eastAsia"/>
          <w:color w:val="000000" w:themeColor="text1"/>
          <w:highlight w:val="none"/>
          <w14:textFill>
            <w14:solidFill>
              <w14:schemeClr w14:val="tx1"/>
            </w14:solidFill>
          </w14:textFill>
        </w:rPr>
        <w:t>本次采购采用在“政府采购云平台”（www.zcygov.cn）上进行采购与递交响应文件，磋商响应文件递交及相关事宜如下：</w:t>
      </w:r>
    </w:p>
    <w:p w14:paraId="49F90DF2">
      <w:pPr>
        <w:pStyle w:val="46"/>
        <w:tabs>
          <w:tab w:val="left" w:pos="0"/>
        </w:tabs>
        <w:spacing w:before="0" w:beforeAutospacing="0" w:after="0" w:afterAutospacing="0"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1.响应文件递交截止时间（</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截止时间，下同）为202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8 </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时00分。</w:t>
      </w:r>
    </w:p>
    <w:p w14:paraId="0CEBE0A3">
      <w:pPr>
        <w:pStyle w:val="46"/>
        <w:tabs>
          <w:tab w:val="left" w:pos="0"/>
        </w:tabs>
        <w:spacing w:before="0" w:beforeAutospacing="0" w:after="0" w:afterAutospacing="0" w:line="460" w:lineRule="exact"/>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递交方式：网上递交。供应商应按照本项目采购文件和"政采云"平台的要求编制、加密后在响应文件递交截止时间前上传至“政府采购云平台”（www.zcygov.cn），响应文件递交截止时间前未完成响应文件上传的，视为撤回响应文件。供应商在"政采云"平台提交电子版响应文件时，请填写参加远程采购活动经办人及联系方式。</w:t>
      </w:r>
    </w:p>
    <w:p w14:paraId="57FB509B">
      <w:pPr>
        <w:pStyle w:val="46"/>
        <w:tabs>
          <w:tab w:val="left" w:pos="0"/>
        </w:tabs>
        <w:spacing w:before="0" w:beforeAutospacing="0" w:after="0" w:afterAutospacing="0" w:line="460" w:lineRule="exact"/>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.网上递交电子</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文件后，无需现场递交纸质</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文件及光盘。</w:t>
      </w:r>
    </w:p>
    <w:p w14:paraId="0231FE00">
      <w:pPr>
        <w:pStyle w:val="46"/>
        <w:tabs>
          <w:tab w:val="left" w:pos="0"/>
        </w:tabs>
        <w:spacing w:before="0" w:beforeAutospacing="0" w:after="0" w:afterAutospacing="0" w:line="460" w:lineRule="exact"/>
        <w:ind w:firstLine="48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在文件递交截止时间的登录系统，并根据开标系统的提示操作解密文件。如因供应商自身原因导致在规定时间内无法正常解密的（如：浏览器故障、未安装相关驱动、网络故障、加密CA与解密CA不一致等），采购人及代理机构不予异常处理，视为供应商自动</w:t>
      </w:r>
      <w:r>
        <w:rPr>
          <w:rFonts w:hint="eastAsia"/>
          <w:color w:val="000000" w:themeColor="text1"/>
          <w:highlight w:val="none"/>
          <w:lang w:val="en-US" w:eastAsia="zh-CN"/>
          <w14:textFill>
            <w14:solidFill>
              <w14:schemeClr w14:val="tx1"/>
            </w14:solidFill>
          </w14:textFill>
        </w:rPr>
        <w:t>放弃</w:t>
      </w:r>
      <w:r>
        <w:rPr>
          <w:rFonts w:hint="eastAsia"/>
          <w:color w:val="000000" w:themeColor="text1"/>
          <w:highlight w:val="none"/>
          <w14:textFill>
            <w14:solidFill>
              <w14:schemeClr w14:val="tx1"/>
            </w14:solidFill>
          </w14:textFill>
        </w:rPr>
        <w:t>。</w:t>
      </w:r>
    </w:p>
    <w:bookmarkEnd w:id="31"/>
    <w:bookmarkEnd w:id="32"/>
    <w:bookmarkEnd w:id="33"/>
    <w:p w14:paraId="374019C9">
      <w:pPr>
        <w:pStyle w:val="46"/>
        <w:tabs>
          <w:tab w:val="left" w:pos="0"/>
        </w:tabs>
        <w:spacing w:before="0" w:beforeAutospacing="0" w:after="0" w:afterAutospacing="0" w:line="460" w:lineRule="exact"/>
        <w:ind w:firstLine="480"/>
        <w:rPr>
          <w:b/>
          <w:bCs/>
          <w:color w:val="000000" w:themeColor="text1"/>
          <w:sz w:val="28"/>
          <w:szCs w:val="28"/>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在制作响应文件前，需先下载“政采云电子</w:t>
      </w:r>
      <w:r>
        <w:rPr>
          <w:rFonts w:hint="eastAsia"/>
          <w:color w:val="000000" w:themeColor="text1"/>
          <w:highlight w:val="none"/>
          <w:lang w:eastAsia="zh-CN"/>
          <w14:textFill>
            <w14:solidFill>
              <w14:schemeClr w14:val="tx1"/>
            </w14:solidFill>
          </w14:textFill>
        </w:rPr>
        <w:t>磋商</w:t>
      </w:r>
      <w:r>
        <w:rPr>
          <w:rFonts w:hint="eastAsia"/>
          <w:color w:val="000000" w:themeColor="text1"/>
          <w:highlight w:val="none"/>
          <w14:textFill>
            <w14:solidFill>
              <w14:schemeClr w14:val="tx1"/>
            </w14:solidFill>
          </w14:textFill>
        </w:rPr>
        <w:t>客户端”及驱动程序进行安装，下载安装完成之后，可通过账号密码或CA登录客户端制作响应文件（客户端下载网址：https://customer.zcygov.cn/CA-driver-download ）。</w:t>
      </w:r>
    </w:p>
    <w:p w14:paraId="2E16D6D1">
      <w:pPr>
        <w:pStyle w:val="46"/>
        <w:tabs>
          <w:tab w:val="left" w:pos="0"/>
        </w:tabs>
        <w:spacing w:before="0" w:beforeAutospacing="0" w:after="0" w:afterAutospacing="0" w:line="460" w:lineRule="exact"/>
        <w:ind w:firstLine="480"/>
        <w:rPr>
          <w:b/>
          <w:bCs/>
          <w:color w:val="000000" w:themeColor="text1"/>
          <w:sz w:val="28"/>
          <w:szCs w:val="28"/>
          <w:highlight w:val="none"/>
          <w14:textFill>
            <w14:solidFill>
              <w14:schemeClr w14:val="tx1"/>
            </w14:solidFill>
          </w14:textFill>
        </w:rPr>
      </w:pPr>
      <w:bookmarkStart w:id="34" w:name="_Toc29925"/>
      <w:r>
        <w:rPr>
          <w:rFonts w:hint="eastAsia"/>
          <w:b/>
          <w:bCs/>
          <w:color w:val="000000" w:themeColor="text1"/>
          <w:sz w:val="28"/>
          <w:szCs w:val="28"/>
          <w:highlight w:val="none"/>
          <w14:textFill>
            <w14:solidFill>
              <w14:schemeClr w14:val="tx1"/>
            </w14:solidFill>
          </w14:textFill>
        </w:rPr>
        <w:t>五、响应文件开启：</w:t>
      </w:r>
      <w:bookmarkEnd w:id="34"/>
    </w:p>
    <w:p w14:paraId="61804CEE">
      <w:pPr>
        <w:pStyle w:val="46"/>
        <w:tabs>
          <w:tab w:val="left" w:pos="0"/>
        </w:tabs>
        <w:spacing w:before="0" w:beforeAutospacing="0" w:after="0" w:afterAutospacing="0"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1.时间：202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时00分（北京时间</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具体时间以系统为准</w:t>
      </w:r>
      <w:r>
        <w:rPr>
          <w:rFonts w:hint="eastAsia"/>
          <w:color w:val="000000" w:themeColor="text1"/>
          <w:highlight w:val="none"/>
          <w14:textFill>
            <w14:solidFill>
              <w14:schemeClr w14:val="tx1"/>
            </w14:solidFill>
          </w14:textFill>
        </w:rPr>
        <w:t>）。</w:t>
      </w:r>
    </w:p>
    <w:p w14:paraId="7637E1A4">
      <w:pPr>
        <w:pStyle w:val="46"/>
        <w:tabs>
          <w:tab w:val="left" w:pos="0"/>
        </w:tabs>
        <w:spacing w:before="0" w:beforeAutospacing="0" w:after="0" w:afterAutospacing="0" w:line="460" w:lineRule="exact"/>
        <w:ind w:firstLine="480"/>
        <w:rPr>
          <w:b/>
          <w:bCs/>
          <w:color w:val="auto"/>
          <w:sz w:val="28"/>
          <w:szCs w:val="28"/>
          <w:highlight w:val="yellow"/>
        </w:rPr>
      </w:pPr>
      <w:r>
        <w:rPr>
          <w:rFonts w:hint="eastAsia"/>
          <w:color w:val="auto"/>
          <w:highlight w:val="none"/>
        </w:rPr>
        <w:t>2.地点：政采云平台电子开标厅</w:t>
      </w:r>
    </w:p>
    <w:bookmarkEnd w:id="10"/>
    <w:bookmarkEnd w:id="11"/>
    <w:p w14:paraId="38E0B2BF">
      <w:pPr>
        <w:pStyle w:val="12"/>
        <w:spacing w:line="460" w:lineRule="exact"/>
        <w:ind w:left="0" w:leftChars="0" w:firstLine="554" w:firstLineChars="200"/>
        <w:rPr>
          <w:rFonts w:ascii="宋体" w:hAnsi="宋体" w:cs="宋体"/>
          <w:b/>
          <w:bCs/>
          <w:color w:val="000000" w:themeColor="text1"/>
          <w:spacing w:val="-2"/>
          <w:kern w:val="2"/>
          <w:sz w:val="28"/>
          <w:szCs w:val="28"/>
          <w:highlight w:val="none"/>
          <w14:textFill>
            <w14:solidFill>
              <w14:schemeClr w14:val="tx1"/>
            </w14:solidFill>
          </w14:textFill>
        </w:rPr>
      </w:pPr>
      <w:bookmarkStart w:id="35" w:name="_Toc5391"/>
      <w:r>
        <w:rPr>
          <w:rFonts w:hint="eastAsia" w:ascii="宋体" w:hAnsi="宋体" w:cs="宋体"/>
          <w:b/>
          <w:bCs/>
          <w:color w:val="000000" w:themeColor="text1"/>
          <w:spacing w:val="-2"/>
          <w:kern w:val="2"/>
          <w:sz w:val="28"/>
          <w:szCs w:val="28"/>
          <w:highlight w:val="none"/>
          <w14:textFill>
            <w14:solidFill>
              <w14:schemeClr w14:val="tx1"/>
            </w14:solidFill>
          </w14:textFill>
        </w:rPr>
        <w:t>六、公告期限</w:t>
      </w:r>
      <w:bookmarkEnd w:id="35"/>
    </w:p>
    <w:p w14:paraId="18237C17">
      <w:pPr>
        <w:pStyle w:val="12"/>
        <w:spacing w:line="460" w:lineRule="exact"/>
        <w:ind w:left="0" w:leftChars="0" w:firstLine="472" w:firstLineChars="200"/>
        <w:rPr>
          <w:color w:val="000000" w:themeColor="text1"/>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自本公告发布之日起3个工作日。</w:t>
      </w:r>
    </w:p>
    <w:p w14:paraId="7BD7424D">
      <w:pPr>
        <w:pStyle w:val="12"/>
        <w:spacing w:line="460" w:lineRule="exact"/>
        <w:ind w:left="0" w:leftChars="0" w:firstLine="554" w:firstLineChars="200"/>
        <w:rPr>
          <w:rFonts w:ascii="宋体" w:hAnsi="宋体" w:cs="宋体"/>
          <w:b/>
          <w:bCs/>
          <w:color w:val="000000" w:themeColor="text1"/>
          <w:spacing w:val="-2"/>
          <w:kern w:val="2"/>
          <w:sz w:val="28"/>
          <w:szCs w:val="28"/>
          <w:highlight w:val="none"/>
          <w14:textFill>
            <w14:solidFill>
              <w14:schemeClr w14:val="tx1"/>
            </w14:solidFill>
          </w14:textFill>
        </w:rPr>
      </w:pPr>
      <w:bookmarkStart w:id="36" w:name="_Toc18434"/>
      <w:r>
        <w:rPr>
          <w:rFonts w:hint="eastAsia" w:ascii="宋体" w:hAnsi="宋体" w:cs="宋体"/>
          <w:b/>
          <w:bCs/>
          <w:color w:val="000000" w:themeColor="text1"/>
          <w:spacing w:val="-2"/>
          <w:kern w:val="2"/>
          <w:sz w:val="28"/>
          <w:szCs w:val="28"/>
          <w:highlight w:val="none"/>
          <w14:textFill>
            <w14:solidFill>
              <w14:schemeClr w14:val="tx1"/>
            </w14:solidFill>
          </w14:textFill>
        </w:rPr>
        <w:t>七、其他补充事宜</w:t>
      </w:r>
      <w:bookmarkEnd w:id="36"/>
    </w:p>
    <w:p w14:paraId="05D74484">
      <w:pPr>
        <w:pStyle w:val="12"/>
        <w:spacing w:line="460" w:lineRule="exact"/>
        <w:ind w:left="0" w:leftChars="0" w:firstLine="472" w:firstLineChars="200"/>
        <w:rPr>
          <w:rFonts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1.磋商保证金金额：</w:t>
      </w:r>
      <w:r>
        <w:rPr>
          <w:rFonts w:hint="eastAsia" w:ascii="宋体" w:hAnsi="宋体" w:cs="宋体"/>
          <w:color w:val="000000" w:themeColor="text1"/>
          <w:spacing w:val="-2"/>
          <w:kern w:val="2"/>
          <w:highlight w:val="none"/>
          <w:lang w:val="en-US" w:eastAsia="zh-CN"/>
          <w14:textFill>
            <w14:solidFill>
              <w14:schemeClr w14:val="tx1"/>
            </w14:solidFill>
          </w14:textFill>
        </w:rPr>
        <w:t>5000</w:t>
      </w:r>
      <w:r>
        <w:rPr>
          <w:rFonts w:hint="eastAsia" w:ascii="宋体" w:hAnsi="宋体" w:cs="宋体"/>
          <w:color w:val="000000" w:themeColor="text1"/>
          <w:spacing w:val="-2"/>
          <w:kern w:val="2"/>
          <w:highlight w:val="none"/>
          <w14:textFill>
            <w14:solidFill>
              <w14:schemeClr w14:val="tx1"/>
            </w14:solidFill>
          </w14:textFill>
        </w:rPr>
        <w:t>.00元</w:t>
      </w:r>
    </w:p>
    <w:p w14:paraId="17219011">
      <w:pPr>
        <w:pStyle w:val="12"/>
        <w:spacing w:line="460" w:lineRule="exact"/>
        <w:ind w:left="0" w:leftChars="0" w:firstLine="472" w:firstLineChars="200"/>
        <w:rPr>
          <w:rFonts w:hint="eastAsia" w:ascii="宋体" w:hAnsi="宋体" w:eastAsia="宋体" w:cs="宋体"/>
          <w:color w:val="000000" w:themeColor="text1"/>
          <w:spacing w:val="-2"/>
          <w:kern w:val="2"/>
          <w:highlight w:val="none"/>
          <w:lang w:eastAsia="zh-CN"/>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2.保证金缴纳方式：</w:t>
      </w:r>
      <w:r>
        <w:rPr>
          <w:rFonts w:hint="eastAsia" w:ascii="宋体" w:hAnsi="宋体" w:cs="宋体"/>
          <w:color w:val="000000" w:themeColor="text1"/>
          <w:spacing w:val="-2"/>
          <w:kern w:val="2"/>
          <w:highlight w:val="none"/>
          <w:lang w:eastAsia="zh-CN"/>
          <w14:textFill>
            <w14:solidFill>
              <w14:schemeClr w14:val="tx1"/>
            </w14:solidFill>
          </w14:textFill>
        </w:rPr>
        <w:t>银行转账、银行保函、保证保险及法律法规允许的其他方式以非现金形式提交磋商保证金。</w:t>
      </w:r>
    </w:p>
    <w:p w14:paraId="49940CEC">
      <w:pPr>
        <w:pStyle w:val="12"/>
        <w:spacing w:line="460" w:lineRule="exact"/>
        <w:ind w:left="0" w:leftChars="0" w:firstLine="472" w:firstLineChars="200"/>
        <w:rPr>
          <w:rFonts w:hint="default" w:ascii="宋体" w:hAnsi="宋体" w:eastAsia="宋体" w:cs="宋体"/>
          <w:color w:val="000000" w:themeColor="text1"/>
          <w:spacing w:val="-2"/>
          <w:kern w:val="2"/>
          <w:highlight w:val="none"/>
          <w:lang w:val="en-US" w:eastAsia="zh-CN"/>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3.保证金缴纳截止时间：</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时00分</w:t>
      </w:r>
      <w:r>
        <w:rPr>
          <w:rFonts w:hint="eastAsia" w:ascii="宋体" w:hAnsi="宋体" w:cs="宋体"/>
          <w:color w:val="000000" w:themeColor="text1"/>
          <w:spacing w:val="-2"/>
          <w:kern w:val="2"/>
          <w:highlight w:val="none"/>
          <w:lang w:eastAsia="zh-CN"/>
          <w14:textFill>
            <w14:solidFill>
              <w14:schemeClr w14:val="tx1"/>
            </w14:solidFill>
          </w14:textFill>
        </w:rPr>
        <w:t>，</w:t>
      </w:r>
      <w:r>
        <w:rPr>
          <w:rFonts w:hint="eastAsia" w:ascii="宋体" w:hAnsi="宋体" w:cs="宋体"/>
          <w:color w:val="000000" w:themeColor="text1"/>
          <w:spacing w:val="-2"/>
          <w:kern w:val="2"/>
          <w:highlight w:val="none"/>
          <w:lang w:val="en-US" w:eastAsia="zh-CN"/>
          <w14:textFill>
            <w14:solidFill>
              <w14:schemeClr w14:val="tx1"/>
            </w14:solidFill>
          </w14:textFill>
        </w:rPr>
        <w:t>具体时间以系统为准。</w:t>
      </w:r>
    </w:p>
    <w:p w14:paraId="339FBD7C">
      <w:pPr>
        <w:pStyle w:val="12"/>
        <w:spacing w:line="460" w:lineRule="exact"/>
        <w:ind w:left="0" w:leftChars="0" w:firstLine="472" w:firstLineChars="200"/>
        <w:rPr>
          <w:rFonts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4.转账的方式提交磋商保证金的，磋商保证金缴纳账户如下：</w:t>
      </w:r>
    </w:p>
    <w:p w14:paraId="7E7C73C1">
      <w:pPr>
        <w:pStyle w:val="12"/>
        <w:spacing w:line="360" w:lineRule="auto"/>
        <w:ind w:left="0" w:leftChars="0" w:firstLine="472" w:firstLineChars="200"/>
        <w:rPr>
          <w:rFonts w:hint="eastAsia"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户名：云南彬钥工程管理有限公司</w:t>
      </w:r>
    </w:p>
    <w:p w14:paraId="531AE2BC">
      <w:pPr>
        <w:pStyle w:val="12"/>
        <w:spacing w:line="360" w:lineRule="auto"/>
        <w:ind w:left="0" w:leftChars="0" w:firstLine="472" w:firstLineChars="200"/>
        <w:rPr>
          <w:rFonts w:hint="eastAsia"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开户行：云南施甸农村商业银行股份有限公司</w:t>
      </w:r>
    </w:p>
    <w:p w14:paraId="19ED0595">
      <w:pPr>
        <w:pStyle w:val="12"/>
        <w:spacing w:line="360" w:lineRule="auto"/>
        <w:ind w:left="0" w:leftChars="0" w:firstLine="472" w:firstLineChars="200"/>
        <w:rPr>
          <w:rFonts w:hint="eastAsia"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保证金提交账号：2500027368680012</w:t>
      </w:r>
    </w:p>
    <w:p w14:paraId="71E2ED45">
      <w:pPr>
        <w:pStyle w:val="12"/>
        <w:spacing w:line="360" w:lineRule="auto"/>
        <w:ind w:left="0" w:leftChars="0" w:firstLine="472" w:firstLineChars="200"/>
        <w:rPr>
          <w:rFonts w:hint="eastAsia" w:ascii="宋体" w:hAnsi="宋体" w:cs="宋体"/>
          <w:color w:val="000000" w:themeColor="text1"/>
          <w:spacing w:val="-2"/>
          <w:kern w:val="2"/>
          <w:highlight w:val="none"/>
          <w:lang w:val="en-US" w:eastAsia="zh-CN"/>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注：注明项目名称</w:t>
      </w:r>
      <w:r>
        <w:rPr>
          <w:rFonts w:hint="eastAsia" w:ascii="宋体" w:hAnsi="宋体" w:cs="宋体"/>
          <w:color w:val="000000" w:themeColor="text1"/>
          <w:spacing w:val="-2"/>
          <w:kern w:val="2"/>
          <w:highlight w:val="none"/>
          <w:lang w:val="en-US" w:eastAsia="zh-CN"/>
          <w14:textFill>
            <w14:solidFill>
              <w14:schemeClr w14:val="tx1"/>
            </w14:solidFill>
          </w14:textFill>
        </w:rPr>
        <w:t xml:space="preserve"> </w:t>
      </w:r>
    </w:p>
    <w:p w14:paraId="5EE2EB85">
      <w:pPr>
        <w:pStyle w:val="12"/>
        <w:spacing w:line="360" w:lineRule="auto"/>
        <w:ind w:left="0" w:leftChars="0" w:firstLine="472" w:firstLineChars="200"/>
        <w:rPr>
          <w:rFonts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14:textFill>
            <w14:solidFill>
              <w14:schemeClr w14:val="tx1"/>
            </w14:solidFill>
          </w14:textFill>
        </w:rPr>
        <w:t>5.</w:t>
      </w:r>
      <w:r>
        <w:rPr>
          <w:rFonts w:hint="eastAsia" w:ascii="宋体" w:hAnsi="宋体" w:cs="宋体"/>
          <w:color w:val="000000" w:themeColor="text1"/>
          <w:spacing w:val="-2"/>
          <w:kern w:val="2"/>
          <w:highlight w:val="none"/>
          <w:lang w:eastAsia="zh-CN"/>
          <w14:textFill>
            <w14:solidFill>
              <w14:schemeClr w14:val="tx1"/>
            </w14:solidFill>
          </w14:textFill>
        </w:rPr>
        <w:t>供应商</w:t>
      </w:r>
      <w:r>
        <w:rPr>
          <w:rFonts w:hint="eastAsia" w:ascii="宋体" w:hAnsi="宋体" w:cs="宋体"/>
          <w:color w:val="000000" w:themeColor="text1"/>
          <w:spacing w:val="-2"/>
          <w:kern w:val="2"/>
          <w:highlight w:val="none"/>
          <w14:textFill>
            <w14:solidFill>
              <w14:schemeClr w14:val="tx1"/>
            </w14:solidFill>
          </w14:textFill>
        </w:rPr>
        <w:t>采用银行保函或保证保险或其他非现金方式提供磋商保证金的按照国家现行规定实施。其中银行保函或保证保险可进行线下购买，也可以通过“政府采购云平台”中“金融支持”模块进行购买，政采云金融专线400-903-9583。</w:t>
      </w:r>
    </w:p>
    <w:p w14:paraId="5AA71C93">
      <w:pPr>
        <w:pStyle w:val="12"/>
        <w:spacing w:line="360" w:lineRule="auto"/>
        <w:ind w:left="0" w:leftChars="0" w:firstLine="472" w:firstLineChars="200"/>
        <w:rPr>
          <w:rFonts w:hint="eastAsia" w:ascii="宋体" w:hAnsi="宋体" w:eastAsia="宋体" w:cs="宋体"/>
          <w:color w:val="000000" w:themeColor="text1"/>
          <w:spacing w:val="-2"/>
          <w:kern w:val="2"/>
          <w:highlight w:val="none"/>
          <w:lang w:val="en-US" w:eastAsia="zh-CN"/>
          <w14:textFill>
            <w14:solidFill>
              <w14:schemeClr w14:val="tx1"/>
            </w14:solidFill>
          </w14:textFill>
        </w:rPr>
      </w:pPr>
      <w:r>
        <w:rPr>
          <w:rFonts w:hint="eastAsia" w:ascii="宋体" w:hAnsi="宋体" w:eastAsia="宋体" w:cs="宋体"/>
          <w:color w:val="000000" w:themeColor="text1"/>
          <w:spacing w:val="-2"/>
          <w:kern w:val="2"/>
          <w:highlight w:val="none"/>
          <w:lang w:val="en-US" w:eastAsia="zh-CN"/>
          <w14:textFill>
            <w14:solidFill>
              <w14:schemeClr w14:val="tx1"/>
            </w14:solidFill>
          </w14:textFill>
        </w:rPr>
        <w:t>6.发布公告的媒介：本次磋商公告在《云南省政府采购网》上发布，采购人及采购代理机构对其他网站发布或转载的公告内容不承担任何责任。</w:t>
      </w:r>
    </w:p>
    <w:p w14:paraId="3AF52417">
      <w:pPr>
        <w:pStyle w:val="12"/>
        <w:spacing w:line="360" w:lineRule="auto"/>
        <w:ind w:left="0" w:leftChars="0" w:firstLine="472" w:firstLineChars="200"/>
        <w:rPr>
          <w:rFonts w:hint="eastAsia" w:ascii="宋体" w:hAnsi="宋体" w:eastAsia="宋体" w:cs="宋体"/>
          <w:color w:val="000000" w:themeColor="text1"/>
          <w:spacing w:val="-2"/>
          <w:kern w:val="2"/>
          <w:highlight w:val="none"/>
          <w:lang w:val="en-US" w:eastAsia="zh-CN"/>
          <w14:textFill>
            <w14:solidFill>
              <w14:schemeClr w14:val="tx1"/>
            </w14:solidFill>
          </w14:textFill>
        </w:rPr>
      </w:pPr>
      <w:r>
        <w:rPr>
          <w:rFonts w:hint="eastAsia" w:ascii="宋体" w:hAnsi="宋体" w:eastAsia="宋体" w:cs="宋体"/>
          <w:color w:val="000000" w:themeColor="text1"/>
          <w:spacing w:val="-2"/>
          <w:kern w:val="2"/>
          <w:highlight w:val="none"/>
          <w:lang w:val="en-US" w:eastAsia="zh-CN"/>
          <w14:textFill>
            <w14:solidFill>
              <w14:schemeClr w14:val="tx1"/>
            </w14:solidFill>
          </w14:textFill>
        </w:rPr>
        <w:t>7.采购代理服务费：</w:t>
      </w:r>
      <w:r>
        <w:rPr>
          <w:rFonts w:hint="eastAsia" w:ascii="宋体" w:hAnsi="宋体" w:eastAsia="宋体" w:cs="宋体"/>
          <w:color w:val="000000" w:themeColor="text1"/>
          <w:spacing w:val="-2"/>
          <w:kern w:val="2"/>
          <w:highlight w:val="none"/>
          <w:lang w:val="en-US" w:eastAsia="zh-CN"/>
          <w14:textFill>
            <w14:solidFill>
              <w14:schemeClr w14:val="tx1"/>
            </w14:solidFill>
          </w14:textFill>
        </w:rPr>
        <w:fldChar w:fldCharType="begin"/>
      </w:r>
      <w:r>
        <w:rPr>
          <w:rFonts w:hint="eastAsia" w:ascii="宋体" w:hAnsi="宋体" w:eastAsia="宋体" w:cs="宋体"/>
          <w:color w:val="000000" w:themeColor="text1"/>
          <w:spacing w:val="-2"/>
          <w:kern w:val="2"/>
          <w:highlight w:val="none"/>
          <w:lang w:val="en-US" w:eastAsia="zh-CN"/>
          <w14:textFill>
            <w14:solidFill>
              <w14:schemeClr w14:val="tx1"/>
            </w14:solidFill>
          </w14:textFill>
        </w:rPr>
        <w:instrText xml:space="preserve"> AUTOTEXT  input301 \* MERGEFORMAT </w:instrText>
      </w:r>
      <w:r>
        <w:rPr>
          <w:rFonts w:hint="eastAsia" w:ascii="宋体" w:hAnsi="宋体" w:eastAsia="宋体" w:cs="宋体"/>
          <w:color w:val="000000" w:themeColor="text1"/>
          <w:spacing w:val="-2"/>
          <w:kern w:val="2"/>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pacing w:val="-2"/>
          <w:kern w:val="2"/>
          <w:highlight w:val="none"/>
          <w:lang w:val="en-US" w:eastAsia="zh-CN"/>
          <w14:textFill>
            <w14:solidFill>
              <w14:schemeClr w14:val="tx1"/>
            </w14:solidFill>
          </w14:textFill>
        </w:rPr>
        <w:t>按照关于印发《云南省建设工程</w:t>
      </w:r>
      <w:r>
        <w:rPr>
          <w:rFonts w:hint="eastAsia" w:ascii="宋体" w:hAnsi="宋体" w:cs="宋体"/>
          <w:color w:val="000000" w:themeColor="text1"/>
          <w:spacing w:val="-2"/>
          <w:kern w:val="2"/>
          <w:highlight w:val="none"/>
          <w:lang w:val="en-US" w:eastAsia="zh-CN"/>
          <w14:textFill>
            <w14:solidFill>
              <w14:schemeClr w14:val="tx1"/>
            </w14:solidFill>
          </w14:textFill>
        </w:rPr>
        <w:t>采购人</w:t>
      </w:r>
      <w:r>
        <w:rPr>
          <w:rFonts w:hint="eastAsia" w:ascii="宋体" w:hAnsi="宋体" w:eastAsia="宋体" w:cs="宋体"/>
          <w:color w:val="000000" w:themeColor="text1"/>
          <w:spacing w:val="-2"/>
          <w:kern w:val="2"/>
          <w:highlight w:val="none"/>
          <w:lang w:val="en-US" w:eastAsia="zh-CN"/>
          <w14:textFill>
            <w14:solidFill>
              <w14:schemeClr w14:val="tx1"/>
            </w14:solidFill>
          </w14:textFill>
        </w:rPr>
        <w:t>代理服务收费指导意见（试行）》的通知</w:t>
      </w:r>
      <w:r>
        <w:rPr>
          <w:rFonts w:hint="eastAsia" w:ascii="宋体" w:hAnsi="宋体" w:cs="宋体"/>
          <w:color w:val="000000" w:themeColor="text1"/>
          <w:spacing w:val="-2"/>
          <w:kern w:val="2"/>
          <w:highlight w:val="none"/>
          <w:lang w:val="en-US" w:eastAsia="zh-CN"/>
          <w14:textFill>
            <w14:solidFill>
              <w14:schemeClr w14:val="tx1"/>
            </w14:solidFill>
          </w14:textFill>
        </w:rPr>
        <w:t>（</w:t>
      </w:r>
      <w:r>
        <w:rPr>
          <w:rFonts w:hint="eastAsia" w:ascii="宋体" w:hAnsi="宋体" w:eastAsia="宋体" w:cs="宋体"/>
          <w:color w:val="000000" w:themeColor="text1"/>
          <w:spacing w:val="-2"/>
          <w:kern w:val="2"/>
          <w:highlight w:val="none"/>
          <w:lang w:val="en-US" w:eastAsia="zh-CN"/>
          <w14:textFill>
            <w14:solidFill>
              <w14:schemeClr w14:val="tx1"/>
            </w14:solidFill>
          </w14:textFill>
        </w:rPr>
        <w:t>云建招协</w:t>
      </w:r>
      <w:r>
        <w:rPr>
          <w:rFonts w:hint="eastAsia" w:ascii="宋体" w:hAnsi="宋体" w:cs="宋体"/>
          <w:color w:val="000000" w:themeColor="text1"/>
          <w:spacing w:val="-2"/>
          <w:kern w:val="2"/>
          <w:highlight w:val="none"/>
          <w:lang w:val="en-US" w:eastAsia="zh-CN"/>
          <w14:textFill>
            <w14:solidFill>
              <w14:schemeClr w14:val="tx1"/>
            </w14:solidFill>
          </w14:textFill>
        </w:rPr>
        <w:t>〔</w:t>
      </w:r>
      <w:r>
        <w:rPr>
          <w:rFonts w:hint="eastAsia" w:ascii="宋体" w:hAnsi="宋体" w:eastAsia="宋体" w:cs="宋体"/>
          <w:color w:val="000000" w:themeColor="text1"/>
          <w:spacing w:val="-2"/>
          <w:kern w:val="2"/>
          <w:highlight w:val="none"/>
          <w:lang w:val="en-US" w:eastAsia="zh-CN"/>
          <w14:textFill>
            <w14:solidFill>
              <w14:schemeClr w14:val="tx1"/>
            </w14:solidFill>
          </w14:textFill>
        </w:rPr>
        <w:t>2023</w:t>
      </w:r>
      <w:r>
        <w:rPr>
          <w:rFonts w:hint="eastAsia" w:ascii="宋体" w:hAnsi="宋体" w:cs="宋体"/>
          <w:color w:val="000000" w:themeColor="text1"/>
          <w:spacing w:val="-2"/>
          <w:kern w:val="2"/>
          <w:highlight w:val="none"/>
          <w:lang w:val="en-US" w:eastAsia="zh-CN"/>
          <w14:textFill>
            <w14:solidFill>
              <w14:schemeClr w14:val="tx1"/>
            </w14:solidFill>
          </w14:textFill>
        </w:rPr>
        <w:t>〕</w:t>
      </w:r>
      <w:r>
        <w:rPr>
          <w:rFonts w:hint="eastAsia" w:ascii="宋体" w:hAnsi="宋体" w:eastAsia="宋体" w:cs="宋体"/>
          <w:color w:val="000000" w:themeColor="text1"/>
          <w:spacing w:val="-2"/>
          <w:kern w:val="2"/>
          <w:highlight w:val="none"/>
          <w:lang w:val="en-US" w:eastAsia="zh-CN"/>
          <w14:textFill>
            <w14:solidFill>
              <w14:schemeClr w14:val="tx1"/>
            </w14:solidFill>
          </w14:textFill>
        </w:rPr>
        <w:t>51号</w:t>
      </w:r>
      <w:r>
        <w:rPr>
          <w:rFonts w:hint="eastAsia" w:ascii="宋体" w:hAnsi="宋体" w:cs="宋体"/>
          <w:color w:val="000000" w:themeColor="text1"/>
          <w:spacing w:val="-2"/>
          <w:kern w:val="2"/>
          <w:highlight w:val="none"/>
          <w:lang w:val="en-US" w:eastAsia="zh-CN"/>
          <w14:textFill>
            <w14:solidFill>
              <w14:schemeClr w14:val="tx1"/>
            </w14:solidFill>
          </w14:textFill>
        </w:rPr>
        <w:t>）</w:t>
      </w:r>
      <w:r>
        <w:rPr>
          <w:rFonts w:hint="eastAsia" w:ascii="宋体" w:hAnsi="宋体" w:eastAsia="宋体" w:cs="宋体"/>
          <w:color w:val="000000" w:themeColor="text1"/>
          <w:spacing w:val="-2"/>
          <w:kern w:val="2"/>
          <w:highlight w:val="none"/>
          <w:lang w:val="en-US" w:eastAsia="zh-CN"/>
          <w14:textFill>
            <w14:solidFill>
              <w14:schemeClr w14:val="tx1"/>
            </w14:solidFill>
          </w14:textFill>
        </w:rPr>
        <w:t>的规定计取，由</w:t>
      </w:r>
      <w:r>
        <w:rPr>
          <w:rFonts w:hint="eastAsia" w:ascii="宋体" w:hAnsi="宋体" w:cs="宋体"/>
          <w:color w:val="000000" w:themeColor="text1"/>
          <w:spacing w:val="-2"/>
          <w:kern w:val="2"/>
          <w:highlight w:val="none"/>
          <w:lang w:val="en-US" w:eastAsia="zh-CN"/>
          <w14:textFill>
            <w14:solidFill>
              <w14:schemeClr w14:val="tx1"/>
            </w14:solidFill>
          </w14:textFill>
        </w:rPr>
        <w:t>成交人</w:t>
      </w:r>
      <w:r>
        <w:rPr>
          <w:rFonts w:hint="eastAsia" w:ascii="宋体" w:hAnsi="宋体" w:eastAsia="宋体" w:cs="宋体"/>
          <w:color w:val="000000" w:themeColor="text1"/>
          <w:spacing w:val="-2"/>
          <w:kern w:val="2"/>
          <w:highlight w:val="none"/>
          <w:lang w:val="en-US" w:eastAsia="zh-CN"/>
          <w14:textFill>
            <w14:solidFill>
              <w14:schemeClr w14:val="tx1"/>
            </w14:solidFill>
          </w14:textFill>
        </w:rPr>
        <w:t>在领取</w:t>
      </w:r>
      <w:r>
        <w:rPr>
          <w:rFonts w:hint="eastAsia" w:ascii="宋体" w:hAnsi="宋体" w:cs="宋体"/>
          <w:color w:val="000000" w:themeColor="text1"/>
          <w:spacing w:val="-2"/>
          <w:kern w:val="2"/>
          <w:highlight w:val="none"/>
          <w:lang w:val="en-US" w:eastAsia="zh-CN"/>
          <w14:textFill>
            <w14:solidFill>
              <w14:schemeClr w14:val="tx1"/>
            </w14:solidFill>
          </w14:textFill>
        </w:rPr>
        <w:t>成交</w:t>
      </w:r>
      <w:r>
        <w:rPr>
          <w:rFonts w:hint="eastAsia" w:ascii="宋体" w:hAnsi="宋体" w:eastAsia="宋体" w:cs="宋体"/>
          <w:color w:val="000000" w:themeColor="text1"/>
          <w:spacing w:val="-2"/>
          <w:kern w:val="2"/>
          <w:highlight w:val="none"/>
          <w:lang w:val="en-US" w:eastAsia="zh-CN"/>
          <w14:textFill>
            <w14:solidFill>
              <w14:schemeClr w14:val="tx1"/>
            </w14:solidFill>
          </w14:textFill>
        </w:rPr>
        <w:t>通知书时一次性向代理机构支付。</w:t>
      </w:r>
      <w:r>
        <w:rPr>
          <w:rFonts w:hint="eastAsia" w:ascii="宋体" w:hAnsi="宋体" w:eastAsia="宋体" w:cs="宋体"/>
          <w:color w:val="000000" w:themeColor="text1"/>
          <w:spacing w:val="-2"/>
          <w:kern w:val="2"/>
          <w:highlight w:val="none"/>
          <w:lang w:val="en-US" w:eastAsia="zh-CN"/>
          <w14:textFill>
            <w14:solidFill>
              <w14:schemeClr w14:val="tx1"/>
            </w14:solidFill>
          </w14:textFill>
        </w:rPr>
        <w:fldChar w:fldCharType="end"/>
      </w:r>
    </w:p>
    <w:p w14:paraId="1D31EDFB">
      <w:pPr>
        <w:pStyle w:val="12"/>
        <w:keepNext w:val="0"/>
        <w:keepLines w:val="0"/>
        <w:pageBreakBefore w:val="0"/>
        <w:widowControl/>
        <w:kinsoku/>
        <w:wordWrap w:val="0"/>
        <w:overflowPunct/>
        <w:topLinePunct w:val="0"/>
        <w:autoSpaceDE/>
        <w:autoSpaceDN/>
        <w:bidi w:val="0"/>
        <w:adjustRightInd/>
        <w:snapToGrid/>
        <w:spacing w:line="360" w:lineRule="auto"/>
        <w:ind w:left="0" w:leftChars="0" w:firstLine="472" w:firstLineChars="200"/>
        <w:textAlignment w:val="auto"/>
        <w:rPr>
          <w:rFonts w:hint="default" w:ascii="宋体" w:hAnsi="宋体" w:eastAsia="宋体" w:cs="宋体"/>
          <w:color w:val="000000" w:themeColor="text1"/>
          <w:spacing w:val="-2"/>
          <w:kern w:val="2"/>
          <w:highlight w:val="none"/>
          <w:lang w:val="en-US" w:eastAsia="zh-CN"/>
          <w14:textFill>
            <w14:solidFill>
              <w14:schemeClr w14:val="tx1"/>
            </w14:solidFill>
          </w14:textFill>
        </w:rPr>
      </w:pPr>
      <w:r>
        <w:rPr>
          <w:rFonts w:hint="eastAsia" w:ascii="宋体" w:hAnsi="宋体" w:eastAsia="宋体" w:cs="宋体"/>
          <w:color w:val="000000" w:themeColor="text1"/>
          <w:spacing w:val="-2"/>
          <w:kern w:val="2"/>
          <w:highlight w:val="none"/>
          <w:lang w:val="en-US" w:eastAsia="zh-CN"/>
          <w14:textFill>
            <w14:solidFill>
              <w14:schemeClr w14:val="tx1"/>
            </w14:solidFill>
          </w14:textFill>
        </w:rPr>
        <w:t>8.采购意向公开情况：根据《财政部关于开展政府采购意向公开工作的通知》（财库</w:t>
      </w:r>
      <w:r>
        <w:rPr>
          <w:rFonts w:hint="eastAsia" w:ascii="宋体" w:hAnsi="宋体" w:cs="宋体"/>
          <w:color w:val="000000" w:themeColor="text1"/>
          <w:spacing w:val="-2"/>
          <w:kern w:val="2"/>
          <w:highlight w:val="none"/>
          <w:lang w:val="en-US" w:eastAsia="zh-CN"/>
          <w14:textFill>
            <w14:solidFill>
              <w14:schemeClr w14:val="tx1"/>
            </w14:solidFill>
          </w14:textFill>
        </w:rPr>
        <w:t>〔</w:t>
      </w:r>
      <w:r>
        <w:rPr>
          <w:rFonts w:hint="eastAsia" w:ascii="宋体" w:hAnsi="宋体" w:eastAsia="宋体" w:cs="宋体"/>
          <w:color w:val="000000" w:themeColor="text1"/>
          <w:spacing w:val="-2"/>
          <w:kern w:val="2"/>
          <w:highlight w:val="none"/>
          <w:lang w:val="en-US" w:eastAsia="zh-CN"/>
          <w14:textFill>
            <w14:solidFill>
              <w14:schemeClr w14:val="tx1"/>
            </w14:solidFill>
          </w14:textFill>
        </w:rPr>
        <w:t>202</w:t>
      </w:r>
      <w:r>
        <w:rPr>
          <w:rFonts w:hint="eastAsia" w:ascii="宋体" w:hAnsi="宋体" w:cs="宋体"/>
          <w:color w:val="000000" w:themeColor="text1"/>
          <w:spacing w:val="-2"/>
          <w:kern w:val="2"/>
          <w:highlight w:val="none"/>
          <w:lang w:val="en-US" w:eastAsia="zh-CN"/>
          <w14:textFill>
            <w14:solidFill>
              <w14:schemeClr w14:val="tx1"/>
            </w14:solidFill>
          </w14:textFill>
        </w:rPr>
        <w:t>0〕</w:t>
      </w:r>
      <w:r>
        <w:rPr>
          <w:rFonts w:hint="eastAsia" w:ascii="宋体" w:hAnsi="宋体" w:eastAsia="宋体" w:cs="宋体"/>
          <w:color w:val="000000" w:themeColor="text1"/>
          <w:spacing w:val="-2"/>
          <w:kern w:val="2"/>
          <w:highlight w:val="none"/>
          <w:lang w:val="en-US" w:eastAsia="zh-CN"/>
          <w14:textFill>
            <w14:solidFill>
              <w14:schemeClr w14:val="tx1"/>
            </w14:solidFill>
          </w14:textFill>
        </w:rPr>
        <w:t>10号）等有关规定。本项目采购意向公开信息在云南省政府采购网发布</w:t>
      </w:r>
      <w:r>
        <w:rPr>
          <w:rFonts w:hint="eastAsia" w:ascii="宋体" w:hAnsi="宋体" w:cs="宋体"/>
          <w:color w:val="000000" w:themeColor="text1"/>
          <w:spacing w:val="-2"/>
          <w:kern w:val="2"/>
          <w:highlight w:val="none"/>
          <w:lang w:val="en-US" w:eastAsia="zh-CN"/>
          <w14:textFill>
            <w14:solidFill>
              <w14:schemeClr w14:val="tx1"/>
            </w14:solidFill>
          </w14:textFill>
        </w:rPr>
        <w:t>。</w:t>
      </w:r>
    </w:p>
    <w:p w14:paraId="5754E330">
      <w:pPr>
        <w:pStyle w:val="12"/>
        <w:spacing w:line="360" w:lineRule="auto"/>
        <w:ind w:left="0" w:leftChars="0" w:firstLine="472" w:firstLineChars="200"/>
        <w:rPr>
          <w:rFonts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lang w:val="en-US" w:eastAsia="zh-CN"/>
          <w14:textFill>
            <w14:solidFill>
              <w14:schemeClr w14:val="tx1"/>
            </w14:solidFill>
          </w14:textFill>
        </w:rPr>
        <w:t>9</w:t>
      </w:r>
      <w:r>
        <w:rPr>
          <w:rFonts w:hint="eastAsia" w:ascii="宋体" w:hAnsi="宋体" w:cs="宋体"/>
          <w:color w:val="000000" w:themeColor="text1"/>
          <w:spacing w:val="-2"/>
          <w:kern w:val="2"/>
          <w:highlight w:val="none"/>
          <w14:textFill>
            <w14:solidFill>
              <w14:schemeClr w14:val="tx1"/>
            </w14:solidFill>
          </w14:textFill>
        </w:rPr>
        <w:t>.本项目为网上开标，</w:t>
      </w:r>
      <w:r>
        <w:rPr>
          <w:rFonts w:hint="eastAsia" w:ascii="宋体" w:hAnsi="宋体" w:cs="宋体"/>
          <w:color w:val="000000" w:themeColor="text1"/>
          <w:spacing w:val="-2"/>
          <w:kern w:val="2"/>
          <w:highlight w:val="none"/>
          <w:lang w:eastAsia="zh-CN"/>
          <w14:textFill>
            <w14:solidFill>
              <w14:schemeClr w14:val="tx1"/>
            </w14:solidFill>
          </w14:textFill>
        </w:rPr>
        <w:t>磋商</w:t>
      </w:r>
      <w:r>
        <w:rPr>
          <w:rFonts w:hint="eastAsia" w:ascii="宋体" w:hAnsi="宋体" w:cs="宋体"/>
          <w:color w:val="000000" w:themeColor="text1"/>
          <w:spacing w:val="-2"/>
          <w:kern w:val="2"/>
          <w:highlight w:val="none"/>
          <w14:textFill>
            <w14:solidFill>
              <w14:schemeClr w14:val="tx1"/>
            </w14:solidFill>
          </w14:textFill>
        </w:rPr>
        <w:t>单位无需到达现场。</w:t>
      </w:r>
    </w:p>
    <w:p w14:paraId="1E577D50">
      <w:pPr>
        <w:pStyle w:val="12"/>
        <w:spacing w:line="360" w:lineRule="auto"/>
        <w:ind w:left="0" w:leftChars="0" w:firstLine="472" w:firstLineChars="200"/>
        <w:rPr>
          <w:rFonts w:ascii="宋体" w:hAnsi="宋体" w:cs="宋体"/>
          <w:color w:val="000000" w:themeColor="text1"/>
          <w:spacing w:val="-2"/>
          <w:kern w:val="2"/>
          <w:highlight w:val="none"/>
          <w14:textFill>
            <w14:solidFill>
              <w14:schemeClr w14:val="tx1"/>
            </w14:solidFill>
          </w14:textFill>
        </w:rPr>
      </w:pPr>
      <w:r>
        <w:rPr>
          <w:rFonts w:hint="eastAsia" w:ascii="宋体" w:hAnsi="宋体" w:cs="宋体"/>
          <w:color w:val="000000" w:themeColor="text1"/>
          <w:spacing w:val="-2"/>
          <w:kern w:val="2"/>
          <w:highlight w:val="none"/>
          <w:lang w:val="en-US" w:eastAsia="zh-CN"/>
          <w14:textFill>
            <w14:solidFill>
              <w14:schemeClr w14:val="tx1"/>
            </w14:solidFill>
          </w14:textFill>
        </w:rPr>
        <w:t>10</w:t>
      </w:r>
      <w:r>
        <w:rPr>
          <w:rFonts w:hint="eastAsia" w:ascii="宋体" w:hAnsi="宋体" w:cs="宋体"/>
          <w:color w:val="000000" w:themeColor="text1"/>
          <w:spacing w:val="-2"/>
          <w:kern w:val="2"/>
          <w:highlight w:val="none"/>
          <w14:textFill>
            <w14:solidFill>
              <w14:schemeClr w14:val="tx1"/>
            </w14:solidFill>
          </w14:textFill>
        </w:rPr>
        <w:t>.各供应商应在开标前应确保已成功入驻成为政采云平台供应商，并完成CA数字证书申领。因未注册入库、未办理CA数字证书等原因造成无法</w:t>
      </w:r>
      <w:r>
        <w:rPr>
          <w:rFonts w:hint="eastAsia" w:ascii="宋体" w:hAnsi="宋体" w:cs="宋体"/>
          <w:color w:val="000000" w:themeColor="text1"/>
          <w:spacing w:val="-2"/>
          <w:kern w:val="2"/>
          <w:highlight w:val="none"/>
          <w:lang w:eastAsia="zh-CN"/>
          <w14:textFill>
            <w14:solidFill>
              <w14:schemeClr w14:val="tx1"/>
            </w14:solidFill>
          </w14:textFill>
        </w:rPr>
        <w:t>磋商</w:t>
      </w:r>
      <w:r>
        <w:rPr>
          <w:rFonts w:hint="eastAsia" w:ascii="宋体" w:hAnsi="宋体" w:cs="宋体"/>
          <w:color w:val="000000" w:themeColor="text1"/>
          <w:spacing w:val="-2"/>
          <w:kern w:val="2"/>
          <w:highlight w:val="none"/>
          <w14:textFill>
            <w14:solidFill>
              <w14:schemeClr w14:val="tx1"/>
            </w14:solidFill>
          </w14:textFill>
        </w:rPr>
        <w:t>或</w:t>
      </w:r>
      <w:r>
        <w:rPr>
          <w:rFonts w:hint="eastAsia" w:ascii="宋体" w:hAnsi="宋体" w:cs="宋体"/>
          <w:color w:val="000000" w:themeColor="text1"/>
          <w:spacing w:val="-2"/>
          <w:kern w:val="2"/>
          <w:highlight w:val="none"/>
          <w:lang w:eastAsia="zh-CN"/>
          <w14:textFill>
            <w14:solidFill>
              <w14:schemeClr w14:val="tx1"/>
            </w14:solidFill>
          </w14:textFill>
        </w:rPr>
        <w:t>磋商</w:t>
      </w:r>
      <w:r>
        <w:rPr>
          <w:rFonts w:hint="eastAsia" w:ascii="宋体" w:hAnsi="宋体" w:cs="宋体"/>
          <w:color w:val="000000" w:themeColor="text1"/>
          <w:spacing w:val="-2"/>
          <w:kern w:val="2"/>
          <w:highlight w:val="none"/>
          <w14:textFill>
            <w14:solidFill>
              <w14:schemeClr w14:val="tx1"/>
            </w14:solidFill>
          </w14:textFill>
        </w:rPr>
        <w:t>失败等后果由供应商自行承担。</w:t>
      </w:r>
    </w:p>
    <w:p w14:paraId="22B44DFC">
      <w:pPr>
        <w:pStyle w:val="12"/>
        <w:spacing w:line="360" w:lineRule="auto"/>
        <w:ind w:left="0" w:leftChars="0" w:firstLine="472" w:firstLineChars="200"/>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pacing w:val="-2"/>
          <w:kern w:val="2"/>
          <w:highlight w:val="none"/>
          <w:lang w:val="en-US" w:eastAsia="zh-CN"/>
          <w14:textFill>
            <w14:solidFill>
              <w14:schemeClr w14:val="tx1"/>
            </w14:solidFill>
          </w14:textFill>
        </w:rPr>
        <w:t>11</w:t>
      </w:r>
      <w:r>
        <w:rPr>
          <w:rFonts w:hint="eastAsia" w:ascii="宋体" w:hAnsi="宋体" w:cs="宋体"/>
          <w:color w:val="000000" w:themeColor="text1"/>
          <w:spacing w:val="-2"/>
          <w:kern w:val="2"/>
          <w:highlight w:val="none"/>
          <w14:textFill>
            <w14:solidFill>
              <w14:schemeClr w14:val="tx1"/>
            </w14:solidFill>
          </w14:textFill>
        </w:rPr>
        <w:t>.监督电话：施甸县财政局  0875-8124693</w:t>
      </w:r>
      <w:bookmarkStart w:id="37" w:name="_Toc20874"/>
    </w:p>
    <w:p w14:paraId="56DE9F58">
      <w:pPr>
        <w:widowControl w:val="0"/>
        <w:spacing w:line="360" w:lineRule="auto"/>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八、联系方式</w:t>
      </w:r>
      <w:bookmarkEnd w:id="37"/>
    </w:p>
    <w:p w14:paraId="1D0C3F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1.采购人信息</w:t>
      </w:r>
    </w:p>
    <w:p w14:paraId="233B2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w:t>
      </w:r>
      <w:r>
        <w:rPr>
          <w:rFonts w:hint="eastAsia" w:ascii="宋体" w:hAnsi="宋体" w:cs="宋体"/>
          <w:color w:val="000000" w:themeColor="text1"/>
          <w:highlight w:val="none"/>
          <w:lang w:eastAsia="zh-CN"/>
          <w14:textFill>
            <w14:solidFill>
              <w14:schemeClr w14:val="tx1"/>
            </w14:solidFill>
          </w14:textFill>
        </w:rPr>
        <w:t>施甸县水务局</w:t>
      </w:r>
    </w:p>
    <w:p w14:paraId="447D99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址：施甸县</w:t>
      </w:r>
      <w:r>
        <w:rPr>
          <w:rFonts w:hint="eastAsia" w:ascii="宋体" w:hAnsi="宋体" w:cs="宋体"/>
          <w:color w:val="000000" w:themeColor="text1"/>
          <w:highlight w:val="none"/>
          <w:lang w:eastAsia="zh-CN"/>
          <w14:textFill>
            <w14:solidFill>
              <w14:schemeClr w14:val="tx1"/>
            </w14:solidFill>
          </w14:textFill>
        </w:rPr>
        <w:t>甸阳镇甸阳西路</w:t>
      </w:r>
    </w:p>
    <w:p w14:paraId="74E0D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2.采购代理机构信息</w:t>
      </w:r>
    </w:p>
    <w:p w14:paraId="370783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称：云南彬钥工程管理有限公司</w:t>
      </w:r>
    </w:p>
    <w:p w14:paraId="7CB4D8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地　　址：施甸县工商局家属区（原老农贸市场）百大超市对面嘉城名都12-14商铺对面             </w:t>
      </w:r>
    </w:p>
    <w:p w14:paraId="3C1C31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联系方式：13466130555</w:t>
      </w:r>
    </w:p>
    <w:p w14:paraId="3AB448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3.项目联系方式</w:t>
      </w:r>
    </w:p>
    <w:p w14:paraId="5BC46C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项目联系人：杨先生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联系电话：13466130555</w:t>
      </w:r>
    </w:p>
    <w:p w14:paraId="1A1EAD0D">
      <w:pPr>
        <w:widowControl w:val="0"/>
        <w:spacing w:line="300" w:lineRule="auto"/>
        <w:jc w:val="center"/>
        <w:rPr>
          <w:rFonts w:ascii="宋体" w:hAnsi="宋体" w:cs="宋体"/>
          <w:color w:val="000000" w:themeColor="text1"/>
          <w:highlight w:val="none"/>
          <w14:textFill>
            <w14:solidFill>
              <w14:schemeClr w14:val="tx1"/>
            </w14:solidFill>
          </w14:textFill>
        </w:rPr>
      </w:pPr>
    </w:p>
    <w:p w14:paraId="1FFCD573">
      <w:pPr>
        <w:widowControl w:val="0"/>
        <w:spacing w:line="300" w:lineRule="auto"/>
        <w:jc w:val="center"/>
        <w:rPr>
          <w:rFonts w:ascii="宋体" w:hAnsi="宋体" w:cs="宋体"/>
          <w:color w:val="000000" w:themeColor="text1"/>
          <w:highlight w:val="none"/>
          <w14:textFill>
            <w14:solidFill>
              <w14:schemeClr w14:val="tx1"/>
            </w14:solidFill>
          </w14:textFill>
        </w:rPr>
      </w:pPr>
    </w:p>
    <w:p w14:paraId="5EE2DDD4">
      <w:pPr>
        <w:widowControl w:val="0"/>
        <w:spacing w:line="300" w:lineRule="auto"/>
        <w:jc w:val="center"/>
        <w:rPr>
          <w:rFonts w:ascii="宋体" w:hAnsi="宋体" w:cs="宋体"/>
          <w:color w:val="000000" w:themeColor="text1"/>
          <w:highlight w:val="none"/>
          <w14:textFill>
            <w14:solidFill>
              <w14:schemeClr w14:val="tx1"/>
            </w14:solidFill>
          </w14:textFill>
        </w:rPr>
      </w:pPr>
    </w:p>
    <w:p w14:paraId="35B4DE7F">
      <w:pPr>
        <w:widowControl w:val="0"/>
        <w:spacing w:line="300" w:lineRule="auto"/>
        <w:jc w:val="center"/>
        <w:rPr>
          <w:rFonts w:ascii="宋体" w:hAnsi="宋体" w:cs="宋体"/>
          <w:color w:val="000000" w:themeColor="text1"/>
          <w:highlight w:val="none"/>
          <w14:textFill>
            <w14:solidFill>
              <w14:schemeClr w14:val="tx1"/>
            </w14:solidFill>
          </w14:textFill>
        </w:rPr>
      </w:pPr>
    </w:p>
    <w:p w14:paraId="15679475">
      <w:pPr>
        <w:pStyle w:val="23"/>
        <w:widowControl w:val="0"/>
        <w:ind w:left="480"/>
        <w:rPr>
          <w:rFonts w:hint="default" w:hAnsi="宋体" w:cs="宋体"/>
          <w:color w:val="000000" w:themeColor="text1"/>
          <w:highlight w:val="none"/>
          <w14:textFill>
            <w14:solidFill>
              <w14:schemeClr w14:val="tx1"/>
            </w14:solidFill>
          </w14:textFill>
        </w:rPr>
      </w:pPr>
    </w:p>
    <w:p w14:paraId="1ACF1ECC">
      <w:pPr>
        <w:pStyle w:val="23"/>
        <w:widowControl w:val="0"/>
        <w:ind w:left="480"/>
        <w:rPr>
          <w:rFonts w:hint="default" w:hAnsi="宋体" w:cs="宋体"/>
          <w:color w:val="000000" w:themeColor="text1"/>
          <w:highlight w:val="none"/>
          <w14:textFill>
            <w14:solidFill>
              <w14:schemeClr w14:val="tx1"/>
            </w14:solidFill>
          </w14:textFill>
        </w:rPr>
      </w:pPr>
    </w:p>
    <w:p w14:paraId="0032DF01">
      <w:pPr>
        <w:pStyle w:val="23"/>
        <w:widowControl w:val="0"/>
        <w:ind w:left="480"/>
        <w:rPr>
          <w:rFonts w:hint="default" w:hAnsi="宋体" w:cs="宋体"/>
          <w:color w:val="000000" w:themeColor="text1"/>
          <w:highlight w:val="none"/>
          <w14:textFill>
            <w14:solidFill>
              <w14:schemeClr w14:val="tx1"/>
            </w14:solidFill>
          </w14:textFill>
        </w:rPr>
      </w:pPr>
    </w:p>
    <w:p w14:paraId="161F140C">
      <w:pPr>
        <w:pStyle w:val="23"/>
        <w:widowControl w:val="0"/>
        <w:ind w:left="480"/>
        <w:rPr>
          <w:rFonts w:hint="default" w:hAnsi="宋体" w:cs="宋体"/>
          <w:color w:val="000000" w:themeColor="text1"/>
          <w:highlight w:val="none"/>
          <w14:textFill>
            <w14:solidFill>
              <w14:schemeClr w14:val="tx1"/>
            </w14:solidFill>
          </w14:textFill>
        </w:rPr>
      </w:pPr>
    </w:p>
    <w:p w14:paraId="27E30405">
      <w:pPr>
        <w:pStyle w:val="23"/>
        <w:widowControl w:val="0"/>
        <w:ind w:left="480"/>
        <w:rPr>
          <w:rFonts w:hint="default" w:hAnsi="宋体" w:cs="宋体"/>
          <w:color w:val="000000" w:themeColor="text1"/>
          <w:highlight w:val="none"/>
          <w14:textFill>
            <w14:solidFill>
              <w14:schemeClr w14:val="tx1"/>
            </w14:solidFill>
          </w14:textFill>
        </w:rPr>
      </w:pPr>
    </w:p>
    <w:p w14:paraId="22CA7758">
      <w:pPr>
        <w:pStyle w:val="23"/>
        <w:widowControl w:val="0"/>
        <w:ind w:left="480"/>
        <w:rPr>
          <w:rFonts w:hint="default" w:hAnsi="宋体" w:cs="宋体"/>
          <w:color w:val="000000" w:themeColor="text1"/>
          <w:highlight w:val="none"/>
          <w14:textFill>
            <w14:solidFill>
              <w14:schemeClr w14:val="tx1"/>
            </w14:solidFill>
          </w14:textFill>
        </w:rPr>
      </w:pPr>
    </w:p>
    <w:p w14:paraId="0D9C9E3E">
      <w:pPr>
        <w:pStyle w:val="23"/>
        <w:widowControl w:val="0"/>
        <w:ind w:left="480"/>
        <w:rPr>
          <w:rFonts w:hint="default" w:hAnsi="宋体" w:cs="宋体"/>
          <w:color w:val="000000" w:themeColor="text1"/>
          <w:highlight w:val="none"/>
          <w14:textFill>
            <w14:solidFill>
              <w14:schemeClr w14:val="tx1"/>
            </w14:solidFill>
          </w14:textFill>
        </w:rPr>
      </w:pPr>
    </w:p>
    <w:p w14:paraId="40AC2289">
      <w:pPr>
        <w:pStyle w:val="23"/>
        <w:widowControl w:val="0"/>
        <w:ind w:left="480"/>
        <w:rPr>
          <w:rFonts w:hint="default" w:hAnsi="宋体" w:cs="宋体"/>
          <w:color w:val="000000" w:themeColor="text1"/>
          <w:highlight w:val="none"/>
          <w14:textFill>
            <w14:solidFill>
              <w14:schemeClr w14:val="tx1"/>
            </w14:solidFill>
          </w14:textFill>
        </w:rPr>
      </w:pPr>
    </w:p>
    <w:p w14:paraId="506DB7B9">
      <w:pPr>
        <w:widowControl w:val="0"/>
        <w:spacing w:line="300" w:lineRule="auto"/>
        <w:jc w:val="center"/>
        <w:rPr>
          <w:rFonts w:ascii="宋体" w:hAnsi="宋体" w:cs="宋体"/>
          <w:color w:val="000000" w:themeColor="text1"/>
          <w:highlight w:val="none"/>
          <w14:textFill>
            <w14:solidFill>
              <w14:schemeClr w14:val="tx1"/>
            </w14:solidFill>
          </w14:textFill>
        </w:rPr>
      </w:pPr>
    </w:p>
    <w:p w14:paraId="10ED28A5">
      <w:pPr>
        <w:widowControl w:val="0"/>
        <w:spacing w:line="300" w:lineRule="auto"/>
        <w:jc w:val="center"/>
        <w:rPr>
          <w:rFonts w:ascii="宋体" w:hAnsi="宋体" w:cs="宋体"/>
          <w:color w:val="000000" w:themeColor="text1"/>
          <w:highlight w:val="none"/>
          <w14:textFill>
            <w14:solidFill>
              <w14:schemeClr w14:val="tx1"/>
            </w14:solidFill>
          </w14:textFill>
        </w:rPr>
      </w:pPr>
    </w:p>
    <w:p w14:paraId="16B36FF2">
      <w:pPr>
        <w:widowControl w:val="0"/>
        <w:spacing w:line="300" w:lineRule="auto"/>
        <w:jc w:val="center"/>
        <w:rPr>
          <w:rFonts w:ascii="宋体" w:hAnsi="宋体" w:cs="宋体"/>
          <w:color w:val="000000" w:themeColor="text1"/>
          <w:highlight w:val="none"/>
          <w14:textFill>
            <w14:solidFill>
              <w14:schemeClr w14:val="tx1"/>
            </w14:solidFill>
          </w14:textFill>
        </w:rPr>
      </w:pPr>
    </w:p>
    <w:p w14:paraId="6B331DCC">
      <w:pPr>
        <w:widowControl w:val="0"/>
        <w:spacing w:line="300" w:lineRule="auto"/>
        <w:jc w:val="center"/>
        <w:rPr>
          <w:rFonts w:ascii="宋体" w:hAnsi="宋体" w:cs="宋体"/>
          <w:color w:val="000000" w:themeColor="text1"/>
          <w:highlight w:val="none"/>
          <w14:textFill>
            <w14:solidFill>
              <w14:schemeClr w14:val="tx1"/>
            </w14:solidFill>
          </w14:textFill>
        </w:rPr>
      </w:pPr>
    </w:p>
    <w:p w14:paraId="25FC4778">
      <w:pPr>
        <w:widowControl w:val="0"/>
        <w:spacing w:line="300" w:lineRule="auto"/>
        <w:jc w:val="center"/>
        <w:rPr>
          <w:rFonts w:ascii="宋体" w:hAnsi="宋体" w:cs="宋体"/>
          <w:color w:val="000000" w:themeColor="text1"/>
          <w:highlight w:val="none"/>
          <w14:textFill>
            <w14:solidFill>
              <w14:schemeClr w14:val="tx1"/>
            </w14:solidFill>
          </w14:textFill>
        </w:rPr>
      </w:pPr>
    </w:p>
    <w:p w14:paraId="53F9D96E">
      <w:pPr>
        <w:widowControl w:val="0"/>
        <w:spacing w:line="300" w:lineRule="auto"/>
        <w:jc w:val="center"/>
        <w:rPr>
          <w:rFonts w:ascii="宋体" w:hAnsi="宋体" w:cs="宋体"/>
          <w:color w:val="000000" w:themeColor="text1"/>
          <w:highlight w:val="none"/>
          <w14:textFill>
            <w14:solidFill>
              <w14:schemeClr w14:val="tx1"/>
            </w14:solidFill>
          </w14:textFill>
        </w:rPr>
      </w:pPr>
    </w:p>
    <w:p w14:paraId="0A5A898B">
      <w:pPr>
        <w:widowControl w:val="0"/>
        <w:spacing w:line="300" w:lineRule="auto"/>
        <w:jc w:val="center"/>
        <w:rPr>
          <w:rFonts w:ascii="宋体" w:hAnsi="宋体" w:cs="宋体"/>
          <w:color w:val="000000" w:themeColor="text1"/>
          <w:highlight w:val="none"/>
          <w14:textFill>
            <w14:solidFill>
              <w14:schemeClr w14:val="tx1"/>
            </w14:solidFill>
          </w14:textFill>
        </w:rPr>
      </w:pPr>
    </w:p>
    <w:p w14:paraId="10DD3A0D">
      <w:pPr>
        <w:widowControl w:val="0"/>
        <w:spacing w:line="300" w:lineRule="auto"/>
        <w:jc w:val="center"/>
        <w:rPr>
          <w:rFonts w:ascii="宋体" w:hAnsi="宋体" w:cs="宋体"/>
          <w:color w:val="000000" w:themeColor="text1"/>
          <w:highlight w:val="none"/>
          <w14:textFill>
            <w14:solidFill>
              <w14:schemeClr w14:val="tx1"/>
            </w14:solidFill>
          </w14:textFill>
        </w:rPr>
      </w:pPr>
    </w:p>
    <w:p w14:paraId="578217E3">
      <w:pPr>
        <w:widowControl w:val="0"/>
        <w:spacing w:line="300" w:lineRule="auto"/>
        <w:jc w:val="center"/>
        <w:rPr>
          <w:rFonts w:ascii="宋体" w:hAnsi="宋体" w:cs="宋体"/>
          <w:color w:val="000000" w:themeColor="text1"/>
          <w:highlight w:val="none"/>
          <w14:textFill>
            <w14:solidFill>
              <w14:schemeClr w14:val="tx1"/>
            </w14:solidFill>
          </w14:textFill>
        </w:rPr>
      </w:pPr>
    </w:p>
    <w:p w14:paraId="0F6BE4CC">
      <w:pPr>
        <w:widowControl w:val="0"/>
        <w:spacing w:line="300" w:lineRule="auto"/>
        <w:jc w:val="center"/>
        <w:rPr>
          <w:rFonts w:ascii="宋体" w:hAnsi="宋体" w:cs="宋体"/>
          <w:color w:val="000000" w:themeColor="text1"/>
          <w:highlight w:val="none"/>
          <w14:textFill>
            <w14:solidFill>
              <w14:schemeClr w14:val="tx1"/>
            </w14:solidFill>
          </w14:textFill>
        </w:rPr>
      </w:pPr>
    </w:p>
    <w:p w14:paraId="10C32702">
      <w:pPr>
        <w:widowControl w:val="0"/>
        <w:spacing w:line="300" w:lineRule="auto"/>
        <w:jc w:val="center"/>
        <w:rPr>
          <w:rFonts w:ascii="宋体" w:hAnsi="宋体" w:cs="宋体"/>
          <w:color w:val="000000" w:themeColor="text1"/>
          <w:highlight w:val="none"/>
          <w14:textFill>
            <w14:solidFill>
              <w14:schemeClr w14:val="tx1"/>
            </w14:solidFill>
          </w14:textFill>
        </w:rPr>
      </w:pPr>
    </w:p>
    <w:p w14:paraId="3906697E">
      <w:pPr>
        <w:widowControl w:val="0"/>
        <w:jc w:val="center"/>
        <w:outlineLvl w:val="0"/>
        <w:rPr>
          <w:rFonts w:ascii="宋体" w:hAnsi="宋体" w:cs="宋体"/>
          <w:b/>
          <w:bCs/>
          <w:color w:val="000000" w:themeColor="text1"/>
          <w:sz w:val="48"/>
          <w:szCs w:val="48"/>
          <w:highlight w:val="none"/>
          <w14:textFill>
            <w14:solidFill>
              <w14:schemeClr w14:val="tx1"/>
            </w14:solidFill>
          </w14:textFill>
        </w:rPr>
      </w:pPr>
      <w:bookmarkStart w:id="38" w:name="_Toc66736801"/>
      <w:bookmarkStart w:id="39" w:name="_Toc9127"/>
      <w:bookmarkStart w:id="40" w:name="_Toc508110188"/>
      <w:bookmarkStart w:id="41" w:name="_Toc508109899"/>
      <w:bookmarkStart w:id="42" w:name="_Toc30653"/>
      <w:bookmarkStart w:id="43" w:name="_Toc66457113"/>
      <w:r>
        <w:rPr>
          <w:rFonts w:hint="eastAsia" w:ascii="宋体" w:hAnsi="宋体" w:cs="宋体"/>
          <w:b/>
          <w:bCs/>
          <w:color w:val="000000" w:themeColor="text1"/>
          <w:sz w:val="48"/>
          <w:szCs w:val="48"/>
          <w:highlight w:val="none"/>
          <w14:textFill>
            <w14:solidFill>
              <w14:schemeClr w14:val="tx1"/>
            </w14:solidFill>
          </w14:textFill>
        </w:rPr>
        <w:t xml:space="preserve">第二章  </w:t>
      </w:r>
      <w:r>
        <w:rPr>
          <w:rFonts w:hint="eastAsia" w:ascii="宋体" w:hAnsi="宋体" w:cs="宋体"/>
          <w:b/>
          <w:bCs/>
          <w:color w:val="000000" w:themeColor="text1"/>
          <w:sz w:val="48"/>
          <w:szCs w:val="48"/>
          <w:highlight w:val="none"/>
          <w:lang w:eastAsia="zh-CN"/>
          <w14:textFill>
            <w14:solidFill>
              <w14:schemeClr w14:val="tx1"/>
            </w14:solidFill>
          </w14:textFill>
        </w:rPr>
        <w:t>供应商</w:t>
      </w:r>
      <w:r>
        <w:rPr>
          <w:rFonts w:hint="eastAsia" w:ascii="宋体" w:hAnsi="宋体" w:cs="宋体"/>
          <w:b/>
          <w:bCs/>
          <w:color w:val="000000" w:themeColor="text1"/>
          <w:sz w:val="48"/>
          <w:szCs w:val="48"/>
          <w:highlight w:val="none"/>
          <w14:textFill>
            <w14:solidFill>
              <w14:schemeClr w14:val="tx1"/>
            </w14:solidFill>
          </w14:textFill>
        </w:rPr>
        <w:t>须知</w:t>
      </w:r>
      <w:bookmarkEnd w:id="38"/>
      <w:bookmarkEnd w:id="39"/>
      <w:bookmarkEnd w:id="40"/>
      <w:bookmarkEnd w:id="41"/>
      <w:bookmarkEnd w:id="42"/>
      <w:bookmarkEnd w:id="43"/>
    </w:p>
    <w:p w14:paraId="0423FD5F">
      <w:pPr>
        <w:widowControl w:val="0"/>
        <w:spacing w:before="100" w:beforeAutospacing="1" w:after="100" w:afterAutospacing="1"/>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112F1831">
      <w:pPr>
        <w:widowControl w:val="0"/>
        <w:jc w:val="center"/>
        <w:outlineLvl w:val="1"/>
        <w:rPr>
          <w:rFonts w:ascii="宋体" w:hAnsi="宋体" w:cs="宋体"/>
          <w:b/>
          <w:bCs/>
          <w:color w:val="000000" w:themeColor="text1"/>
          <w:sz w:val="32"/>
          <w:highlight w:val="none"/>
          <w14:textFill>
            <w14:solidFill>
              <w14:schemeClr w14:val="tx1"/>
            </w14:solidFill>
          </w14:textFill>
        </w:rPr>
      </w:pPr>
      <w:bookmarkStart w:id="44" w:name="_Toc66457114"/>
      <w:bookmarkStart w:id="45" w:name="_Toc66736802"/>
      <w:bookmarkStart w:id="46" w:name="_Toc508109900"/>
      <w:bookmarkStart w:id="47" w:name="_Toc17638"/>
      <w:bookmarkStart w:id="48" w:name="_Toc32498"/>
      <w:bookmarkStart w:id="49" w:name="_Toc508110189"/>
      <w:r>
        <w:rPr>
          <w:rFonts w:hint="eastAsia" w:ascii="宋体" w:hAnsi="宋体" w:cs="宋体"/>
          <w:b/>
          <w:bCs/>
          <w:color w:val="000000" w:themeColor="text1"/>
          <w:sz w:val="32"/>
          <w:highlight w:val="none"/>
          <w14:textFill>
            <w14:solidFill>
              <w14:schemeClr w14:val="tx1"/>
            </w14:solidFill>
          </w14:textFill>
        </w:rPr>
        <w:t>一、</w:t>
      </w:r>
      <w:r>
        <w:rPr>
          <w:rFonts w:hint="eastAsia" w:ascii="宋体" w:hAnsi="宋体" w:cs="宋体"/>
          <w:b/>
          <w:bCs/>
          <w:color w:val="000000" w:themeColor="text1"/>
          <w:sz w:val="32"/>
          <w:highlight w:val="none"/>
          <w:lang w:eastAsia="zh-CN"/>
          <w14:textFill>
            <w14:solidFill>
              <w14:schemeClr w14:val="tx1"/>
            </w14:solidFill>
          </w14:textFill>
        </w:rPr>
        <w:t>供应商</w:t>
      </w:r>
      <w:r>
        <w:rPr>
          <w:rFonts w:hint="eastAsia" w:ascii="宋体" w:hAnsi="宋体" w:cs="宋体"/>
          <w:b/>
          <w:bCs/>
          <w:color w:val="000000" w:themeColor="text1"/>
          <w:sz w:val="32"/>
          <w:highlight w:val="none"/>
          <w14:textFill>
            <w14:solidFill>
              <w14:schemeClr w14:val="tx1"/>
            </w14:solidFill>
          </w14:textFill>
        </w:rPr>
        <w:t>须知前附表</w:t>
      </w:r>
      <w:bookmarkEnd w:id="44"/>
      <w:bookmarkEnd w:id="45"/>
      <w:bookmarkEnd w:id="46"/>
      <w:bookmarkEnd w:id="47"/>
      <w:bookmarkEnd w:id="48"/>
      <w:bookmarkEnd w:id="49"/>
    </w:p>
    <w:tbl>
      <w:tblPr>
        <w:tblStyle w:val="51"/>
        <w:tblW w:w="96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694"/>
        <w:gridCol w:w="7020"/>
      </w:tblGrid>
      <w:tr w14:paraId="3B4FF2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959" w:type="dxa"/>
            <w:vAlign w:val="center"/>
          </w:tcPr>
          <w:p w14:paraId="1056661B">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694" w:type="dxa"/>
            <w:vAlign w:val="center"/>
          </w:tcPr>
          <w:p w14:paraId="299DC21F">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条款名称</w:t>
            </w:r>
          </w:p>
        </w:tc>
        <w:tc>
          <w:tcPr>
            <w:tcW w:w="7020" w:type="dxa"/>
            <w:vAlign w:val="center"/>
          </w:tcPr>
          <w:p w14:paraId="6EB95F5D">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编列内容</w:t>
            </w:r>
          </w:p>
        </w:tc>
      </w:tr>
      <w:tr w14:paraId="76F12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7" w:hRule="atLeast"/>
          <w:jc w:val="center"/>
        </w:trPr>
        <w:tc>
          <w:tcPr>
            <w:tcW w:w="959" w:type="dxa"/>
            <w:vAlign w:val="center"/>
          </w:tcPr>
          <w:p w14:paraId="05B5F0B1">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694" w:type="dxa"/>
            <w:vAlign w:val="center"/>
          </w:tcPr>
          <w:p w14:paraId="0E5E0F0E">
            <w:pPr>
              <w:widowControl w:val="0"/>
              <w:spacing w:line="30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采购人</w:t>
            </w:r>
          </w:p>
        </w:tc>
        <w:tc>
          <w:tcPr>
            <w:tcW w:w="7020" w:type="dxa"/>
            <w:vAlign w:val="center"/>
          </w:tcPr>
          <w:p w14:paraId="5D6EF247">
            <w:pPr>
              <w:widowControl w:val="0"/>
              <w:spacing w:line="30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施甸县水务局</w:t>
            </w:r>
          </w:p>
          <w:p w14:paraId="3FD9DFF4">
            <w:pPr>
              <w:widowControl w:val="0"/>
              <w:spacing w:line="300" w:lineRule="auto"/>
              <w:rPr>
                <w:rFonts w:hint="default" w:ascii="宋体" w:hAnsi="宋体" w:cs="宋体"/>
                <w:color w:val="000000" w:themeColor="text1"/>
                <w:highlight w:val="none"/>
                <w:lang w:val="en-US"/>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lang w:val="en-US" w:eastAsia="zh-CN"/>
                <w14:textFill>
                  <w14:solidFill>
                    <w14:schemeClr w14:val="tx1"/>
                  </w14:solidFill>
                </w14:textFill>
              </w:rPr>
              <w:t>施甸县甸阳镇文昌路</w:t>
            </w:r>
          </w:p>
          <w:p w14:paraId="0BF7300E">
            <w:pPr>
              <w:widowControl w:val="0"/>
              <w:spacing w:line="300" w:lineRule="auto"/>
              <w:jc w:val="both"/>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张女士</w:t>
            </w:r>
          </w:p>
          <w:p w14:paraId="06EE08EC">
            <w:pPr>
              <w:widowControl w:val="0"/>
              <w:spacing w:line="300" w:lineRule="auto"/>
              <w:jc w:val="both"/>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电话：13577516210</w:t>
            </w:r>
          </w:p>
        </w:tc>
      </w:tr>
      <w:tr w14:paraId="4B35C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7" w:hRule="atLeast"/>
          <w:jc w:val="center"/>
        </w:trPr>
        <w:tc>
          <w:tcPr>
            <w:tcW w:w="959" w:type="dxa"/>
            <w:vAlign w:val="center"/>
          </w:tcPr>
          <w:p w14:paraId="79017C2D">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694" w:type="dxa"/>
            <w:vAlign w:val="center"/>
          </w:tcPr>
          <w:p w14:paraId="093A5E45">
            <w:pPr>
              <w:widowControl w:val="0"/>
              <w:spacing w:line="30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采购代理机构</w:t>
            </w:r>
          </w:p>
        </w:tc>
        <w:tc>
          <w:tcPr>
            <w:tcW w:w="7020" w:type="dxa"/>
            <w:vAlign w:val="center"/>
          </w:tcPr>
          <w:p w14:paraId="48C885D7">
            <w:pPr>
              <w:widowControl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云南彬钥工程管理有限公司</w:t>
            </w:r>
          </w:p>
          <w:p w14:paraId="1541BFD9">
            <w:pPr>
              <w:widowControl w:val="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地址： </w:t>
            </w:r>
            <w:r>
              <w:rPr>
                <w:rFonts w:hint="eastAsia" w:ascii="宋体" w:hAnsi="宋体" w:cs="宋体"/>
                <w:color w:val="000000" w:themeColor="text1"/>
                <w:highlight w:val="none"/>
                <w:lang w:eastAsia="zh-CN"/>
                <w14:textFill>
                  <w14:solidFill>
                    <w14:schemeClr w14:val="tx1"/>
                  </w14:solidFill>
                </w14:textFill>
              </w:rPr>
              <w:t>施甸县工商局家属区（原老农贸市场）百大超市对面嘉城名都12-14商铺对面</w:t>
            </w:r>
          </w:p>
          <w:p w14:paraId="7D9301E7">
            <w:pPr>
              <w:widowControl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杨</w:t>
            </w:r>
            <w:r>
              <w:rPr>
                <w:rFonts w:hint="eastAsia" w:ascii="宋体" w:hAnsi="宋体" w:cs="宋体"/>
                <w:color w:val="000000" w:themeColor="text1"/>
                <w:highlight w:val="none"/>
                <w14:textFill>
                  <w14:solidFill>
                    <w14:schemeClr w14:val="tx1"/>
                  </w14:solidFill>
                </w14:textFill>
              </w:rPr>
              <w:t>先生</w:t>
            </w:r>
          </w:p>
          <w:p w14:paraId="33ADFC11">
            <w:pPr>
              <w:widowControl w:val="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13466130555</w:t>
            </w:r>
          </w:p>
        </w:tc>
      </w:tr>
      <w:tr w14:paraId="14C39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545500A">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694" w:type="dxa"/>
            <w:vAlign w:val="center"/>
          </w:tcPr>
          <w:p w14:paraId="054FADA4">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7020" w:type="dxa"/>
            <w:vAlign w:val="center"/>
          </w:tcPr>
          <w:p w14:paraId="7BBA85DD">
            <w:pPr>
              <w:widowControl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施甸县2025年水利工程白蚁等害堤动物防治项目</w:t>
            </w:r>
            <w:r>
              <w:rPr>
                <w:rFonts w:hint="eastAsia" w:ascii="宋体" w:hAnsi="宋体" w:cs="宋体"/>
                <w:color w:val="000000" w:themeColor="text1"/>
                <w:highlight w:val="none"/>
                <w14:textFill>
                  <w14:solidFill>
                    <w14:schemeClr w14:val="tx1"/>
                  </w14:solidFill>
                </w14:textFill>
              </w:rPr>
              <w:t xml:space="preserve"> </w:t>
            </w:r>
          </w:p>
        </w:tc>
      </w:tr>
      <w:tr w14:paraId="539C0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CE165A9">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694" w:type="dxa"/>
            <w:vAlign w:val="center"/>
          </w:tcPr>
          <w:p w14:paraId="6E6B2F24">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项目地点</w:t>
            </w:r>
          </w:p>
        </w:tc>
        <w:tc>
          <w:tcPr>
            <w:tcW w:w="7020" w:type="dxa"/>
            <w:vAlign w:val="center"/>
          </w:tcPr>
          <w:p w14:paraId="62FBB441">
            <w:pPr>
              <w:widowControl w:val="0"/>
              <w:spacing w:line="30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施甸县境内</w:t>
            </w:r>
          </w:p>
        </w:tc>
      </w:tr>
      <w:tr w14:paraId="42271E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699AC81D">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694" w:type="dxa"/>
            <w:vAlign w:val="center"/>
          </w:tcPr>
          <w:p w14:paraId="7046DBCC">
            <w:pPr>
              <w:widowControl w:val="0"/>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rPr>
              <w:t>资金来源</w:t>
            </w:r>
            <w:r>
              <w:rPr>
                <w:rFonts w:hint="eastAsia" w:ascii="宋体" w:hAnsi="宋体" w:cs="宋体"/>
                <w:color w:val="auto"/>
                <w:highlight w:val="none"/>
                <w:lang w:val="en-US" w:eastAsia="zh-CN"/>
              </w:rPr>
              <w:t>及报价要求</w:t>
            </w:r>
          </w:p>
        </w:tc>
        <w:tc>
          <w:tcPr>
            <w:tcW w:w="7020" w:type="dxa"/>
            <w:vAlign w:val="center"/>
          </w:tcPr>
          <w:p w14:paraId="64213241">
            <w:pPr>
              <w:widowControl w:val="0"/>
              <w:spacing w:line="30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资金来源：政府投资</w:t>
            </w:r>
          </w:p>
          <w:p w14:paraId="51341574">
            <w:pPr>
              <w:widowControl w:val="0"/>
              <w:spacing w:line="30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报价要求：1.</w:t>
            </w:r>
            <w:r>
              <w:rPr>
                <w:rFonts w:hint="eastAsia" w:ascii="宋体" w:hAnsi="宋体" w:cs="宋体"/>
                <w:b w:val="0"/>
                <w:bCs/>
                <w:color w:val="auto"/>
                <w:kern w:val="0"/>
                <w:sz w:val="24"/>
                <w:highlight w:val="none"/>
                <w:lang w:val="en-US" w:eastAsia="zh-CN"/>
              </w:rPr>
              <w:t>供应商</w:t>
            </w:r>
            <w:r>
              <w:rPr>
                <w:rFonts w:hint="eastAsia" w:ascii="宋体" w:hAnsi="宋体" w:cs="宋体"/>
                <w:color w:val="auto"/>
                <w:highlight w:val="none"/>
                <w:lang w:val="en-US" w:eastAsia="zh-CN"/>
              </w:rPr>
              <w:t>的总报价和单价均不得超过控制价，否则否决其响应文件。2.</w:t>
            </w:r>
            <w:r>
              <w:rPr>
                <w:rFonts w:hint="eastAsia" w:ascii="宋体" w:hAnsi="宋体" w:cs="宋体"/>
                <w:b w:val="0"/>
                <w:bCs/>
                <w:color w:val="auto"/>
                <w:kern w:val="0"/>
                <w:sz w:val="24"/>
                <w:highlight w:val="none"/>
                <w:lang w:val="en-US" w:eastAsia="zh-CN"/>
              </w:rPr>
              <w:t>供应商</w:t>
            </w:r>
            <w:r>
              <w:rPr>
                <w:rFonts w:hint="eastAsia" w:ascii="宋体" w:hAnsi="宋体" w:cs="宋体"/>
                <w:color w:val="auto"/>
                <w:highlight w:val="none"/>
                <w:lang w:val="en-US" w:eastAsia="zh-CN"/>
              </w:rPr>
              <w:t>结合项目实际及自身情况进行合理报价。3.供应商根据已公布工程量清单进行分项报价（具体内容详见工程量清单）。</w:t>
            </w:r>
          </w:p>
        </w:tc>
      </w:tr>
      <w:tr w14:paraId="6C1236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60AB84CB">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694" w:type="dxa"/>
            <w:vAlign w:val="center"/>
          </w:tcPr>
          <w:p w14:paraId="2B494A61">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需求</w:t>
            </w:r>
          </w:p>
        </w:tc>
        <w:tc>
          <w:tcPr>
            <w:tcW w:w="7020" w:type="dxa"/>
            <w:vAlign w:val="center"/>
          </w:tcPr>
          <w:p w14:paraId="29E87059">
            <w:pPr>
              <w:numPr>
                <w:ilvl w:val="0"/>
                <w:numId w:val="7"/>
              </w:numPr>
              <w:spacing w:line="360" w:lineRule="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施甸县2025年水利工程白蚁等害堤动物防治项目，根据工程普查结果和危害情况完成53座水库、18.91Km堤防防治工作。项目防治措施：白蚁危害采用人工挖巢、饵剂诱杀、药物喷洒、安装白蚁智能监测装置措施进行防治；红火蚁危害采用饵剂诱杀、药物灌巢、药物喷洒措施进行防治。</w:t>
            </w:r>
          </w:p>
          <w:p w14:paraId="46669A9F">
            <w:pPr>
              <w:numPr>
                <w:ilvl w:val="0"/>
                <w:numId w:val="0"/>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2.本工程具体内容详见工程量清单，请</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认真复核。</w:t>
            </w:r>
          </w:p>
          <w:p w14:paraId="79247657">
            <w:pPr>
              <w:pStyle w:val="11"/>
              <w:spacing w:line="360" w:lineRule="auto"/>
              <w:ind w:left="0" w:leftChars="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3.标段划分：本次采购共划分为一个标段，</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cs="宋体"/>
                <w:color w:val="000000" w:themeColor="text1"/>
                <w:kern w:val="0"/>
                <w:sz w:val="24"/>
                <w:szCs w:val="24"/>
                <w:highlight w:val="none"/>
                <w14:textFill>
                  <w14:solidFill>
                    <w14:schemeClr w14:val="tx1"/>
                  </w14:solidFill>
                </w14:textFill>
              </w:rPr>
              <w:t>须对项目内所有内容进行磋商报价。</w:t>
            </w:r>
          </w:p>
        </w:tc>
      </w:tr>
      <w:tr w14:paraId="4D3AD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959" w:type="dxa"/>
            <w:vAlign w:val="center"/>
          </w:tcPr>
          <w:p w14:paraId="3447614F">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694" w:type="dxa"/>
            <w:vAlign w:val="center"/>
          </w:tcPr>
          <w:p w14:paraId="50BCA842">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工</w:t>
            </w:r>
            <w:r>
              <w:rPr>
                <w:rFonts w:hint="eastAsia" w:ascii="宋体" w:hAnsi="宋体" w:cs="宋体"/>
                <w:color w:val="000000" w:themeColor="text1"/>
                <w:highlight w:val="none"/>
                <w14:textFill>
                  <w14:solidFill>
                    <w14:schemeClr w14:val="tx1"/>
                  </w14:solidFill>
                </w14:textFill>
              </w:rPr>
              <w:t>期</w:t>
            </w:r>
          </w:p>
        </w:tc>
        <w:tc>
          <w:tcPr>
            <w:tcW w:w="7020" w:type="dxa"/>
            <w:vAlign w:val="center"/>
          </w:tcPr>
          <w:p w14:paraId="4EDDE4AF">
            <w:pPr>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3个月。</w:t>
            </w:r>
          </w:p>
        </w:tc>
      </w:tr>
      <w:tr w14:paraId="774ED6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7A714A6">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694" w:type="dxa"/>
            <w:vAlign w:val="center"/>
          </w:tcPr>
          <w:p w14:paraId="4AA2385E">
            <w:pPr>
              <w:pStyle w:val="185"/>
              <w:widowControl w:val="0"/>
              <w:shd w:val="clear" w:color="auto" w:fill="auto"/>
              <w:spacing w:before="0" w:line="300" w:lineRule="auto"/>
              <w:jc w:val="center"/>
              <w:rPr>
                <w:rStyle w:val="182"/>
                <w:rFonts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lang w:val="en-US"/>
                <w14:textFill>
                  <w14:solidFill>
                    <w14:schemeClr w14:val="tx1"/>
                  </w14:solidFill>
                </w14:textFill>
              </w:rPr>
              <w:t>质量要求</w:t>
            </w:r>
          </w:p>
        </w:tc>
        <w:tc>
          <w:tcPr>
            <w:tcW w:w="7020" w:type="dxa"/>
            <w:vAlign w:val="center"/>
          </w:tcPr>
          <w:p w14:paraId="37F73019">
            <w:pPr>
              <w:widowControl w:val="0"/>
              <w:snapToGrid w:val="0"/>
              <w:spacing w:line="360" w:lineRule="auto"/>
              <w:rPr>
                <w:rFonts w:hint="default" w:ascii="宋体" w:hAnsi="宋体" w:cs="宋体"/>
                <w:color w:val="000000" w:themeColor="text1"/>
                <w:highlight w:val="none"/>
                <w:lang w:val="en-US"/>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符合国家、地方现行相关质量要求及验收规范标准，并一次性验收合格</w:t>
            </w:r>
            <w:r>
              <w:rPr>
                <w:rFonts w:hint="eastAsia" w:ascii="宋体" w:hAnsi="宋体" w:cs="宋体"/>
                <w:color w:val="000000" w:themeColor="text1"/>
                <w:highlight w:val="none"/>
                <w:lang w:val="en-US" w:eastAsia="zh-CN"/>
                <w14:textFill>
                  <w14:solidFill>
                    <w14:schemeClr w14:val="tx1"/>
                  </w14:solidFill>
                </w14:textFill>
              </w:rPr>
              <w:t>。</w:t>
            </w:r>
          </w:p>
        </w:tc>
      </w:tr>
      <w:tr w14:paraId="400D5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4454D51">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694" w:type="dxa"/>
            <w:vAlign w:val="center"/>
          </w:tcPr>
          <w:p w14:paraId="5212FE9A">
            <w:pPr>
              <w:pStyle w:val="185"/>
              <w:widowControl w:val="0"/>
              <w:shd w:val="clear" w:color="auto" w:fill="auto"/>
              <w:spacing w:before="0" w:line="300" w:lineRule="auto"/>
              <w:jc w:val="center"/>
              <w:rPr>
                <w:rFonts w:ascii="宋体" w:hAnsi="宋体" w:eastAsia="宋体" w:cs="宋体"/>
                <w:color w:val="000000" w:themeColor="text1"/>
                <w:spacing w:val="0"/>
                <w:sz w:val="24"/>
                <w:szCs w:val="24"/>
                <w:highlight w:val="none"/>
                <w:lang w:val="en-US"/>
                <w14:textFill>
                  <w14:solidFill>
                    <w14:schemeClr w14:val="tx1"/>
                  </w14:solidFill>
                </w14:textFill>
              </w:rPr>
            </w:pPr>
            <w:r>
              <w:rPr>
                <w:rStyle w:val="182"/>
                <w:rFonts w:hint="eastAsia" w:ascii="宋体" w:hAnsi="宋体" w:eastAsia="宋体" w:cs="宋体"/>
                <w:color w:val="000000" w:themeColor="text1"/>
                <w:spacing w:val="0"/>
                <w:sz w:val="24"/>
                <w:szCs w:val="24"/>
                <w:highlight w:val="none"/>
                <w:lang w:eastAsia="zh-CN"/>
                <w14:textFill>
                  <w14:solidFill>
                    <w14:schemeClr w14:val="tx1"/>
                  </w14:solidFill>
                </w14:textFill>
              </w:rPr>
              <w:t>供应商</w:t>
            </w:r>
            <w:r>
              <w:rPr>
                <w:rStyle w:val="182"/>
                <w:rFonts w:hint="eastAsia" w:ascii="宋体" w:hAnsi="宋体" w:eastAsia="宋体" w:cs="宋体"/>
                <w:color w:val="000000" w:themeColor="text1"/>
                <w:spacing w:val="0"/>
                <w:sz w:val="24"/>
                <w:szCs w:val="24"/>
                <w:highlight w:val="none"/>
                <w14:textFill>
                  <w14:solidFill>
                    <w14:schemeClr w14:val="tx1"/>
                  </w14:solidFill>
                </w14:textFill>
              </w:rPr>
              <w:t>资格要求</w:t>
            </w:r>
          </w:p>
        </w:tc>
        <w:tc>
          <w:tcPr>
            <w:tcW w:w="7020" w:type="dxa"/>
            <w:vAlign w:val="center"/>
          </w:tcPr>
          <w:p w14:paraId="647FDBD0">
            <w:pPr>
              <w:widowControl w:val="0"/>
              <w:snapToGrid w:val="0"/>
              <w:spacing w:line="360" w:lineRule="auto"/>
              <w:rPr>
                <w:rFonts w:ascii="宋体" w:hAnsi="宋体" w:cs="宋体"/>
                <w:b/>
                <w:bCs/>
                <w:color w:val="auto"/>
                <w:highlight w:val="none"/>
              </w:rPr>
            </w:pPr>
            <w:r>
              <w:rPr>
                <w:rFonts w:hint="eastAsia" w:ascii="宋体" w:hAnsi="宋体" w:cs="宋体"/>
                <w:b/>
                <w:bCs/>
                <w:color w:val="auto"/>
                <w:highlight w:val="none"/>
              </w:rPr>
              <w:t>1.满足《中华人民共和国政府采购法》第二十二条规定：</w:t>
            </w:r>
          </w:p>
          <w:p w14:paraId="523CA667">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（1）具有独立承担民事责任的能力</w:t>
            </w:r>
            <w:r>
              <w:rPr>
                <w:rFonts w:hint="eastAsia" w:ascii="宋体" w:hAnsi="宋体" w:cs="宋体"/>
                <w:color w:val="auto"/>
                <w:highlight w:val="none"/>
                <w:lang w:eastAsia="zh-CN"/>
              </w:rPr>
              <w:t>。</w:t>
            </w:r>
          </w:p>
          <w:p w14:paraId="19B08CA8">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（2）具有良好的商业信誉和健全的财务会计制度（</w:t>
            </w:r>
            <w:r>
              <w:rPr>
                <w:rFonts w:hint="eastAsia" w:ascii="宋体" w:hAnsi="宋体" w:cs="宋体"/>
                <w:color w:val="auto"/>
                <w:highlight w:val="none"/>
                <w:lang w:eastAsia="zh-CN"/>
              </w:rPr>
              <w:t>供应商</w:t>
            </w:r>
            <w:r>
              <w:rPr>
                <w:rFonts w:hint="eastAsia" w:ascii="宋体" w:hAnsi="宋体" w:cs="宋体"/>
                <w:color w:val="auto"/>
                <w:highlight w:val="none"/>
              </w:rPr>
              <w:t>提供2023年度或2024年度经第三方审计的财务报告及报表或企业自身出具的合法有效的财务报表；</w:t>
            </w:r>
            <w:r>
              <w:rPr>
                <w:rFonts w:hint="eastAsia" w:ascii="宋体" w:hAnsi="宋体" w:cs="宋体"/>
                <w:color w:val="auto"/>
                <w:highlight w:val="none"/>
                <w:lang w:eastAsia="zh-CN"/>
              </w:rPr>
              <w:t>供应商</w:t>
            </w:r>
            <w:r>
              <w:rPr>
                <w:rFonts w:hint="eastAsia" w:ascii="宋体" w:hAnsi="宋体" w:cs="宋体"/>
                <w:color w:val="auto"/>
                <w:highlight w:val="none"/>
              </w:rPr>
              <w:t>成立不足1年的，可提供企业成立至今合法有效的财务资料）</w:t>
            </w:r>
            <w:r>
              <w:rPr>
                <w:rFonts w:hint="eastAsia" w:ascii="宋体" w:hAnsi="宋体" w:cs="宋体"/>
                <w:color w:val="auto"/>
                <w:highlight w:val="none"/>
                <w:lang w:eastAsia="zh-CN"/>
              </w:rPr>
              <w:t>。</w:t>
            </w:r>
          </w:p>
          <w:p w14:paraId="03ADFBA6">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eastAsia="zh-CN"/>
              </w:rPr>
              <w:t>具有履行合同所必需的设备和专业技术能力。</w:t>
            </w:r>
          </w:p>
          <w:p w14:paraId="61B86029">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（4）有依法缴纳税收和社会保障资金的良好记录（</w:t>
            </w:r>
            <w:r>
              <w:rPr>
                <w:rFonts w:hint="eastAsia" w:ascii="宋体" w:hAnsi="宋体" w:cs="宋体"/>
                <w:color w:val="auto"/>
                <w:highlight w:val="none"/>
                <w:lang w:eastAsia="zh-CN"/>
              </w:rPr>
              <w:t>供应商</w:t>
            </w:r>
            <w:r>
              <w:rPr>
                <w:rFonts w:hint="eastAsia" w:ascii="宋体" w:hAnsi="宋体" w:cs="宋体"/>
                <w:color w:val="auto"/>
                <w:highlight w:val="none"/>
              </w:rPr>
              <w:t>提供缴税所属时间在2024年01月至本项目</w:t>
            </w:r>
            <w:r>
              <w:rPr>
                <w:rFonts w:hint="eastAsia" w:ascii="宋体" w:hAnsi="宋体" w:cs="宋体"/>
                <w:color w:val="auto"/>
                <w:highlight w:val="none"/>
                <w:lang w:eastAsia="zh-CN"/>
              </w:rPr>
              <w:t>磋商</w:t>
            </w:r>
            <w:r>
              <w:rPr>
                <w:rFonts w:hint="eastAsia" w:ascii="宋体" w:hAnsi="宋体" w:cs="宋体"/>
                <w:color w:val="auto"/>
                <w:highlight w:val="none"/>
              </w:rPr>
              <w:t>响应文件提交截止时间前任意1个月的税务局税收通用缴款书或银行电子缴税（费）凭证或税务局出具纳税情况的相关证明，依法免税的，应提供依法免税的相关证明文件；至开标截止时间</w:t>
            </w:r>
            <w:r>
              <w:rPr>
                <w:rFonts w:hint="eastAsia" w:ascii="宋体" w:hAnsi="宋体" w:cs="宋体"/>
                <w:color w:val="auto"/>
                <w:highlight w:val="none"/>
                <w:lang w:eastAsia="zh-CN"/>
              </w:rPr>
              <w:t>供应商</w:t>
            </w:r>
            <w:r>
              <w:rPr>
                <w:rFonts w:hint="eastAsia" w:ascii="宋体" w:hAnsi="宋体" w:cs="宋体"/>
                <w:color w:val="auto"/>
                <w:highlight w:val="none"/>
              </w:rPr>
              <w:t>成立时间不足1个月的可根据自身情况提供依法缴纳税收相关材料或提供书面情况说明；</w:t>
            </w:r>
            <w:r>
              <w:rPr>
                <w:rFonts w:hint="eastAsia" w:ascii="宋体" w:hAnsi="宋体" w:cs="宋体"/>
                <w:color w:val="auto"/>
                <w:highlight w:val="none"/>
                <w:lang w:eastAsia="zh-CN"/>
              </w:rPr>
              <w:t>供应商</w:t>
            </w:r>
            <w:r>
              <w:rPr>
                <w:rFonts w:hint="eastAsia" w:ascii="宋体" w:hAnsi="宋体" w:cs="宋体"/>
                <w:color w:val="auto"/>
                <w:highlight w:val="none"/>
              </w:rPr>
              <w:t>提供缴费所属时间在2024年01月至本项目</w:t>
            </w:r>
            <w:r>
              <w:rPr>
                <w:rFonts w:hint="eastAsia" w:ascii="宋体" w:hAnsi="宋体" w:cs="宋体"/>
                <w:color w:val="auto"/>
                <w:highlight w:val="none"/>
                <w:lang w:eastAsia="zh-CN"/>
              </w:rPr>
              <w:t>磋商</w:t>
            </w:r>
            <w:r>
              <w:rPr>
                <w:rFonts w:hint="eastAsia" w:ascii="宋体" w:hAnsi="宋体" w:cs="宋体"/>
                <w:color w:val="auto"/>
                <w:highlight w:val="none"/>
              </w:rPr>
              <w:t>响应文件提交截止时间前任意1个月的社会保险费缴款书或银行电子缴税（费）凭证或社保管理部门出具的有效的缴款证明，依法免缴的，应提供依法免缴的相关证明文件；至开标截止时间</w:t>
            </w:r>
            <w:r>
              <w:rPr>
                <w:rFonts w:hint="eastAsia" w:ascii="宋体" w:hAnsi="宋体" w:cs="宋体"/>
                <w:color w:val="auto"/>
                <w:highlight w:val="none"/>
                <w:lang w:eastAsia="zh-CN"/>
              </w:rPr>
              <w:t>供应商</w:t>
            </w:r>
            <w:r>
              <w:rPr>
                <w:rFonts w:hint="eastAsia" w:ascii="宋体" w:hAnsi="宋体" w:cs="宋体"/>
                <w:color w:val="auto"/>
                <w:highlight w:val="none"/>
              </w:rPr>
              <w:t>成立时间不足1个月的可根据自身情况提供依法缴纳社会保障资金相关材料或提供书面情况说明）</w:t>
            </w:r>
            <w:r>
              <w:rPr>
                <w:rFonts w:hint="eastAsia" w:ascii="宋体" w:hAnsi="宋体" w:cs="宋体"/>
                <w:color w:val="auto"/>
                <w:highlight w:val="none"/>
                <w:lang w:eastAsia="zh-CN"/>
              </w:rPr>
              <w:t>。</w:t>
            </w:r>
          </w:p>
          <w:p w14:paraId="473E3CF1">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（5）参加政府采购活动前三年内，在经营活动中没有重大违法记录</w:t>
            </w:r>
            <w:r>
              <w:rPr>
                <w:rFonts w:hint="eastAsia" w:ascii="宋体" w:hAnsi="宋体" w:cs="宋体"/>
                <w:color w:val="auto"/>
                <w:highlight w:val="none"/>
                <w:lang w:eastAsia="zh-CN"/>
              </w:rPr>
              <w:t>。</w:t>
            </w:r>
          </w:p>
          <w:p w14:paraId="0E30C6A7">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（6）法律、行政法规规定的其他条件</w:t>
            </w:r>
            <w:r>
              <w:rPr>
                <w:rFonts w:hint="eastAsia" w:ascii="宋体" w:hAnsi="宋体" w:cs="宋体"/>
                <w:color w:val="auto"/>
                <w:highlight w:val="none"/>
                <w:lang w:eastAsia="zh-CN"/>
              </w:rPr>
              <w:t>。</w:t>
            </w:r>
          </w:p>
          <w:p w14:paraId="2A128B34">
            <w:pPr>
              <w:widowControl w:val="0"/>
              <w:snapToGrid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（7）单位负责人为同一人或者存在直接控股、管理关系的不同</w:t>
            </w:r>
            <w:r>
              <w:rPr>
                <w:rFonts w:hint="eastAsia" w:ascii="宋体" w:hAnsi="宋体" w:cs="宋体"/>
                <w:color w:val="auto"/>
                <w:highlight w:val="none"/>
                <w:lang w:eastAsia="zh-CN"/>
              </w:rPr>
              <w:t>供应商</w:t>
            </w:r>
            <w:r>
              <w:rPr>
                <w:rFonts w:hint="eastAsia" w:ascii="宋体" w:hAnsi="宋体" w:cs="宋体"/>
                <w:color w:val="auto"/>
                <w:highlight w:val="none"/>
              </w:rPr>
              <w:t>，不得参加同一合同项下的政府采购活动</w:t>
            </w:r>
            <w:r>
              <w:rPr>
                <w:rFonts w:hint="eastAsia" w:ascii="宋体" w:hAnsi="宋体" w:cs="宋体"/>
                <w:color w:val="auto"/>
                <w:highlight w:val="none"/>
                <w:lang w:eastAsia="zh-CN"/>
              </w:rPr>
              <w:t>。</w:t>
            </w:r>
          </w:p>
          <w:p w14:paraId="379E8E31">
            <w:pPr>
              <w:widowControl w:val="0"/>
              <w:snapToGrid w:val="0"/>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2.落实政府采购政策需满足的资格要求：</w:t>
            </w:r>
          </w:p>
          <w:p w14:paraId="561AC8F1">
            <w:pPr>
              <w:widowControl w:val="0"/>
              <w:numPr>
                <w:ilvl w:val="0"/>
                <w:numId w:val="0"/>
              </w:numPr>
              <w:snapToGrid w:val="0"/>
              <w:spacing w:line="360" w:lineRule="auto"/>
              <w:ind w:leftChars="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本项目为专门面向中小企业的政府采购项目，不再执行价格评审优惠的扶持政策。监狱企业、残疾人福利性单位视同小微企业。供应商须按磋商文件规定格式提供中小企业声明函（或监狱企业声明函或残疾人福利性单位声明函）。</w:t>
            </w:r>
          </w:p>
          <w:p w14:paraId="31F11DAB">
            <w:pPr>
              <w:widowControl w:val="0"/>
              <w:numPr>
                <w:ilvl w:val="0"/>
                <w:numId w:val="0"/>
              </w:numPr>
              <w:snapToGrid w:val="0"/>
              <w:spacing w:line="360" w:lineRule="auto"/>
              <w:ind w:left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本项目特定资格要求：</w:t>
            </w:r>
            <w:r>
              <w:rPr>
                <w:rFonts w:hint="eastAsia" w:ascii="宋体" w:hAnsi="宋体" w:cs="宋体"/>
                <w:b w:val="0"/>
                <w:bCs w:val="0"/>
                <w:color w:val="auto"/>
              </w:rPr>
              <w:t>拟投入本项目负责人</w:t>
            </w:r>
            <w:r>
              <w:rPr>
                <w:rFonts w:hint="eastAsia" w:ascii="宋体" w:hAnsi="宋体" w:cs="宋体"/>
                <w:b w:val="0"/>
                <w:bCs w:val="0"/>
                <w:color w:val="auto"/>
                <w:lang w:eastAsia="zh-CN"/>
              </w:rPr>
              <w:t>：</w:t>
            </w:r>
            <w:r>
              <w:rPr>
                <w:rFonts w:hint="eastAsia" w:ascii="宋体" w:hAnsi="宋体" w:cs="宋体"/>
                <w:b w:val="0"/>
                <w:bCs w:val="0"/>
                <w:color w:val="auto"/>
              </w:rPr>
              <w:t>应为本单位在职员工</w:t>
            </w:r>
            <w:r>
              <w:rPr>
                <w:rFonts w:hint="eastAsia" w:ascii="宋体" w:hAnsi="宋体" w:cs="宋体"/>
                <w:b w:val="0"/>
                <w:bCs w:val="0"/>
                <w:color w:val="auto"/>
                <w:lang w:eastAsia="zh-CN"/>
              </w:rPr>
              <w:t>，</w:t>
            </w:r>
            <w:r>
              <w:rPr>
                <w:rFonts w:hint="eastAsia" w:ascii="宋体" w:hAnsi="宋体" w:cs="宋体"/>
                <w:b w:val="0"/>
                <w:bCs w:val="0"/>
                <w:color w:val="auto"/>
              </w:rPr>
              <w:t>具备白蚁防治</w:t>
            </w:r>
            <w:r>
              <w:rPr>
                <w:rFonts w:hint="eastAsia" w:ascii="宋体" w:hAnsi="宋体" w:cs="宋体"/>
                <w:b w:val="0"/>
                <w:bCs w:val="0"/>
                <w:color w:val="auto"/>
                <w:lang w:eastAsia="zh-CN"/>
              </w:rPr>
              <w:t>专业</w:t>
            </w:r>
            <w:r>
              <w:rPr>
                <w:rFonts w:hint="eastAsia" w:ascii="宋体" w:hAnsi="宋体" w:cs="宋体"/>
                <w:b w:val="0"/>
                <w:bCs w:val="0"/>
                <w:color w:val="auto"/>
                <w:lang w:val="en-US" w:eastAsia="zh-CN"/>
              </w:rPr>
              <w:t>中级及以上</w:t>
            </w:r>
            <w:r>
              <w:rPr>
                <w:rFonts w:hint="eastAsia" w:ascii="宋体" w:hAnsi="宋体" w:cs="宋体"/>
                <w:b w:val="0"/>
                <w:bCs w:val="0"/>
                <w:color w:val="auto"/>
              </w:rPr>
              <w:t>资格证书</w:t>
            </w:r>
            <w:r>
              <w:rPr>
                <w:rFonts w:hint="eastAsia" w:ascii="宋体" w:hAnsi="宋体" w:cs="宋体"/>
                <w:b w:val="0"/>
                <w:bCs w:val="0"/>
                <w:color w:val="auto"/>
                <w:lang w:val="en-US" w:eastAsia="zh-CN"/>
              </w:rPr>
              <w:t>或职称证书</w:t>
            </w:r>
            <w:r>
              <w:rPr>
                <w:rFonts w:hint="eastAsia" w:ascii="宋体" w:hAnsi="宋体" w:cs="宋体"/>
                <w:b w:val="0"/>
                <w:bCs w:val="0"/>
                <w:color w:val="auto"/>
              </w:rPr>
              <w:t>，提供社保证明材料</w:t>
            </w:r>
            <w:r>
              <w:rPr>
                <w:rFonts w:hint="eastAsia" w:ascii="宋体" w:hAnsi="宋体" w:cs="宋体"/>
                <w:b w:val="0"/>
                <w:bCs w:val="0"/>
                <w:color w:val="auto"/>
                <w:lang w:eastAsia="zh-CN"/>
              </w:rPr>
              <w:t>。</w:t>
            </w:r>
          </w:p>
          <w:p w14:paraId="5E87C11D">
            <w:pPr>
              <w:widowControl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.本项目不接受联合体</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w:t>
            </w:r>
          </w:p>
          <w:p w14:paraId="649847B1">
            <w:pPr>
              <w:widowControl w:val="0"/>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单位负责人为同一人或者存在直接控股、管理关系的不同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，不得参加同一合同项下的政府采购活动。</w:t>
            </w:r>
          </w:p>
          <w:p w14:paraId="3FC02508">
            <w:pPr>
              <w:widowControl w:val="0"/>
              <w:snapToGrid w:val="0"/>
              <w:spacing w:line="360" w:lineRule="auto"/>
              <w:rPr>
                <w:rFonts w:hint="eastAsia"/>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6.按照《财政部关于在政府采购活动中查询及使用信用记录有关问题的通知》(财库[2016]125号) 相关要求 ，各级财政部门 、采购人 、采购代理机构通过“信用中国 ”网站(www.creditchina.gov.cn) 、中国政府采购网 (www.ccgp.gov.cnwww.ccgp.gov.cn) 等渠道查询供应商信用记录，并采取必要方式做好信用信息查询记录和证据留存，信用信息查询记录及相关证据与采购文件一并保存。供应商未被列入失信被执行人记录、重大税收违法案件当事人名单、政府采购严重违法失信行为 (被禁止在一定期限内参加政府采购活动但期限届满的除外) ，参加本项目的供应商信用报告查询截止时点：本项目竞争性磋商公告发布之日起至递交响应文件截止时间。</w:t>
            </w:r>
          </w:p>
        </w:tc>
      </w:tr>
      <w:tr w14:paraId="3E476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34AD379">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694" w:type="dxa"/>
            <w:vAlign w:val="center"/>
          </w:tcPr>
          <w:p w14:paraId="29A231D1">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现场考察</w:t>
            </w:r>
          </w:p>
        </w:tc>
        <w:tc>
          <w:tcPr>
            <w:tcW w:w="7020" w:type="dxa"/>
            <w:vAlign w:val="center"/>
          </w:tcPr>
          <w:p w14:paraId="4E636FFF">
            <w:pPr>
              <w:pStyle w:val="185"/>
              <w:widowControl w:val="0"/>
              <w:shd w:val="clear" w:color="auto" w:fill="auto"/>
              <w:spacing w:before="0" w:line="300" w:lineRule="auto"/>
              <w:jc w:val="left"/>
              <w:rPr>
                <w:rStyle w:val="182"/>
                <w:rFonts w:ascii="宋体" w:hAnsi="宋体" w:eastAsia="宋体" w:cs="宋体"/>
                <w:color w:val="000000" w:themeColor="text1"/>
                <w:spacing w:val="0"/>
                <w:sz w:val="24"/>
                <w:szCs w:val="24"/>
                <w:highlight w:val="none"/>
                <w14:textFill>
                  <w14:solidFill>
                    <w14:schemeClr w14:val="tx1"/>
                  </w14:solidFill>
                </w14:textFill>
              </w:rPr>
            </w:pPr>
            <w:r>
              <w:rPr>
                <w:rStyle w:val="182"/>
                <w:rFonts w:hint="eastAsia" w:ascii="宋体" w:hAnsi="宋体" w:eastAsia="宋体" w:cs="宋体"/>
                <w:color w:val="000000" w:themeColor="text1"/>
                <w:spacing w:val="0"/>
                <w:sz w:val="24"/>
                <w:szCs w:val="24"/>
                <w:highlight w:val="none"/>
                <w14:textFill>
                  <w14:solidFill>
                    <w14:schemeClr w14:val="tx1"/>
                  </w14:solidFill>
                </w14:textFill>
              </w:rPr>
              <w:fldChar w:fldCharType="begin"/>
            </w:r>
            <w:r>
              <w:rPr>
                <w:rStyle w:val="182"/>
                <w:rFonts w:hint="eastAsia" w:ascii="宋体" w:hAnsi="宋体" w:eastAsia="宋体" w:cs="宋体"/>
                <w:color w:val="000000" w:themeColor="text1"/>
                <w:spacing w:val="0"/>
                <w:sz w:val="24"/>
                <w:szCs w:val="24"/>
                <w:highlight w:val="none"/>
                <w14:textFill>
                  <w14:solidFill>
                    <w14:schemeClr w14:val="tx1"/>
                  </w14:solidFill>
                </w14:textFill>
              </w:rPr>
              <w:instrText xml:space="preserve">eq \o\ac(□,√)</w:instrText>
            </w:r>
            <w:r>
              <w:rPr>
                <w:rStyle w:val="182"/>
                <w:rFonts w:hint="eastAsia" w:ascii="宋体" w:hAnsi="宋体" w:eastAsia="宋体" w:cs="宋体"/>
                <w:color w:val="000000" w:themeColor="text1"/>
                <w:spacing w:val="0"/>
                <w:sz w:val="24"/>
                <w:szCs w:val="24"/>
                <w:highlight w:val="none"/>
                <w14:textFill>
                  <w14:solidFill>
                    <w14:schemeClr w14:val="tx1"/>
                  </w14:solidFill>
                </w14:textFill>
              </w:rPr>
              <w:fldChar w:fldCharType="end"/>
            </w:r>
            <w:r>
              <w:rPr>
                <w:rStyle w:val="182"/>
                <w:rFonts w:hint="eastAsia" w:ascii="宋体" w:hAnsi="宋体" w:eastAsia="宋体" w:cs="宋体"/>
                <w:color w:val="000000" w:themeColor="text1"/>
                <w:spacing w:val="0"/>
                <w:sz w:val="24"/>
                <w:szCs w:val="24"/>
                <w:highlight w:val="none"/>
                <w14:textFill>
                  <w14:solidFill>
                    <w14:schemeClr w14:val="tx1"/>
                  </w14:solidFill>
                </w14:textFill>
              </w:rPr>
              <w:t>不组织，本项目由</w:t>
            </w:r>
            <w:r>
              <w:rPr>
                <w:rStyle w:val="182"/>
                <w:rFonts w:hint="eastAsia" w:ascii="宋体" w:hAnsi="宋体" w:eastAsia="宋体" w:cs="宋体"/>
                <w:color w:val="000000" w:themeColor="text1"/>
                <w:spacing w:val="0"/>
                <w:sz w:val="24"/>
                <w:szCs w:val="24"/>
                <w:highlight w:val="none"/>
                <w:lang w:eastAsia="zh-CN"/>
                <w14:textFill>
                  <w14:solidFill>
                    <w14:schemeClr w14:val="tx1"/>
                  </w14:solidFill>
                </w14:textFill>
              </w:rPr>
              <w:t>供应商</w:t>
            </w:r>
            <w:r>
              <w:rPr>
                <w:rStyle w:val="182"/>
                <w:rFonts w:hint="eastAsia" w:ascii="宋体" w:hAnsi="宋体" w:eastAsia="宋体" w:cs="宋体"/>
                <w:color w:val="000000" w:themeColor="text1"/>
                <w:spacing w:val="0"/>
                <w:sz w:val="24"/>
                <w:szCs w:val="24"/>
                <w:highlight w:val="none"/>
                <w14:textFill>
                  <w14:solidFill>
                    <w14:schemeClr w14:val="tx1"/>
                  </w14:solidFill>
                </w14:textFill>
              </w:rPr>
              <w:t>自行踏勘。</w:t>
            </w:r>
          </w:p>
          <w:p w14:paraId="2223DE91">
            <w:pPr>
              <w:pStyle w:val="185"/>
              <w:widowControl w:val="0"/>
              <w:shd w:val="clear" w:color="auto" w:fill="auto"/>
              <w:spacing w:before="0" w:line="300" w:lineRule="auto"/>
              <w:jc w:val="left"/>
              <w:rPr>
                <w:rStyle w:val="182"/>
                <w:rFonts w:ascii="宋体" w:hAnsi="宋体" w:eastAsia="宋体" w:cs="宋体"/>
                <w:color w:val="000000" w:themeColor="text1"/>
                <w:spacing w:val="0"/>
                <w:sz w:val="24"/>
                <w:szCs w:val="24"/>
                <w:highlight w:val="none"/>
                <w14:textFill>
                  <w14:solidFill>
                    <w14:schemeClr w14:val="tx1"/>
                  </w14:solidFill>
                </w14:textFill>
              </w:rPr>
            </w:pPr>
            <w:r>
              <w:rPr>
                <w:rStyle w:val="182"/>
                <w:rFonts w:hint="eastAsia" w:ascii="宋体" w:hAnsi="宋体" w:eastAsia="宋体" w:cs="宋体"/>
                <w:color w:val="000000" w:themeColor="text1"/>
                <w:spacing w:val="0"/>
                <w:sz w:val="24"/>
                <w:szCs w:val="24"/>
                <w:highlight w:val="none"/>
                <w14:textFill>
                  <w14:solidFill>
                    <w14:schemeClr w14:val="tx1"/>
                  </w14:solidFill>
                </w14:textFill>
              </w:rPr>
              <w:t>□组织</w:t>
            </w:r>
          </w:p>
        </w:tc>
      </w:tr>
      <w:tr w14:paraId="3E3C0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F3AE156">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694" w:type="dxa"/>
            <w:vAlign w:val="center"/>
          </w:tcPr>
          <w:p w14:paraId="091CFE6C">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答疑会</w:t>
            </w:r>
          </w:p>
        </w:tc>
        <w:tc>
          <w:tcPr>
            <w:tcW w:w="7020" w:type="dxa"/>
            <w:vAlign w:val="center"/>
          </w:tcPr>
          <w:p w14:paraId="2E325FC0">
            <w:pPr>
              <w:pStyle w:val="185"/>
              <w:widowControl w:val="0"/>
              <w:shd w:val="clear" w:color="auto" w:fill="auto"/>
              <w:spacing w:before="0" w:line="300" w:lineRule="auto"/>
              <w:jc w:val="left"/>
              <w:rPr>
                <w:rStyle w:val="182"/>
                <w:rFonts w:ascii="宋体" w:hAnsi="宋体" w:eastAsia="宋体" w:cs="宋体"/>
                <w:color w:val="000000" w:themeColor="text1"/>
                <w:spacing w:val="0"/>
                <w:sz w:val="24"/>
                <w:szCs w:val="24"/>
                <w:highlight w:val="none"/>
                <w14:textFill>
                  <w14:solidFill>
                    <w14:schemeClr w14:val="tx1"/>
                  </w14:solidFill>
                </w14:textFill>
              </w:rPr>
            </w:pPr>
            <w:r>
              <w:rPr>
                <w:rStyle w:val="182"/>
                <w:rFonts w:hint="eastAsia" w:ascii="宋体" w:hAnsi="宋体" w:eastAsia="宋体" w:cs="宋体"/>
                <w:color w:val="000000" w:themeColor="text1"/>
                <w:spacing w:val="0"/>
                <w:sz w:val="24"/>
                <w:szCs w:val="24"/>
                <w:highlight w:val="none"/>
                <w14:textFill>
                  <w14:solidFill>
                    <w14:schemeClr w14:val="tx1"/>
                  </w14:solidFill>
                </w14:textFill>
              </w:rPr>
              <w:fldChar w:fldCharType="begin"/>
            </w:r>
            <w:r>
              <w:rPr>
                <w:rStyle w:val="182"/>
                <w:rFonts w:hint="eastAsia" w:ascii="宋体" w:hAnsi="宋体" w:eastAsia="宋体" w:cs="宋体"/>
                <w:color w:val="000000" w:themeColor="text1"/>
                <w:spacing w:val="0"/>
                <w:sz w:val="24"/>
                <w:szCs w:val="24"/>
                <w:highlight w:val="none"/>
                <w14:textFill>
                  <w14:solidFill>
                    <w14:schemeClr w14:val="tx1"/>
                  </w14:solidFill>
                </w14:textFill>
              </w:rPr>
              <w:instrText xml:space="preserve">eq \o\ac(□,√)</w:instrText>
            </w:r>
            <w:r>
              <w:rPr>
                <w:rStyle w:val="182"/>
                <w:rFonts w:hint="eastAsia" w:ascii="宋体" w:hAnsi="宋体" w:eastAsia="宋体" w:cs="宋体"/>
                <w:color w:val="000000" w:themeColor="text1"/>
                <w:spacing w:val="0"/>
                <w:sz w:val="24"/>
                <w:szCs w:val="24"/>
                <w:highlight w:val="none"/>
                <w14:textFill>
                  <w14:solidFill>
                    <w14:schemeClr w14:val="tx1"/>
                  </w14:solidFill>
                </w14:textFill>
              </w:rPr>
              <w:fldChar w:fldCharType="end"/>
            </w:r>
            <w:r>
              <w:rPr>
                <w:rStyle w:val="182"/>
                <w:rFonts w:hint="eastAsia" w:ascii="宋体" w:hAnsi="宋体" w:eastAsia="宋体" w:cs="宋体"/>
                <w:color w:val="000000" w:themeColor="text1"/>
                <w:spacing w:val="0"/>
                <w:sz w:val="24"/>
                <w:szCs w:val="24"/>
                <w:highlight w:val="none"/>
                <w14:textFill>
                  <w14:solidFill>
                    <w14:schemeClr w14:val="tx1"/>
                  </w14:solidFill>
                </w14:textFill>
              </w:rPr>
              <w:t>不召开    □召开</w:t>
            </w:r>
          </w:p>
        </w:tc>
      </w:tr>
      <w:tr w14:paraId="78FD8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8EE3C42">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694" w:type="dxa"/>
            <w:vAlign w:val="center"/>
          </w:tcPr>
          <w:p w14:paraId="23B7EACE">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构成竞争性磋商文件的其他材料</w:t>
            </w:r>
          </w:p>
        </w:tc>
        <w:tc>
          <w:tcPr>
            <w:tcW w:w="7020" w:type="dxa"/>
            <w:vAlign w:val="center"/>
          </w:tcPr>
          <w:p w14:paraId="6D371CB0">
            <w:pPr>
              <w:widowControl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无</w:t>
            </w:r>
          </w:p>
        </w:tc>
      </w:tr>
      <w:tr w14:paraId="49FB86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CAC16EB">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1694" w:type="dxa"/>
            <w:vAlign w:val="center"/>
          </w:tcPr>
          <w:p w14:paraId="1DCA64D5">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磋商文件澄清截止时间</w:t>
            </w:r>
          </w:p>
        </w:tc>
        <w:tc>
          <w:tcPr>
            <w:tcW w:w="7020" w:type="dxa"/>
            <w:vAlign w:val="center"/>
          </w:tcPr>
          <w:p w14:paraId="6C451C72">
            <w:pPr>
              <w:widowControl w:val="0"/>
              <w:wordWrap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提交响应文件截止时间</w:t>
            </w:r>
            <w:r>
              <w:rPr>
                <w:rFonts w:hint="eastAsia" w:ascii="宋体" w:hAnsi="宋体"/>
                <w:color w:val="000000" w:themeColor="text1"/>
                <w:szCs w:val="21"/>
                <w:highlight w:val="none"/>
                <w:u w:val="singl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日前</w:t>
            </w:r>
          </w:p>
        </w:tc>
      </w:tr>
      <w:tr w14:paraId="73EA6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3CAF78EA">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w:t>
            </w:r>
          </w:p>
        </w:tc>
        <w:tc>
          <w:tcPr>
            <w:tcW w:w="1694" w:type="dxa"/>
            <w:vAlign w:val="center"/>
          </w:tcPr>
          <w:p w14:paraId="07DBB891">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有效期</w:t>
            </w:r>
          </w:p>
        </w:tc>
        <w:tc>
          <w:tcPr>
            <w:tcW w:w="7020" w:type="dxa"/>
            <w:vAlign w:val="center"/>
          </w:tcPr>
          <w:p w14:paraId="0CF57A3D">
            <w:pPr>
              <w:widowControl w:val="0"/>
              <w:wordWrap w:val="0"/>
              <w:spacing w:line="300" w:lineRule="auto"/>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自递交</w:t>
            </w:r>
            <w:r>
              <w:rPr>
                <w:rFonts w:hint="eastAsia" w:ascii="宋体" w:hAnsi="宋体" w:cs="宋体"/>
                <w:color w:val="000000" w:themeColor="text1"/>
                <w:highlight w:val="none"/>
                <w:lang w:val="zh-TW" w:eastAsia="zh-CN"/>
                <w14:textFill>
                  <w14:solidFill>
                    <w14:schemeClr w14:val="tx1"/>
                  </w14:solidFill>
                </w14:textFill>
              </w:rPr>
              <w:t>磋商</w:t>
            </w:r>
            <w:r>
              <w:rPr>
                <w:rFonts w:hint="eastAsia" w:ascii="宋体" w:hAnsi="宋体" w:cs="宋体"/>
                <w:color w:val="000000" w:themeColor="text1"/>
                <w:highlight w:val="none"/>
                <w:lang w:val="zh-TW"/>
                <w14:textFill>
                  <w14:solidFill>
                    <w14:schemeClr w14:val="tx1"/>
                  </w14:solidFill>
                </w14:textFill>
              </w:rPr>
              <w:t>文件截止之日起计算</w:t>
            </w:r>
            <w:r>
              <w:rPr>
                <w:rFonts w:hint="eastAsia" w:ascii="宋体" w:hAnsi="宋体" w:cs="宋体"/>
                <w:color w:val="000000" w:themeColor="text1"/>
                <w:highlight w:val="none"/>
                <w:lang w:val="en-US" w:eastAsia="zh-CN"/>
                <w14:textFill>
                  <w14:solidFill>
                    <w14:schemeClr w14:val="tx1"/>
                  </w14:solidFill>
                </w14:textFill>
              </w:rPr>
              <w:t>90</w:t>
            </w:r>
            <w:r>
              <w:rPr>
                <w:rFonts w:hint="eastAsia" w:ascii="宋体" w:hAnsi="宋体" w:cs="宋体"/>
                <w:color w:val="000000" w:themeColor="text1"/>
                <w:highlight w:val="none"/>
                <w:lang w:val="zh-TW"/>
                <w14:textFill>
                  <w14:solidFill>
                    <w14:schemeClr w14:val="tx1"/>
                  </w14:solidFill>
                </w14:textFill>
              </w:rPr>
              <w:t>天。</w:t>
            </w:r>
          </w:p>
        </w:tc>
      </w:tr>
      <w:tr w14:paraId="0D7551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7A61973">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w:t>
            </w:r>
          </w:p>
        </w:tc>
        <w:tc>
          <w:tcPr>
            <w:tcW w:w="1694" w:type="dxa"/>
            <w:vAlign w:val="center"/>
          </w:tcPr>
          <w:p w14:paraId="02BBF7BB">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w:t>
            </w:r>
          </w:p>
        </w:tc>
        <w:tc>
          <w:tcPr>
            <w:tcW w:w="7020" w:type="dxa"/>
            <w:vAlign w:val="center"/>
          </w:tcPr>
          <w:p w14:paraId="24F7EFC2">
            <w:pPr>
              <w:widowControl w:val="0"/>
              <w:wordWrap w:val="0"/>
              <w:spacing w:line="300" w:lineRule="auto"/>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zh-TW" w:eastAsia="zh-CN"/>
                <w14:textFill>
                  <w14:solidFill>
                    <w14:schemeClr w14:val="tx1"/>
                  </w14:solidFill>
                </w14:textFill>
              </w:rPr>
              <w:t>磋商</w:t>
            </w:r>
            <w:r>
              <w:rPr>
                <w:rFonts w:hint="eastAsia" w:ascii="宋体" w:hAnsi="宋体" w:cs="宋体"/>
                <w:color w:val="000000" w:themeColor="text1"/>
                <w:highlight w:val="none"/>
                <w:lang w:val="zh-TW"/>
                <w14:textFill>
                  <w14:solidFill>
                    <w14:schemeClr w14:val="tx1"/>
                  </w14:solidFill>
                </w14:textFill>
              </w:rPr>
              <w:t>保证金金额：</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000.00</w:t>
            </w:r>
            <w:r>
              <w:rPr>
                <w:rFonts w:hint="eastAsia" w:ascii="宋体" w:hAnsi="宋体" w:cs="宋体"/>
                <w:color w:val="000000" w:themeColor="text1"/>
                <w:highlight w:val="none"/>
                <w:lang w:val="zh-TW"/>
                <w14:textFill>
                  <w14:solidFill>
                    <w14:schemeClr w14:val="tx1"/>
                  </w14:solidFill>
                </w14:textFill>
              </w:rPr>
              <w:t xml:space="preserve">元 </w:t>
            </w:r>
            <w:r>
              <w:rPr>
                <w:rFonts w:hint="eastAsia" w:ascii="宋体" w:hAnsi="宋体" w:cs="宋体"/>
                <w:color w:val="000000" w:themeColor="text1"/>
                <w:highlight w:val="none"/>
                <w:lang w:val="zh-TW" w:eastAsia="zh-CN"/>
                <w14:textFill>
                  <w14:solidFill>
                    <w14:schemeClr w14:val="tx1"/>
                  </w14:solidFill>
                </w14:textFill>
              </w:rPr>
              <w:t>。</w:t>
            </w:r>
            <w:r>
              <w:rPr>
                <w:rFonts w:hint="eastAsia" w:ascii="宋体" w:hAnsi="宋体" w:cs="宋体"/>
                <w:color w:val="000000" w:themeColor="text1"/>
                <w:highlight w:val="none"/>
                <w:lang w:val="zh-TW"/>
                <w14:textFill>
                  <w14:solidFill>
                    <w14:schemeClr w14:val="tx1"/>
                  </w14:solidFill>
                </w14:textFill>
              </w:rPr>
              <w:t xml:space="preserve">  </w:t>
            </w:r>
          </w:p>
          <w:p w14:paraId="0B02494A">
            <w:pPr>
              <w:widowControl w:val="0"/>
              <w:wordWrap w:val="0"/>
              <w:spacing w:line="300" w:lineRule="auto"/>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TW" w:eastAsia="zh-CN"/>
                <w14:textFill>
                  <w14:solidFill>
                    <w14:schemeClr w14:val="tx1"/>
                  </w14:solidFill>
                </w14:textFill>
              </w:rPr>
              <w:t>磋商</w:t>
            </w:r>
            <w:r>
              <w:rPr>
                <w:rFonts w:hint="eastAsia" w:ascii="宋体" w:hAnsi="宋体" w:cs="宋体"/>
                <w:color w:val="000000" w:themeColor="text1"/>
                <w:highlight w:val="none"/>
                <w:lang w:val="zh-TW"/>
                <w14:textFill>
                  <w14:solidFill>
                    <w14:schemeClr w14:val="tx1"/>
                  </w14:solidFill>
                </w14:textFill>
              </w:rPr>
              <w:t>保证金形式：</w:t>
            </w:r>
            <w:r>
              <w:rPr>
                <w:rFonts w:hint="eastAsia" w:ascii="宋体" w:hAnsi="宋体" w:cs="宋体"/>
                <w:color w:val="000000" w:themeColor="text1"/>
                <w:highlight w:val="none"/>
                <w:lang w:eastAsia="zh-CN"/>
                <w14:textFill>
                  <w14:solidFill>
                    <w14:schemeClr w14:val="tx1"/>
                  </w14:solidFill>
                </w14:textFill>
              </w:rPr>
              <w:t>银行转账、银行保函、保证保险及法律法规允许的其他方式以非现金形式提交磋商保证金。</w:t>
            </w:r>
            <w:r>
              <w:rPr>
                <w:rFonts w:hint="eastAsia" w:ascii="宋体" w:hAnsi="宋体" w:cs="宋体"/>
                <w:color w:val="000000" w:themeColor="text1"/>
                <w:highlight w:val="none"/>
                <w:lang w:val="zh-TW" w:eastAsia="zh-CN"/>
                <w14:textFill>
                  <w14:solidFill>
                    <w14:schemeClr w14:val="tx1"/>
                  </w14:solidFill>
                </w14:textFill>
              </w:rPr>
              <w:t>供应商</w:t>
            </w:r>
            <w:r>
              <w:rPr>
                <w:rFonts w:hint="eastAsia" w:ascii="宋体" w:hAnsi="宋体" w:cs="宋体"/>
                <w:color w:val="000000" w:themeColor="text1"/>
                <w:highlight w:val="none"/>
                <w:lang w:val="zh-TW"/>
                <w14:textFill>
                  <w14:solidFill>
                    <w14:schemeClr w14:val="tx1"/>
                  </w14:solidFill>
                </w14:textFill>
              </w:rPr>
              <w:t>可根据实际情况，选择保证金的提供或缴纳方式，有关部门、单位和企业不得以任何方式排斥、限制或拒绝接受。</w:t>
            </w:r>
          </w:p>
          <w:p w14:paraId="18A4304A">
            <w:pPr>
              <w:widowControl w:val="0"/>
              <w:wordWrap w:val="0"/>
              <w:spacing w:line="300" w:lineRule="auto"/>
              <w:rPr>
                <w:rFonts w:hint="eastAsia"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户名：云南彬钥工程管理有限公司</w:t>
            </w:r>
          </w:p>
          <w:p w14:paraId="5C8B2063">
            <w:pPr>
              <w:widowControl w:val="0"/>
              <w:wordWrap w:val="0"/>
              <w:spacing w:line="300" w:lineRule="auto"/>
              <w:rPr>
                <w:rFonts w:hint="eastAsia"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开户行：云南施甸农村商业银行股份有限公司</w:t>
            </w:r>
          </w:p>
          <w:p w14:paraId="7EE0EFA5">
            <w:pPr>
              <w:widowControl w:val="0"/>
              <w:wordWrap w:val="0"/>
              <w:spacing w:line="300" w:lineRule="auto"/>
              <w:rPr>
                <w:rFonts w:hint="eastAsia"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保证金提交账号：2500027368680012</w:t>
            </w:r>
          </w:p>
          <w:p w14:paraId="7AD45D2C">
            <w:pPr>
              <w:widowControl w:val="0"/>
              <w:wordWrap w:val="0"/>
              <w:spacing w:line="300" w:lineRule="auto"/>
              <w:rPr>
                <w:rFonts w:hint="eastAsia" w:ascii="宋体" w:hAnsi="宋体" w:eastAsia="宋体" w:cs="宋体"/>
                <w:color w:val="000000" w:themeColor="text1"/>
                <w:highlight w:val="none"/>
                <w:lang w:val="zh-TW" w:eastAsia="zh-CN"/>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注：注明项目名称注意事项</w:t>
            </w:r>
            <w:r>
              <w:rPr>
                <w:rFonts w:hint="eastAsia" w:ascii="宋体" w:hAnsi="宋体" w:cs="宋体"/>
                <w:color w:val="000000" w:themeColor="text1"/>
                <w:highlight w:val="none"/>
                <w:lang w:val="zh-TW" w:eastAsia="zh-CN"/>
                <w14:textFill>
                  <w14:solidFill>
                    <w14:schemeClr w14:val="tx1"/>
                  </w14:solidFill>
                </w14:textFill>
              </w:rPr>
              <w:t>。</w:t>
            </w:r>
          </w:p>
          <w:p w14:paraId="3E11DAA7">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ascii="宋体" w:hAnsi="宋体" w:cs="宋体"/>
                <w:color w:val="000000" w:themeColor="text1"/>
                <w:highlight w:val="none"/>
                <w14:textFill>
                  <w14:solidFill>
                    <w14:schemeClr w14:val="tx1"/>
                  </w14:solidFill>
                </w14:textFill>
              </w:rPr>
              <w:t>.保证金必须从</w:t>
            </w:r>
            <w:r>
              <w:rPr>
                <w:rFonts w:hint="eastAsia" w:ascii="宋体" w:hAnsi="宋体" w:cs="宋体"/>
                <w:color w:val="000000" w:themeColor="text1"/>
                <w:highlight w:val="none"/>
                <w:lang w:eastAsia="zh-CN"/>
                <w14:textFill>
                  <w14:solidFill>
                    <w14:schemeClr w14:val="tx1"/>
                  </w14:solidFill>
                </w14:textFill>
              </w:rPr>
              <w:t>供应商</w:t>
            </w:r>
            <w:r>
              <w:rPr>
                <w:rFonts w:ascii="宋体" w:hAnsi="宋体" w:cs="宋体"/>
                <w:color w:val="000000" w:themeColor="text1"/>
                <w:highlight w:val="none"/>
                <w14:textFill>
                  <w14:solidFill>
                    <w14:schemeClr w14:val="tx1"/>
                  </w14:solidFill>
                </w14:textFill>
              </w:rPr>
              <w:t>的基本账户划出</w:t>
            </w:r>
            <w:r>
              <w:rPr>
                <w:rFonts w:hint="eastAsia" w:ascii="宋体" w:hAnsi="宋体" w:cs="宋体"/>
                <w:color w:val="000000" w:themeColor="text1"/>
                <w:highlight w:val="none"/>
                <w:lang w:eastAsia="zh-CN"/>
                <w14:textFill>
                  <w14:solidFill>
                    <w14:schemeClr w14:val="tx1"/>
                  </w14:solidFill>
                </w14:textFill>
              </w:rPr>
              <w:t>。</w:t>
            </w:r>
          </w:p>
          <w:p w14:paraId="2C2AEF4A">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ascii="宋体" w:hAnsi="宋体" w:cs="宋体"/>
                <w:color w:val="000000" w:themeColor="text1"/>
                <w:highlight w:val="none"/>
                <w14:textFill>
                  <w14:solidFill>
                    <w14:schemeClr w14:val="tx1"/>
                  </w14:solidFill>
                </w14:textFill>
              </w:rPr>
              <w:t>.保证金转账仅限</w:t>
            </w:r>
            <w:r>
              <w:rPr>
                <w:rFonts w:hint="eastAsia" w:ascii="宋体" w:hAnsi="宋体" w:cs="宋体"/>
                <w:color w:val="000000" w:themeColor="text1"/>
                <w:highlight w:val="none"/>
                <w14:textFill>
                  <w14:solidFill>
                    <w14:schemeClr w14:val="tx1"/>
                  </w14:solidFill>
                </w14:textFill>
              </w:rPr>
              <w:t>支票、汇票、本票、保函、转账</w:t>
            </w:r>
            <w:r>
              <w:rPr>
                <w:rFonts w:hint="eastAsia" w:ascii="宋体" w:hAnsi="宋体" w:cs="宋体"/>
                <w:color w:val="000000" w:themeColor="text1"/>
                <w:highlight w:val="none"/>
                <w:lang w:val="zh-TW"/>
                <w14:textFill>
                  <w14:solidFill>
                    <w14:schemeClr w14:val="tx1"/>
                  </w14:solidFill>
                </w14:textFill>
              </w:rPr>
              <w:t>或其他非现金形式</w:t>
            </w:r>
            <w:r>
              <w:rPr>
                <w:rFonts w:hint="eastAsia" w:ascii="宋体" w:hAnsi="宋体" w:cs="宋体"/>
                <w:color w:val="000000" w:themeColor="text1"/>
                <w:highlight w:val="none"/>
                <w:lang w:eastAsia="zh-CN"/>
                <w14:textFill>
                  <w14:solidFill>
                    <w14:schemeClr w14:val="tx1"/>
                  </w14:solidFill>
                </w14:textFill>
              </w:rPr>
              <w:t>。</w:t>
            </w:r>
          </w:p>
          <w:p w14:paraId="65E48F4F">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ascii="宋体" w:hAnsi="宋体" w:cs="宋体"/>
                <w:color w:val="000000" w:themeColor="text1"/>
                <w:highlight w:val="none"/>
                <w14:textFill>
                  <w14:solidFill>
                    <w14:schemeClr w14:val="tx1"/>
                  </w14:solidFill>
                </w14:textFill>
              </w:rPr>
              <w:t>.到账时间以保证金专用账户实际到账时间为准，未在缴纳保证金截止时间前到账的保证金无效</w:t>
            </w:r>
            <w:r>
              <w:rPr>
                <w:rFonts w:hint="eastAsia" w:ascii="宋体" w:hAnsi="宋体" w:cs="宋体"/>
                <w:color w:val="000000" w:themeColor="text1"/>
                <w:highlight w:val="none"/>
                <w:lang w:eastAsia="zh-CN"/>
                <w14:textFill>
                  <w14:solidFill>
                    <w14:schemeClr w14:val="tx1"/>
                  </w14:solidFill>
                </w14:textFill>
              </w:rPr>
              <w:t>。</w:t>
            </w:r>
          </w:p>
          <w:p w14:paraId="197AC7FC">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采用</w:t>
            </w:r>
            <w:r>
              <w:rPr>
                <w:rFonts w:hint="eastAsia" w:ascii="宋体" w:hAnsi="宋体" w:cs="宋体"/>
                <w:color w:val="000000" w:themeColor="text1"/>
                <w:highlight w:val="none"/>
                <w14:textFill>
                  <w14:solidFill>
                    <w14:schemeClr w14:val="tx1"/>
                  </w14:solidFill>
                </w14:textFill>
              </w:rPr>
              <w:t>银行</w:t>
            </w:r>
            <w:r>
              <w:rPr>
                <w:rFonts w:ascii="宋体" w:hAnsi="宋体" w:cs="宋体"/>
                <w:color w:val="000000" w:themeColor="text1"/>
                <w:highlight w:val="none"/>
                <w14:textFill>
                  <w14:solidFill>
                    <w14:schemeClr w14:val="tx1"/>
                  </w14:solidFill>
                </w14:textFill>
              </w:rPr>
              <w:t>保函</w:t>
            </w:r>
            <w:r>
              <w:rPr>
                <w:rFonts w:hint="eastAsia" w:ascii="宋体" w:hAnsi="宋体" w:cs="宋体"/>
                <w:color w:val="000000" w:themeColor="text1"/>
                <w:highlight w:val="none"/>
                <w:lang w:eastAsia="zh-CN"/>
                <w14:textFill>
                  <w14:solidFill>
                    <w14:schemeClr w14:val="tx1"/>
                  </w14:solidFill>
                </w14:textFill>
              </w:rPr>
              <w:t>：</w:t>
            </w:r>
          </w:p>
          <w:p w14:paraId="4FFFE05D">
            <w:pPr>
              <w:keepNext/>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保函申请人必须是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，受益人必须是采购人，保证人必须是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基本账户的开户银行；银行保函必须正确填写受益人和申请人的全称，并与采购文件规定的名称一致，以免造成磋商无效。</w:t>
            </w:r>
          </w:p>
          <w:p w14:paraId="50BF039F">
            <w:pPr>
              <w:keepNext/>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.采用保证保险：</w:t>
            </w:r>
          </w:p>
          <w:p w14:paraId="45DF1B86">
            <w:pPr>
              <w:keepNext/>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须按照国家关于保证保险的要求购买保证保险。保险受益人（采购人）：</w:t>
            </w:r>
            <w:r>
              <w:rPr>
                <w:rFonts w:hint="eastAsia" w:ascii="宋体" w:hAnsi="宋体" w:cs="宋体"/>
                <w:color w:val="000000" w:themeColor="text1"/>
                <w:highlight w:val="none"/>
                <w:lang w:eastAsia="zh-CN"/>
                <w14:textFill>
                  <w14:solidFill>
                    <w14:schemeClr w14:val="tx1"/>
                  </w14:solidFill>
                </w14:textFill>
              </w:rPr>
              <w:t>施甸县水务局。</w:t>
            </w:r>
          </w:p>
          <w:p w14:paraId="57A20675">
            <w:pPr>
              <w:keepNext/>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对未足额提交磋商保证金的</w:t>
            </w:r>
            <w:r>
              <w:rPr>
                <w:rFonts w:hint="eastAsia" w:ascii="宋体" w:hAnsi="宋体" w:cs="宋体"/>
                <w:color w:val="000000" w:themeColor="text1"/>
                <w:highlight w:val="none"/>
                <w:lang w:eastAsia="zh-CN"/>
                <w14:textFill>
                  <w14:solidFill>
                    <w14:schemeClr w14:val="tx1"/>
                  </w14:solidFill>
                </w14:textFill>
              </w:rPr>
              <w:t>供应商</w:t>
            </w:r>
            <w:r>
              <w:rPr>
                <w:rFonts w:ascii="宋体" w:hAnsi="宋体" w:cs="宋体"/>
                <w:color w:val="000000" w:themeColor="text1"/>
                <w:highlight w:val="none"/>
                <w14:textFill>
                  <w14:solidFill>
                    <w14:schemeClr w14:val="tx1"/>
                  </w14:solidFill>
                </w14:textFill>
              </w:rPr>
              <w:t>提交的</w:t>
            </w:r>
            <w:r>
              <w:rPr>
                <w:rFonts w:hint="eastAsia" w:ascii="宋体" w:hAnsi="宋体" w:cs="宋体"/>
                <w:color w:val="000000" w:themeColor="text1"/>
                <w:highlight w:val="none"/>
                <w14:textFill>
                  <w14:solidFill>
                    <w14:schemeClr w14:val="tx1"/>
                  </w14:solidFill>
                </w14:textFill>
              </w:rPr>
              <w:t>磋商响应文件</w:t>
            </w:r>
            <w:r>
              <w:rPr>
                <w:rFonts w:ascii="宋体" w:hAnsi="宋体" w:cs="宋体"/>
                <w:color w:val="000000" w:themeColor="text1"/>
                <w:highlight w:val="none"/>
                <w14:textFill>
                  <w14:solidFill>
                    <w14:schemeClr w14:val="tx1"/>
                  </w14:solidFill>
                </w14:textFill>
              </w:rPr>
              <w:t>，采购代理机构将视其为不响应</w:t>
            </w:r>
            <w:r>
              <w:rPr>
                <w:rFonts w:hint="eastAsia" w:ascii="宋体" w:hAnsi="宋体" w:cs="宋体"/>
                <w:color w:val="000000" w:themeColor="text1"/>
                <w:highlight w:val="none"/>
                <w:lang w:eastAsia="zh-CN"/>
                <w14:textFill>
                  <w14:solidFill>
                    <w14:schemeClr w14:val="tx1"/>
                  </w14:solidFill>
                </w14:textFill>
              </w:rPr>
              <w:t>磋商</w:t>
            </w:r>
            <w:r>
              <w:rPr>
                <w:rFonts w:ascii="宋体" w:hAnsi="宋体" w:cs="宋体"/>
                <w:color w:val="000000" w:themeColor="text1"/>
                <w:highlight w:val="none"/>
                <w14:textFill>
                  <w14:solidFill>
                    <w14:schemeClr w14:val="tx1"/>
                  </w14:solidFill>
                </w14:textFill>
              </w:rPr>
              <w:t>条件而予以拒绝。</w:t>
            </w:r>
          </w:p>
          <w:p w14:paraId="68F3B7BD">
            <w:pPr>
              <w:keepNext/>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.未</w:t>
            </w:r>
            <w:r>
              <w:rPr>
                <w:rFonts w:hint="eastAsia" w:ascii="宋体" w:hAnsi="宋体" w:cs="宋体"/>
                <w:color w:val="000000" w:themeColor="text1"/>
                <w:highlight w:val="none"/>
                <w:lang w:eastAsia="zh-CN"/>
                <w14:textFill>
                  <w14:solidFill>
                    <w14:schemeClr w14:val="tx1"/>
                  </w14:solidFill>
                </w14:textFill>
              </w:rPr>
              <w:t>成交供应商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保证金，将在</w:t>
            </w:r>
            <w:r>
              <w:rPr>
                <w:rFonts w:hint="eastAsia" w:ascii="宋体" w:hAnsi="宋体" w:cs="宋体"/>
                <w:color w:val="000000" w:themeColor="text1"/>
                <w:highlight w:val="none"/>
                <w:shd w:val="clear" w:color="auto" w:fill="FFFFFF"/>
                <w14:textFill>
                  <w14:solidFill>
                    <w14:schemeClr w14:val="tx1"/>
                  </w14:solidFill>
                </w14:textFill>
              </w:rPr>
              <w:t>成交通知书发出后5个工作日内退还</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成交供应商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保证金在</w:t>
            </w:r>
            <w:r>
              <w:rPr>
                <w:rFonts w:hint="eastAsia" w:ascii="宋体" w:hAnsi="宋体" w:cs="宋体"/>
                <w:color w:val="000000" w:themeColor="text1"/>
                <w:highlight w:val="none"/>
                <w:shd w:val="clear" w:color="auto" w:fill="FFFFFF"/>
                <w14:textFill>
                  <w14:solidFill>
                    <w14:schemeClr w14:val="tx1"/>
                  </w14:solidFill>
                </w14:textFill>
              </w:rPr>
              <w:t>采购合同</w:t>
            </w:r>
            <w:r>
              <w:rPr>
                <w:rFonts w:hint="eastAsia" w:ascii="宋体" w:hAnsi="宋体" w:cs="宋体"/>
                <w:color w:val="000000" w:themeColor="text1"/>
                <w:highlight w:val="none"/>
                <w14:textFill>
                  <w14:solidFill>
                    <w14:schemeClr w14:val="tx1"/>
                  </w14:solidFill>
                </w14:textFill>
              </w:rPr>
              <w:t>签订后5</w:t>
            </w:r>
            <w:r>
              <w:rPr>
                <w:rFonts w:hint="eastAsia" w:ascii="宋体" w:hAnsi="宋体" w:cs="宋体"/>
                <w:color w:val="000000" w:themeColor="text1"/>
                <w:highlight w:val="none"/>
                <w:shd w:val="clear" w:color="auto" w:fill="FFFFFF"/>
                <w14:textFill>
                  <w14:solidFill>
                    <w14:schemeClr w14:val="tx1"/>
                  </w14:solidFill>
                </w14:textFill>
              </w:rPr>
              <w:t>个工作日</w:t>
            </w:r>
            <w:r>
              <w:rPr>
                <w:rFonts w:hint="eastAsia" w:ascii="宋体" w:hAnsi="宋体" w:cs="宋体"/>
                <w:color w:val="000000" w:themeColor="text1"/>
                <w:highlight w:val="none"/>
                <w14:textFill>
                  <w14:solidFill>
                    <w14:schemeClr w14:val="tx1"/>
                  </w14:solidFill>
                </w14:textFill>
              </w:rPr>
              <w:t>内予以退还。</w:t>
            </w:r>
          </w:p>
          <w:p w14:paraId="06586E45">
            <w:pPr>
              <w:pStyle w:val="23"/>
              <w:ind w:left="0" w:leftChars="0" w:firstLine="0" w:firstLineChars="0"/>
              <w:rPr>
                <w:rFonts w:hint="default" w:eastAsia="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注：未尽事宜，按现行政策规定执行。</w:t>
            </w:r>
          </w:p>
        </w:tc>
      </w:tr>
      <w:tr w14:paraId="565ACD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D7029C8">
            <w:pPr>
              <w:widowControl w:val="0"/>
              <w:wordWrap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w:t>
            </w:r>
          </w:p>
        </w:tc>
        <w:tc>
          <w:tcPr>
            <w:tcW w:w="1694" w:type="dxa"/>
            <w:vAlign w:val="center"/>
          </w:tcPr>
          <w:p w14:paraId="741D2F18">
            <w:pPr>
              <w:widowControl w:val="0"/>
              <w:wordWrap w:val="0"/>
              <w:spacing w:line="300" w:lineRule="auto"/>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需提供的原件</w:t>
            </w:r>
          </w:p>
        </w:tc>
        <w:tc>
          <w:tcPr>
            <w:tcW w:w="7020" w:type="dxa"/>
            <w:vAlign w:val="center"/>
          </w:tcPr>
          <w:p w14:paraId="6E4EFF67">
            <w:pPr>
              <w:widowControl w:val="0"/>
              <w:wordWrap w:val="0"/>
              <w:spacing w:line="300" w:lineRule="auto"/>
              <w:rPr>
                <w:rFonts w:hint="eastAsia" w:ascii="宋体" w:hAnsi="宋体" w:eastAsia="宋体" w:cs="宋体"/>
                <w:color w:val="000000" w:themeColor="text1"/>
                <w:highlight w:val="none"/>
                <w:lang w:val="zh-TW" w:eastAsia="zh-CN"/>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无</w:t>
            </w:r>
            <w:r>
              <w:rPr>
                <w:rFonts w:hint="eastAsia" w:ascii="宋体" w:hAnsi="宋体" w:cs="宋体"/>
                <w:color w:val="000000" w:themeColor="text1"/>
                <w:highlight w:val="none"/>
                <w:lang w:val="zh-TW" w:eastAsia="zh-CN"/>
                <w14:textFill>
                  <w14:solidFill>
                    <w14:schemeClr w14:val="tx1"/>
                  </w14:solidFill>
                </w14:textFill>
              </w:rPr>
              <w:t>。</w:t>
            </w:r>
          </w:p>
        </w:tc>
      </w:tr>
      <w:tr w14:paraId="46B46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CCC6B14">
            <w:pPr>
              <w:widowControl w:val="0"/>
              <w:wordWrap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w:t>
            </w:r>
          </w:p>
        </w:tc>
        <w:tc>
          <w:tcPr>
            <w:tcW w:w="1694" w:type="dxa"/>
            <w:vAlign w:val="center"/>
          </w:tcPr>
          <w:p w14:paraId="690A6182">
            <w:pPr>
              <w:widowControl w:val="0"/>
              <w:wordWrap w:val="0"/>
              <w:spacing w:line="300" w:lineRule="auto"/>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eastAsia="zh-CN"/>
                <w14:textFill>
                  <w14:solidFill>
                    <w14:schemeClr w14:val="tx1"/>
                  </w14:solidFill>
                </w14:textFill>
              </w:rPr>
              <w:t>磋商</w:t>
            </w:r>
            <w:r>
              <w:rPr>
                <w:rFonts w:hint="eastAsia" w:ascii="宋体" w:hAnsi="宋体" w:cs="宋体"/>
                <w:color w:val="000000" w:themeColor="text1"/>
                <w:highlight w:val="none"/>
                <w:lang w:val="zh-TW"/>
                <w14:textFill>
                  <w14:solidFill>
                    <w14:schemeClr w14:val="tx1"/>
                  </w14:solidFill>
                </w14:textFill>
              </w:rPr>
              <w:t>截止时间</w:t>
            </w:r>
          </w:p>
        </w:tc>
        <w:tc>
          <w:tcPr>
            <w:tcW w:w="7020" w:type="dxa"/>
            <w:vAlign w:val="center"/>
          </w:tcPr>
          <w:p w14:paraId="0C597887">
            <w:pPr>
              <w:widowControl w:val="0"/>
              <w:wordWrap w:val="0"/>
              <w:spacing w:line="300" w:lineRule="auto"/>
              <w:rPr>
                <w:rFonts w:hint="eastAsia" w:ascii="宋体" w:hAnsi="宋体" w:eastAsia="宋体" w:cs="宋体"/>
                <w:color w:val="000000" w:themeColor="text1"/>
                <w:highlight w:val="none"/>
                <w:lang w:val="zh-TW"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lang w:val="zh-TW"/>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lang w:val="zh-TW"/>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26</w:t>
            </w:r>
            <w:r>
              <w:rPr>
                <w:rFonts w:hint="eastAsia" w:ascii="宋体" w:hAnsi="宋体" w:cs="宋体"/>
                <w:color w:val="000000" w:themeColor="text1"/>
                <w:highlight w:val="none"/>
                <w:lang w:val="zh-TW"/>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09</w:t>
            </w:r>
            <w:r>
              <w:rPr>
                <w:rFonts w:hint="eastAsia" w:ascii="宋体" w:hAnsi="宋体" w:cs="宋体"/>
                <w:color w:val="000000" w:themeColor="text1"/>
                <w:highlight w:val="none"/>
                <w:lang w:val="zh-TW"/>
                <w14:textFill>
                  <w14:solidFill>
                    <w14:schemeClr w14:val="tx1"/>
                  </w14:solidFill>
                </w14:textFill>
              </w:rPr>
              <w:t xml:space="preserve">时 </w:t>
            </w:r>
            <w:r>
              <w:rPr>
                <w:rFonts w:hint="eastAsia" w:ascii="宋体" w:hAnsi="宋体" w:cs="宋体"/>
                <w:color w:val="000000" w:themeColor="text1"/>
                <w:highlight w:val="none"/>
                <w14:textFill>
                  <w14:solidFill>
                    <w14:schemeClr w14:val="tx1"/>
                  </w14:solidFill>
                </w14:textFill>
              </w:rPr>
              <w:t>00</w:t>
            </w:r>
            <w:r>
              <w:rPr>
                <w:rFonts w:hint="eastAsia" w:ascii="宋体" w:hAnsi="宋体" w:cs="宋体"/>
                <w:color w:val="000000" w:themeColor="text1"/>
                <w:highlight w:val="none"/>
                <w:lang w:val="zh-TW"/>
                <w14:textFill>
                  <w14:solidFill>
                    <w14:schemeClr w14:val="tx1"/>
                  </w14:solidFill>
                </w14:textFill>
              </w:rPr>
              <w:t xml:space="preserve"> 分</w:t>
            </w:r>
            <w:r>
              <w:rPr>
                <w:rFonts w:hint="eastAsia" w:ascii="宋体" w:hAnsi="宋体" w:cs="宋体"/>
                <w:color w:val="000000" w:themeColor="text1"/>
                <w:highlight w:val="none"/>
                <w:lang w:val="zh-TW"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具体时间以系统为准</w:t>
            </w:r>
            <w:r>
              <w:rPr>
                <w:rFonts w:hint="eastAsia" w:ascii="宋体" w:hAnsi="宋体" w:cs="宋体"/>
                <w:color w:val="000000" w:themeColor="text1"/>
                <w:highlight w:val="none"/>
                <w:lang w:val="zh-TW" w:eastAsia="zh-CN"/>
                <w14:textFill>
                  <w14:solidFill>
                    <w14:schemeClr w14:val="tx1"/>
                  </w14:solidFill>
                </w14:textFill>
              </w:rPr>
              <w:t>）。</w:t>
            </w:r>
          </w:p>
        </w:tc>
      </w:tr>
      <w:tr w14:paraId="2AABB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D2648C2">
            <w:pPr>
              <w:widowControl w:val="0"/>
              <w:wordWrap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w:t>
            </w:r>
          </w:p>
        </w:tc>
        <w:tc>
          <w:tcPr>
            <w:tcW w:w="1694" w:type="dxa"/>
            <w:vAlign w:val="center"/>
          </w:tcPr>
          <w:p w14:paraId="607B4C0B">
            <w:pPr>
              <w:widowControl w:val="0"/>
              <w:wordWrap w:val="0"/>
              <w:spacing w:line="300" w:lineRule="auto"/>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eastAsia="zh-CN"/>
                <w14:textFill>
                  <w14:solidFill>
                    <w14:schemeClr w14:val="tx1"/>
                  </w14:solidFill>
                </w14:textFill>
              </w:rPr>
              <w:t>响应文件开标</w:t>
            </w:r>
            <w:r>
              <w:rPr>
                <w:rFonts w:hint="eastAsia" w:ascii="宋体" w:hAnsi="宋体" w:cs="宋体"/>
                <w:color w:val="000000" w:themeColor="text1"/>
                <w:highlight w:val="none"/>
                <w:lang w:val="zh-TW"/>
                <w14:textFill>
                  <w14:solidFill>
                    <w14:schemeClr w14:val="tx1"/>
                  </w14:solidFill>
                </w14:textFill>
              </w:rPr>
              <w:t>时间和地点</w:t>
            </w:r>
          </w:p>
        </w:tc>
        <w:tc>
          <w:tcPr>
            <w:tcW w:w="7020" w:type="dxa"/>
            <w:vAlign w:val="center"/>
          </w:tcPr>
          <w:p w14:paraId="4A66042A">
            <w:pPr>
              <w:widowControl w:val="0"/>
              <w:wordWrap w:val="0"/>
              <w:spacing w:line="300" w:lineRule="auto"/>
              <w:rPr>
                <w:rFonts w:hint="eastAsia" w:ascii="宋体" w:hAnsi="宋体" w:eastAsia="宋体" w:cs="宋体"/>
                <w:color w:val="000000" w:themeColor="text1"/>
                <w:highlight w:val="none"/>
                <w:lang w:val="zh-TW" w:eastAsia="zh-CN"/>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时间：同</w:t>
            </w:r>
            <w:r>
              <w:rPr>
                <w:rFonts w:hint="eastAsia" w:ascii="宋体" w:hAnsi="宋体" w:cs="宋体"/>
                <w:color w:val="000000" w:themeColor="text1"/>
                <w:highlight w:val="none"/>
                <w:lang w:val="zh-TW" w:eastAsia="zh-CN"/>
                <w14:textFill>
                  <w14:solidFill>
                    <w14:schemeClr w14:val="tx1"/>
                  </w14:solidFill>
                </w14:textFill>
              </w:rPr>
              <w:t>磋商</w:t>
            </w:r>
            <w:r>
              <w:rPr>
                <w:rFonts w:hint="eastAsia" w:ascii="宋体" w:hAnsi="宋体" w:cs="宋体"/>
                <w:color w:val="000000" w:themeColor="text1"/>
                <w:highlight w:val="none"/>
                <w:lang w:val="zh-TW"/>
                <w14:textFill>
                  <w14:solidFill>
                    <w14:schemeClr w14:val="tx1"/>
                  </w14:solidFill>
                </w14:textFill>
              </w:rPr>
              <w:t>截止时间</w:t>
            </w:r>
            <w:r>
              <w:rPr>
                <w:rFonts w:hint="eastAsia" w:ascii="宋体" w:hAnsi="宋体" w:cs="宋体"/>
                <w:color w:val="000000" w:themeColor="text1"/>
                <w:highlight w:val="none"/>
                <w:lang w:val="zh-TW" w:eastAsia="zh-CN"/>
                <w14:textFill>
                  <w14:solidFill>
                    <w14:schemeClr w14:val="tx1"/>
                  </w14:solidFill>
                </w14:textFill>
              </w:rPr>
              <w:t>。</w:t>
            </w:r>
          </w:p>
          <w:p w14:paraId="1DA6CE58">
            <w:pPr>
              <w:widowControl w:val="0"/>
              <w:wordWrap w:val="0"/>
              <w:spacing w:line="300" w:lineRule="auto"/>
              <w:rPr>
                <w:rFonts w:hint="eastAsia" w:ascii="宋体" w:hAnsi="宋体" w:eastAsia="宋体" w:cs="宋体"/>
                <w:color w:val="000000" w:themeColor="text1"/>
                <w:highlight w:val="none"/>
                <w:lang w:val="zh-TW"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磋商</w:t>
            </w:r>
            <w:r>
              <w:rPr>
                <w:rFonts w:hint="eastAsia" w:ascii="宋体" w:hAnsi="宋体" w:cs="宋体"/>
                <w:color w:val="000000" w:themeColor="text1"/>
                <w:highlight w:val="none"/>
                <w:lang w:val="zh-TW"/>
                <w14:textFill>
                  <w14:solidFill>
                    <w14:schemeClr w14:val="tx1"/>
                  </w14:solidFill>
                </w14:textFill>
              </w:rPr>
              <w:t>地点：</w:t>
            </w:r>
            <w:r>
              <w:rPr>
                <w:rFonts w:hint="eastAsia" w:ascii="宋体" w:hAnsi="宋体" w:cs="宋体"/>
                <w:color w:val="000000" w:themeColor="text1"/>
                <w:highlight w:val="none"/>
                <w:lang w:val="zh-TW" w:eastAsia="zh-CN"/>
                <w14:textFill>
                  <w14:solidFill>
                    <w14:schemeClr w14:val="tx1"/>
                  </w14:solidFill>
                </w14:textFill>
              </w:rPr>
              <w:t>“</w:t>
            </w:r>
            <w:r>
              <w:rPr>
                <w:rFonts w:hint="eastAsia" w:ascii="宋体" w:hAnsi="宋体" w:eastAsia="宋体" w:cs="宋体"/>
                <w:b w:val="0"/>
                <w:bCs w:val="0"/>
                <w:color w:val="auto"/>
                <w:kern w:val="2"/>
                <w:sz w:val="24"/>
                <w:szCs w:val="24"/>
                <w:highlight w:val="none"/>
                <w:lang w:eastAsia="zh-CN"/>
              </w:rPr>
              <w:t>政采云”平台</w:t>
            </w:r>
          </w:p>
        </w:tc>
      </w:tr>
      <w:tr w14:paraId="1974D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959" w:type="dxa"/>
            <w:vAlign w:val="center"/>
          </w:tcPr>
          <w:p w14:paraId="0ABCA3AE">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w:t>
            </w:r>
          </w:p>
        </w:tc>
        <w:tc>
          <w:tcPr>
            <w:tcW w:w="1694" w:type="dxa"/>
            <w:vAlign w:val="center"/>
          </w:tcPr>
          <w:p w14:paraId="68657A9C">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TW" w:eastAsia="zh-CN"/>
                <w14:textFill>
                  <w14:solidFill>
                    <w14:schemeClr w14:val="tx1"/>
                  </w14:solidFill>
                </w14:textFill>
              </w:rPr>
              <w:t>开标</w:t>
            </w:r>
            <w:r>
              <w:rPr>
                <w:rFonts w:hint="eastAsia" w:ascii="宋体" w:hAnsi="宋体" w:cs="宋体"/>
                <w:color w:val="000000" w:themeColor="text1"/>
                <w:highlight w:val="none"/>
                <w14:textFill>
                  <w14:solidFill>
                    <w14:schemeClr w14:val="tx1"/>
                  </w14:solidFill>
                </w14:textFill>
              </w:rPr>
              <w:t>程序</w:t>
            </w:r>
          </w:p>
        </w:tc>
        <w:tc>
          <w:tcPr>
            <w:tcW w:w="7020" w:type="dxa"/>
            <w:vAlign w:val="center"/>
          </w:tcPr>
          <w:p w14:paraId="57F54A6C">
            <w:pPr>
              <w:widowControl w:val="0"/>
              <w:spacing w:line="300" w:lineRule="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顺序：按照</w:t>
            </w:r>
            <w:r>
              <w:rPr>
                <w:rFonts w:hint="eastAsia" w:ascii="宋体" w:hAnsi="宋体" w:cs="宋体"/>
                <w:bCs/>
                <w:color w:val="000000" w:themeColor="text1"/>
                <w:szCs w:val="21"/>
                <w:highlight w:val="none"/>
                <w14:textFill>
                  <w14:solidFill>
                    <w14:schemeClr w14:val="tx1"/>
                  </w14:solidFill>
                </w14:textFill>
              </w:rPr>
              <w:t>“政府采购云平台”开标系统</w:t>
            </w:r>
            <w:r>
              <w:rPr>
                <w:rFonts w:hint="eastAsia" w:ascii="宋体" w:hAnsi="宋体" w:cs="宋体"/>
                <w:color w:val="000000" w:themeColor="text1"/>
                <w:highlight w:val="none"/>
                <w14:textFill>
                  <w14:solidFill>
                    <w14:schemeClr w14:val="tx1"/>
                  </w14:solidFill>
                </w14:textFill>
              </w:rPr>
              <w:t>自动提取所有</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的顺序当众开标。</w:t>
            </w:r>
          </w:p>
        </w:tc>
      </w:tr>
      <w:tr w14:paraId="137918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959" w:type="dxa"/>
            <w:vAlign w:val="center"/>
          </w:tcPr>
          <w:p w14:paraId="23046A9E">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w:t>
            </w:r>
          </w:p>
        </w:tc>
        <w:tc>
          <w:tcPr>
            <w:tcW w:w="1694" w:type="dxa"/>
            <w:vAlign w:val="center"/>
          </w:tcPr>
          <w:p w14:paraId="192B1AA5">
            <w:pPr>
              <w:pStyle w:val="185"/>
              <w:widowControl w:val="0"/>
              <w:shd w:val="clear" w:color="auto" w:fill="auto"/>
              <w:spacing w:before="0" w:line="300" w:lineRule="auto"/>
              <w:jc w:val="center"/>
              <w:rPr>
                <w:rFonts w:ascii="宋体" w:hAnsi="宋体" w:eastAsia="宋体" w:cs="宋体"/>
                <w:color w:val="000000" w:themeColor="text1"/>
                <w:spacing w:val="0"/>
                <w:sz w:val="24"/>
                <w:szCs w:val="24"/>
                <w:highlight w:val="none"/>
                <w:lang w:val="en-US"/>
                <w14:textFill>
                  <w14:solidFill>
                    <w14:schemeClr w14:val="tx1"/>
                  </w14:solidFill>
                </w14:textFill>
              </w:rPr>
            </w:pPr>
            <w:r>
              <w:rPr>
                <w:rFonts w:hint="eastAsia" w:ascii="宋体" w:hAnsi="宋体" w:eastAsia="宋体" w:cs="宋体"/>
                <w:color w:val="000000" w:themeColor="text1"/>
                <w:spacing w:val="0"/>
                <w:sz w:val="24"/>
                <w:szCs w:val="24"/>
                <w:highlight w:val="none"/>
                <w:lang w:val="en-US"/>
                <w14:textFill>
                  <w14:solidFill>
                    <w14:schemeClr w14:val="tx1"/>
                  </w14:solidFill>
                </w14:textFill>
              </w:rPr>
              <w:t>磋商小组的组建</w:t>
            </w:r>
          </w:p>
        </w:tc>
        <w:tc>
          <w:tcPr>
            <w:tcW w:w="7020" w:type="dxa"/>
            <w:vAlign w:val="center"/>
          </w:tcPr>
          <w:p w14:paraId="54C75B2D">
            <w:pPr>
              <w:widowControl w:val="0"/>
              <w:spacing w:line="300" w:lineRule="auto"/>
              <w:jc w:val="both"/>
              <w:rPr>
                <w:rFonts w:ascii="宋体" w:hAnsi="宋体" w:cs="宋体"/>
                <w:color w:val="000000" w:themeColor="text1"/>
                <w:highlight w:val="none"/>
                <w:u w:val="single"/>
                <w14:textFill>
                  <w14:solidFill>
                    <w14:schemeClr w14:val="tx1"/>
                  </w14:solidFill>
                </w14:textFill>
              </w:rPr>
            </w:pPr>
            <w:r>
              <w:rPr>
                <w:rFonts w:hint="eastAsia" w:ascii="宋体" w:hAnsi="宋体" w:cs="宋体"/>
                <w:color w:val="auto"/>
                <w:highlight w:val="none"/>
              </w:rPr>
              <w:t>磋商小组</w:t>
            </w:r>
            <w:r>
              <w:rPr>
                <w:rFonts w:hint="eastAsia" w:ascii="宋体" w:hAnsi="宋体" w:cs="宋体"/>
                <w:color w:val="auto"/>
                <w:highlight w:val="none"/>
                <w:lang w:val="zh-TW"/>
              </w:rPr>
              <w:t>的组成：</w:t>
            </w:r>
            <w:r>
              <w:rPr>
                <w:rFonts w:hint="eastAsia" w:ascii="宋体" w:hAnsi="宋体" w:cs="宋体"/>
                <w:color w:val="auto"/>
                <w:highlight w:val="none"/>
                <w:lang w:eastAsia="zh-CN"/>
              </w:rPr>
              <w:t>开标</w:t>
            </w:r>
            <w:r>
              <w:rPr>
                <w:rFonts w:hint="eastAsia" w:ascii="宋体" w:hAnsi="宋体" w:cs="宋体"/>
                <w:color w:val="auto"/>
                <w:highlight w:val="none"/>
              </w:rPr>
              <w:t>前从“云南省政府采购</w:t>
            </w:r>
            <w:r>
              <w:rPr>
                <w:rFonts w:hint="eastAsia" w:ascii="宋体" w:hAnsi="宋体" w:cs="宋体"/>
                <w:color w:val="auto"/>
                <w:highlight w:val="none"/>
                <w:lang w:val="en-US" w:eastAsia="zh-CN"/>
              </w:rPr>
              <w:t>专家库</w:t>
            </w:r>
            <w:r>
              <w:rPr>
                <w:rFonts w:hint="eastAsia" w:ascii="宋体" w:hAnsi="宋体" w:cs="宋体"/>
                <w:color w:val="auto"/>
                <w:highlight w:val="none"/>
              </w:rPr>
              <w:t>”中随机抽取</w:t>
            </w:r>
            <w:r>
              <w:rPr>
                <w:rFonts w:hint="eastAsia" w:ascii="宋体" w:hAnsi="宋体" w:cs="宋体"/>
                <w:color w:val="auto"/>
                <w:highlight w:val="none"/>
                <w:lang w:eastAsia="zh-CN"/>
              </w:rPr>
              <w:t>采购专家</w:t>
            </w:r>
            <w:r>
              <w:rPr>
                <w:rFonts w:hint="eastAsia" w:ascii="宋体" w:hAnsi="宋体" w:cs="宋体"/>
                <w:color w:val="auto"/>
                <w:highlight w:val="none"/>
              </w:rPr>
              <w:t>2</w:t>
            </w:r>
            <w:r>
              <w:rPr>
                <w:rFonts w:hint="eastAsia" w:ascii="宋体" w:hAnsi="宋体" w:cs="宋体"/>
                <w:color w:val="auto"/>
                <w:highlight w:val="none"/>
                <w:lang w:val="zh-TW"/>
              </w:rPr>
              <w:t>人和采购人代表</w:t>
            </w:r>
            <w:r>
              <w:rPr>
                <w:rFonts w:hint="eastAsia" w:ascii="宋体" w:hAnsi="宋体" w:cs="宋体"/>
                <w:color w:val="auto"/>
                <w:highlight w:val="none"/>
              </w:rPr>
              <w:t>1人，</w:t>
            </w:r>
            <w:r>
              <w:rPr>
                <w:rFonts w:hint="eastAsia" w:ascii="宋体" w:hAnsi="宋体" w:cs="宋体"/>
                <w:color w:val="auto"/>
                <w:highlight w:val="none"/>
                <w:lang w:val="zh-TW"/>
              </w:rPr>
              <w:t>共</w:t>
            </w:r>
            <w:r>
              <w:rPr>
                <w:rFonts w:hint="eastAsia" w:ascii="宋体" w:hAnsi="宋体" w:cs="宋体"/>
                <w:color w:val="auto"/>
                <w:highlight w:val="none"/>
              </w:rPr>
              <w:t>3人组成</w:t>
            </w:r>
            <w:r>
              <w:rPr>
                <w:rFonts w:hint="eastAsia" w:ascii="宋体" w:hAnsi="宋体" w:cs="宋体"/>
                <w:color w:val="auto"/>
                <w:highlight w:val="none"/>
                <w:lang w:val="zh-TW"/>
              </w:rPr>
              <w:t>。</w:t>
            </w:r>
          </w:p>
        </w:tc>
      </w:tr>
      <w:tr w14:paraId="536422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BE0FCB0">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w:t>
            </w:r>
          </w:p>
        </w:tc>
        <w:tc>
          <w:tcPr>
            <w:tcW w:w="1694" w:type="dxa"/>
            <w:vAlign w:val="center"/>
          </w:tcPr>
          <w:p w14:paraId="1BB092A9">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办法</w:t>
            </w:r>
          </w:p>
        </w:tc>
        <w:tc>
          <w:tcPr>
            <w:tcW w:w="7020" w:type="dxa"/>
            <w:vAlign w:val="center"/>
          </w:tcPr>
          <w:p w14:paraId="22623CD7">
            <w:pPr>
              <w:widowControl w:val="0"/>
              <w:spacing w:line="300" w:lineRule="auto"/>
              <w:jc w:val="both"/>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fldChar w:fldCharType="begin"/>
            </w:r>
            <w:r>
              <w:rPr>
                <w:rFonts w:hint="eastAsia" w:ascii="宋体" w:hAnsi="宋体" w:cs="宋体"/>
                <w:color w:val="000000" w:themeColor="text1"/>
                <w:highlight w:val="none"/>
                <w:lang w:val="zh-TW"/>
                <w14:textFill>
                  <w14:solidFill>
                    <w14:schemeClr w14:val="tx1"/>
                  </w14:solidFill>
                </w14:textFill>
              </w:rPr>
              <w:instrText xml:space="preserve">eq \o\ac(□,√)</w:instrText>
            </w:r>
            <w:r>
              <w:rPr>
                <w:rFonts w:hint="eastAsia" w:ascii="宋体" w:hAnsi="宋体" w:cs="宋体"/>
                <w:color w:val="000000" w:themeColor="text1"/>
                <w:highlight w:val="none"/>
                <w:lang w:val="zh-TW"/>
                <w14:textFill>
                  <w14:solidFill>
                    <w14:schemeClr w14:val="tx1"/>
                  </w14:solidFill>
                </w14:textFill>
              </w:rPr>
              <w:fldChar w:fldCharType="end"/>
            </w:r>
            <w:r>
              <w:rPr>
                <w:rFonts w:hint="eastAsia" w:ascii="宋体" w:hAnsi="宋体" w:cs="宋体"/>
                <w:color w:val="000000" w:themeColor="text1"/>
                <w:highlight w:val="none"/>
                <w:lang w:val="zh-TW"/>
                <w14:textFill>
                  <w14:solidFill>
                    <w14:schemeClr w14:val="tx1"/>
                  </w14:solidFill>
                </w14:textFill>
              </w:rPr>
              <w:t>综合评分法      □最低</w:t>
            </w:r>
            <w:r>
              <w:rPr>
                <w:rFonts w:hint="eastAsia" w:ascii="宋体" w:hAnsi="宋体" w:cs="宋体"/>
                <w:color w:val="000000" w:themeColor="text1"/>
                <w:highlight w:val="none"/>
                <w:lang w:val="zh-TW" w:eastAsia="zh-CN"/>
                <w14:textFill>
                  <w14:solidFill>
                    <w14:schemeClr w14:val="tx1"/>
                  </w14:solidFill>
                </w14:textFill>
              </w:rPr>
              <w:t>评审</w:t>
            </w:r>
            <w:r>
              <w:rPr>
                <w:rFonts w:hint="eastAsia" w:ascii="宋体" w:hAnsi="宋体" w:cs="宋体"/>
                <w:color w:val="000000" w:themeColor="text1"/>
                <w:highlight w:val="none"/>
                <w:lang w:val="zh-TW"/>
                <w14:textFill>
                  <w14:solidFill>
                    <w14:schemeClr w14:val="tx1"/>
                  </w14:solidFill>
                </w14:textFill>
              </w:rPr>
              <w:t>价法</w:t>
            </w:r>
          </w:p>
        </w:tc>
      </w:tr>
      <w:tr w14:paraId="3709DD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6EAF401">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p>
        </w:tc>
        <w:tc>
          <w:tcPr>
            <w:tcW w:w="1694" w:type="dxa"/>
            <w:vAlign w:val="center"/>
          </w:tcPr>
          <w:p w14:paraId="0CB403CB">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成交候选人</w:t>
            </w:r>
            <w:r>
              <w:rPr>
                <w:rFonts w:hint="eastAsia" w:ascii="宋体" w:hAnsi="宋体" w:cs="宋体"/>
                <w:color w:val="000000" w:themeColor="text1"/>
                <w:highlight w:val="none"/>
                <w14:textFill>
                  <w14:solidFill>
                    <w14:schemeClr w14:val="tx1"/>
                  </w14:solidFill>
                </w14:textFill>
              </w:rPr>
              <w:t>公示媒介</w:t>
            </w:r>
          </w:p>
        </w:tc>
        <w:tc>
          <w:tcPr>
            <w:tcW w:w="7020" w:type="dxa"/>
            <w:shd w:val="clear" w:color="auto" w:fill="auto"/>
            <w:vAlign w:val="center"/>
          </w:tcPr>
          <w:p w14:paraId="56E8B37D">
            <w:pPr>
              <w:widowControl w:val="0"/>
              <w:spacing w:line="300"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TW"/>
                <w14:textFill>
                  <w14:solidFill>
                    <w14:schemeClr w14:val="tx1"/>
                  </w14:solidFill>
                </w14:textFill>
              </w:rPr>
              <w:t>《云南省政府采购网》</w:t>
            </w:r>
            <w:r>
              <w:rPr>
                <w:rFonts w:hint="eastAsia" w:ascii="宋体" w:hAnsi="宋体" w:cs="宋体"/>
                <w:color w:val="000000" w:themeColor="text1"/>
                <w:sz w:val="21"/>
                <w:szCs w:val="21"/>
                <w:highlight w:val="none"/>
                <w:shd w:val="clear" w:color="auto" w:fill="FFFFFF"/>
                <w14:textFill>
                  <w14:solidFill>
                    <w14:schemeClr w14:val="tx1"/>
                  </w14:solidFill>
                </w14:textFill>
              </w:rPr>
              <w:t>（</w:t>
            </w:r>
            <w:r>
              <w:rPr>
                <w:rFonts w:hint="eastAsia"/>
                <w:color w:val="000000" w:themeColor="text1"/>
                <w:sz w:val="21"/>
                <w:szCs w:val="21"/>
                <w:highlight w:val="none"/>
                <w:shd w:val="clear" w:color="auto" w:fill="FFFFFF"/>
                <w14:textFill>
                  <w14:solidFill>
                    <w14:schemeClr w14:val="tx1"/>
                  </w14:solidFill>
                </w14:textFill>
              </w:rPr>
              <w:t>www.yngp.com</w:t>
            </w:r>
            <w:r>
              <w:rPr>
                <w:rFonts w:hint="eastAsia" w:ascii="宋体" w:hAnsi="宋体" w:cs="宋体"/>
                <w:color w:val="000000" w:themeColor="text1"/>
                <w:sz w:val="21"/>
                <w:szCs w:val="21"/>
                <w:highlight w:val="none"/>
                <w:shd w:val="clear" w:color="auto" w:fill="FFFFFF"/>
                <w14:textFill>
                  <w14:solidFill>
                    <w14:schemeClr w14:val="tx1"/>
                  </w14:solidFill>
                </w14:textFill>
              </w:rPr>
              <w:t>）</w:t>
            </w:r>
          </w:p>
        </w:tc>
      </w:tr>
      <w:tr w14:paraId="32763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58C6C8FE">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w:t>
            </w:r>
          </w:p>
        </w:tc>
        <w:tc>
          <w:tcPr>
            <w:tcW w:w="1694" w:type="dxa"/>
            <w:vAlign w:val="center"/>
          </w:tcPr>
          <w:p w14:paraId="73778F0D">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签订协议时间</w:t>
            </w:r>
          </w:p>
        </w:tc>
        <w:tc>
          <w:tcPr>
            <w:tcW w:w="7020" w:type="dxa"/>
            <w:vAlign w:val="center"/>
          </w:tcPr>
          <w:p w14:paraId="4E3C12ED">
            <w:pPr>
              <w:widowControl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通知书签发后30日内</w:t>
            </w:r>
          </w:p>
        </w:tc>
      </w:tr>
      <w:tr w14:paraId="764C7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73" w:type="dxa"/>
            <w:gridSpan w:val="3"/>
            <w:vAlign w:val="center"/>
          </w:tcPr>
          <w:p w14:paraId="36254379">
            <w:pPr>
              <w:widowControl w:val="0"/>
              <w:spacing w:line="300" w:lineRule="auto"/>
              <w:jc w:val="center"/>
              <w:rPr>
                <w:rFonts w:ascii="宋体" w:hAnsi="宋体" w:cs="宋体"/>
                <w:color w:val="000000" w:themeColor="text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w:t>
            </w:r>
          </w:p>
        </w:tc>
      </w:tr>
      <w:tr w14:paraId="44D4D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FC356E8">
            <w:pPr>
              <w:widowControl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补充1</w:t>
            </w:r>
          </w:p>
        </w:tc>
        <w:tc>
          <w:tcPr>
            <w:tcW w:w="1694" w:type="dxa"/>
            <w:vAlign w:val="center"/>
          </w:tcPr>
          <w:p w14:paraId="2FA1306F">
            <w:pPr>
              <w:pStyle w:val="185"/>
              <w:widowControl w:val="0"/>
              <w:shd w:val="clear" w:color="auto" w:fill="auto"/>
              <w:spacing w:before="0" w:line="300" w:lineRule="auto"/>
              <w:jc w:val="center"/>
              <w:rPr>
                <w:rFonts w:ascii="宋体" w:hAnsi="宋体" w:eastAsia="宋体" w:cs="宋体"/>
                <w:color w:val="000000" w:themeColor="text1"/>
                <w:spacing w:val="0"/>
                <w:sz w:val="24"/>
                <w:szCs w:val="24"/>
                <w:highlight w:val="none"/>
                <w:lang w:val="en-US"/>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0"/>
                <w:sz w:val="24"/>
                <w:szCs w:val="24"/>
                <w:highlight w:val="none"/>
                <w:lang w:val="en-US"/>
                <w14:textFill>
                  <w14:solidFill>
                    <w14:schemeClr w14:val="tx1"/>
                  </w14:solidFill>
                </w14:textFill>
              </w:rPr>
              <w:t>代理相关费用</w:t>
            </w:r>
          </w:p>
        </w:tc>
        <w:tc>
          <w:tcPr>
            <w:tcW w:w="7020" w:type="dxa"/>
            <w:vAlign w:val="center"/>
          </w:tcPr>
          <w:p w14:paraId="1F2C26B2">
            <w:pPr>
              <w:widowControl w:val="0"/>
              <w:spacing w:line="300"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根据《云南省建设工程</w:t>
            </w:r>
            <w:r>
              <w:rPr>
                <w:rFonts w:hint="eastAsia" w:ascii="宋体" w:hAnsi="宋体" w:cs="宋体"/>
                <w:bCs/>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代理服务收费 指导意见（试行）》的通知（云建招协〔2023〕51号文）计费标准收取（计算基准价为</w:t>
            </w:r>
            <w:r>
              <w:rPr>
                <w:rFonts w:hint="eastAsia" w:ascii="宋体" w:hAnsi="宋体" w:cs="宋体"/>
                <w:bCs/>
                <w:color w:val="000000" w:themeColor="text1"/>
                <w:highlight w:val="none"/>
                <w:lang w:eastAsia="zh-CN"/>
                <w14:textFill>
                  <w14:solidFill>
                    <w14:schemeClr w14:val="tx1"/>
                  </w14:solidFill>
                </w14:textFill>
              </w:rPr>
              <w:t>成交</w:t>
            </w:r>
            <w:r>
              <w:rPr>
                <w:rFonts w:hint="eastAsia" w:ascii="宋体" w:hAnsi="宋体" w:cs="宋体"/>
                <w:bCs/>
                <w:color w:val="000000" w:themeColor="text1"/>
                <w:highlight w:val="none"/>
                <w14:textFill>
                  <w14:solidFill>
                    <w14:schemeClr w14:val="tx1"/>
                  </w14:solidFill>
                </w14:textFill>
              </w:rPr>
              <w:t>价），由</w:t>
            </w:r>
            <w:r>
              <w:rPr>
                <w:rFonts w:hint="eastAsia" w:ascii="宋体" w:hAnsi="宋体" w:cs="宋体"/>
                <w:bCs/>
                <w:color w:val="000000" w:themeColor="text1"/>
                <w:highlight w:val="none"/>
                <w:lang w:eastAsia="zh-CN"/>
                <w14:textFill>
                  <w14:solidFill>
                    <w14:schemeClr w14:val="tx1"/>
                  </w14:solidFill>
                </w14:textFill>
              </w:rPr>
              <w:t>成交人</w:t>
            </w:r>
            <w:r>
              <w:rPr>
                <w:rFonts w:hint="eastAsia" w:ascii="宋体" w:hAnsi="宋体" w:cs="宋体"/>
                <w:bCs/>
                <w:color w:val="000000" w:themeColor="text1"/>
                <w:highlight w:val="none"/>
                <w14:textFill>
                  <w14:solidFill>
                    <w14:schemeClr w14:val="tx1"/>
                  </w14:solidFill>
                </w14:textFill>
              </w:rPr>
              <w:t>支付。</w:t>
            </w:r>
            <w:r>
              <w:rPr>
                <w:rFonts w:hint="eastAsia" w:ascii="宋体" w:hAnsi="宋体" w:cs="宋体"/>
                <w:bCs/>
                <w:color w:val="000000" w:themeColor="text1"/>
                <w:highlight w:val="none"/>
                <w14:textFill>
                  <w14:solidFill>
                    <w14:schemeClr w14:val="tx1"/>
                  </w14:solidFill>
                </w14:textFill>
              </w:rPr>
              <w:br w:type="textWrapping"/>
            </w:r>
            <w:r>
              <w:rPr>
                <w:rFonts w:hint="eastAsia" w:ascii="宋体" w:hAnsi="宋体" w:cs="宋体"/>
                <w:bCs/>
                <w:color w:val="000000" w:themeColor="text1"/>
                <w:highlight w:val="none"/>
                <w14:textFill>
                  <w14:solidFill>
                    <w14:schemeClr w14:val="tx1"/>
                  </w14:solidFill>
                </w14:textFill>
              </w:rPr>
              <w:t>备注：由甲方支付委托代理服务费的，乙方不得再收取</w:t>
            </w:r>
            <w:r>
              <w:rPr>
                <w:rFonts w:hint="eastAsia" w:ascii="宋体" w:hAnsi="宋体" w:cs="宋体"/>
                <w:bCs/>
                <w:color w:val="000000" w:themeColor="text1"/>
                <w:highlight w:val="none"/>
                <w:lang w:eastAsia="zh-CN"/>
                <w14:textFill>
                  <w14:solidFill>
                    <w14:schemeClr w14:val="tx1"/>
                  </w14:solidFill>
                </w14:textFill>
              </w:rPr>
              <w:t>成交</w:t>
            </w:r>
            <w:r>
              <w:rPr>
                <w:rFonts w:hint="eastAsia" w:ascii="宋体" w:hAnsi="宋体" w:cs="宋体"/>
                <w:bCs/>
                <w:color w:val="000000" w:themeColor="text1"/>
                <w:highlight w:val="none"/>
                <w14:textFill>
                  <w14:solidFill>
                    <w14:schemeClr w14:val="tx1"/>
                  </w14:solidFill>
                </w14:textFill>
              </w:rPr>
              <w:t>服务费。</w:t>
            </w:r>
          </w:p>
        </w:tc>
      </w:tr>
    </w:tbl>
    <w:p w14:paraId="7C801565">
      <w:pPr>
        <w:widowControl w:val="0"/>
        <w:snapToGrid w:val="0"/>
        <w:spacing w:before="120" w:after="120"/>
        <w:jc w:val="center"/>
        <w:outlineLvl w:val="1"/>
        <w:rPr>
          <w:rFonts w:ascii="宋体" w:hAnsi="宋体" w:cs="宋体"/>
          <w:b/>
          <w:bCs/>
          <w:color w:val="000000" w:themeColor="text1"/>
          <w:spacing w:val="-2"/>
          <w:sz w:val="32"/>
          <w:szCs w:val="28"/>
          <w:highlight w:val="none"/>
          <w14:textFill>
            <w14:solidFill>
              <w14:schemeClr w14:val="tx1"/>
            </w14:solidFill>
          </w14:textFill>
        </w:rPr>
      </w:pPr>
      <w:r>
        <w:rPr>
          <w:rStyle w:val="182"/>
          <w:rFonts w:hint="eastAsia" w:ascii="宋体" w:hAnsi="宋体" w:eastAsia="宋体" w:cs="宋体"/>
          <w:color w:val="000000" w:themeColor="text1"/>
          <w:sz w:val="24"/>
          <w:szCs w:val="24"/>
          <w:highlight w:val="none"/>
          <w14:textFill>
            <w14:solidFill>
              <w14:schemeClr w14:val="tx1"/>
            </w14:solidFill>
          </w14:textFill>
        </w:rPr>
        <w:br w:type="page"/>
      </w:r>
      <w:bookmarkStart w:id="50" w:name="_Toc30037"/>
      <w:r>
        <w:rPr>
          <w:rFonts w:hint="eastAsia" w:ascii="宋体" w:hAnsi="宋体" w:cs="宋体"/>
          <w:b/>
          <w:bCs/>
          <w:color w:val="000000" w:themeColor="text1"/>
          <w:spacing w:val="-2"/>
          <w:sz w:val="32"/>
          <w:szCs w:val="28"/>
          <w:highlight w:val="none"/>
          <w14:textFill>
            <w14:solidFill>
              <w14:schemeClr w14:val="tx1"/>
            </w14:solidFill>
          </w14:textFill>
        </w:rPr>
        <w:t>二、</w:t>
      </w:r>
      <w:r>
        <w:rPr>
          <w:rFonts w:hint="eastAsia" w:ascii="宋体" w:hAnsi="宋体" w:cs="宋体"/>
          <w:b/>
          <w:bCs/>
          <w:color w:val="000000" w:themeColor="text1"/>
          <w:spacing w:val="-2"/>
          <w:sz w:val="32"/>
          <w:szCs w:val="28"/>
          <w:highlight w:val="none"/>
          <w:lang w:val="en-US" w:eastAsia="zh-CN"/>
          <w14:textFill>
            <w14:solidFill>
              <w14:schemeClr w14:val="tx1"/>
            </w14:solidFill>
          </w14:textFill>
        </w:rPr>
        <w:t>磋商</w:t>
      </w:r>
      <w:r>
        <w:rPr>
          <w:rFonts w:hint="eastAsia" w:ascii="宋体" w:hAnsi="宋体" w:cs="宋体"/>
          <w:b/>
          <w:bCs/>
          <w:color w:val="000000" w:themeColor="text1"/>
          <w:spacing w:val="-2"/>
          <w:sz w:val="32"/>
          <w:szCs w:val="28"/>
          <w:highlight w:val="none"/>
          <w14:textFill>
            <w14:solidFill>
              <w14:schemeClr w14:val="tx1"/>
            </w14:solidFill>
          </w14:textFill>
        </w:rPr>
        <w:t>须知</w:t>
      </w:r>
      <w:bookmarkEnd w:id="50"/>
    </w:p>
    <w:p w14:paraId="04EB3A30">
      <w:pPr>
        <w:widowControl w:val="0"/>
        <w:snapToGrid w:val="0"/>
        <w:spacing w:before="120" w:after="120"/>
        <w:jc w:val="center"/>
        <w:outlineLvl w:val="2"/>
        <w:rPr>
          <w:rFonts w:ascii="宋体" w:hAnsi="宋体" w:cs="宋体"/>
          <w:b/>
          <w:bCs/>
          <w:color w:val="000000" w:themeColor="text1"/>
          <w:sz w:val="28"/>
          <w:szCs w:val="28"/>
          <w:highlight w:val="none"/>
          <w14:textFill>
            <w14:solidFill>
              <w14:schemeClr w14:val="tx1"/>
            </w14:solidFill>
          </w14:textFill>
        </w:rPr>
      </w:pPr>
      <w:bookmarkStart w:id="51" w:name="_Toc16857"/>
      <w:bookmarkStart w:id="52" w:name="_Toc12800"/>
      <w:r>
        <w:rPr>
          <w:rFonts w:hint="eastAsia" w:ascii="宋体" w:hAnsi="宋体" w:cs="宋体"/>
          <w:b/>
          <w:bCs/>
          <w:color w:val="000000" w:themeColor="text1"/>
          <w:sz w:val="28"/>
          <w:szCs w:val="28"/>
          <w:highlight w:val="none"/>
          <w14:textFill>
            <w14:solidFill>
              <w14:schemeClr w14:val="tx1"/>
            </w14:solidFill>
          </w14:textFill>
        </w:rPr>
        <w:t>（一） 总   则</w:t>
      </w:r>
      <w:bookmarkEnd w:id="51"/>
      <w:bookmarkEnd w:id="52"/>
    </w:p>
    <w:p w14:paraId="5732079B">
      <w:pPr>
        <w:widowControl w:val="0"/>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适用范围：本竞争性磋商文件仅适用于本竞争性磋商文件中所述</w:t>
      </w:r>
      <w:r>
        <w:rPr>
          <w:rFonts w:hint="eastAsia" w:ascii="宋体" w:hAnsi="宋体" w:cs="宋体"/>
          <w:color w:val="000000" w:themeColor="text1"/>
          <w:highlight w:val="none"/>
          <w:lang w:eastAsia="zh-CN"/>
          <w14:textFill>
            <w14:solidFill>
              <w14:schemeClr w14:val="tx1"/>
            </w14:solidFill>
          </w14:textFill>
        </w:rPr>
        <w:t>采购</w:t>
      </w:r>
      <w:r>
        <w:rPr>
          <w:rFonts w:hint="eastAsia" w:ascii="宋体" w:hAnsi="宋体" w:cs="宋体"/>
          <w:color w:val="000000" w:themeColor="text1"/>
          <w:highlight w:val="none"/>
          <w14:textFill>
            <w14:solidFill>
              <w14:schemeClr w14:val="tx1"/>
            </w14:solidFill>
          </w14:textFill>
        </w:rPr>
        <w:t>内容。</w:t>
      </w:r>
    </w:p>
    <w:p w14:paraId="2EAC17E6">
      <w:pPr>
        <w:widowControl w:val="0"/>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费用</w:t>
      </w:r>
    </w:p>
    <w:p w14:paraId="4E555FF5">
      <w:pPr>
        <w:widowControl w:val="0"/>
        <w:snapToGrid w:val="0"/>
        <w:spacing w:line="360" w:lineRule="auto"/>
        <w:ind w:firstLine="48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2.1 本次</w:t>
      </w:r>
      <w:r>
        <w:rPr>
          <w:rFonts w:hint="eastAsia" w:ascii="宋体" w:hAnsi="宋体" w:cs="宋体"/>
          <w:b/>
          <w:bCs/>
          <w:color w:val="000000" w:themeColor="text1"/>
          <w:highlight w:val="none"/>
          <w:lang w:eastAsia="zh-CN"/>
          <w14:textFill>
            <w14:solidFill>
              <w14:schemeClr w14:val="tx1"/>
            </w14:solidFill>
          </w14:textFill>
        </w:rPr>
        <w:t>采购人</w:t>
      </w:r>
      <w:r>
        <w:rPr>
          <w:rFonts w:hint="eastAsia" w:ascii="宋体" w:hAnsi="宋体" w:cs="宋体"/>
          <w:b/>
          <w:bCs/>
          <w:color w:val="000000" w:themeColor="text1"/>
          <w:highlight w:val="none"/>
          <w14:textFill>
            <w14:solidFill>
              <w14:schemeClr w14:val="tx1"/>
            </w14:solidFill>
          </w14:textFill>
        </w:rPr>
        <w:t>代理服务费由</w:t>
      </w:r>
      <w:r>
        <w:rPr>
          <w:rFonts w:hint="eastAsia" w:ascii="宋体" w:hAnsi="宋体" w:cs="宋体"/>
          <w:b/>
          <w:bCs/>
          <w:color w:val="000000" w:themeColor="text1"/>
          <w:highlight w:val="none"/>
          <w:lang w:eastAsia="zh-CN"/>
          <w14:textFill>
            <w14:solidFill>
              <w14:schemeClr w14:val="tx1"/>
            </w14:solidFill>
          </w14:textFill>
        </w:rPr>
        <w:t>成交人</w:t>
      </w:r>
      <w:r>
        <w:rPr>
          <w:rFonts w:hint="eastAsia" w:ascii="宋体" w:hAnsi="宋体" w:cs="宋体"/>
          <w:b/>
          <w:bCs/>
          <w:color w:val="000000" w:themeColor="text1"/>
          <w:highlight w:val="none"/>
          <w14:textFill>
            <w14:solidFill>
              <w14:schemeClr w14:val="tx1"/>
            </w14:solidFill>
          </w14:textFill>
        </w:rPr>
        <w:t>支付。</w:t>
      </w:r>
    </w:p>
    <w:p w14:paraId="080B8CF8">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2.2 </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应承担参加本</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活动所涉及的一切费用。</w:t>
      </w:r>
    </w:p>
    <w:p w14:paraId="6929EAE2">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当事人</w:t>
      </w:r>
    </w:p>
    <w:p w14:paraId="24B24B55">
      <w:pPr>
        <w:widowControl w:val="0"/>
        <w:tabs>
          <w:tab w:val="left" w:pos="7088"/>
        </w:tabs>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lang w:val="zh-CN"/>
          <w14:textFill>
            <w14:solidFill>
              <w14:schemeClr w14:val="tx1"/>
            </w14:solidFill>
          </w14:textFill>
        </w:rPr>
        <w:t>采购人：</w:t>
      </w:r>
      <w:r>
        <w:rPr>
          <w:rFonts w:hint="eastAsia" w:ascii="宋体" w:hAnsi="宋体" w:cs="宋体"/>
          <w:color w:val="000000" w:themeColor="text1"/>
          <w:highlight w:val="none"/>
          <w:lang w:val="en-US" w:eastAsia="zh-CN"/>
          <w14:textFill>
            <w14:solidFill>
              <w14:schemeClr w14:val="tx1"/>
            </w14:solidFill>
          </w14:textFill>
        </w:rPr>
        <w:t>是指</w:t>
      </w:r>
      <w:r>
        <w:rPr>
          <w:rFonts w:hint="eastAsia" w:ascii="宋体" w:hAnsi="宋体" w:cs="宋体"/>
          <w:color w:val="000000" w:themeColor="text1"/>
          <w:highlight w:val="none"/>
          <w:u w:val="single"/>
          <w:lang w:val="zh-CN"/>
          <w14:textFill>
            <w14:solidFill>
              <w14:schemeClr w14:val="tx1"/>
            </w14:solidFill>
          </w14:textFill>
        </w:rPr>
        <w:t>施甸县水务局</w:t>
      </w:r>
      <w:r>
        <w:rPr>
          <w:rFonts w:hint="eastAsia" w:ascii="宋体" w:hAnsi="宋体" w:cs="宋体"/>
          <w:color w:val="000000" w:themeColor="text1"/>
          <w:highlight w:val="none"/>
          <w:lang w:val="zh-CN"/>
          <w14:textFill>
            <w14:solidFill>
              <w14:schemeClr w14:val="tx1"/>
            </w14:solidFill>
          </w14:textFill>
        </w:rPr>
        <w:t>。</w:t>
      </w:r>
    </w:p>
    <w:p w14:paraId="6ABD6D82">
      <w:pPr>
        <w:widowControl w:val="0"/>
        <w:autoSpaceDE w:val="0"/>
        <w:autoSpaceDN w:val="0"/>
        <w:spacing w:line="360" w:lineRule="auto"/>
        <w:ind w:firstLine="482"/>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w:t>
      </w:r>
      <w:r>
        <w:rPr>
          <w:rFonts w:hint="eastAsia" w:ascii="宋体" w:hAnsi="宋体" w:cs="宋体"/>
          <w:color w:val="000000" w:themeColor="text1"/>
          <w:highlight w:val="none"/>
          <w:lang w:val="zh-CN"/>
          <w14:textFill>
            <w14:solidFill>
              <w14:schemeClr w14:val="tx1"/>
            </w14:solidFill>
          </w14:textFill>
        </w:rPr>
        <w:t>供应商：是指</w:t>
      </w:r>
      <w:r>
        <w:rPr>
          <w:rFonts w:hint="eastAsia" w:ascii="宋体" w:hAnsi="宋体" w:cs="宋体"/>
          <w:color w:val="000000" w:themeColor="text1"/>
          <w:highlight w:val="none"/>
          <w14:textFill>
            <w14:solidFill>
              <w14:schemeClr w14:val="tx1"/>
            </w14:solidFill>
          </w14:textFill>
        </w:rPr>
        <w:t>响应</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且符合竞争性磋商文件规定的资格条件和参加</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竞争的法人、其他组织或者自然人。</w:t>
      </w:r>
    </w:p>
    <w:p w14:paraId="66C03E36">
      <w:pPr>
        <w:widowControl w:val="0"/>
        <w:autoSpaceDE w:val="0"/>
        <w:autoSpaceDN w:val="0"/>
        <w:spacing w:line="360" w:lineRule="auto"/>
        <w:ind w:firstLine="482"/>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w:t>
      </w:r>
      <w:r>
        <w:rPr>
          <w:rFonts w:hint="eastAsia" w:ascii="宋体" w:hAnsi="宋体" w:cs="宋体"/>
          <w:color w:val="000000" w:themeColor="text1"/>
          <w:highlight w:val="none"/>
          <w:lang w:val="zh-CN"/>
          <w14:textFill>
            <w14:solidFill>
              <w14:schemeClr w14:val="tx1"/>
            </w14:solidFill>
          </w14:textFill>
        </w:rPr>
        <w:t>磋商小组：是指根据《中华人民共和国政府采购法》等法律法规规定，由采购人代表和有关专家组成以确定成交人或者推荐成交候选人的临时组织。</w:t>
      </w:r>
    </w:p>
    <w:p w14:paraId="4DD7A149">
      <w:pPr>
        <w:widowControl w:val="0"/>
        <w:autoSpaceDE w:val="0"/>
        <w:autoSpaceDN w:val="0"/>
        <w:spacing w:line="360" w:lineRule="auto"/>
        <w:ind w:firstLine="482"/>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w:t>
      </w:r>
      <w:r>
        <w:rPr>
          <w:rFonts w:hint="eastAsia" w:ascii="宋体" w:hAnsi="宋体" w:cs="宋体"/>
          <w:color w:val="000000" w:themeColor="text1"/>
          <w:highlight w:val="none"/>
          <w:lang w:val="zh-CN"/>
          <w14:textFill>
            <w14:solidFill>
              <w14:schemeClr w14:val="tx1"/>
            </w14:solidFill>
          </w14:textFill>
        </w:rPr>
        <w:t>成交人：是指通过公开采购，经磋商小组评审确定的符合采购需求、质量和服务要求，并对竞争性磋商文件做出实质性响应，取得与采购人签订合同资格的供应商。</w:t>
      </w:r>
    </w:p>
    <w:p w14:paraId="4AF246B7">
      <w:pPr>
        <w:widowControl w:val="0"/>
        <w:autoSpaceDE w:val="0"/>
        <w:autoSpaceDN w:val="0"/>
        <w:spacing w:line="360" w:lineRule="auto"/>
        <w:ind w:firstLine="482"/>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w:t>
      </w:r>
      <w:r>
        <w:rPr>
          <w:rFonts w:hint="eastAsia" w:ascii="宋体" w:hAnsi="宋体" w:cs="宋体"/>
          <w:color w:val="000000" w:themeColor="text1"/>
          <w:highlight w:val="none"/>
          <w:lang w:val="zh-CN"/>
          <w14:textFill>
            <w14:solidFill>
              <w14:schemeClr w14:val="tx1"/>
            </w14:solidFill>
          </w14:textFill>
        </w:rPr>
        <w:t>采购代理机构：是指</w:t>
      </w:r>
      <w:r>
        <w:rPr>
          <w:rFonts w:hint="eastAsia" w:ascii="宋体" w:hAnsi="宋体" w:cs="宋体"/>
          <w:color w:val="000000" w:themeColor="text1"/>
          <w:highlight w:val="none"/>
          <w:u w:val="single"/>
          <w:lang w:val="zh-CN"/>
          <w14:textFill>
            <w14:solidFill>
              <w14:schemeClr w14:val="tx1"/>
            </w14:solidFill>
          </w14:textFill>
        </w:rPr>
        <w:t>云南彬钥工程管理有限公司</w:t>
      </w:r>
      <w:r>
        <w:rPr>
          <w:rFonts w:hint="eastAsia" w:ascii="宋体" w:hAnsi="宋体" w:cs="宋体"/>
          <w:color w:val="000000" w:themeColor="text1"/>
          <w:highlight w:val="none"/>
          <w:lang w:val="zh-CN"/>
          <w14:textFill>
            <w14:solidFill>
              <w14:schemeClr w14:val="tx1"/>
            </w14:solidFill>
          </w14:textFill>
        </w:rPr>
        <w:t>。</w:t>
      </w:r>
    </w:p>
    <w:p w14:paraId="1DF270A9">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采购人依据及原则</w:t>
      </w:r>
    </w:p>
    <w:p w14:paraId="18678B51">
      <w:pPr>
        <w:widowControl w:val="0"/>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w:t>
      </w:r>
      <w:r>
        <w:rPr>
          <w:rFonts w:hint="eastAsia" w:ascii="宋体" w:hAnsi="宋体" w:cs="宋体"/>
          <w:color w:val="000000" w:themeColor="text1"/>
          <w:highlight w:val="none"/>
          <w:lang w:val="zh-CN"/>
          <w14:textFill>
            <w14:solidFill>
              <w14:schemeClr w14:val="tx1"/>
            </w14:solidFill>
          </w14:textFill>
        </w:rPr>
        <w:t xml:space="preserve">《中华人民共和国政府采购法》； </w:t>
      </w:r>
    </w:p>
    <w:p w14:paraId="5192F25D">
      <w:pPr>
        <w:widowControl w:val="0"/>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w:t>
      </w:r>
      <w:r>
        <w:rPr>
          <w:rFonts w:hint="eastAsia" w:ascii="宋体" w:hAnsi="宋体" w:cs="宋体"/>
          <w:color w:val="000000" w:themeColor="text1"/>
          <w:highlight w:val="none"/>
          <w:lang w:val="zh-CN"/>
          <w14:textFill>
            <w14:solidFill>
              <w14:schemeClr w14:val="tx1"/>
            </w14:solidFill>
          </w14:textFill>
        </w:rPr>
        <w:t>《中华人民共和国政府采购法实施条例》；</w:t>
      </w:r>
    </w:p>
    <w:p w14:paraId="0AA7E60C">
      <w:pPr>
        <w:widowControl w:val="0"/>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4.3</w:t>
      </w:r>
      <w:r>
        <w:rPr>
          <w:rFonts w:hint="eastAsia" w:ascii="宋体" w:hAnsi="宋体" w:cs="宋体"/>
          <w:color w:val="000000" w:themeColor="text1"/>
          <w:highlight w:val="none"/>
          <w:lang w:val="zh-CN"/>
          <w14:textFill>
            <w14:solidFill>
              <w14:schemeClr w14:val="tx1"/>
            </w14:solidFill>
          </w14:textFill>
        </w:rPr>
        <w:t>《政府采购货物和服务采购人磋商管理办法》；</w:t>
      </w:r>
    </w:p>
    <w:p w14:paraId="0993F42A">
      <w:pPr>
        <w:widowControl w:val="0"/>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4.4《中华人民共和国民法典》；</w:t>
      </w:r>
    </w:p>
    <w:p w14:paraId="03C5280B">
      <w:pPr>
        <w:widowControl w:val="0"/>
        <w:autoSpaceDE w:val="0"/>
        <w:autoSpaceDN w:val="0"/>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4.5《</w:t>
      </w:r>
      <w:r>
        <w:rPr>
          <w:rFonts w:hint="eastAsia" w:ascii="宋体" w:hAnsi="宋体" w:cs="宋体"/>
          <w:color w:val="000000" w:themeColor="text1"/>
          <w:highlight w:val="none"/>
          <w:lang w:val="zh-CN"/>
          <w14:textFill>
            <w14:solidFill>
              <w14:schemeClr w14:val="tx1"/>
            </w14:solidFill>
          </w14:textFill>
        </w:rPr>
        <w:t>政府采购竞争性磋商采购方式管理暂行办法》</w:t>
      </w:r>
    </w:p>
    <w:p w14:paraId="29E294E4">
      <w:pPr>
        <w:widowControl w:val="0"/>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lang w:val="zh-CN"/>
          <w14:textFill>
            <w14:solidFill>
              <w14:schemeClr w14:val="tx1"/>
            </w14:solidFill>
          </w14:textFill>
        </w:rPr>
        <w:t>《政府采购质疑和投诉办法》；</w:t>
      </w:r>
    </w:p>
    <w:p w14:paraId="748675AE">
      <w:pPr>
        <w:widowControl w:val="0"/>
        <w:autoSpaceDE w:val="0"/>
        <w:autoSpaceDN w:val="0"/>
        <w:spacing w:line="360" w:lineRule="auto"/>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4.7</w:t>
      </w:r>
      <w:r>
        <w:rPr>
          <w:rFonts w:hint="eastAsia" w:ascii="宋体" w:hAnsi="宋体" w:cs="宋体"/>
          <w:color w:val="000000" w:themeColor="text1"/>
          <w:highlight w:val="none"/>
          <w:lang w:val="zh-CN"/>
          <w14:textFill>
            <w14:solidFill>
              <w14:schemeClr w14:val="tx1"/>
            </w14:solidFill>
          </w14:textFill>
        </w:rPr>
        <w:t>其他有关法律、行政法规及省市规范性文件。</w:t>
      </w:r>
    </w:p>
    <w:p w14:paraId="2A244214">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供应商相关要求</w:t>
      </w:r>
    </w:p>
    <w:p w14:paraId="2A39B78F">
      <w:pPr>
        <w:widowControl w:val="0"/>
        <w:autoSpaceDE w:val="0"/>
        <w:autoSpaceDN w:val="0"/>
        <w:spacing w:line="360" w:lineRule="auto"/>
        <w:ind w:firstLine="482"/>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5.1满足</w:t>
      </w:r>
      <w:r>
        <w:rPr>
          <w:rFonts w:hint="eastAsia" w:ascii="宋体" w:hAnsi="宋体"/>
          <w:color w:val="000000" w:themeColor="text1"/>
          <w:sz w:val="24"/>
          <w:highlight w:val="none"/>
          <w14:textFill>
            <w14:solidFill>
              <w14:schemeClr w14:val="tx1"/>
            </w14:solidFill>
          </w14:textFill>
        </w:rPr>
        <w:t>竞争性磋商公告</w:t>
      </w:r>
      <w:r>
        <w:rPr>
          <w:rFonts w:hint="eastAsia" w:ascii="宋体" w:hAnsi="宋体"/>
          <w:color w:val="000000" w:themeColor="text1"/>
          <w:sz w:val="24"/>
          <w:highlight w:val="none"/>
          <w:lang w:val="en-US" w:eastAsia="zh-CN"/>
          <w14:textFill>
            <w14:solidFill>
              <w14:schemeClr w14:val="tx1"/>
            </w14:solidFill>
          </w14:textFill>
        </w:rPr>
        <w:t>及磋商文件要求。</w:t>
      </w:r>
    </w:p>
    <w:p w14:paraId="5449DE74">
      <w:pPr>
        <w:widowControl w:val="0"/>
        <w:autoSpaceDE w:val="0"/>
        <w:autoSpaceDN w:val="0"/>
        <w:spacing w:line="360" w:lineRule="auto"/>
        <w:ind w:firstLine="482"/>
        <w:rPr>
          <w:rFonts w:hint="eastAsia"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w:t>
      </w:r>
      <w:r>
        <w:rPr>
          <w:rFonts w:hint="eastAsia" w:ascii="宋体" w:hAnsi="宋体" w:cs="宋体"/>
          <w:color w:val="auto"/>
          <w:highlight w:val="none"/>
          <w:lang w:val="en-US" w:eastAsia="zh-CN"/>
        </w:rPr>
        <w:t>2</w:t>
      </w:r>
      <w:r>
        <w:rPr>
          <w:rFonts w:hint="eastAsia" w:ascii="宋体" w:hAnsi="宋体" w:cs="宋体"/>
          <w:color w:val="auto"/>
          <w:highlight w:val="none"/>
          <w:lang w:val="zh-CN"/>
        </w:rPr>
        <w:t>以联合体形式磋商的，应符合以下规定：</w:t>
      </w:r>
    </w:p>
    <w:p w14:paraId="101154E9">
      <w:pPr>
        <w:widowControl w:val="0"/>
        <w:autoSpaceDE w:val="0"/>
        <w:autoSpaceDN w:val="0"/>
        <w:spacing w:line="360" w:lineRule="auto"/>
        <w:ind w:firstLine="482"/>
        <w:rPr>
          <w:rFonts w:hint="eastAsia" w:ascii="宋体" w:hAnsi="宋体" w:eastAsia="宋体" w:cs="宋体"/>
          <w:b w:val="0"/>
          <w:bCs w:val="0"/>
          <w:color w:val="auto"/>
          <w:highlight w:val="none"/>
          <w:lang w:val="zh-CN" w:eastAsia="zh-CN"/>
        </w:rPr>
      </w:pPr>
      <w:r>
        <w:rPr>
          <w:rFonts w:hint="eastAsia" w:ascii="宋体" w:hAnsi="宋体" w:cs="宋体"/>
          <w:b w:val="0"/>
          <w:bCs w:val="0"/>
          <w:color w:val="auto"/>
          <w:highlight w:val="none"/>
          <w:lang w:val="zh-CN"/>
        </w:rPr>
        <w:t>本项目不接受联合体磋商</w:t>
      </w:r>
      <w:r>
        <w:rPr>
          <w:rFonts w:hint="eastAsia" w:ascii="宋体" w:hAnsi="宋体" w:cs="宋体"/>
          <w:b w:val="0"/>
          <w:bCs w:val="0"/>
          <w:color w:val="auto"/>
          <w:highlight w:val="none"/>
          <w:lang w:eastAsia="zh-CN"/>
        </w:rPr>
        <w:t>。</w:t>
      </w:r>
    </w:p>
    <w:p w14:paraId="5AF24EC0">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供应商不得直接或者间接地与为本次采购人的服务进行设计、编制规范等文件所委托的咨询公司或者其附属机构有任何关联。</w:t>
      </w:r>
    </w:p>
    <w:p w14:paraId="5FBA3EA3">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lang w:val="zh-CN"/>
          <w14:textFill>
            <w14:solidFill>
              <w14:schemeClr w14:val="tx1"/>
            </w14:solidFill>
          </w14:textFill>
        </w:rPr>
        <w:t>供应商提供的证明材料内容必须真实、完整、有效。</w:t>
      </w:r>
    </w:p>
    <w:p w14:paraId="56D15E04">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保密</w:t>
      </w:r>
    </w:p>
    <w:p w14:paraId="702BC5CE">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参与采购人磋商活动的当事人应对竞争性磋商文件和磋商响应文件中的商业秘密、技术秘密和个人隐私等保密，违者应对由此造成的后果承担法律责任。 </w:t>
      </w:r>
    </w:p>
    <w:p w14:paraId="7319CE15">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踏勘现场</w:t>
      </w:r>
    </w:p>
    <w:p w14:paraId="11D162C2">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lang w:val="zh-CN"/>
          <w14:textFill>
            <w14:solidFill>
              <w14:schemeClr w14:val="tx1"/>
            </w14:solidFill>
          </w14:textFill>
        </w:rPr>
        <w:t>.1竞争性磋商文件规定组织踏勘现场的，采购人必须按照规定时间、地点组织供应商踏勘项目现场，以获取有关编制磋商文件和签署合同所涉及现场的资料。供应商承担踏勘现场所发生的自身费用、责任和风险。</w:t>
      </w:r>
    </w:p>
    <w:p w14:paraId="139779EF">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lang w:val="zh-CN"/>
          <w14:textFill>
            <w14:solidFill>
              <w14:schemeClr w14:val="tx1"/>
            </w14:solidFill>
          </w14:textFill>
        </w:rPr>
        <w:t>.2采购人向供应商提供的有关现场的资料和数据，是采购人现有的能被供应商利用的资料，采购人不对供应商由此而做出的推论、理解和结论负责。</w:t>
      </w:r>
    </w:p>
    <w:p w14:paraId="1DA33D1F">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lang w:val="zh-CN"/>
          <w14:textFill>
            <w14:solidFill>
              <w14:schemeClr w14:val="tx1"/>
            </w14:solidFill>
          </w14:textFill>
        </w:rPr>
        <w:t>.3供应商经采购人允许，可进入项目现场踏勘，但不得因此使采购人承担有关责任和蒙受损失。除采购人原因外，供应商应对踏勘现场而造成的人员伤亡、财产损失以及由此引起的连带责任和费用负责。</w:t>
      </w:r>
    </w:p>
    <w:p w14:paraId="6BA061F7">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偏离</w:t>
      </w:r>
    </w:p>
    <w:p w14:paraId="7C9022EE">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采购人允许磋商文件偏离竞争性磋商文件某些非实质性要求的，偏离应当符合竞争性磋商文件规定的偏离范围、幅度和项数。</w:t>
      </w:r>
    </w:p>
    <w:p w14:paraId="040B8497">
      <w:pPr>
        <w:widowControl w:val="0"/>
        <w:autoSpaceDE w:val="0"/>
        <w:autoSpaceDN w:val="0"/>
        <w:spacing w:line="360" w:lineRule="auto"/>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其他条款</w:t>
      </w:r>
    </w:p>
    <w:p w14:paraId="1F531859">
      <w:pPr>
        <w:widowControl w:val="0"/>
        <w:autoSpaceDE w:val="0"/>
        <w:autoSpaceDN w:val="0"/>
        <w:spacing w:line="360" w:lineRule="auto"/>
        <w:ind w:firstLine="480" w:firstLineChars="20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lang w:val="zh-CN"/>
          <w14:textFill>
            <w14:solidFill>
              <w14:schemeClr w14:val="tx1"/>
            </w14:solidFill>
          </w14:textFill>
        </w:rPr>
        <w:t>.1供应商</w:t>
      </w:r>
      <w:r>
        <w:rPr>
          <w:rFonts w:hint="eastAsia" w:ascii="宋体" w:hAnsi="宋体" w:cs="宋体"/>
          <w:color w:val="000000" w:themeColor="text1"/>
          <w:highlight w:val="none"/>
          <w:lang w:val="en-US" w:eastAsia="zh-CN"/>
          <w14:textFill>
            <w14:solidFill>
              <w14:schemeClr w14:val="tx1"/>
            </w14:solidFill>
          </w14:textFill>
        </w:rPr>
        <w:t>成交</w:t>
      </w:r>
      <w:r>
        <w:rPr>
          <w:rFonts w:hint="eastAsia" w:ascii="宋体" w:hAnsi="宋体" w:cs="宋体"/>
          <w:color w:val="000000" w:themeColor="text1"/>
          <w:highlight w:val="none"/>
          <w:lang w:val="zh-CN"/>
          <w14:textFill>
            <w14:solidFill>
              <w14:schemeClr w14:val="tx1"/>
            </w14:solidFill>
          </w14:textFill>
        </w:rPr>
        <w:t>后直至验收止，未经采购人同意，成交人不得以任何形式和理由转包或者分包，如出现上述情形，采购人向财政部门提出申请并经批准后，可取消其成交资格，并与其解除合同，由此引起的经济损失全部由成交人承担。</w:t>
      </w:r>
    </w:p>
    <w:p w14:paraId="0CD41729">
      <w:pPr>
        <w:widowControl w:val="0"/>
        <w:autoSpaceDE w:val="0"/>
        <w:autoSpaceDN w:val="0"/>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9</w:t>
      </w:r>
      <w:r>
        <w:rPr>
          <w:rFonts w:hint="eastAsia" w:ascii="宋体" w:hAnsi="宋体" w:cs="宋体"/>
          <w:color w:val="auto"/>
          <w:highlight w:val="none"/>
          <w:lang w:val="zh-CN"/>
        </w:rPr>
        <w:t>.2竞争性磋商文件载明转包或者分包的，供应商应当在磋商文件中载明。</w:t>
      </w:r>
    </w:p>
    <w:p w14:paraId="01199DD1">
      <w:pPr>
        <w:widowControl w:val="0"/>
        <w:autoSpaceDE w:val="0"/>
        <w:autoSpaceDN w:val="0"/>
        <w:spacing w:line="360" w:lineRule="auto"/>
        <w:ind w:firstLine="482" w:firstLineChars="200"/>
        <w:rPr>
          <w:rFonts w:hint="eastAsia" w:ascii="宋体" w:hAnsi="宋体" w:cs="宋体"/>
          <w:b/>
          <w:bCs/>
          <w:color w:val="auto"/>
          <w:highlight w:val="none"/>
          <w:lang w:val="zh-CN"/>
        </w:rPr>
      </w:pPr>
      <w:r>
        <w:rPr>
          <w:rFonts w:hint="eastAsia" w:ascii="宋体" w:hAnsi="宋体" w:cs="宋体"/>
          <w:b/>
          <w:bCs/>
          <w:color w:val="auto"/>
          <w:highlight w:val="none"/>
          <w:lang w:val="zh-CN"/>
        </w:rPr>
        <w:t>本项目不允许转包和违法分包。</w:t>
      </w:r>
    </w:p>
    <w:p w14:paraId="0B854B09">
      <w:pPr>
        <w:widowControl w:val="0"/>
        <w:autoSpaceDE w:val="0"/>
        <w:autoSpaceDN w:val="0"/>
        <w:spacing w:line="360" w:lineRule="auto"/>
        <w:ind w:firstLine="48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lang w:val="zh-CN"/>
          <w14:textFill>
            <w14:solidFill>
              <w14:schemeClr w14:val="tx1"/>
            </w14:solidFill>
          </w14:textFill>
        </w:rPr>
        <w:t>.3不论采购人过程和结果如何，供应商的磋商文件均不退还。</w:t>
      </w:r>
    </w:p>
    <w:p w14:paraId="20EF5E15">
      <w:pPr>
        <w:widowControl w:val="0"/>
        <w:autoSpaceDE w:val="0"/>
        <w:autoSpaceDN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r>
        <w:rPr>
          <w:rFonts w:hint="eastAsia" w:ascii="宋体" w:hAnsi="宋体" w:cs="宋体"/>
          <w:color w:val="000000" w:themeColor="text1"/>
          <w:highlight w:val="none"/>
          <w:lang w:val="zh-CN"/>
          <w14:textFill>
            <w14:solidFill>
              <w14:schemeClr w14:val="tx1"/>
            </w14:solidFill>
          </w14:textFill>
        </w:rPr>
        <w:t>.4除非有特殊要求，竞争性磋商文件不单独提供项目所在地的自然环境、气候条件、公用设施等情况，供应商被视为熟悉上述与履行合同有关的一切情况。</w:t>
      </w:r>
    </w:p>
    <w:p w14:paraId="213771CF">
      <w:pPr>
        <w:widowControl w:val="0"/>
        <w:snapToGrid w:val="0"/>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1054E454">
      <w:pPr>
        <w:widowControl w:val="0"/>
        <w:snapToGrid w:val="0"/>
        <w:spacing w:line="360" w:lineRule="auto"/>
        <w:jc w:val="center"/>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   </w:t>
      </w:r>
      <w:bookmarkStart w:id="53" w:name="_Toc4662"/>
      <w:r>
        <w:rPr>
          <w:rFonts w:hint="eastAsia" w:ascii="宋体" w:hAnsi="宋体" w:cs="宋体"/>
          <w:b/>
          <w:bCs/>
          <w:color w:val="000000" w:themeColor="text1"/>
          <w:sz w:val="28"/>
          <w:szCs w:val="28"/>
          <w:highlight w:val="none"/>
          <w14:textFill>
            <w14:solidFill>
              <w14:schemeClr w14:val="tx1"/>
            </w14:solidFill>
          </w14:textFill>
        </w:rPr>
        <w:t>（二）竞争性磋商文件</w:t>
      </w:r>
      <w:bookmarkEnd w:id="53"/>
    </w:p>
    <w:p w14:paraId="64B251E2">
      <w:pPr>
        <w:widowControl w:val="0"/>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10</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 xml:space="preserve">竞争性磋商文件的澄清和修改  </w:t>
      </w:r>
    </w:p>
    <w:p w14:paraId="042D6BDB">
      <w:pPr>
        <w:tabs>
          <w:tab w:val="left" w:pos="1070"/>
        </w:tabs>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应仔细阅读和检查采购文件的全部内容，如发现缺页或附件不全，应及时向采购单位提出，以便补齐，如有疑问，</w:t>
      </w:r>
      <w:r>
        <w:rPr>
          <w:rFonts w:hint="eastAsia" w:ascii="宋体" w:hAnsi="宋体"/>
          <w:color w:val="000000" w:themeColor="text1"/>
          <w:szCs w:val="21"/>
          <w:highlight w:val="none"/>
          <w14:textFill>
            <w14:solidFill>
              <w14:schemeClr w14:val="tx1"/>
            </w14:solidFill>
          </w14:textFill>
        </w:rPr>
        <w:t>供应商可以在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须知前附表”规定截止时间前以澄清函形式（加盖单位章）要求采购代理机构澄清，截止时间后送达的澄清要求概不接受。</w:t>
      </w:r>
    </w:p>
    <w:p w14:paraId="4610F82E">
      <w:pPr>
        <w:tabs>
          <w:tab w:val="left" w:pos="1070"/>
        </w:tabs>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采购代理机构将以书面形式答复所有获取磋商文件的供应商（答复中不包含问题的来源）要求澄清的问题，其他澄清方式无效。</w:t>
      </w:r>
    </w:p>
    <w:p w14:paraId="6557EE19">
      <w:pPr>
        <w:tabs>
          <w:tab w:val="left" w:pos="1070"/>
        </w:tabs>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采购人、采购代理机构对已发出的磋商文件进行必要的澄清或者修改的，澄清或者修改的内容作为磋商文件的组成部分。澄清或者修改的内容可能影响响应文件编制的，采购人、采购代理机构将在提交首次响应文件截止之日5日前，以书面形式通知所有接收磋商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，不足5日的，将顺延提交首次响应文件截止之日。</w:t>
      </w:r>
    </w:p>
    <w:p w14:paraId="5278FD13">
      <w:pPr>
        <w:tabs>
          <w:tab w:val="left" w:pos="1070"/>
        </w:tabs>
        <w:spacing w:line="360" w:lineRule="auto"/>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10.4 </w:t>
      </w:r>
      <w:r>
        <w:rPr>
          <w:rFonts w:hint="eastAsia" w:ascii="宋体" w:hAnsi="宋体"/>
          <w:color w:val="000000" w:themeColor="text1"/>
          <w:szCs w:val="21"/>
          <w:highlight w:val="none"/>
          <w:lang w:eastAsia="zh-CN"/>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可视具体情况，延长</w:t>
      </w:r>
      <w:r>
        <w:rPr>
          <w:rFonts w:hint="eastAsia" w:ascii="宋体" w:hAnsi="宋体"/>
          <w:color w:val="000000" w:themeColor="text1"/>
          <w:szCs w:val="21"/>
          <w:highlight w:val="none"/>
          <w:lang w:eastAsia="zh-CN"/>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截止日期，并将澄清或修改的内容通知所有获取竞争性磋商文件的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43DEAF30">
      <w:pPr>
        <w:tabs>
          <w:tab w:val="left" w:pos="1070"/>
        </w:tabs>
        <w:spacing w:line="360" w:lineRule="auto"/>
        <w:ind w:firstLine="480" w:firstLineChars="200"/>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10.5</w:t>
      </w:r>
      <w:r>
        <w:rPr>
          <w:rFonts w:hint="eastAsia" w:ascii="宋体" w:hAnsi="宋体"/>
          <w:color w:val="000000" w:themeColor="text1"/>
          <w:szCs w:val="21"/>
          <w:highlight w:val="none"/>
          <w:lang w:val="zh-CN"/>
          <w14:textFill>
            <w14:solidFill>
              <w14:schemeClr w14:val="tx1"/>
            </w14:solidFill>
          </w14:textFill>
        </w:rPr>
        <w:t>供应商未在规定时间内提出询问或者疑问，视为认同竞争性磋商文件以及答疑文件内的所有要求，供应商未按照竞争性磋商文件、解答或者答疑要求磋商的，后果自负。</w:t>
      </w:r>
    </w:p>
    <w:p w14:paraId="229D089A">
      <w:pPr>
        <w:pStyle w:val="68"/>
        <w:rPr>
          <w:rFonts w:hint="default" w:ascii="宋体" w:hAnsi="宋体" w:cs="宋体"/>
          <w:color w:val="000000" w:themeColor="text1"/>
          <w:sz w:val="24"/>
          <w:szCs w:val="24"/>
          <w:highlight w:val="none"/>
          <w14:textFill>
            <w14:solidFill>
              <w14:schemeClr w14:val="tx1"/>
            </w14:solidFill>
          </w14:textFill>
        </w:rPr>
      </w:pPr>
    </w:p>
    <w:p w14:paraId="02B7D35C">
      <w:pPr>
        <w:widowControl w:val="0"/>
        <w:snapToGrid w:val="0"/>
        <w:spacing w:after="240" w:line="360" w:lineRule="auto"/>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54" w:name="_Toc28815"/>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三）磋商响应文件的编制</w:t>
      </w:r>
      <w:bookmarkEnd w:id="54"/>
    </w:p>
    <w:p w14:paraId="1C3A7E24">
      <w:pPr>
        <w:widowControl w:val="0"/>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11</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磋商响应文件编写注意事项</w:t>
      </w:r>
    </w:p>
    <w:p w14:paraId="7E276C79">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11.1 </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应认真阅读竞争性磋商文件，按照竞争性磋商文件的要求编制</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文件。如果没有按照竞争性磋商文件要求提交</w:t>
      </w:r>
      <w:r>
        <w:rPr>
          <w:rFonts w:hint="eastAsia" w:ascii="宋体" w:hAnsi="宋体" w:cs="宋体"/>
          <w:color w:val="000000" w:themeColor="text1"/>
          <w:highlight w:val="none"/>
          <w:lang w:val="en-US" w:eastAsia="zh-CN"/>
          <w14:textFill>
            <w14:solidFill>
              <w14:schemeClr w14:val="tx1"/>
            </w14:solidFill>
          </w14:textFill>
        </w:rPr>
        <w:t>响应文</w:t>
      </w:r>
      <w:r>
        <w:rPr>
          <w:rFonts w:hint="eastAsia" w:ascii="宋体" w:hAnsi="宋体" w:cs="宋体"/>
          <w:color w:val="000000" w:themeColor="text1"/>
          <w:highlight w:val="none"/>
          <w14:textFill>
            <w14:solidFill>
              <w14:schemeClr w14:val="tx1"/>
            </w14:solidFill>
          </w14:textFill>
        </w:rPr>
        <w:t>件，没有对竞争性磋商文件提出的实质性要求和条件作出响应，该</w:t>
      </w:r>
      <w:r>
        <w:rPr>
          <w:rFonts w:hint="eastAsia" w:ascii="宋体" w:hAnsi="宋体" w:cs="宋体"/>
          <w:color w:val="000000" w:themeColor="text1"/>
          <w:highlight w:val="none"/>
          <w:lang w:val="en-US"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将被拒绝。</w:t>
      </w:r>
    </w:p>
    <w:p w14:paraId="52227E4A">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 对竞争性磋商文件提出的实质性要求和条件作出响应是指</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必须对竞争性磋商文件</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项目的服务等及其它要求、合同主要条款等内容作出响应。</w:t>
      </w:r>
    </w:p>
    <w:p w14:paraId="18AA550E">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w:t>
      </w:r>
      <w:r>
        <w:rPr>
          <w:rFonts w:hint="eastAsia" w:ascii="宋体" w:hAnsi="宋体" w:cs="宋体"/>
          <w:color w:val="000000" w:themeColor="text1"/>
          <w:szCs w:val="21"/>
          <w:highlight w:val="none"/>
          <w14:textFill>
            <w14:solidFill>
              <w14:schemeClr w14:val="tx1"/>
            </w14:solidFill>
          </w14:textFill>
        </w:rPr>
        <w:t>电子响应文件应使用“政采云平台”（https://www. zcygov. cn）中下载的“政采云电子</w:t>
      </w:r>
      <w:r>
        <w:rPr>
          <w:rFonts w:hint="eastAsia" w:ascii="宋体" w:hAnsi="宋体" w:cs="宋体"/>
          <w:color w:val="000000" w:themeColor="text1"/>
          <w:szCs w:val="21"/>
          <w:highlight w:val="none"/>
          <w:lang w:eastAsia="zh-CN"/>
          <w14:textFill>
            <w14:solidFill>
              <w14:schemeClr w14:val="tx1"/>
            </w14:solidFill>
          </w14:textFill>
        </w:rPr>
        <w:t>磋商</w:t>
      </w:r>
      <w:r>
        <w:rPr>
          <w:rFonts w:hint="eastAsia" w:ascii="宋体" w:hAnsi="宋体" w:cs="宋体"/>
          <w:color w:val="000000" w:themeColor="text1"/>
          <w:szCs w:val="21"/>
          <w:highlight w:val="none"/>
          <w14:textFill>
            <w14:solidFill>
              <w14:schemeClr w14:val="tx1"/>
            </w14:solidFill>
          </w14:textFill>
        </w:rPr>
        <w:t>客户端”制作，并进行电子签章及加密后上传至政采云平台。</w:t>
      </w:r>
      <w:r>
        <w:rPr>
          <w:rFonts w:hint="eastAsia" w:ascii="宋体" w:hAnsi="宋体" w:cs="宋体"/>
          <w:color w:val="000000" w:themeColor="text1"/>
          <w:highlight w:val="none"/>
          <w14:textFill>
            <w14:solidFill>
              <w14:schemeClr w14:val="tx1"/>
            </w14:solidFill>
          </w14:textFill>
        </w:rPr>
        <w:t>如</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提交的电子标书不符合本条款要求或开标时无法读取导入或解密，其</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响应文件将不予受理。</w:t>
      </w:r>
    </w:p>
    <w:p w14:paraId="62638D59">
      <w:pPr>
        <w:widowControl w:val="0"/>
        <w:numPr>
          <w:ilvl w:val="0"/>
          <w:numId w:val="0"/>
        </w:numPr>
        <w:tabs>
          <w:tab w:val="left" w:pos="0"/>
        </w:tabs>
        <w:snapToGrid w:val="0"/>
        <w:spacing w:line="360" w:lineRule="auto"/>
        <w:ind w:leftChars="-1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12.</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 xml:space="preserve">的语言及计量单位  </w:t>
      </w:r>
    </w:p>
    <w:p w14:paraId="56A686D2">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12.1 </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文件以及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所有来往函电统一使用中文（特别规定除外）。</w:t>
      </w:r>
    </w:p>
    <w:p w14:paraId="40589BFE">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12.2 </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文件中使用的计量单位除竞争性磋商文件中有特殊规定外，一律使用法定计量单位。</w:t>
      </w:r>
    </w:p>
    <w:p w14:paraId="274D9FBA">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r>
        <w:rPr>
          <w:rFonts w:hint="eastAsia" w:ascii="宋体" w:hAnsi="宋体" w:cs="宋体"/>
          <w:color w:val="000000" w:themeColor="text1"/>
          <w:highlight w:val="none"/>
          <w:lang w:val="zh-CN"/>
          <w14:textFill>
            <w14:solidFill>
              <w14:schemeClr w14:val="tx1"/>
            </w14:solidFill>
          </w14:textFill>
        </w:rPr>
        <w:t>.3所有报价一律使用人民币，货币单位：元。</w:t>
      </w:r>
    </w:p>
    <w:p w14:paraId="10CAE59A">
      <w:pPr>
        <w:widowControl w:val="0"/>
        <w:numPr>
          <w:ilvl w:val="0"/>
          <w:numId w:val="0"/>
        </w:numPr>
        <w:snapToGrid w:val="0"/>
        <w:spacing w:line="360" w:lineRule="auto"/>
        <w:ind w:leftChars="-100" w:firstLine="240" w:firstLineChars="1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13.</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文件构成</w:t>
      </w:r>
    </w:p>
    <w:p w14:paraId="1B13F3F1">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供应商编写的响应文件应按第四章“磋商响应文件格式”要求填写。</w:t>
      </w:r>
    </w:p>
    <w:p w14:paraId="2FAFEE72">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14</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文件格式</w:t>
      </w:r>
    </w:p>
    <w:p w14:paraId="027B43D7">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应按竞争性磋商文件中提供的</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文件格式编制</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文件，且可以同样格式扩展。</w:t>
      </w:r>
    </w:p>
    <w:p w14:paraId="15E60CA4">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15</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报价</w:t>
      </w:r>
    </w:p>
    <w:p w14:paraId="69B72EB3">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15.1</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应在</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报价表上标明单价和总价。如单价和总价不符，以单价累计为准，小写与大写不符的，以大写为准。如果</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不接受对其错误的更正，其</w:t>
      </w:r>
      <w:r>
        <w:rPr>
          <w:rFonts w:hint="eastAsia" w:ascii="宋体" w:hAnsi="宋体" w:cs="宋体"/>
          <w:b w:val="0"/>
          <w:bCs w:val="0"/>
          <w:color w:val="000000" w:themeColor="text1"/>
          <w:highlight w:val="none"/>
          <w:lang w:val="en-US" w:eastAsia="zh-CN"/>
          <w14:textFill>
            <w14:solidFill>
              <w14:schemeClr w14:val="tx1"/>
            </w14:solidFill>
          </w14:textFill>
        </w:rPr>
        <w:t>响应文件</w:t>
      </w:r>
      <w:r>
        <w:rPr>
          <w:rFonts w:hint="eastAsia" w:ascii="宋体" w:hAnsi="宋体" w:cs="宋体"/>
          <w:b w:val="0"/>
          <w:bCs w:val="0"/>
          <w:color w:val="000000" w:themeColor="text1"/>
          <w:highlight w:val="none"/>
          <w14:textFill>
            <w14:solidFill>
              <w14:schemeClr w14:val="tx1"/>
            </w14:solidFill>
          </w14:textFill>
        </w:rPr>
        <w:t>将被拒绝。</w:t>
      </w:r>
    </w:p>
    <w:p w14:paraId="51CF10C8">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 xml:space="preserve">15.2 </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报价：</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所报单价及合价均应包含本次采购项目实施所有费用以及竞争性磋商文件规定的其他项目和服务等方面内容，</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所报单价及合价均应包括竞争性磋商文件中提到的或没有提到的各种费用。即凡</w:t>
      </w:r>
      <w:r>
        <w:rPr>
          <w:rFonts w:hint="eastAsia" w:ascii="宋体" w:hAnsi="宋体" w:cs="宋体"/>
          <w:b w:val="0"/>
          <w:bCs w:val="0"/>
          <w:color w:val="000000" w:themeColor="text1"/>
          <w:highlight w:val="none"/>
          <w:lang w:eastAsia="zh-CN"/>
          <w14:textFill>
            <w14:solidFill>
              <w14:schemeClr w14:val="tx1"/>
            </w14:solidFill>
          </w14:textFill>
        </w:rPr>
        <w:t>供应商磋商</w:t>
      </w:r>
      <w:r>
        <w:rPr>
          <w:rFonts w:hint="eastAsia" w:ascii="宋体" w:hAnsi="宋体" w:cs="宋体"/>
          <w:b w:val="0"/>
          <w:bCs w:val="0"/>
          <w:color w:val="000000" w:themeColor="text1"/>
          <w:highlight w:val="none"/>
          <w14:textFill>
            <w14:solidFill>
              <w14:schemeClr w14:val="tx1"/>
            </w14:solidFill>
          </w14:textFill>
        </w:rPr>
        <w:t>文件中承诺或涉及的或者是完成本项目必需的费用及</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为完成本项目漏报的费用，均视为已包括在</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总报价或相应项目的单价中。</w:t>
      </w:r>
    </w:p>
    <w:p w14:paraId="08558580">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15.3竞争性磋商实行二次报价，二次报价为最终报价。</w:t>
      </w:r>
    </w:p>
    <w:p w14:paraId="0D23B468">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16</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货币</w:t>
      </w:r>
    </w:p>
    <w:p w14:paraId="023A21AE">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应以人民币报价。</w:t>
      </w:r>
    </w:p>
    <w:p w14:paraId="70BD2D92">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17</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资格证明文件</w:t>
      </w:r>
    </w:p>
    <w:p w14:paraId="30CBA275">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竞争性磋商文件中提到的相关</w:t>
      </w:r>
      <w:r>
        <w:rPr>
          <w:rFonts w:hint="eastAsia" w:ascii="宋体" w:hAnsi="宋体" w:cs="宋体"/>
          <w:b w:val="0"/>
          <w:bCs w:val="0"/>
          <w:color w:val="000000" w:themeColor="text1"/>
          <w:highlight w:val="none"/>
          <w:lang w:val="en-US" w:eastAsia="zh-CN"/>
          <w14:textFill>
            <w14:solidFill>
              <w14:schemeClr w14:val="tx1"/>
            </w14:solidFill>
          </w14:textFill>
        </w:rPr>
        <w:t>资格证明文件</w:t>
      </w:r>
      <w:r>
        <w:rPr>
          <w:rFonts w:hint="eastAsia" w:ascii="宋体" w:hAnsi="宋体" w:cs="宋体"/>
          <w:b w:val="0"/>
          <w:bCs w:val="0"/>
          <w:color w:val="000000" w:themeColor="text1"/>
          <w:highlight w:val="none"/>
          <w14:textFill>
            <w14:solidFill>
              <w14:schemeClr w14:val="tx1"/>
            </w14:solidFill>
          </w14:textFill>
        </w:rPr>
        <w:t>、证书及材料及足够证明其具有承担本项目能力的或竞争性磋商文件中没有提到的相关资料。</w:t>
      </w:r>
    </w:p>
    <w:p w14:paraId="3DDB43B0">
      <w:pPr>
        <w:widowControl w:val="0"/>
        <w:snapToGrid w:val="0"/>
        <w:spacing w:line="47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18</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的有效期</w:t>
      </w:r>
    </w:p>
    <w:p w14:paraId="0167155E">
      <w:pPr>
        <w:widowControl w:val="0"/>
        <w:snapToGrid w:val="0"/>
        <w:spacing w:line="47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18.1 磋商响应文件从</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截止日期后</w:t>
      </w:r>
      <w:r>
        <w:rPr>
          <w:rFonts w:hint="eastAsia" w:ascii="宋体" w:hAnsi="宋体" w:cs="宋体"/>
          <w:color w:val="000000" w:themeColor="text1"/>
          <w:highlight w:val="none"/>
          <w:u w:val="single"/>
          <w:lang w:val="en-US" w:eastAsia="zh-CN"/>
          <w14:textFill>
            <w14:solidFill>
              <w14:schemeClr w14:val="tx1"/>
            </w14:solidFill>
          </w14:textFill>
        </w:rPr>
        <w:t>90</w:t>
      </w:r>
      <w:r>
        <w:rPr>
          <w:rFonts w:hint="eastAsia" w:ascii="宋体" w:hAnsi="宋体" w:cs="宋体"/>
          <w:color w:val="000000" w:themeColor="text1"/>
          <w:highlight w:val="none"/>
          <w:u w:val="single"/>
          <w14:textFill>
            <w14:solidFill>
              <w14:schemeClr w14:val="tx1"/>
            </w14:solidFill>
          </w14:textFill>
        </w:rPr>
        <w:t>天</w:t>
      </w:r>
      <w:r>
        <w:rPr>
          <w:rFonts w:hint="eastAsia" w:ascii="宋体" w:hAnsi="宋体" w:cs="宋体"/>
          <w:color w:val="000000" w:themeColor="text1"/>
          <w:highlight w:val="none"/>
          <w14:textFill>
            <w14:solidFill>
              <w14:schemeClr w14:val="tx1"/>
            </w14:solidFill>
          </w14:textFill>
        </w:rPr>
        <w:t>内有效。</w:t>
      </w:r>
    </w:p>
    <w:p w14:paraId="1AEB78BF">
      <w:pPr>
        <w:widowControl w:val="0"/>
        <w:snapToGrid w:val="0"/>
        <w:spacing w:before="156" w:beforeLines="50"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18.2 在特殊情况下，</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协商延长磋商响应文件的有效期。</w:t>
      </w:r>
    </w:p>
    <w:p w14:paraId="6195E778">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19</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磋商响应文件的签名、盖章要求</w:t>
      </w:r>
    </w:p>
    <w:p w14:paraId="04B510FF">
      <w:pPr>
        <w:widowControl w:val="0"/>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19.1 磋商响应文件应由法定代表人或委托代理人在凡规定签字、盖章处签名或盖章（电子文件：电子签名或电子签章），否则其</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无效。</w:t>
      </w:r>
    </w:p>
    <w:p w14:paraId="72D0990C">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19.2磋商响应文件未按要求填写或可能导致非唯一理解的磋商响应文件可能被认定为无效的磋商响应文件。</w:t>
      </w:r>
    </w:p>
    <w:p w14:paraId="47940CC7">
      <w:pPr>
        <w:widowControl w:val="0"/>
        <w:snapToGrid w:val="0"/>
        <w:spacing w:line="50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20</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保证金</w:t>
      </w:r>
    </w:p>
    <w:p w14:paraId="63DC38CF">
      <w:pPr>
        <w:widowControl w:val="0"/>
        <w:spacing w:line="500" w:lineRule="exact"/>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20.1</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保证金提交方式：</w:t>
      </w:r>
      <w:r>
        <w:rPr>
          <w:rFonts w:hint="eastAsia" w:ascii="宋体" w:hAnsi="宋体" w:cs="宋体"/>
          <w:color w:val="000000" w:themeColor="text1"/>
          <w:highlight w:val="none"/>
          <w:lang w:eastAsia="zh-CN"/>
          <w14:textFill>
            <w14:solidFill>
              <w14:schemeClr w14:val="tx1"/>
            </w14:solidFill>
          </w14:textFill>
        </w:rPr>
        <w:t>银行转账、银行保函、保证保险及法律法规允许的其他方式以非现金形式提交磋商保证金。</w:t>
      </w:r>
    </w:p>
    <w:p w14:paraId="45DE7715">
      <w:pPr>
        <w:widowControl w:val="0"/>
        <w:spacing w:line="5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20.1.1银行转账：</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（交易）保证金应以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自身的名义提交，并且必须从其基本账户转出，不得以分支机构其他名义提交（按照规定，</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可以为自然人的项目除外）。</w:t>
      </w:r>
    </w:p>
    <w:p w14:paraId="705BCBAD">
      <w:pPr>
        <w:widowControl w:val="0"/>
        <w:spacing w:line="5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20.1.2银行保函：保函申请人必须是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，受益人必须是采购人，保证人必须是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基本账号的开户银行；银行保函必须正确填写受益人和申请人的全称，并与竞争性磋商文件规定的名称相一致，以免造成</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无效。</w:t>
      </w:r>
    </w:p>
    <w:p w14:paraId="2356EE59">
      <w:pPr>
        <w:widowControl w:val="0"/>
        <w:spacing w:line="5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20.1.3保证保险：①当</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未能按照招</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文件要求履行</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义务而导致采购方受到损失时，由保险公司按照保险合同对采购方的损失承担代偿责任。②</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在支付</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保证金保险费时，必须使用基本账号资金支付购买，未从基本账户转出支付保费造成经济纠纷的应由企业自行承担。③在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保证保险中，</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为投保人，采购方为被保险人。</w:t>
      </w:r>
    </w:p>
    <w:p w14:paraId="168EA114">
      <w:pPr>
        <w:widowControl w:val="0"/>
        <w:spacing w:line="5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保证金的提交时间：</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需在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截止时间前递交保证金，到账时间以实际到达专用账号时间为准，未在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截止时间前到账的保证金视为未提交；银行保函必须在规定的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截止时间前递交；</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保证保险的投保人应当在项目</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前与保险公司签订</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保证保险合同，在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截止时间前，由保险公司完成网上确认，未确认的保证金视为未提交。</w:t>
      </w:r>
    </w:p>
    <w:p w14:paraId="600F4AB4">
      <w:pPr>
        <w:widowControl w:val="0"/>
        <w:snapToGrid w:val="0"/>
        <w:spacing w:line="5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20.3 未</w:t>
      </w:r>
      <w:r>
        <w:rPr>
          <w:rFonts w:hint="eastAsia" w:ascii="宋体" w:hAnsi="宋体" w:cs="宋体"/>
          <w:color w:val="000000" w:themeColor="text1"/>
          <w:highlight w:val="none"/>
          <w:lang w:eastAsia="zh-CN"/>
          <w14:textFill>
            <w14:solidFill>
              <w14:schemeClr w14:val="tx1"/>
            </w14:solidFill>
          </w14:textFill>
        </w:rPr>
        <w:t>成交供应商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保证金，将在</w:t>
      </w:r>
      <w:r>
        <w:rPr>
          <w:rFonts w:hint="eastAsia" w:ascii="宋体" w:hAnsi="宋体" w:cs="宋体"/>
          <w:color w:val="000000" w:themeColor="text1"/>
          <w:highlight w:val="none"/>
          <w:shd w:val="clear" w:color="auto" w:fill="FFFFFF"/>
          <w14:textFill>
            <w14:solidFill>
              <w14:schemeClr w14:val="tx1"/>
            </w14:solidFill>
          </w14:textFill>
        </w:rPr>
        <w:t>成交通知书发出后5个工作日内退还</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成交供应商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保证金在</w:t>
      </w:r>
      <w:r>
        <w:rPr>
          <w:rFonts w:hint="eastAsia" w:ascii="宋体" w:hAnsi="宋体" w:cs="宋体"/>
          <w:color w:val="000000" w:themeColor="text1"/>
          <w:highlight w:val="none"/>
          <w:shd w:val="clear" w:color="auto" w:fill="FFFFFF"/>
          <w14:textFill>
            <w14:solidFill>
              <w14:schemeClr w14:val="tx1"/>
            </w14:solidFill>
          </w14:textFill>
        </w:rPr>
        <w:t>采购合同</w:t>
      </w:r>
      <w:r>
        <w:rPr>
          <w:rFonts w:hint="eastAsia" w:ascii="宋体" w:hAnsi="宋体" w:cs="宋体"/>
          <w:color w:val="000000" w:themeColor="text1"/>
          <w:highlight w:val="none"/>
          <w14:textFill>
            <w14:solidFill>
              <w14:schemeClr w14:val="tx1"/>
            </w14:solidFill>
          </w14:textFill>
        </w:rPr>
        <w:t>签订后5</w:t>
      </w:r>
      <w:r>
        <w:rPr>
          <w:rFonts w:hint="eastAsia" w:ascii="宋体" w:hAnsi="宋体" w:cs="宋体"/>
          <w:color w:val="000000" w:themeColor="text1"/>
          <w:highlight w:val="none"/>
          <w:shd w:val="clear" w:color="auto" w:fill="FFFFFF"/>
          <w14:textFill>
            <w14:solidFill>
              <w14:schemeClr w14:val="tx1"/>
            </w14:solidFill>
          </w14:textFill>
        </w:rPr>
        <w:t>个工作日</w:t>
      </w:r>
      <w:r>
        <w:rPr>
          <w:rFonts w:hint="eastAsia" w:ascii="宋体" w:hAnsi="宋体" w:cs="宋体"/>
          <w:color w:val="000000" w:themeColor="text1"/>
          <w:highlight w:val="none"/>
          <w14:textFill>
            <w14:solidFill>
              <w14:schemeClr w14:val="tx1"/>
            </w14:solidFill>
          </w14:textFill>
        </w:rPr>
        <w:t>内予以退还。</w:t>
      </w:r>
    </w:p>
    <w:p w14:paraId="03904AC0">
      <w:pPr>
        <w:pStyle w:val="68"/>
        <w:rPr>
          <w:rFonts w:hint="default" w:ascii="宋体" w:hAnsi="宋体" w:cs="宋体"/>
          <w:color w:val="000000" w:themeColor="text1"/>
          <w:highlight w:val="none"/>
          <w14:textFill>
            <w14:solidFill>
              <w14:schemeClr w14:val="tx1"/>
            </w14:solidFill>
          </w14:textFill>
        </w:rPr>
      </w:pPr>
    </w:p>
    <w:p w14:paraId="4C4CF5AE">
      <w:pPr>
        <w:widowControl w:val="0"/>
        <w:spacing w:line="500" w:lineRule="exact"/>
        <w:ind w:firstLine="562" w:firstLineChars="200"/>
        <w:jc w:val="center"/>
        <w:outlineLvl w:val="2"/>
        <w:rPr>
          <w:rFonts w:ascii="宋体" w:hAnsi="宋体" w:cs="宋体"/>
          <w:b/>
          <w:bCs/>
          <w:color w:val="000000" w:themeColor="text1"/>
          <w:sz w:val="28"/>
          <w:szCs w:val="28"/>
          <w:highlight w:val="none"/>
          <w14:textFill>
            <w14:solidFill>
              <w14:schemeClr w14:val="tx1"/>
            </w14:solidFill>
          </w14:textFill>
        </w:rPr>
      </w:pPr>
      <w:bookmarkStart w:id="55" w:name="_Toc21411"/>
      <w:r>
        <w:rPr>
          <w:rFonts w:hint="eastAsia" w:ascii="宋体" w:hAnsi="宋体" w:cs="宋体"/>
          <w:b/>
          <w:bCs/>
          <w:color w:val="000000" w:themeColor="text1"/>
          <w:sz w:val="28"/>
          <w:szCs w:val="28"/>
          <w:highlight w:val="none"/>
          <w14:textFill>
            <w14:solidFill>
              <w14:schemeClr w14:val="tx1"/>
            </w14:solidFill>
          </w14:textFill>
        </w:rPr>
        <w:t>（四）磋商响应文件的递交</w:t>
      </w:r>
      <w:bookmarkEnd w:id="55"/>
    </w:p>
    <w:p w14:paraId="2955181B">
      <w:pPr>
        <w:widowControl w:val="0"/>
        <w:spacing w:line="50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21</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磋商响应文件的密封与标记</w:t>
      </w:r>
    </w:p>
    <w:p w14:paraId="1E7C8632">
      <w:pPr>
        <w:widowControl w:val="0"/>
        <w:spacing w:line="5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网上递交的磋商响应文件需要对</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响应文件进行加密。网上递交电子</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文件后，不再递交纸质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文件及光盘。</w:t>
      </w:r>
    </w:p>
    <w:p w14:paraId="17B3F667">
      <w:pPr>
        <w:widowControl w:val="0"/>
        <w:spacing w:before="156" w:beforeLines="50" w:line="500" w:lineRule="exact"/>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22</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截止时间</w:t>
      </w:r>
    </w:p>
    <w:p w14:paraId="550F13A7">
      <w:pPr>
        <w:widowControl w:val="0"/>
        <w:tabs>
          <w:tab w:val="left" w:pos="0"/>
        </w:tabs>
        <w:snapToGrid w:val="0"/>
        <w:spacing w:before="156" w:beforeLines="50"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磋商响应文件必须于规定的时间递交到规定地点，并在规定的时间内完成所有响应文件的上传，超过</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截止时间送达或上传的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文件将不予受理。</w:t>
      </w:r>
    </w:p>
    <w:p w14:paraId="46533B05">
      <w:pPr>
        <w:widowControl w:val="0"/>
        <w:numPr>
          <w:ilvl w:val="0"/>
          <w:numId w:val="0"/>
        </w:numPr>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23.</w:t>
      </w:r>
      <w:r>
        <w:rPr>
          <w:rFonts w:hint="eastAsia" w:ascii="宋体" w:hAnsi="宋体" w:cs="宋体"/>
          <w:b w:val="0"/>
          <w:bCs w:val="0"/>
          <w:color w:val="000000" w:themeColor="text1"/>
          <w:highlight w:val="none"/>
          <w14:textFill>
            <w14:solidFill>
              <w14:schemeClr w14:val="tx1"/>
            </w14:solidFill>
          </w14:textFill>
        </w:rPr>
        <w:t>磋商响应文件的修改及撤回</w:t>
      </w:r>
    </w:p>
    <w:p w14:paraId="0C941FD7">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23.1在</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截止时间前，</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可以修改或撤回已在网上递交的磋商响应文件，无须书面形式通知采购单位。</w:t>
      </w:r>
    </w:p>
    <w:p w14:paraId="3167AFF3">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23.2修改的</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响应文件应按照</w:t>
      </w:r>
      <w:r>
        <w:rPr>
          <w:rFonts w:hint="eastAsia" w:ascii="宋体" w:hAnsi="宋体"/>
          <w:b w:val="0"/>
          <w:bCs w:val="0"/>
          <w:color w:val="000000" w:themeColor="text1"/>
          <w:szCs w:val="21"/>
          <w:highlight w:val="none"/>
          <w14:textFill>
            <w14:solidFill>
              <w14:schemeClr w14:val="tx1"/>
            </w14:solidFill>
          </w14:textFill>
        </w:rPr>
        <w:t>“政采云电子</w:t>
      </w:r>
      <w:r>
        <w:rPr>
          <w:rFonts w:hint="eastAsia" w:ascii="宋体" w:hAnsi="宋体"/>
          <w:b w:val="0"/>
          <w:bCs w:val="0"/>
          <w:color w:val="000000" w:themeColor="text1"/>
          <w:szCs w:val="21"/>
          <w:highlight w:val="none"/>
          <w:lang w:eastAsia="zh-CN"/>
          <w14:textFill>
            <w14:solidFill>
              <w14:schemeClr w14:val="tx1"/>
            </w14:solidFill>
          </w14:textFill>
        </w:rPr>
        <w:t>磋商</w:t>
      </w:r>
      <w:r>
        <w:rPr>
          <w:rFonts w:hint="eastAsia" w:ascii="宋体" w:hAnsi="宋体"/>
          <w:b w:val="0"/>
          <w:bCs w:val="0"/>
          <w:color w:val="000000" w:themeColor="text1"/>
          <w:szCs w:val="21"/>
          <w:highlight w:val="none"/>
          <w14:textFill>
            <w14:solidFill>
              <w14:schemeClr w14:val="tx1"/>
            </w14:solidFill>
          </w14:textFill>
        </w:rPr>
        <w:t>客户端”</w:t>
      </w:r>
      <w:r>
        <w:rPr>
          <w:rFonts w:hint="eastAsia" w:ascii="宋体" w:hAnsi="宋体" w:cs="宋体"/>
          <w:b w:val="0"/>
          <w:bCs w:val="0"/>
          <w:color w:val="000000" w:themeColor="text1"/>
          <w:highlight w:val="none"/>
          <w14:textFill>
            <w14:solidFill>
              <w14:schemeClr w14:val="tx1"/>
            </w14:solidFill>
          </w14:textFill>
        </w:rPr>
        <w:t>规定进行编制、密封、标记和递交。</w:t>
      </w:r>
    </w:p>
    <w:p w14:paraId="58347AB4">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23.3 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截止日期后，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不得对其磋商响应文件做任何修改。</w:t>
      </w:r>
    </w:p>
    <w:p w14:paraId="72C0A470">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截止期日后的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有效期内，</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不得撤回其磋商响应文件，否则其全部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保证金将被没收。</w:t>
      </w:r>
      <w:r>
        <w:rPr>
          <w:rFonts w:hint="eastAsia" w:ascii="宋体" w:hAnsi="宋体" w:cs="宋体"/>
          <w:b/>
          <w:bCs/>
          <w:color w:val="000000" w:themeColor="text1"/>
          <w:highlight w:val="none"/>
          <w14:textFill>
            <w14:solidFill>
              <w14:schemeClr w14:val="tx1"/>
            </w14:solidFill>
          </w14:textFill>
        </w:rPr>
        <w:t xml:space="preserve"> </w:t>
      </w:r>
    </w:p>
    <w:p w14:paraId="1D0592AC">
      <w:pPr>
        <w:widowControl w:val="0"/>
        <w:tabs>
          <w:tab w:val="left" w:pos="0"/>
        </w:tabs>
        <w:snapToGrid w:val="0"/>
        <w:spacing w:line="360" w:lineRule="auto"/>
        <w:jc w:val="center"/>
        <w:outlineLvl w:val="2"/>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6" w:name="_Toc10940"/>
      <w:r>
        <w:rPr>
          <w:rFonts w:hint="eastAsia" w:ascii="宋体" w:hAnsi="宋体" w:cs="宋体"/>
          <w:b/>
          <w:bCs/>
          <w:color w:val="000000" w:themeColor="text1"/>
          <w:sz w:val="28"/>
          <w:szCs w:val="28"/>
          <w:highlight w:val="none"/>
          <w14:textFill>
            <w14:solidFill>
              <w14:schemeClr w14:val="tx1"/>
            </w14:solidFill>
          </w14:textFill>
        </w:rPr>
        <w:t>（五）开标与</w:t>
      </w:r>
      <w:bookmarkEnd w:id="56"/>
      <w:r>
        <w:rPr>
          <w:rFonts w:hint="eastAsia" w:ascii="宋体" w:hAnsi="宋体" w:cs="宋体"/>
          <w:b/>
          <w:bCs/>
          <w:color w:val="000000" w:themeColor="text1"/>
          <w:sz w:val="28"/>
          <w:szCs w:val="28"/>
          <w:highlight w:val="none"/>
          <w:lang w:eastAsia="zh-CN"/>
          <w14:textFill>
            <w14:solidFill>
              <w14:schemeClr w14:val="tx1"/>
            </w14:solidFill>
          </w14:textFill>
        </w:rPr>
        <w:t>评审</w:t>
      </w:r>
    </w:p>
    <w:p w14:paraId="47EA4614">
      <w:pPr>
        <w:widowControl w:val="0"/>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24</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开标</w:t>
      </w:r>
    </w:p>
    <w:p w14:paraId="04E905C4">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24.1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将在规定的时间和地点进行磋商，</w:t>
      </w:r>
      <w:r>
        <w:rPr>
          <w:rFonts w:hint="eastAsia" w:ascii="宋体" w:hAnsi="宋体"/>
          <w:color w:val="000000" w:themeColor="text1"/>
          <w:szCs w:val="21"/>
          <w:highlight w:val="none"/>
          <w14:textFill>
            <w14:solidFill>
              <w14:schemeClr w14:val="tx1"/>
            </w14:solidFill>
          </w14:textFill>
        </w:rPr>
        <w:t>本项目为网上开标，</w:t>
      </w:r>
      <w:r>
        <w:rPr>
          <w:rFonts w:hint="eastAsia" w:ascii="宋体" w:hAnsi="宋体"/>
          <w:color w:val="000000" w:themeColor="text1"/>
          <w:szCs w:val="21"/>
          <w:highlight w:val="none"/>
          <w:lang w:eastAsia="zh-CN"/>
          <w14:textFill>
            <w14:solidFill>
              <w14:schemeClr w14:val="tx1"/>
            </w14:solidFill>
          </w14:textFill>
        </w:rPr>
        <w:t>磋商</w:t>
      </w:r>
      <w:r>
        <w:rPr>
          <w:rFonts w:hint="eastAsia" w:ascii="宋体" w:hAnsi="宋体"/>
          <w:color w:val="000000" w:themeColor="text1"/>
          <w:szCs w:val="21"/>
          <w:highlight w:val="none"/>
          <w14:textFill>
            <w14:solidFill>
              <w14:schemeClr w14:val="tx1"/>
            </w14:solidFill>
          </w14:textFill>
        </w:rPr>
        <w:t>单位无需到达现场，为保障磋商小组与各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可以有效进行磋商</w:t>
      </w:r>
      <w:r>
        <w:rPr>
          <w:rFonts w:hint="eastAsia" w:ascii="宋体" w:hAnsi="宋体" w:cs="宋体"/>
          <w:color w:val="000000" w:themeColor="text1"/>
          <w:highlight w:val="none"/>
          <w14:textFill>
            <w14:solidFill>
              <w14:schemeClr w14:val="tx1"/>
            </w14:solidFill>
          </w14:textFill>
        </w:rPr>
        <w:t>工作，请各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自行配相应的音视频设备。</w:t>
      </w:r>
    </w:p>
    <w:p w14:paraId="08209836">
      <w:pPr>
        <w:widowControl w:val="0"/>
        <w:spacing w:line="360" w:lineRule="auto"/>
        <w:ind w:firstLine="480"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24.2 </w:t>
      </w:r>
      <w:r>
        <w:rPr>
          <w:rFonts w:hint="eastAsia" w:ascii="宋体" w:hAnsi="宋体"/>
          <w:color w:val="000000" w:themeColor="text1"/>
          <w:szCs w:val="21"/>
          <w:highlight w:val="none"/>
          <w14:textFill>
            <w14:solidFill>
              <w14:schemeClr w14:val="tx1"/>
            </w14:solidFill>
          </w14:textFill>
        </w:rPr>
        <w:t>采购人委派代表参加磋商会议的，要向采购代理机构出具授权函。除授权代表外，采购人可以委派纪检监察等相关人员进入磋商现场，对磋商工作实施监督。</w:t>
      </w:r>
    </w:p>
    <w:p w14:paraId="684ED179">
      <w:pPr>
        <w:widowControl w:val="0"/>
        <w:spacing w:line="360" w:lineRule="auto"/>
        <w:ind w:firstLine="480"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24.3 </w:t>
      </w:r>
      <w:r>
        <w:rPr>
          <w:rFonts w:hint="eastAsia" w:ascii="宋体" w:hAnsi="宋体" w:cs="宋体"/>
          <w:color w:val="000000" w:themeColor="text1"/>
          <w:spacing w:val="-2"/>
          <w:highlight w:val="none"/>
          <w14:textFill>
            <w14:solidFill>
              <w14:schemeClr w14:val="tx1"/>
            </w14:solidFill>
          </w14:textFill>
        </w:rPr>
        <w:t>电子文件开标顺序：</w:t>
      </w:r>
      <w:r>
        <w:rPr>
          <w:rFonts w:hint="eastAsia" w:ascii="宋体" w:hAnsi="宋体" w:cs="宋体"/>
          <w:color w:val="000000" w:themeColor="text1"/>
          <w:highlight w:val="none"/>
          <w14:textFill>
            <w14:solidFill>
              <w14:schemeClr w14:val="tx1"/>
            </w14:solidFill>
          </w14:textFill>
        </w:rPr>
        <w:t>按照</w:t>
      </w:r>
      <w:r>
        <w:rPr>
          <w:rFonts w:hint="eastAsia" w:ascii="宋体" w:hAnsi="宋体" w:cs="宋体"/>
          <w:bCs/>
          <w:color w:val="000000" w:themeColor="text1"/>
          <w:szCs w:val="21"/>
          <w:highlight w:val="none"/>
          <w14:textFill>
            <w14:solidFill>
              <w14:schemeClr w14:val="tx1"/>
            </w14:solidFill>
          </w14:textFill>
        </w:rPr>
        <w:t>“政府采购云平台”开标系统</w:t>
      </w:r>
      <w:r>
        <w:rPr>
          <w:rFonts w:hint="eastAsia" w:ascii="宋体" w:hAnsi="宋体" w:cs="宋体"/>
          <w:color w:val="000000" w:themeColor="text1"/>
          <w:highlight w:val="none"/>
          <w14:textFill>
            <w14:solidFill>
              <w14:schemeClr w14:val="tx1"/>
            </w14:solidFill>
          </w14:textFill>
        </w:rPr>
        <w:t>自动提取所有</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的顺序当众开标</w:t>
      </w:r>
      <w:r>
        <w:rPr>
          <w:rFonts w:hint="eastAsia" w:ascii="宋体" w:hAnsi="宋体" w:cs="宋体"/>
          <w:color w:val="000000" w:themeColor="text1"/>
          <w:spacing w:val="-2"/>
          <w:highlight w:val="none"/>
          <w14:textFill>
            <w14:solidFill>
              <w14:schemeClr w14:val="tx1"/>
            </w14:solidFill>
          </w14:textFill>
        </w:rPr>
        <w:t>。</w:t>
      </w:r>
    </w:p>
    <w:p w14:paraId="1E213F39">
      <w:pPr>
        <w:widowControl w:val="0"/>
        <w:spacing w:line="360" w:lineRule="auto"/>
        <w:ind w:firstLine="472" w:firstLineChars="200"/>
        <w:rPr>
          <w:rFonts w:ascii="宋体" w:hAnsi="宋体" w:cs="宋体"/>
          <w:color w:val="000000" w:themeColor="text1"/>
          <w:spacing w:val="-2"/>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24.4代理机构宣布开启电子</w:t>
      </w:r>
      <w:r>
        <w:rPr>
          <w:rFonts w:hint="eastAsia" w:ascii="宋体" w:hAnsi="宋体" w:cs="宋体"/>
          <w:color w:val="000000" w:themeColor="text1"/>
          <w:spacing w:val="-2"/>
          <w:highlight w:val="none"/>
          <w:lang w:eastAsia="zh-CN"/>
          <w14:textFill>
            <w14:solidFill>
              <w14:schemeClr w14:val="tx1"/>
            </w14:solidFill>
          </w14:textFill>
        </w:rPr>
        <w:t>磋商</w:t>
      </w:r>
      <w:r>
        <w:rPr>
          <w:rFonts w:hint="eastAsia" w:ascii="宋体" w:hAnsi="宋体" w:cs="宋体"/>
          <w:color w:val="000000" w:themeColor="text1"/>
          <w:spacing w:val="-2"/>
          <w:highlight w:val="none"/>
          <w14:textFill>
            <w14:solidFill>
              <w14:schemeClr w14:val="tx1"/>
            </w14:solidFill>
          </w14:textFill>
        </w:rPr>
        <w:t>响应文件后，下达解锁电子</w:t>
      </w:r>
      <w:r>
        <w:rPr>
          <w:rFonts w:hint="eastAsia" w:ascii="宋体" w:hAnsi="宋体" w:cs="宋体"/>
          <w:color w:val="000000" w:themeColor="text1"/>
          <w:spacing w:val="-2"/>
          <w:highlight w:val="none"/>
          <w:lang w:eastAsia="zh-CN"/>
          <w14:textFill>
            <w14:solidFill>
              <w14:schemeClr w14:val="tx1"/>
            </w14:solidFill>
          </w14:textFill>
        </w:rPr>
        <w:t>磋商</w:t>
      </w:r>
      <w:r>
        <w:rPr>
          <w:rFonts w:hint="eastAsia" w:ascii="宋体" w:hAnsi="宋体" w:cs="宋体"/>
          <w:color w:val="000000" w:themeColor="text1"/>
          <w:spacing w:val="-2"/>
          <w:highlight w:val="none"/>
          <w14:textFill>
            <w14:solidFill>
              <w14:schemeClr w14:val="tx1"/>
            </w14:solidFill>
          </w14:textFill>
        </w:rPr>
        <w:t>文件命令，</w:t>
      </w:r>
      <w:r>
        <w:rPr>
          <w:rFonts w:hint="eastAsia" w:ascii="宋体" w:hAnsi="宋体" w:cs="宋体"/>
          <w:color w:val="000000" w:themeColor="text1"/>
          <w:spacing w:val="-2"/>
          <w:highlight w:val="none"/>
          <w:lang w:eastAsia="zh-CN"/>
          <w14:textFill>
            <w14:solidFill>
              <w14:schemeClr w14:val="tx1"/>
            </w14:solidFill>
          </w14:textFill>
        </w:rPr>
        <w:t>供应商</w:t>
      </w:r>
      <w:r>
        <w:rPr>
          <w:rFonts w:hint="eastAsia" w:ascii="宋体" w:hAnsi="宋体" w:cs="宋体"/>
          <w:color w:val="000000" w:themeColor="text1"/>
          <w:spacing w:val="-2"/>
          <w:highlight w:val="none"/>
          <w14:textFill>
            <w14:solidFill>
              <w14:schemeClr w14:val="tx1"/>
            </w14:solidFill>
          </w14:textFill>
        </w:rPr>
        <w:t>在规定时间内对加密的电子</w:t>
      </w:r>
      <w:r>
        <w:rPr>
          <w:rFonts w:hint="eastAsia" w:ascii="宋体" w:hAnsi="宋体" w:cs="宋体"/>
          <w:color w:val="000000" w:themeColor="text1"/>
          <w:spacing w:val="-2"/>
          <w:highlight w:val="none"/>
          <w:lang w:eastAsia="zh-CN"/>
          <w14:textFill>
            <w14:solidFill>
              <w14:schemeClr w14:val="tx1"/>
            </w14:solidFill>
          </w14:textFill>
        </w:rPr>
        <w:t>磋商</w:t>
      </w:r>
      <w:r>
        <w:rPr>
          <w:rFonts w:hint="eastAsia" w:ascii="宋体" w:hAnsi="宋体" w:cs="宋体"/>
          <w:color w:val="000000" w:themeColor="text1"/>
          <w:spacing w:val="-2"/>
          <w:highlight w:val="none"/>
          <w14:textFill>
            <w14:solidFill>
              <w14:schemeClr w14:val="tx1"/>
            </w14:solidFill>
          </w14:textFill>
        </w:rPr>
        <w:t>文件进行解锁。</w:t>
      </w:r>
    </w:p>
    <w:p w14:paraId="55BBBD8D">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24.5</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将做开标记录（包含</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名称、</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总报价、项目完成期限等）。</w:t>
      </w:r>
    </w:p>
    <w:p w14:paraId="545C805B">
      <w:pPr>
        <w:widowControl w:val="0"/>
        <w:snapToGrid w:val="0"/>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24.6</w:t>
      </w:r>
      <w:r>
        <w:rPr>
          <w:rFonts w:hint="eastAsia" w:ascii="宋体" w:hAnsi="宋体" w:cs="宋体"/>
          <w:b/>
          <w:bCs/>
          <w:color w:val="000000" w:themeColor="text1"/>
          <w:highlight w:val="none"/>
          <w14:textFill>
            <w14:solidFill>
              <w14:schemeClr w14:val="tx1"/>
            </w14:solidFill>
          </w14:textFill>
        </w:rPr>
        <w:t>各</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实行二次报价，二次报价为最终报价。</w:t>
      </w:r>
    </w:p>
    <w:p w14:paraId="707DBAA2">
      <w:pPr>
        <w:widowControl w:val="0"/>
        <w:snapToGrid w:val="0"/>
        <w:spacing w:line="360" w:lineRule="auto"/>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25</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磋商小组成员组成与</w:t>
      </w:r>
      <w:r>
        <w:rPr>
          <w:rFonts w:hint="eastAsia" w:ascii="宋体" w:hAnsi="宋体" w:cs="宋体"/>
          <w:b w:val="0"/>
          <w:bCs w:val="0"/>
          <w:color w:val="000000" w:themeColor="text1"/>
          <w:highlight w:val="none"/>
          <w:lang w:eastAsia="zh-CN"/>
          <w14:textFill>
            <w14:solidFill>
              <w14:schemeClr w14:val="tx1"/>
            </w14:solidFill>
          </w14:textFill>
        </w:rPr>
        <w:t>评审</w:t>
      </w:r>
    </w:p>
    <w:p w14:paraId="446E8678">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25.1 磋商小组的组建：采购人根据《中华人民共和国政府采购法》及财政部有关法律法规、规章和本采购文件的规定，结合本采购项目的特点组建</w:t>
      </w:r>
      <w:r>
        <w:rPr>
          <w:rFonts w:hint="eastAsia" w:ascii="宋体" w:hAnsi="宋体" w:cs="宋体"/>
          <w:color w:val="000000" w:themeColor="text1"/>
          <w:highlight w:val="none"/>
          <w:lang w:eastAsia="zh-CN"/>
          <w14:textFill>
            <w14:solidFill>
              <w14:schemeClr w14:val="tx1"/>
            </w14:solidFill>
          </w14:textFill>
        </w:rPr>
        <w:t>磋商小组</w:t>
      </w:r>
      <w:r>
        <w:rPr>
          <w:rFonts w:hint="eastAsia" w:ascii="宋体" w:hAnsi="宋体" w:cs="宋体"/>
          <w:color w:val="000000" w:themeColor="text1"/>
          <w:highlight w:val="none"/>
          <w14:textFill>
            <w14:solidFill>
              <w14:schemeClr w14:val="tx1"/>
            </w14:solidFill>
          </w14:textFill>
        </w:rPr>
        <w:t>，磋商小组由评审专家2人及采购人代表1人，共3人及以上单数组成，评审专家开标前从云南省政府采</w:t>
      </w:r>
      <w:r>
        <w:rPr>
          <w:rFonts w:hint="eastAsia"/>
          <w:color w:val="000000" w:themeColor="text1"/>
          <w:highlight w:val="none"/>
          <w:lang w:eastAsia="zh-CN"/>
          <w14:textFill>
            <w14:solidFill>
              <w14:schemeClr w14:val="tx1"/>
            </w14:solidFill>
          </w14:textFill>
        </w:rPr>
        <w:t>购专家库</w:t>
      </w:r>
      <w:r>
        <w:rPr>
          <w:rFonts w:hint="eastAsia" w:ascii="宋体" w:hAnsi="宋体" w:cs="宋体"/>
          <w:color w:val="000000" w:themeColor="text1"/>
          <w:highlight w:val="none"/>
          <w14:textFill>
            <w14:solidFill>
              <w14:schemeClr w14:val="tx1"/>
            </w14:solidFill>
          </w14:textFill>
        </w:rPr>
        <w:t>中随机抽取；采购人代表不得以评审专家身份参加本部门或本单位采购项目的评审，采购代理机构人员不得参加本机构代理的采购项目的评审。</w:t>
      </w:r>
    </w:p>
    <w:p w14:paraId="53608AB6">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26</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评审</w:t>
      </w:r>
      <w:r>
        <w:rPr>
          <w:rFonts w:hint="eastAsia" w:ascii="宋体" w:hAnsi="宋体" w:cs="宋体"/>
          <w:b w:val="0"/>
          <w:bCs w:val="0"/>
          <w:color w:val="000000" w:themeColor="text1"/>
          <w:highlight w:val="none"/>
          <w14:textFill>
            <w14:solidFill>
              <w14:schemeClr w14:val="tx1"/>
            </w14:solidFill>
          </w14:textFill>
        </w:rPr>
        <w:t>工作的基本原则</w:t>
      </w:r>
    </w:p>
    <w:p w14:paraId="0EBFF468">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26.1 认真贯彻国家有关法律、法规、维护国家利益。</w:t>
      </w:r>
    </w:p>
    <w:p w14:paraId="02E2D1EE">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26.2 保护</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各方的各项合法利益。</w:t>
      </w:r>
    </w:p>
    <w:p w14:paraId="10EC39E1">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26.3 客观、公正地对待所有</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，对所有</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的磋商响应文件，均采用相同的程序和标准。</w:t>
      </w:r>
    </w:p>
    <w:p w14:paraId="7C34E307">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26.4根据竞争性磋商文件规定的评审程序、评审方法和评审标准进行独立评审。</w:t>
      </w:r>
    </w:p>
    <w:p w14:paraId="222B7481">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26.5竞争性磋商文件是</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的依据。</w:t>
      </w:r>
    </w:p>
    <w:p w14:paraId="4B5F0057">
      <w:pPr>
        <w:widowControl w:val="0"/>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27</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废标和磋商响应文件的符合性评审</w:t>
      </w:r>
    </w:p>
    <w:p w14:paraId="68431886">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根据《 中华人民共和国政府采购法》 第三十六条规定及《</w:t>
      </w:r>
      <w:r>
        <w:rPr>
          <w:rFonts w:ascii="宋体" w:hAnsi="宋体" w:cs="宋体"/>
          <w:b w:val="0"/>
          <w:bCs w:val="0"/>
          <w:color w:val="000000" w:themeColor="text1"/>
          <w:highlight w:val="none"/>
          <w14:textFill>
            <w14:solidFill>
              <w14:schemeClr w14:val="tx1"/>
            </w14:solidFill>
          </w14:textFill>
        </w:rPr>
        <w:t>中华人民共和国政府采购法实施条例</w:t>
      </w:r>
      <w:r>
        <w:rPr>
          <w:rFonts w:hint="eastAsia" w:ascii="宋体" w:hAnsi="宋体" w:cs="宋体"/>
          <w:b w:val="0"/>
          <w:bCs w:val="0"/>
          <w:color w:val="000000" w:themeColor="text1"/>
          <w:highlight w:val="none"/>
          <w14:textFill>
            <w14:solidFill>
              <w14:schemeClr w14:val="tx1"/>
            </w14:solidFill>
          </w14:textFill>
        </w:rPr>
        <w:t>》第三十三条规定，出现下列情形之一的应予作废标处理：</w:t>
      </w:r>
    </w:p>
    <w:p w14:paraId="70CEEAA0">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（一）符合专业条件的供应商或者对</w:t>
      </w:r>
      <w:r>
        <w:rPr>
          <w:rFonts w:hint="eastAsia" w:ascii="宋体" w:hAnsi="宋体" w:cs="宋体"/>
          <w:b w:val="0"/>
          <w:bCs w:val="0"/>
          <w:color w:val="000000" w:themeColor="text1"/>
          <w:highlight w:val="none"/>
          <w:lang w:eastAsia="zh-CN"/>
          <w14:textFill>
            <w14:solidFill>
              <w14:schemeClr w14:val="tx1"/>
            </w14:solidFill>
          </w14:textFill>
        </w:rPr>
        <w:t>采购人</w:t>
      </w:r>
      <w:r>
        <w:rPr>
          <w:rFonts w:ascii="宋体" w:hAnsi="宋体" w:cs="宋体"/>
          <w:b w:val="0"/>
          <w:bCs w:val="0"/>
          <w:color w:val="000000" w:themeColor="text1"/>
          <w:highlight w:val="none"/>
          <w14:textFill>
            <w14:solidFill>
              <w14:schemeClr w14:val="tx1"/>
            </w14:solidFill>
          </w14:textFill>
        </w:rPr>
        <w:t>文件作实质响应的供应商不足三家的；</w:t>
      </w:r>
    </w:p>
    <w:p w14:paraId="756856C4">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（二）出现影响采购公正的违法、违规行为的；</w:t>
      </w:r>
    </w:p>
    <w:p w14:paraId="6F9D0864">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（三）</w:t>
      </w:r>
      <w:r>
        <w:rPr>
          <w:rFonts w:hint="eastAsia" w:ascii="宋体" w:hAnsi="宋体" w:cs="宋体"/>
          <w:b w:val="0"/>
          <w:bCs w:val="0"/>
          <w:color w:val="000000" w:themeColor="text1"/>
          <w:highlight w:val="none"/>
          <w:lang w:eastAsia="zh-CN"/>
          <w14:textFill>
            <w14:solidFill>
              <w14:schemeClr w14:val="tx1"/>
            </w14:solidFill>
          </w14:textFill>
        </w:rPr>
        <w:t>供应商</w:t>
      </w:r>
      <w:r>
        <w:rPr>
          <w:rFonts w:ascii="宋体" w:hAnsi="宋体" w:cs="宋体"/>
          <w:b w:val="0"/>
          <w:bCs w:val="0"/>
          <w:color w:val="000000" w:themeColor="text1"/>
          <w:highlight w:val="none"/>
          <w14:textFill>
            <w14:solidFill>
              <w14:schemeClr w14:val="tx1"/>
            </w14:solidFill>
          </w14:textFill>
        </w:rPr>
        <w:t>的报价均超过了采购预算，采购人不能支付的；</w:t>
      </w:r>
    </w:p>
    <w:p w14:paraId="329A3ECD">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ascii="宋体" w:hAnsi="宋体" w:cs="宋体"/>
          <w:b w:val="0"/>
          <w:bCs w:val="0"/>
          <w:color w:val="000000" w:themeColor="text1"/>
          <w:highlight w:val="none"/>
          <w14:textFill>
            <w14:solidFill>
              <w14:schemeClr w14:val="tx1"/>
            </w14:solidFill>
          </w14:textFill>
        </w:rPr>
        <w:t>（四）因重大变故，采购任务取消的。</w:t>
      </w:r>
    </w:p>
    <w:p w14:paraId="22DFF065">
      <w:pPr>
        <w:pStyle w:val="21"/>
        <w:spacing w:line="360" w:lineRule="auto"/>
        <w:ind w:firstLine="480" w:firstLineChars="200"/>
        <w:rPr>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14:textFill>
            <w14:solidFill>
              <w14:schemeClr w14:val="tx1"/>
            </w14:solidFill>
          </w14:textFill>
        </w:rPr>
        <w:t>（五）</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采购人</w:t>
      </w:r>
      <w:r>
        <w:rPr>
          <w:rFonts w:ascii="宋体" w:hAnsi="宋体" w:cs="宋体"/>
          <w:b w:val="0"/>
          <w:bCs w:val="0"/>
          <w:color w:val="000000" w:themeColor="text1"/>
          <w:kern w:val="0"/>
          <w:sz w:val="24"/>
          <w:szCs w:val="24"/>
          <w:highlight w:val="none"/>
          <w:lang w:val="en-US"/>
          <w14:textFill>
            <w14:solidFill>
              <w14:schemeClr w14:val="tx1"/>
            </w14:solidFill>
          </w14:textFill>
        </w:rPr>
        <w:t>文件要求</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供应商</w:t>
      </w:r>
      <w:r>
        <w:rPr>
          <w:rFonts w:ascii="宋体" w:hAnsi="宋体" w:cs="宋体"/>
          <w:b w:val="0"/>
          <w:bCs w:val="0"/>
          <w:color w:val="000000" w:themeColor="text1"/>
          <w:kern w:val="0"/>
          <w:sz w:val="24"/>
          <w:szCs w:val="24"/>
          <w:highlight w:val="none"/>
          <w:lang w:val="en-US"/>
          <w14:textFill>
            <w14:solidFill>
              <w14:schemeClr w14:val="tx1"/>
            </w14:solidFill>
          </w14:textFill>
        </w:rPr>
        <w:t>提交</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磋商</w:t>
      </w:r>
      <w:r>
        <w:rPr>
          <w:rFonts w:ascii="宋体" w:hAnsi="宋体" w:cs="宋体"/>
          <w:b w:val="0"/>
          <w:bCs w:val="0"/>
          <w:color w:val="000000" w:themeColor="text1"/>
          <w:kern w:val="0"/>
          <w:sz w:val="24"/>
          <w:szCs w:val="24"/>
          <w:highlight w:val="none"/>
          <w:lang w:val="en-US"/>
          <w14:textFill>
            <w14:solidFill>
              <w14:schemeClr w14:val="tx1"/>
            </w14:solidFill>
          </w14:textFill>
        </w:rPr>
        <w:t>保证金的，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磋商</w:t>
      </w:r>
      <w:r>
        <w:rPr>
          <w:rFonts w:ascii="宋体" w:hAnsi="宋体" w:cs="宋体"/>
          <w:b w:val="0"/>
          <w:bCs w:val="0"/>
          <w:color w:val="000000" w:themeColor="text1"/>
          <w:kern w:val="0"/>
          <w:sz w:val="24"/>
          <w:szCs w:val="24"/>
          <w:highlight w:val="none"/>
          <w:lang w:val="en-US"/>
          <w14:textFill>
            <w14:solidFill>
              <w14:schemeClr w14:val="tx1"/>
            </w14:solidFill>
          </w14:textFill>
        </w:rPr>
        <w:t>保证金不得超过采购项目预算金额的2%。</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磋商</w:t>
      </w:r>
      <w:r>
        <w:rPr>
          <w:rFonts w:ascii="宋体" w:hAnsi="宋体" w:cs="宋体"/>
          <w:b w:val="0"/>
          <w:bCs w:val="0"/>
          <w:color w:val="000000" w:themeColor="text1"/>
          <w:kern w:val="0"/>
          <w:sz w:val="24"/>
          <w:szCs w:val="24"/>
          <w:highlight w:val="none"/>
          <w:lang w:val="en-US"/>
          <w14:textFill>
            <w14:solidFill>
              <w14:schemeClr w14:val="tx1"/>
            </w14:solidFill>
          </w14:textFill>
        </w:rPr>
        <w:t>保证金应当以支票、汇票、本票或者金融机构、担保机构出具的保函等非现金形式提交。</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供应商</w:t>
      </w:r>
      <w:r>
        <w:rPr>
          <w:rFonts w:ascii="宋体" w:hAnsi="宋体" w:cs="宋体"/>
          <w:b w:val="0"/>
          <w:bCs w:val="0"/>
          <w:color w:val="000000" w:themeColor="text1"/>
          <w:kern w:val="0"/>
          <w:sz w:val="24"/>
          <w:szCs w:val="24"/>
          <w:highlight w:val="none"/>
          <w:lang w:val="en-US"/>
          <w14:textFill>
            <w14:solidFill>
              <w14:schemeClr w14:val="tx1"/>
            </w14:solidFill>
          </w14:textFill>
        </w:rPr>
        <w:t>未按照</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采购人</w:t>
      </w:r>
      <w:r>
        <w:rPr>
          <w:rFonts w:ascii="宋体" w:hAnsi="宋体" w:cs="宋体"/>
          <w:b w:val="0"/>
          <w:bCs w:val="0"/>
          <w:color w:val="000000" w:themeColor="text1"/>
          <w:kern w:val="0"/>
          <w:sz w:val="24"/>
          <w:szCs w:val="24"/>
          <w:highlight w:val="none"/>
          <w:lang w:val="en-US"/>
          <w14:textFill>
            <w14:solidFill>
              <w14:schemeClr w14:val="tx1"/>
            </w14:solidFill>
          </w14:textFill>
        </w:rPr>
        <w:t>文件要求提交</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磋商</w:t>
      </w:r>
      <w:r>
        <w:rPr>
          <w:rFonts w:ascii="宋体" w:hAnsi="宋体" w:cs="宋体"/>
          <w:b w:val="0"/>
          <w:bCs w:val="0"/>
          <w:color w:val="000000" w:themeColor="text1"/>
          <w:kern w:val="0"/>
          <w:sz w:val="24"/>
          <w:szCs w:val="24"/>
          <w:highlight w:val="none"/>
          <w:lang w:val="en-US"/>
          <w14:textFill>
            <w14:solidFill>
              <w14:schemeClr w14:val="tx1"/>
            </w14:solidFill>
          </w14:textFill>
        </w:rPr>
        <w:t>保证金的，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其响应文件</w:t>
      </w:r>
      <w:r>
        <w:rPr>
          <w:rFonts w:ascii="宋体" w:hAnsi="宋体" w:cs="宋体"/>
          <w:b w:val="0"/>
          <w:bCs w:val="0"/>
          <w:color w:val="000000" w:themeColor="text1"/>
          <w:kern w:val="0"/>
          <w:sz w:val="24"/>
          <w:szCs w:val="24"/>
          <w:highlight w:val="none"/>
          <w:lang w:val="en-US"/>
          <w14:textFill>
            <w14:solidFill>
              <w14:schemeClr w14:val="tx1"/>
            </w14:solidFill>
          </w14:textFill>
        </w:rPr>
        <w:t>无效。</w:t>
      </w:r>
    </w:p>
    <w:p w14:paraId="2B32CB95">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根据《政府采购货物和服务</w:t>
      </w:r>
      <w:r>
        <w:rPr>
          <w:rFonts w:hint="eastAsia" w:ascii="宋体" w:hAnsi="宋体" w:cs="宋体"/>
          <w:b w:val="0"/>
          <w:bCs w:val="0"/>
          <w:color w:val="000000" w:themeColor="text1"/>
          <w:highlight w:val="none"/>
          <w:lang w:eastAsia="zh-CN"/>
          <w14:textFill>
            <w14:solidFill>
              <w14:schemeClr w14:val="tx1"/>
            </w14:solidFill>
          </w14:textFill>
        </w:rPr>
        <w:t>采购人磋商</w:t>
      </w:r>
      <w:r>
        <w:rPr>
          <w:rFonts w:hint="eastAsia" w:ascii="宋体" w:hAnsi="宋体" w:cs="宋体"/>
          <w:b w:val="0"/>
          <w:bCs w:val="0"/>
          <w:color w:val="000000" w:themeColor="text1"/>
          <w:highlight w:val="none"/>
          <w14:textFill>
            <w14:solidFill>
              <w14:schemeClr w14:val="tx1"/>
            </w14:solidFill>
          </w14:textFill>
        </w:rPr>
        <w:t>管理办法》磋商响应文件有下列情形之一的，采人、采购代理机构将拒绝受理：</w:t>
      </w:r>
    </w:p>
    <w:p w14:paraId="546DAF44">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（一）逾期送达的</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lang w:val="en-US" w:eastAsia="zh-CN"/>
          <w14:textFill>
            <w14:solidFill>
              <w14:schemeClr w14:val="tx1"/>
            </w14:solidFill>
          </w14:textFill>
        </w:rPr>
        <w:t>响应</w:t>
      </w:r>
      <w:r>
        <w:rPr>
          <w:rFonts w:hint="eastAsia" w:ascii="宋体" w:hAnsi="宋体" w:cs="宋体"/>
          <w:b w:val="0"/>
          <w:bCs w:val="0"/>
          <w:color w:val="000000" w:themeColor="text1"/>
          <w:highlight w:val="none"/>
          <w14:textFill>
            <w14:solidFill>
              <w14:schemeClr w14:val="tx1"/>
            </w14:solidFill>
          </w14:textFill>
        </w:rPr>
        <w:t>文件；（电子</w:t>
      </w:r>
      <w:r>
        <w:rPr>
          <w:rFonts w:hint="eastAsia" w:ascii="宋体" w:hAnsi="宋体" w:cs="宋体"/>
          <w:b w:val="0"/>
          <w:bCs w:val="0"/>
          <w:color w:val="000000" w:themeColor="text1"/>
          <w:highlight w:val="none"/>
          <w:lang w:eastAsia="zh-CN"/>
          <w14:textFill>
            <w14:solidFill>
              <w14:schemeClr w14:val="tx1"/>
            </w14:solidFill>
          </w14:textFill>
        </w:rPr>
        <w:t>磋商响</w:t>
      </w:r>
      <w:r>
        <w:rPr>
          <w:rFonts w:hint="eastAsia" w:ascii="宋体" w:hAnsi="宋体" w:cs="宋体"/>
          <w:b w:val="0"/>
          <w:bCs w:val="0"/>
          <w:color w:val="000000" w:themeColor="text1"/>
          <w:highlight w:val="none"/>
          <w:lang w:val="en-US" w:eastAsia="zh-CN"/>
          <w14:textFill>
            <w14:solidFill>
              <w14:schemeClr w14:val="tx1"/>
            </w14:solidFill>
          </w14:textFill>
        </w:rPr>
        <w:t>应</w:t>
      </w:r>
      <w:r>
        <w:rPr>
          <w:rFonts w:hint="eastAsia" w:ascii="宋体" w:hAnsi="宋体" w:cs="宋体"/>
          <w:b w:val="0"/>
          <w:bCs w:val="0"/>
          <w:color w:val="000000" w:themeColor="text1"/>
          <w:highlight w:val="none"/>
          <w14:textFill>
            <w14:solidFill>
              <w14:schemeClr w14:val="tx1"/>
            </w14:solidFill>
          </w14:textFill>
        </w:rPr>
        <w:t>文件在递交截止时间前未上传至指定平台）</w:t>
      </w:r>
    </w:p>
    <w:p w14:paraId="6AB905C5">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（二）</w:t>
      </w:r>
      <w:r>
        <w:rPr>
          <w:rFonts w:hint="eastAsia" w:ascii="宋体" w:hAnsi="宋体" w:cs="宋体"/>
          <w:b w:val="0"/>
          <w:bCs w:val="0"/>
          <w:color w:val="000000" w:themeColor="text1"/>
          <w:highlight w:val="none"/>
          <w:shd w:val="clear" w:color="auto" w:fill="FFFFFF"/>
          <w14:textFill>
            <w14:solidFill>
              <w14:schemeClr w14:val="tx1"/>
            </w14:solidFill>
          </w14:textFill>
        </w:rPr>
        <w:t>未按照</w:t>
      </w:r>
      <w:r>
        <w:rPr>
          <w:rFonts w:hint="eastAsia" w:ascii="宋体" w:hAnsi="宋体" w:cs="宋体"/>
          <w:b w:val="0"/>
          <w:bCs w:val="0"/>
          <w:color w:val="000000" w:themeColor="text1"/>
          <w:highlight w:val="none"/>
          <w:shd w:val="clear" w:color="auto" w:fill="FFFFFF"/>
          <w:lang w:eastAsia="zh-CN"/>
          <w14:textFill>
            <w14:solidFill>
              <w14:schemeClr w14:val="tx1"/>
            </w14:solidFill>
          </w14:textFill>
        </w:rPr>
        <w:t>采购人</w:t>
      </w:r>
      <w:r>
        <w:rPr>
          <w:rFonts w:hint="eastAsia" w:ascii="宋体" w:hAnsi="宋体" w:cs="宋体"/>
          <w:b w:val="0"/>
          <w:bCs w:val="0"/>
          <w:color w:val="000000" w:themeColor="text1"/>
          <w:highlight w:val="none"/>
          <w:shd w:val="clear" w:color="auto" w:fill="FFFFFF"/>
          <w14:textFill>
            <w14:solidFill>
              <w14:schemeClr w14:val="tx1"/>
            </w14:solidFill>
          </w14:textFill>
        </w:rPr>
        <w:t>文件要求密封的</w:t>
      </w:r>
      <w:r>
        <w:rPr>
          <w:rFonts w:hint="eastAsia" w:ascii="宋体" w:hAnsi="宋体" w:cs="宋体"/>
          <w:b w:val="0"/>
          <w:bCs w:val="0"/>
          <w:color w:val="000000" w:themeColor="text1"/>
          <w:highlight w:val="none"/>
          <w:shd w:val="clear" w:color="auto" w:fill="FFFFFF"/>
          <w:lang w:eastAsia="zh-CN"/>
          <w14:textFill>
            <w14:solidFill>
              <w14:schemeClr w14:val="tx1"/>
            </w14:solidFill>
          </w14:textFill>
        </w:rPr>
        <w:t>磋商</w:t>
      </w:r>
      <w:r>
        <w:rPr>
          <w:rFonts w:hint="eastAsia" w:ascii="宋体" w:hAnsi="宋体" w:cs="宋体"/>
          <w:b w:val="0"/>
          <w:bCs w:val="0"/>
          <w:color w:val="000000" w:themeColor="text1"/>
          <w:highlight w:val="none"/>
          <w:shd w:val="clear" w:color="auto" w:fill="FFFFFF"/>
          <w:lang w:val="en-US" w:eastAsia="zh-CN"/>
          <w14:textFill>
            <w14:solidFill>
              <w14:schemeClr w14:val="tx1"/>
            </w14:solidFill>
          </w14:textFill>
        </w:rPr>
        <w:t>响应</w:t>
      </w:r>
      <w:r>
        <w:rPr>
          <w:rFonts w:hint="eastAsia" w:ascii="宋体" w:hAnsi="宋体" w:cs="宋体"/>
          <w:b w:val="0"/>
          <w:bCs w:val="0"/>
          <w:color w:val="000000" w:themeColor="text1"/>
          <w:highlight w:val="none"/>
          <w:shd w:val="clear" w:color="auto" w:fill="FFFFFF"/>
          <w14:textFill>
            <w14:solidFill>
              <w14:schemeClr w14:val="tx1"/>
            </w14:solidFill>
          </w14:textFill>
        </w:rPr>
        <w:t>文件；（电子</w:t>
      </w:r>
      <w:r>
        <w:rPr>
          <w:rFonts w:hint="eastAsia" w:ascii="宋体" w:hAnsi="宋体" w:cs="宋体"/>
          <w:b w:val="0"/>
          <w:bCs w:val="0"/>
          <w:color w:val="000000" w:themeColor="text1"/>
          <w:highlight w:val="none"/>
          <w:shd w:val="clear" w:color="auto" w:fill="FFFFFF"/>
          <w:lang w:eastAsia="zh-CN"/>
          <w14:textFill>
            <w14:solidFill>
              <w14:schemeClr w14:val="tx1"/>
            </w14:solidFill>
          </w14:textFill>
        </w:rPr>
        <w:t>磋商</w:t>
      </w:r>
      <w:r>
        <w:rPr>
          <w:rFonts w:hint="eastAsia" w:ascii="宋体" w:hAnsi="宋体" w:cs="宋体"/>
          <w:b w:val="0"/>
          <w:bCs w:val="0"/>
          <w:color w:val="000000" w:themeColor="text1"/>
          <w:highlight w:val="none"/>
          <w:shd w:val="clear" w:color="auto" w:fill="FFFFFF"/>
          <w:lang w:val="en-US" w:eastAsia="zh-CN"/>
          <w14:textFill>
            <w14:solidFill>
              <w14:schemeClr w14:val="tx1"/>
            </w14:solidFill>
          </w14:textFill>
        </w:rPr>
        <w:t>响应</w:t>
      </w:r>
      <w:r>
        <w:rPr>
          <w:rFonts w:hint="eastAsia" w:ascii="宋体" w:hAnsi="宋体" w:cs="宋体"/>
          <w:b w:val="0"/>
          <w:bCs w:val="0"/>
          <w:color w:val="000000" w:themeColor="text1"/>
          <w:highlight w:val="none"/>
          <w:shd w:val="clear" w:color="auto" w:fill="FFFFFF"/>
          <w14:textFill>
            <w14:solidFill>
              <w14:schemeClr w14:val="tx1"/>
            </w14:solidFill>
          </w14:textFill>
        </w:rPr>
        <w:t>文件未按要求进行加密）</w:t>
      </w:r>
    </w:p>
    <w:p w14:paraId="7A3C06B8">
      <w:pPr>
        <w:widowControl w:val="0"/>
        <w:tabs>
          <w:tab w:val="left" w:pos="0"/>
        </w:tabs>
        <w:snapToGrid w:val="0"/>
        <w:spacing w:line="360" w:lineRule="auto"/>
        <w:ind w:firstLine="480" w:firstLineChars="200"/>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磋商响应文件有下列情形之一的，由</w:t>
      </w:r>
      <w:r>
        <w:rPr>
          <w:rFonts w:hint="eastAsia" w:ascii="宋体" w:hAnsi="宋体" w:cs="宋体"/>
          <w:b w:val="0"/>
          <w:bCs w:val="0"/>
          <w:color w:val="000000" w:themeColor="text1"/>
          <w:highlight w:val="none"/>
          <w:lang w:eastAsia="zh-CN"/>
          <w14:textFill>
            <w14:solidFill>
              <w14:schemeClr w14:val="tx1"/>
            </w14:solidFill>
          </w14:textFill>
        </w:rPr>
        <w:t>磋商小组</w:t>
      </w:r>
      <w:r>
        <w:rPr>
          <w:rFonts w:hint="eastAsia" w:ascii="宋体" w:hAnsi="宋体" w:cs="宋体"/>
          <w:b w:val="0"/>
          <w:bCs w:val="0"/>
          <w:color w:val="000000" w:themeColor="text1"/>
          <w:highlight w:val="none"/>
          <w14:textFill>
            <w14:solidFill>
              <w14:schemeClr w14:val="tx1"/>
            </w14:solidFill>
          </w14:textFill>
        </w:rPr>
        <w:t>初审后按无效</w:t>
      </w:r>
      <w:r>
        <w:rPr>
          <w:rFonts w:hint="eastAsia" w:ascii="宋体" w:hAnsi="宋体" w:cs="宋体"/>
          <w:b w:val="0"/>
          <w:bCs w:val="0"/>
          <w:color w:val="000000" w:themeColor="text1"/>
          <w:highlight w:val="none"/>
          <w:lang w:val="en-US" w:eastAsia="zh-CN"/>
          <w14:textFill>
            <w14:solidFill>
              <w14:schemeClr w14:val="tx1"/>
            </w14:solidFill>
          </w14:textFill>
        </w:rPr>
        <w:t>响应</w:t>
      </w:r>
      <w:r>
        <w:rPr>
          <w:rFonts w:hint="eastAsia" w:ascii="宋体" w:hAnsi="宋体" w:cs="宋体"/>
          <w:b w:val="0"/>
          <w:bCs w:val="0"/>
          <w:color w:val="000000" w:themeColor="text1"/>
          <w:highlight w:val="none"/>
          <w14:textFill>
            <w14:solidFill>
              <w14:schemeClr w14:val="tx1"/>
            </w14:solidFill>
          </w14:textFill>
        </w:rPr>
        <w:t>文件处理</w:t>
      </w:r>
      <w:r>
        <w:rPr>
          <w:rFonts w:hint="eastAsia" w:ascii="宋体" w:hAnsi="宋体" w:cs="宋体"/>
          <w:b w:val="0"/>
          <w:bCs w:val="0"/>
          <w:color w:val="000000" w:themeColor="text1"/>
          <w:highlight w:val="none"/>
          <w:lang w:eastAsia="zh-CN"/>
          <w14:textFill>
            <w14:solidFill>
              <w14:schemeClr w14:val="tx1"/>
            </w14:solidFill>
          </w14:textFill>
        </w:rPr>
        <w:t>：</w:t>
      </w:r>
    </w:p>
    <w:p w14:paraId="4A413E2A">
      <w:pPr>
        <w:widowControl w:val="0"/>
        <w:tabs>
          <w:tab w:val="left" w:pos="0"/>
        </w:tabs>
        <w:snapToGrid w:val="0"/>
        <w:spacing w:line="360" w:lineRule="auto"/>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（一）</w:t>
      </w:r>
      <w:r>
        <w:rPr>
          <w:rFonts w:hint="eastAsia" w:ascii="宋体" w:hAnsi="宋体" w:cs="宋体"/>
          <w:b w:val="0"/>
          <w:bCs w:val="0"/>
          <w:color w:val="000000" w:themeColor="text1"/>
          <w:highlight w:val="none"/>
          <w:lang w:eastAsia="zh-CN"/>
          <w14:textFill>
            <w14:solidFill>
              <w14:schemeClr w14:val="tx1"/>
            </w14:solidFill>
          </w14:textFill>
        </w:rPr>
        <w:t>供应商</w:t>
      </w:r>
      <w:r>
        <w:rPr>
          <w:rFonts w:hint="eastAsia" w:ascii="宋体" w:hAnsi="宋体" w:cs="宋体"/>
          <w:b w:val="0"/>
          <w:bCs w:val="0"/>
          <w:color w:val="000000" w:themeColor="text1"/>
          <w:highlight w:val="none"/>
          <w14:textFill>
            <w14:solidFill>
              <w14:schemeClr w14:val="tx1"/>
            </w14:solidFill>
          </w14:textFill>
        </w:rPr>
        <w:t>未按竞争性磋商文件规定签字盖章的；</w:t>
      </w:r>
    </w:p>
    <w:p w14:paraId="28EB56B6">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（二）无法定代表人资格证明书或法定代表人出具的授权委托书的；</w:t>
      </w:r>
    </w:p>
    <w:p w14:paraId="28C9216D">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（三）未按规定的格式填写，内容不全或关键字迹模糊、无法辨认的；</w:t>
      </w:r>
    </w:p>
    <w:p w14:paraId="62629123">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资格条件不符合国家有关规定或者竞争性磋商文件要求的；或未按竞争性磋商文件要求提供全部资格证明文件的；</w:t>
      </w:r>
    </w:p>
    <w:p w14:paraId="5D567605">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有效期不满足竞争性磋商文件要求的；</w:t>
      </w:r>
    </w:p>
    <w:p w14:paraId="5D762593">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（六）未按竞争性磋商文件要求提交</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保证金或提交金额不足的；</w:t>
      </w:r>
    </w:p>
    <w:p w14:paraId="07388589">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拒不按照要求对</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文件进行澄清、说明或者补正的；</w:t>
      </w:r>
    </w:p>
    <w:p w14:paraId="0453FDFD">
      <w:pPr>
        <w:widowControl w:val="0"/>
        <w:tabs>
          <w:tab w:val="left" w:pos="0"/>
        </w:tabs>
        <w:snapToGrid w:val="0"/>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（八）与竞争性磋商文件有重大偏离的磋商响应文件将被拒绝。重大偏离系指</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服务的质量要求、技术标准、完成时限、服务期限及服务承诺等不能满足竞争性磋商文件的要求</w:t>
      </w:r>
      <w:r>
        <w:rPr>
          <w:rFonts w:hint="eastAsia" w:ascii="宋体" w:hAnsi="宋体" w:cs="宋体"/>
          <w:color w:val="000000" w:themeColor="text1"/>
          <w:highlight w:val="none"/>
          <w:lang w:eastAsia="zh-CN"/>
          <w14:textFill>
            <w14:solidFill>
              <w14:schemeClr w14:val="tx1"/>
            </w14:solidFill>
          </w14:textFill>
        </w:rPr>
        <w:t>；</w:t>
      </w:r>
    </w:p>
    <w:p w14:paraId="3BBAB6FB">
      <w:pPr>
        <w:widowControl w:val="0"/>
        <w:tabs>
          <w:tab w:val="left" w:pos="0"/>
        </w:tabs>
        <w:snapToGrid w:val="0"/>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（九）</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未对竞争性磋商文件作出实质性响应的</w:t>
      </w:r>
      <w:r>
        <w:rPr>
          <w:rFonts w:hint="eastAsia" w:ascii="宋体" w:hAnsi="宋体" w:cs="宋体"/>
          <w:color w:val="000000" w:themeColor="text1"/>
          <w:highlight w:val="none"/>
          <w:lang w:eastAsia="zh-CN"/>
          <w14:textFill>
            <w14:solidFill>
              <w14:schemeClr w14:val="tx1"/>
            </w14:solidFill>
          </w14:textFill>
        </w:rPr>
        <w:t>；</w:t>
      </w:r>
    </w:p>
    <w:p w14:paraId="1D612657">
      <w:pPr>
        <w:widowControl w:val="0"/>
        <w:tabs>
          <w:tab w:val="left" w:pos="0"/>
        </w:tabs>
        <w:snapToGrid w:val="0"/>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（十）</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报价高于采购</w:t>
      </w:r>
      <w:r>
        <w:rPr>
          <w:rFonts w:hint="eastAsia" w:ascii="宋体" w:hAnsi="宋体" w:cs="宋体"/>
          <w:color w:val="000000" w:themeColor="text1"/>
          <w:highlight w:val="none"/>
          <w:lang w:val="en-US" w:eastAsia="zh-CN"/>
          <w14:textFill>
            <w14:solidFill>
              <w14:schemeClr w14:val="tx1"/>
            </w14:solidFill>
          </w14:textFill>
        </w:rPr>
        <w:t>控制价</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w:t>
      </w:r>
    </w:p>
    <w:p w14:paraId="7D5BB233">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（十一）竞争性磋商文件规定的其他无效</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情形。</w:t>
      </w:r>
    </w:p>
    <w:p w14:paraId="7A1CFD1C">
      <w:pPr>
        <w:widowControl w:val="0"/>
        <w:tabs>
          <w:tab w:val="left" w:pos="0"/>
        </w:tabs>
        <w:snapToGrid w:val="0"/>
        <w:spacing w:line="360" w:lineRule="auto"/>
        <w:ind w:firstLine="48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如</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提交的</w:t>
      </w: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lang w:val="en-US" w:eastAsia="zh-CN"/>
          <w14:textFill>
            <w14:solidFill>
              <w14:schemeClr w14:val="tx1"/>
            </w14:solidFill>
          </w14:textFill>
        </w:rPr>
        <w:t>响应</w:t>
      </w:r>
      <w:r>
        <w:rPr>
          <w:rFonts w:hint="eastAsia" w:ascii="宋体" w:hAnsi="宋体" w:cs="宋体"/>
          <w:b/>
          <w:bCs/>
          <w:color w:val="000000" w:themeColor="text1"/>
          <w:highlight w:val="none"/>
          <w14:textFill>
            <w14:solidFill>
              <w14:schemeClr w14:val="tx1"/>
            </w14:solidFill>
          </w14:textFill>
        </w:rPr>
        <w:t>文件不足3家时或磋商响应文件的初步评审后有效</w:t>
      </w: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lang w:val="en-US" w:eastAsia="zh-CN"/>
          <w14:textFill>
            <w14:solidFill>
              <w14:schemeClr w14:val="tx1"/>
            </w14:solidFill>
          </w14:textFill>
        </w:rPr>
        <w:t>响应</w:t>
      </w:r>
      <w:r>
        <w:rPr>
          <w:rFonts w:hint="eastAsia" w:ascii="宋体" w:hAnsi="宋体" w:cs="宋体"/>
          <w:b/>
          <w:bCs/>
          <w:color w:val="000000" w:themeColor="text1"/>
          <w:highlight w:val="none"/>
          <w14:textFill>
            <w14:solidFill>
              <w14:schemeClr w14:val="tx1"/>
            </w14:solidFill>
          </w14:textFill>
        </w:rPr>
        <w:t>文件少于3家的，采购单位将依法重新组织</w:t>
      </w:r>
      <w:r>
        <w:rPr>
          <w:rFonts w:hint="eastAsia" w:ascii="宋体" w:hAnsi="宋体" w:cs="宋体"/>
          <w:b/>
          <w:bCs/>
          <w:color w:val="000000" w:themeColor="text1"/>
          <w:highlight w:val="none"/>
          <w:lang w:eastAsia="zh-CN"/>
          <w14:textFill>
            <w14:solidFill>
              <w14:schemeClr w14:val="tx1"/>
            </w14:solidFill>
          </w14:textFill>
        </w:rPr>
        <w:t>采购人</w:t>
      </w:r>
      <w:r>
        <w:rPr>
          <w:rFonts w:hint="eastAsia" w:ascii="宋体" w:hAnsi="宋体" w:cs="宋体"/>
          <w:b/>
          <w:bCs/>
          <w:color w:val="000000" w:themeColor="text1"/>
          <w:highlight w:val="none"/>
          <w14:textFill>
            <w14:solidFill>
              <w14:schemeClr w14:val="tx1"/>
            </w14:solidFill>
          </w14:textFill>
        </w:rPr>
        <w:t>。</w:t>
      </w:r>
    </w:p>
    <w:p w14:paraId="44E978F5">
      <w:pPr>
        <w:widowControl w:val="0"/>
        <w:numPr>
          <w:ilvl w:val="0"/>
          <w:numId w:val="0"/>
        </w:numPr>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28.</w:t>
      </w:r>
      <w:r>
        <w:rPr>
          <w:rFonts w:hint="eastAsia" w:ascii="宋体" w:hAnsi="宋体" w:cs="宋体"/>
          <w:b w:val="0"/>
          <w:bCs w:val="0"/>
          <w:color w:val="000000" w:themeColor="text1"/>
          <w:highlight w:val="none"/>
          <w14:textFill>
            <w14:solidFill>
              <w14:schemeClr w14:val="tx1"/>
            </w14:solidFill>
          </w14:textFill>
        </w:rPr>
        <w:t>算术错误的修正</w:t>
      </w:r>
    </w:p>
    <w:p w14:paraId="4246C1DB">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磋商小组将对确定为实质上响应竞争性磋商文件要求的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进行校核，看其是否有计算上或累计上的算术错误，修正错误的原则为：如果磋商响应文件的大写金额和小写金额不一致，以大写金领为准；总价金额与单价汇总金额不一致的，以单价金额计算结果为准；单价金额小数点有明显错位的，应以总价为准，并修正单价：磋商响应文件纸质与电子版不一致的，以电子版为准。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拒绝接受上述修正，其</w:t>
      </w:r>
      <w:r>
        <w:rPr>
          <w:rFonts w:hint="eastAsia" w:ascii="宋体" w:hAnsi="宋体" w:cs="宋体"/>
          <w:color w:val="000000" w:themeColor="text1"/>
          <w:highlight w:val="none"/>
          <w:lang w:val="en-US"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将被拒绝。</w:t>
      </w:r>
    </w:p>
    <w:p w14:paraId="3377B602">
      <w:pPr>
        <w:widowControl w:val="0"/>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29</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磋商响应文件的澄清</w:t>
      </w:r>
    </w:p>
    <w:p w14:paraId="505A6D1D">
      <w:pPr>
        <w:widowControl w:val="0"/>
        <w:tabs>
          <w:tab w:val="left" w:pos="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29.1</w:t>
      </w:r>
      <w:r>
        <w:rPr>
          <w:rFonts w:hint="eastAsia" w:ascii="宋体" w:hAnsi="宋体" w:cs="宋体"/>
          <w:color w:val="000000" w:themeColor="text1"/>
          <w:highlight w:val="none"/>
          <w14:textFill>
            <w14:solidFill>
              <w14:schemeClr w14:val="tx1"/>
            </w14:solidFill>
          </w14:textFill>
        </w:rPr>
        <w:t>磋商小组在对响应文件的有效性、完整性和响应程度进行审查时，可以要求</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的澄清、说明或者更正不得超出响应文件的范围或者改变响应文件的实质性内容。</w:t>
      </w:r>
    </w:p>
    <w:p w14:paraId="74E21E5B">
      <w:pPr>
        <w:widowControl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29.2 磋商小组要求</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澄清、说明或者更正响应文件应当以书面形式作出。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的澄清、说明或者更正应当由法定代表人或其授权代表签字或者加盖公章。由授权代表签字的，应当附法定代表人授权书。</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为自然人的，应当由本人签字并附身份证明。</w:t>
      </w:r>
    </w:p>
    <w:p w14:paraId="6BA8D88E">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30</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磋商响应文件的评审、比较和否决</w:t>
      </w:r>
    </w:p>
    <w:p w14:paraId="140B7F1F">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30.1 磋商小组将按照本须知规定，仅对在实质上响应</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文件要求的磋商响应文件进行评审和比较。</w:t>
      </w:r>
    </w:p>
    <w:p w14:paraId="311AC3E4">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30.2 在评审过程中，</w:t>
      </w:r>
      <w:r>
        <w:rPr>
          <w:rFonts w:hint="eastAsia" w:ascii="宋体" w:hAnsi="宋体" w:cs="宋体"/>
          <w:color w:val="000000" w:themeColor="text1"/>
          <w:highlight w:val="none"/>
          <w:lang w:eastAsia="zh-CN"/>
          <w14:textFill>
            <w14:solidFill>
              <w14:schemeClr w14:val="tx1"/>
            </w14:solidFill>
          </w14:textFill>
        </w:rPr>
        <w:t>磋商小组</w:t>
      </w:r>
      <w:r>
        <w:rPr>
          <w:rFonts w:hint="eastAsia" w:ascii="宋体" w:hAnsi="宋体" w:cs="宋体"/>
          <w:color w:val="000000" w:themeColor="text1"/>
          <w:highlight w:val="none"/>
          <w14:textFill>
            <w14:solidFill>
              <w14:schemeClr w14:val="tx1"/>
            </w14:solidFill>
          </w14:textFill>
        </w:rPr>
        <w:t>可以以书面形式要求参与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文件中含义不明确的内容进行书面说明并提供相关材料。</w:t>
      </w:r>
    </w:p>
    <w:p w14:paraId="1E733B45">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30.3 磋商小组依据本须知规定的</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标准和方法，对</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文件进行评审和比较，向采购单位提出书面推荐意见。采购单位根据磋商小组提出的书面推荐意见和推荐的</w:t>
      </w:r>
      <w:r>
        <w:rPr>
          <w:rFonts w:hint="eastAsia" w:ascii="宋体" w:hAnsi="宋体" w:cs="宋体"/>
          <w:color w:val="000000" w:themeColor="text1"/>
          <w:highlight w:val="none"/>
          <w:lang w:eastAsia="zh-CN"/>
          <w14:textFill>
            <w14:solidFill>
              <w14:schemeClr w14:val="tx1"/>
            </w14:solidFill>
          </w14:textFill>
        </w:rPr>
        <w:t>成交候选人</w:t>
      </w:r>
      <w:r>
        <w:rPr>
          <w:rFonts w:hint="eastAsia" w:ascii="宋体" w:hAnsi="宋体" w:cs="宋体"/>
          <w:color w:val="000000" w:themeColor="text1"/>
          <w:highlight w:val="none"/>
          <w14:textFill>
            <w14:solidFill>
              <w14:schemeClr w14:val="tx1"/>
            </w14:solidFill>
          </w14:textFill>
        </w:rPr>
        <w:t>名单，确定</w:t>
      </w: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单位。</w:t>
      </w:r>
    </w:p>
    <w:p w14:paraId="5FAAC52E">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31</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评审</w:t>
      </w:r>
      <w:r>
        <w:rPr>
          <w:rFonts w:hint="eastAsia" w:ascii="宋体" w:hAnsi="宋体" w:cs="宋体"/>
          <w:b w:val="0"/>
          <w:bCs w:val="0"/>
          <w:color w:val="000000" w:themeColor="text1"/>
          <w:highlight w:val="none"/>
          <w14:textFill>
            <w14:solidFill>
              <w14:schemeClr w14:val="tx1"/>
            </w14:solidFill>
          </w14:textFill>
        </w:rPr>
        <w:t>方法和标准</w:t>
      </w:r>
    </w:p>
    <w:p w14:paraId="52A699F9">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 综合评分法：</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办法详见第三章。</w:t>
      </w:r>
    </w:p>
    <w:p w14:paraId="1E2CB655">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31.2磋商小组根据竞争性磋商文件规定的评分标准对各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进行打分，最后按照得分高低顺序推荐前三名为</w:t>
      </w:r>
      <w:r>
        <w:rPr>
          <w:rFonts w:hint="eastAsia" w:ascii="宋体" w:hAnsi="宋体" w:cs="宋体"/>
          <w:color w:val="000000" w:themeColor="text1"/>
          <w:highlight w:val="none"/>
          <w:lang w:eastAsia="zh-CN"/>
          <w14:textFill>
            <w14:solidFill>
              <w14:schemeClr w14:val="tx1"/>
            </w14:solidFill>
          </w14:textFill>
        </w:rPr>
        <w:t>成交候选人</w:t>
      </w:r>
      <w:r>
        <w:rPr>
          <w:rFonts w:hint="eastAsia" w:ascii="宋体" w:hAnsi="宋体" w:cs="宋体"/>
          <w:color w:val="000000" w:themeColor="text1"/>
          <w:highlight w:val="none"/>
          <w14:textFill>
            <w14:solidFill>
              <w14:schemeClr w14:val="tx1"/>
            </w14:solidFill>
          </w14:textFill>
        </w:rPr>
        <w:t>。若出现最高分并列时，推荐价格较低的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为第一</w:t>
      </w:r>
      <w:r>
        <w:rPr>
          <w:rFonts w:hint="eastAsia" w:ascii="宋体" w:hAnsi="宋体" w:cs="宋体"/>
          <w:color w:val="000000" w:themeColor="text1"/>
          <w:highlight w:val="none"/>
          <w:lang w:eastAsia="zh-CN"/>
          <w14:textFill>
            <w14:solidFill>
              <w14:schemeClr w14:val="tx1"/>
            </w14:solidFill>
          </w14:textFill>
        </w:rPr>
        <w:t>成交候选人</w:t>
      </w:r>
      <w:r>
        <w:rPr>
          <w:rFonts w:hint="eastAsia" w:ascii="宋体" w:hAnsi="宋体" w:cs="宋体"/>
          <w:color w:val="000000" w:themeColor="text1"/>
          <w:highlight w:val="none"/>
          <w14:textFill>
            <w14:solidFill>
              <w14:schemeClr w14:val="tx1"/>
            </w14:solidFill>
          </w14:textFill>
        </w:rPr>
        <w:t>，依次类推。评审得分且最后报价相同的，按照技术指标优劣顺序推荐。</w:t>
      </w:r>
    </w:p>
    <w:p w14:paraId="3C5FEC8E">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32</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lang w:eastAsia="zh-CN"/>
          <w14:textFill>
            <w14:solidFill>
              <w14:schemeClr w14:val="tx1"/>
            </w14:solidFill>
          </w14:textFill>
        </w:rPr>
        <w:t>磋商</w:t>
      </w:r>
      <w:r>
        <w:rPr>
          <w:rFonts w:hint="eastAsia" w:ascii="宋体" w:hAnsi="宋体" w:cs="宋体"/>
          <w:b w:val="0"/>
          <w:bCs w:val="0"/>
          <w:color w:val="000000" w:themeColor="text1"/>
          <w:highlight w:val="none"/>
          <w14:textFill>
            <w14:solidFill>
              <w14:schemeClr w14:val="tx1"/>
            </w14:solidFill>
          </w14:textFill>
        </w:rPr>
        <w:t>过程的保密性</w:t>
      </w:r>
    </w:p>
    <w:p w14:paraId="331C724D">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 有关</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文件的审查、澄清、评估和比较以及有关授予合同意向的一切情况都不得透露给任一</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或与上述</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工作无关的人员。</w:t>
      </w:r>
    </w:p>
    <w:p w14:paraId="2CF7EB31">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32.2 </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不得干扰采购单位的</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活动，否则</w:t>
      </w:r>
      <w:r>
        <w:rPr>
          <w:rFonts w:hint="eastAsia" w:ascii="宋体" w:hAnsi="宋体" w:cs="宋体"/>
          <w:color w:val="000000" w:themeColor="text1"/>
          <w:highlight w:val="none"/>
          <w:lang w:val="en-US" w:eastAsia="zh-CN"/>
          <w14:textFill>
            <w14:solidFill>
              <w14:schemeClr w14:val="tx1"/>
            </w14:solidFill>
          </w14:textFill>
        </w:rPr>
        <w:t>其响应文件</w:t>
      </w:r>
      <w:r>
        <w:rPr>
          <w:rFonts w:hint="eastAsia" w:ascii="宋体" w:hAnsi="宋体" w:cs="宋体"/>
          <w:color w:val="000000" w:themeColor="text1"/>
          <w:highlight w:val="none"/>
          <w14:textFill>
            <w14:solidFill>
              <w14:schemeClr w14:val="tx1"/>
            </w14:solidFill>
          </w14:textFill>
        </w:rPr>
        <w:t>将被拒绝。</w:t>
      </w:r>
    </w:p>
    <w:p w14:paraId="1A97E823">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32.3 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过程中，如果</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试图在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文件审查、澄清、比较及授予合同方面向采购单位施加任何影响</w:t>
      </w:r>
      <w:r>
        <w:rPr>
          <w:rFonts w:hint="eastAsia" w:ascii="宋体" w:hAnsi="宋体" w:cs="宋体"/>
          <w:color w:val="000000" w:themeColor="text1"/>
          <w:highlight w:val="none"/>
          <w:lang w:val="en-US" w:eastAsia="zh-CN"/>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，其</w:t>
      </w:r>
      <w:r>
        <w:rPr>
          <w:rFonts w:hint="eastAsia" w:ascii="宋体" w:hAnsi="宋体" w:cs="宋体"/>
          <w:color w:val="000000" w:themeColor="text1"/>
          <w:highlight w:val="none"/>
          <w:lang w:val="en-US"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将被拒绝。</w:t>
      </w:r>
    </w:p>
    <w:p w14:paraId="210DD1D5">
      <w:pPr>
        <w:widowControl w:val="0"/>
        <w:numPr>
          <w:ilvl w:val="0"/>
          <w:numId w:val="0"/>
        </w:numPr>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33.</w:t>
      </w:r>
      <w:r>
        <w:rPr>
          <w:rFonts w:hint="eastAsia" w:ascii="宋体" w:hAnsi="宋体" w:cs="宋体"/>
          <w:b w:val="0"/>
          <w:bCs w:val="0"/>
          <w:color w:val="000000" w:themeColor="text1"/>
          <w:highlight w:val="none"/>
          <w:lang w:eastAsia="zh-CN"/>
          <w14:textFill>
            <w14:solidFill>
              <w14:schemeClr w14:val="tx1"/>
            </w14:solidFill>
          </w14:textFill>
        </w:rPr>
        <w:t>成交</w:t>
      </w:r>
      <w:r>
        <w:rPr>
          <w:rFonts w:hint="eastAsia" w:ascii="宋体" w:hAnsi="宋体" w:cs="宋体"/>
          <w:b w:val="0"/>
          <w:bCs w:val="0"/>
          <w:color w:val="000000" w:themeColor="text1"/>
          <w:highlight w:val="none"/>
          <w14:textFill>
            <w14:solidFill>
              <w14:schemeClr w14:val="tx1"/>
            </w14:solidFill>
          </w14:textFill>
        </w:rPr>
        <w:t>通知书</w:t>
      </w:r>
    </w:p>
    <w:p w14:paraId="6BD08C2A">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33.1 </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结束确定</w:t>
      </w: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单位后，</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将在云南省政府采购网公示</w:t>
      </w: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结果，公示期为</w:t>
      </w:r>
      <w:r>
        <w:rPr>
          <w:rFonts w:hint="eastAsia" w:ascii="宋体" w:hAnsi="宋体" w:cs="宋体"/>
          <w:color w:val="000000" w:themeColor="text1"/>
          <w:highlight w:val="none"/>
          <w:u w:val="singl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个工作日。公示期满后，采购单位将在</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有效期内以书面形式向</w:t>
      </w:r>
      <w:r>
        <w:rPr>
          <w:rFonts w:hint="eastAsia" w:ascii="宋体" w:hAnsi="宋体" w:cs="宋体"/>
          <w:color w:val="000000" w:themeColor="text1"/>
          <w:highlight w:val="none"/>
          <w:lang w:eastAsia="zh-CN"/>
          <w14:textFill>
            <w14:solidFill>
              <w14:schemeClr w14:val="tx1"/>
            </w14:solidFill>
          </w14:textFill>
        </w:rPr>
        <w:t>成交人</w:t>
      </w:r>
      <w:r>
        <w:rPr>
          <w:rFonts w:hint="eastAsia" w:ascii="宋体" w:hAnsi="宋体" w:cs="宋体"/>
          <w:color w:val="000000" w:themeColor="text1"/>
          <w:highlight w:val="none"/>
          <w14:textFill>
            <w14:solidFill>
              <w14:schemeClr w14:val="tx1"/>
            </w14:solidFill>
          </w14:textFill>
        </w:rPr>
        <w:t>发出成交通知书。</w:t>
      </w:r>
    </w:p>
    <w:p w14:paraId="4F247DD1">
      <w:pPr>
        <w:widowControl w:val="0"/>
        <w:snapToGrid w:val="0"/>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33.2 采购单位无须向落标方解释落标原因，不退还</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w:t>
      </w:r>
    </w:p>
    <w:p w14:paraId="50799D9A">
      <w:pPr>
        <w:widowControl w:val="0"/>
        <w:snapToGrid w:val="0"/>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33.3《成交通知书》将作为合同的一个组成部分。</w:t>
      </w:r>
    </w:p>
    <w:p w14:paraId="439EDFAC">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34</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签订合同</w:t>
      </w:r>
    </w:p>
    <w:p w14:paraId="11B66430">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34.1</w:t>
      </w:r>
      <w:r>
        <w:rPr>
          <w:rFonts w:hint="eastAsia" w:ascii="宋体" w:hAnsi="宋体" w:cs="宋体"/>
          <w:color w:val="000000" w:themeColor="text1"/>
          <w:highlight w:val="none"/>
          <w:lang w:eastAsia="zh-CN"/>
          <w14:textFill>
            <w14:solidFill>
              <w14:schemeClr w14:val="tx1"/>
            </w14:solidFill>
          </w14:textFill>
        </w:rPr>
        <w:t>成交人</w:t>
      </w:r>
      <w:r>
        <w:rPr>
          <w:rFonts w:hint="eastAsia" w:ascii="宋体" w:hAnsi="宋体" w:cs="宋体"/>
          <w:color w:val="000000" w:themeColor="text1"/>
          <w:highlight w:val="none"/>
          <w14:textFill>
            <w14:solidFill>
              <w14:schemeClr w14:val="tx1"/>
            </w14:solidFill>
          </w14:textFill>
        </w:rPr>
        <w:t>按《成交通知书》指定的时间、地点与采购单位进行合同谈判并签订合同。</w:t>
      </w:r>
    </w:p>
    <w:p w14:paraId="4032F42E">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34.2 竞争性磋商文件、</w:t>
      </w:r>
      <w:r>
        <w:rPr>
          <w:rFonts w:hint="eastAsia" w:ascii="宋体" w:hAnsi="宋体" w:cs="宋体"/>
          <w:color w:val="000000" w:themeColor="text1"/>
          <w:highlight w:val="none"/>
          <w:lang w:eastAsia="zh-CN"/>
          <w14:textFill>
            <w14:solidFill>
              <w14:schemeClr w14:val="tx1"/>
            </w14:solidFill>
          </w14:textFill>
        </w:rPr>
        <w:t>成交人</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文件及其澄清文件等均为合同的组成部分。</w:t>
      </w:r>
    </w:p>
    <w:p w14:paraId="72044BAF">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34.3 在合同中应注明</w:t>
      </w: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供</w:t>
      </w:r>
      <w:r>
        <w:rPr>
          <w:rFonts w:hint="eastAsia" w:ascii="宋体" w:hAnsi="宋体" w:cs="宋体"/>
          <w:color w:val="000000" w:themeColor="text1"/>
          <w:highlight w:val="none"/>
          <w:lang w:val="en-US" w:eastAsia="zh-CN"/>
          <w14:textFill>
            <w14:solidFill>
              <w14:schemeClr w14:val="tx1"/>
            </w14:solidFill>
          </w14:textFill>
        </w:rPr>
        <w:t>应</w:t>
      </w:r>
      <w:r>
        <w:rPr>
          <w:rFonts w:hint="eastAsia" w:ascii="宋体" w:hAnsi="宋体" w:cs="宋体"/>
          <w:color w:val="000000" w:themeColor="text1"/>
          <w:highlight w:val="none"/>
          <w14:textFill>
            <w14:solidFill>
              <w14:schemeClr w14:val="tx1"/>
            </w14:solidFill>
          </w14:textFill>
        </w:rPr>
        <w:t>商的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报价应是竞争性磋商文件中提到的所有费用（包括意外伤害险）及应注明在合同实施过程中由于</w:t>
      </w:r>
      <w:r>
        <w:rPr>
          <w:rFonts w:hint="eastAsia" w:ascii="宋体" w:hAnsi="宋体" w:cs="宋体"/>
          <w:color w:val="000000" w:themeColor="text1"/>
          <w:highlight w:val="none"/>
          <w:lang w:eastAsia="zh-CN"/>
          <w14:textFill>
            <w14:solidFill>
              <w14:schemeClr w14:val="tx1"/>
            </w14:solidFill>
          </w14:textFill>
        </w:rPr>
        <w:t>成交</w:t>
      </w:r>
      <w:r>
        <w:rPr>
          <w:rFonts w:hint="eastAsia" w:ascii="宋体" w:hAnsi="宋体" w:cs="宋体"/>
          <w:color w:val="000000" w:themeColor="text1"/>
          <w:highlight w:val="none"/>
          <w14:textFill>
            <w14:solidFill>
              <w14:schemeClr w14:val="tx1"/>
            </w14:solidFill>
          </w14:textFill>
        </w:rPr>
        <w:t>人的原因发生的安全事故均由</w:t>
      </w:r>
      <w:r>
        <w:rPr>
          <w:rFonts w:hint="eastAsia" w:ascii="宋体" w:hAnsi="宋体" w:cs="宋体"/>
          <w:color w:val="000000" w:themeColor="text1"/>
          <w:highlight w:val="none"/>
          <w:lang w:eastAsia="zh-CN"/>
          <w14:textFill>
            <w14:solidFill>
              <w14:schemeClr w14:val="tx1"/>
            </w14:solidFill>
          </w14:textFill>
        </w:rPr>
        <w:t>成交人</w:t>
      </w:r>
      <w:r>
        <w:rPr>
          <w:rFonts w:hint="eastAsia" w:ascii="宋体" w:hAnsi="宋体" w:cs="宋体"/>
          <w:color w:val="000000" w:themeColor="text1"/>
          <w:highlight w:val="none"/>
          <w14:textFill>
            <w14:solidFill>
              <w14:schemeClr w14:val="tx1"/>
            </w14:solidFill>
          </w14:textFill>
        </w:rPr>
        <w:t>自行承担。</w:t>
      </w:r>
    </w:p>
    <w:p w14:paraId="3A902305">
      <w:pPr>
        <w:widowControl w:val="0"/>
        <w:snapToGrid w:val="0"/>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34.4</w:t>
      </w:r>
      <w:r>
        <w:rPr>
          <w:rFonts w:hint="eastAsia" w:ascii="宋体" w:hAnsi="宋体"/>
          <w:color w:val="000000" w:themeColor="text1"/>
          <w:szCs w:val="21"/>
          <w:highlight w:val="none"/>
          <w14:textFill>
            <w14:solidFill>
              <w14:schemeClr w14:val="tx1"/>
            </w14:solidFill>
          </w14:textFill>
        </w:rPr>
        <w:t>成交供应商拒绝签订政府采购合同的，采购人可以按照《政府采购竞争性磋商采购方式管理暂行办法》规定的原则确定其他供应商作为成交供应商并签订政府采购合同，也可以重新开展采购活动。拒绝签订政府采购合同的成交供应商不得参加对该项目重新开展的采购活动。</w:t>
      </w:r>
      <w:r>
        <w:rPr>
          <w:rFonts w:hint="eastAsia" w:ascii="宋体" w:hAnsi="宋体" w:cs="宋体"/>
          <w:color w:val="000000" w:themeColor="text1"/>
          <w:highlight w:val="none"/>
          <w14:textFill>
            <w14:solidFill>
              <w14:schemeClr w14:val="tx1"/>
            </w14:solidFill>
          </w14:textFill>
        </w:rPr>
        <w:t xml:space="preserve"> </w:t>
      </w:r>
    </w:p>
    <w:p w14:paraId="4383D27F">
      <w:pPr>
        <w:widowControl w:val="0"/>
        <w:snapToGrid w:val="0"/>
        <w:spacing w:line="360" w:lineRule="auto"/>
        <w:rPr>
          <w:rFonts w:ascii="宋体" w:hAnsi="宋体" w:cs="宋体"/>
          <w:b w:val="0"/>
          <w:bCs w:val="0"/>
          <w:color w:val="000000" w:themeColor="text1"/>
          <w:highlight w:val="none"/>
          <w14:textFill>
            <w14:solidFill>
              <w14:schemeClr w14:val="tx1"/>
            </w14:solidFill>
          </w14:textFill>
        </w:rPr>
      </w:pPr>
      <w:bookmarkStart w:id="57" w:name="_Toc508009732"/>
      <w:bookmarkStart w:id="58" w:name="_Toc128484658"/>
      <w:bookmarkStart w:id="59" w:name="_Toc329810215"/>
      <w:bookmarkStart w:id="60" w:name="_Toc384279676"/>
      <w:bookmarkStart w:id="61" w:name="_Toc128484589"/>
      <w:bookmarkStart w:id="62" w:name="_Toc508009594"/>
      <w:bookmarkStart w:id="63" w:name="_Toc128473854"/>
      <w:r>
        <w:rPr>
          <w:rFonts w:hint="eastAsia" w:ascii="宋体" w:hAnsi="宋体" w:cs="宋体"/>
          <w:b w:val="0"/>
          <w:bCs w:val="0"/>
          <w:color w:val="000000" w:themeColor="text1"/>
          <w:highlight w:val="none"/>
          <w14:textFill>
            <w14:solidFill>
              <w14:schemeClr w14:val="tx1"/>
            </w14:solidFill>
          </w14:textFill>
        </w:rPr>
        <w:t>35.质疑和投诉</w:t>
      </w:r>
      <w:bookmarkEnd w:id="57"/>
      <w:bookmarkEnd w:id="58"/>
      <w:bookmarkEnd w:id="59"/>
      <w:bookmarkEnd w:id="60"/>
      <w:bookmarkEnd w:id="61"/>
      <w:bookmarkEnd w:id="62"/>
      <w:bookmarkEnd w:id="63"/>
    </w:p>
    <w:p w14:paraId="4273005B">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质疑</w:t>
      </w:r>
    </w:p>
    <w:p w14:paraId="4C929501">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认为</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过程和</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结果使自己的权益受到损害的，应当在知道或者应知其权益受到损害之日起</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个工作日内，以书面形式向</w:t>
      </w:r>
      <w:r>
        <w:rPr>
          <w:rFonts w:hint="eastAsia" w:ascii="宋体" w:hAnsi="宋体"/>
          <w:color w:val="000000" w:themeColor="text1"/>
          <w:szCs w:val="21"/>
          <w:highlight w:val="none"/>
          <w14:textFill>
            <w14:solidFill>
              <w14:schemeClr w14:val="tx1"/>
            </w14:solidFill>
          </w14:textFill>
        </w:rPr>
        <w:t>采购代理机构一次性提出针对同一采购程序环节的质疑</w:t>
      </w:r>
      <w:r>
        <w:rPr>
          <w:rFonts w:ascii="宋体" w:hAnsi="宋体"/>
          <w:color w:val="000000" w:themeColor="text1"/>
          <w:szCs w:val="21"/>
          <w:highlight w:val="none"/>
          <w14:textFill>
            <w14:solidFill>
              <w14:schemeClr w14:val="tx1"/>
            </w14:solidFill>
          </w14:textFill>
        </w:rPr>
        <w:t>。质疑内容不得含有虚假、恶意成分。当事人对自己提出的主张，有责任提供证据，提出质疑时</w:t>
      </w:r>
      <w:r>
        <w:rPr>
          <w:rFonts w:hint="eastAsia" w:ascii="宋体" w:hAnsi="宋体"/>
          <w:color w:val="000000" w:themeColor="text1"/>
          <w:szCs w:val="21"/>
          <w:highlight w:val="none"/>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同时提交相关证据材料和注明事实的确切来源。</w:t>
      </w:r>
    </w:p>
    <w:p w14:paraId="6809A85A">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.2供应商应知其权益受到损害之日，是指：</w:t>
      </w:r>
    </w:p>
    <w:p w14:paraId="19D95A6B">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（1）对可以质疑的采购文件提出质疑的，为供应商获取采购文件之日；</w:t>
      </w:r>
    </w:p>
    <w:p w14:paraId="1D6791F1">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（2）对采购过程提出质疑的，为各采购程序环节结束之日；</w:t>
      </w:r>
    </w:p>
    <w:p w14:paraId="01270822">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（3）对成交结果提出质疑的，为成交结果公告期限届满之日。</w:t>
      </w:r>
    </w:p>
    <w:p w14:paraId="071DB590">
      <w:pPr>
        <w:tabs>
          <w:tab w:val="left" w:pos="1070"/>
        </w:tabs>
        <w:spacing w:line="360" w:lineRule="auto"/>
        <w:ind w:firstLine="487" w:firstLineChars="20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35</w:t>
      </w: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供应商提出质疑应符合中华人民共和国财政部第94号令《政府采购质疑和投诉办法》的规定。提出质疑应当提交质疑函和必要的证明材料。质疑函应当包括下列内容：</w:t>
      </w:r>
    </w:p>
    <w:p w14:paraId="656ABCF7">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供应商名称、地址、邮编、联系人及联系电话</w:t>
      </w:r>
      <w:r>
        <w:rPr>
          <w:rFonts w:ascii="宋体" w:hAnsi="宋体"/>
          <w:color w:val="000000" w:themeColor="text1"/>
          <w:szCs w:val="21"/>
          <w:highlight w:val="none"/>
          <w14:textFill>
            <w14:solidFill>
              <w14:schemeClr w14:val="tx1"/>
            </w14:solidFill>
          </w14:textFill>
        </w:rPr>
        <w:t>；</w:t>
      </w:r>
    </w:p>
    <w:p w14:paraId="1B7431BF">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质疑项目的名称、编号</w:t>
      </w:r>
      <w:r>
        <w:rPr>
          <w:rFonts w:ascii="宋体" w:hAnsi="宋体"/>
          <w:color w:val="000000" w:themeColor="text1"/>
          <w:szCs w:val="21"/>
          <w:highlight w:val="none"/>
          <w14:textFill>
            <w14:solidFill>
              <w14:schemeClr w14:val="tx1"/>
            </w14:solidFill>
          </w14:textFill>
        </w:rPr>
        <w:t>；</w:t>
      </w:r>
    </w:p>
    <w:p w14:paraId="09D42418">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具体、明确的质疑事项和与质疑事项相关的请求</w:t>
      </w:r>
      <w:r>
        <w:rPr>
          <w:rFonts w:ascii="宋体" w:hAnsi="宋体"/>
          <w:color w:val="000000" w:themeColor="text1"/>
          <w:szCs w:val="21"/>
          <w:highlight w:val="none"/>
          <w14:textFill>
            <w14:solidFill>
              <w14:schemeClr w14:val="tx1"/>
            </w14:solidFill>
          </w14:textFill>
        </w:rPr>
        <w:t>；</w:t>
      </w:r>
    </w:p>
    <w:p w14:paraId="5EA8BDEE">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事实依据</w:t>
      </w:r>
      <w:r>
        <w:rPr>
          <w:rFonts w:ascii="宋体" w:hAnsi="宋体"/>
          <w:color w:val="000000" w:themeColor="text1"/>
          <w:szCs w:val="21"/>
          <w:highlight w:val="none"/>
          <w14:textFill>
            <w14:solidFill>
              <w14:schemeClr w14:val="tx1"/>
            </w14:solidFill>
          </w14:textFill>
        </w:rPr>
        <w:t>；</w:t>
      </w:r>
    </w:p>
    <w:p w14:paraId="24CE338C">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必要的法律依据</w:t>
      </w:r>
      <w:r>
        <w:rPr>
          <w:rFonts w:ascii="宋体" w:hAnsi="宋体"/>
          <w:color w:val="000000" w:themeColor="text1"/>
          <w:szCs w:val="21"/>
          <w:highlight w:val="none"/>
          <w14:textFill>
            <w14:solidFill>
              <w14:schemeClr w14:val="tx1"/>
            </w14:solidFill>
          </w14:textFill>
        </w:rPr>
        <w:t>；</w:t>
      </w:r>
    </w:p>
    <w:p w14:paraId="6F47D40E">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提出质疑的日期</w:t>
      </w:r>
      <w:r>
        <w:rPr>
          <w:rFonts w:ascii="宋体" w:hAnsi="宋体"/>
          <w:color w:val="000000" w:themeColor="text1"/>
          <w:szCs w:val="21"/>
          <w:highlight w:val="none"/>
          <w14:textFill>
            <w14:solidFill>
              <w14:schemeClr w14:val="tx1"/>
            </w14:solidFill>
          </w14:textFill>
        </w:rPr>
        <w:t>。</w:t>
      </w:r>
    </w:p>
    <w:p w14:paraId="30562969">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35.1.4</w:t>
      </w:r>
      <w:r>
        <w:rPr>
          <w:rFonts w:ascii="宋体" w:hAnsi="宋体"/>
          <w:color w:val="000000" w:themeColor="text1"/>
          <w:szCs w:val="21"/>
          <w:highlight w:val="none"/>
          <w14:textFill>
            <w14:solidFill>
              <w14:schemeClr w14:val="tx1"/>
            </w14:solidFill>
          </w14:textFill>
        </w:rPr>
        <w:t>质疑函应当由</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的法定代表人、主要负责人，或者其授权代表签字或者盖章，并加盖公章</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委托代理人进行质疑</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应当提交</w:t>
      </w:r>
      <w:r>
        <w:rPr>
          <w:rFonts w:hint="eastAsia" w:ascii="宋体" w:hAnsi="宋体"/>
          <w:color w:val="000000" w:themeColor="text1"/>
          <w:szCs w:val="21"/>
          <w:highlight w:val="none"/>
          <w:lang w:eastAsia="zh-CN"/>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的授权委托书。授权委托书应当载明代理人的姓名或者名称、代理事项、具体权限、期限和相关事项。</w:t>
      </w:r>
      <w:r>
        <w:rPr>
          <w:rFonts w:hint="eastAsia" w:ascii="宋体" w:hAnsi="宋体"/>
          <w:color w:val="000000" w:themeColor="text1"/>
          <w:szCs w:val="21"/>
          <w:highlight w:val="none"/>
          <w14:textFill>
            <w14:solidFill>
              <w14:schemeClr w14:val="tx1"/>
            </w14:solidFill>
          </w14:textFill>
        </w:rPr>
        <w:t>授权委托书</w:t>
      </w:r>
      <w:r>
        <w:rPr>
          <w:rFonts w:ascii="宋体" w:hAnsi="宋体"/>
          <w:color w:val="000000" w:themeColor="text1"/>
          <w:szCs w:val="21"/>
          <w:highlight w:val="none"/>
          <w14:textFill>
            <w14:solidFill>
              <w14:schemeClr w14:val="tx1"/>
            </w14:solidFill>
          </w14:textFill>
        </w:rPr>
        <w:t>应当由法定代表人、主要负责人签字或者盖章，并加盖公章。</w:t>
      </w:r>
    </w:p>
    <w:p w14:paraId="4137C921">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接收质疑函的方式</w:t>
      </w:r>
      <w:r>
        <w:rPr>
          <w:rFonts w:hint="eastAsia" w:ascii="宋体" w:hAnsi="宋体"/>
          <w:color w:val="000000" w:themeColor="text1"/>
          <w:szCs w:val="21"/>
          <w:highlight w:val="none"/>
          <w14:textFill>
            <w14:solidFill>
              <w14:schemeClr w14:val="tx1"/>
            </w14:solidFill>
          </w14:textFill>
        </w:rPr>
        <w:t>：以书面形式递交</w:t>
      </w:r>
      <w:r>
        <w:rPr>
          <w:rFonts w:ascii="宋体" w:hAnsi="宋体"/>
          <w:color w:val="000000" w:themeColor="text1"/>
          <w:szCs w:val="21"/>
          <w:highlight w:val="none"/>
          <w14:textFill>
            <w14:solidFill>
              <w14:schemeClr w14:val="tx1"/>
            </w14:solidFill>
          </w14:textFill>
        </w:rPr>
        <w:t>由法定代表人、主要负责人签字或者盖章，并加盖公章的质疑函</w:t>
      </w:r>
      <w:r>
        <w:rPr>
          <w:rFonts w:hint="eastAsia" w:ascii="宋体" w:hAnsi="宋体"/>
          <w:color w:val="000000" w:themeColor="text1"/>
          <w:szCs w:val="21"/>
          <w:highlight w:val="none"/>
          <w14:textFill>
            <w14:solidFill>
              <w14:schemeClr w14:val="tx1"/>
            </w14:solidFill>
          </w14:textFill>
        </w:rPr>
        <w:t>原件</w:t>
      </w:r>
      <w:r>
        <w:rPr>
          <w:rFonts w:ascii="宋体" w:hAnsi="宋体"/>
          <w:color w:val="000000" w:themeColor="text1"/>
          <w:szCs w:val="21"/>
          <w:highlight w:val="none"/>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必要的证明材料；邮寄送达的以邮件交邮日期为准。</w:t>
      </w:r>
    </w:p>
    <w:p w14:paraId="015CC3DE">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质疑受理部门：</w:t>
      </w:r>
      <w:r>
        <w:rPr>
          <w:rFonts w:hint="eastAsia" w:ascii="宋体" w:hAnsi="宋体" w:cs="宋体"/>
          <w:color w:val="000000" w:themeColor="text1"/>
          <w:highlight w:val="none"/>
          <w:lang w:eastAsia="zh-CN"/>
          <w14:textFill>
            <w14:solidFill>
              <w14:schemeClr w14:val="tx1"/>
            </w14:solidFill>
          </w14:textFill>
        </w:rPr>
        <w:t>云南彬钥工程管理有限公司</w:t>
      </w:r>
    </w:p>
    <w:p w14:paraId="716907E8">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杨</w:t>
      </w:r>
      <w:r>
        <w:rPr>
          <w:rFonts w:hint="eastAsia" w:ascii="宋体" w:hAnsi="宋体" w:cs="宋体"/>
          <w:color w:val="000000" w:themeColor="text1"/>
          <w:highlight w:val="none"/>
          <w14:textFill>
            <w14:solidFill>
              <w14:schemeClr w14:val="tx1"/>
            </w14:solidFill>
          </w14:textFill>
        </w:rPr>
        <w:t>先生</w:t>
      </w:r>
    </w:p>
    <w:p w14:paraId="15A28496">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13466130555</w:t>
      </w:r>
    </w:p>
    <w:p w14:paraId="26A26CEA">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5采购代理机构将在收到</w:t>
      </w:r>
      <w:r>
        <w:rPr>
          <w:rFonts w:hint="eastAsia" w:ascii="宋体" w:hAnsi="宋体"/>
          <w:color w:val="000000" w:themeColor="text1"/>
          <w:szCs w:val="21"/>
          <w:highlight w:val="none"/>
          <w14:textFill>
            <w14:solidFill>
              <w14:schemeClr w14:val="tx1"/>
            </w14:solidFill>
          </w14:textFill>
        </w:rPr>
        <w:t>供应商</w:t>
      </w:r>
      <w:r>
        <w:rPr>
          <w:rFonts w:ascii="宋体" w:hAnsi="宋体"/>
          <w:color w:val="000000" w:themeColor="text1"/>
          <w:szCs w:val="21"/>
          <w:highlight w:val="none"/>
          <w14:textFill>
            <w14:solidFill>
              <w14:schemeClr w14:val="tx1"/>
            </w14:solidFill>
          </w14:textFill>
        </w:rPr>
        <w:t>的质疑函后</w:t>
      </w: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个工作日内</w:t>
      </w:r>
      <w:r>
        <w:rPr>
          <w:rFonts w:hint="eastAsia" w:ascii="宋体" w:hAnsi="宋体"/>
          <w:color w:val="000000" w:themeColor="text1"/>
          <w:szCs w:val="21"/>
          <w:highlight w:val="none"/>
          <w14:textFill>
            <w14:solidFill>
              <w14:schemeClr w14:val="tx1"/>
            </w14:solidFill>
          </w14:textFill>
        </w:rPr>
        <w:t>作</w:t>
      </w:r>
      <w:r>
        <w:rPr>
          <w:rFonts w:ascii="宋体" w:hAnsi="宋体"/>
          <w:color w:val="000000" w:themeColor="text1"/>
          <w:szCs w:val="21"/>
          <w:highlight w:val="none"/>
          <w14:textFill>
            <w14:solidFill>
              <w14:schemeClr w14:val="tx1"/>
            </w14:solidFill>
          </w14:textFill>
        </w:rPr>
        <w:t>出答复，</w:t>
      </w:r>
      <w:r>
        <w:rPr>
          <w:rFonts w:hint="eastAsia" w:ascii="宋体" w:hAnsi="宋体"/>
          <w:color w:val="000000" w:themeColor="text1"/>
          <w:szCs w:val="21"/>
          <w:highlight w:val="none"/>
          <w14:textFill>
            <w14:solidFill>
              <w14:schemeClr w14:val="tx1"/>
            </w14:solidFill>
          </w14:textFill>
        </w:rPr>
        <w:t>并以书面形式通知质疑供应商和其他有关供应商。</w:t>
      </w:r>
    </w:p>
    <w:p w14:paraId="7922B6AD">
      <w:pPr>
        <w:pStyle w:val="4"/>
        <w:tabs>
          <w:tab w:val="left" w:pos="900"/>
          <w:tab w:val="left" w:pos="1070"/>
        </w:tabs>
        <w:ind w:firstLine="480" w:firstLineChars="200"/>
        <w:rPr>
          <w:rFonts w:ascii="宋体" w:hAnsi="宋体" w:eastAsia="宋体" w:cs="宋体"/>
          <w:bCs w:val="0"/>
          <w:color w:val="000000" w:themeColor="text1"/>
          <w:kern w:val="0"/>
          <w:szCs w:val="24"/>
          <w:highlight w:val="none"/>
          <w:lang w:val="en-US"/>
          <w14:textFill>
            <w14:solidFill>
              <w14:schemeClr w14:val="tx1"/>
            </w14:solidFill>
          </w14:textFill>
        </w:rPr>
      </w:pPr>
      <w:bookmarkStart w:id="64" w:name="_Toc128484659"/>
      <w:bookmarkStart w:id="65" w:name="_Toc321836357"/>
      <w:bookmarkStart w:id="66" w:name="_Toc128473855"/>
      <w:bookmarkStart w:id="67" w:name="_Toc28967"/>
      <w:bookmarkStart w:id="68" w:name="_Toc216"/>
      <w:bookmarkStart w:id="69" w:name="_Toc29797"/>
      <w:bookmarkStart w:id="70" w:name="_Toc128484590"/>
      <w:bookmarkStart w:id="71" w:name="_Toc21483"/>
      <w:r>
        <w:rPr>
          <w:rFonts w:hint="eastAsia" w:ascii="宋体" w:hAnsi="宋体" w:eastAsia="宋体" w:cs="宋体"/>
          <w:bCs w:val="0"/>
          <w:color w:val="000000" w:themeColor="text1"/>
          <w:kern w:val="0"/>
          <w:szCs w:val="24"/>
          <w:highlight w:val="none"/>
          <w:lang w:val="en-US"/>
          <w14:textFill>
            <w14:solidFill>
              <w14:schemeClr w14:val="tx1"/>
            </w14:solidFill>
          </w14:textFill>
        </w:rPr>
        <w:t>35.2投诉</w:t>
      </w:r>
      <w:bookmarkEnd w:id="64"/>
      <w:bookmarkEnd w:id="65"/>
      <w:bookmarkEnd w:id="66"/>
      <w:bookmarkEnd w:id="67"/>
      <w:bookmarkEnd w:id="68"/>
      <w:bookmarkEnd w:id="69"/>
      <w:bookmarkEnd w:id="70"/>
      <w:bookmarkEnd w:id="71"/>
    </w:p>
    <w:p w14:paraId="10EFC998">
      <w:pPr>
        <w:tabs>
          <w:tab w:val="left" w:pos="1070"/>
        </w:tabs>
        <w:spacing w:line="360" w:lineRule="auto"/>
        <w:ind w:firstLine="48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投诉必须首先经过质疑程序。质疑</w:t>
      </w:r>
      <w:r>
        <w:rPr>
          <w:rFonts w:hint="eastAsia" w:ascii="宋体" w:hAnsi="宋体"/>
          <w:color w:val="000000" w:themeColor="text1"/>
          <w:szCs w:val="21"/>
          <w:highlight w:val="none"/>
          <w14:textFill>
            <w14:solidFill>
              <w14:schemeClr w14:val="tx1"/>
            </w14:solidFill>
          </w14:textFill>
        </w:rPr>
        <w:t>人</w:t>
      </w:r>
      <w:r>
        <w:rPr>
          <w:rFonts w:ascii="宋体" w:hAnsi="宋体"/>
          <w:color w:val="000000" w:themeColor="text1"/>
          <w:szCs w:val="21"/>
          <w:highlight w:val="none"/>
          <w14:textFill>
            <w14:solidFill>
              <w14:schemeClr w14:val="tx1"/>
            </w14:solidFill>
          </w14:textFill>
        </w:rPr>
        <w:t>对采购人、采购代理机构的答复不满意，或者采购人、采购代理机构未在规定的时间内做出答复的，可以在答复期满后</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5个工作日内书面向</w:t>
      </w:r>
      <w:r>
        <w:rPr>
          <w:rFonts w:hint="eastAsia" w:ascii="宋体" w:hAnsi="宋体"/>
          <w:color w:val="000000" w:themeColor="text1"/>
          <w:szCs w:val="21"/>
          <w:highlight w:val="none"/>
          <w14:textFill>
            <w14:solidFill>
              <w14:schemeClr w14:val="tx1"/>
            </w14:solidFill>
          </w14:textFill>
        </w:rPr>
        <w:t>同</w:t>
      </w:r>
      <w:r>
        <w:rPr>
          <w:rFonts w:ascii="宋体" w:hAnsi="宋体"/>
          <w:color w:val="000000" w:themeColor="text1"/>
          <w:szCs w:val="21"/>
          <w:highlight w:val="none"/>
          <w14:textFill>
            <w14:solidFill>
              <w14:schemeClr w14:val="tx1"/>
            </w14:solidFill>
          </w14:textFill>
        </w:rPr>
        <w:t>级财政部门</w:t>
      </w:r>
      <w:r>
        <w:rPr>
          <w:rFonts w:hint="eastAsia" w:ascii="宋体" w:hAnsi="宋体"/>
          <w:color w:val="000000" w:themeColor="text1"/>
          <w:szCs w:val="21"/>
          <w:highlight w:val="none"/>
          <w14:textFill>
            <w14:solidFill>
              <w14:schemeClr w14:val="tx1"/>
            </w14:solidFill>
          </w14:textFill>
        </w:rPr>
        <w:t>提出</w:t>
      </w:r>
      <w:r>
        <w:rPr>
          <w:rFonts w:ascii="宋体" w:hAnsi="宋体"/>
          <w:color w:val="000000" w:themeColor="text1"/>
          <w:szCs w:val="21"/>
          <w:highlight w:val="none"/>
          <w14:textFill>
            <w14:solidFill>
              <w14:schemeClr w14:val="tx1"/>
            </w14:solidFill>
          </w14:textFill>
        </w:rPr>
        <w:t>投诉。</w:t>
      </w:r>
    </w:p>
    <w:p w14:paraId="74641522">
      <w:pPr>
        <w:widowControl w:val="0"/>
        <w:tabs>
          <w:tab w:val="left" w:pos="0"/>
        </w:tabs>
        <w:snapToGrid w:val="0"/>
        <w:spacing w:line="360" w:lineRule="auto"/>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36</w:t>
      </w:r>
      <w:r>
        <w:rPr>
          <w:rFonts w:hint="eastAsia" w:ascii="宋体" w:hAnsi="宋体" w:cs="宋体"/>
          <w:b w:val="0"/>
          <w:bCs w:val="0"/>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其他事项</w:t>
      </w:r>
    </w:p>
    <w:p w14:paraId="57298F65">
      <w:pPr>
        <w:widowControl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36.1本竞争性磋商文件是根据《中华人民共和国政府采购法》、《中华人民共和国政府采购法实施条例》、《政府采购货物和服务</w:t>
      </w:r>
      <w:r>
        <w:rPr>
          <w:rFonts w:hint="eastAsia" w:ascii="宋体" w:hAnsi="宋体" w:cs="宋体"/>
          <w:color w:val="000000" w:themeColor="text1"/>
          <w:highlight w:val="none"/>
          <w:lang w:eastAsia="zh-CN"/>
          <w14:textFill>
            <w14:solidFill>
              <w14:schemeClr w14:val="tx1"/>
            </w14:solidFill>
          </w14:textFill>
        </w:rPr>
        <w:t>采购人磋商</w:t>
      </w:r>
      <w:r>
        <w:rPr>
          <w:rFonts w:hint="eastAsia" w:ascii="宋体" w:hAnsi="宋体" w:cs="宋体"/>
          <w:color w:val="000000" w:themeColor="text1"/>
          <w:highlight w:val="none"/>
          <w14:textFill>
            <w14:solidFill>
              <w14:schemeClr w14:val="tx1"/>
            </w14:solidFill>
          </w14:textFill>
        </w:rPr>
        <w:t>管理办法》（中华人民共和国财政部令第87号）、《政府采购质疑和投诉办法》（中华人民共和国财政部令第94号）等有关法律法规编制，解释权属</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w:t>
      </w:r>
    </w:p>
    <w:p w14:paraId="77B66528">
      <w:pPr>
        <w:widowControl w:val="0"/>
        <w:snapToGrid w:val="0"/>
        <w:spacing w:line="300" w:lineRule="auto"/>
        <w:jc w:val="center"/>
        <w:rPr>
          <w:rFonts w:ascii="宋体" w:hAnsi="宋体" w:cs="宋体"/>
          <w:color w:val="000000" w:themeColor="text1"/>
          <w:highlight w:val="none"/>
          <w14:textFill>
            <w14:solidFill>
              <w14:schemeClr w14:val="tx1"/>
            </w14:solidFill>
          </w14:textFill>
        </w:rPr>
      </w:pPr>
    </w:p>
    <w:p w14:paraId="13835F97">
      <w:pPr>
        <w:pStyle w:val="3"/>
        <w:keepLines w:val="0"/>
        <w:pageBreakBefore w:val="0"/>
        <w:widowControl w:val="0"/>
        <w:numPr>
          <w:ilvl w:val="1"/>
          <w:numId w:val="0"/>
        </w:numPr>
        <w:shd w:val="clear"/>
        <w:tabs>
          <w:tab w:val="left" w:pos="596"/>
        </w:tabs>
        <w:kinsoku/>
        <w:wordWrap/>
        <w:topLinePunct w:val="0"/>
        <w:autoSpaceDE/>
        <w:autoSpaceDN/>
        <w:bidi w:val="0"/>
        <w:snapToGrid/>
        <w:spacing w:line="420" w:lineRule="exact"/>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72" w:name="_Toc14084"/>
      <w:bookmarkStart w:id="73" w:name="_Toc10987"/>
      <w:bookmarkStart w:id="74" w:name="_Toc17272"/>
      <w:r>
        <w:rPr>
          <w:rFonts w:hint="eastAsia" w:ascii="宋体" w:hAnsi="宋体" w:eastAsia="宋体" w:cs="宋体"/>
          <w:b/>
          <w:bCs w:val="0"/>
          <w:color w:val="000000" w:themeColor="text1"/>
          <w:sz w:val="24"/>
          <w:szCs w:val="24"/>
          <w:highlight w:val="none"/>
          <w14:textFill>
            <w14:solidFill>
              <w14:schemeClr w14:val="tx1"/>
            </w14:solidFill>
          </w14:textFill>
        </w:rPr>
        <w:t>落实政府采购相关政策内容</w:t>
      </w:r>
      <w:bookmarkEnd w:id="72"/>
      <w:bookmarkEnd w:id="73"/>
      <w:bookmarkEnd w:id="74"/>
    </w:p>
    <w:p w14:paraId="286C4D9B">
      <w:pPr>
        <w:pStyle w:val="30"/>
        <w:keepLines w:val="0"/>
        <w:pageBreakBefore w:val="0"/>
        <w:widowControl w:val="0"/>
        <w:shd w:val="clear"/>
        <w:kinsoku/>
        <w:wordWrap/>
        <w:topLinePunct w:val="0"/>
        <w:autoSpaceDE/>
        <w:autoSpaceDN/>
        <w:bidi w:val="0"/>
        <w:snapToGrid/>
        <w:spacing w:line="420" w:lineRule="exact"/>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扶持中小企业政策</w:t>
      </w:r>
    </w:p>
    <w:p w14:paraId="2AB0ADAC">
      <w:pPr>
        <w:keepNext w:val="0"/>
        <w:keepLines w:val="0"/>
        <w:pageBreakBefore w:val="0"/>
        <w:widowControl w:val="0"/>
        <w:shd w:val="clear"/>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根据“国家统计局关于印发《统计上大中小微型企业划分办法（2017）》的通知”，《政府采购促进中小企业发展管理办法》（财库〔2020〕46 号）的规定。 </w:t>
      </w:r>
    </w:p>
    <w:p w14:paraId="40C098ED">
      <w:pPr>
        <w:keepNext w:val="0"/>
        <w:keepLines w:val="0"/>
        <w:pageBreakBefore w:val="0"/>
        <w:widowControl w:val="0"/>
        <w:shd w:val="clear"/>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符合中小企业划分标准； </w:t>
      </w:r>
    </w:p>
    <w:p w14:paraId="34A3708D">
      <w:pPr>
        <w:keepNext w:val="0"/>
        <w:keepLines w:val="0"/>
        <w:pageBreakBefore w:val="0"/>
        <w:widowControl w:val="0"/>
        <w:shd w:val="clear"/>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提供本企业制造的货物、承担的工程或者服务，或者提供其他中小企业制造的货物。本项所称货物不包括使用大型企业注册商标的货物。 </w:t>
      </w:r>
    </w:p>
    <w:p w14:paraId="55262A49">
      <w:pPr>
        <w:keepNext w:val="0"/>
        <w:keepLines w:val="0"/>
        <w:pageBreakBefore w:val="0"/>
        <w:widowControl w:val="0"/>
        <w:shd w:val="clear"/>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请</w:t>
      </w:r>
      <w:r>
        <w:rPr>
          <w:rFonts w:hint="eastAsia" w:ascii="宋体" w:hAnsi="宋体" w:cs="宋体"/>
          <w:color w:val="000000" w:themeColor="text1"/>
          <w:sz w:val="21"/>
          <w:szCs w:val="21"/>
          <w:highlight w:val="none"/>
          <w:lang w:val="zh-CN"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根据“国家统计局关于印发《统计上大中小微型企业划分办法（2017）》的通知</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政府采购促进中小企业发展管理办法》（财库〔2020〕46 号）的规定，提供《中小企业声明函》，未提供的在价格评分时不进行扣除。</w:t>
      </w:r>
      <w:r>
        <w:rPr>
          <w:rFonts w:hint="eastAsia" w:ascii="宋体" w:hAnsi="宋体" w:cs="宋体"/>
          <w:color w:val="000000" w:themeColor="text1"/>
          <w:sz w:val="21"/>
          <w:szCs w:val="21"/>
          <w:highlight w:val="none"/>
          <w:lang w:val="zh-CN"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对《中小企业声明函》的真实性负责。 </w:t>
      </w:r>
    </w:p>
    <w:p w14:paraId="4C6DB404">
      <w:pPr>
        <w:keepNext w:val="0"/>
        <w:keepLines w:val="0"/>
        <w:pageBreakBefore w:val="0"/>
        <w:widowControl w:val="0"/>
        <w:shd w:val="clear"/>
        <w:kinsoku/>
        <w:wordWrap/>
        <w:overflowPunct/>
        <w:topLinePunct w:val="0"/>
        <w:bidi w:val="0"/>
        <w:adjustRightInd/>
        <w:snapToGrid/>
        <w:spacing w:line="420" w:lineRule="exact"/>
        <w:ind w:firstLine="422" w:firstLineChars="20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统计上大中小微型企业划分标准</w:t>
      </w:r>
    </w:p>
    <w:tbl>
      <w:tblPr>
        <w:tblStyle w:val="51"/>
        <w:tblW w:w="9156" w:type="dxa"/>
        <w:jc w:val="center"/>
        <w:tblLayout w:type="fixed"/>
        <w:tblCellMar>
          <w:top w:w="0" w:type="dxa"/>
          <w:left w:w="108" w:type="dxa"/>
          <w:bottom w:w="0" w:type="dxa"/>
          <w:right w:w="108" w:type="dxa"/>
        </w:tblCellMar>
      </w:tblPr>
      <w:tblGrid>
        <w:gridCol w:w="2046"/>
        <w:gridCol w:w="1341"/>
        <w:gridCol w:w="602"/>
        <w:gridCol w:w="1110"/>
        <w:gridCol w:w="1727"/>
        <w:gridCol w:w="1429"/>
        <w:gridCol w:w="901"/>
      </w:tblGrid>
      <w:tr w14:paraId="414FABD1">
        <w:tblPrEx>
          <w:tblCellMar>
            <w:top w:w="0" w:type="dxa"/>
            <w:left w:w="108" w:type="dxa"/>
            <w:bottom w:w="0" w:type="dxa"/>
            <w:right w:w="108" w:type="dxa"/>
          </w:tblCellMar>
        </w:tblPrEx>
        <w:trPr>
          <w:trHeight w:val="1250" w:hRule="exact"/>
          <w:jc w:val="center"/>
        </w:trPr>
        <w:tc>
          <w:tcPr>
            <w:tcW w:w="2046" w:type="dxa"/>
            <w:tcBorders>
              <w:top w:val="single" w:color="auto" w:sz="4" w:space="0"/>
              <w:left w:val="nil"/>
              <w:bottom w:val="single" w:color="auto" w:sz="4" w:space="0"/>
              <w:right w:val="single" w:color="auto" w:sz="4" w:space="0"/>
            </w:tcBorders>
            <w:noWrap w:val="0"/>
            <w:vAlign w:val="center"/>
          </w:tcPr>
          <w:p w14:paraId="398F5D5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行业名称</w:t>
            </w:r>
          </w:p>
        </w:tc>
        <w:tc>
          <w:tcPr>
            <w:tcW w:w="1341" w:type="dxa"/>
            <w:tcBorders>
              <w:top w:val="single" w:color="auto" w:sz="4" w:space="0"/>
              <w:left w:val="nil"/>
              <w:bottom w:val="single" w:color="auto" w:sz="4" w:space="0"/>
              <w:right w:val="single" w:color="auto" w:sz="4" w:space="0"/>
            </w:tcBorders>
            <w:noWrap w:val="0"/>
            <w:vAlign w:val="center"/>
          </w:tcPr>
          <w:p w14:paraId="1CC2763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指标名称</w:t>
            </w:r>
          </w:p>
        </w:tc>
        <w:tc>
          <w:tcPr>
            <w:tcW w:w="602" w:type="dxa"/>
            <w:tcBorders>
              <w:top w:val="single" w:color="auto" w:sz="4" w:space="0"/>
              <w:left w:val="nil"/>
              <w:bottom w:val="single" w:color="auto" w:sz="4" w:space="0"/>
              <w:right w:val="single" w:color="auto" w:sz="4" w:space="0"/>
            </w:tcBorders>
            <w:noWrap w:val="0"/>
            <w:vAlign w:val="center"/>
          </w:tcPr>
          <w:p w14:paraId="7225650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计量</w:t>
            </w:r>
          </w:p>
          <w:p w14:paraId="36F4A1F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单位</w:t>
            </w:r>
          </w:p>
        </w:tc>
        <w:tc>
          <w:tcPr>
            <w:tcW w:w="1110" w:type="dxa"/>
            <w:tcBorders>
              <w:top w:val="single" w:color="auto" w:sz="4" w:space="0"/>
              <w:left w:val="nil"/>
              <w:bottom w:val="single" w:color="auto" w:sz="4" w:space="0"/>
              <w:right w:val="single" w:color="auto" w:sz="4" w:space="0"/>
            </w:tcBorders>
            <w:noWrap w:val="0"/>
            <w:vAlign w:val="center"/>
          </w:tcPr>
          <w:p w14:paraId="0D585D9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大型</w:t>
            </w:r>
          </w:p>
        </w:tc>
        <w:tc>
          <w:tcPr>
            <w:tcW w:w="1727" w:type="dxa"/>
            <w:tcBorders>
              <w:top w:val="single" w:color="auto" w:sz="4" w:space="0"/>
              <w:left w:val="nil"/>
              <w:bottom w:val="single" w:color="auto" w:sz="4" w:space="0"/>
              <w:right w:val="single" w:color="auto" w:sz="4" w:space="0"/>
            </w:tcBorders>
            <w:noWrap w:val="0"/>
            <w:vAlign w:val="center"/>
          </w:tcPr>
          <w:p w14:paraId="511A7C5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中型</w:t>
            </w:r>
          </w:p>
        </w:tc>
        <w:tc>
          <w:tcPr>
            <w:tcW w:w="1429" w:type="dxa"/>
            <w:tcBorders>
              <w:top w:val="single" w:color="auto" w:sz="4" w:space="0"/>
              <w:left w:val="nil"/>
              <w:bottom w:val="single" w:color="auto" w:sz="4" w:space="0"/>
              <w:right w:val="single" w:color="auto" w:sz="4" w:space="0"/>
            </w:tcBorders>
            <w:noWrap w:val="0"/>
            <w:vAlign w:val="center"/>
          </w:tcPr>
          <w:p w14:paraId="59DB3B3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小型</w:t>
            </w:r>
          </w:p>
        </w:tc>
        <w:tc>
          <w:tcPr>
            <w:tcW w:w="901" w:type="dxa"/>
            <w:tcBorders>
              <w:top w:val="single" w:color="auto" w:sz="4" w:space="0"/>
              <w:left w:val="nil"/>
              <w:bottom w:val="single" w:color="auto" w:sz="4" w:space="0"/>
              <w:right w:val="nil"/>
            </w:tcBorders>
            <w:noWrap w:val="0"/>
            <w:vAlign w:val="center"/>
          </w:tcPr>
          <w:p w14:paraId="144F879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微型</w:t>
            </w:r>
          </w:p>
        </w:tc>
      </w:tr>
      <w:tr w14:paraId="4C3A1A4C">
        <w:tblPrEx>
          <w:tblCellMar>
            <w:top w:w="0" w:type="dxa"/>
            <w:left w:w="108" w:type="dxa"/>
            <w:bottom w:w="0" w:type="dxa"/>
            <w:right w:w="108" w:type="dxa"/>
          </w:tblCellMar>
        </w:tblPrEx>
        <w:trPr>
          <w:trHeight w:val="797" w:hRule="exact"/>
          <w:jc w:val="center"/>
        </w:trPr>
        <w:tc>
          <w:tcPr>
            <w:tcW w:w="2046" w:type="dxa"/>
            <w:tcBorders>
              <w:top w:val="nil"/>
              <w:left w:val="nil"/>
              <w:bottom w:val="single" w:color="auto" w:sz="4" w:space="0"/>
              <w:right w:val="single" w:color="auto" w:sz="4" w:space="0"/>
            </w:tcBorders>
            <w:noWrap w:val="0"/>
            <w:vAlign w:val="center"/>
          </w:tcPr>
          <w:p w14:paraId="69D7599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农、林、牧、渔业</w:t>
            </w:r>
          </w:p>
        </w:tc>
        <w:tc>
          <w:tcPr>
            <w:tcW w:w="1341" w:type="dxa"/>
            <w:tcBorders>
              <w:top w:val="nil"/>
              <w:left w:val="nil"/>
              <w:bottom w:val="single" w:color="auto" w:sz="4" w:space="0"/>
              <w:right w:val="single" w:color="auto" w:sz="4" w:space="0"/>
            </w:tcBorders>
            <w:noWrap w:val="0"/>
            <w:vAlign w:val="center"/>
          </w:tcPr>
          <w:p w14:paraId="7A477CF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388B5FC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49ECFF3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Y≥20000</w:t>
            </w:r>
          </w:p>
        </w:tc>
        <w:tc>
          <w:tcPr>
            <w:tcW w:w="1727" w:type="dxa"/>
            <w:tcBorders>
              <w:top w:val="nil"/>
              <w:left w:val="nil"/>
              <w:bottom w:val="single" w:color="auto" w:sz="4" w:space="0"/>
              <w:right w:val="single" w:color="auto" w:sz="4" w:space="0"/>
            </w:tcBorders>
            <w:noWrap w:val="0"/>
            <w:vAlign w:val="center"/>
          </w:tcPr>
          <w:p w14:paraId="661C526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500≤Y＜20000</w:t>
            </w:r>
          </w:p>
        </w:tc>
        <w:tc>
          <w:tcPr>
            <w:tcW w:w="1429" w:type="dxa"/>
            <w:tcBorders>
              <w:top w:val="nil"/>
              <w:left w:val="nil"/>
              <w:bottom w:val="single" w:color="auto" w:sz="4" w:space="0"/>
              <w:right w:val="single" w:color="auto" w:sz="4" w:space="0"/>
            </w:tcBorders>
            <w:noWrap w:val="0"/>
            <w:vAlign w:val="center"/>
          </w:tcPr>
          <w:p w14:paraId="581BEEB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50≤Y＜500</w:t>
            </w:r>
          </w:p>
        </w:tc>
        <w:tc>
          <w:tcPr>
            <w:tcW w:w="901" w:type="dxa"/>
            <w:tcBorders>
              <w:top w:val="nil"/>
              <w:left w:val="nil"/>
              <w:bottom w:val="single" w:color="auto" w:sz="4" w:space="0"/>
              <w:right w:val="nil"/>
            </w:tcBorders>
            <w:noWrap w:val="0"/>
            <w:vAlign w:val="center"/>
          </w:tcPr>
          <w:p w14:paraId="2D031C9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w:t>
            </w:r>
          </w:p>
        </w:tc>
      </w:tr>
      <w:tr w14:paraId="370D1127">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09FABF9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工业 *</w:t>
            </w:r>
          </w:p>
        </w:tc>
        <w:tc>
          <w:tcPr>
            <w:tcW w:w="1341" w:type="dxa"/>
            <w:tcBorders>
              <w:top w:val="nil"/>
              <w:left w:val="nil"/>
              <w:bottom w:val="nil"/>
              <w:right w:val="single" w:color="auto" w:sz="4" w:space="0"/>
            </w:tcBorders>
            <w:noWrap w:val="0"/>
            <w:vAlign w:val="center"/>
          </w:tcPr>
          <w:p w14:paraId="43EF227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22D2045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079AD76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27" w:type="dxa"/>
            <w:tcBorders>
              <w:top w:val="nil"/>
              <w:left w:val="nil"/>
              <w:bottom w:val="nil"/>
              <w:right w:val="single" w:color="auto" w:sz="4" w:space="0"/>
            </w:tcBorders>
            <w:noWrap w:val="0"/>
            <w:vAlign w:val="center"/>
          </w:tcPr>
          <w:p w14:paraId="2A253D4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429" w:type="dxa"/>
            <w:tcBorders>
              <w:top w:val="nil"/>
              <w:left w:val="nil"/>
              <w:bottom w:val="nil"/>
              <w:right w:val="single" w:color="auto" w:sz="4" w:space="0"/>
            </w:tcBorders>
            <w:noWrap w:val="0"/>
            <w:vAlign w:val="center"/>
          </w:tcPr>
          <w:p w14:paraId="56A80A4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20≤X＜300</w:t>
            </w:r>
          </w:p>
        </w:tc>
        <w:tc>
          <w:tcPr>
            <w:tcW w:w="901" w:type="dxa"/>
            <w:tcBorders>
              <w:top w:val="nil"/>
              <w:left w:val="nil"/>
              <w:bottom w:val="nil"/>
              <w:right w:val="nil"/>
            </w:tcBorders>
            <w:noWrap w:val="0"/>
            <w:vAlign w:val="center"/>
          </w:tcPr>
          <w:p w14:paraId="5E26A1C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0CD0FA80">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5A985A1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2EC55BF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6BB2B9F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7296624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Y≥40000</w:t>
            </w:r>
          </w:p>
        </w:tc>
        <w:tc>
          <w:tcPr>
            <w:tcW w:w="1727" w:type="dxa"/>
            <w:tcBorders>
              <w:top w:val="nil"/>
              <w:left w:val="nil"/>
              <w:bottom w:val="single" w:color="auto" w:sz="4" w:space="0"/>
              <w:right w:val="single" w:color="auto" w:sz="4" w:space="0"/>
            </w:tcBorders>
            <w:noWrap w:val="0"/>
            <w:vAlign w:val="center"/>
          </w:tcPr>
          <w:p w14:paraId="37574A9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2000≤Y＜40000</w:t>
            </w:r>
          </w:p>
        </w:tc>
        <w:tc>
          <w:tcPr>
            <w:tcW w:w="1429" w:type="dxa"/>
            <w:tcBorders>
              <w:top w:val="nil"/>
              <w:left w:val="nil"/>
              <w:bottom w:val="single" w:color="auto" w:sz="4" w:space="0"/>
              <w:right w:val="single" w:color="auto" w:sz="4" w:space="0"/>
            </w:tcBorders>
            <w:noWrap w:val="0"/>
            <w:vAlign w:val="center"/>
          </w:tcPr>
          <w:p w14:paraId="7DAFF9F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300≤Y＜2000</w:t>
            </w:r>
          </w:p>
        </w:tc>
        <w:tc>
          <w:tcPr>
            <w:tcW w:w="901" w:type="dxa"/>
            <w:tcBorders>
              <w:top w:val="nil"/>
              <w:left w:val="nil"/>
              <w:bottom w:val="single" w:color="auto" w:sz="4" w:space="0"/>
              <w:right w:val="nil"/>
            </w:tcBorders>
            <w:noWrap w:val="0"/>
            <w:vAlign w:val="center"/>
          </w:tcPr>
          <w:p w14:paraId="57AE96A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w:t>
            </w:r>
          </w:p>
        </w:tc>
      </w:tr>
      <w:tr w14:paraId="49FB31C8">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7718F1E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建筑业</w:t>
            </w:r>
          </w:p>
        </w:tc>
        <w:tc>
          <w:tcPr>
            <w:tcW w:w="1341" w:type="dxa"/>
            <w:tcBorders>
              <w:top w:val="nil"/>
              <w:left w:val="nil"/>
              <w:bottom w:val="nil"/>
              <w:right w:val="single" w:color="auto" w:sz="4" w:space="0"/>
            </w:tcBorders>
            <w:noWrap w:val="0"/>
            <w:vAlign w:val="center"/>
          </w:tcPr>
          <w:p w14:paraId="334D9BF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nil"/>
              <w:right w:val="single" w:color="auto" w:sz="4" w:space="0"/>
            </w:tcBorders>
            <w:noWrap w:val="0"/>
            <w:vAlign w:val="center"/>
          </w:tcPr>
          <w:p w14:paraId="3538E58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nil"/>
              <w:right w:val="single" w:color="auto" w:sz="4" w:space="0"/>
            </w:tcBorders>
            <w:noWrap w:val="0"/>
            <w:vAlign w:val="center"/>
          </w:tcPr>
          <w:p w14:paraId="6B03F00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Y≥80000</w:t>
            </w:r>
          </w:p>
        </w:tc>
        <w:tc>
          <w:tcPr>
            <w:tcW w:w="1727" w:type="dxa"/>
            <w:tcBorders>
              <w:top w:val="nil"/>
              <w:left w:val="nil"/>
              <w:bottom w:val="nil"/>
              <w:right w:val="single" w:color="auto" w:sz="4" w:space="0"/>
            </w:tcBorders>
            <w:noWrap w:val="0"/>
            <w:vAlign w:val="center"/>
          </w:tcPr>
          <w:p w14:paraId="7CC67C7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6000≤Y＜80000</w:t>
            </w:r>
          </w:p>
        </w:tc>
        <w:tc>
          <w:tcPr>
            <w:tcW w:w="1429" w:type="dxa"/>
            <w:tcBorders>
              <w:top w:val="nil"/>
              <w:left w:val="nil"/>
              <w:bottom w:val="nil"/>
              <w:right w:val="single" w:color="auto" w:sz="4" w:space="0"/>
            </w:tcBorders>
            <w:noWrap w:val="0"/>
            <w:vAlign w:val="center"/>
          </w:tcPr>
          <w:p w14:paraId="358152D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300≤Y＜6000</w:t>
            </w:r>
          </w:p>
        </w:tc>
        <w:tc>
          <w:tcPr>
            <w:tcW w:w="901" w:type="dxa"/>
            <w:tcBorders>
              <w:top w:val="nil"/>
              <w:left w:val="nil"/>
              <w:bottom w:val="nil"/>
              <w:right w:val="nil"/>
            </w:tcBorders>
            <w:noWrap w:val="0"/>
            <w:vAlign w:val="center"/>
          </w:tcPr>
          <w:p w14:paraId="5ACAA3D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w:t>
            </w:r>
          </w:p>
        </w:tc>
      </w:tr>
      <w:tr w14:paraId="1A675861">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282DF66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16D0B75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资产总额</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Z)</w:t>
            </w:r>
          </w:p>
        </w:tc>
        <w:tc>
          <w:tcPr>
            <w:tcW w:w="602" w:type="dxa"/>
            <w:tcBorders>
              <w:top w:val="nil"/>
              <w:left w:val="nil"/>
              <w:bottom w:val="single" w:color="auto" w:sz="4" w:space="0"/>
              <w:right w:val="single" w:color="auto" w:sz="4" w:space="0"/>
            </w:tcBorders>
            <w:noWrap w:val="0"/>
            <w:vAlign w:val="center"/>
          </w:tcPr>
          <w:p w14:paraId="4B80C8F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3AC3913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Z≥80000</w:t>
            </w:r>
          </w:p>
        </w:tc>
        <w:tc>
          <w:tcPr>
            <w:tcW w:w="1727" w:type="dxa"/>
            <w:tcBorders>
              <w:top w:val="nil"/>
              <w:left w:val="nil"/>
              <w:bottom w:val="single" w:color="auto" w:sz="4" w:space="0"/>
              <w:right w:val="single" w:color="auto" w:sz="4" w:space="0"/>
            </w:tcBorders>
            <w:noWrap w:val="0"/>
            <w:vAlign w:val="center"/>
          </w:tcPr>
          <w:p w14:paraId="69C6AA7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5000≤Z＜80000</w:t>
            </w:r>
          </w:p>
        </w:tc>
        <w:tc>
          <w:tcPr>
            <w:tcW w:w="1429" w:type="dxa"/>
            <w:tcBorders>
              <w:top w:val="nil"/>
              <w:left w:val="nil"/>
              <w:bottom w:val="single" w:color="auto" w:sz="4" w:space="0"/>
              <w:right w:val="single" w:color="auto" w:sz="4" w:space="0"/>
            </w:tcBorders>
            <w:noWrap w:val="0"/>
            <w:vAlign w:val="center"/>
          </w:tcPr>
          <w:p w14:paraId="74AACD7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300≤Z＜5000</w:t>
            </w:r>
          </w:p>
        </w:tc>
        <w:tc>
          <w:tcPr>
            <w:tcW w:w="901" w:type="dxa"/>
            <w:tcBorders>
              <w:top w:val="nil"/>
              <w:left w:val="nil"/>
              <w:bottom w:val="single" w:color="auto" w:sz="4" w:space="0"/>
              <w:right w:val="nil"/>
            </w:tcBorders>
            <w:noWrap w:val="0"/>
            <w:vAlign w:val="center"/>
          </w:tcPr>
          <w:p w14:paraId="6EB7F4D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Z＜300</w:t>
            </w:r>
          </w:p>
        </w:tc>
      </w:tr>
      <w:tr w14:paraId="6B4F6208">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66419C9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批发业</w:t>
            </w:r>
          </w:p>
        </w:tc>
        <w:tc>
          <w:tcPr>
            <w:tcW w:w="1341" w:type="dxa"/>
            <w:tcBorders>
              <w:top w:val="nil"/>
              <w:left w:val="nil"/>
              <w:bottom w:val="nil"/>
              <w:right w:val="single" w:color="auto" w:sz="4" w:space="0"/>
            </w:tcBorders>
            <w:noWrap w:val="0"/>
            <w:vAlign w:val="center"/>
          </w:tcPr>
          <w:p w14:paraId="21EF74D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4322056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15B8394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X≥200</w:t>
            </w:r>
          </w:p>
        </w:tc>
        <w:tc>
          <w:tcPr>
            <w:tcW w:w="1727" w:type="dxa"/>
            <w:tcBorders>
              <w:top w:val="nil"/>
              <w:left w:val="nil"/>
              <w:bottom w:val="nil"/>
              <w:right w:val="single" w:color="auto" w:sz="4" w:space="0"/>
            </w:tcBorders>
            <w:noWrap w:val="0"/>
            <w:vAlign w:val="center"/>
          </w:tcPr>
          <w:p w14:paraId="5BDBE65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20≤X＜200</w:t>
            </w:r>
          </w:p>
        </w:tc>
        <w:tc>
          <w:tcPr>
            <w:tcW w:w="1429" w:type="dxa"/>
            <w:tcBorders>
              <w:top w:val="nil"/>
              <w:left w:val="nil"/>
              <w:bottom w:val="nil"/>
              <w:right w:val="single" w:color="auto" w:sz="4" w:space="0"/>
            </w:tcBorders>
            <w:noWrap w:val="0"/>
            <w:vAlign w:val="center"/>
          </w:tcPr>
          <w:p w14:paraId="2933979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5≤X＜20</w:t>
            </w:r>
          </w:p>
        </w:tc>
        <w:tc>
          <w:tcPr>
            <w:tcW w:w="901" w:type="dxa"/>
            <w:tcBorders>
              <w:top w:val="nil"/>
              <w:left w:val="nil"/>
              <w:bottom w:val="nil"/>
              <w:right w:val="nil"/>
            </w:tcBorders>
            <w:noWrap w:val="0"/>
            <w:vAlign w:val="center"/>
          </w:tcPr>
          <w:p w14:paraId="0589E2A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X＜5</w:t>
            </w:r>
          </w:p>
        </w:tc>
      </w:tr>
      <w:tr w14:paraId="0BCD52E9">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1AF5907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442E13A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3453876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50A90BE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Y≥40000</w:t>
            </w:r>
          </w:p>
        </w:tc>
        <w:tc>
          <w:tcPr>
            <w:tcW w:w="1727" w:type="dxa"/>
            <w:tcBorders>
              <w:top w:val="nil"/>
              <w:left w:val="nil"/>
              <w:bottom w:val="single" w:color="auto" w:sz="4" w:space="0"/>
              <w:right w:val="single" w:color="auto" w:sz="4" w:space="0"/>
            </w:tcBorders>
            <w:noWrap w:val="0"/>
            <w:vAlign w:val="center"/>
          </w:tcPr>
          <w:p w14:paraId="5DBFEB4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5000≤Y＜40000</w:t>
            </w:r>
          </w:p>
        </w:tc>
        <w:tc>
          <w:tcPr>
            <w:tcW w:w="1429" w:type="dxa"/>
            <w:tcBorders>
              <w:top w:val="nil"/>
              <w:left w:val="nil"/>
              <w:bottom w:val="single" w:color="auto" w:sz="4" w:space="0"/>
              <w:right w:val="single" w:color="auto" w:sz="4" w:space="0"/>
            </w:tcBorders>
            <w:noWrap w:val="0"/>
            <w:vAlign w:val="center"/>
          </w:tcPr>
          <w:p w14:paraId="3678E88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1000≤Y＜5000</w:t>
            </w:r>
          </w:p>
        </w:tc>
        <w:tc>
          <w:tcPr>
            <w:tcW w:w="901" w:type="dxa"/>
            <w:tcBorders>
              <w:top w:val="nil"/>
              <w:left w:val="nil"/>
              <w:bottom w:val="single" w:color="auto" w:sz="4" w:space="0"/>
              <w:right w:val="nil"/>
            </w:tcBorders>
            <w:noWrap w:val="0"/>
            <w:vAlign w:val="center"/>
          </w:tcPr>
          <w:p w14:paraId="542EE71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w:t>
            </w:r>
          </w:p>
        </w:tc>
      </w:tr>
      <w:tr w14:paraId="37BEAD54">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6057B40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零售业</w:t>
            </w:r>
          </w:p>
        </w:tc>
        <w:tc>
          <w:tcPr>
            <w:tcW w:w="1341" w:type="dxa"/>
            <w:tcBorders>
              <w:top w:val="nil"/>
              <w:left w:val="nil"/>
              <w:bottom w:val="nil"/>
              <w:right w:val="single" w:color="auto" w:sz="4" w:space="0"/>
            </w:tcBorders>
            <w:noWrap w:val="0"/>
            <w:vAlign w:val="center"/>
          </w:tcPr>
          <w:p w14:paraId="68824C0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2D66EF3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2B23776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27" w:type="dxa"/>
            <w:tcBorders>
              <w:top w:val="nil"/>
              <w:left w:val="nil"/>
              <w:bottom w:val="nil"/>
              <w:right w:val="single" w:color="auto" w:sz="4" w:space="0"/>
            </w:tcBorders>
            <w:noWrap w:val="0"/>
            <w:vAlign w:val="center"/>
          </w:tcPr>
          <w:p w14:paraId="0813195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50≤X＜300</w:t>
            </w:r>
          </w:p>
        </w:tc>
        <w:tc>
          <w:tcPr>
            <w:tcW w:w="1429" w:type="dxa"/>
            <w:tcBorders>
              <w:top w:val="nil"/>
              <w:left w:val="nil"/>
              <w:bottom w:val="nil"/>
              <w:right w:val="single" w:color="auto" w:sz="4" w:space="0"/>
            </w:tcBorders>
            <w:noWrap w:val="0"/>
            <w:vAlign w:val="center"/>
          </w:tcPr>
          <w:p w14:paraId="2A931B5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10≤X＜50 </w:t>
            </w:r>
          </w:p>
        </w:tc>
        <w:tc>
          <w:tcPr>
            <w:tcW w:w="901" w:type="dxa"/>
            <w:tcBorders>
              <w:top w:val="nil"/>
              <w:left w:val="nil"/>
              <w:bottom w:val="nil"/>
              <w:right w:val="nil"/>
            </w:tcBorders>
            <w:noWrap w:val="0"/>
            <w:vAlign w:val="center"/>
          </w:tcPr>
          <w:p w14:paraId="3590F13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0543E028">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6EBFC74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6ED62DD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0A2B9C9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65AA63F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Y≥20000</w:t>
            </w:r>
          </w:p>
        </w:tc>
        <w:tc>
          <w:tcPr>
            <w:tcW w:w="1727" w:type="dxa"/>
            <w:tcBorders>
              <w:top w:val="nil"/>
              <w:left w:val="nil"/>
              <w:bottom w:val="single" w:color="auto" w:sz="4" w:space="0"/>
              <w:right w:val="single" w:color="auto" w:sz="4" w:space="0"/>
            </w:tcBorders>
            <w:noWrap w:val="0"/>
            <w:vAlign w:val="center"/>
          </w:tcPr>
          <w:p w14:paraId="3B77AE7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500≤Y＜20000</w:t>
            </w:r>
          </w:p>
        </w:tc>
        <w:tc>
          <w:tcPr>
            <w:tcW w:w="1429" w:type="dxa"/>
            <w:tcBorders>
              <w:top w:val="nil"/>
              <w:left w:val="nil"/>
              <w:bottom w:val="single" w:color="auto" w:sz="4" w:space="0"/>
              <w:right w:val="single" w:color="auto" w:sz="4" w:space="0"/>
            </w:tcBorders>
            <w:noWrap w:val="0"/>
            <w:vAlign w:val="center"/>
          </w:tcPr>
          <w:p w14:paraId="21CF972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100≤Y＜500 </w:t>
            </w:r>
          </w:p>
        </w:tc>
        <w:tc>
          <w:tcPr>
            <w:tcW w:w="901" w:type="dxa"/>
            <w:tcBorders>
              <w:top w:val="nil"/>
              <w:left w:val="nil"/>
              <w:bottom w:val="single" w:color="auto" w:sz="4" w:space="0"/>
              <w:right w:val="nil"/>
            </w:tcBorders>
            <w:noWrap w:val="0"/>
            <w:vAlign w:val="center"/>
          </w:tcPr>
          <w:p w14:paraId="7896E7E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1D248D1E">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492A5BD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交通运输业 *</w:t>
            </w:r>
          </w:p>
        </w:tc>
        <w:tc>
          <w:tcPr>
            <w:tcW w:w="1341" w:type="dxa"/>
            <w:tcBorders>
              <w:top w:val="nil"/>
              <w:left w:val="nil"/>
              <w:bottom w:val="nil"/>
              <w:right w:val="single" w:color="auto" w:sz="4" w:space="0"/>
            </w:tcBorders>
            <w:noWrap w:val="0"/>
            <w:vAlign w:val="center"/>
          </w:tcPr>
          <w:p w14:paraId="04F53A0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19E2340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4F1F54C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27" w:type="dxa"/>
            <w:tcBorders>
              <w:top w:val="nil"/>
              <w:left w:val="nil"/>
              <w:bottom w:val="nil"/>
              <w:right w:val="single" w:color="auto" w:sz="4" w:space="0"/>
            </w:tcBorders>
            <w:noWrap w:val="0"/>
            <w:vAlign w:val="center"/>
          </w:tcPr>
          <w:p w14:paraId="78D3163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429" w:type="dxa"/>
            <w:tcBorders>
              <w:top w:val="nil"/>
              <w:left w:val="nil"/>
              <w:bottom w:val="nil"/>
              <w:right w:val="single" w:color="auto" w:sz="4" w:space="0"/>
            </w:tcBorders>
            <w:noWrap w:val="0"/>
            <w:vAlign w:val="center"/>
          </w:tcPr>
          <w:p w14:paraId="46E1F89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20≤X＜300</w:t>
            </w:r>
          </w:p>
        </w:tc>
        <w:tc>
          <w:tcPr>
            <w:tcW w:w="901" w:type="dxa"/>
            <w:tcBorders>
              <w:top w:val="nil"/>
              <w:left w:val="nil"/>
              <w:bottom w:val="nil"/>
              <w:right w:val="nil"/>
            </w:tcBorders>
            <w:noWrap w:val="0"/>
            <w:vAlign w:val="center"/>
          </w:tcPr>
          <w:p w14:paraId="1D6F701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33E239CB">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183131D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0E7AF87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63D3A04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7884580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Y≥30000</w:t>
            </w:r>
          </w:p>
        </w:tc>
        <w:tc>
          <w:tcPr>
            <w:tcW w:w="1727" w:type="dxa"/>
            <w:tcBorders>
              <w:top w:val="nil"/>
              <w:left w:val="nil"/>
              <w:bottom w:val="single" w:color="auto" w:sz="4" w:space="0"/>
              <w:right w:val="single" w:color="auto" w:sz="4" w:space="0"/>
            </w:tcBorders>
            <w:noWrap w:val="0"/>
            <w:vAlign w:val="center"/>
          </w:tcPr>
          <w:p w14:paraId="7E17DB8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3000≤Y＜30000</w:t>
            </w:r>
          </w:p>
        </w:tc>
        <w:tc>
          <w:tcPr>
            <w:tcW w:w="1429" w:type="dxa"/>
            <w:tcBorders>
              <w:top w:val="nil"/>
              <w:left w:val="nil"/>
              <w:bottom w:val="single" w:color="auto" w:sz="4" w:space="0"/>
              <w:right w:val="single" w:color="auto" w:sz="4" w:space="0"/>
            </w:tcBorders>
            <w:noWrap w:val="0"/>
            <w:vAlign w:val="center"/>
          </w:tcPr>
          <w:p w14:paraId="07F1FB2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200≤Y＜3000</w:t>
            </w:r>
          </w:p>
        </w:tc>
        <w:tc>
          <w:tcPr>
            <w:tcW w:w="901" w:type="dxa"/>
            <w:tcBorders>
              <w:top w:val="nil"/>
              <w:left w:val="nil"/>
              <w:bottom w:val="single" w:color="auto" w:sz="4" w:space="0"/>
              <w:right w:val="nil"/>
            </w:tcBorders>
            <w:noWrap w:val="0"/>
            <w:vAlign w:val="center"/>
          </w:tcPr>
          <w:p w14:paraId="1E97D40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w:t>
            </w:r>
          </w:p>
        </w:tc>
      </w:tr>
      <w:tr w14:paraId="66C7F1CE">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0FA3E72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仓储业*</w:t>
            </w:r>
          </w:p>
        </w:tc>
        <w:tc>
          <w:tcPr>
            <w:tcW w:w="1341" w:type="dxa"/>
            <w:tcBorders>
              <w:top w:val="nil"/>
              <w:left w:val="nil"/>
              <w:bottom w:val="nil"/>
              <w:right w:val="single" w:color="auto" w:sz="4" w:space="0"/>
            </w:tcBorders>
            <w:noWrap w:val="0"/>
            <w:vAlign w:val="center"/>
          </w:tcPr>
          <w:p w14:paraId="46F2E85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13279A0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71D2B40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X≥200</w:t>
            </w:r>
          </w:p>
        </w:tc>
        <w:tc>
          <w:tcPr>
            <w:tcW w:w="1727" w:type="dxa"/>
            <w:tcBorders>
              <w:top w:val="nil"/>
              <w:left w:val="nil"/>
              <w:bottom w:val="nil"/>
              <w:right w:val="single" w:color="auto" w:sz="4" w:space="0"/>
            </w:tcBorders>
            <w:noWrap w:val="0"/>
            <w:vAlign w:val="center"/>
          </w:tcPr>
          <w:p w14:paraId="550B315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100≤X＜200</w:t>
            </w:r>
          </w:p>
        </w:tc>
        <w:tc>
          <w:tcPr>
            <w:tcW w:w="1429" w:type="dxa"/>
            <w:tcBorders>
              <w:top w:val="nil"/>
              <w:left w:val="nil"/>
              <w:bottom w:val="nil"/>
              <w:right w:val="single" w:color="auto" w:sz="4" w:space="0"/>
            </w:tcBorders>
            <w:noWrap w:val="0"/>
            <w:vAlign w:val="center"/>
          </w:tcPr>
          <w:p w14:paraId="557AECC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20≤X＜100</w:t>
            </w:r>
          </w:p>
        </w:tc>
        <w:tc>
          <w:tcPr>
            <w:tcW w:w="901" w:type="dxa"/>
            <w:tcBorders>
              <w:top w:val="nil"/>
              <w:left w:val="nil"/>
              <w:bottom w:val="nil"/>
              <w:right w:val="nil"/>
            </w:tcBorders>
            <w:noWrap w:val="0"/>
            <w:vAlign w:val="center"/>
          </w:tcPr>
          <w:p w14:paraId="2B4F0A5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3F5A3919">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73BFCE1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20123E6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5B047DC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1FCA5B1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Y≥30000</w:t>
            </w:r>
          </w:p>
        </w:tc>
        <w:tc>
          <w:tcPr>
            <w:tcW w:w="1727" w:type="dxa"/>
            <w:tcBorders>
              <w:top w:val="nil"/>
              <w:left w:val="nil"/>
              <w:bottom w:val="single" w:color="auto" w:sz="4" w:space="0"/>
              <w:right w:val="single" w:color="auto" w:sz="4" w:space="0"/>
            </w:tcBorders>
            <w:noWrap w:val="0"/>
            <w:vAlign w:val="center"/>
          </w:tcPr>
          <w:p w14:paraId="70917D4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1000≤Y＜30000</w:t>
            </w:r>
          </w:p>
        </w:tc>
        <w:tc>
          <w:tcPr>
            <w:tcW w:w="1429" w:type="dxa"/>
            <w:tcBorders>
              <w:top w:val="nil"/>
              <w:left w:val="nil"/>
              <w:bottom w:val="single" w:color="auto" w:sz="4" w:space="0"/>
              <w:right w:val="single" w:color="auto" w:sz="4" w:space="0"/>
            </w:tcBorders>
            <w:noWrap w:val="0"/>
            <w:vAlign w:val="center"/>
          </w:tcPr>
          <w:p w14:paraId="4F5D56A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100≤Y＜1000</w:t>
            </w:r>
          </w:p>
        </w:tc>
        <w:tc>
          <w:tcPr>
            <w:tcW w:w="901" w:type="dxa"/>
            <w:tcBorders>
              <w:top w:val="nil"/>
              <w:left w:val="nil"/>
              <w:bottom w:val="single" w:color="auto" w:sz="4" w:space="0"/>
              <w:right w:val="nil"/>
            </w:tcBorders>
            <w:noWrap w:val="0"/>
            <w:vAlign w:val="center"/>
          </w:tcPr>
          <w:p w14:paraId="56CD82C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17CEC0FB">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2FC95ED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邮政业</w:t>
            </w:r>
          </w:p>
        </w:tc>
        <w:tc>
          <w:tcPr>
            <w:tcW w:w="1341" w:type="dxa"/>
            <w:tcBorders>
              <w:top w:val="nil"/>
              <w:left w:val="nil"/>
              <w:bottom w:val="nil"/>
              <w:right w:val="single" w:color="auto" w:sz="4" w:space="0"/>
            </w:tcBorders>
            <w:noWrap w:val="0"/>
            <w:vAlign w:val="center"/>
          </w:tcPr>
          <w:p w14:paraId="448C34A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1A8642D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2B82217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27" w:type="dxa"/>
            <w:tcBorders>
              <w:top w:val="nil"/>
              <w:left w:val="nil"/>
              <w:bottom w:val="nil"/>
              <w:right w:val="single" w:color="auto" w:sz="4" w:space="0"/>
            </w:tcBorders>
            <w:noWrap w:val="0"/>
            <w:vAlign w:val="center"/>
          </w:tcPr>
          <w:p w14:paraId="5924763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429" w:type="dxa"/>
            <w:tcBorders>
              <w:top w:val="nil"/>
              <w:left w:val="nil"/>
              <w:bottom w:val="nil"/>
              <w:right w:val="single" w:color="auto" w:sz="4" w:space="0"/>
            </w:tcBorders>
            <w:noWrap w:val="0"/>
            <w:vAlign w:val="center"/>
          </w:tcPr>
          <w:p w14:paraId="5CBCF28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20≤X＜300</w:t>
            </w:r>
          </w:p>
        </w:tc>
        <w:tc>
          <w:tcPr>
            <w:tcW w:w="901" w:type="dxa"/>
            <w:tcBorders>
              <w:top w:val="nil"/>
              <w:left w:val="nil"/>
              <w:bottom w:val="nil"/>
              <w:right w:val="nil"/>
            </w:tcBorders>
            <w:noWrap w:val="0"/>
            <w:vAlign w:val="center"/>
          </w:tcPr>
          <w:p w14:paraId="3FE2F24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w:t>
            </w:r>
          </w:p>
        </w:tc>
      </w:tr>
      <w:tr w14:paraId="55F75B42">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32E2BA1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1271D62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70BAB61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66A967B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Y≥30000</w:t>
            </w:r>
          </w:p>
        </w:tc>
        <w:tc>
          <w:tcPr>
            <w:tcW w:w="1727" w:type="dxa"/>
            <w:tcBorders>
              <w:top w:val="nil"/>
              <w:left w:val="nil"/>
              <w:bottom w:val="single" w:color="auto" w:sz="4" w:space="0"/>
              <w:right w:val="single" w:color="auto" w:sz="4" w:space="0"/>
            </w:tcBorders>
            <w:noWrap w:val="0"/>
            <w:vAlign w:val="center"/>
          </w:tcPr>
          <w:p w14:paraId="1DA355A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2000≤Y＜30000</w:t>
            </w:r>
          </w:p>
        </w:tc>
        <w:tc>
          <w:tcPr>
            <w:tcW w:w="1429" w:type="dxa"/>
            <w:tcBorders>
              <w:top w:val="nil"/>
              <w:left w:val="nil"/>
              <w:bottom w:val="single" w:color="auto" w:sz="4" w:space="0"/>
              <w:right w:val="single" w:color="auto" w:sz="4" w:space="0"/>
            </w:tcBorders>
            <w:noWrap w:val="0"/>
            <w:vAlign w:val="center"/>
          </w:tcPr>
          <w:p w14:paraId="6765B49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100≤Y＜2000</w:t>
            </w:r>
          </w:p>
        </w:tc>
        <w:tc>
          <w:tcPr>
            <w:tcW w:w="901" w:type="dxa"/>
            <w:tcBorders>
              <w:top w:val="nil"/>
              <w:left w:val="nil"/>
              <w:bottom w:val="single" w:color="auto" w:sz="4" w:space="0"/>
              <w:right w:val="nil"/>
            </w:tcBorders>
            <w:noWrap w:val="0"/>
            <w:vAlign w:val="center"/>
          </w:tcPr>
          <w:p w14:paraId="4C906BF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1AEA9E7E">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214AFE1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住宿业</w:t>
            </w:r>
          </w:p>
        </w:tc>
        <w:tc>
          <w:tcPr>
            <w:tcW w:w="1341" w:type="dxa"/>
            <w:tcBorders>
              <w:top w:val="nil"/>
              <w:left w:val="nil"/>
              <w:bottom w:val="nil"/>
              <w:right w:val="single" w:color="auto" w:sz="4" w:space="0"/>
            </w:tcBorders>
            <w:noWrap w:val="0"/>
            <w:vAlign w:val="center"/>
          </w:tcPr>
          <w:p w14:paraId="701A688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5155510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6EF04BB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27" w:type="dxa"/>
            <w:tcBorders>
              <w:top w:val="nil"/>
              <w:left w:val="nil"/>
              <w:bottom w:val="nil"/>
              <w:right w:val="single" w:color="auto" w:sz="4" w:space="0"/>
            </w:tcBorders>
            <w:noWrap w:val="0"/>
            <w:vAlign w:val="center"/>
          </w:tcPr>
          <w:p w14:paraId="29FCA70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100≤X＜300 </w:t>
            </w:r>
          </w:p>
        </w:tc>
        <w:tc>
          <w:tcPr>
            <w:tcW w:w="1429" w:type="dxa"/>
            <w:tcBorders>
              <w:top w:val="nil"/>
              <w:left w:val="nil"/>
              <w:bottom w:val="nil"/>
              <w:right w:val="single" w:color="auto" w:sz="4" w:space="0"/>
            </w:tcBorders>
            <w:noWrap w:val="0"/>
            <w:vAlign w:val="center"/>
          </w:tcPr>
          <w:p w14:paraId="465741A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10≤X＜100</w:t>
            </w:r>
          </w:p>
        </w:tc>
        <w:tc>
          <w:tcPr>
            <w:tcW w:w="901" w:type="dxa"/>
            <w:tcBorders>
              <w:top w:val="nil"/>
              <w:left w:val="nil"/>
              <w:bottom w:val="nil"/>
              <w:right w:val="nil"/>
            </w:tcBorders>
            <w:noWrap w:val="0"/>
            <w:vAlign w:val="center"/>
          </w:tcPr>
          <w:p w14:paraId="4993762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730ED8AA">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7A3C9B5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3038D84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5270382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432A70F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w:t>
            </w:r>
          </w:p>
        </w:tc>
        <w:tc>
          <w:tcPr>
            <w:tcW w:w="1727" w:type="dxa"/>
            <w:tcBorders>
              <w:top w:val="nil"/>
              <w:left w:val="nil"/>
              <w:bottom w:val="single" w:color="auto" w:sz="4" w:space="0"/>
              <w:right w:val="single" w:color="auto" w:sz="4" w:space="0"/>
            </w:tcBorders>
            <w:noWrap w:val="0"/>
            <w:vAlign w:val="center"/>
          </w:tcPr>
          <w:p w14:paraId="0802B84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2000≤Y＜10000</w:t>
            </w:r>
          </w:p>
        </w:tc>
        <w:tc>
          <w:tcPr>
            <w:tcW w:w="1429" w:type="dxa"/>
            <w:tcBorders>
              <w:top w:val="nil"/>
              <w:left w:val="nil"/>
              <w:bottom w:val="single" w:color="auto" w:sz="4" w:space="0"/>
              <w:right w:val="single" w:color="auto" w:sz="4" w:space="0"/>
            </w:tcBorders>
            <w:noWrap w:val="0"/>
            <w:vAlign w:val="center"/>
          </w:tcPr>
          <w:p w14:paraId="3905C7B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100≤Y＜2000</w:t>
            </w:r>
          </w:p>
        </w:tc>
        <w:tc>
          <w:tcPr>
            <w:tcW w:w="901" w:type="dxa"/>
            <w:tcBorders>
              <w:top w:val="nil"/>
              <w:left w:val="nil"/>
              <w:bottom w:val="single" w:color="auto" w:sz="4" w:space="0"/>
              <w:right w:val="nil"/>
            </w:tcBorders>
            <w:noWrap w:val="0"/>
            <w:vAlign w:val="center"/>
          </w:tcPr>
          <w:p w14:paraId="2CDDE5E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75318BED">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225CA81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餐饮业</w:t>
            </w:r>
          </w:p>
        </w:tc>
        <w:tc>
          <w:tcPr>
            <w:tcW w:w="1341" w:type="dxa"/>
            <w:tcBorders>
              <w:top w:val="nil"/>
              <w:left w:val="nil"/>
              <w:bottom w:val="nil"/>
              <w:right w:val="single" w:color="auto" w:sz="4" w:space="0"/>
            </w:tcBorders>
            <w:noWrap w:val="0"/>
            <w:vAlign w:val="center"/>
          </w:tcPr>
          <w:p w14:paraId="04EA24F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5620B01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0C333CC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27" w:type="dxa"/>
            <w:tcBorders>
              <w:top w:val="nil"/>
              <w:left w:val="nil"/>
              <w:bottom w:val="nil"/>
              <w:right w:val="single" w:color="auto" w:sz="4" w:space="0"/>
            </w:tcBorders>
            <w:noWrap w:val="0"/>
            <w:vAlign w:val="center"/>
          </w:tcPr>
          <w:p w14:paraId="6F51223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100≤X＜300 </w:t>
            </w:r>
          </w:p>
        </w:tc>
        <w:tc>
          <w:tcPr>
            <w:tcW w:w="1429" w:type="dxa"/>
            <w:tcBorders>
              <w:top w:val="nil"/>
              <w:left w:val="nil"/>
              <w:bottom w:val="nil"/>
              <w:right w:val="single" w:color="auto" w:sz="4" w:space="0"/>
            </w:tcBorders>
            <w:noWrap w:val="0"/>
            <w:vAlign w:val="center"/>
          </w:tcPr>
          <w:p w14:paraId="3D564D5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10≤X＜100</w:t>
            </w:r>
          </w:p>
        </w:tc>
        <w:tc>
          <w:tcPr>
            <w:tcW w:w="901" w:type="dxa"/>
            <w:tcBorders>
              <w:top w:val="nil"/>
              <w:left w:val="nil"/>
              <w:bottom w:val="nil"/>
              <w:right w:val="nil"/>
            </w:tcBorders>
            <w:noWrap w:val="0"/>
            <w:vAlign w:val="center"/>
          </w:tcPr>
          <w:p w14:paraId="54773FF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327C6415">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7115EA6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6D15818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41B8F71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59935A2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w:t>
            </w:r>
          </w:p>
        </w:tc>
        <w:tc>
          <w:tcPr>
            <w:tcW w:w="1727" w:type="dxa"/>
            <w:tcBorders>
              <w:top w:val="nil"/>
              <w:left w:val="nil"/>
              <w:bottom w:val="single" w:color="auto" w:sz="4" w:space="0"/>
              <w:right w:val="single" w:color="auto" w:sz="4" w:space="0"/>
            </w:tcBorders>
            <w:noWrap w:val="0"/>
            <w:vAlign w:val="center"/>
          </w:tcPr>
          <w:p w14:paraId="44F58C4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2000≤Y＜10000</w:t>
            </w:r>
          </w:p>
        </w:tc>
        <w:tc>
          <w:tcPr>
            <w:tcW w:w="1429" w:type="dxa"/>
            <w:tcBorders>
              <w:top w:val="nil"/>
              <w:left w:val="nil"/>
              <w:bottom w:val="single" w:color="auto" w:sz="4" w:space="0"/>
              <w:right w:val="single" w:color="auto" w:sz="4" w:space="0"/>
            </w:tcBorders>
            <w:noWrap w:val="0"/>
            <w:vAlign w:val="center"/>
          </w:tcPr>
          <w:p w14:paraId="141E434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100≤Y＜2000</w:t>
            </w:r>
          </w:p>
        </w:tc>
        <w:tc>
          <w:tcPr>
            <w:tcW w:w="901" w:type="dxa"/>
            <w:tcBorders>
              <w:top w:val="nil"/>
              <w:left w:val="nil"/>
              <w:bottom w:val="single" w:color="auto" w:sz="4" w:space="0"/>
              <w:right w:val="nil"/>
            </w:tcBorders>
            <w:noWrap w:val="0"/>
            <w:vAlign w:val="center"/>
          </w:tcPr>
          <w:p w14:paraId="6E00890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43C22B2E">
        <w:tblPrEx>
          <w:tblCellMar>
            <w:top w:w="0" w:type="dxa"/>
            <w:left w:w="108" w:type="dxa"/>
            <w:bottom w:w="0" w:type="dxa"/>
            <w:right w:w="108" w:type="dxa"/>
          </w:tblCellMar>
        </w:tblPrEx>
        <w:trPr>
          <w:trHeight w:val="797" w:hRule="exact"/>
          <w:jc w:val="center"/>
        </w:trPr>
        <w:tc>
          <w:tcPr>
            <w:tcW w:w="2046" w:type="dxa"/>
            <w:vMerge w:val="restart"/>
            <w:tcBorders>
              <w:top w:val="nil"/>
              <w:left w:val="nil"/>
              <w:bottom w:val="single" w:color="auto" w:sz="4" w:space="0"/>
              <w:right w:val="single" w:color="auto" w:sz="4" w:space="0"/>
            </w:tcBorders>
            <w:noWrap w:val="0"/>
            <w:vAlign w:val="center"/>
          </w:tcPr>
          <w:p w14:paraId="0C0B0BA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信息传输业 *</w:t>
            </w:r>
          </w:p>
        </w:tc>
        <w:tc>
          <w:tcPr>
            <w:tcW w:w="1341" w:type="dxa"/>
            <w:tcBorders>
              <w:top w:val="nil"/>
              <w:left w:val="nil"/>
              <w:bottom w:val="nil"/>
              <w:right w:val="single" w:color="auto" w:sz="4" w:space="0"/>
            </w:tcBorders>
            <w:noWrap w:val="0"/>
            <w:vAlign w:val="center"/>
          </w:tcPr>
          <w:p w14:paraId="6E984D8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023AD9E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22490A9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X≥2000</w:t>
            </w:r>
          </w:p>
        </w:tc>
        <w:tc>
          <w:tcPr>
            <w:tcW w:w="1727" w:type="dxa"/>
            <w:tcBorders>
              <w:top w:val="nil"/>
              <w:left w:val="nil"/>
              <w:bottom w:val="nil"/>
              <w:right w:val="single" w:color="auto" w:sz="4" w:space="0"/>
            </w:tcBorders>
            <w:noWrap w:val="0"/>
            <w:vAlign w:val="center"/>
          </w:tcPr>
          <w:p w14:paraId="4481021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100≤X＜2000</w:t>
            </w:r>
          </w:p>
        </w:tc>
        <w:tc>
          <w:tcPr>
            <w:tcW w:w="1429" w:type="dxa"/>
            <w:tcBorders>
              <w:top w:val="nil"/>
              <w:left w:val="nil"/>
              <w:bottom w:val="nil"/>
              <w:right w:val="single" w:color="auto" w:sz="4" w:space="0"/>
            </w:tcBorders>
            <w:noWrap w:val="0"/>
            <w:vAlign w:val="center"/>
          </w:tcPr>
          <w:p w14:paraId="67684F3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10≤X＜100</w:t>
            </w:r>
          </w:p>
        </w:tc>
        <w:tc>
          <w:tcPr>
            <w:tcW w:w="901" w:type="dxa"/>
            <w:tcBorders>
              <w:top w:val="nil"/>
              <w:left w:val="nil"/>
              <w:bottom w:val="nil"/>
              <w:right w:val="nil"/>
            </w:tcBorders>
            <w:noWrap w:val="0"/>
            <w:vAlign w:val="center"/>
          </w:tcPr>
          <w:p w14:paraId="78F5B75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7EBCB40E">
        <w:tblPrEx>
          <w:tblCellMar>
            <w:top w:w="0" w:type="dxa"/>
            <w:left w:w="108" w:type="dxa"/>
            <w:bottom w:w="0" w:type="dxa"/>
            <w:right w:w="108" w:type="dxa"/>
          </w:tblCellMar>
        </w:tblPrEx>
        <w:trPr>
          <w:trHeight w:val="797" w:hRule="exact"/>
          <w:jc w:val="center"/>
        </w:trPr>
        <w:tc>
          <w:tcPr>
            <w:tcW w:w="2046" w:type="dxa"/>
            <w:vMerge w:val="continue"/>
            <w:tcBorders>
              <w:top w:val="nil"/>
              <w:left w:val="nil"/>
              <w:bottom w:val="single" w:color="auto" w:sz="4" w:space="0"/>
              <w:right w:val="single" w:color="auto" w:sz="4" w:space="0"/>
            </w:tcBorders>
            <w:noWrap w:val="0"/>
            <w:vAlign w:val="center"/>
          </w:tcPr>
          <w:p w14:paraId="584A57A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17ED680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1FEDB81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70ED86F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Y≥100000</w:t>
            </w:r>
          </w:p>
        </w:tc>
        <w:tc>
          <w:tcPr>
            <w:tcW w:w="1727" w:type="dxa"/>
            <w:tcBorders>
              <w:top w:val="nil"/>
              <w:left w:val="nil"/>
              <w:bottom w:val="single" w:color="auto" w:sz="4" w:space="0"/>
              <w:right w:val="single" w:color="auto" w:sz="4" w:space="0"/>
            </w:tcBorders>
            <w:noWrap w:val="0"/>
            <w:vAlign w:val="center"/>
          </w:tcPr>
          <w:p w14:paraId="396AB2B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1000≤Y＜100000</w:t>
            </w:r>
          </w:p>
        </w:tc>
        <w:tc>
          <w:tcPr>
            <w:tcW w:w="1429" w:type="dxa"/>
            <w:tcBorders>
              <w:top w:val="nil"/>
              <w:left w:val="nil"/>
              <w:bottom w:val="single" w:color="auto" w:sz="4" w:space="0"/>
              <w:right w:val="single" w:color="auto" w:sz="4" w:space="0"/>
            </w:tcBorders>
            <w:noWrap w:val="0"/>
            <w:vAlign w:val="center"/>
          </w:tcPr>
          <w:p w14:paraId="4405440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100≤Y＜1000</w:t>
            </w:r>
          </w:p>
        </w:tc>
        <w:tc>
          <w:tcPr>
            <w:tcW w:w="901" w:type="dxa"/>
            <w:tcBorders>
              <w:top w:val="nil"/>
              <w:left w:val="nil"/>
              <w:bottom w:val="single" w:color="auto" w:sz="4" w:space="0"/>
              <w:right w:val="nil"/>
            </w:tcBorders>
            <w:noWrap w:val="0"/>
            <w:vAlign w:val="center"/>
          </w:tcPr>
          <w:p w14:paraId="0D9AFEF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5D7F403F">
        <w:tblPrEx>
          <w:tblCellMar>
            <w:top w:w="0" w:type="dxa"/>
            <w:left w:w="108" w:type="dxa"/>
            <w:bottom w:w="0" w:type="dxa"/>
            <w:right w:w="108" w:type="dxa"/>
          </w:tblCellMar>
        </w:tblPrEx>
        <w:trPr>
          <w:trHeight w:val="681" w:hRule="exact"/>
          <w:jc w:val="center"/>
        </w:trPr>
        <w:tc>
          <w:tcPr>
            <w:tcW w:w="2046" w:type="dxa"/>
            <w:vMerge w:val="restart"/>
            <w:tcBorders>
              <w:top w:val="single" w:color="auto" w:sz="4" w:space="0"/>
              <w:left w:val="nil"/>
              <w:bottom w:val="single" w:color="auto" w:sz="4" w:space="0"/>
              <w:right w:val="single" w:color="auto" w:sz="4" w:space="0"/>
            </w:tcBorders>
            <w:noWrap w:val="0"/>
            <w:vAlign w:val="center"/>
          </w:tcPr>
          <w:p w14:paraId="77A2042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软件和信息技术服务业</w:t>
            </w:r>
          </w:p>
        </w:tc>
        <w:tc>
          <w:tcPr>
            <w:tcW w:w="1341" w:type="dxa"/>
            <w:tcBorders>
              <w:top w:val="nil"/>
              <w:left w:val="nil"/>
              <w:bottom w:val="nil"/>
              <w:right w:val="single" w:color="auto" w:sz="4" w:space="0"/>
            </w:tcBorders>
            <w:noWrap w:val="0"/>
            <w:vAlign w:val="center"/>
          </w:tcPr>
          <w:p w14:paraId="5CBDBAD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761F327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5D95DE5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27" w:type="dxa"/>
            <w:tcBorders>
              <w:top w:val="nil"/>
              <w:left w:val="nil"/>
              <w:bottom w:val="nil"/>
              <w:right w:val="single" w:color="auto" w:sz="4" w:space="0"/>
            </w:tcBorders>
            <w:noWrap w:val="0"/>
            <w:vAlign w:val="center"/>
          </w:tcPr>
          <w:p w14:paraId="5D95DFF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100≤X＜300 </w:t>
            </w:r>
          </w:p>
        </w:tc>
        <w:tc>
          <w:tcPr>
            <w:tcW w:w="1429" w:type="dxa"/>
            <w:tcBorders>
              <w:top w:val="nil"/>
              <w:left w:val="nil"/>
              <w:bottom w:val="nil"/>
              <w:right w:val="single" w:color="auto" w:sz="4" w:space="0"/>
            </w:tcBorders>
            <w:noWrap w:val="0"/>
            <w:vAlign w:val="center"/>
          </w:tcPr>
          <w:p w14:paraId="07C251A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10≤X＜100</w:t>
            </w:r>
          </w:p>
        </w:tc>
        <w:tc>
          <w:tcPr>
            <w:tcW w:w="901" w:type="dxa"/>
            <w:tcBorders>
              <w:top w:val="nil"/>
              <w:left w:val="nil"/>
              <w:bottom w:val="nil"/>
              <w:right w:val="nil"/>
            </w:tcBorders>
            <w:noWrap w:val="0"/>
            <w:vAlign w:val="center"/>
          </w:tcPr>
          <w:p w14:paraId="4507822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2770CAC4">
        <w:tblPrEx>
          <w:tblCellMar>
            <w:top w:w="0" w:type="dxa"/>
            <w:left w:w="108" w:type="dxa"/>
            <w:bottom w:w="0" w:type="dxa"/>
            <w:right w:w="108" w:type="dxa"/>
          </w:tblCellMar>
        </w:tblPrEx>
        <w:trPr>
          <w:trHeight w:val="681" w:hRule="exact"/>
          <w:jc w:val="center"/>
        </w:trPr>
        <w:tc>
          <w:tcPr>
            <w:tcW w:w="2046" w:type="dxa"/>
            <w:vMerge w:val="continue"/>
            <w:tcBorders>
              <w:top w:val="single" w:color="auto" w:sz="4" w:space="0"/>
              <w:left w:val="nil"/>
              <w:bottom w:val="single" w:color="auto" w:sz="4" w:space="0"/>
              <w:right w:val="single" w:color="auto" w:sz="4" w:space="0"/>
            </w:tcBorders>
            <w:noWrap w:val="0"/>
            <w:vAlign w:val="center"/>
          </w:tcPr>
          <w:p w14:paraId="59C24D3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0EBFEFA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4EEC70C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52C9D47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Y≥10000</w:t>
            </w:r>
          </w:p>
        </w:tc>
        <w:tc>
          <w:tcPr>
            <w:tcW w:w="1727" w:type="dxa"/>
            <w:tcBorders>
              <w:top w:val="nil"/>
              <w:left w:val="nil"/>
              <w:bottom w:val="single" w:color="auto" w:sz="4" w:space="0"/>
              <w:right w:val="single" w:color="auto" w:sz="4" w:space="0"/>
            </w:tcBorders>
            <w:noWrap w:val="0"/>
            <w:vAlign w:val="center"/>
          </w:tcPr>
          <w:p w14:paraId="6A3A42A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1000≤Y＜10000</w:t>
            </w:r>
          </w:p>
        </w:tc>
        <w:tc>
          <w:tcPr>
            <w:tcW w:w="1429" w:type="dxa"/>
            <w:tcBorders>
              <w:top w:val="nil"/>
              <w:left w:val="nil"/>
              <w:bottom w:val="single" w:color="auto" w:sz="4" w:space="0"/>
              <w:right w:val="single" w:color="auto" w:sz="4" w:space="0"/>
            </w:tcBorders>
            <w:noWrap w:val="0"/>
            <w:vAlign w:val="center"/>
          </w:tcPr>
          <w:p w14:paraId="7AC066E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50≤Y＜1000</w:t>
            </w:r>
          </w:p>
        </w:tc>
        <w:tc>
          <w:tcPr>
            <w:tcW w:w="901" w:type="dxa"/>
            <w:tcBorders>
              <w:top w:val="nil"/>
              <w:left w:val="nil"/>
              <w:bottom w:val="single" w:color="auto" w:sz="4" w:space="0"/>
              <w:right w:val="nil"/>
            </w:tcBorders>
            <w:noWrap w:val="0"/>
            <w:vAlign w:val="center"/>
          </w:tcPr>
          <w:p w14:paraId="388EEB7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w:t>
            </w:r>
          </w:p>
        </w:tc>
      </w:tr>
      <w:tr w14:paraId="65D3CDA3">
        <w:tblPrEx>
          <w:tblCellMar>
            <w:top w:w="0" w:type="dxa"/>
            <w:left w:w="108" w:type="dxa"/>
            <w:bottom w:w="0" w:type="dxa"/>
            <w:right w:w="108" w:type="dxa"/>
          </w:tblCellMar>
        </w:tblPrEx>
        <w:trPr>
          <w:trHeight w:val="681" w:hRule="exact"/>
          <w:jc w:val="center"/>
        </w:trPr>
        <w:tc>
          <w:tcPr>
            <w:tcW w:w="2046" w:type="dxa"/>
            <w:vMerge w:val="restart"/>
            <w:tcBorders>
              <w:top w:val="nil"/>
              <w:left w:val="nil"/>
              <w:bottom w:val="single" w:color="auto" w:sz="4" w:space="0"/>
              <w:right w:val="single" w:color="auto" w:sz="4" w:space="0"/>
            </w:tcBorders>
            <w:noWrap w:val="0"/>
            <w:vAlign w:val="center"/>
          </w:tcPr>
          <w:p w14:paraId="5D7A2A9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房地产开发经营</w:t>
            </w:r>
          </w:p>
        </w:tc>
        <w:tc>
          <w:tcPr>
            <w:tcW w:w="1341" w:type="dxa"/>
            <w:tcBorders>
              <w:top w:val="nil"/>
              <w:left w:val="nil"/>
              <w:bottom w:val="nil"/>
              <w:right w:val="single" w:color="auto" w:sz="4" w:space="0"/>
            </w:tcBorders>
            <w:noWrap w:val="0"/>
            <w:vAlign w:val="center"/>
          </w:tcPr>
          <w:p w14:paraId="7748D1F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nil"/>
              <w:right w:val="single" w:color="auto" w:sz="4" w:space="0"/>
            </w:tcBorders>
            <w:noWrap w:val="0"/>
            <w:vAlign w:val="center"/>
          </w:tcPr>
          <w:p w14:paraId="795D4B9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nil"/>
              <w:right w:val="single" w:color="auto" w:sz="4" w:space="0"/>
            </w:tcBorders>
            <w:noWrap w:val="0"/>
            <w:vAlign w:val="center"/>
          </w:tcPr>
          <w:p w14:paraId="62B92D1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Y≥200000</w:t>
            </w:r>
          </w:p>
        </w:tc>
        <w:tc>
          <w:tcPr>
            <w:tcW w:w="1727" w:type="dxa"/>
            <w:tcBorders>
              <w:top w:val="nil"/>
              <w:left w:val="nil"/>
              <w:bottom w:val="nil"/>
              <w:right w:val="single" w:color="auto" w:sz="4" w:space="0"/>
            </w:tcBorders>
            <w:noWrap w:val="0"/>
            <w:vAlign w:val="center"/>
          </w:tcPr>
          <w:p w14:paraId="18E4C4F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1000≤Y＜200000</w:t>
            </w:r>
          </w:p>
        </w:tc>
        <w:tc>
          <w:tcPr>
            <w:tcW w:w="1429" w:type="dxa"/>
            <w:tcBorders>
              <w:top w:val="nil"/>
              <w:left w:val="nil"/>
              <w:bottom w:val="nil"/>
              <w:right w:val="single" w:color="auto" w:sz="4" w:space="0"/>
            </w:tcBorders>
            <w:noWrap w:val="0"/>
            <w:vAlign w:val="center"/>
          </w:tcPr>
          <w:p w14:paraId="479164A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100≤Y＜1000</w:t>
            </w:r>
          </w:p>
        </w:tc>
        <w:tc>
          <w:tcPr>
            <w:tcW w:w="901" w:type="dxa"/>
            <w:tcBorders>
              <w:top w:val="nil"/>
              <w:left w:val="nil"/>
              <w:bottom w:val="nil"/>
              <w:right w:val="nil"/>
            </w:tcBorders>
            <w:noWrap w:val="0"/>
            <w:vAlign w:val="center"/>
          </w:tcPr>
          <w:p w14:paraId="6BFBD1AA">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Y＜100</w:t>
            </w:r>
          </w:p>
        </w:tc>
      </w:tr>
      <w:tr w14:paraId="03DC00C0">
        <w:tblPrEx>
          <w:tblCellMar>
            <w:top w:w="0" w:type="dxa"/>
            <w:left w:w="108" w:type="dxa"/>
            <w:bottom w:w="0" w:type="dxa"/>
            <w:right w:w="108" w:type="dxa"/>
          </w:tblCellMar>
        </w:tblPrEx>
        <w:trPr>
          <w:trHeight w:val="681" w:hRule="exact"/>
          <w:jc w:val="center"/>
        </w:trPr>
        <w:tc>
          <w:tcPr>
            <w:tcW w:w="2046" w:type="dxa"/>
            <w:vMerge w:val="continue"/>
            <w:tcBorders>
              <w:top w:val="nil"/>
              <w:left w:val="nil"/>
              <w:bottom w:val="single" w:color="auto" w:sz="4" w:space="0"/>
              <w:right w:val="single" w:color="auto" w:sz="4" w:space="0"/>
            </w:tcBorders>
            <w:noWrap w:val="0"/>
            <w:vAlign w:val="center"/>
          </w:tcPr>
          <w:p w14:paraId="32EC89D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42A40E8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资产总额</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Z)</w:t>
            </w:r>
          </w:p>
        </w:tc>
        <w:tc>
          <w:tcPr>
            <w:tcW w:w="602" w:type="dxa"/>
            <w:tcBorders>
              <w:top w:val="nil"/>
              <w:left w:val="nil"/>
              <w:bottom w:val="single" w:color="auto" w:sz="4" w:space="0"/>
              <w:right w:val="single" w:color="auto" w:sz="4" w:space="0"/>
            </w:tcBorders>
            <w:noWrap w:val="0"/>
            <w:vAlign w:val="center"/>
          </w:tcPr>
          <w:p w14:paraId="0AC37EE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05D9932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Z≥10000</w:t>
            </w:r>
          </w:p>
        </w:tc>
        <w:tc>
          <w:tcPr>
            <w:tcW w:w="1727" w:type="dxa"/>
            <w:tcBorders>
              <w:top w:val="nil"/>
              <w:left w:val="nil"/>
              <w:bottom w:val="single" w:color="auto" w:sz="4" w:space="0"/>
              <w:right w:val="single" w:color="auto" w:sz="4" w:space="0"/>
            </w:tcBorders>
            <w:noWrap w:val="0"/>
            <w:vAlign w:val="center"/>
          </w:tcPr>
          <w:p w14:paraId="23A65079">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5000≤Z＜10000</w:t>
            </w:r>
          </w:p>
        </w:tc>
        <w:tc>
          <w:tcPr>
            <w:tcW w:w="1429" w:type="dxa"/>
            <w:tcBorders>
              <w:top w:val="nil"/>
              <w:left w:val="nil"/>
              <w:bottom w:val="single" w:color="auto" w:sz="4" w:space="0"/>
              <w:right w:val="single" w:color="auto" w:sz="4" w:space="0"/>
            </w:tcBorders>
            <w:noWrap w:val="0"/>
            <w:vAlign w:val="center"/>
          </w:tcPr>
          <w:p w14:paraId="3172516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2000≤Z＜5000   </w:t>
            </w:r>
          </w:p>
        </w:tc>
        <w:tc>
          <w:tcPr>
            <w:tcW w:w="901" w:type="dxa"/>
            <w:tcBorders>
              <w:top w:val="nil"/>
              <w:left w:val="nil"/>
              <w:bottom w:val="single" w:color="auto" w:sz="4" w:space="0"/>
              <w:right w:val="nil"/>
            </w:tcBorders>
            <w:noWrap w:val="0"/>
            <w:vAlign w:val="center"/>
          </w:tcPr>
          <w:p w14:paraId="2CC3E97F">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Z＜2000</w:t>
            </w:r>
          </w:p>
        </w:tc>
      </w:tr>
      <w:tr w14:paraId="6E41BF7E">
        <w:tblPrEx>
          <w:tblCellMar>
            <w:top w:w="0" w:type="dxa"/>
            <w:left w:w="108" w:type="dxa"/>
            <w:bottom w:w="0" w:type="dxa"/>
            <w:right w:w="108" w:type="dxa"/>
          </w:tblCellMar>
        </w:tblPrEx>
        <w:trPr>
          <w:trHeight w:val="681" w:hRule="exact"/>
          <w:jc w:val="center"/>
        </w:trPr>
        <w:tc>
          <w:tcPr>
            <w:tcW w:w="2046" w:type="dxa"/>
            <w:vMerge w:val="restart"/>
            <w:tcBorders>
              <w:top w:val="nil"/>
              <w:left w:val="nil"/>
              <w:bottom w:val="single" w:color="auto" w:sz="4" w:space="0"/>
              <w:right w:val="single" w:color="auto" w:sz="4" w:space="0"/>
            </w:tcBorders>
            <w:noWrap w:val="0"/>
            <w:vAlign w:val="center"/>
          </w:tcPr>
          <w:p w14:paraId="19A0444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物业管理</w:t>
            </w:r>
          </w:p>
        </w:tc>
        <w:tc>
          <w:tcPr>
            <w:tcW w:w="1341" w:type="dxa"/>
            <w:tcBorders>
              <w:top w:val="nil"/>
              <w:left w:val="nil"/>
              <w:bottom w:val="nil"/>
              <w:right w:val="single" w:color="auto" w:sz="4" w:space="0"/>
            </w:tcBorders>
            <w:noWrap w:val="0"/>
            <w:vAlign w:val="center"/>
          </w:tcPr>
          <w:p w14:paraId="2983D00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560866A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2AC4FA7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X≥1000</w:t>
            </w:r>
          </w:p>
        </w:tc>
        <w:tc>
          <w:tcPr>
            <w:tcW w:w="1727" w:type="dxa"/>
            <w:tcBorders>
              <w:top w:val="nil"/>
              <w:left w:val="nil"/>
              <w:bottom w:val="nil"/>
              <w:right w:val="single" w:color="auto" w:sz="4" w:space="0"/>
            </w:tcBorders>
            <w:noWrap w:val="0"/>
            <w:vAlign w:val="center"/>
          </w:tcPr>
          <w:p w14:paraId="4779185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300≤X＜1000</w:t>
            </w:r>
          </w:p>
        </w:tc>
        <w:tc>
          <w:tcPr>
            <w:tcW w:w="1429" w:type="dxa"/>
            <w:tcBorders>
              <w:top w:val="nil"/>
              <w:left w:val="nil"/>
              <w:bottom w:val="nil"/>
              <w:right w:val="single" w:color="auto" w:sz="4" w:space="0"/>
            </w:tcBorders>
            <w:noWrap w:val="0"/>
            <w:vAlign w:val="center"/>
          </w:tcPr>
          <w:p w14:paraId="7A73CFE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100≤X＜300 </w:t>
            </w:r>
          </w:p>
        </w:tc>
        <w:tc>
          <w:tcPr>
            <w:tcW w:w="901" w:type="dxa"/>
            <w:tcBorders>
              <w:top w:val="nil"/>
              <w:left w:val="nil"/>
              <w:bottom w:val="nil"/>
              <w:right w:val="nil"/>
            </w:tcBorders>
            <w:noWrap w:val="0"/>
            <w:vAlign w:val="center"/>
          </w:tcPr>
          <w:p w14:paraId="29BA0F0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X＜100</w:t>
            </w:r>
          </w:p>
        </w:tc>
      </w:tr>
      <w:tr w14:paraId="6A0DD49C">
        <w:tblPrEx>
          <w:tblCellMar>
            <w:top w:w="0" w:type="dxa"/>
            <w:left w:w="108" w:type="dxa"/>
            <w:bottom w:w="0" w:type="dxa"/>
            <w:right w:w="108" w:type="dxa"/>
          </w:tblCellMar>
        </w:tblPrEx>
        <w:trPr>
          <w:trHeight w:val="681" w:hRule="exact"/>
          <w:jc w:val="center"/>
        </w:trPr>
        <w:tc>
          <w:tcPr>
            <w:tcW w:w="2046" w:type="dxa"/>
            <w:vMerge w:val="continue"/>
            <w:tcBorders>
              <w:top w:val="nil"/>
              <w:left w:val="nil"/>
              <w:bottom w:val="single" w:color="auto" w:sz="4" w:space="0"/>
              <w:right w:val="single" w:color="auto" w:sz="4" w:space="0"/>
            </w:tcBorders>
            <w:noWrap w:val="0"/>
            <w:vAlign w:val="center"/>
          </w:tcPr>
          <w:p w14:paraId="3FE39F38">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488C8734">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营业收入</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Y)</w:t>
            </w:r>
          </w:p>
        </w:tc>
        <w:tc>
          <w:tcPr>
            <w:tcW w:w="602" w:type="dxa"/>
            <w:tcBorders>
              <w:top w:val="nil"/>
              <w:left w:val="nil"/>
              <w:bottom w:val="single" w:color="auto" w:sz="4" w:space="0"/>
              <w:right w:val="single" w:color="auto" w:sz="4" w:space="0"/>
            </w:tcBorders>
            <w:noWrap w:val="0"/>
            <w:vAlign w:val="center"/>
          </w:tcPr>
          <w:p w14:paraId="5DE2948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44D248F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Y≥5000</w:t>
            </w:r>
          </w:p>
        </w:tc>
        <w:tc>
          <w:tcPr>
            <w:tcW w:w="1727" w:type="dxa"/>
            <w:tcBorders>
              <w:top w:val="nil"/>
              <w:left w:val="nil"/>
              <w:bottom w:val="single" w:color="auto" w:sz="4" w:space="0"/>
              <w:right w:val="single" w:color="auto" w:sz="4" w:space="0"/>
            </w:tcBorders>
            <w:noWrap w:val="0"/>
            <w:vAlign w:val="center"/>
          </w:tcPr>
          <w:p w14:paraId="61AE0C2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1000≤Y＜5000 </w:t>
            </w:r>
          </w:p>
        </w:tc>
        <w:tc>
          <w:tcPr>
            <w:tcW w:w="1429" w:type="dxa"/>
            <w:tcBorders>
              <w:top w:val="nil"/>
              <w:left w:val="nil"/>
              <w:bottom w:val="single" w:color="auto" w:sz="4" w:space="0"/>
              <w:right w:val="single" w:color="auto" w:sz="4" w:space="0"/>
            </w:tcBorders>
            <w:noWrap w:val="0"/>
            <w:vAlign w:val="center"/>
          </w:tcPr>
          <w:p w14:paraId="5136025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500≤Y＜1000</w:t>
            </w:r>
          </w:p>
        </w:tc>
        <w:tc>
          <w:tcPr>
            <w:tcW w:w="901" w:type="dxa"/>
            <w:tcBorders>
              <w:top w:val="nil"/>
              <w:left w:val="nil"/>
              <w:bottom w:val="single" w:color="auto" w:sz="4" w:space="0"/>
              <w:right w:val="nil"/>
            </w:tcBorders>
            <w:noWrap w:val="0"/>
            <w:vAlign w:val="center"/>
          </w:tcPr>
          <w:p w14:paraId="4AE52CB1">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Y＜500</w:t>
            </w:r>
          </w:p>
        </w:tc>
      </w:tr>
      <w:tr w14:paraId="7E5C7850">
        <w:tblPrEx>
          <w:tblCellMar>
            <w:top w:w="0" w:type="dxa"/>
            <w:left w:w="108" w:type="dxa"/>
            <w:bottom w:w="0" w:type="dxa"/>
            <w:right w:w="108" w:type="dxa"/>
          </w:tblCellMar>
        </w:tblPrEx>
        <w:trPr>
          <w:trHeight w:val="681" w:hRule="exact"/>
          <w:jc w:val="center"/>
        </w:trPr>
        <w:tc>
          <w:tcPr>
            <w:tcW w:w="2046" w:type="dxa"/>
            <w:vMerge w:val="restart"/>
            <w:tcBorders>
              <w:top w:val="nil"/>
              <w:left w:val="nil"/>
              <w:bottom w:val="single" w:color="auto" w:sz="4" w:space="0"/>
              <w:right w:val="single" w:color="auto" w:sz="4" w:space="0"/>
            </w:tcBorders>
            <w:noWrap w:val="0"/>
            <w:vAlign w:val="center"/>
          </w:tcPr>
          <w:p w14:paraId="67E4CA4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租赁和商务服务业</w:t>
            </w:r>
          </w:p>
        </w:tc>
        <w:tc>
          <w:tcPr>
            <w:tcW w:w="1341" w:type="dxa"/>
            <w:tcBorders>
              <w:top w:val="nil"/>
              <w:left w:val="nil"/>
              <w:bottom w:val="nil"/>
              <w:right w:val="single" w:color="auto" w:sz="4" w:space="0"/>
            </w:tcBorders>
            <w:noWrap w:val="0"/>
            <w:vAlign w:val="center"/>
          </w:tcPr>
          <w:p w14:paraId="150CBE8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nil"/>
              <w:right w:val="single" w:color="auto" w:sz="4" w:space="0"/>
            </w:tcBorders>
            <w:noWrap w:val="0"/>
            <w:vAlign w:val="center"/>
          </w:tcPr>
          <w:p w14:paraId="321E89A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nil"/>
              <w:right w:val="single" w:color="auto" w:sz="4" w:space="0"/>
            </w:tcBorders>
            <w:noWrap w:val="0"/>
            <w:vAlign w:val="center"/>
          </w:tcPr>
          <w:p w14:paraId="7B31412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27" w:type="dxa"/>
            <w:tcBorders>
              <w:top w:val="nil"/>
              <w:left w:val="nil"/>
              <w:bottom w:val="nil"/>
              <w:right w:val="single" w:color="auto" w:sz="4" w:space="0"/>
            </w:tcBorders>
            <w:noWrap w:val="0"/>
            <w:vAlign w:val="center"/>
          </w:tcPr>
          <w:p w14:paraId="5ACEB3C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100≤X＜300 </w:t>
            </w:r>
          </w:p>
        </w:tc>
        <w:tc>
          <w:tcPr>
            <w:tcW w:w="1429" w:type="dxa"/>
            <w:tcBorders>
              <w:top w:val="nil"/>
              <w:left w:val="nil"/>
              <w:bottom w:val="nil"/>
              <w:right w:val="single" w:color="auto" w:sz="4" w:space="0"/>
            </w:tcBorders>
            <w:noWrap w:val="0"/>
            <w:vAlign w:val="center"/>
          </w:tcPr>
          <w:p w14:paraId="38AD4382">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10≤X＜100</w:t>
            </w:r>
          </w:p>
        </w:tc>
        <w:tc>
          <w:tcPr>
            <w:tcW w:w="901" w:type="dxa"/>
            <w:tcBorders>
              <w:top w:val="nil"/>
              <w:left w:val="nil"/>
              <w:bottom w:val="nil"/>
              <w:right w:val="nil"/>
            </w:tcBorders>
            <w:noWrap w:val="0"/>
            <w:vAlign w:val="center"/>
          </w:tcPr>
          <w:p w14:paraId="7B1BBDEB">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r w14:paraId="439CF58B">
        <w:tblPrEx>
          <w:tblCellMar>
            <w:top w:w="0" w:type="dxa"/>
            <w:left w:w="108" w:type="dxa"/>
            <w:bottom w:w="0" w:type="dxa"/>
            <w:right w:w="108" w:type="dxa"/>
          </w:tblCellMar>
        </w:tblPrEx>
        <w:trPr>
          <w:trHeight w:val="681" w:hRule="exact"/>
          <w:jc w:val="center"/>
        </w:trPr>
        <w:tc>
          <w:tcPr>
            <w:tcW w:w="2046" w:type="dxa"/>
            <w:vMerge w:val="continue"/>
            <w:tcBorders>
              <w:top w:val="nil"/>
              <w:left w:val="nil"/>
              <w:bottom w:val="single" w:color="auto" w:sz="4" w:space="0"/>
              <w:right w:val="single" w:color="auto" w:sz="4" w:space="0"/>
            </w:tcBorders>
            <w:noWrap w:val="0"/>
            <w:vAlign w:val="center"/>
          </w:tcPr>
          <w:p w14:paraId="1587A9A5">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p>
        </w:tc>
        <w:tc>
          <w:tcPr>
            <w:tcW w:w="1341" w:type="dxa"/>
            <w:tcBorders>
              <w:top w:val="nil"/>
              <w:left w:val="nil"/>
              <w:bottom w:val="single" w:color="auto" w:sz="4" w:space="0"/>
              <w:right w:val="single" w:color="auto" w:sz="4" w:space="0"/>
            </w:tcBorders>
            <w:noWrap w:val="0"/>
            <w:vAlign w:val="center"/>
          </w:tcPr>
          <w:p w14:paraId="63BACD8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资产总额</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Z)</w:t>
            </w:r>
          </w:p>
        </w:tc>
        <w:tc>
          <w:tcPr>
            <w:tcW w:w="602" w:type="dxa"/>
            <w:tcBorders>
              <w:top w:val="nil"/>
              <w:left w:val="nil"/>
              <w:bottom w:val="single" w:color="auto" w:sz="4" w:space="0"/>
              <w:right w:val="single" w:color="auto" w:sz="4" w:space="0"/>
            </w:tcBorders>
            <w:noWrap w:val="0"/>
            <w:vAlign w:val="center"/>
          </w:tcPr>
          <w:p w14:paraId="4F391A3D">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万元</w:t>
            </w:r>
          </w:p>
        </w:tc>
        <w:tc>
          <w:tcPr>
            <w:tcW w:w="1110" w:type="dxa"/>
            <w:tcBorders>
              <w:top w:val="nil"/>
              <w:left w:val="nil"/>
              <w:bottom w:val="single" w:color="auto" w:sz="4" w:space="0"/>
              <w:right w:val="single" w:color="auto" w:sz="4" w:space="0"/>
            </w:tcBorders>
            <w:noWrap w:val="0"/>
            <w:vAlign w:val="center"/>
          </w:tcPr>
          <w:p w14:paraId="1F0E090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Z≥120000</w:t>
            </w:r>
          </w:p>
        </w:tc>
        <w:tc>
          <w:tcPr>
            <w:tcW w:w="1727" w:type="dxa"/>
            <w:tcBorders>
              <w:top w:val="nil"/>
              <w:left w:val="nil"/>
              <w:bottom w:val="single" w:color="auto" w:sz="4" w:space="0"/>
              <w:right w:val="single" w:color="auto" w:sz="4" w:space="0"/>
            </w:tcBorders>
            <w:noWrap w:val="0"/>
            <w:vAlign w:val="center"/>
          </w:tcPr>
          <w:p w14:paraId="0417C83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8000≤Z＜120000</w:t>
            </w:r>
          </w:p>
        </w:tc>
        <w:tc>
          <w:tcPr>
            <w:tcW w:w="1429" w:type="dxa"/>
            <w:tcBorders>
              <w:top w:val="nil"/>
              <w:left w:val="nil"/>
              <w:bottom w:val="single" w:color="auto" w:sz="4" w:space="0"/>
              <w:right w:val="single" w:color="auto" w:sz="4" w:space="0"/>
            </w:tcBorders>
            <w:noWrap w:val="0"/>
            <w:vAlign w:val="center"/>
          </w:tcPr>
          <w:p w14:paraId="4ECFB8C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100≤Z＜8000</w:t>
            </w:r>
          </w:p>
        </w:tc>
        <w:tc>
          <w:tcPr>
            <w:tcW w:w="901" w:type="dxa"/>
            <w:tcBorders>
              <w:top w:val="nil"/>
              <w:left w:val="nil"/>
              <w:bottom w:val="single" w:color="auto" w:sz="4" w:space="0"/>
              <w:right w:val="nil"/>
            </w:tcBorders>
            <w:noWrap w:val="0"/>
            <w:vAlign w:val="center"/>
          </w:tcPr>
          <w:p w14:paraId="61E6F356">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Z＜100</w:t>
            </w:r>
          </w:p>
        </w:tc>
      </w:tr>
      <w:tr w14:paraId="31768FE7">
        <w:tblPrEx>
          <w:tblCellMar>
            <w:top w:w="0" w:type="dxa"/>
            <w:left w:w="108" w:type="dxa"/>
            <w:bottom w:w="0" w:type="dxa"/>
            <w:right w:w="108" w:type="dxa"/>
          </w:tblCellMar>
        </w:tblPrEx>
        <w:trPr>
          <w:trHeight w:val="862" w:hRule="exact"/>
          <w:jc w:val="center"/>
        </w:trPr>
        <w:tc>
          <w:tcPr>
            <w:tcW w:w="2046" w:type="dxa"/>
            <w:tcBorders>
              <w:top w:val="nil"/>
              <w:left w:val="nil"/>
              <w:bottom w:val="single" w:color="auto" w:sz="4" w:space="0"/>
              <w:right w:val="single" w:color="auto" w:sz="4" w:space="0"/>
            </w:tcBorders>
            <w:noWrap w:val="0"/>
            <w:vAlign w:val="center"/>
          </w:tcPr>
          <w:p w14:paraId="370ED18C">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其他未列明行业 *</w:t>
            </w:r>
          </w:p>
        </w:tc>
        <w:tc>
          <w:tcPr>
            <w:tcW w:w="1341" w:type="dxa"/>
            <w:tcBorders>
              <w:top w:val="nil"/>
              <w:left w:val="nil"/>
              <w:bottom w:val="single" w:color="auto" w:sz="4" w:space="0"/>
              <w:right w:val="single" w:color="auto" w:sz="4" w:space="0"/>
            </w:tcBorders>
            <w:noWrap w:val="0"/>
            <w:vAlign w:val="center"/>
          </w:tcPr>
          <w:p w14:paraId="7B4FF4D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从业人员</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X)</w:t>
            </w:r>
          </w:p>
        </w:tc>
        <w:tc>
          <w:tcPr>
            <w:tcW w:w="602" w:type="dxa"/>
            <w:tcBorders>
              <w:top w:val="nil"/>
              <w:left w:val="nil"/>
              <w:bottom w:val="single" w:color="auto" w:sz="4" w:space="0"/>
              <w:right w:val="single" w:color="auto" w:sz="4" w:space="0"/>
            </w:tcBorders>
            <w:noWrap w:val="0"/>
            <w:vAlign w:val="center"/>
          </w:tcPr>
          <w:p w14:paraId="50C88383">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w:t>
            </w:r>
          </w:p>
        </w:tc>
        <w:tc>
          <w:tcPr>
            <w:tcW w:w="1110" w:type="dxa"/>
            <w:tcBorders>
              <w:top w:val="nil"/>
              <w:left w:val="nil"/>
              <w:bottom w:val="single" w:color="auto" w:sz="4" w:space="0"/>
              <w:right w:val="single" w:color="auto" w:sz="4" w:space="0"/>
            </w:tcBorders>
            <w:noWrap w:val="0"/>
            <w:vAlign w:val="center"/>
          </w:tcPr>
          <w:p w14:paraId="75B29320">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X≥300</w:t>
            </w:r>
          </w:p>
        </w:tc>
        <w:tc>
          <w:tcPr>
            <w:tcW w:w="1727" w:type="dxa"/>
            <w:tcBorders>
              <w:top w:val="nil"/>
              <w:left w:val="nil"/>
              <w:bottom w:val="single" w:color="auto" w:sz="4" w:space="0"/>
              <w:right w:val="single" w:color="auto" w:sz="4" w:space="0"/>
            </w:tcBorders>
            <w:noWrap w:val="0"/>
            <w:vAlign w:val="center"/>
          </w:tcPr>
          <w:p w14:paraId="4C9F907E">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100≤X＜300 </w:t>
            </w:r>
          </w:p>
        </w:tc>
        <w:tc>
          <w:tcPr>
            <w:tcW w:w="1429" w:type="dxa"/>
            <w:tcBorders>
              <w:top w:val="nil"/>
              <w:left w:val="nil"/>
              <w:bottom w:val="single" w:color="auto" w:sz="4" w:space="0"/>
              <w:right w:val="single" w:color="auto" w:sz="4" w:space="0"/>
            </w:tcBorders>
            <w:noWrap w:val="0"/>
            <w:vAlign w:val="center"/>
          </w:tcPr>
          <w:p w14:paraId="3205BB3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 10≤X＜100</w:t>
            </w:r>
          </w:p>
        </w:tc>
        <w:tc>
          <w:tcPr>
            <w:tcW w:w="901" w:type="dxa"/>
            <w:tcBorders>
              <w:top w:val="nil"/>
              <w:left w:val="nil"/>
              <w:bottom w:val="single" w:color="auto" w:sz="4" w:space="0"/>
              <w:right w:val="nil"/>
            </w:tcBorders>
            <w:noWrap w:val="0"/>
            <w:vAlign w:val="center"/>
          </w:tcPr>
          <w:p w14:paraId="3E7AEF47">
            <w:pPr>
              <w:keepNext w:val="0"/>
              <w:keepLines w:val="0"/>
              <w:pageBreakBefore w:val="0"/>
              <w:widowControl w:val="0"/>
              <w:shd w:val="clear"/>
              <w:kinsoku/>
              <w:wordWrap/>
              <w:overflowPunct/>
              <w:topLinePunct w:val="0"/>
              <w:bidi w:val="0"/>
              <w:adjustRightInd/>
              <w:snapToGrid/>
              <w:spacing w:line="420" w:lineRule="exact"/>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X＜10</w:t>
            </w:r>
          </w:p>
        </w:tc>
      </w:tr>
    </w:tbl>
    <w:p w14:paraId="67DE07D4">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p>
    <w:p w14:paraId="67079E50">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（1）大型、中型和小型企业须同时满足所列指标的下限，否则下划一档；微型企业</w:t>
      </w:r>
      <w:r>
        <w:rPr>
          <w:rFonts w:hint="eastAsia" w:ascii="宋体" w:hAnsi="宋体" w:cs="宋体"/>
          <w:color w:val="000000" w:themeColor="text1"/>
          <w:sz w:val="21"/>
          <w:szCs w:val="21"/>
          <w:highlight w:val="none"/>
          <w:lang w:eastAsia="zh-CN"/>
          <w14:textFill>
            <w14:solidFill>
              <w14:schemeClr w14:val="tx1"/>
            </w14:solidFill>
          </w14:textFill>
        </w:rPr>
        <w:t>只需</w:t>
      </w:r>
      <w:r>
        <w:rPr>
          <w:rFonts w:hint="eastAsia" w:ascii="宋体" w:hAnsi="宋体" w:eastAsia="宋体" w:cs="宋体"/>
          <w:color w:val="000000" w:themeColor="text1"/>
          <w:sz w:val="21"/>
          <w:szCs w:val="21"/>
          <w:highlight w:val="none"/>
          <w14:textFill>
            <w14:solidFill>
              <w14:schemeClr w14:val="tx1"/>
            </w14:solidFill>
          </w14:textFill>
        </w:rPr>
        <w:t>满足所列指标中的一项即可。</w:t>
      </w:r>
    </w:p>
    <w:p w14:paraId="0D076F17">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0675BB">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8FB2AD">
      <w:pPr>
        <w:pStyle w:val="30"/>
        <w:keepLines w:val="0"/>
        <w:pageBreakBefore w:val="0"/>
        <w:widowControl w:val="0"/>
        <w:shd w:val="clear"/>
        <w:kinsoku/>
        <w:wordWrap/>
        <w:topLinePunct w:val="0"/>
        <w:autoSpaceDE/>
        <w:autoSpaceDN/>
        <w:bidi w:val="0"/>
        <w:snapToGrid/>
        <w:spacing w:line="42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监狱企业 </w:t>
      </w:r>
    </w:p>
    <w:p w14:paraId="6F91AFC0">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 </w:t>
      </w:r>
    </w:p>
    <w:p w14:paraId="534DF0D9">
      <w:pPr>
        <w:pStyle w:val="30"/>
        <w:keepLines w:val="0"/>
        <w:pageBreakBefore w:val="0"/>
        <w:widowControl w:val="0"/>
        <w:shd w:val="clear"/>
        <w:kinsoku/>
        <w:wordWrap/>
        <w:topLinePunct w:val="0"/>
        <w:autoSpaceDE/>
        <w:autoSpaceDN/>
        <w:bidi w:val="0"/>
        <w:snapToGrid/>
        <w:spacing w:line="42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残疾人福利性单位 </w:t>
      </w:r>
    </w:p>
    <w:p w14:paraId="45F1D98E">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根据《财政部 民政部 中国残疾人联合会关于促进残疾人就业政府采购政策的通知》，享受政府采购支持政策的残疾人福利性单位应当同时满足以下条件： </w:t>
      </w:r>
    </w:p>
    <w:p w14:paraId="27BFC770">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安置的残疾人占本单位在职职工人数的比例不低于 25%（含 25%），并且安置的残疾人人数不少于 10 人（含 10 人）； </w:t>
      </w:r>
    </w:p>
    <w:p w14:paraId="5268F480">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依法与安置的每位残疾人签订了一年以上（含一年）的劳动合同或服务协议； </w:t>
      </w:r>
    </w:p>
    <w:p w14:paraId="2C41BFC2">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为安置的每位残疾人按月足额</w:t>
      </w:r>
      <w:r>
        <w:rPr>
          <w:rFonts w:hint="eastAsia" w:ascii="宋体" w:hAnsi="宋体" w:cs="宋体"/>
          <w:color w:val="000000" w:themeColor="text1"/>
          <w:sz w:val="21"/>
          <w:szCs w:val="21"/>
          <w:highlight w:val="none"/>
          <w:lang w:eastAsia="zh-CN"/>
          <w14:textFill>
            <w14:solidFill>
              <w14:schemeClr w14:val="tx1"/>
            </w14:solidFill>
          </w14:textFill>
        </w:rPr>
        <w:t>交纳</w:t>
      </w:r>
      <w:r>
        <w:rPr>
          <w:rFonts w:hint="eastAsia" w:ascii="宋体" w:hAnsi="宋体" w:eastAsia="宋体" w:cs="宋体"/>
          <w:color w:val="000000" w:themeColor="text1"/>
          <w:sz w:val="21"/>
          <w:szCs w:val="21"/>
          <w:highlight w:val="none"/>
          <w14:textFill>
            <w14:solidFill>
              <w14:schemeClr w14:val="tx1"/>
            </w14:solidFill>
          </w14:textFill>
        </w:rPr>
        <w:t xml:space="preserve">了基本养老保险、基本医疗保险、失业保险、工伤保险和生育保险等社会保险费； </w:t>
      </w:r>
    </w:p>
    <w:p w14:paraId="314B89F6">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通过银行等金融机构向安置的每位残疾人，按月支付了不低于单位所在区县适用的经省级人民政府批准的月最低工资标准的工资； </w:t>
      </w:r>
    </w:p>
    <w:p w14:paraId="1863DECB">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提供本单位制造的货物、承担的工程或者服务（以下简称产品），或者提供其他残疾人福利性单位制造的货物（不包括使用非残疾人福利性单位注册商标的货物）。 </w:t>
      </w:r>
    </w:p>
    <w:p w14:paraId="4866E170">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14:paraId="7DAE4254">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31.2</w:t>
      </w:r>
      <w:r>
        <w:rPr>
          <w:rFonts w:hint="eastAsia" w:ascii="宋体" w:hAnsi="宋体" w:eastAsia="宋体" w:cs="宋体"/>
          <w:color w:val="000000" w:themeColor="text1"/>
          <w:sz w:val="21"/>
          <w:szCs w:val="21"/>
          <w:highlight w:val="none"/>
          <w14:textFill>
            <w14:solidFill>
              <w14:schemeClr w14:val="tx1"/>
            </w14:solidFill>
          </w14:textFill>
        </w:rPr>
        <w:t xml:space="preserve">符合条件的残疾人福利性单位在参加政府采购活动时，应当提供《残疾人福利性单位声明函》，并对声明的真实性负责。 </w:t>
      </w:r>
    </w:p>
    <w:p w14:paraId="6CE1187A">
      <w:pPr>
        <w:pStyle w:val="30"/>
        <w:keepLines w:val="0"/>
        <w:pageBreakBefore w:val="0"/>
        <w:widowControl w:val="0"/>
        <w:shd w:val="clear"/>
        <w:kinsoku/>
        <w:wordWrap/>
        <w:topLinePunct w:val="0"/>
        <w:autoSpaceDE/>
        <w:autoSpaceDN/>
        <w:bidi w:val="0"/>
        <w:snapToGrid/>
        <w:spacing w:line="42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节能产品</w:t>
      </w:r>
    </w:p>
    <w:p w14:paraId="1893AFD9">
      <w:pPr>
        <w:pageBreakBefore w:val="0"/>
        <w:widowControl w:val="0"/>
        <w:numPr>
          <w:ilvl w:val="0"/>
          <w:numId w:val="0"/>
        </w:numPr>
        <w:shd w:val="clear"/>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对国家公布的节能产品政府采购清单中属于强制采购的产品，予以强制采购。属于非强制采购的产品，在技术、服务等指标同等条件下，予以优先采购。执行政策文件：《国务院办公厅关于建立政府强制采购节能产品制度的通知》（国办发〔2007〕51号）等文件、财库〔2019〕19号文件。</w:t>
      </w:r>
    </w:p>
    <w:p w14:paraId="3495A467">
      <w:pPr>
        <w:pStyle w:val="30"/>
        <w:keepLines w:val="0"/>
        <w:pageBreakBefore w:val="0"/>
        <w:widowControl w:val="0"/>
        <w:shd w:val="clear"/>
        <w:kinsoku/>
        <w:wordWrap/>
        <w:topLinePunct w:val="0"/>
        <w:autoSpaceDE/>
        <w:autoSpaceDN/>
        <w:bidi w:val="0"/>
        <w:snapToGrid/>
        <w:spacing w:line="420" w:lineRule="exac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鼓励环保政策 </w:t>
      </w:r>
    </w:p>
    <w:p w14:paraId="0A0B9085">
      <w:pPr>
        <w:pageBreakBefore w:val="0"/>
        <w:widowControl w:val="0"/>
        <w:numPr>
          <w:ilvl w:val="0"/>
          <w:numId w:val="0"/>
        </w:numPr>
        <w:shd w:val="clear"/>
        <w:kinsoku/>
        <w:wordWrap/>
        <w:overflowPunct/>
        <w:topLinePunct w:val="0"/>
        <w:autoSpaceDE w:val="0"/>
        <w:autoSpaceDN w:val="0"/>
        <w:bidi w:val="0"/>
        <w:adjustRightInd/>
        <w:snapToGrid/>
        <w:spacing w:line="42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在技术、服务等指标同等条件下，优先采购国家公布的属于环境标志产品政府采购清单中产品。执行政策文件：《财政部 环保总局关于环境标志产品政府采购实施的意见》（财库〔2006〕90号）</w:t>
      </w:r>
      <w:r>
        <w:rPr>
          <w:rFonts w:hint="eastAsia" w:ascii="宋体" w:hAnsi="宋体" w:cs="宋体"/>
          <w:color w:val="000000" w:themeColor="text1"/>
          <w:sz w:val="21"/>
          <w:szCs w:val="21"/>
          <w:highlight w:val="none"/>
          <w:lang w:eastAsia="zh-CN"/>
          <w14:textFill>
            <w14:solidFill>
              <w14:schemeClr w14:val="tx1"/>
            </w14:solidFill>
          </w14:textFill>
        </w:rPr>
        <w:t>等文件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67CECEB">
      <w:pPr>
        <w:widowControl w:val="0"/>
        <w:snapToGrid w:val="0"/>
        <w:spacing w:line="300" w:lineRule="auto"/>
        <w:jc w:val="center"/>
        <w:rPr>
          <w:rFonts w:ascii="宋体" w:hAnsi="宋体" w:cs="宋体"/>
          <w:color w:val="000000" w:themeColor="text1"/>
          <w:highlight w:val="none"/>
          <w14:textFill>
            <w14:solidFill>
              <w14:schemeClr w14:val="tx1"/>
            </w14:solidFill>
          </w14:textFill>
        </w:rPr>
      </w:pPr>
    </w:p>
    <w:p w14:paraId="559C560A">
      <w:pPr>
        <w:pStyle w:val="23"/>
        <w:widowControl w:val="0"/>
        <w:ind w:left="480"/>
        <w:rPr>
          <w:rFonts w:hint="default" w:hAnsi="宋体" w:cs="宋体"/>
          <w:color w:val="000000" w:themeColor="text1"/>
          <w:highlight w:val="none"/>
          <w14:textFill>
            <w14:solidFill>
              <w14:schemeClr w14:val="tx1"/>
            </w14:solidFill>
          </w14:textFill>
        </w:rPr>
      </w:pPr>
    </w:p>
    <w:p w14:paraId="221CBAD3">
      <w:pPr>
        <w:pStyle w:val="23"/>
        <w:widowControl w:val="0"/>
        <w:ind w:left="480"/>
        <w:rPr>
          <w:rFonts w:hint="default" w:hAnsi="宋体" w:cs="宋体"/>
          <w:color w:val="000000" w:themeColor="text1"/>
          <w:highlight w:val="none"/>
          <w14:textFill>
            <w14:solidFill>
              <w14:schemeClr w14:val="tx1"/>
            </w14:solidFill>
          </w14:textFill>
        </w:rPr>
      </w:pPr>
    </w:p>
    <w:p w14:paraId="6DEE2F52">
      <w:pPr>
        <w:pStyle w:val="23"/>
        <w:widowControl w:val="0"/>
        <w:ind w:left="480"/>
        <w:rPr>
          <w:rFonts w:hint="default" w:hAnsi="宋体" w:cs="宋体"/>
          <w:color w:val="000000" w:themeColor="text1"/>
          <w:highlight w:val="none"/>
          <w14:textFill>
            <w14:solidFill>
              <w14:schemeClr w14:val="tx1"/>
            </w14:solidFill>
          </w14:textFill>
        </w:rPr>
      </w:pPr>
    </w:p>
    <w:p w14:paraId="73B33E58">
      <w:pPr>
        <w:pStyle w:val="23"/>
        <w:widowControl w:val="0"/>
        <w:ind w:left="480"/>
        <w:rPr>
          <w:rFonts w:hint="default" w:hAnsi="宋体" w:cs="宋体"/>
          <w:color w:val="000000" w:themeColor="text1"/>
          <w:highlight w:val="none"/>
          <w14:textFill>
            <w14:solidFill>
              <w14:schemeClr w14:val="tx1"/>
            </w14:solidFill>
          </w14:textFill>
        </w:rPr>
      </w:pPr>
    </w:p>
    <w:p w14:paraId="1E57FA38">
      <w:pPr>
        <w:pStyle w:val="23"/>
        <w:widowControl w:val="0"/>
        <w:ind w:left="480"/>
        <w:rPr>
          <w:rFonts w:hint="default" w:hAnsi="宋体" w:cs="宋体"/>
          <w:color w:val="000000" w:themeColor="text1"/>
          <w:highlight w:val="none"/>
          <w14:textFill>
            <w14:solidFill>
              <w14:schemeClr w14:val="tx1"/>
            </w14:solidFill>
          </w14:textFill>
        </w:rPr>
      </w:pPr>
    </w:p>
    <w:p w14:paraId="24F4EF29">
      <w:pPr>
        <w:pStyle w:val="23"/>
        <w:widowControl w:val="0"/>
        <w:ind w:left="480"/>
        <w:rPr>
          <w:rFonts w:hint="default" w:hAnsi="宋体" w:cs="宋体"/>
          <w:color w:val="000000" w:themeColor="text1"/>
          <w:highlight w:val="none"/>
          <w14:textFill>
            <w14:solidFill>
              <w14:schemeClr w14:val="tx1"/>
            </w14:solidFill>
          </w14:textFill>
        </w:rPr>
      </w:pPr>
    </w:p>
    <w:p w14:paraId="23A158C9">
      <w:pPr>
        <w:pStyle w:val="23"/>
        <w:widowControl w:val="0"/>
        <w:ind w:left="480"/>
        <w:rPr>
          <w:rFonts w:hint="default" w:hAnsi="宋体" w:cs="宋体"/>
          <w:color w:val="000000" w:themeColor="text1"/>
          <w:highlight w:val="none"/>
          <w14:textFill>
            <w14:solidFill>
              <w14:schemeClr w14:val="tx1"/>
            </w14:solidFill>
          </w14:textFill>
        </w:rPr>
      </w:pPr>
    </w:p>
    <w:p w14:paraId="3F69EF45">
      <w:pPr>
        <w:pStyle w:val="23"/>
        <w:widowControl w:val="0"/>
        <w:ind w:left="480"/>
        <w:rPr>
          <w:rFonts w:hint="default" w:hAnsi="宋体" w:cs="宋体"/>
          <w:color w:val="000000" w:themeColor="text1"/>
          <w:highlight w:val="none"/>
          <w14:textFill>
            <w14:solidFill>
              <w14:schemeClr w14:val="tx1"/>
            </w14:solidFill>
          </w14:textFill>
        </w:rPr>
      </w:pPr>
    </w:p>
    <w:p w14:paraId="6F571CFC">
      <w:pPr>
        <w:pStyle w:val="23"/>
        <w:widowControl w:val="0"/>
        <w:ind w:left="480"/>
        <w:rPr>
          <w:rFonts w:hint="default" w:hAnsi="宋体" w:cs="宋体"/>
          <w:color w:val="000000" w:themeColor="text1"/>
          <w:highlight w:val="none"/>
          <w14:textFill>
            <w14:solidFill>
              <w14:schemeClr w14:val="tx1"/>
            </w14:solidFill>
          </w14:textFill>
        </w:rPr>
      </w:pPr>
    </w:p>
    <w:p w14:paraId="74AD998C">
      <w:pPr>
        <w:widowControl w:val="0"/>
        <w:jc w:val="both"/>
        <w:outlineLvl w:val="0"/>
        <w:rPr>
          <w:rFonts w:hint="eastAsia" w:ascii="宋体" w:hAnsi="宋体" w:cs="宋体"/>
          <w:b/>
          <w:bCs/>
          <w:color w:val="000000" w:themeColor="text1"/>
          <w:sz w:val="48"/>
          <w:szCs w:val="48"/>
          <w:highlight w:val="none"/>
          <w14:textFill>
            <w14:solidFill>
              <w14:schemeClr w14:val="tx1"/>
            </w14:solidFill>
          </w14:textFill>
        </w:rPr>
      </w:pPr>
      <w:bookmarkStart w:id="75" w:name="_Toc508109940"/>
      <w:bookmarkStart w:id="76" w:name="_Toc66736814"/>
      <w:bookmarkStart w:id="77" w:name="_Toc331341767"/>
      <w:bookmarkStart w:id="78" w:name="_Toc31416"/>
      <w:bookmarkStart w:id="79" w:name="_Toc19814"/>
      <w:bookmarkStart w:id="80" w:name="_Toc508110229"/>
      <w:bookmarkStart w:id="81" w:name="_Toc66457126"/>
      <w:bookmarkStart w:id="82" w:name="_Toc331427672"/>
    </w:p>
    <w:p w14:paraId="5980AA70">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4BAB54FE">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6EB467FC">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6828C74E">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341E8BC5">
      <w:pPr>
        <w:widowControl w:val="0"/>
        <w:jc w:val="center"/>
        <w:outlineLvl w:val="0"/>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 xml:space="preserve">第三章  </w:t>
      </w:r>
      <w:r>
        <w:rPr>
          <w:rFonts w:hint="eastAsia" w:ascii="宋体" w:hAnsi="宋体" w:cs="宋体"/>
          <w:b/>
          <w:bCs/>
          <w:color w:val="000000" w:themeColor="text1"/>
          <w:sz w:val="48"/>
          <w:szCs w:val="48"/>
          <w:highlight w:val="none"/>
          <w:lang w:eastAsia="zh-CN"/>
          <w14:textFill>
            <w14:solidFill>
              <w14:schemeClr w14:val="tx1"/>
            </w14:solidFill>
          </w14:textFill>
        </w:rPr>
        <w:t>评审</w:t>
      </w:r>
      <w:r>
        <w:rPr>
          <w:rFonts w:hint="eastAsia" w:ascii="宋体" w:hAnsi="宋体" w:cs="宋体"/>
          <w:b/>
          <w:bCs/>
          <w:color w:val="000000" w:themeColor="text1"/>
          <w:sz w:val="48"/>
          <w:szCs w:val="48"/>
          <w:highlight w:val="none"/>
          <w14:textFill>
            <w14:solidFill>
              <w14:schemeClr w14:val="tx1"/>
            </w14:solidFill>
          </w14:textFill>
        </w:rPr>
        <w:t>办法</w:t>
      </w:r>
      <w:bookmarkEnd w:id="75"/>
      <w:bookmarkEnd w:id="76"/>
      <w:bookmarkEnd w:id="77"/>
      <w:bookmarkEnd w:id="78"/>
      <w:bookmarkEnd w:id="79"/>
      <w:bookmarkEnd w:id="80"/>
      <w:bookmarkEnd w:id="81"/>
      <w:bookmarkEnd w:id="82"/>
    </w:p>
    <w:p w14:paraId="4CEE71D7">
      <w:pPr>
        <w:widowControl w:val="0"/>
        <w:spacing w:line="300" w:lineRule="auto"/>
        <w:rPr>
          <w:rFonts w:ascii="宋体" w:hAnsi="宋体" w:cs="宋体"/>
          <w:color w:val="000000" w:themeColor="text1"/>
          <w:highlight w:val="none"/>
          <w14:textFill>
            <w14:solidFill>
              <w14:schemeClr w14:val="tx1"/>
            </w14:solidFill>
          </w14:textFill>
        </w:rPr>
      </w:pPr>
    </w:p>
    <w:p w14:paraId="77FC7084">
      <w:pPr>
        <w:widowControl w:val="0"/>
        <w:spacing w:before="100" w:beforeAutospacing="1" w:after="100" w:afterAutospacing="1"/>
        <w:jc w:val="center"/>
        <w:rPr>
          <w:rFonts w:ascii="宋体" w:hAnsi="宋体" w:cs="宋体"/>
          <w:b/>
          <w:color w:val="000000" w:themeColor="text1"/>
          <w:sz w:val="44"/>
          <w:szCs w:val="44"/>
          <w:highlight w:val="none"/>
          <w14:textFill>
            <w14:solidFill>
              <w14:schemeClr w14:val="tx1"/>
            </w14:solidFill>
          </w14:textFill>
        </w:rPr>
      </w:pPr>
      <w:bookmarkStart w:id="83" w:name="_Toc331341768"/>
      <w:r>
        <w:rPr>
          <w:rFonts w:hint="eastAsia" w:ascii="宋体" w:hAnsi="宋体" w:cs="宋体"/>
          <w:bCs/>
          <w:color w:val="000000" w:themeColor="text1"/>
          <w:highlight w:val="none"/>
          <w14:textFill>
            <w14:solidFill>
              <w14:schemeClr w14:val="tx1"/>
            </w14:solidFill>
          </w14:textFill>
        </w:rPr>
        <w:br w:type="page"/>
      </w:r>
      <w:bookmarkEnd w:id="83"/>
    </w:p>
    <w:p w14:paraId="37D95BEA">
      <w:pPr>
        <w:widowControl w:val="0"/>
        <w:jc w:val="center"/>
        <w:outlineLvl w:val="1"/>
        <w:rPr>
          <w:rFonts w:hint="eastAsia" w:ascii="宋体" w:hAnsi="宋体" w:cs="宋体"/>
          <w:b/>
          <w:bCs/>
          <w:color w:val="000000" w:themeColor="text1"/>
          <w:sz w:val="32"/>
          <w:highlight w:val="none"/>
          <w14:textFill>
            <w14:solidFill>
              <w14:schemeClr w14:val="tx1"/>
            </w14:solidFill>
          </w14:textFill>
        </w:rPr>
      </w:pPr>
      <w:bookmarkStart w:id="84" w:name="_Toc66736815"/>
      <w:bookmarkStart w:id="85" w:name="_Toc508110230"/>
      <w:bookmarkStart w:id="86" w:name="_Toc508109941"/>
      <w:bookmarkStart w:id="87" w:name="_Toc4301"/>
      <w:bookmarkStart w:id="88" w:name="_Toc331427673"/>
      <w:bookmarkStart w:id="89" w:name="_Toc66457127"/>
      <w:bookmarkStart w:id="90" w:name="_Toc331341769"/>
      <w:bookmarkStart w:id="91" w:name="_Toc518822537"/>
      <w:bookmarkStart w:id="92" w:name="_Toc3401"/>
      <w:bookmarkStart w:id="93" w:name="_Toc331341770"/>
      <w:bookmarkStart w:id="94" w:name="_Toc331427674"/>
      <w:bookmarkStart w:id="95" w:name="_Toc508110231"/>
      <w:bookmarkStart w:id="96" w:name="_Toc508109942"/>
      <w:r>
        <w:rPr>
          <w:rFonts w:hint="eastAsia" w:ascii="宋体" w:hAnsi="宋体" w:cs="宋体"/>
          <w:b/>
          <w:bCs/>
          <w:color w:val="000000" w:themeColor="text1"/>
          <w:sz w:val="32"/>
          <w:highlight w:val="none"/>
          <w:lang w:eastAsia="zh-CN"/>
          <w14:textFill>
            <w14:solidFill>
              <w14:schemeClr w14:val="tx1"/>
            </w14:solidFill>
          </w14:textFill>
        </w:rPr>
        <w:t>评审</w:t>
      </w:r>
      <w:r>
        <w:rPr>
          <w:rFonts w:hint="eastAsia" w:ascii="宋体" w:hAnsi="宋体" w:cs="宋体"/>
          <w:b/>
          <w:bCs/>
          <w:color w:val="000000" w:themeColor="text1"/>
          <w:sz w:val="32"/>
          <w:highlight w:val="none"/>
          <w14:textFill>
            <w14:solidFill>
              <w14:schemeClr w14:val="tx1"/>
            </w14:solidFill>
          </w14:textFill>
        </w:rPr>
        <w:t>办法前附表</w:t>
      </w:r>
      <w:bookmarkEnd w:id="84"/>
      <w:bookmarkEnd w:id="85"/>
      <w:bookmarkEnd w:id="86"/>
      <w:bookmarkEnd w:id="87"/>
      <w:bookmarkEnd w:id="88"/>
      <w:bookmarkEnd w:id="89"/>
      <w:bookmarkEnd w:id="90"/>
      <w:bookmarkEnd w:id="91"/>
      <w:bookmarkEnd w:id="92"/>
    </w:p>
    <w:p w14:paraId="7F0CB073">
      <w:pPr>
        <w:pStyle w:val="23"/>
        <w:ind w:left="0" w:leftChars="0" w:firstLine="0" w:firstLineChars="0"/>
        <w:jc w:val="center"/>
        <w:rPr>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综合评分法</w:t>
      </w:r>
      <w:r>
        <w:rPr>
          <w:rFonts w:hint="eastAsia"/>
          <w:b/>
          <w:bCs/>
          <w:color w:val="000000" w:themeColor="text1"/>
          <w:highlight w:val="none"/>
          <w:lang w:eastAsia="zh-CN"/>
          <w14:textFill>
            <w14:solidFill>
              <w14:schemeClr w14:val="tx1"/>
            </w14:solidFill>
          </w14:textFill>
        </w:rPr>
        <w:t>）</w:t>
      </w:r>
    </w:p>
    <w:tbl>
      <w:tblPr>
        <w:tblStyle w:val="51"/>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90"/>
        <w:gridCol w:w="2427"/>
        <w:gridCol w:w="5602"/>
      </w:tblGrid>
      <w:tr w14:paraId="667F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49" w:type="dxa"/>
            <w:gridSpan w:val="2"/>
            <w:vAlign w:val="center"/>
          </w:tcPr>
          <w:p w14:paraId="4240CC5F">
            <w:pPr>
              <w:widowControl w:val="0"/>
              <w:spacing w:before="100" w:beforeAutospacing="1" w:after="100" w:afterAutospacing="1" w:line="38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条款号</w:t>
            </w:r>
          </w:p>
        </w:tc>
        <w:tc>
          <w:tcPr>
            <w:tcW w:w="2427" w:type="dxa"/>
            <w:vAlign w:val="center"/>
          </w:tcPr>
          <w:p w14:paraId="75C36930">
            <w:pPr>
              <w:widowControl w:val="0"/>
              <w:spacing w:before="100" w:beforeAutospacing="1" w:after="100" w:afterAutospacing="1" w:line="38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审 查 内 容</w:t>
            </w:r>
          </w:p>
        </w:tc>
        <w:tc>
          <w:tcPr>
            <w:tcW w:w="5602" w:type="dxa"/>
            <w:vAlign w:val="center"/>
          </w:tcPr>
          <w:p w14:paraId="2C30954E">
            <w:pPr>
              <w:widowControl w:val="0"/>
              <w:spacing w:before="100" w:beforeAutospacing="1" w:after="100" w:afterAutospacing="1" w:line="38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审 查 标 准</w:t>
            </w:r>
          </w:p>
        </w:tc>
      </w:tr>
      <w:tr w14:paraId="68A0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restart"/>
            <w:vAlign w:val="center"/>
          </w:tcPr>
          <w:p w14:paraId="4BE4F825">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990" w:type="dxa"/>
            <w:vMerge w:val="restart"/>
            <w:vAlign w:val="center"/>
          </w:tcPr>
          <w:p w14:paraId="7FC89F2A">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资格审查</w:t>
            </w:r>
          </w:p>
        </w:tc>
        <w:tc>
          <w:tcPr>
            <w:tcW w:w="2427" w:type="dxa"/>
            <w:vMerge w:val="restart"/>
            <w:vAlign w:val="center"/>
          </w:tcPr>
          <w:p w14:paraId="32F1B2ED">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资格条件</w:t>
            </w:r>
          </w:p>
        </w:tc>
        <w:tc>
          <w:tcPr>
            <w:tcW w:w="5602" w:type="dxa"/>
            <w:vAlign w:val="center"/>
          </w:tcPr>
          <w:p w14:paraId="0E57F7DD">
            <w:pPr>
              <w:widowControl w:val="0"/>
              <w:spacing w:before="100" w:beforeAutospacing="1" w:after="100" w:afterAutospacing="1"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auto"/>
                <w:highlight w:val="none"/>
              </w:rPr>
              <w:t>具有独立承担民事责任的能力</w:t>
            </w:r>
            <w:r>
              <w:rPr>
                <w:rFonts w:hint="eastAsia" w:ascii="宋体" w:hAnsi="宋体" w:cs="宋体"/>
                <w:color w:val="auto"/>
                <w:highlight w:val="none"/>
                <w:lang w:eastAsia="zh-CN"/>
              </w:rPr>
              <w:t>。</w:t>
            </w:r>
          </w:p>
        </w:tc>
      </w:tr>
      <w:tr w14:paraId="36AB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228E9D25">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3981BCA3">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5C7381B9">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376F73CD">
            <w:pPr>
              <w:widowControl w:val="0"/>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具有良好的商业信誉和健全的财务会计制度（</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提供2023年度或2024年度经第三方审计的财务报告及报表或企业自身出具的合法有效的财务报表；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成立不足1年的，可提供企业成立至今合法有效的财务资料）</w:t>
            </w:r>
            <w:r>
              <w:rPr>
                <w:rFonts w:hint="eastAsia" w:ascii="宋体" w:hAnsi="宋体" w:cs="宋体"/>
                <w:color w:val="000000" w:themeColor="text1"/>
                <w:highlight w:val="none"/>
                <w:lang w:eastAsia="zh-CN"/>
                <w14:textFill>
                  <w14:solidFill>
                    <w14:schemeClr w14:val="tx1"/>
                  </w14:solidFill>
                </w14:textFill>
              </w:rPr>
              <w:t>。</w:t>
            </w:r>
          </w:p>
        </w:tc>
      </w:tr>
      <w:tr w14:paraId="75BD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684D8040">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27D1645E">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4E3B12E7">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50712B4B">
            <w:pPr>
              <w:widowControl w:val="0"/>
              <w:spacing w:before="100" w:beforeAutospacing="1" w:after="100" w:afterAutospacing="1"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具有履行合同所必需的设备和专业技术能力。</w:t>
            </w:r>
          </w:p>
        </w:tc>
      </w:tr>
      <w:tr w14:paraId="3616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0831B957">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79FA0FB4">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38F23CBD">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7ED33D6A">
            <w:pPr>
              <w:widowControl w:val="0"/>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auto"/>
                <w:highlight w:val="none"/>
              </w:rPr>
              <w:t>有依法缴纳税收和社会保障资金的良好记录（</w:t>
            </w:r>
            <w:r>
              <w:rPr>
                <w:rFonts w:hint="eastAsia" w:ascii="宋体" w:hAnsi="宋体" w:cs="宋体"/>
                <w:color w:val="auto"/>
                <w:highlight w:val="none"/>
                <w:lang w:eastAsia="zh-CN"/>
              </w:rPr>
              <w:t>供应商</w:t>
            </w:r>
            <w:r>
              <w:rPr>
                <w:rFonts w:hint="eastAsia" w:ascii="宋体" w:hAnsi="宋体" w:cs="宋体"/>
                <w:color w:val="auto"/>
                <w:highlight w:val="none"/>
              </w:rPr>
              <w:t>提供缴税所属时间在2024年01月至本项目</w:t>
            </w:r>
            <w:r>
              <w:rPr>
                <w:rFonts w:hint="eastAsia" w:ascii="宋体" w:hAnsi="宋体" w:cs="宋体"/>
                <w:color w:val="auto"/>
                <w:highlight w:val="none"/>
                <w:lang w:eastAsia="zh-CN"/>
              </w:rPr>
              <w:t>磋商</w:t>
            </w:r>
            <w:r>
              <w:rPr>
                <w:rFonts w:hint="eastAsia" w:ascii="宋体" w:hAnsi="宋体" w:cs="宋体"/>
                <w:color w:val="auto"/>
                <w:highlight w:val="none"/>
              </w:rPr>
              <w:t>响应文件提交截止时间前任意1个月的税务局税收通用缴款书或银行电子缴税（费）凭证或税务局出具纳税情况的相关证明，依法免税的，应提供依法免税的相关证明文件；至开标截止时间</w:t>
            </w:r>
            <w:r>
              <w:rPr>
                <w:rFonts w:hint="eastAsia" w:ascii="宋体" w:hAnsi="宋体" w:cs="宋体"/>
                <w:color w:val="auto"/>
                <w:highlight w:val="none"/>
                <w:lang w:eastAsia="zh-CN"/>
              </w:rPr>
              <w:t>供应商</w:t>
            </w:r>
            <w:r>
              <w:rPr>
                <w:rFonts w:hint="eastAsia" w:ascii="宋体" w:hAnsi="宋体" w:cs="宋体"/>
                <w:color w:val="auto"/>
                <w:highlight w:val="none"/>
              </w:rPr>
              <w:t>成立时间不足1个月的可根据自身情况提供依法缴纳税收相关材料或提供书面情况说明；</w:t>
            </w:r>
            <w:r>
              <w:rPr>
                <w:rFonts w:hint="eastAsia" w:ascii="宋体" w:hAnsi="宋体" w:cs="宋体"/>
                <w:color w:val="auto"/>
                <w:highlight w:val="none"/>
                <w:lang w:eastAsia="zh-CN"/>
              </w:rPr>
              <w:t>供应商</w:t>
            </w:r>
            <w:r>
              <w:rPr>
                <w:rFonts w:hint="eastAsia" w:ascii="宋体" w:hAnsi="宋体" w:cs="宋体"/>
                <w:color w:val="auto"/>
                <w:highlight w:val="none"/>
              </w:rPr>
              <w:t>提供缴费所属时间在2024年01月至本项目</w:t>
            </w:r>
            <w:r>
              <w:rPr>
                <w:rFonts w:hint="eastAsia" w:ascii="宋体" w:hAnsi="宋体" w:cs="宋体"/>
                <w:color w:val="auto"/>
                <w:highlight w:val="none"/>
                <w:lang w:eastAsia="zh-CN"/>
              </w:rPr>
              <w:t>磋商</w:t>
            </w:r>
            <w:r>
              <w:rPr>
                <w:rFonts w:hint="eastAsia" w:ascii="宋体" w:hAnsi="宋体" w:cs="宋体"/>
                <w:color w:val="auto"/>
                <w:highlight w:val="none"/>
              </w:rPr>
              <w:t>响应文件提交截止时间前任意1个月的社会保险费缴款书或银行电子缴税（费）凭证或社保管理部门出具的有效的缴款证明，依法免缴的，应提供依法免缴的相关证明文件；至开标截止时间</w:t>
            </w:r>
            <w:r>
              <w:rPr>
                <w:rFonts w:hint="eastAsia" w:ascii="宋体" w:hAnsi="宋体" w:cs="宋体"/>
                <w:color w:val="auto"/>
                <w:highlight w:val="none"/>
                <w:lang w:eastAsia="zh-CN"/>
              </w:rPr>
              <w:t>供应商</w:t>
            </w:r>
            <w:r>
              <w:rPr>
                <w:rFonts w:hint="eastAsia" w:ascii="宋体" w:hAnsi="宋体" w:cs="宋体"/>
                <w:color w:val="auto"/>
                <w:highlight w:val="none"/>
              </w:rPr>
              <w:t>成立时间不足1个月的可根据自身情况提供依法缴纳社会保障资金相关材料或提供书面情况说明）</w:t>
            </w:r>
            <w:r>
              <w:rPr>
                <w:rFonts w:hint="eastAsia" w:ascii="宋体" w:hAnsi="宋体" w:cs="宋体"/>
                <w:color w:val="auto"/>
                <w:highlight w:val="none"/>
                <w:lang w:eastAsia="zh-CN"/>
              </w:rPr>
              <w:t>。</w:t>
            </w:r>
          </w:p>
        </w:tc>
      </w:tr>
      <w:tr w14:paraId="42EC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74D9C0B0">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5E95D736">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08E281D3">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359B9709">
            <w:pPr>
              <w:widowControl w:val="0"/>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参加政府采购活动前三年内，在经营活动中没有重大违法记录</w:t>
            </w:r>
            <w:r>
              <w:rPr>
                <w:rFonts w:hint="eastAsia" w:ascii="宋体" w:hAnsi="宋体" w:cs="宋体"/>
                <w:color w:val="000000" w:themeColor="text1"/>
                <w:highlight w:val="none"/>
                <w:lang w:eastAsia="zh-CN"/>
                <w14:textFill>
                  <w14:solidFill>
                    <w14:schemeClr w14:val="tx1"/>
                  </w14:solidFill>
                </w14:textFill>
              </w:rPr>
              <w:t>。</w:t>
            </w:r>
          </w:p>
        </w:tc>
      </w:tr>
      <w:tr w14:paraId="021D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6D93AD9B">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501DBB51">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699D2293">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16B81F96">
            <w:pPr>
              <w:widowControl w:val="0"/>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法律、行政法规规定的其他条件</w:t>
            </w:r>
            <w:r>
              <w:rPr>
                <w:rFonts w:hint="eastAsia" w:ascii="宋体" w:hAnsi="宋体" w:cs="宋体"/>
                <w:color w:val="000000" w:themeColor="text1"/>
                <w:highlight w:val="none"/>
                <w:lang w:eastAsia="zh-CN"/>
                <w14:textFill>
                  <w14:solidFill>
                    <w14:schemeClr w14:val="tx1"/>
                  </w14:solidFill>
                </w14:textFill>
              </w:rPr>
              <w:t>。</w:t>
            </w:r>
          </w:p>
        </w:tc>
      </w:tr>
      <w:tr w14:paraId="50BB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3311336F">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6899916B">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5FB95933">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1DC02E60">
            <w:pPr>
              <w:widowControl w:val="0"/>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单位负责人为同一人或者存在直接控股、管理关系的不同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，不得参加同一合同项下的政府采购活动</w:t>
            </w:r>
            <w:r>
              <w:rPr>
                <w:rFonts w:hint="eastAsia" w:ascii="宋体" w:hAnsi="宋体" w:cs="宋体"/>
                <w:color w:val="000000" w:themeColor="text1"/>
                <w:highlight w:val="none"/>
                <w:lang w:eastAsia="zh-CN"/>
                <w14:textFill>
                  <w14:solidFill>
                    <w14:schemeClr w14:val="tx1"/>
                  </w14:solidFill>
                </w14:textFill>
              </w:rPr>
              <w:t>。</w:t>
            </w:r>
          </w:p>
        </w:tc>
      </w:tr>
      <w:tr w14:paraId="5806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vAlign w:val="center"/>
          </w:tcPr>
          <w:p w14:paraId="72C16A68">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990" w:type="dxa"/>
            <w:vMerge w:val="continue"/>
            <w:vAlign w:val="center"/>
          </w:tcPr>
          <w:p w14:paraId="036CFFF6">
            <w:pPr>
              <w:widowControl w:val="0"/>
              <w:spacing w:before="100" w:beforeAutospacing="1" w:after="100" w:afterAutospacing="1" w:line="380" w:lineRule="exact"/>
              <w:rPr>
                <w:rFonts w:ascii="宋体" w:hAnsi="宋体" w:cs="宋体"/>
                <w:color w:val="000000" w:themeColor="text1"/>
                <w:highlight w:val="none"/>
                <w14:textFill>
                  <w14:solidFill>
                    <w14:schemeClr w14:val="tx1"/>
                  </w14:solidFill>
                </w14:textFill>
              </w:rPr>
            </w:pPr>
          </w:p>
        </w:tc>
        <w:tc>
          <w:tcPr>
            <w:tcW w:w="2427" w:type="dxa"/>
            <w:vMerge w:val="continue"/>
            <w:vAlign w:val="center"/>
          </w:tcPr>
          <w:p w14:paraId="020C3347">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5602" w:type="dxa"/>
            <w:vAlign w:val="center"/>
          </w:tcPr>
          <w:p w14:paraId="178A0175">
            <w:pPr>
              <w:widowControl w:val="0"/>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b w:val="0"/>
                <w:bCs w:val="0"/>
                <w:color w:val="auto"/>
              </w:rPr>
              <w:t>拟投入本项目负责人</w:t>
            </w:r>
            <w:r>
              <w:rPr>
                <w:rFonts w:hint="eastAsia" w:ascii="宋体" w:hAnsi="宋体" w:cs="宋体"/>
                <w:b w:val="0"/>
                <w:bCs w:val="0"/>
                <w:color w:val="auto"/>
                <w:lang w:eastAsia="zh-CN"/>
              </w:rPr>
              <w:t>：</w:t>
            </w:r>
            <w:r>
              <w:rPr>
                <w:rFonts w:hint="eastAsia" w:ascii="宋体" w:hAnsi="宋体" w:cs="宋体"/>
                <w:b w:val="0"/>
                <w:bCs w:val="0"/>
                <w:color w:val="auto"/>
              </w:rPr>
              <w:t>应为本单位在职员工</w:t>
            </w:r>
            <w:r>
              <w:rPr>
                <w:rFonts w:hint="eastAsia" w:ascii="宋体" w:hAnsi="宋体" w:cs="宋体"/>
                <w:b w:val="0"/>
                <w:bCs w:val="0"/>
                <w:color w:val="auto"/>
                <w:lang w:eastAsia="zh-CN"/>
              </w:rPr>
              <w:t>，</w:t>
            </w:r>
            <w:r>
              <w:rPr>
                <w:rFonts w:hint="eastAsia" w:ascii="宋体" w:hAnsi="宋体" w:cs="宋体"/>
                <w:b w:val="0"/>
                <w:bCs w:val="0"/>
                <w:color w:val="auto"/>
              </w:rPr>
              <w:t>具备白蚁防治</w:t>
            </w:r>
            <w:r>
              <w:rPr>
                <w:rFonts w:hint="eastAsia" w:ascii="宋体" w:hAnsi="宋体" w:cs="宋体"/>
                <w:b w:val="0"/>
                <w:bCs w:val="0"/>
                <w:color w:val="auto"/>
                <w:lang w:eastAsia="zh-CN"/>
              </w:rPr>
              <w:t>专业</w:t>
            </w:r>
            <w:r>
              <w:rPr>
                <w:rFonts w:hint="eastAsia" w:ascii="宋体" w:hAnsi="宋体" w:cs="宋体"/>
                <w:b w:val="0"/>
                <w:bCs w:val="0"/>
                <w:color w:val="auto"/>
                <w:lang w:val="en-US" w:eastAsia="zh-CN"/>
              </w:rPr>
              <w:t>中级及以上</w:t>
            </w:r>
            <w:r>
              <w:rPr>
                <w:rFonts w:hint="eastAsia" w:ascii="宋体" w:hAnsi="宋体" w:cs="宋体"/>
                <w:b w:val="0"/>
                <w:bCs w:val="0"/>
                <w:color w:val="auto"/>
              </w:rPr>
              <w:t>资格证书</w:t>
            </w:r>
            <w:r>
              <w:rPr>
                <w:rFonts w:hint="eastAsia" w:ascii="宋体" w:hAnsi="宋体" w:cs="宋体"/>
                <w:b w:val="0"/>
                <w:bCs w:val="0"/>
                <w:color w:val="auto"/>
                <w:lang w:val="en-US" w:eastAsia="zh-CN"/>
              </w:rPr>
              <w:t>或职称证书</w:t>
            </w:r>
            <w:r>
              <w:rPr>
                <w:rFonts w:hint="eastAsia" w:ascii="宋体" w:hAnsi="宋体" w:cs="宋体"/>
                <w:b w:val="0"/>
                <w:bCs w:val="0"/>
                <w:color w:val="auto"/>
              </w:rPr>
              <w:t>，提供社保证明材料</w:t>
            </w:r>
            <w:r>
              <w:rPr>
                <w:rFonts w:hint="eastAsia" w:ascii="宋体" w:hAnsi="宋体" w:cs="宋体"/>
                <w:b w:val="0"/>
                <w:bCs w:val="0"/>
                <w:color w:val="auto"/>
                <w:lang w:eastAsia="zh-CN"/>
              </w:rPr>
              <w:t>。</w:t>
            </w:r>
          </w:p>
        </w:tc>
      </w:tr>
      <w:tr w14:paraId="711D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restart"/>
            <w:tcBorders>
              <w:top w:val="single" w:color="auto" w:sz="4" w:space="0"/>
              <w:left w:val="single" w:color="auto" w:sz="4" w:space="0"/>
              <w:right w:val="single" w:color="auto" w:sz="4" w:space="0"/>
            </w:tcBorders>
            <w:vAlign w:val="center"/>
          </w:tcPr>
          <w:p w14:paraId="4BA5C586">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990" w:type="dxa"/>
            <w:vMerge w:val="restart"/>
            <w:tcBorders>
              <w:top w:val="single" w:color="auto" w:sz="4" w:space="0"/>
              <w:left w:val="single" w:color="auto" w:sz="4" w:space="0"/>
              <w:right w:val="single" w:color="auto" w:sz="4" w:space="0"/>
            </w:tcBorders>
            <w:vAlign w:val="center"/>
          </w:tcPr>
          <w:p w14:paraId="4A936D35">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w:t>
            </w:r>
          </w:p>
          <w:p w14:paraId="10BD3B86">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w:t>
            </w:r>
          </w:p>
          <w:p w14:paraId="78F15F13">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性</w:t>
            </w:r>
          </w:p>
          <w:p w14:paraId="7B23E170">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w:t>
            </w:r>
          </w:p>
          <w:p w14:paraId="250FA647">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审</w:t>
            </w:r>
          </w:p>
        </w:tc>
        <w:tc>
          <w:tcPr>
            <w:tcW w:w="2427" w:type="dxa"/>
            <w:tcBorders>
              <w:top w:val="single" w:color="auto" w:sz="4" w:space="0"/>
              <w:left w:val="single" w:color="auto" w:sz="4" w:space="0"/>
              <w:bottom w:val="single" w:color="auto" w:sz="4" w:space="0"/>
              <w:right w:val="single" w:color="auto" w:sz="4" w:space="0"/>
            </w:tcBorders>
            <w:vAlign w:val="center"/>
          </w:tcPr>
          <w:p w14:paraId="4B32F0B4">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签字盖章</w:t>
            </w:r>
          </w:p>
        </w:tc>
        <w:tc>
          <w:tcPr>
            <w:tcW w:w="5602" w:type="dxa"/>
            <w:tcBorders>
              <w:top w:val="single" w:color="auto" w:sz="4" w:space="0"/>
              <w:left w:val="single" w:color="auto" w:sz="4" w:space="0"/>
              <w:bottom w:val="single" w:color="auto" w:sz="4" w:space="0"/>
              <w:right w:val="single" w:color="auto" w:sz="4" w:space="0"/>
            </w:tcBorders>
            <w:vAlign w:val="center"/>
          </w:tcPr>
          <w:p w14:paraId="0A629E4B">
            <w:pPr>
              <w:widowControl w:val="0"/>
              <w:spacing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按竞争性磋商文件的要求签字盖章</w:t>
            </w:r>
            <w:r>
              <w:rPr>
                <w:rFonts w:hint="eastAsia" w:ascii="宋体" w:hAnsi="宋体" w:cs="宋体"/>
                <w:color w:val="000000" w:themeColor="text1"/>
                <w:highlight w:val="none"/>
                <w:lang w:eastAsia="zh-CN"/>
                <w14:textFill>
                  <w14:solidFill>
                    <w14:schemeClr w14:val="tx1"/>
                  </w14:solidFill>
                </w14:textFill>
              </w:rPr>
              <w:t>。</w:t>
            </w:r>
          </w:p>
        </w:tc>
      </w:tr>
      <w:tr w14:paraId="0B8C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tcBorders>
              <w:left w:val="single" w:color="auto" w:sz="4" w:space="0"/>
              <w:right w:val="single" w:color="auto" w:sz="4" w:space="0"/>
            </w:tcBorders>
            <w:vAlign w:val="center"/>
          </w:tcPr>
          <w:p w14:paraId="554C3174">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p>
        </w:tc>
        <w:tc>
          <w:tcPr>
            <w:tcW w:w="990" w:type="dxa"/>
            <w:vMerge w:val="continue"/>
            <w:tcBorders>
              <w:left w:val="single" w:color="auto" w:sz="4" w:space="0"/>
              <w:right w:val="single" w:color="auto" w:sz="4" w:space="0"/>
            </w:tcBorders>
            <w:vAlign w:val="center"/>
          </w:tcPr>
          <w:p w14:paraId="1DAAE22F">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2427" w:type="dxa"/>
            <w:tcBorders>
              <w:top w:val="single" w:color="auto" w:sz="4" w:space="0"/>
              <w:left w:val="single" w:color="auto" w:sz="4" w:space="0"/>
              <w:bottom w:val="single" w:color="auto" w:sz="4" w:space="0"/>
              <w:right w:val="single" w:color="auto" w:sz="4" w:space="0"/>
            </w:tcBorders>
            <w:vAlign w:val="center"/>
          </w:tcPr>
          <w:p w14:paraId="776B9FAE">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w:t>
            </w:r>
            <w:r>
              <w:rPr>
                <w:rFonts w:hint="eastAsia" w:ascii="宋体" w:hAnsi="宋体" w:cs="宋体"/>
                <w:color w:val="000000" w:themeColor="text1"/>
                <w:highlight w:val="none"/>
                <w14:textFill>
                  <w14:solidFill>
                    <w14:schemeClr w14:val="tx1"/>
                  </w14:solidFill>
                </w14:textFill>
              </w:rPr>
              <w:t>文件格式</w:t>
            </w:r>
          </w:p>
        </w:tc>
        <w:tc>
          <w:tcPr>
            <w:tcW w:w="5602" w:type="dxa"/>
            <w:tcBorders>
              <w:top w:val="single" w:color="auto" w:sz="4" w:space="0"/>
              <w:left w:val="single" w:color="auto" w:sz="4" w:space="0"/>
              <w:bottom w:val="single" w:color="auto" w:sz="4" w:space="0"/>
              <w:right w:val="single" w:color="auto" w:sz="4" w:space="0"/>
            </w:tcBorders>
            <w:vAlign w:val="center"/>
          </w:tcPr>
          <w:p w14:paraId="656F6C4C">
            <w:pPr>
              <w:widowControl w:val="0"/>
              <w:spacing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按竞争性磋商文件规定的格式填写，内容齐全</w:t>
            </w:r>
            <w:r>
              <w:rPr>
                <w:rFonts w:hint="eastAsia" w:ascii="宋体" w:hAnsi="宋体" w:cs="宋体"/>
                <w:color w:val="000000" w:themeColor="text1"/>
                <w:highlight w:val="none"/>
                <w:lang w:eastAsia="zh-CN"/>
                <w14:textFill>
                  <w14:solidFill>
                    <w14:schemeClr w14:val="tx1"/>
                  </w14:solidFill>
                </w14:textFill>
              </w:rPr>
              <w:t>。</w:t>
            </w:r>
          </w:p>
        </w:tc>
      </w:tr>
      <w:tr w14:paraId="0CFC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tcBorders>
              <w:left w:val="single" w:color="auto" w:sz="4" w:space="0"/>
              <w:right w:val="single" w:color="auto" w:sz="4" w:space="0"/>
            </w:tcBorders>
            <w:vAlign w:val="center"/>
          </w:tcPr>
          <w:p w14:paraId="35B796A9">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p>
        </w:tc>
        <w:tc>
          <w:tcPr>
            <w:tcW w:w="990" w:type="dxa"/>
            <w:vMerge w:val="continue"/>
            <w:tcBorders>
              <w:left w:val="single" w:color="auto" w:sz="4" w:space="0"/>
              <w:right w:val="single" w:color="auto" w:sz="4" w:space="0"/>
            </w:tcBorders>
            <w:vAlign w:val="center"/>
          </w:tcPr>
          <w:p w14:paraId="326F6295">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2427" w:type="dxa"/>
            <w:tcBorders>
              <w:top w:val="single" w:color="auto" w:sz="4" w:space="0"/>
              <w:left w:val="single" w:color="auto" w:sz="4" w:space="0"/>
              <w:bottom w:val="single" w:color="auto" w:sz="4" w:space="0"/>
              <w:right w:val="single" w:color="auto" w:sz="4" w:space="0"/>
            </w:tcBorders>
            <w:vAlign w:val="center"/>
          </w:tcPr>
          <w:p w14:paraId="7770F7BD">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保证金</w:t>
            </w:r>
          </w:p>
        </w:tc>
        <w:tc>
          <w:tcPr>
            <w:tcW w:w="5602" w:type="dxa"/>
            <w:tcBorders>
              <w:top w:val="single" w:color="auto" w:sz="4" w:space="0"/>
              <w:left w:val="single" w:color="auto" w:sz="4" w:space="0"/>
              <w:bottom w:val="single" w:color="auto" w:sz="4" w:space="0"/>
              <w:right w:val="single" w:color="auto" w:sz="4" w:space="0"/>
            </w:tcBorders>
            <w:vAlign w:val="center"/>
          </w:tcPr>
          <w:p w14:paraId="2B0CBDD4">
            <w:pPr>
              <w:widowControl w:val="0"/>
              <w:spacing w:before="100" w:beforeAutospacing="1" w:after="100" w:afterAutospacing="1"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必须按竞争性磋商文件规定提交保证金</w:t>
            </w:r>
            <w:r>
              <w:rPr>
                <w:rFonts w:hint="eastAsia" w:ascii="宋体" w:hAnsi="宋体" w:cs="宋体"/>
                <w:color w:val="000000" w:themeColor="text1"/>
                <w:highlight w:val="none"/>
                <w:lang w:eastAsia="zh-CN"/>
                <w14:textFill>
                  <w14:solidFill>
                    <w14:schemeClr w14:val="tx1"/>
                  </w14:solidFill>
                </w14:textFill>
              </w:rPr>
              <w:t>。</w:t>
            </w:r>
          </w:p>
        </w:tc>
      </w:tr>
      <w:tr w14:paraId="35B8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tcBorders>
              <w:left w:val="single" w:color="auto" w:sz="4" w:space="0"/>
              <w:right w:val="single" w:color="auto" w:sz="4" w:space="0"/>
            </w:tcBorders>
            <w:vAlign w:val="center"/>
          </w:tcPr>
          <w:p w14:paraId="539291D2">
            <w:pPr>
              <w:widowControl w:val="0"/>
              <w:spacing w:before="100" w:beforeAutospacing="1" w:after="100" w:afterAutospacing="1" w:line="380" w:lineRule="exact"/>
              <w:jc w:val="center"/>
              <w:rPr>
                <w:rFonts w:ascii="宋体" w:hAnsi="宋体" w:cs="宋体"/>
                <w:color w:val="000000" w:themeColor="text1"/>
                <w:highlight w:val="none"/>
                <w14:textFill>
                  <w14:solidFill>
                    <w14:schemeClr w14:val="tx1"/>
                  </w14:solidFill>
                </w14:textFill>
              </w:rPr>
            </w:pPr>
          </w:p>
        </w:tc>
        <w:tc>
          <w:tcPr>
            <w:tcW w:w="990" w:type="dxa"/>
            <w:vMerge w:val="continue"/>
            <w:tcBorders>
              <w:left w:val="single" w:color="auto" w:sz="4" w:space="0"/>
              <w:right w:val="single" w:color="auto" w:sz="4" w:space="0"/>
            </w:tcBorders>
            <w:vAlign w:val="center"/>
          </w:tcPr>
          <w:p w14:paraId="13704F9E">
            <w:pPr>
              <w:widowControl w:val="0"/>
              <w:spacing w:line="380" w:lineRule="exact"/>
              <w:jc w:val="center"/>
              <w:rPr>
                <w:rFonts w:ascii="宋体" w:hAnsi="宋体" w:cs="宋体"/>
                <w:color w:val="000000" w:themeColor="text1"/>
                <w:highlight w:val="none"/>
                <w14:textFill>
                  <w14:solidFill>
                    <w14:schemeClr w14:val="tx1"/>
                  </w14:solidFill>
                </w14:textFill>
              </w:rPr>
            </w:pPr>
          </w:p>
        </w:tc>
        <w:tc>
          <w:tcPr>
            <w:tcW w:w="2427" w:type="dxa"/>
            <w:tcBorders>
              <w:top w:val="single" w:color="auto" w:sz="4" w:space="0"/>
              <w:left w:val="single" w:color="auto" w:sz="4" w:space="0"/>
              <w:bottom w:val="single" w:color="auto" w:sz="4" w:space="0"/>
              <w:right w:val="single" w:color="auto" w:sz="4" w:space="0"/>
            </w:tcBorders>
            <w:vAlign w:val="center"/>
          </w:tcPr>
          <w:p w14:paraId="7D530904">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有效期</w:t>
            </w:r>
          </w:p>
        </w:tc>
        <w:tc>
          <w:tcPr>
            <w:tcW w:w="5602" w:type="dxa"/>
            <w:tcBorders>
              <w:top w:val="single" w:color="auto" w:sz="4" w:space="0"/>
              <w:left w:val="single" w:color="auto" w:sz="4" w:space="0"/>
              <w:bottom w:val="single" w:color="auto" w:sz="4" w:space="0"/>
              <w:right w:val="single" w:color="auto" w:sz="4" w:space="0"/>
            </w:tcBorders>
            <w:vAlign w:val="center"/>
          </w:tcPr>
          <w:p w14:paraId="69EFF2B1">
            <w:pPr>
              <w:widowControl w:val="0"/>
              <w:spacing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有效期满足竞争性磋商文件要求</w:t>
            </w:r>
            <w:r>
              <w:rPr>
                <w:rFonts w:hint="eastAsia" w:ascii="宋体" w:hAnsi="宋体" w:cs="宋体"/>
                <w:color w:val="000000" w:themeColor="text1"/>
                <w:highlight w:val="none"/>
                <w:lang w:eastAsia="zh-CN"/>
                <w14:textFill>
                  <w14:solidFill>
                    <w14:schemeClr w14:val="tx1"/>
                  </w14:solidFill>
                </w14:textFill>
              </w:rPr>
              <w:t>。</w:t>
            </w:r>
          </w:p>
        </w:tc>
      </w:tr>
      <w:tr w14:paraId="752B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tcBorders>
              <w:left w:val="single" w:color="auto" w:sz="4" w:space="0"/>
              <w:right w:val="single" w:color="auto" w:sz="4" w:space="0"/>
            </w:tcBorders>
            <w:vAlign w:val="center"/>
          </w:tcPr>
          <w:p w14:paraId="6A69EFE0">
            <w:pPr>
              <w:widowControl w:val="0"/>
              <w:spacing w:line="380" w:lineRule="exact"/>
              <w:rPr>
                <w:rFonts w:ascii="宋体" w:hAnsi="宋体" w:cs="宋体"/>
                <w:color w:val="000000" w:themeColor="text1"/>
                <w:highlight w:val="none"/>
                <w14:textFill>
                  <w14:solidFill>
                    <w14:schemeClr w14:val="tx1"/>
                  </w14:solidFill>
                </w14:textFill>
              </w:rPr>
            </w:pPr>
          </w:p>
        </w:tc>
        <w:tc>
          <w:tcPr>
            <w:tcW w:w="990" w:type="dxa"/>
            <w:vMerge w:val="continue"/>
            <w:tcBorders>
              <w:left w:val="single" w:color="auto" w:sz="4" w:space="0"/>
              <w:right w:val="single" w:color="auto" w:sz="4" w:space="0"/>
            </w:tcBorders>
            <w:vAlign w:val="center"/>
          </w:tcPr>
          <w:p w14:paraId="3277F1AE">
            <w:pPr>
              <w:widowControl w:val="0"/>
              <w:spacing w:line="380" w:lineRule="exact"/>
              <w:rPr>
                <w:rFonts w:ascii="宋体" w:hAnsi="宋体" w:cs="宋体"/>
                <w:color w:val="000000" w:themeColor="text1"/>
                <w:highlight w:val="none"/>
                <w14:textFill>
                  <w14:solidFill>
                    <w14:schemeClr w14:val="tx1"/>
                  </w14:solidFill>
                </w14:textFill>
              </w:rPr>
            </w:pPr>
          </w:p>
        </w:tc>
        <w:tc>
          <w:tcPr>
            <w:tcW w:w="2427" w:type="dxa"/>
            <w:tcBorders>
              <w:top w:val="single" w:color="auto" w:sz="4" w:space="0"/>
              <w:left w:val="single" w:color="auto" w:sz="4" w:space="0"/>
              <w:bottom w:val="single" w:color="auto" w:sz="4" w:space="0"/>
              <w:right w:val="single" w:color="auto" w:sz="4" w:space="0"/>
            </w:tcBorders>
            <w:vAlign w:val="center"/>
          </w:tcPr>
          <w:p w14:paraId="4CAA9F33">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w:t>
            </w:r>
          </w:p>
        </w:tc>
        <w:tc>
          <w:tcPr>
            <w:tcW w:w="5602" w:type="dxa"/>
            <w:tcBorders>
              <w:top w:val="single" w:color="auto" w:sz="4" w:space="0"/>
              <w:left w:val="single" w:color="auto" w:sz="4" w:space="0"/>
              <w:bottom w:val="single" w:color="auto" w:sz="4" w:space="0"/>
              <w:right w:val="single" w:color="auto" w:sz="4" w:space="0"/>
            </w:tcBorders>
            <w:vAlign w:val="center"/>
          </w:tcPr>
          <w:p w14:paraId="369EBFF3">
            <w:pPr>
              <w:widowControl w:val="0"/>
              <w:spacing w:line="38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未超过采购控制价，对所投所有内容作出完整唯一的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符合磋商文件要求。</w:t>
            </w:r>
          </w:p>
        </w:tc>
      </w:tr>
      <w:tr w14:paraId="6F27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tcBorders>
              <w:left w:val="single" w:color="auto" w:sz="4" w:space="0"/>
              <w:right w:val="single" w:color="auto" w:sz="4" w:space="0"/>
            </w:tcBorders>
            <w:vAlign w:val="center"/>
          </w:tcPr>
          <w:p w14:paraId="5D9946E3">
            <w:pPr>
              <w:widowControl w:val="0"/>
              <w:spacing w:line="380" w:lineRule="exact"/>
              <w:rPr>
                <w:rFonts w:ascii="宋体" w:hAnsi="宋体" w:cs="宋体"/>
                <w:color w:val="000000" w:themeColor="text1"/>
                <w:highlight w:val="none"/>
                <w14:textFill>
                  <w14:solidFill>
                    <w14:schemeClr w14:val="tx1"/>
                  </w14:solidFill>
                </w14:textFill>
              </w:rPr>
            </w:pPr>
          </w:p>
        </w:tc>
        <w:tc>
          <w:tcPr>
            <w:tcW w:w="990" w:type="dxa"/>
            <w:vMerge w:val="continue"/>
            <w:tcBorders>
              <w:left w:val="single" w:color="auto" w:sz="4" w:space="0"/>
              <w:right w:val="single" w:color="auto" w:sz="4" w:space="0"/>
            </w:tcBorders>
            <w:vAlign w:val="center"/>
          </w:tcPr>
          <w:p w14:paraId="40096C24">
            <w:pPr>
              <w:widowControl w:val="0"/>
              <w:spacing w:line="380" w:lineRule="exact"/>
              <w:rPr>
                <w:rFonts w:ascii="宋体" w:hAnsi="宋体" w:cs="宋体"/>
                <w:color w:val="000000" w:themeColor="text1"/>
                <w:highlight w:val="none"/>
                <w14:textFill>
                  <w14:solidFill>
                    <w14:schemeClr w14:val="tx1"/>
                  </w14:solidFill>
                </w14:textFill>
              </w:rPr>
            </w:pPr>
          </w:p>
        </w:tc>
        <w:tc>
          <w:tcPr>
            <w:tcW w:w="2427" w:type="dxa"/>
            <w:tcBorders>
              <w:top w:val="single" w:color="auto" w:sz="4" w:space="0"/>
              <w:left w:val="single" w:color="auto" w:sz="4" w:space="0"/>
              <w:bottom w:val="single" w:color="auto" w:sz="4" w:space="0"/>
              <w:right w:val="single" w:color="auto" w:sz="4" w:space="0"/>
            </w:tcBorders>
            <w:vAlign w:val="center"/>
          </w:tcPr>
          <w:p w14:paraId="35F8D3CB">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响应竞争性磋商文件</w:t>
            </w:r>
          </w:p>
        </w:tc>
        <w:tc>
          <w:tcPr>
            <w:tcW w:w="5602" w:type="dxa"/>
            <w:tcBorders>
              <w:top w:val="single" w:color="auto" w:sz="4" w:space="0"/>
              <w:left w:val="single" w:color="auto" w:sz="4" w:space="0"/>
              <w:bottom w:val="single" w:color="auto" w:sz="4" w:space="0"/>
              <w:right w:val="single" w:color="auto" w:sz="4" w:space="0"/>
            </w:tcBorders>
            <w:vAlign w:val="center"/>
          </w:tcPr>
          <w:p w14:paraId="2FF327C9">
            <w:pPr>
              <w:widowControl w:val="0"/>
              <w:spacing w:line="38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对竞争性磋商文件作出实质性响应</w:t>
            </w:r>
            <w:r>
              <w:rPr>
                <w:rFonts w:hint="eastAsia" w:ascii="宋体" w:hAnsi="宋体" w:cs="宋体"/>
                <w:color w:val="000000" w:themeColor="text1"/>
                <w:highlight w:val="none"/>
                <w:lang w:eastAsia="zh-CN"/>
                <w14:textFill>
                  <w14:solidFill>
                    <w14:schemeClr w14:val="tx1"/>
                  </w14:solidFill>
                </w14:textFill>
              </w:rPr>
              <w:t>。</w:t>
            </w:r>
          </w:p>
        </w:tc>
      </w:tr>
      <w:tr w14:paraId="305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59" w:type="dxa"/>
            <w:vMerge w:val="continue"/>
            <w:tcBorders>
              <w:left w:val="single" w:color="auto" w:sz="4" w:space="0"/>
              <w:bottom w:val="single" w:color="auto" w:sz="4" w:space="0"/>
              <w:right w:val="single" w:color="auto" w:sz="4" w:space="0"/>
            </w:tcBorders>
            <w:vAlign w:val="center"/>
          </w:tcPr>
          <w:p w14:paraId="31CDFD3D">
            <w:pPr>
              <w:widowControl w:val="0"/>
              <w:spacing w:line="380" w:lineRule="exact"/>
              <w:rPr>
                <w:rFonts w:ascii="宋体" w:hAnsi="宋体" w:cs="宋体"/>
                <w:color w:val="000000" w:themeColor="text1"/>
                <w:highlight w:val="none"/>
                <w14:textFill>
                  <w14:solidFill>
                    <w14:schemeClr w14:val="tx1"/>
                  </w14:solidFill>
                </w14:textFill>
              </w:rPr>
            </w:pPr>
          </w:p>
        </w:tc>
        <w:tc>
          <w:tcPr>
            <w:tcW w:w="990" w:type="dxa"/>
            <w:vMerge w:val="continue"/>
            <w:tcBorders>
              <w:left w:val="single" w:color="auto" w:sz="4" w:space="0"/>
              <w:bottom w:val="single" w:color="auto" w:sz="4" w:space="0"/>
              <w:right w:val="single" w:color="auto" w:sz="4" w:space="0"/>
            </w:tcBorders>
            <w:vAlign w:val="center"/>
          </w:tcPr>
          <w:p w14:paraId="3D0D3A77">
            <w:pPr>
              <w:widowControl w:val="0"/>
              <w:spacing w:line="380" w:lineRule="exact"/>
              <w:rPr>
                <w:rFonts w:ascii="宋体" w:hAnsi="宋体" w:cs="宋体"/>
                <w:color w:val="000000" w:themeColor="text1"/>
                <w:highlight w:val="none"/>
                <w14:textFill>
                  <w14:solidFill>
                    <w14:schemeClr w14:val="tx1"/>
                  </w14:solidFill>
                </w14:textFill>
              </w:rPr>
            </w:pPr>
          </w:p>
        </w:tc>
        <w:tc>
          <w:tcPr>
            <w:tcW w:w="2427" w:type="dxa"/>
            <w:tcBorders>
              <w:top w:val="single" w:color="auto" w:sz="4" w:space="0"/>
              <w:left w:val="single" w:color="auto" w:sz="4" w:space="0"/>
              <w:bottom w:val="single" w:color="auto" w:sz="4" w:space="0"/>
              <w:right w:val="single" w:color="auto" w:sz="4" w:space="0"/>
            </w:tcBorders>
            <w:vAlign w:val="center"/>
          </w:tcPr>
          <w:p w14:paraId="2430A88E">
            <w:pPr>
              <w:widowControl w:val="0"/>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5602" w:type="dxa"/>
            <w:tcBorders>
              <w:top w:val="single" w:color="auto" w:sz="4" w:space="0"/>
              <w:left w:val="single" w:color="auto" w:sz="4" w:space="0"/>
              <w:bottom w:val="single" w:color="auto" w:sz="4" w:space="0"/>
              <w:right w:val="single" w:color="auto" w:sz="4" w:space="0"/>
            </w:tcBorders>
            <w:vAlign w:val="center"/>
          </w:tcPr>
          <w:p w14:paraId="7E60D9D6">
            <w:pPr>
              <w:widowControl w:val="0"/>
              <w:spacing w:line="38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竞争性磋商文件规定的其他无效</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情形。</w:t>
            </w:r>
          </w:p>
        </w:tc>
      </w:tr>
    </w:tbl>
    <w:p w14:paraId="4B006590">
      <w:pPr>
        <w:widowControl w:val="0"/>
        <w:rPr>
          <w:rFonts w:ascii="宋体" w:hAnsi="宋体" w:cs="宋体"/>
          <w:color w:val="000000" w:themeColor="text1"/>
          <w:sz w:val="32"/>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br w:type="page"/>
      </w:r>
      <w:bookmarkStart w:id="97" w:name="_Toc66457128"/>
      <w:bookmarkStart w:id="98" w:name="_Toc992"/>
      <w:bookmarkStart w:id="99" w:name="_Toc66736816"/>
    </w:p>
    <w:p w14:paraId="6B9C4F65">
      <w:pPr>
        <w:pStyle w:val="68"/>
        <w:jc w:val="center"/>
        <w:outlineLvl w:val="1"/>
        <w:rPr>
          <w:rFonts w:hint="default" w:ascii="宋体" w:hAnsi="宋体" w:cs="宋体"/>
          <w:color w:val="000000" w:themeColor="text1"/>
          <w:sz w:val="28"/>
          <w:szCs w:val="28"/>
          <w:highlight w:val="none"/>
          <w14:textFill>
            <w14:solidFill>
              <w14:schemeClr w14:val="tx1"/>
            </w14:solidFill>
          </w14:textFill>
        </w:rPr>
      </w:pPr>
      <w:bookmarkStart w:id="100" w:name="_Toc13996"/>
      <w:r>
        <w:rPr>
          <w:rFonts w:hint="eastAsia" w:ascii="宋体" w:hAnsi="宋体" w:cs="宋体"/>
          <w:b/>
          <w:color w:val="000000" w:themeColor="text1"/>
          <w:sz w:val="28"/>
          <w:szCs w:val="28"/>
          <w:highlight w:val="none"/>
          <w:lang w:eastAsia="zh-CN"/>
          <w14:textFill>
            <w14:solidFill>
              <w14:schemeClr w14:val="tx1"/>
            </w14:solidFill>
          </w14:textFill>
        </w:rPr>
        <w:t>评审</w:t>
      </w:r>
      <w:r>
        <w:rPr>
          <w:rFonts w:ascii="宋体" w:hAnsi="宋体" w:cs="宋体"/>
          <w:b/>
          <w:color w:val="000000" w:themeColor="text1"/>
          <w:sz w:val="28"/>
          <w:szCs w:val="28"/>
          <w:highlight w:val="none"/>
          <w14:textFill>
            <w14:solidFill>
              <w14:schemeClr w14:val="tx1"/>
            </w14:solidFill>
          </w14:textFill>
        </w:rPr>
        <w:t>方法及分值构成</w:t>
      </w:r>
      <w:bookmarkEnd w:id="100"/>
    </w:p>
    <w:bookmarkEnd w:id="93"/>
    <w:bookmarkEnd w:id="94"/>
    <w:bookmarkEnd w:id="95"/>
    <w:bookmarkEnd w:id="96"/>
    <w:bookmarkEnd w:id="97"/>
    <w:bookmarkEnd w:id="98"/>
    <w:bookmarkEnd w:id="99"/>
    <w:tbl>
      <w:tblPr>
        <w:tblStyle w:val="51"/>
        <w:tblW w:w="10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835"/>
        <w:gridCol w:w="832"/>
        <w:gridCol w:w="6158"/>
        <w:gridCol w:w="2064"/>
      </w:tblGrid>
      <w:tr w14:paraId="7F96F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651" w:type="dxa"/>
            <w:tcBorders>
              <w:top w:val="single" w:color="auto" w:sz="4" w:space="0"/>
              <w:bottom w:val="single" w:color="auto" w:sz="4" w:space="0"/>
              <w:right w:val="single" w:color="auto" w:sz="4" w:space="0"/>
            </w:tcBorders>
            <w:vAlign w:val="center"/>
          </w:tcPr>
          <w:p w14:paraId="6DF4BDE0">
            <w:pPr>
              <w:widowControl w:val="0"/>
              <w:spacing w:line="500" w:lineRule="exact"/>
              <w:rPr>
                <w:rFonts w:ascii="宋体" w:hAnsi="宋体" w:cs="宋体"/>
                <w:b/>
                <w:bCs/>
                <w:color w:val="000000" w:themeColor="text1"/>
                <w:highlight w:val="none"/>
                <w14:textFill>
                  <w14:solidFill>
                    <w14:schemeClr w14:val="tx1"/>
                  </w14:solidFill>
                </w14:textFill>
              </w:rPr>
            </w:pPr>
            <w:bookmarkStart w:id="101" w:name="_Toc9893"/>
            <w:bookmarkStart w:id="102" w:name="_Toc10763"/>
            <w:bookmarkStart w:id="103" w:name="_Toc6087"/>
            <w:bookmarkStart w:id="104" w:name="_Toc21390"/>
            <w:r>
              <w:rPr>
                <w:rFonts w:hint="eastAsia" w:ascii="宋体" w:hAnsi="宋体" w:cs="宋体"/>
                <w:b/>
                <w:bCs/>
                <w:color w:val="000000" w:themeColor="text1"/>
                <w:highlight w:val="none"/>
                <w14:textFill>
                  <w14:solidFill>
                    <w14:schemeClr w14:val="tx1"/>
                  </w14:solidFill>
                </w14:textFill>
              </w:rPr>
              <w:t>序号</w:t>
            </w:r>
          </w:p>
        </w:tc>
        <w:tc>
          <w:tcPr>
            <w:tcW w:w="835" w:type="dxa"/>
            <w:tcBorders>
              <w:top w:val="single" w:color="auto" w:sz="4" w:space="0"/>
              <w:left w:val="single" w:color="auto" w:sz="4" w:space="0"/>
              <w:bottom w:val="single" w:color="auto" w:sz="4" w:space="0"/>
              <w:right w:val="single" w:color="auto" w:sz="4" w:space="0"/>
            </w:tcBorders>
            <w:vAlign w:val="center"/>
          </w:tcPr>
          <w:p w14:paraId="4EEFD742">
            <w:pPr>
              <w:widowControl w:val="0"/>
              <w:spacing w:line="5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评分因素</w:t>
            </w:r>
          </w:p>
        </w:tc>
        <w:tc>
          <w:tcPr>
            <w:tcW w:w="832" w:type="dxa"/>
            <w:tcBorders>
              <w:top w:val="single" w:color="auto" w:sz="4" w:space="0"/>
              <w:left w:val="single" w:color="auto" w:sz="4" w:space="0"/>
              <w:bottom w:val="single" w:color="auto" w:sz="4" w:space="0"/>
              <w:right w:val="single" w:color="auto" w:sz="4" w:space="0"/>
            </w:tcBorders>
            <w:vAlign w:val="center"/>
          </w:tcPr>
          <w:p w14:paraId="084E3F66">
            <w:pPr>
              <w:widowControl w:val="0"/>
              <w:spacing w:line="5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分值</w:t>
            </w:r>
          </w:p>
        </w:tc>
        <w:tc>
          <w:tcPr>
            <w:tcW w:w="6158" w:type="dxa"/>
            <w:tcBorders>
              <w:top w:val="single" w:color="auto" w:sz="4" w:space="0"/>
              <w:left w:val="single" w:color="auto" w:sz="4" w:space="0"/>
              <w:bottom w:val="single" w:color="auto" w:sz="4" w:space="0"/>
              <w:right w:val="single" w:color="auto" w:sz="4" w:space="0"/>
            </w:tcBorders>
            <w:vAlign w:val="center"/>
          </w:tcPr>
          <w:p w14:paraId="166A6849">
            <w:pPr>
              <w:widowControl w:val="0"/>
              <w:spacing w:line="5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评分标准</w:t>
            </w:r>
          </w:p>
        </w:tc>
        <w:tc>
          <w:tcPr>
            <w:tcW w:w="2064" w:type="dxa"/>
            <w:tcBorders>
              <w:top w:val="single" w:color="auto" w:sz="4" w:space="0"/>
              <w:left w:val="single" w:color="auto" w:sz="4" w:space="0"/>
              <w:bottom w:val="single" w:color="auto" w:sz="4" w:space="0"/>
            </w:tcBorders>
            <w:vAlign w:val="center"/>
          </w:tcPr>
          <w:p w14:paraId="21326AE6">
            <w:pPr>
              <w:widowControl w:val="0"/>
              <w:spacing w:line="5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       备注</w:t>
            </w:r>
          </w:p>
        </w:tc>
      </w:tr>
      <w:tr w14:paraId="6ED07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51" w:type="dxa"/>
            <w:tcBorders>
              <w:top w:val="single" w:color="auto" w:sz="4" w:space="0"/>
              <w:bottom w:val="single" w:color="auto" w:sz="4" w:space="0"/>
              <w:right w:val="single" w:color="auto" w:sz="4" w:space="0"/>
            </w:tcBorders>
            <w:vAlign w:val="center"/>
          </w:tcPr>
          <w:p w14:paraId="02323CBA">
            <w:pPr>
              <w:widowControl w:val="0"/>
              <w:spacing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35" w:type="dxa"/>
            <w:tcBorders>
              <w:top w:val="single" w:color="auto" w:sz="4" w:space="0"/>
              <w:left w:val="single" w:color="auto" w:sz="4" w:space="0"/>
              <w:bottom w:val="single" w:color="auto" w:sz="4" w:space="0"/>
              <w:right w:val="single" w:color="auto" w:sz="4" w:space="0"/>
            </w:tcBorders>
            <w:vAlign w:val="center"/>
          </w:tcPr>
          <w:p w14:paraId="641A851A">
            <w:pPr>
              <w:widowControl w:val="0"/>
              <w:spacing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w:t>
            </w:r>
          </w:p>
        </w:tc>
        <w:tc>
          <w:tcPr>
            <w:tcW w:w="832" w:type="dxa"/>
            <w:tcBorders>
              <w:top w:val="single" w:color="auto" w:sz="4" w:space="0"/>
              <w:left w:val="single" w:color="auto" w:sz="4" w:space="0"/>
              <w:bottom w:val="single" w:color="auto" w:sz="4" w:space="0"/>
              <w:right w:val="single" w:color="auto" w:sz="4" w:space="0"/>
            </w:tcBorders>
            <w:vAlign w:val="center"/>
          </w:tcPr>
          <w:p w14:paraId="26E74F69">
            <w:pPr>
              <w:widowControl w:val="0"/>
              <w:spacing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w:t>
            </w:r>
          </w:p>
        </w:tc>
        <w:tc>
          <w:tcPr>
            <w:tcW w:w="6158" w:type="dxa"/>
            <w:tcBorders>
              <w:top w:val="single" w:color="auto" w:sz="4" w:space="0"/>
              <w:left w:val="single" w:color="auto" w:sz="4" w:space="0"/>
              <w:bottom w:val="single" w:color="auto" w:sz="4" w:space="0"/>
              <w:right w:val="single" w:color="auto" w:sz="4" w:space="0"/>
            </w:tcBorders>
            <w:vAlign w:val="center"/>
          </w:tcPr>
          <w:p w14:paraId="01B6711D">
            <w:pPr>
              <w:widowControl w:val="0"/>
              <w:spacing w:line="5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以满足竞争性磋商文件要求且二次</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价格最低的有效</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报价为</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基准价，其报价分为满分。</w:t>
            </w:r>
          </w:p>
          <w:p w14:paraId="7ABBB5F8">
            <w:pPr>
              <w:widowControl w:val="0"/>
              <w:spacing w:line="5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报价分计算公式：</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报价得分=(</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基准价／</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二次报价)×</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0。</w:t>
            </w:r>
          </w:p>
          <w:p w14:paraId="60CB3303">
            <w:pPr>
              <w:widowControl w:val="0"/>
              <w:spacing w:line="500" w:lineRule="exact"/>
              <w:rPr>
                <w:rFonts w:ascii="宋体" w:hAnsi="宋体" w:cs="宋体"/>
                <w:color w:val="000000" w:themeColor="text1"/>
                <w:highlight w:val="none"/>
                <w14:textFill>
                  <w14:solidFill>
                    <w14:schemeClr w14:val="tx1"/>
                  </w14:solidFill>
                </w14:textFill>
              </w:rPr>
            </w:pPr>
          </w:p>
        </w:tc>
        <w:tc>
          <w:tcPr>
            <w:tcW w:w="2064" w:type="dxa"/>
            <w:tcBorders>
              <w:top w:val="single" w:color="auto" w:sz="4" w:space="0"/>
              <w:left w:val="single" w:color="auto" w:sz="4" w:space="0"/>
              <w:bottom w:val="single" w:color="auto" w:sz="4" w:space="0"/>
            </w:tcBorders>
            <w:vAlign w:val="center"/>
          </w:tcPr>
          <w:p w14:paraId="61F91C94">
            <w:pPr>
              <w:widowControl w:val="0"/>
              <w:spacing w:line="5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报价超过采购预算、低于成本价、</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单位的资格评审、响应性评审不满足竞争性磋商文件要求的为无效报价，不参与</w:t>
            </w: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办法评分。</w:t>
            </w:r>
          </w:p>
        </w:tc>
      </w:tr>
      <w:tr w14:paraId="24FD9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51" w:type="dxa"/>
            <w:vMerge w:val="restart"/>
            <w:tcBorders>
              <w:top w:val="single" w:color="auto" w:sz="4" w:space="0"/>
              <w:right w:val="single" w:color="auto" w:sz="4" w:space="0"/>
            </w:tcBorders>
            <w:vAlign w:val="center"/>
          </w:tcPr>
          <w:p w14:paraId="4CD5E7A1">
            <w:pPr>
              <w:widowControl w:val="0"/>
              <w:spacing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35" w:type="dxa"/>
            <w:vMerge w:val="restart"/>
            <w:tcBorders>
              <w:top w:val="single" w:color="auto" w:sz="4" w:space="0"/>
              <w:left w:val="single" w:color="auto" w:sz="4" w:space="0"/>
              <w:right w:val="single" w:color="auto" w:sz="4" w:space="0"/>
            </w:tcBorders>
            <w:vAlign w:val="center"/>
          </w:tcPr>
          <w:p w14:paraId="3F56B1B0">
            <w:pPr>
              <w:widowControl w:val="0"/>
              <w:spacing w:line="5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w:t>
            </w:r>
          </w:p>
        </w:tc>
        <w:tc>
          <w:tcPr>
            <w:tcW w:w="832" w:type="dxa"/>
            <w:vMerge w:val="restart"/>
            <w:tcBorders>
              <w:top w:val="single" w:color="auto" w:sz="4" w:space="0"/>
              <w:left w:val="single" w:color="auto" w:sz="4" w:space="0"/>
              <w:right w:val="single" w:color="auto" w:sz="4" w:space="0"/>
            </w:tcBorders>
            <w:vAlign w:val="center"/>
          </w:tcPr>
          <w:p w14:paraId="6A06A731">
            <w:pPr>
              <w:widowControl w:val="0"/>
              <w:spacing w:line="5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0分</w:t>
            </w:r>
          </w:p>
        </w:tc>
        <w:tc>
          <w:tcPr>
            <w:tcW w:w="6158" w:type="dxa"/>
            <w:tcBorders>
              <w:top w:val="single" w:color="auto" w:sz="4" w:space="0"/>
              <w:left w:val="single" w:color="auto" w:sz="4" w:space="0"/>
              <w:bottom w:val="single" w:color="auto" w:sz="4" w:space="0"/>
              <w:right w:val="single" w:color="auto" w:sz="4" w:space="0"/>
            </w:tcBorders>
            <w:vAlign w:val="center"/>
          </w:tcPr>
          <w:p w14:paraId="623F8D62">
            <w:pPr>
              <w:widowControl w:val="0"/>
              <w:spacing w:line="500" w:lineRule="exact"/>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pPr>
            <w:r>
              <w:rPr>
                <w:rFonts w:hint="eastAsia" w:ascii="宋体" w:hAnsi="宋体" w:cs="宋体"/>
                <w:b/>
                <w:bCs/>
                <w:i w:val="0"/>
                <w:iCs w:val="0"/>
                <w:color w:val="auto"/>
                <w:sz w:val="21"/>
                <w:szCs w:val="21"/>
                <w:highlight w:val="none"/>
                <w:lang w:val="en-US" w:eastAsia="zh-CN"/>
              </w:rPr>
              <w:t>一、</w:t>
            </w:r>
            <w:r>
              <w:rPr>
                <w:rFonts w:hint="eastAsia" w:ascii="宋体" w:hAnsi="宋体" w:eastAsia="宋体" w:cs="宋体"/>
                <w:b/>
                <w:bCs/>
                <w:i w:val="0"/>
                <w:iCs w:val="0"/>
                <w:color w:val="000000" w:themeColor="text1"/>
                <w:sz w:val="21"/>
                <w:szCs w:val="21"/>
                <w:highlight w:val="none"/>
                <w:lang w:val="en-US" w:eastAsia="zh-CN"/>
                <w14:textFill>
                  <w14:solidFill>
                    <w14:schemeClr w14:val="tx1"/>
                  </w14:solidFill>
                </w14:textFill>
              </w:rPr>
              <w:t>对项目重点、难点分析（满分10分）</w:t>
            </w:r>
          </w:p>
          <w:p w14:paraId="6871A9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第一档（10分）结合项目情况，对本项目的理解与认识就</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lang w:val="en-US" w:eastAsia="zh-CN"/>
                <w14:textFill>
                  <w14:solidFill>
                    <w14:schemeClr w14:val="tx1"/>
                  </w14:solidFill>
                </w14:textFill>
              </w:rPr>
              <w:t>内容、范围、深度等重、难点进行分析，分析内容详细且全面、有条理、思路较为清晰、准确到位，有较强的针对性；</w:t>
            </w:r>
          </w:p>
          <w:p w14:paraId="51328D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第二档（7分）结合项目情况，对本项目的理解与认识就</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lang w:val="en-US" w:eastAsia="zh-CN"/>
                <w14:textFill>
                  <w14:solidFill>
                    <w14:schemeClr w14:val="tx1"/>
                  </w14:solidFill>
                </w14:textFill>
              </w:rPr>
              <w:t>内容、范围、深度等重、难点进行分析，分析内容、条理性、针对性基本合理；</w:t>
            </w:r>
          </w:p>
          <w:p w14:paraId="7329EC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第三档（5分）结合项目情况，对本项目的理解与认识就</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lang w:val="en-US" w:eastAsia="zh-CN"/>
                <w14:textFill>
                  <w14:solidFill>
                    <w14:schemeClr w14:val="tx1"/>
                  </w14:solidFill>
                </w14:textFill>
              </w:rPr>
              <w:t>内容、范围、深度等重、难点进行分析，分析内容、条理性、针对性一般；</w:t>
            </w:r>
          </w:p>
          <w:p w14:paraId="1EFC10E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第四档（3分）结合项目情况，对本项目的理解与认识就</w:t>
            </w:r>
            <w:r>
              <w:rPr>
                <w:rFonts w:hint="eastAsia" w:ascii="宋体" w:hAnsi="宋体" w:cs="宋体"/>
                <w:color w:val="000000" w:themeColor="text1"/>
                <w:highlight w:val="none"/>
                <w:lang w:val="en-US" w:eastAsia="zh-CN"/>
                <w14:textFill>
                  <w14:solidFill>
                    <w14:schemeClr w14:val="tx1"/>
                  </w14:solidFill>
                </w14:textFill>
              </w:rPr>
              <w:t>服务</w:t>
            </w:r>
            <w:r>
              <w:rPr>
                <w:rFonts w:hint="eastAsia" w:ascii="宋体" w:hAnsi="宋体" w:eastAsia="宋体" w:cs="宋体"/>
                <w:color w:val="000000" w:themeColor="text1"/>
                <w:highlight w:val="none"/>
                <w:lang w:val="en-US" w:eastAsia="zh-CN"/>
                <w14:textFill>
                  <w14:solidFill>
                    <w14:schemeClr w14:val="tx1"/>
                  </w14:solidFill>
                </w14:textFill>
              </w:rPr>
              <w:t>内容、范围、深度等重、难点进行分析，</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分析内容差、没有针对性；</w:t>
            </w:r>
          </w:p>
          <w:p w14:paraId="2129AF83">
            <w:pPr>
              <w:widowControl w:val="0"/>
              <w:spacing w:line="500" w:lineRule="exact"/>
              <w:ind w:firstLine="480" w:firstLineChars="200"/>
              <w:rPr>
                <w:rFonts w:hint="default" w:ascii="宋体" w:hAnsi="宋体" w:eastAsia="宋体" w:cs="宋体"/>
                <w:b/>
                <w:bCs/>
                <w:i w:val="0"/>
                <w:i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第五档（0分）无项目重、难点分析。</w:t>
            </w:r>
          </w:p>
        </w:tc>
        <w:tc>
          <w:tcPr>
            <w:tcW w:w="2064" w:type="dxa"/>
            <w:tcBorders>
              <w:top w:val="single" w:color="auto" w:sz="4" w:space="0"/>
              <w:left w:val="single" w:color="auto" w:sz="4" w:space="0"/>
              <w:bottom w:val="single" w:color="auto" w:sz="4" w:space="0"/>
            </w:tcBorders>
            <w:vAlign w:val="center"/>
          </w:tcPr>
          <w:p w14:paraId="1495A5EB">
            <w:pPr>
              <w:widowControl w:val="0"/>
              <w:spacing w:line="500" w:lineRule="exact"/>
              <w:rPr>
                <w:rFonts w:hint="eastAsia" w:ascii="宋体" w:hAnsi="宋体" w:cs="宋体"/>
                <w:color w:val="000000" w:themeColor="text1"/>
                <w:highlight w:val="none"/>
                <w:lang w:eastAsia="zh-CN"/>
                <w14:textFill>
                  <w14:solidFill>
                    <w14:schemeClr w14:val="tx1"/>
                  </w14:solidFill>
                </w14:textFill>
              </w:rPr>
            </w:pPr>
          </w:p>
        </w:tc>
      </w:tr>
      <w:tr w14:paraId="2717E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34" w:hRule="atLeast"/>
          <w:jc w:val="center"/>
        </w:trPr>
        <w:tc>
          <w:tcPr>
            <w:tcW w:w="651" w:type="dxa"/>
            <w:vMerge w:val="continue"/>
            <w:tcBorders>
              <w:right w:val="single" w:color="auto" w:sz="4" w:space="0"/>
            </w:tcBorders>
            <w:vAlign w:val="center"/>
          </w:tcPr>
          <w:p w14:paraId="29D8AF73">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vMerge w:val="continue"/>
            <w:tcBorders>
              <w:left w:val="single" w:color="auto" w:sz="4" w:space="0"/>
              <w:right w:val="single" w:color="auto" w:sz="4" w:space="0"/>
            </w:tcBorders>
            <w:vAlign w:val="center"/>
          </w:tcPr>
          <w:p w14:paraId="4DBAC5F5">
            <w:pPr>
              <w:widowControl w:val="0"/>
              <w:spacing w:line="500" w:lineRule="exact"/>
              <w:rPr>
                <w:rFonts w:ascii="宋体" w:hAnsi="宋体" w:cs="宋体"/>
                <w:color w:val="000000" w:themeColor="text1"/>
                <w:highlight w:val="none"/>
                <w14:textFill>
                  <w14:solidFill>
                    <w14:schemeClr w14:val="tx1"/>
                  </w14:solidFill>
                </w14:textFill>
              </w:rPr>
            </w:pPr>
          </w:p>
        </w:tc>
        <w:tc>
          <w:tcPr>
            <w:tcW w:w="832" w:type="dxa"/>
            <w:vMerge w:val="continue"/>
            <w:tcBorders>
              <w:left w:val="single" w:color="auto" w:sz="4" w:space="0"/>
              <w:right w:val="single" w:color="auto" w:sz="4" w:space="0"/>
            </w:tcBorders>
            <w:vAlign w:val="center"/>
          </w:tcPr>
          <w:p w14:paraId="3C72A1C1">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vAlign w:val="center"/>
          </w:tcPr>
          <w:p w14:paraId="1BC500C6">
            <w:pPr>
              <w:widowControl w:val="0"/>
              <w:spacing w:line="360" w:lineRule="exac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二、服务</w:t>
            </w:r>
            <w:r>
              <w:rPr>
                <w:rFonts w:hint="eastAsia" w:ascii="宋体" w:hAnsi="宋体" w:cs="宋体"/>
                <w:b/>
                <w:bCs/>
                <w:color w:val="000000" w:themeColor="text1"/>
                <w:szCs w:val="21"/>
                <w:highlight w:val="none"/>
                <w14:textFill>
                  <w14:solidFill>
                    <w14:schemeClr w14:val="tx1"/>
                  </w14:solidFill>
                </w14:textFill>
              </w:rPr>
              <w:t>方案与技术措施（满分</w:t>
            </w:r>
            <w:r>
              <w:rPr>
                <w:rFonts w:hint="eastAsia" w:ascii="宋体" w:hAnsi="宋体" w:cs="宋体"/>
                <w:b/>
                <w:bCs/>
                <w:color w:val="000000" w:themeColor="text1"/>
                <w:szCs w:val="21"/>
                <w:highlight w:val="none"/>
                <w:lang w:val="en-US" w:eastAsia="zh-CN"/>
                <w14:textFill>
                  <w14:solidFill>
                    <w14:schemeClr w14:val="tx1"/>
                  </w14:solidFill>
                </w14:textFill>
              </w:rPr>
              <w:t>20</w:t>
            </w:r>
            <w:r>
              <w:rPr>
                <w:rFonts w:hint="eastAsia" w:ascii="宋体" w:hAnsi="宋体" w:cs="宋体"/>
                <w:b/>
                <w:bCs/>
                <w:color w:val="000000" w:themeColor="text1"/>
                <w:szCs w:val="21"/>
                <w:highlight w:val="none"/>
                <w14:textFill>
                  <w14:solidFill>
                    <w14:schemeClr w14:val="tx1"/>
                  </w14:solidFill>
                </w14:textFill>
              </w:rPr>
              <w:t>分</w:t>
            </w:r>
            <w:r>
              <w:rPr>
                <w:rFonts w:hint="eastAsia" w:ascii="宋体" w:hAnsi="宋体" w:cs="宋体"/>
                <w:b/>
                <w:bCs/>
                <w:color w:val="000000" w:themeColor="text1"/>
                <w:szCs w:val="21"/>
                <w:highlight w:val="none"/>
                <w:lang w:eastAsia="zh-CN"/>
                <w14:textFill>
                  <w14:solidFill>
                    <w14:schemeClr w14:val="tx1"/>
                  </w14:solidFill>
                </w14:textFill>
              </w:rPr>
              <w:t>）</w:t>
            </w:r>
          </w:p>
          <w:p w14:paraId="364D93C5">
            <w:pPr>
              <w:pStyle w:val="44"/>
              <w:spacing w:line="40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w:t>
            </w:r>
            <w:r>
              <w:rPr>
                <w:rFonts w:hint="eastAsia"/>
                <w:color w:val="000000" w:themeColor="text1"/>
                <w:sz w:val="24"/>
                <w:szCs w:val="24"/>
                <w:highlight w:val="none"/>
                <w:lang w:val="en-US" w:eastAsia="zh-CN"/>
                <w14:textFill>
                  <w14:solidFill>
                    <w14:schemeClr w14:val="tx1"/>
                  </w14:solidFill>
                </w14:textFill>
              </w:rPr>
              <w:t>20</w:t>
            </w:r>
            <w:r>
              <w:rPr>
                <w:rFonts w:hint="eastAsia"/>
                <w:color w:val="000000" w:themeColor="text1"/>
                <w:sz w:val="24"/>
                <w:szCs w:val="24"/>
                <w:highlight w:val="none"/>
                <w14:textFill>
                  <w14:solidFill>
                    <w14:schemeClr w14:val="tx1"/>
                  </w14:solidFill>
                </w14:textFill>
              </w:rPr>
              <w:t>分）：对项目总体概况表述清晰、完整；项目施工部署安排及施工方法和技术措施先进、可靠，可行性强</w:t>
            </w:r>
            <w:r>
              <w:rPr>
                <w:rFonts w:hint="eastAsia"/>
                <w:color w:val="000000" w:themeColor="text1"/>
                <w:sz w:val="24"/>
                <w:szCs w:val="24"/>
                <w:highlight w:val="none"/>
                <w:lang w:eastAsia="zh-CN"/>
                <w14:textFill>
                  <w14:solidFill>
                    <w14:schemeClr w14:val="tx1"/>
                  </w14:solidFill>
                </w14:textFill>
              </w:rPr>
              <w:t>；</w:t>
            </w:r>
          </w:p>
          <w:p w14:paraId="684ED4F6">
            <w:pPr>
              <w:pStyle w:val="44"/>
              <w:spacing w:line="400" w:lineRule="exac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第二档次（</w:t>
            </w:r>
            <w:r>
              <w:rPr>
                <w:rFonts w:hint="eastAsia"/>
                <w:color w:val="000000" w:themeColor="text1"/>
                <w:sz w:val="24"/>
                <w:szCs w:val="24"/>
                <w:highlight w:val="none"/>
                <w:lang w:val="en-US" w:eastAsia="zh-CN"/>
                <w14:textFill>
                  <w14:solidFill>
                    <w14:schemeClr w14:val="tx1"/>
                  </w14:solidFill>
                </w14:textFill>
              </w:rPr>
              <w:t>15</w:t>
            </w:r>
            <w:r>
              <w:rPr>
                <w:rFonts w:hint="eastAsia"/>
                <w:color w:val="000000" w:themeColor="text1"/>
                <w:sz w:val="24"/>
                <w:szCs w:val="24"/>
                <w:highlight w:val="none"/>
                <w14:textFill>
                  <w14:solidFill>
                    <w14:schemeClr w14:val="tx1"/>
                  </w14:solidFill>
                </w14:textFill>
              </w:rPr>
              <w:t>分）：对项目总体概况表述较清晰、完整；项目施工部署安排及施工方法和技术措施具</w:t>
            </w:r>
            <w:r>
              <w:rPr>
                <w:rFonts w:hint="eastAsia"/>
                <w:color w:val="000000" w:themeColor="text1"/>
                <w:sz w:val="24"/>
                <w:szCs w:val="24"/>
                <w:highlight w:val="none"/>
                <w:lang w:val="en-US" w:eastAsia="zh-CN"/>
                <w14:textFill>
                  <w14:solidFill>
                    <w14:schemeClr w14:val="tx1"/>
                  </w14:solidFill>
                </w14:textFill>
              </w:rPr>
              <w:t>体可行</w:t>
            </w:r>
            <w:r>
              <w:rPr>
                <w:rFonts w:hint="eastAsia"/>
                <w:color w:val="000000" w:themeColor="text1"/>
                <w:sz w:val="24"/>
                <w:szCs w:val="24"/>
                <w:highlight w:val="none"/>
                <w:lang w:eastAsia="zh-CN"/>
                <w14:textFill>
                  <w14:solidFill>
                    <w14:schemeClr w14:val="tx1"/>
                  </w14:solidFill>
                </w14:textFill>
              </w:rPr>
              <w:t>；</w:t>
            </w:r>
          </w:p>
          <w:p w14:paraId="2DF47F02">
            <w:pPr>
              <w:pStyle w:val="44"/>
              <w:spacing w:line="40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第三档次（</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分）：对项目总体概况表述清晰，项目施工部署安排及施工方法和技术措施不够具体；</w:t>
            </w:r>
          </w:p>
          <w:p w14:paraId="3EF1DD3C">
            <w:pPr>
              <w:pStyle w:val="44"/>
              <w:spacing w:line="400" w:lineRule="exact"/>
              <w:ind w:firstLine="48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第四档次（</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分）：对项目总体概况表述一般、项目施工部署安排及施工方法和技术措施</w:t>
            </w:r>
            <w:r>
              <w:rPr>
                <w:rFonts w:hint="eastAsia"/>
                <w:color w:val="000000" w:themeColor="text1"/>
                <w:sz w:val="24"/>
                <w:szCs w:val="24"/>
                <w:highlight w:val="none"/>
                <w:lang w:val="en-US" w:eastAsia="zh-CN"/>
                <w14:textFill>
                  <w14:solidFill>
                    <w14:schemeClr w14:val="tx1"/>
                  </w14:solidFill>
                </w14:textFill>
              </w:rPr>
              <w:t>针对性一般；</w:t>
            </w:r>
          </w:p>
          <w:p w14:paraId="2105441C">
            <w:pPr>
              <w:pStyle w:val="44"/>
              <w:spacing w:line="400" w:lineRule="exact"/>
              <w:ind w:firstLine="480"/>
              <w:rPr>
                <w:color w:val="000000" w:themeColor="text1"/>
                <w:sz w:val="21"/>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第五档次（</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分）：无施工方案与技术措</w:t>
            </w:r>
            <w:r>
              <w:rPr>
                <w:rFonts w:hint="eastAsia"/>
                <w:color w:val="000000" w:themeColor="text1"/>
                <w:sz w:val="24"/>
                <w:szCs w:val="24"/>
                <w:highlight w:val="none"/>
                <w:lang w:val="en-US" w:eastAsia="zh-CN"/>
                <w14:textFill>
                  <w14:solidFill>
                    <w14:schemeClr w14:val="tx1"/>
                  </w14:solidFill>
                </w14:textFill>
              </w:rPr>
              <w:t>施</w:t>
            </w:r>
            <w:r>
              <w:rPr>
                <w:rFonts w:hint="eastAsia"/>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val="en-US" w:eastAsia="zh-CN"/>
                <w14:textFill>
                  <w14:solidFill>
                    <w14:schemeClr w14:val="tx1"/>
                  </w14:solidFill>
                </w14:textFill>
              </w:rPr>
              <w:t>本项</w:t>
            </w:r>
            <w:r>
              <w:rPr>
                <w:rFonts w:hint="eastAsia"/>
                <w:color w:val="000000" w:themeColor="text1"/>
                <w:sz w:val="24"/>
                <w:szCs w:val="24"/>
                <w:highlight w:val="none"/>
                <w14:textFill>
                  <w14:solidFill>
                    <w14:schemeClr w14:val="tx1"/>
                  </w14:solidFill>
                </w14:textFill>
              </w:rPr>
              <w:t>不得分。</w:t>
            </w:r>
          </w:p>
        </w:tc>
        <w:tc>
          <w:tcPr>
            <w:tcW w:w="2064" w:type="dxa"/>
            <w:tcBorders>
              <w:top w:val="single" w:color="auto" w:sz="4" w:space="0"/>
              <w:left w:val="single" w:color="auto" w:sz="4" w:space="0"/>
              <w:bottom w:val="single" w:color="auto" w:sz="4" w:space="0"/>
            </w:tcBorders>
            <w:vAlign w:val="center"/>
          </w:tcPr>
          <w:p w14:paraId="19EBC300">
            <w:pPr>
              <w:widowControl w:val="0"/>
              <w:spacing w:line="500" w:lineRule="exact"/>
              <w:rPr>
                <w:rFonts w:ascii="宋体" w:hAnsi="宋体" w:cs="宋体"/>
                <w:color w:val="000000" w:themeColor="text1"/>
                <w:highlight w:val="none"/>
                <w14:textFill>
                  <w14:solidFill>
                    <w14:schemeClr w14:val="tx1"/>
                  </w14:solidFill>
                </w14:textFill>
              </w:rPr>
            </w:pPr>
          </w:p>
        </w:tc>
      </w:tr>
      <w:tr w14:paraId="01A5D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51" w:type="dxa"/>
            <w:vMerge w:val="continue"/>
            <w:tcBorders>
              <w:right w:val="single" w:color="auto" w:sz="4" w:space="0"/>
            </w:tcBorders>
            <w:vAlign w:val="center"/>
          </w:tcPr>
          <w:p w14:paraId="6F8B8D70">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vMerge w:val="continue"/>
            <w:tcBorders>
              <w:left w:val="single" w:color="auto" w:sz="4" w:space="0"/>
              <w:right w:val="single" w:color="auto" w:sz="4" w:space="0"/>
            </w:tcBorders>
            <w:vAlign w:val="center"/>
          </w:tcPr>
          <w:p w14:paraId="4D3E1D79">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2" w:type="dxa"/>
            <w:vMerge w:val="continue"/>
            <w:tcBorders>
              <w:left w:val="single" w:color="auto" w:sz="4" w:space="0"/>
              <w:right w:val="single" w:color="auto" w:sz="4" w:space="0"/>
            </w:tcBorders>
            <w:vAlign w:val="center"/>
          </w:tcPr>
          <w:p w14:paraId="1280915F">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vAlign w:val="center"/>
          </w:tcPr>
          <w:p w14:paraId="0BBF8289">
            <w:pPr>
              <w:snapToGrid w:val="0"/>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三、</w:t>
            </w:r>
            <w:r>
              <w:rPr>
                <w:rFonts w:hint="eastAsia" w:ascii="宋体" w:hAnsi="宋体" w:cs="宋体"/>
                <w:b/>
                <w:bCs/>
                <w:color w:val="000000" w:themeColor="text1"/>
                <w:szCs w:val="21"/>
                <w:highlight w:val="none"/>
                <w14:textFill>
                  <w14:solidFill>
                    <w14:schemeClr w14:val="tx1"/>
                  </w14:solidFill>
                </w14:textFill>
              </w:rPr>
              <w:t>质量管理与</w:t>
            </w:r>
            <w:r>
              <w:rPr>
                <w:rFonts w:hint="eastAsia" w:ascii="宋体" w:hAnsi="宋体" w:cs="宋体"/>
                <w:b/>
                <w:bCs/>
                <w:color w:val="000000" w:themeColor="text1"/>
                <w:szCs w:val="21"/>
                <w:highlight w:val="none"/>
                <w:lang w:val="en-US" w:eastAsia="zh-CN"/>
                <w14:textFill>
                  <w14:solidFill>
                    <w14:schemeClr w14:val="tx1"/>
                  </w14:solidFill>
                </w14:textFill>
              </w:rPr>
              <w:t>保障</w:t>
            </w:r>
            <w:r>
              <w:rPr>
                <w:rFonts w:hint="eastAsia" w:ascii="宋体" w:hAnsi="宋体" w:cs="宋体"/>
                <w:b/>
                <w:bCs/>
                <w:color w:val="000000" w:themeColor="text1"/>
                <w:szCs w:val="21"/>
                <w:highlight w:val="none"/>
                <w14:textFill>
                  <w14:solidFill>
                    <w14:schemeClr w14:val="tx1"/>
                  </w14:solidFill>
                </w14:textFill>
              </w:rPr>
              <w:t>措施（满分</w:t>
            </w:r>
            <w:r>
              <w:rPr>
                <w:rFonts w:hint="eastAsia" w:ascii="宋体" w:hAnsi="宋体" w:cs="宋体"/>
                <w:b/>
                <w:bCs/>
                <w:color w:val="000000" w:themeColor="text1"/>
                <w:szCs w:val="21"/>
                <w:highlight w:val="none"/>
                <w:lang w:val="en-US" w:eastAsia="zh-CN"/>
                <w14:textFill>
                  <w14:solidFill>
                    <w14:schemeClr w14:val="tx1"/>
                  </w14:solidFill>
                </w14:textFill>
              </w:rPr>
              <w:t>10</w:t>
            </w:r>
            <w:r>
              <w:rPr>
                <w:rFonts w:hint="eastAsia" w:ascii="宋体" w:hAnsi="宋体" w:cs="宋体"/>
                <w:b/>
                <w:bCs/>
                <w:color w:val="000000" w:themeColor="text1"/>
                <w:szCs w:val="21"/>
                <w:highlight w:val="none"/>
                <w14:textFill>
                  <w14:solidFill>
                    <w14:schemeClr w14:val="tx1"/>
                  </w14:solidFill>
                </w14:textFill>
              </w:rPr>
              <w:t>分）</w:t>
            </w:r>
          </w:p>
          <w:p w14:paraId="392F1170">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分）：质量管理机构健全，职责分工明确，管理制度齐全，质量管理技术措施</w:t>
            </w:r>
            <w:r>
              <w:rPr>
                <w:rFonts w:hint="eastAsia"/>
                <w:color w:val="000000" w:themeColor="text1"/>
                <w:sz w:val="24"/>
                <w:szCs w:val="24"/>
                <w:highlight w:val="none"/>
                <w:lang w:val="en-US" w:eastAsia="zh-CN"/>
                <w14:textFill>
                  <w14:solidFill>
                    <w14:schemeClr w14:val="tx1"/>
                  </w14:solidFill>
                </w14:textFill>
              </w:rPr>
              <w:t>科学合理，有具体的违约责任承诺</w:t>
            </w:r>
            <w:r>
              <w:rPr>
                <w:rFonts w:hint="eastAsia"/>
                <w:color w:val="000000" w:themeColor="text1"/>
                <w:sz w:val="24"/>
                <w:szCs w:val="24"/>
                <w:highlight w:val="none"/>
                <w:lang w:eastAsia="zh-CN"/>
                <w14:textFill>
                  <w14:solidFill>
                    <w14:schemeClr w14:val="tx1"/>
                  </w14:solidFill>
                </w14:textFill>
              </w:rPr>
              <w:t>；</w:t>
            </w:r>
          </w:p>
          <w:p w14:paraId="4EBDE29F">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第二档次（</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分）：质量管理机构健全，职责分工明确，管理制度齐全，质量管理技术措施</w:t>
            </w:r>
            <w:r>
              <w:rPr>
                <w:rFonts w:hint="eastAsia"/>
                <w:color w:val="000000" w:themeColor="text1"/>
                <w:sz w:val="24"/>
                <w:szCs w:val="24"/>
                <w:highlight w:val="none"/>
                <w:lang w:val="en-US" w:eastAsia="zh-CN"/>
                <w14:textFill>
                  <w14:solidFill>
                    <w14:schemeClr w14:val="tx1"/>
                  </w14:solidFill>
                </w14:textFill>
              </w:rPr>
              <w:t>基本合理，有具体的违约责任承诺</w:t>
            </w:r>
            <w:r>
              <w:rPr>
                <w:rFonts w:hint="eastAsia"/>
                <w:color w:val="000000" w:themeColor="text1"/>
                <w:sz w:val="24"/>
                <w:szCs w:val="24"/>
                <w:highlight w:val="none"/>
                <w:lang w:eastAsia="zh-CN"/>
                <w14:textFill>
                  <w14:solidFill>
                    <w14:schemeClr w14:val="tx1"/>
                  </w14:solidFill>
                </w14:textFill>
              </w:rPr>
              <w:t>；</w:t>
            </w:r>
          </w:p>
          <w:p w14:paraId="0E8BDC73">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第三档次（</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分）：质量管理机构健全，职责分工明确，管理制度基本齐全，质量管理技术措施</w:t>
            </w:r>
            <w:r>
              <w:rPr>
                <w:rFonts w:hint="eastAsia"/>
                <w:color w:val="000000" w:themeColor="text1"/>
                <w:sz w:val="24"/>
                <w:szCs w:val="24"/>
                <w:highlight w:val="none"/>
                <w:lang w:val="en-US" w:eastAsia="zh-CN"/>
                <w14:textFill>
                  <w14:solidFill>
                    <w14:schemeClr w14:val="tx1"/>
                  </w14:solidFill>
                </w14:textFill>
              </w:rPr>
              <w:t>合理性差，违约责任承诺不具体或无承诺</w:t>
            </w:r>
            <w:r>
              <w:rPr>
                <w:rFonts w:hint="eastAsia"/>
                <w:color w:val="000000" w:themeColor="text1"/>
                <w:sz w:val="24"/>
                <w:szCs w:val="24"/>
                <w:highlight w:val="none"/>
                <w:lang w:eastAsia="zh-CN"/>
                <w14:textFill>
                  <w14:solidFill>
                    <w14:schemeClr w14:val="tx1"/>
                  </w14:solidFill>
                </w14:textFill>
              </w:rPr>
              <w:t>；</w:t>
            </w:r>
          </w:p>
          <w:p w14:paraId="134733B3">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第四档次（</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分）：质量管理机构</w:t>
            </w:r>
            <w:r>
              <w:rPr>
                <w:rFonts w:hint="eastAsia"/>
                <w:color w:val="000000" w:themeColor="text1"/>
                <w:sz w:val="24"/>
                <w:szCs w:val="24"/>
                <w:highlight w:val="none"/>
                <w:lang w:val="en-US" w:eastAsia="zh-CN"/>
                <w14:textFill>
                  <w14:solidFill>
                    <w14:schemeClr w14:val="tx1"/>
                  </w14:solidFill>
                </w14:textFill>
              </w:rPr>
              <w:t>基本</w:t>
            </w:r>
            <w:r>
              <w:rPr>
                <w:rFonts w:hint="eastAsia"/>
                <w:color w:val="000000" w:themeColor="text1"/>
                <w:sz w:val="24"/>
                <w:szCs w:val="24"/>
                <w:highlight w:val="none"/>
                <w14:textFill>
                  <w14:solidFill>
                    <w14:schemeClr w14:val="tx1"/>
                  </w14:solidFill>
                </w14:textFill>
              </w:rPr>
              <w:t>健全，职责分工不够明确，管理制度</w:t>
            </w:r>
            <w:r>
              <w:rPr>
                <w:rFonts w:hint="eastAsia"/>
                <w:color w:val="000000" w:themeColor="text1"/>
                <w:sz w:val="24"/>
                <w:szCs w:val="24"/>
                <w:highlight w:val="none"/>
                <w:lang w:val="en-US" w:eastAsia="zh-CN"/>
                <w14:textFill>
                  <w14:solidFill>
                    <w14:schemeClr w14:val="tx1"/>
                  </w14:solidFill>
                </w14:textFill>
              </w:rPr>
              <w:t>不</w:t>
            </w:r>
            <w:r>
              <w:rPr>
                <w:rFonts w:hint="eastAsia"/>
                <w:color w:val="000000" w:themeColor="text1"/>
                <w:sz w:val="24"/>
                <w:szCs w:val="24"/>
                <w:highlight w:val="none"/>
                <w14:textFill>
                  <w14:solidFill>
                    <w14:schemeClr w14:val="tx1"/>
                  </w14:solidFill>
                </w14:textFill>
              </w:rPr>
              <w:t>齐全，质量管理技术措施</w:t>
            </w:r>
            <w:r>
              <w:rPr>
                <w:rFonts w:hint="eastAsia"/>
                <w:color w:val="000000" w:themeColor="text1"/>
                <w:sz w:val="24"/>
                <w:szCs w:val="24"/>
                <w:highlight w:val="none"/>
                <w:lang w:val="en-US" w:eastAsia="zh-CN"/>
                <w14:textFill>
                  <w14:solidFill>
                    <w14:schemeClr w14:val="tx1"/>
                  </w14:solidFill>
                </w14:textFill>
              </w:rPr>
              <w:t>不合理，违约责任承诺不具体或无承诺</w:t>
            </w:r>
            <w:r>
              <w:rPr>
                <w:rFonts w:hint="eastAsia"/>
                <w:color w:val="000000" w:themeColor="text1"/>
                <w:sz w:val="24"/>
                <w:szCs w:val="24"/>
                <w:highlight w:val="none"/>
                <w:lang w:eastAsia="zh-CN"/>
                <w14:textFill>
                  <w14:solidFill>
                    <w14:schemeClr w14:val="tx1"/>
                  </w14:solidFill>
                </w14:textFill>
              </w:rPr>
              <w:t>；</w:t>
            </w:r>
          </w:p>
          <w:p w14:paraId="6A035E85">
            <w:pPr>
              <w:pStyle w:val="44"/>
              <w:spacing w:line="420" w:lineRule="exact"/>
              <w:ind w:firstLine="480"/>
              <w:rPr>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第五档次</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分）：无质量管理体系与措施的，不得分。</w:t>
            </w:r>
          </w:p>
        </w:tc>
        <w:tc>
          <w:tcPr>
            <w:tcW w:w="2064" w:type="dxa"/>
            <w:tcBorders>
              <w:top w:val="single" w:color="auto" w:sz="4" w:space="0"/>
              <w:left w:val="single" w:color="auto" w:sz="4" w:space="0"/>
              <w:bottom w:val="single" w:color="auto" w:sz="4" w:space="0"/>
            </w:tcBorders>
            <w:vAlign w:val="center"/>
          </w:tcPr>
          <w:p w14:paraId="38374BB9">
            <w:pPr>
              <w:widowControl w:val="0"/>
              <w:spacing w:line="500" w:lineRule="exact"/>
              <w:rPr>
                <w:rFonts w:ascii="宋体" w:hAnsi="宋体" w:cs="宋体"/>
                <w:color w:val="000000" w:themeColor="text1"/>
                <w:highlight w:val="none"/>
                <w14:textFill>
                  <w14:solidFill>
                    <w14:schemeClr w14:val="tx1"/>
                  </w14:solidFill>
                </w14:textFill>
              </w:rPr>
            </w:pPr>
          </w:p>
        </w:tc>
      </w:tr>
      <w:tr w14:paraId="515D8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51" w:type="dxa"/>
            <w:vMerge w:val="continue"/>
            <w:tcBorders>
              <w:right w:val="single" w:color="auto" w:sz="4" w:space="0"/>
            </w:tcBorders>
            <w:vAlign w:val="center"/>
          </w:tcPr>
          <w:p w14:paraId="78079DDC">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vMerge w:val="continue"/>
            <w:tcBorders>
              <w:left w:val="single" w:color="auto" w:sz="4" w:space="0"/>
              <w:right w:val="single" w:color="auto" w:sz="4" w:space="0"/>
            </w:tcBorders>
            <w:vAlign w:val="center"/>
          </w:tcPr>
          <w:p w14:paraId="247BE44C">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2" w:type="dxa"/>
            <w:vMerge w:val="continue"/>
            <w:tcBorders>
              <w:left w:val="single" w:color="auto" w:sz="4" w:space="0"/>
              <w:right w:val="single" w:color="auto" w:sz="4" w:space="0"/>
            </w:tcBorders>
            <w:vAlign w:val="center"/>
          </w:tcPr>
          <w:p w14:paraId="4DF420BA">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vAlign w:val="center"/>
          </w:tcPr>
          <w:p w14:paraId="0070C8B7">
            <w:pPr>
              <w:snapToGrid w:val="0"/>
              <w:spacing w:line="400" w:lineRule="exact"/>
              <w:rPr>
                <w:color w:val="000000" w:themeColor="text1"/>
                <w:sz w:val="24"/>
                <w:szCs w:val="24"/>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四、项目</w:t>
            </w:r>
            <w:r>
              <w:rPr>
                <w:rFonts w:hint="eastAsia" w:ascii="宋体" w:hAnsi="宋体" w:cs="宋体"/>
                <w:b/>
                <w:bCs/>
                <w:color w:val="000000" w:themeColor="text1"/>
                <w:szCs w:val="21"/>
                <w:highlight w:val="none"/>
                <w14:textFill>
                  <w14:solidFill>
                    <w14:schemeClr w14:val="tx1"/>
                  </w14:solidFill>
                </w14:textFill>
              </w:rPr>
              <w:t>进度计划与保证措施（满分</w:t>
            </w:r>
            <w:r>
              <w:rPr>
                <w:rFonts w:hint="eastAsia" w:ascii="宋体" w:hAnsi="宋体" w:cs="宋体"/>
                <w:b/>
                <w:bCs/>
                <w:color w:val="000000" w:themeColor="text1"/>
                <w:szCs w:val="21"/>
                <w:highlight w:val="none"/>
                <w:lang w:val="en-US" w:eastAsia="zh-CN"/>
                <w14:textFill>
                  <w14:solidFill>
                    <w14:schemeClr w14:val="tx1"/>
                  </w14:solidFill>
                </w14:textFill>
              </w:rPr>
              <w:t>10</w:t>
            </w:r>
            <w:r>
              <w:rPr>
                <w:rFonts w:hint="eastAsia" w:ascii="宋体" w:hAnsi="宋体" w:cs="宋体"/>
                <w:b/>
                <w:bCs/>
                <w:color w:val="000000" w:themeColor="text1"/>
                <w:szCs w:val="21"/>
                <w:highlight w:val="none"/>
                <w14:textFill>
                  <w14:solidFill>
                    <w14:schemeClr w14:val="tx1"/>
                  </w14:solidFill>
                </w14:textFill>
              </w:rPr>
              <w:t>分）</w:t>
            </w:r>
          </w:p>
          <w:p w14:paraId="04048CA7">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进度计划内容全面，计划编制合理可行，有详细完整地计划开、竣工日期；计划安排保障措施有力、合理、可行</w:t>
            </w:r>
            <w:r>
              <w:rPr>
                <w:rFonts w:hint="eastAsia"/>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有具体的违约</w:t>
            </w:r>
            <w:r>
              <w:rPr>
                <w:rFonts w:hint="eastAsia" w:ascii="宋体" w:hAnsi="宋体" w:eastAsia="宋体" w:cs="宋体"/>
                <w:color w:val="000000" w:themeColor="text1"/>
                <w:sz w:val="21"/>
                <w:highlight w:val="none"/>
                <w:lang w:val="en-US" w:eastAsia="zh-CN"/>
                <w14:textFill>
                  <w14:solidFill>
                    <w14:schemeClr w14:val="tx1"/>
                  </w14:solidFill>
                </w14:textFill>
              </w:rPr>
              <w:t>责任</w:t>
            </w:r>
            <w:r>
              <w:rPr>
                <w:rFonts w:ascii="宋体" w:hAnsi="宋体" w:eastAsia="宋体" w:cs="宋体"/>
                <w:color w:val="000000" w:themeColor="text1"/>
                <w:sz w:val="21"/>
                <w:highlight w:val="none"/>
                <w14:textFill>
                  <w14:solidFill>
                    <w14:schemeClr w14:val="tx1"/>
                  </w14:solidFill>
                </w14:textFill>
              </w:rPr>
              <w:t>承诺</w:t>
            </w:r>
            <w:r>
              <w:rPr>
                <w:rFonts w:hint="eastAsia" w:cs="宋体"/>
                <w:color w:val="000000" w:themeColor="text1"/>
                <w:sz w:val="21"/>
                <w:highlight w:val="none"/>
                <w:lang w:eastAsia="zh-CN"/>
                <w14:textFill>
                  <w14:solidFill>
                    <w14:schemeClr w14:val="tx1"/>
                  </w14:solidFill>
                </w14:textFill>
              </w:rPr>
              <w:t>；</w:t>
            </w:r>
          </w:p>
          <w:p w14:paraId="4BFBF483">
            <w:pPr>
              <w:pStyle w:val="44"/>
              <w:spacing w:line="420" w:lineRule="exact"/>
              <w:ind w:firstLine="480"/>
              <w:rPr>
                <w:rFonts w:hint="eastAsia" w:cs="宋体"/>
                <w:color w:val="000000" w:themeColor="text1"/>
                <w:sz w:val="21"/>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第二档次（</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进度计划内容较全面，计划编制</w:t>
            </w:r>
            <w:r>
              <w:rPr>
                <w:rFonts w:hint="eastAsia"/>
                <w:color w:val="000000" w:themeColor="text1"/>
                <w:sz w:val="24"/>
                <w:szCs w:val="24"/>
                <w:highlight w:val="none"/>
                <w:lang w:val="en-US" w:eastAsia="zh-CN"/>
                <w14:textFill>
                  <w14:solidFill>
                    <w14:schemeClr w14:val="tx1"/>
                  </w14:solidFill>
                </w14:textFill>
              </w:rPr>
              <w:t>基本</w:t>
            </w:r>
            <w:r>
              <w:rPr>
                <w:rFonts w:hint="eastAsia"/>
                <w:color w:val="000000" w:themeColor="text1"/>
                <w:sz w:val="24"/>
                <w:szCs w:val="24"/>
                <w:highlight w:val="none"/>
                <w14:textFill>
                  <w14:solidFill>
                    <w14:schemeClr w14:val="tx1"/>
                  </w14:solidFill>
                </w14:textFill>
              </w:rPr>
              <w:t>合理，有完整的计划开、竣工日期</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计划安排保障措施可行</w:t>
            </w:r>
            <w:r>
              <w:rPr>
                <w:rFonts w:hint="eastAsia"/>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1"/>
                <w:highlight w:val="none"/>
                <w14:textFill>
                  <w14:solidFill>
                    <w14:schemeClr w14:val="tx1"/>
                  </w14:solidFill>
                </w14:textFill>
              </w:rPr>
              <w:t>有具体的违约</w:t>
            </w:r>
            <w:r>
              <w:rPr>
                <w:rFonts w:hint="eastAsia" w:ascii="宋体" w:hAnsi="宋体" w:eastAsia="宋体" w:cs="宋体"/>
                <w:color w:val="000000" w:themeColor="text1"/>
                <w:sz w:val="21"/>
                <w:highlight w:val="none"/>
                <w:lang w:val="en-US" w:eastAsia="zh-CN"/>
                <w14:textFill>
                  <w14:solidFill>
                    <w14:schemeClr w14:val="tx1"/>
                  </w14:solidFill>
                </w14:textFill>
              </w:rPr>
              <w:t>责任</w:t>
            </w:r>
            <w:r>
              <w:rPr>
                <w:rFonts w:ascii="宋体" w:hAnsi="宋体" w:eastAsia="宋体" w:cs="宋体"/>
                <w:color w:val="000000" w:themeColor="text1"/>
                <w:sz w:val="21"/>
                <w:highlight w:val="none"/>
                <w14:textFill>
                  <w14:solidFill>
                    <w14:schemeClr w14:val="tx1"/>
                  </w14:solidFill>
                </w14:textFill>
              </w:rPr>
              <w:t>承诺</w:t>
            </w:r>
            <w:r>
              <w:rPr>
                <w:rFonts w:hint="eastAsia" w:cs="宋体"/>
                <w:color w:val="000000" w:themeColor="text1"/>
                <w:sz w:val="21"/>
                <w:highlight w:val="none"/>
                <w:lang w:eastAsia="zh-CN"/>
                <w14:textFill>
                  <w14:solidFill>
                    <w14:schemeClr w14:val="tx1"/>
                  </w14:solidFill>
                </w14:textFill>
              </w:rPr>
              <w:t>；</w:t>
            </w:r>
          </w:p>
          <w:p w14:paraId="18D095FC">
            <w:pPr>
              <w:pStyle w:val="44"/>
              <w:spacing w:line="42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第三档次（</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进度计划内容</w:t>
            </w:r>
            <w:r>
              <w:rPr>
                <w:rFonts w:hint="eastAsia"/>
                <w:color w:val="000000" w:themeColor="text1"/>
                <w:sz w:val="24"/>
                <w:szCs w:val="24"/>
                <w:highlight w:val="none"/>
                <w:lang w:val="en-US" w:eastAsia="zh-CN"/>
                <w14:textFill>
                  <w14:solidFill>
                    <w14:schemeClr w14:val="tx1"/>
                  </w14:solidFill>
                </w14:textFill>
              </w:rPr>
              <w:t>一般</w:t>
            </w:r>
            <w:r>
              <w:rPr>
                <w:rFonts w:hint="eastAsia"/>
                <w:color w:val="000000" w:themeColor="text1"/>
                <w:sz w:val="24"/>
                <w:szCs w:val="24"/>
                <w:highlight w:val="none"/>
                <w14:textFill>
                  <w14:solidFill>
                    <w14:schemeClr w14:val="tx1"/>
                  </w14:solidFill>
                </w14:textFill>
              </w:rPr>
              <w:t>，计划编制</w:t>
            </w:r>
            <w:r>
              <w:rPr>
                <w:rFonts w:hint="eastAsia"/>
                <w:color w:val="000000" w:themeColor="text1"/>
                <w:sz w:val="24"/>
                <w:szCs w:val="24"/>
                <w:highlight w:val="none"/>
                <w:lang w:val="en-US" w:eastAsia="zh-CN"/>
                <w14:textFill>
                  <w14:solidFill>
                    <w14:schemeClr w14:val="tx1"/>
                  </w14:solidFill>
                </w14:textFill>
              </w:rPr>
              <w:t>基本</w:t>
            </w:r>
            <w:r>
              <w:rPr>
                <w:rFonts w:hint="eastAsia"/>
                <w:color w:val="000000" w:themeColor="text1"/>
                <w:sz w:val="24"/>
                <w:szCs w:val="24"/>
                <w:highlight w:val="none"/>
                <w14:textFill>
                  <w14:solidFill>
                    <w14:schemeClr w14:val="tx1"/>
                  </w14:solidFill>
                </w14:textFill>
              </w:rPr>
              <w:t>合理，</w:t>
            </w:r>
            <w:r>
              <w:rPr>
                <w:rFonts w:hint="eastAsia"/>
                <w:color w:val="000000" w:themeColor="text1"/>
                <w:sz w:val="24"/>
                <w:szCs w:val="24"/>
                <w:highlight w:val="none"/>
                <w:lang w:val="en-US" w:eastAsia="zh-CN"/>
                <w14:textFill>
                  <w14:solidFill>
                    <w14:schemeClr w14:val="tx1"/>
                  </w14:solidFill>
                </w14:textFill>
              </w:rPr>
              <w:t>无</w:t>
            </w:r>
            <w:r>
              <w:rPr>
                <w:rFonts w:hint="eastAsia"/>
                <w:color w:val="000000" w:themeColor="text1"/>
                <w:sz w:val="24"/>
                <w:szCs w:val="24"/>
                <w:highlight w:val="none"/>
                <w14:textFill>
                  <w14:solidFill>
                    <w14:schemeClr w14:val="tx1"/>
                  </w14:solidFill>
                </w14:textFill>
              </w:rPr>
              <w:t>完整的计划开、竣工日期和施工进度网络图；计划安排保障措施</w:t>
            </w:r>
            <w:r>
              <w:rPr>
                <w:rFonts w:hint="eastAsia"/>
                <w:color w:val="000000" w:themeColor="text1"/>
                <w:sz w:val="24"/>
                <w:szCs w:val="24"/>
                <w:highlight w:val="none"/>
                <w:lang w:val="en-US" w:eastAsia="zh-CN"/>
                <w14:textFill>
                  <w14:solidFill>
                    <w14:schemeClr w14:val="tx1"/>
                  </w14:solidFill>
                </w14:textFill>
              </w:rPr>
              <w:t>合理性差，</w:t>
            </w:r>
            <w:r>
              <w:rPr>
                <w:rFonts w:ascii="宋体" w:hAnsi="宋体" w:eastAsia="宋体" w:cs="宋体"/>
                <w:color w:val="000000" w:themeColor="text1"/>
                <w:sz w:val="21"/>
                <w:highlight w:val="none"/>
                <w14:textFill>
                  <w14:solidFill>
                    <w14:schemeClr w14:val="tx1"/>
                  </w14:solidFill>
                </w14:textFill>
              </w:rPr>
              <w:t>违约</w:t>
            </w:r>
            <w:r>
              <w:rPr>
                <w:rFonts w:hint="eastAsia" w:ascii="宋体" w:hAnsi="宋体" w:eastAsia="宋体" w:cs="宋体"/>
                <w:color w:val="000000" w:themeColor="text1"/>
                <w:sz w:val="21"/>
                <w:highlight w:val="none"/>
                <w:lang w:val="en-US" w:eastAsia="zh-CN"/>
                <w14:textFill>
                  <w14:solidFill>
                    <w14:schemeClr w14:val="tx1"/>
                  </w14:solidFill>
                </w14:textFill>
              </w:rPr>
              <w:t>责任</w:t>
            </w:r>
            <w:r>
              <w:rPr>
                <w:rFonts w:ascii="宋体" w:hAnsi="宋体" w:eastAsia="宋体" w:cs="宋体"/>
                <w:color w:val="000000" w:themeColor="text1"/>
                <w:sz w:val="21"/>
                <w:highlight w:val="none"/>
                <w14:textFill>
                  <w14:solidFill>
                    <w14:schemeClr w14:val="tx1"/>
                  </w14:solidFill>
                </w14:textFill>
              </w:rPr>
              <w:t>承诺</w:t>
            </w:r>
            <w:r>
              <w:rPr>
                <w:rFonts w:hint="eastAsia" w:ascii="宋体" w:hAnsi="宋体" w:eastAsia="宋体" w:cs="宋体"/>
                <w:color w:val="000000" w:themeColor="text1"/>
                <w:sz w:val="21"/>
                <w:highlight w:val="none"/>
                <w:lang w:val="en-US" w:eastAsia="zh-CN"/>
                <w14:textFill>
                  <w14:solidFill>
                    <w14:schemeClr w14:val="tx1"/>
                  </w14:solidFill>
                </w14:textFill>
              </w:rPr>
              <w:t>不具体</w:t>
            </w:r>
            <w:r>
              <w:rPr>
                <w:rFonts w:hint="eastAsia" w:cs="宋体"/>
                <w:color w:val="000000" w:themeColor="text1"/>
                <w:sz w:val="21"/>
                <w:highlight w:val="none"/>
                <w:lang w:eastAsia="zh-CN"/>
                <w14:textFill>
                  <w14:solidFill>
                    <w14:schemeClr w14:val="tx1"/>
                  </w14:solidFill>
                </w14:textFill>
              </w:rPr>
              <w:t>；</w:t>
            </w:r>
          </w:p>
          <w:p w14:paraId="5446D976">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第四档次（</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进度计划内容不够全面，计划编制不够合理，无计划开、竣工日期；计划安排保障措施</w:t>
            </w:r>
            <w:r>
              <w:rPr>
                <w:rFonts w:hint="eastAsia"/>
                <w:color w:val="000000" w:themeColor="text1"/>
                <w:sz w:val="24"/>
                <w:szCs w:val="24"/>
                <w:highlight w:val="none"/>
                <w:lang w:val="en-US" w:eastAsia="zh-CN"/>
                <w14:textFill>
                  <w14:solidFill>
                    <w14:schemeClr w14:val="tx1"/>
                  </w14:solidFill>
                </w14:textFill>
              </w:rPr>
              <w:t>不合理，</w:t>
            </w:r>
            <w:r>
              <w:rPr>
                <w:rFonts w:ascii="宋体" w:hAnsi="宋体" w:eastAsia="宋体" w:cs="宋体"/>
                <w:color w:val="000000" w:themeColor="text1"/>
                <w:sz w:val="21"/>
                <w:highlight w:val="none"/>
                <w14:textFill>
                  <w14:solidFill>
                    <w14:schemeClr w14:val="tx1"/>
                  </w14:solidFill>
                </w14:textFill>
              </w:rPr>
              <w:t>违约</w:t>
            </w:r>
            <w:r>
              <w:rPr>
                <w:rFonts w:hint="eastAsia" w:ascii="宋体" w:hAnsi="宋体" w:eastAsia="宋体" w:cs="宋体"/>
                <w:color w:val="000000" w:themeColor="text1"/>
                <w:sz w:val="21"/>
                <w:highlight w:val="none"/>
                <w:lang w:val="en-US" w:eastAsia="zh-CN"/>
                <w14:textFill>
                  <w14:solidFill>
                    <w14:schemeClr w14:val="tx1"/>
                  </w14:solidFill>
                </w14:textFill>
              </w:rPr>
              <w:t>责任</w:t>
            </w:r>
            <w:r>
              <w:rPr>
                <w:rFonts w:ascii="宋体" w:hAnsi="宋体" w:eastAsia="宋体" w:cs="宋体"/>
                <w:color w:val="000000" w:themeColor="text1"/>
                <w:sz w:val="21"/>
                <w:highlight w:val="none"/>
                <w14:textFill>
                  <w14:solidFill>
                    <w14:schemeClr w14:val="tx1"/>
                  </w14:solidFill>
                </w14:textFill>
              </w:rPr>
              <w:t>承诺</w:t>
            </w:r>
            <w:r>
              <w:rPr>
                <w:rFonts w:hint="eastAsia" w:ascii="宋体" w:hAnsi="宋体" w:eastAsia="宋体" w:cs="宋体"/>
                <w:color w:val="000000" w:themeColor="text1"/>
                <w:sz w:val="21"/>
                <w:highlight w:val="none"/>
                <w:lang w:val="en-US" w:eastAsia="zh-CN"/>
                <w14:textFill>
                  <w14:solidFill>
                    <w14:schemeClr w14:val="tx1"/>
                  </w14:solidFill>
                </w14:textFill>
              </w:rPr>
              <w:t>不具体或无承诺</w:t>
            </w:r>
            <w:r>
              <w:rPr>
                <w:rFonts w:hint="eastAsia"/>
                <w:color w:val="000000" w:themeColor="text1"/>
                <w:sz w:val="24"/>
                <w:szCs w:val="24"/>
                <w:highlight w:val="none"/>
                <w:lang w:eastAsia="zh-CN"/>
                <w14:textFill>
                  <w14:solidFill>
                    <w14:schemeClr w14:val="tx1"/>
                  </w14:solidFill>
                </w14:textFill>
              </w:rPr>
              <w:t>；</w:t>
            </w:r>
          </w:p>
          <w:p w14:paraId="7E723858">
            <w:pPr>
              <w:pStyle w:val="44"/>
              <w:spacing w:line="420" w:lineRule="exact"/>
              <w:ind w:firstLine="480"/>
              <w:rPr>
                <w:rFonts w:hint="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第五档次（</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进度计划与保证措施。</w:t>
            </w:r>
          </w:p>
        </w:tc>
        <w:tc>
          <w:tcPr>
            <w:tcW w:w="2064" w:type="dxa"/>
            <w:tcBorders>
              <w:top w:val="single" w:color="auto" w:sz="4" w:space="0"/>
              <w:left w:val="single" w:color="auto" w:sz="4" w:space="0"/>
              <w:bottom w:val="single" w:color="auto" w:sz="4" w:space="0"/>
            </w:tcBorders>
            <w:vAlign w:val="center"/>
          </w:tcPr>
          <w:p w14:paraId="693B4340">
            <w:pPr>
              <w:widowControl w:val="0"/>
              <w:spacing w:line="500" w:lineRule="exact"/>
              <w:rPr>
                <w:rFonts w:ascii="宋体" w:hAnsi="宋体" w:cs="宋体"/>
                <w:color w:val="000000" w:themeColor="text1"/>
                <w:highlight w:val="none"/>
                <w14:textFill>
                  <w14:solidFill>
                    <w14:schemeClr w14:val="tx1"/>
                  </w14:solidFill>
                </w14:textFill>
              </w:rPr>
            </w:pPr>
          </w:p>
        </w:tc>
      </w:tr>
      <w:tr w14:paraId="25B71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51" w:type="dxa"/>
            <w:vMerge w:val="continue"/>
            <w:tcBorders>
              <w:right w:val="single" w:color="auto" w:sz="4" w:space="0"/>
            </w:tcBorders>
            <w:vAlign w:val="center"/>
          </w:tcPr>
          <w:p w14:paraId="586E6267">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vMerge w:val="continue"/>
            <w:tcBorders>
              <w:left w:val="single" w:color="auto" w:sz="4" w:space="0"/>
              <w:right w:val="single" w:color="auto" w:sz="4" w:space="0"/>
            </w:tcBorders>
            <w:vAlign w:val="center"/>
          </w:tcPr>
          <w:p w14:paraId="70B2684A">
            <w:pPr>
              <w:widowControl w:val="0"/>
              <w:spacing w:line="500" w:lineRule="exact"/>
              <w:rPr>
                <w:rFonts w:ascii="宋体" w:hAnsi="宋体" w:cs="宋体"/>
                <w:color w:val="000000" w:themeColor="text1"/>
                <w:highlight w:val="none"/>
                <w14:textFill>
                  <w14:solidFill>
                    <w14:schemeClr w14:val="tx1"/>
                  </w14:solidFill>
                </w14:textFill>
              </w:rPr>
            </w:pPr>
          </w:p>
        </w:tc>
        <w:tc>
          <w:tcPr>
            <w:tcW w:w="832" w:type="dxa"/>
            <w:vMerge w:val="continue"/>
            <w:tcBorders>
              <w:left w:val="single" w:color="auto" w:sz="4" w:space="0"/>
              <w:right w:val="single" w:color="auto" w:sz="4" w:space="0"/>
            </w:tcBorders>
            <w:vAlign w:val="center"/>
          </w:tcPr>
          <w:p w14:paraId="786AD2D3">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vAlign w:val="center"/>
          </w:tcPr>
          <w:p w14:paraId="7F14EA34">
            <w:pPr>
              <w:snapToGrid w:val="0"/>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highlight w:val="none"/>
                <w:lang w:val="en-US" w:eastAsia="zh-CN"/>
                <w14:textFill>
                  <w14:solidFill>
                    <w14:schemeClr w14:val="tx1"/>
                  </w14:solidFill>
                </w14:textFill>
              </w:rPr>
              <w:t>五、</w:t>
            </w:r>
            <w:r>
              <w:rPr>
                <w:rFonts w:ascii="宋体" w:hAnsi="宋体" w:eastAsia="宋体" w:cs="宋体"/>
                <w:b/>
                <w:bCs/>
                <w:color w:val="000000" w:themeColor="text1"/>
                <w:sz w:val="21"/>
                <w:highlight w:val="none"/>
                <w14:textFill>
                  <w14:solidFill>
                    <w14:schemeClr w14:val="tx1"/>
                  </w14:solidFill>
                </w14:textFill>
              </w:rPr>
              <w:t>安全生产、文明施工、环境保护措施</w:t>
            </w:r>
            <w:r>
              <w:rPr>
                <w:rFonts w:hint="eastAsia" w:ascii="宋体" w:hAnsi="宋体" w:cs="宋体"/>
                <w:b/>
                <w:bCs/>
                <w:color w:val="000000" w:themeColor="text1"/>
                <w:szCs w:val="21"/>
                <w:highlight w:val="none"/>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10</w:t>
            </w:r>
            <w:r>
              <w:rPr>
                <w:rFonts w:hint="eastAsia" w:ascii="宋体" w:hAnsi="宋体" w:cs="宋体"/>
                <w:b/>
                <w:bCs/>
                <w:color w:val="000000" w:themeColor="text1"/>
                <w:szCs w:val="21"/>
                <w:highlight w:val="none"/>
                <w14:textFill>
                  <w14:solidFill>
                    <w14:schemeClr w14:val="tx1"/>
                  </w14:solidFill>
                </w14:textFill>
              </w:rPr>
              <w:t>分）</w:t>
            </w:r>
          </w:p>
          <w:p w14:paraId="6C210CED">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分）：安全</w:t>
            </w:r>
            <w:r>
              <w:rPr>
                <w:rFonts w:hint="eastAsia"/>
                <w:color w:val="000000" w:themeColor="text1"/>
                <w:sz w:val="24"/>
                <w:szCs w:val="24"/>
                <w:highlight w:val="none"/>
                <w:lang w:val="en-US" w:eastAsia="zh-CN"/>
                <w14:textFill>
                  <w14:solidFill>
                    <w14:schemeClr w14:val="tx1"/>
                  </w14:solidFill>
                </w14:textFill>
              </w:rPr>
              <w:t>管理</w:t>
            </w:r>
            <w:r>
              <w:rPr>
                <w:rFonts w:hint="eastAsia"/>
                <w:color w:val="000000" w:themeColor="text1"/>
                <w:sz w:val="24"/>
                <w:szCs w:val="24"/>
                <w:highlight w:val="none"/>
                <w14:textFill>
                  <w14:solidFill>
                    <w14:schemeClr w14:val="tx1"/>
                  </w14:solidFill>
                </w14:textFill>
              </w:rPr>
              <w:t>制度</w:t>
            </w:r>
            <w:r>
              <w:rPr>
                <w:rFonts w:hint="eastAsia"/>
                <w:color w:val="000000" w:themeColor="text1"/>
                <w:sz w:val="24"/>
                <w:szCs w:val="24"/>
                <w:highlight w:val="none"/>
                <w:lang w:val="en-US" w:eastAsia="zh-CN"/>
                <w14:textFill>
                  <w14:solidFill>
                    <w14:schemeClr w14:val="tx1"/>
                  </w14:solidFill>
                </w14:textFill>
              </w:rPr>
              <w:t>健</w:t>
            </w:r>
            <w:r>
              <w:rPr>
                <w:rFonts w:hint="eastAsia"/>
                <w:color w:val="000000" w:themeColor="text1"/>
                <w:sz w:val="24"/>
                <w:szCs w:val="24"/>
                <w:highlight w:val="none"/>
                <w14:textFill>
                  <w14:solidFill>
                    <w14:schemeClr w14:val="tx1"/>
                  </w14:solidFill>
                </w14:textFill>
              </w:rPr>
              <w:t>全；</w:t>
            </w:r>
            <w:r>
              <w:rPr>
                <w:rFonts w:hint="eastAsia"/>
                <w:color w:val="000000" w:themeColor="text1"/>
                <w:sz w:val="24"/>
                <w:szCs w:val="24"/>
                <w:highlight w:val="none"/>
                <w:lang w:val="en-US" w:eastAsia="zh-CN"/>
                <w14:textFill>
                  <w14:solidFill>
                    <w14:schemeClr w14:val="tx1"/>
                  </w14:solidFill>
                </w14:textFill>
              </w:rPr>
              <w:t>文明施工和</w:t>
            </w:r>
            <w:r>
              <w:rPr>
                <w:rFonts w:hint="eastAsia"/>
                <w:color w:val="000000" w:themeColor="text1"/>
                <w:sz w:val="24"/>
                <w:szCs w:val="24"/>
                <w:highlight w:val="none"/>
                <w14:textFill>
                  <w14:solidFill>
                    <w14:schemeClr w14:val="tx1"/>
                  </w14:solidFill>
                </w14:textFill>
              </w:rPr>
              <w:t>环境保护管理措施全面、有效</w:t>
            </w:r>
            <w:r>
              <w:rPr>
                <w:rFonts w:hint="eastAsia"/>
                <w:color w:val="000000" w:themeColor="text1"/>
                <w:sz w:val="24"/>
                <w:szCs w:val="24"/>
                <w:highlight w:val="none"/>
                <w:lang w:eastAsia="zh-CN"/>
                <w14:textFill>
                  <w14:solidFill>
                    <w14:schemeClr w14:val="tx1"/>
                  </w14:solidFill>
                </w14:textFill>
              </w:rPr>
              <w:t>；</w:t>
            </w:r>
          </w:p>
          <w:p w14:paraId="2C6343B8">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第二档次</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分）：安全</w:t>
            </w:r>
            <w:r>
              <w:rPr>
                <w:rFonts w:hint="eastAsia"/>
                <w:color w:val="000000" w:themeColor="text1"/>
                <w:sz w:val="24"/>
                <w:szCs w:val="24"/>
                <w:highlight w:val="none"/>
                <w:lang w:val="en-US" w:eastAsia="zh-CN"/>
                <w14:textFill>
                  <w14:solidFill>
                    <w14:schemeClr w14:val="tx1"/>
                  </w14:solidFill>
                </w14:textFill>
              </w:rPr>
              <w:t>管理</w:t>
            </w:r>
            <w:r>
              <w:rPr>
                <w:rFonts w:hint="eastAsia"/>
                <w:color w:val="000000" w:themeColor="text1"/>
                <w:sz w:val="24"/>
                <w:szCs w:val="24"/>
                <w:highlight w:val="none"/>
                <w14:textFill>
                  <w14:solidFill>
                    <w14:schemeClr w14:val="tx1"/>
                  </w14:solidFill>
                </w14:textFill>
              </w:rPr>
              <w:t>制度</w:t>
            </w:r>
            <w:r>
              <w:rPr>
                <w:rFonts w:hint="eastAsia"/>
                <w:color w:val="000000" w:themeColor="text1"/>
                <w:sz w:val="24"/>
                <w:szCs w:val="24"/>
                <w:highlight w:val="none"/>
                <w:lang w:val="en-US" w:eastAsia="zh-CN"/>
                <w14:textFill>
                  <w14:solidFill>
                    <w14:schemeClr w14:val="tx1"/>
                  </w14:solidFill>
                </w14:textFill>
              </w:rPr>
              <w:t>健</w:t>
            </w:r>
            <w:r>
              <w:rPr>
                <w:rFonts w:hint="eastAsia"/>
                <w:color w:val="000000" w:themeColor="text1"/>
                <w:sz w:val="24"/>
                <w:szCs w:val="24"/>
                <w:highlight w:val="none"/>
                <w14:textFill>
                  <w14:solidFill>
                    <w14:schemeClr w14:val="tx1"/>
                  </w14:solidFill>
                </w14:textFill>
              </w:rPr>
              <w:t>全；</w:t>
            </w:r>
            <w:r>
              <w:rPr>
                <w:rFonts w:hint="eastAsia"/>
                <w:color w:val="000000" w:themeColor="text1"/>
                <w:sz w:val="24"/>
                <w:szCs w:val="24"/>
                <w:highlight w:val="none"/>
                <w:lang w:val="en-US" w:eastAsia="zh-CN"/>
                <w14:textFill>
                  <w14:solidFill>
                    <w14:schemeClr w14:val="tx1"/>
                  </w14:solidFill>
                </w14:textFill>
              </w:rPr>
              <w:t>文明施工和</w:t>
            </w:r>
            <w:r>
              <w:rPr>
                <w:rFonts w:hint="eastAsia"/>
                <w:color w:val="000000" w:themeColor="text1"/>
                <w:sz w:val="24"/>
                <w:szCs w:val="24"/>
                <w:highlight w:val="none"/>
                <w14:textFill>
                  <w14:solidFill>
                    <w14:schemeClr w14:val="tx1"/>
                  </w14:solidFill>
                </w14:textFill>
              </w:rPr>
              <w:t>环境保护管理措施</w:t>
            </w:r>
            <w:r>
              <w:rPr>
                <w:rFonts w:hint="eastAsia"/>
                <w:color w:val="000000" w:themeColor="text1"/>
                <w:sz w:val="24"/>
                <w:szCs w:val="24"/>
                <w:highlight w:val="none"/>
                <w:lang w:val="en-US" w:eastAsia="zh-CN"/>
                <w14:textFill>
                  <w14:solidFill>
                    <w14:schemeClr w14:val="tx1"/>
                  </w14:solidFill>
                </w14:textFill>
              </w:rPr>
              <w:t>基本合理</w:t>
            </w:r>
            <w:r>
              <w:rPr>
                <w:rFonts w:hint="eastAsia"/>
                <w:color w:val="000000" w:themeColor="text1"/>
                <w:sz w:val="24"/>
                <w:szCs w:val="24"/>
                <w:highlight w:val="none"/>
                <w:lang w:eastAsia="zh-CN"/>
                <w14:textFill>
                  <w14:solidFill>
                    <w14:schemeClr w14:val="tx1"/>
                  </w14:solidFill>
                </w14:textFill>
              </w:rPr>
              <w:t>；</w:t>
            </w:r>
          </w:p>
          <w:p w14:paraId="715894BE">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第三档次（</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分）：安全</w:t>
            </w:r>
            <w:r>
              <w:rPr>
                <w:rFonts w:hint="eastAsia"/>
                <w:color w:val="000000" w:themeColor="text1"/>
                <w:sz w:val="24"/>
                <w:szCs w:val="24"/>
                <w:highlight w:val="none"/>
                <w:lang w:val="en-US" w:eastAsia="zh-CN"/>
                <w14:textFill>
                  <w14:solidFill>
                    <w14:schemeClr w14:val="tx1"/>
                  </w14:solidFill>
                </w14:textFill>
              </w:rPr>
              <w:t>管理</w:t>
            </w:r>
            <w:r>
              <w:rPr>
                <w:rFonts w:hint="eastAsia"/>
                <w:color w:val="000000" w:themeColor="text1"/>
                <w:sz w:val="24"/>
                <w:szCs w:val="24"/>
                <w:highlight w:val="none"/>
                <w14:textFill>
                  <w14:solidFill>
                    <w14:schemeClr w14:val="tx1"/>
                  </w14:solidFill>
                </w14:textFill>
              </w:rPr>
              <w:t>制度</w:t>
            </w:r>
            <w:r>
              <w:rPr>
                <w:rFonts w:hint="eastAsia"/>
                <w:color w:val="000000" w:themeColor="text1"/>
                <w:sz w:val="24"/>
                <w:szCs w:val="24"/>
                <w:highlight w:val="none"/>
                <w:lang w:val="en-US" w:eastAsia="zh-CN"/>
                <w14:textFill>
                  <w14:solidFill>
                    <w14:schemeClr w14:val="tx1"/>
                  </w14:solidFill>
                </w14:textFill>
              </w:rPr>
              <w:t>基本健</w:t>
            </w:r>
            <w:r>
              <w:rPr>
                <w:rFonts w:hint="eastAsia"/>
                <w:color w:val="000000" w:themeColor="text1"/>
                <w:sz w:val="24"/>
                <w:szCs w:val="24"/>
                <w:highlight w:val="none"/>
                <w14:textFill>
                  <w14:solidFill>
                    <w14:schemeClr w14:val="tx1"/>
                  </w14:solidFill>
                </w14:textFill>
              </w:rPr>
              <w:t>全；</w:t>
            </w:r>
            <w:r>
              <w:rPr>
                <w:rFonts w:hint="eastAsia"/>
                <w:color w:val="000000" w:themeColor="text1"/>
                <w:sz w:val="24"/>
                <w:szCs w:val="24"/>
                <w:highlight w:val="none"/>
                <w:lang w:val="en-US" w:eastAsia="zh-CN"/>
                <w14:textFill>
                  <w14:solidFill>
                    <w14:schemeClr w14:val="tx1"/>
                  </w14:solidFill>
                </w14:textFill>
              </w:rPr>
              <w:t>文明施工和</w:t>
            </w:r>
            <w:r>
              <w:rPr>
                <w:rFonts w:hint="eastAsia"/>
                <w:color w:val="000000" w:themeColor="text1"/>
                <w:sz w:val="24"/>
                <w:szCs w:val="24"/>
                <w:highlight w:val="none"/>
                <w14:textFill>
                  <w14:solidFill>
                    <w14:schemeClr w14:val="tx1"/>
                  </w14:solidFill>
                </w14:textFill>
              </w:rPr>
              <w:t>环境保护管理措施</w:t>
            </w:r>
            <w:r>
              <w:rPr>
                <w:rFonts w:hint="eastAsia"/>
                <w:color w:val="000000" w:themeColor="text1"/>
                <w:sz w:val="24"/>
                <w:szCs w:val="24"/>
                <w:highlight w:val="none"/>
                <w:lang w:val="en-US" w:eastAsia="zh-CN"/>
                <w14:textFill>
                  <w14:solidFill>
                    <w14:schemeClr w14:val="tx1"/>
                  </w14:solidFill>
                </w14:textFill>
              </w:rPr>
              <w:t>合理性差</w:t>
            </w:r>
            <w:r>
              <w:rPr>
                <w:rFonts w:hint="eastAsia"/>
                <w:color w:val="000000" w:themeColor="text1"/>
                <w:sz w:val="24"/>
                <w:szCs w:val="24"/>
                <w:highlight w:val="none"/>
                <w:lang w:eastAsia="zh-CN"/>
                <w14:textFill>
                  <w14:solidFill>
                    <w14:schemeClr w14:val="tx1"/>
                  </w14:solidFill>
                </w14:textFill>
              </w:rPr>
              <w:t>；</w:t>
            </w:r>
          </w:p>
          <w:p w14:paraId="5DBD315F">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第四档次（</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分）：安全</w:t>
            </w:r>
            <w:r>
              <w:rPr>
                <w:rFonts w:hint="eastAsia"/>
                <w:color w:val="000000" w:themeColor="text1"/>
                <w:sz w:val="24"/>
                <w:szCs w:val="24"/>
                <w:highlight w:val="none"/>
                <w:lang w:val="en-US" w:eastAsia="zh-CN"/>
                <w14:textFill>
                  <w14:solidFill>
                    <w14:schemeClr w14:val="tx1"/>
                  </w14:solidFill>
                </w14:textFill>
              </w:rPr>
              <w:t>管理</w:t>
            </w:r>
            <w:r>
              <w:rPr>
                <w:rFonts w:hint="eastAsia"/>
                <w:color w:val="000000" w:themeColor="text1"/>
                <w:sz w:val="24"/>
                <w:szCs w:val="24"/>
                <w:highlight w:val="none"/>
                <w14:textFill>
                  <w14:solidFill>
                    <w14:schemeClr w14:val="tx1"/>
                  </w14:solidFill>
                </w14:textFill>
              </w:rPr>
              <w:t>制度</w:t>
            </w:r>
            <w:r>
              <w:rPr>
                <w:rFonts w:hint="eastAsia"/>
                <w:color w:val="000000" w:themeColor="text1"/>
                <w:sz w:val="24"/>
                <w:szCs w:val="24"/>
                <w:highlight w:val="none"/>
                <w:lang w:val="en-US" w:eastAsia="zh-CN"/>
                <w14:textFill>
                  <w14:solidFill>
                    <w14:schemeClr w14:val="tx1"/>
                  </w14:solidFill>
                </w14:textFill>
              </w:rPr>
              <w:t>不健</w:t>
            </w:r>
            <w:r>
              <w:rPr>
                <w:rFonts w:hint="eastAsia"/>
                <w:color w:val="000000" w:themeColor="text1"/>
                <w:sz w:val="24"/>
                <w:szCs w:val="24"/>
                <w:highlight w:val="none"/>
                <w14:textFill>
                  <w14:solidFill>
                    <w14:schemeClr w14:val="tx1"/>
                  </w14:solidFill>
                </w14:textFill>
              </w:rPr>
              <w:t>全；</w:t>
            </w:r>
            <w:r>
              <w:rPr>
                <w:rFonts w:hint="eastAsia"/>
                <w:color w:val="000000" w:themeColor="text1"/>
                <w:sz w:val="24"/>
                <w:szCs w:val="24"/>
                <w:highlight w:val="none"/>
                <w:lang w:val="en-US" w:eastAsia="zh-CN"/>
                <w14:textFill>
                  <w14:solidFill>
                    <w14:schemeClr w14:val="tx1"/>
                  </w14:solidFill>
                </w14:textFill>
              </w:rPr>
              <w:t>文明施工和</w:t>
            </w:r>
            <w:r>
              <w:rPr>
                <w:rFonts w:hint="eastAsia"/>
                <w:color w:val="000000" w:themeColor="text1"/>
                <w:sz w:val="24"/>
                <w:szCs w:val="24"/>
                <w:highlight w:val="none"/>
                <w14:textFill>
                  <w14:solidFill>
                    <w14:schemeClr w14:val="tx1"/>
                  </w14:solidFill>
                </w14:textFill>
              </w:rPr>
              <w:t>环境保护管理措施</w:t>
            </w:r>
            <w:r>
              <w:rPr>
                <w:rFonts w:hint="eastAsia"/>
                <w:color w:val="000000" w:themeColor="text1"/>
                <w:sz w:val="24"/>
                <w:szCs w:val="24"/>
                <w:highlight w:val="none"/>
                <w:lang w:val="en-US" w:eastAsia="zh-CN"/>
                <w14:textFill>
                  <w14:solidFill>
                    <w14:schemeClr w14:val="tx1"/>
                  </w14:solidFill>
                </w14:textFill>
              </w:rPr>
              <w:t>不合理</w:t>
            </w:r>
            <w:r>
              <w:rPr>
                <w:rFonts w:hint="eastAsia"/>
                <w:color w:val="000000" w:themeColor="text1"/>
                <w:sz w:val="24"/>
                <w:szCs w:val="24"/>
                <w:highlight w:val="none"/>
                <w:lang w:eastAsia="zh-CN"/>
                <w14:textFill>
                  <w14:solidFill>
                    <w14:schemeClr w14:val="tx1"/>
                  </w14:solidFill>
                </w14:textFill>
              </w:rPr>
              <w:t>；</w:t>
            </w:r>
          </w:p>
          <w:p w14:paraId="4EC14C58">
            <w:pPr>
              <w:pStyle w:val="44"/>
              <w:spacing w:line="420" w:lineRule="exact"/>
              <w:ind w:firstLine="480"/>
              <w:rPr>
                <w:rFonts w:hint="default" w:eastAsia="宋体"/>
                <w:color w:val="000000" w:themeColor="text1"/>
                <w:highlight w:val="none"/>
                <w:lang w:val="en-US"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第五档次（</w:t>
            </w:r>
            <w:r>
              <w:rPr>
                <w:rFonts w:hint="eastAsia"/>
                <w:b w:val="0"/>
                <w:bCs w:val="0"/>
                <w:color w:val="000000" w:themeColor="text1"/>
                <w:sz w:val="24"/>
                <w:szCs w:val="24"/>
                <w:highlight w:val="none"/>
                <w:lang w:val="en-US" w:eastAsia="zh-CN"/>
                <w14:textFill>
                  <w14:solidFill>
                    <w14:schemeClr w14:val="tx1"/>
                  </w14:solidFill>
                </w14:textFill>
              </w:rPr>
              <w:t>0</w:t>
            </w:r>
            <w:r>
              <w:rPr>
                <w:rFonts w:hint="eastAsia"/>
                <w:b w:val="0"/>
                <w:bCs w:val="0"/>
                <w:color w:val="000000" w:themeColor="text1"/>
                <w:sz w:val="24"/>
                <w:szCs w:val="24"/>
                <w:highlight w:val="none"/>
                <w14:textFill>
                  <w14:solidFill>
                    <w14:schemeClr w14:val="tx1"/>
                  </w14:solidFill>
                </w14:textFill>
              </w:rPr>
              <w:t>分）</w:t>
            </w:r>
            <w:r>
              <w:rPr>
                <w:rFonts w:hint="eastAsia"/>
                <w:b w:val="0"/>
                <w:bCs w:val="0"/>
                <w:color w:val="000000" w:themeColor="text1"/>
                <w:sz w:val="24"/>
                <w:szCs w:val="24"/>
                <w:highlight w:val="none"/>
                <w:lang w:val="en-US" w:eastAsia="zh-CN"/>
                <w14:textFill>
                  <w14:solidFill>
                    <w14:schemeClr w14:val="tx1"/>
                  </w14:solidFill>
                </w14:textFill>
              </w:rPr>
              <w:t>无</w:t>
            </w:r>
            <w:r>
              <w:rPr>
                <w:rFonts w:ascii="宋体" w:hAnsi="宋体" w:eastAsia="宋体" w:cs="宋体"/>
                <w:b w:val="0"/>
                <w:bCs w:val="0"/>
                <w:color w:val="000000" w:themeColor="text1"/>
                <w:sz w:val="21"/>
                <w:highlight w:val="none"/>
                <w14:textFill>
                  <w14:solidFill>
                    <w14:schemeClr w14:val="tx1"/>
                  </w14:solidFill>
                </w14:textFill>
              </w:rPr>
              <w:t>安全生产、文明施工、环境保护措施</w:t>
            </w:r>
            <w:r>
              <w:rPr>
                <w:rFonts w:hint="eastAsia" w:ascii="宋体" w:hAnsi="宋体" w:eastAsia="宋体" w:cs="宋体"/>
                <w:b w:val="0"/>
                <w:bCs w:val="0"/>
                <w:color w:val="000000" w:themeColor="text1"/>
                <w:sz w:val="21"/>
                <w:highlight w:val="none"/>
                <w:lang w:val="en-US" w:eastAsia="zh-CN"/>
                <w14:textFill>
                  <w14:solidFill>
                    <w14:schemeClr w14:val="tx1"/>
                  </w14:solidFill>
                </w14:textFill>
              </w:rPr>
              <w:t>不得分。</w:t>
            </w:r>
          </w:p>
        </w:tc>
        <w:tc>
          <w:tcPr>
            <w:tcW w:w="2064" w:type="dxa"/>
            <w:tcBorders>
              <w:top w:val="single" w:color="auto" w:sz="4" w:space="0"/>
              <w:left w:val="single" w:color="auto" w:sz="4" w:space="0"/>
              <w:bottom w:val="single" w:color="auto" w:sz="4" w:space="0"/>
            </w:tcBorders>
            <w:vAlign w:val="center"/>
          </w:tcPr>
          <w:p w14:paraId="3391AF31">
            <w:pPr>
              <w:widowControl w:val="0"/>
              <w:spacing w:line="500" w:lineRule="exact"/>
              <w:rPr>
                <w:rFonts w:ascii="宋体" w:hAnsi="宋体" w:cs="宋体"/>
                <w:color w:val="000000" w:themeColor="text1"/>
                <w:highlight w:val="none"/>
                <w14:textFill>
                  <w14:solidFill>
                    <w14:schemeClr w14:val="tx1"/>
                  </w14:solidFill>
                </w14:textFill>
              </w:rPr>
            </w:pPr>
          </w:p>
        </w:tc>
      </w:tr>
      <w:tr w14:paraId="28B08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7" w:hRule="atLeast"/>
          <w:jc w:val="center"/>
        </w:trPr>
        <w:tc>
          <w:tcPr>
            <w:tcW w:w="651" w:type="dxa"/>
            <w:vMerge w:val="continue"/>
            <w:tcBorders>
              <w:right w:val="single" w:color="auto" w:sz="4" w:space="0"/>
            </w:tcBorders>
            <w:vAlign w:val="center"/>
          </w:tcPr>
          <w:p w14:paraId="7153C7D8">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vMerge w:val="continue"/>
            <w:tcBorders>
              <w:left w:val="single" w:color="auto" w:sz="4" w:space="0"/>
              <w:right w:val="single" w:color="auto" w:sz="4" w:space="0"/>
            </w:tcBorders>
            <w:vAlign w:val="center"/>
          </w:tcPr>
          <w:p w14:paraId="74244170">
            <w:pPr>
              <w:widowControl w:val="0"/>
              <w:spacing w:line="500" w:lineRule="exact"/>
              <w:rPr>
                <w:rFonts w:ascii="宋体" w:hAnsi="宋体" w:cs="宋体"/>
                <w:color w:val="000000" w:themeColor="text1"/>
                <w:highlight w:val="none"/>
                <w14:textFill>
                  <w14:solidFill>
                    <w14:schemeClr w14:val="tx1"/>
                  </w14:solidFill>
                </w14:textFill>
              </w:rPr>
            </w:pPr>
          </w:p>
        </w:tc>
        <w:tc>
          <w:tcPr>
            <w:tcW w:w="832" w:type="dxa"/>
            <w:vMerge w:val="continue"/>
            <w:tcBorders>
              <w:left w:val="single" w:color="auto" w:sz="4" w:space="0"/>
              <w:right w:val="single" w:color="auto" w:sz="4" w:space="0"/>
            </w:tcBorders>
            <w:vAlign w:val="center"/>
          </w:tcPr>
          <w:p w14:paraId="663E695E">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tcPr>
          <w:p w14:paraId="06EEF0C8">
            <w:pPr>
              <w:snapToGrid w:val="0"/>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六、</w:t>
            </w:r>
            <w:r>
              <w:rPr>
                <w:rFonts w:hint="eastAsia" w:ascii="宋体" w:hAnsi="宋体" w:cs="宋体"/>
                <w:b/>
                <w:bCs/>
                <w:color w:val="000000" w:themeColor="text1"/>
                <w:szCs w:val="21"/>
                <w:highlight w:val="none"/>
                <w14:textFill>
                  <w14:solidFill>
                    <w14:schemeClr w14:val="tx1"/>
                  </w14:solidFill>
                </w14:textFill>
              </w:rPr>
              <w:t>资源配备计划（满分</w:t>
            </w:r>
            <w:r>
              <w:rPr>
                <w:rFonts w:hint="eastAsia" w:ascii="宋体" w:hAnsi="宋体" w:cs="宋体"/>
                <w:b/>
                <w:bCs/>
                <w:color w:val="000000" w:themeColor="text1"/>
                <w:szCs w:val="21"/>
                <w:highlight w:val="none"/>
                <w:lang w:val="en-US" w:eastAsia="zh-CN"/>
                <w14:textFill>
                  <w14:solidFill>
                    <w14:schemeClr w14:val="tx1"/>
                  </w14:solidFill>
                </w14:textFill>
              </w:rPr>
              <w:t>10</w:t>
            </w:r>
            <w:r>
              <w:rPr>
                <w:rFonts w:hint="eastAsia" w:ascii="宋体" w:hAnsi="宋体" w:cs="宋体"/>
                <w:b/>
                <w:bCs/>
                <w:color w:val="000000" w:themeColor="text1"/>
                <w:szCs w:val="21"/>
                <w:highlight w:val="none"/>
                <w14:textFill>
                  <w14:solidFill>
                    <w14:schemeClr w14:val="tx1"/>
                  </w14:solidFill>
                </w14:textFill>
              </w:rPr>
              <w:t>分）</w:t>
            </w:r>
          </w:p>
          <w:p w14:paraId="0EFBF3F7">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分）：劳动力</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施工机具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主要材料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资金</w:t>
            </w:r>
            <w:r>
              <w:rPr>
                <w:rFonts w:hint="eastAsia"/>
                <w:color w:val="000000" w:themeColor="text1"/>
                <w:sz w:val="24"/>
                <w:szCs w:val="24"/>
                <w:highlight w:val="none"/>
                <w14:textFill>
                  <w14:solidFill>
                    <w14:schemeClr w14:val="tx1"/>
                  </w14:solidFill>
                </w14:textFill>
              </w:rPr>
              <w:t>等资源投入计划</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满足</w:t>
            </w:r>
            <w:r>
              <w:rPr>
                <w:rFonts w:hint="eastAsia"/>
                <w:color w:val="000000" w:themeColor="text1"/>
                <w:sz w:val="24"/>
                <w:szCs w:val="24"/>
                <w:highlight w:val="none"/>
                <w:lang w:val="en-US" w:eastAsia="zh-CN"/>
                <w14:textFill>
                  <w14:solidFill>
                    <w14:schemeClr w14:val="tx1"/>
                  </w14:solidFill>
                </w14:textFill>
              </w:rPr>
              <w:t>项目实施</w:t>
            </w:r>
            <w:r>
              <w:rPr>
                <w:rFonts w:hint="eastAsia"/>
                <w:color w:val="000000" w:themeColor="text1"/>
                <w:sz w:val="24"/>
                <w:szCs w:val="24"/>
                <w:highlight w:val="none"/>
                <w14:textFill>
                  <w14:solidFill>
                    <w14:schemeClr w14:val="tx1"/>
                  </w14:solidFill>
                </w14:textFill>
              </w:rPr>
              <w:t>需要，计划</w:t>
            </w:r>
            <w:r>
              <w:rPr>
                <w:rFonts w:hint="eastAsia"/>
                <w:color w:val="000000" w:themeColor="text1"/>
                <w:sz w:val="24"/>
                <w:szCs w:val="24"/>
                <w:highlight w:val="none"/>
                <w:lang w:val="en-US" w:eastAsia="zh-CN"/>
                <w14:textFill>
                  <w14:solidFill>
                    <w14:schemeClr w14:val="tx1"/>
                  </w14:solidFill>
                </w14:textFill>
              </w:rPr>
              <w:t>科学</w:t>
            </w:r>
            <w:r>
              <w:rPr>
                <w:rFonts w:hint="eastAsia"/>
                <w:color w:val="000000" w:themeColor="text1"/>
                <w:sz w:val="24"/>
                <w:szCs w:val="24"/>
                <w:highlight w:val="none"/>
                <w14:textFill>
                  <w14:solidFill>
                    <w14:schemeClr w14:val="tx1"/>
                  </w14:solidFill>
                </w14:textFill>
              </w:rPr>
              <w:t>合理、准确全面</w:t>
            </w:r>
            <w:r>
              <w:rPr>
                <w:rFonts w:hint="eastAsia"/>
                <w:color w:val="000000" w:themeColor="text1"/>
                <w:sz w:val="24"/>
                <w:szCs w:val="24"/>
                <w:highlight w:val="none"/>
                <w:lang w:eastAsia="zh-CN"/>
                <w14:textFill>
                  <w14:solidFill>
                    <w14:schemeClr w14:val="tx1"/>
                  </w14:solidFill>
                </w14:textFill>
              </w:rPr>
              <w:t>；</w:t>
            </w:r>
          </w:p>
          <w:p w14:paraId="6C62BEB2">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第二档次（</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分）：劳动力</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施工机具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主要材料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资金</w:t>
            </w:r>
            <w:r>
              <w:rPr>
                <w:rFonts w:hint="eastAsia"/>
                <w:color w:val="000000" w:themeColor="text1"/>
                <w:sz w:val="24"/>
                <w:szCs w:val="24"/>
                <w:highlight w:val="none"/>
                <w14:textFill>
                  <w14:solidFill>
                    <w14:schemeClr w14:val="tx1"/>
                  </w14:solidFill>
                </w14:textFill>
              </w:rPr>
              <w:t>等资源投入计划</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满足</w:t>
            </w:r>
            <w:r>
              <w:rPr>
                <w:rFonts w:hint="eastAsia"/>
                <w:color w:val="000000" w:themeColor="text1"/>
                <w:sz w:val="24"/>
                <w:szCs w:val="24"/>
                <w:highlight w:val="none"/>
                <w:lang w:val="en-US" w:eastAsia="zh-CN"/>
                <w14:textFill>
                  <w14:solidFill>
                    <w14:schemeClr w14:val="tx1"/>
                  </w14:solidFill>
                </w14:textFill>
              </w:rPr>
              <w:t>项目实施</w:t>
            </w:r>
            <w:r>
              <w:rPr>
                <w:rFonts w:hint="eastAsia"/>
                <w:color w:val="000000" w:themeColor="text1"/>
                <w:sz w:val="24"/>
                <w:szCs w:val="24"/>
                <w:highlight w:val="none"/>
                <w14:textFill>
                  <w14:solidFill>
                    <w14:schemeClr w14:val="tx1"/>
                  </w14:solidFill>
                </w14:textFill>
              </w:rPr>
              <w:t>需要，计划合理、准确</w:t>
            </w:r>
            <w:r>
              <w:rPr>
                <w:rFonts w:hint="eastAsia"/>
                <w:color w:val="000000" w:themeColor="text1"/>
                <w:sz w:val="24"/>
                <w:szCs w:val="24"/>
                <w:highlight w:val="none"/>
                <w:lang w:eastAsia="zh-CN"/>
                <w14:textFill>
                  <w14:solidFill>
                    <w14:schemeClr w14:val="tx1"/>
                  </w14:solidFill>
                </w14:textFill>
              </w:rPr>
              <w:t>；</w:t>
            </w:r>
          </w:p>
          <w:p w14:paraId="45EAB6D6">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第三档次（</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分）：劳动力</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施工机具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主要材料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资金</w:t>
            </w:r>
            <w:r>
              <w:rPr>
                <w:rFonts w:hint="eastAsia"/>
                <w:color w:val="000000" w:themeColor="text1"/>
                <w:sz w:val="24"/>
                <w:szCs w:val="24"/>
                <w:highlight w:val="none"/>
                <w14:textFill>
                  <w14:solidFill>
                    <w14:schemeClr w14:val="tx1"/>
                  </w14:solidFill>
                </w14:textFill>
              </w:rPr>
              <w:t>等资源投入计划</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基本</w:t>
            </w:r>
            <w:r>
              <w:rPr>
                <w:rFonts w:hint="eastAsia"/>
                <w:color w:val="000000" w:themeColor="text1"/>
                <w:sz w:val="24"/>
                <w:szCs w:val="24"/>
                <w:highlight w:val="none"/>
                <w14:textFill>
                  <w14:solidFill>
                    <w14:schemeClr w14:val="tx1"/>
                  </w14:solidFill>
                </w14:textFill>
              </w:rPr>
              <w:t>满足</w:t>
            </w:r>
            <w:r>
              <w:rPr>
                <w:rFonts w:hint="eastAsia"/>
                <w:color w:val="000000" w:themeColor="text1"/>
                <w:sz w:val="24"/>
                <w:szCs w:val="24"/>
                <w:highlight w:val="none"/>
                <w:lang w:val="en-US" w:eastAsia="zh-CN"/>
                <w14:textFill>
                  <w14:solidFill>
                    <w14:schemeClr w14:val="tx1"/>
                  </w14:solidFill>
                </w14:textFill>
              </w:rPr>
              <w:t>项目实施</w:t>
            </w:r>
            <w:r>
              <w:rPr>
                <w:rFonts w:hint="eastAsia"/>
                <w:color w:val="000000" w:themeColor="text1"/>
                <w:sz w:val="24"/>
                <w:szCs w:val="24"/>
                <w:highlight w:val="none"/>
                <w14:textFill>
                  <w14:solidFill>
                    <w14:schemeClr w14:val="tx1"/>
                  </w14:solidFill>
                </w14:textFill>
              </w:rPr>
              <w:t>需要，计划</w:t>
            </w:r>
            <w:r>
              <w:rPr>
                <w:rFonts w:hint="eastAsia"/>
                <w:color w:val="000000" w:themeColor="text1"/>
                <w:sz w:val="24"/>
                <w:szCs w:val="24"/>
                <w:highlight w:val="none"/>
                <w:lang w:val="en-US" w:eastAsia="zh-CN"/>
                <w14:textFill>
                  <w14:solidFill>
                    <w14:schemeClr w14:val="tx1"/>
                  </w14:solidFill>
                </w14:textFill>
              </w:rPr>
              <w:t>基本</w:t>
            </w:r>
            <w:r>
              <w:rPr>
                <w:rFonts w:hint="eastAsia"/>
                <w:color w:val="000000" w:themeColor="text1"/>
                <w:sz w:val="24"/>
                <w:szCs w:val="24"/>
                <w:highlight w:val="none"/>
                <w14:textFill>
                  <w14:solidFill>
                    <w14:schemeClr w14:val="tx1"/>
                  </w14:solidFill>
                </w14:textFill>
              </w:rPr>
              <w:t>合理</w:t>
            </w:r>
            <w:r>
              <w:rPr>
                <w:rFonts w:hint="eastAsia"/>
                <w:color w:val="000000" w:themeColor="text1"/>
                <w:sz w:val="24"/>
                <w:szCs w:val="24"/>
                <w:highlight w:val="none"/>
                <w:lang w:eastAsia="zh-CN"/>
                <w14:textFill>
                  <w14:solidFill>
                    <w14:schemeClr w14:val="tx1"/>
                  </w14:solidFill>
                </w14:textFill>
              </w:rPr>
              <w:t>；</w:t>
            </w:r>
          </w:p>
          <w:p w14:paraId="77E297CD">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第四档次（</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分）：劳动力</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施工机具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主要材料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资金</w:t>
            </w:r>
            <w:r>
              <w:rPr>
                <w:rFonts w:hint="eastAsia"/>
                <w:color w:val="000000" w:themeColor="text1"/>
                <w:sz w:val="24"/>
                <w:szCs w:val="24"/>
                <w:highlight w:val="none"/>
                <w14:textFill>
                  <w14:solidFill>
                    <w14:schemeClr w14:val="tx1"/>
                  </w14:solidFill>
                </w14:textFill>
              </w:rPr>
              <w:t>等资源投入计划</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不</w:t>
            </w:r>
            <w:r>
              <w:rPr>
                <w:rFonts w:hint="eastAsia"/>
                <w:color w:val="000000" w:themeColor="text1"/>
                <w:sz w:val="24"/>
                <w:szCs w:val="24"/>
                <w:highlight w:val="none"/>
                <w14:textFill>
                  <w14:solidFill>
                    <w14:schemeClr w14:val="tx1"/>
                  </w14:solidFill>
                </w14:textFill>
              </w:rPr>
              <w:t>满足</w:t>
            </w:r>
            <w:r>
              <w:rPr>
                <w:rFonts w:hint="eastAsia"/>
                <w:color w:val="000000" w:themeColor="text1"/>
                <w:sz w:val="24"/>
                <w:szCs w:val="24"/>
                <w:highlight w:val="none"/>
                <w:lang w:val="en-US" w:eastAsia="zh-CN"/>
                <w14:textFill>
                  <w14:solidFill>
                    <w14:schemeClr w14:val="tx1"/>
                  </w14:solidFill>
                </w14:textFill>
              </w:rPr>
              <w:t>项目实施</w:t>
            </w:r>
            <w:r>
              <w:rPr>
                <w:rFonts w:hint="eastAsia"/>
                <w:color w:val="000000" w:themeColor="text1"/>
                <w:sz w:val="24"/>
                <w:szCs w:val="24"/>
                <w:highlight w:val="none"/>
                <w14:textFill>
                  <w14:solidFill>
                    <w14:schemeClr w14:val="tx1"/>
                  </w14:solidFill>
                </w14:textFill>
              </w:rPr>
              <w:t>需要，计划</w:t>
            </w:r>
            <w:r>
              <w:rPr>
                <w:rFonts w:hint="eastAsia"/>
                <w:color w:val="000000" w:themeColor="text1"/>
                <w:sz w:val="24"/>
                <w:szCs w:val="24"/>
                <w:highlight w:val="none"/>
                <w:lang w:val="en-US" w:eastAsia="zh-CN"/>
                <w14:textFill>
                  <w14:solidFill>
                    <w14:schemeClr w14:val="tx1"/>
                  </w14:solidFill>
                </w14:textFill>
              </w:rPr>
              <w:t>不</w:t>
            </w:r>
            <w:r>
              <w:rPr>
                <w:rFonts w:hint="eastAsia"/>
                <w:color w:val="000000" w:themeColor="text1"/>
                <w:sz w:val="24"/>
                <w:szCs w:val="24"/>
                <w:highlight w:val="none"/>
                <w14:textFill>
                  <w14:solidFill>
                    <w14:schemeClr w14:val="tx1"/>
                  </w14:solidFill>
                </w14:textFill>
              </w:rPr>
              <w:t>合理</w:t>
            </w:r>
            <w:r>
              <w:rPr>
                <w:rFonts w:hint="eastAsia"/>
                <w:color w:val="000000" w:themeColor="text1"/>
                <w:sz w:val="24"/>
                <w:szCs w:val="24"/>
                <w:highlight w:val="none"/>
                <w:lang w:eastAsia="zh-CN"/>
                <w14:textFill>
                  <w14:solidFill>
                    <w14:schemeClr w14:val="tx1"/>
                  </w14:solidFill>
                </w14:textFill>
              </w:rPr>
              <w:t>；</w:t>
            </w:r>
          </w:p>
          <w:p w14:paraId="2B8E1773">
            <w:pPr>
              <w:pStyle w:val="44"/>
              <w:spacing w:line="420" w:lineRule="exact"/>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第五档次（</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无</w:t>
            </w:r>
            <w:r>
              <w:rPr>
                <w:rFonts w:hint="eastAsia"/>
                <w:color w:val="000000" w:themeColor="text1"/>
                <w:sz w:val="24"/>
                <w:szCs w:val="24"/>
                <w:highlight w:val="none"/>
                <w14:textFill>
                  <w14:solidFill>
                    <w14:schemeClr w14:val="tx1"/>
                  </w14:solidFill>
                </w14:textFill>
              </w:rPr>
              <w:t>劳动力</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施工机具</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主要材料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资金</w:t>
            </w:r>
            <w:r>
              <w:rPr>
                <w:rFonts w:hint="eastAsia"/>
                <w:color w:val="000000" w:themeColor="text1"/>
                <w:sz w:val="24"/>
                <w:szCs w:val="24"/>
                <w:highlight w:val="none"/>
                <w14:textFill>
                  <w14:solidFill>
                    <w14:schemeClr w14:val="tx1"/>
                  </w14:solidFill>
                </w14:textFill>
              </w:rPr>
              <w:t>等资源投入计划。</w:t>
            </w:r>
          </w:p>
        </w:tc>
        <w:tc>
          <w:tcPr>
            <w:tcW w:w="2064" w:type="dxa"/>
            <w:tcBorders>
              <w:top w:val="single" w:color="auto" w:sz="4" w:space="0"/>
              <w:left w:val="single" w:color="auto" w:sz="4" w:space="0"/>
              <w:bottom w:val="single" w:color="auto" w:sz="4" w:space="0"/>
            </w:tcBorders>
            <w:vAlign w:val="center"/>
          </w:tcPr>
          <w:p w14:paraId="4C8346B7">
            <w:pPr>
              <w:widowControl w:val="0"/>
              <w:spacing w:line="500" w:lineRule="exact"/>
              <w:rPr>
                <w:rFonts w:ascii="宋体" w:hAnsi="宋体" w:cs="宋体"/>
                <w:color w:val="000000" w:themeColor="text1"/>
                <w:highlight w:val="none"/>
                <w14:textFill>
                  <w14:solidFill>
                    <w14:schemeClr w14:val="tx1"/>
                  </w14:solidFill>
                </w14:textFill>
              </w:rPr>
            </w:pPr>
          </w:p>
        </w:tc>
      </w:tr>
      <w:tr w14:paraId="71697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jc w:val="center"/>
        </w:trPr>
        <w:tc>
          <w:tcPr>
            <w:tcW w:w="651" w:type="dxa"/>
            <w:vMerge w:val="continue"/>
            <w:tcBorders>
              <w:right w:val="single" w:color="auto" w:sz="4" w:space="0"/>
            </w:tcBorders>
            <w:vAlign w:val="center"/>
          </w:tcPr>
          <w:p w14:paraId="73677DB7">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vMerge w:val="continue"/>
            <w:tcBorders>
              <w:left w:val="single" w:color="auto" w:sz="4" w:space="0"/>
              <w:right w:val="single" w:color="auto" w:sz="4" w:space="0"/>
            </w:tcBorders>
            <w:vAlign w:val="center"/>
          </w:tcPr>
          <w:p w14:paraId="7DC57643">
            <w:pPr>
              <w:widowControl w:val="0"/>
              <w:spacing w:line="500" w:lineRule="exact"/>
              <w:rPr>
                <w:rFonts w:ascii="宋体" w:hAnsi="宋体" w:cs="宋体"/>
                <w:color w:val="000000" w:themeColor="text1"/>
                <w:highlight w:val="none"/>
                <w14:textFill>
                  <w14:solidFill>
                    <w14:schemeClr w14:val="tx1"/>
                  </w14:solidFill>
                </w14:textFill>
              </w:rPr>
            </w:pPr>
          </w:p>
        </w:tc>
        <w:tc>
          <w:tcPr>
            <w:tcW w:w="832" w:type="dxa"/>
            <w:vMerge w:val="continue"/>
            <w:tcBorders>
              <w:left w:val="single" w:color="auto" w:sz="4" w:space="0"/>
              <w:right w:val="single" w:color="auto" w:sz="4" w:space="0"/>
            </w:tcBorders>
            <w:vAlign w:val="center"/>
          </w:tcPr>
          <w:p w14:paraId="7F74A628">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tcPr>
          <w:p w14:paraId="4D4AD53F">
            <w:pPr>
              <w:pStyle w:val="44"/>
              <w:spacing w:line="420" w:lineRule="exact"/>
              <w:ind w:firstLine="0" w:firstLineChars="0"/>
              <w:rPr>
                <w:b/>
                <w:bCs/>
                <w:color w:val="000000" w:themeColor="text1"/>
                <w:kern w:val="0"/>
                <w:sz w:val="24"/>
                <w:szCs w:val="21"/>
                <w:highlight w:val="none"/>
                <w14:textFill>
                  <w14:solidFill>
                    <w14:schemeClr w14:val="tx1"/>
                  </w14:solidFill>
                </w14:textFill>
              </w:rPr>
            </w:pPr>
            <w:r>
              <w:rPr>
                <w:rFonts w:hint="eastAsia"/>
                <w:b/>
                <w:bCs/>
                <w:color w:val="000000" w:themeColor="text1"/>
                <w:kern w:val="0"/>
                <w:sz w:val="24"/>
                <w:szCs w:val="21"/>
                <w:highlight w:val="none"/>
                <w:lang w:val="en-US" w:eastAsia="zh-CN"/>
                <w14:textFill>
                  <w14:solidFill>
                    <w14:schemeClr w14:val="tx1"/>
                  </w14:solidFill>
                </w14:textFill>
              </w:rPr>
              <w:t>七、</w:t>
            </w:r>
            <w:r>
              <w:rPr>
                <w:rFonts w:hint="eastAsia"/>
                <w:b/>
                <w:bCs/>
                <w:color w:val="000000" w:themeColor="text1"/>
                <w:kern w:val="0"/>
                <w:sz w:val="24"/>
                <w:szCs w:val="21"/>
                <w:highlight w:val="none"/>
                <w14:textFill>
                  <w14:solidFill>
                    <w14:schemeClr w14:val="tx1"/>
                  </w14:solidFill>
                </w14:textFill>
              </w:rPr>
              <w:t>项目管理机构配置（满分10分）</w:t>
            </w:r>
          </w:p>
          <w:p w14:paraId="33008902">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第一档次（10分）：项目管理人</w:t>
            </w:r>
            <w:r>
              <w:rPr>
                <w:rFonts w:hint="eastAsia"/>
                <w:color w:val="000000" w:themeColor="text1"/>
                <w:sz w:val="24"/>
                <w:szCs w:val="24"/>
                <w:highlight w:val="none"/>
                <w:lang w:val="en-US" w:eastAsia="zh-CN"/>
                <w14:textFill>
                  <w14:solidFill>
                    <w14:schemeClr w14:val="tx1"/>
                  </w14:solidFill>
                </w14:textFill>
              </w:rPr>
              <w:t>员</w:t>
            </w:r>
            <w:r>
              <w:rPr>
                <w:rFonts w:hint="eastAsia"/>
                <w:color w:val="000000" w:themeColor="text1"/>
                <w:sz w:val="24"/>
                <w:szCs w:val="24"/>
                <w:highlight w:val="none"/>
                <w14:textFill>
                  <w14:solidFill>
                    <w14:schemeClr w14:val="tx1"/>
                  </w14:solidFill>
                </w14:textFill>
              </w:rPr>
              <w:t>配置且合理，</w:t>
            </w:r>
            <w:r>
              <w:rPr>
                <w:rFonts w:hint="eastAsia"/>
                <w:color w:val="000000" w:themeColor="text1"/>
                <w:sz w:val="24"/>
                <w:szCs w:val="24"/>
                <w:highlight w:val="none"/>
                <w:lang w:val="en-US" w:eastAsia="zh-CN"/>
                <w14:textFill>
                  <w14:solidFill>
                    <w14:schemeClr w14:val="tx1"/>
                  </w14:solidFill>
                </w14:textFill>
              </w:rPr>
              <w:t>专业性强，</w:t>
            </w:r>
            <w:r>
              <w:rPr>
                <w:rFonts w:hint="eastAsia"/>
                <w:color w:val="000000" w:themeColor="text1"/>
                <w:sz w:val="24"/>
                <w:szCs w:val="24"/>
                <w:highlight w:val="none"/>
                <w14:textFill>
                  <w14:solidFill>
                    <w14:schemeClr w14:val="tx1"/>
                  </w14:solidFill>
                </w14:textFill>
              </w:rPr>
              <w:t>能满足工程管理需</w:t>
            </w:r>
            <w:r>
              <w:rPr>
                <w:rFonts w:hint="eastAsia"/>
                <w:color w:val="000000" w:themeColor="text1"/>
                <w:sz w:val="24"/>
                <w:szCs w:val="24"/>
                <w:highlight w:val="none"/>
                <w:lang w:val="en-US" w:eastAsia="zh-CN"/>
                <w14:textFill>
                  <w14:solidFill>
                    <w14:schemeClr w14:val="tx1"/>
                  </w14:solidFill>
                </w14:textFill>
              </w:rPr>
              <w:t>求</w:t>
            </w:r>
            <w:r>
              <w:rPr>
                <w:rFonts w:hint="eastAsia"/>
                <w:color w:val="000000" w:themeColor="text1"/>
                <w:sz w:val="24"/>
                <w:szCs w:val="24"/>
                <w:highlight w:val="none"/>
                <w:lang w:eastAsia="zh-CN"/>
                <w14:textFill>
                  <w14:solidFill>
                    <w14:schemeClr w14:val="tx1"/>
                  </w14:solidFill>
                </w14:textFill>
              </w:rPr>
              <w:t>；</w:t>
            </w:r>
          </w:p>
          <w:p w14:paraId="5CE3E01C">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第二档次（</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分）：项目管理人员配置合理，能满足工程管理需</w:t>
            </w:r>
            <w:r>
              <w:rPr>
                <w:rFonts w:hint="eastAsia"/>
                <w:color w:val="000000" w:themeColor="text1"/>
                <w:sz w:val="24"/>
                <w:szCs w:val="24"/>
                <w:highlight w:val="none"/>
                <w:lang w:val="en-US" w:eastAsia="zh-CN"/>
                <w14:textFill>
                  <w14:solidFill>
                    <w14:schemeClr w14:val="tx1"/>
                  </w14:solidFill>
                </w14:textFill>
              </w:rPr>
              <w:t>求</w:t>
            </w:r>
            <w:r>
              <w:rPr>
                <w:rFonts w:hint="eastAsia"/>
                <w:color w:val="000000" w:themeColor="text1"/>
                <w:sz w:val="24"/>
                <w:szCs w:val="24"/>
                <w:highlight w:val="none"/>
                <w:lang w:eastAsia="zh-CN"/>
                <w14:textFill>
                  <w14:solidFill>
                    <w14:schemeClr w14:val="tx1"/>
                  </w14:solidFill>
                </w14:textFill>
              </w:rPr>
              <w:t>；</w:t>
            </w:r>
          </w:p>
          <w:p w14:paraId="046EB444">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第三档次（5分）：项目管理人员配置基本</w:t>
            </w:r>
            <w:r>
              <w:rPr>
                <w:rFonts w:hint="eastAsia"/>
                <w:color w:val="000000" w:themeColor="text1"/>
                <w:sz w:val="24"/>
                <w:szCs w:val="24"/>
                <w:highlight w:val="none"/>
                <w:lang w:val="en-US" w:eastAsia="zh-CN"/>
                <w14:textFill>
                  <w14:solidFill>
                    <w14:schemeClr w14:val="tx1"/>
                  </w14:solidFill>
                </w14:textFill>
              </w:rPr>
              <w:t>合理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基本</w:t>
            </w:r>
            <w:r>
              <w:rPr>
                <w:rFonts w:hint="eastAsia"/>
                <w:color w:val="000000" w:themeColor="text1"/>
                <w:sz w:val="24"/>
                <w:szCs w:val="24"/>
                <w:highlight w:val="none"/>
                <w14:textFill>
                  <w14:solidFill>
                    <w14:schemeClr w14:val="tx1"/>
                  </w14:solidFill>
                </w14:textFill>
              </w:rPr>
              <w:t>能满足工程管理需</w:t>
            </w:r>
            <w:r>
              <w:rPr>
                <w:rFonts w:hint="eastAsia"/>
                <w:color w:val="000000" w:themeColor="text1"/>
                <w:sz w:val="24"/>
                <w:szCs w:val="24"/>
                <w:highlight w:val="none"/>
                <w:lang w:val="en-US" w:eastAsia="zh-CN"/>
                <w14:textFill>
                  <w14:solidFill>
                    <w14:schemeClr w14:val="tx1"/>
                  </w14:solidFill>
                </w14:textFill>
              </w:rPr>
              <w:t>求</w:t>
            </w:r>
            <w:r>
              <w:rPr>
                <w:rFonts w:hint="eastAsia"/>
                <w:color w:val="000000" w:themeColor="text1"/>
                <w:sz w:val="24"/>
                <w:szCs w:val="24"/>
                <w:highlight w:val="none"/>
                <w:lang w:eastAsia="zh-CN"/>
                <w14:textFill>
                  <w14:solidFill>
                    <w14:schemeClr w14:val="tx1"/>
                  </w14:solidFill>
                </w14:textFill>
              </w:rPr>
              <w:t>；</w:t>
            </w:r>
          </w:p>
          <w:p w14:paraId="3B4C5924">
            <w:pPr>
              <w:pStyle w:val="44"/>
              <w:spacing w:line="420" w:lineRule="exact"/>
              <w:ind w:firstLine="48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第四档次（</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分）：项目管理人员配置</w:t>
            </w:r>
            <w:r>
              <w:rPr>
                <w:rFonts w:hint="eastAsia"/>
                <w:color w:val="000000" w:themeColor="text1"/>
                <w:sz w:val="24"/>
                <w:szCs w:val="24"/>
                <w:highlight w:val="none"/>
                <w:lang w:val="en-US" w:eastAsia="zh-CN"/>
                <w14:textFill>
                  <w14:solidFill>
                    <w14:schemeClr w14:val="tx1"/>
                  </w14:solidFill>
                </w14:textFill>
              </w:rPr>
              <w:t>不合理，</w:t>
            </w:r>
            <w:r>
              <w:rPr>
                <w:rFonts w:hint="eastAsia"/>
                <w:color w:val="000000" w:themeColor="text1"/>
                <w:sz w:val="24"/>
                <w:szCs w:val="24"/>
                <w:highlight w:val="none"/>
                <w14:textFill>
                  <w14:solidFill>
                    <w14:schemeClr w14:val="tx1"/>
                  </w14:solidFill>
                </w14:textFill>
              </w:rPr>
              <w:t>不</w:t>
            </w:r>
            <w:r>
              <w:rPr>
                <w:rFonts w:hint="eastAsia"/>
                <w:color w:val="000000" w:themeColor="text1"/>
                <w:sz w:val="24"/>
                <w:szCs w:val="24"/>
                <w:highlight w:val="none"/>
                <w:lang w:val="en-US" w:eastAsia="zh-CN"/>
                <w14:textFill>
                  <w14:solidFill>
                    <w14:schemeClr w14:val="tx1"/>
                  </w14:solidFill>
                </w14:textFill>
              </w:rPr>
              <w:t>能</w:t>
            </w:r>
            <w:r>
              <w:rPr>
                <w:rFonts w:hint="eastAsia"/>
                <w:color w:val="000000" w:themeColor="text1"/>
                <w:sz w:val="24"/>
                <w:szCs w:val="24"/>
                <w:highlight w:val="none"/>
                <w14:textFill>
                  <w14:solidFill>
                    <w14:schemeClr w14:val="tx1"/>
                  </w14:solidFill>
                </w14:textFill>
              </w:rPr>
              <w:t>满足工程管理需要</w:t>
            </w:r>
            <w:r>
              <w:rPr>
                <w:rFonts w:hint="eastAsia"/>
                <w:color w:val="000000" w:themeColor="text1"/>
                <w:sz w:val="24"/>
                <w:szCs w:val="24"/>
                <w:highlight w:val="none"/>
                <w:lang w:eastAsia="zh-CN"/>
                <w14:textFill>
                  <w14:solidFill>
                    <w14:schemeClr w14:val="tx1"/>
                  </w14:solidFill>
                </w14:textFill>
              </w:rPr>
              <w:t>；</w:t>
            </w:r>
          </w:p>
          <w:p w14:paraId="0FEEB986">
            <w:pPr>
              <w:pStyle w:val="44"/>
              <w:spacing w:line="420" w:lineRule="exact"/>
              <w:ind w:firstLine="480"/>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档次（</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无</w:t>
            </w:r>
            <w:r>
              <w:rPr>
                <w:rFonts w:hint="eastAsia"/>
                <w:color w:val="000000" w:themeColor="text1"/>
                <w:sz w:val="24"/>
                <w:szCs w:val="24"/>
                <w:highlight w:val="none"/>
                <w14:textFill>
                  <w14:solidFill>
                    <w14:schemeClr w14:val="tx1"/>
                  </w14:solidFill>
                </w14:textFill>
              </w:rPr>
              <w:t>项目管理</w:t>
            </w:r>
            <w:r>
              <w:rPr>
                <w:rFonts w:hint="eastAsia"/>
                <w:color w:val="000000" w:themeColor="text1"/>
                <w:sz w:val="24"/>
                <w:szCs w:val="24"/>
                <w:highlight w:val="none"/>
                <w:lang w:val="en-US" w:eastAsia="zh-CN"/>
                <w14:textFill>
                  <w14:solidFill>
                    <w14:schemeClr w14:val="tx1"/>
                  </w14:solidFill>
                </w14:textFill>
              </w:rPr>
              <w:t>机构</w:t>
            </w:r>
            <w:r>
              <w:rPr>
                <w:rFonts w:hint="eastAsia"/>
                <w:color w:val="000000" w:themeColor="text1"/>
                <w:sz w:val="24"/>
                <w:szCs w:val="24"/>
                <w:highlight w:val="none"/>
                <w14:textFill>
                  <w14:solidFill>
                    <w14:schemeClr w14:val="tx1"/>
                  </w14:solidFill>
                </w14:textFill>
              </w:rPr>
              <w:t>配置</w:t>
            </w:r>
            <w:r>
              <w:rPr>
                <w:rFonts w:hint="eastAsia"/>
                <w:color w:val="000000" w:themeColor="text1"/>
                <w:sz w:val="24"/>
                <w:szCs w:val="24"/>
                <w:highlight w:val="none"/>
                <w:lang w:eastAsia="zh-CN"/>
                <w14:textFill>
                  <w14:solidFill>
                    <w14:schemeClr w14:val="tx1"/>
                  </w14:solidFill>
                </w14:textFill>
              </w:rPr>
              <w:t>。</w:t>
            </w:r>
          </w:p>
        </w:tc>
        <w:tc>
          <w:tcPr>
            <w:tcW w:w="2064" w:type="dxa"/>
            <w:tcBorders>
              <w:top w:val="single" w:color="auto" w:sz="4" w:space="0"/>
              <w:left w:val="single" w:color="auto" w:sz="4" w:space="0"/>
              <w:bottom w:val="single" w:color="auto" w:sz="4" w:space="0"/>
            </w:tcBorders>
            <w:vAlign w:val="center"/>
          </w:tcPr>
          <w:p w14:paraId="3B389F7C">
            <w:pPr>
              <w:widowControl w:val="0"/>
              <w:spacing w:line="500" w:lineRule="exact"/>
              <w:rPr>
                <w:rFonts w:ascii="宋体" w:hAnsi="宋体" w:cs="宋体"/>
                <w:color w:val="000000" w:themeColor="text1"/>
                <w:highlight w:val="none"/>
                <w14:textFill>
                  <w14:solidFill>
                    <w14:schemeClr w14:val="tx1"/>
                  </w14:solidFill>
                </w14:textFill>
              </w:rPr>
            </w:pPr>
          </w:p>
        </w:tc>
      </w:tr>
      <w:tr w14:paraId="1BECF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3" w:hRule="atLeast"/>
          <w:jc w:val="center"/>
        </w:trPr>
        <w:tc>
          <w:tcPr>
            <w:tcW w:w="651" w:type="dxa"/>
            <w:tcBorders>
              <w:bottom w:val="single" w:color="auto" w:sz="4" w:space="0"/>
              <w:right w:val="single" w:color="auto" w:sz="4" w:space="0"/>
            </w:tcBorders>
            <w:vAlign w:val="center"/>
          </w:tcPr>
          <w:p w14:paraId="56626706">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835" w:type="dxa"/>
            <w:tcBorders>
              <w:left w:val="single" w:color="auto" w:sz="4" w:space="0"/>
              <w:bottom w:val="single" w:color="auto" w:sz="4" w:space="0"/>
              <w:right w:val="single" w:color="auto" w:sz="4" w:space="0"/>
            </w:tcBorders>
            <w:vAlign w:val="center"/>
          </w:tcPr>
          <w:p w14:paraId="0768404A">
            <w:pPr>
              <w:widowControl w:val="0"/>
              <w:spacing w:line="500" w:lineRule="exact"/>
              <w:rPr>
                <w:rFonts w:ascii="宋体" w:hAnsi="宋体" w:cs="宋体"/>
                <w:color w:val="000000" w:themeColor="text1"/>
                <w:highlight w:val="none"/>
                <w14:textFill>
                  <w14:solidFill>
                    <w14:schemeClr w14:val="tx1"/>
                  </w14:solidFill>
                </w14:textFill>
              </w:rPr>
            </w:pPr>
          </w:p>
        </w:tc>
        <w:tc>
          <w:tcPr>
            <w:tcW w:w="832" w:type="dxa"/>
            <w:tcBorders>
              <w:left w:val="single" w:color="auto" w:sz="4" w:space="0"/>
              <w:bottom w:val="single" w:color="auto" w:sz="4" w:space="0"/>
              <w:right w:val="single" w:color="auto" w:sz="4" w:space="0"/>
            </w:tcBorders>
            <w:vAlign w:val="center"/>
          </w:tcPr>
          <w:p w14:paraId="12E3B96A">
            <w:pPr>
              <w:widowControl w:val="0"/>
              <w:spacing w:line="500" w:lineRule="exact"/>
              <w:jc w:val="center"/>
              <w:rPr>
                <w:rFonts w:ascii="宋体" w:hAnsi="宋体" w:cs="宋体"/>
                <w:color w:val="000000" w:themeColor="text1"/>
                <w:highlight w:val="none"/>
                <w14:textFill>
                  <w14:solidFill>
                    <w14:schemeClr w14:val="tx1"/>
                  </w14:solidFill>
                </w14:textFill>
              </w:rPr>
            </w:pPr>
          </w:p>
        </w:tc>
        <w:tc>
          <w:tcPr>
            <w:tcW w:w="6158" w:type="dxa"/>
            <w:tcBorders>
              <w:top w:val="single" w:color="auto" w:sz="4" w:space="0"/>
              <w:left w:val="single" w:color="auto" w:sz="4" w:space="0"/>
              <w:bottom w:val="single" w:color="auto" w:sz="4" w:space="0"/>
              <w:right w:val="single" w:color="auto" w:sz="4" w:space="0"/>
            </w:tcBorders>
          </w:tcPr>
          <w:p w14:paraId="6303FA23">
            <w:pPr>
              <w:keepNext w:val="0"/>
              <w:keepLines w:val="0"/>
              <w:pageBreakBefore w:val="0"/>
              <w:widowControl w:val="0"/>
              <w:numPr>
                <w:ilvl w:val="0"/>
                <w:numId w:val="8"/>
              </w:numPr>
              <w:kinsoku/>
              <w:wordWrap w:val="0"/>
              <w:overflowPunct/>
              <w:topLinePunct w:val="0"/>
              <w:autoSpaceDE/>
              <w:autoSpaceDN/>
              <w:bidi w:val="0"/>
              <w:adjustRightInd/>
              <w:snapToGrid/>
              <w:spacing w:line="5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后续服务工作安排及承诺</w:t>
            </w:r>
            <w:r>
              <w:rPr>
                <w:rFonts w:hint="eastAsia"/>
                <w:b/>
                <w:bCs/>
                <w:color w:val="000000" w:themeColor="text1"/>
                <w:kern w:val="0"/>
                <w:sz w:val="24"/>
                <w:szCs w:val="21"/>
                <w:highlight w:val="none"/>
                <w14:textFill>
                  <w14:solidFill>
                    <w14:schemeClr w14:val="tx1"/>
                  </w14:solidFill>
                </w14:textFill>
              </w:rPr>
              <w:t>（满分</w:t>
            </w:r>
            <w:r>
              <w:rPr>
                <w:rFonts w:hint="eastAsia"/>
                <w:b/>
                <w:bCs/>
                <w:color w:val="000000" w:themeColor="text1"/>
                <w:kern w:val="0"/>
                <w:sz w:val="24"/>
                <w:szCs w:val="21"/>
                <w:highlight w:val="none"/>
                <w:lang w:val="en-US" w:eastAsia="zh-CN"/>
                <w14:textFill>
                  <w14:solidFill>
                    <w14:schemeClr w14:val="tx1"/>
                  </w14:solidFill>
                </w14:textFill>
              </w:rPr>
              <w:t>10</w:t>
            </w:r>
            <w:r>
              <w:rPr>
                <w:rFonts w:hint="eastAsia"/>
                <w:b/>
                <w:bCs/>
                <w:color w:val="000000" w:themeColor="text1"/>
                <w:kern w:val="0"/>
                <w:sz w:val="24"/>
                <w:szCs w:val="21"/>
                <w:highlight w:val="none"/>
                <w14:textFill>
                  <w14:solidFill>
                    <w14:schemeClr w14:val="tx1"/>
                  </w14:solidFill>
                </w14:textFill>
              </w:rPr>
              <w:t>分）</w:t>
            </w:r>
          </w:p>
          <w:p w14:paraId="58094B9E">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第一档次（10分）：</w:t>
            </w:r>
            <w:r>
              <w:rPr>
                <w:rFonts w:hint="eastAsia" w:ascii="宋体" w:hAnsi="宋体" w:eastAsia="宋体" w:cs="宋体"/>
                <w:color w:val="000000" w:themeColor="text1"/>
                <w:sz w:val="24"/>
                <w:szCs w:val="24"/>
                <w:highlight w:val="none"/>
                <w14:textFill>
                  <w14:solidFill>
                    <w14:schemeClr w14:val="tx1"/>
                  </w14:solidFill>
                </w14:textFill>
              </w:rPr>
              <w:t>后续服务工作安排及承诺满足要求，保障措施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科学合理</w:t>
            </w:r>
            <w:r>
              <w:rPr>
                <w:rFonts w:hint="eastAsia" w:ascii="宋体" w:hAnsi="宋体" w:eastAsia="宋体" w:cs="宋体"/>
                <w:color w:val="000000" w:themeColor="text1"/>
                <w:sz w:val="24"/>
                <w:szCs w:val="24"/>
                <w:highlight w:val="none"/>
                <w14:textFill>
                  <w14:solidFill>
                    <w14:schemeClr w14:val="tx1"/>
                  </w14:solidFill>
                </w14:textFill>
              </w:rPr>
              <w:t>；</w:t>
            </w:r>
          </w:p>
          <w:p w14:paraId="30889304">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二</w:t>
            </w:r>
            <w:r>
              <w:rPr>
                <w:rFonts w:hint="eastAsia"/>
                <w:color w:val="000000" w:themeColor="text1"/>
                <w:sz w:val="24"/>
                <w:szCs w:val="24"/>
                <w:highlight w:val="none"/>
                <w14:textFill>
                  <w14:solidFill>
                    <w14:schemeClr w14:val="tx1"/>
                  </w14:solidFill>
                </w14:textFill>
              </w:rPr>
              <w:t>档次（</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后续服务工作安排及承诺满足要求，保障措施基</w:t>
            </w:r>
            <w:r>
              <w:rPr>
                <w:rFonts w:hint="eastAsia" w:ascii="宋体" w:hAnsi="宋体" w:eastAsia="宋体" w:cs="宋体"/>
                <w:color w:val="000000" w:themeColor="text1"/>
                <w:sz w:val="24"/>
                <w:szCs w:val="24"/>
                <w:highlight w:val="none"/>
                <w:lang w:val="en-US" w:eastAsia="zh-CN"/>
                <w14:textFill>
                  <w14:solidFill>
                    <w14:schemeClr w14:val="tx1"/>
                  </w14:solidFill>
                </w14:textFill>
              </w:rPr>
              <w:t>合理</w:t>
            </w:r>
            <w:r>
              <w:rPr>
                <w:rFonts w:hint="eastAsia" w:ascii="宋体" w:hAnsi="宋体" w:eastAsia="宋体" w:cs="宋体"/>
                <w:color w:val="000000" w:themeColor="text1"/>
                <w:sz w:val="24"/>
                <w:szCs w:val="24"/>
                <w:highlight w:val="none"/>
                <w14:textFill>
                  <w14:solidFill>
                    <w14:schemeClr w14:val="tx1"/>
                  </w14:solidFill>
                </w14:textFill>
              </w:rPr>
              <w:t>；</w:t>
            </w:r>
          </w:p>
          <w:p w14:paraId="6CF911ED">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三</w:t>
            </w:r>
            <w:r>
              <w:rPr>
                <w:rFonts w:hint="eastAsia"/>
                <w:color w:val="000000" w:themeColor="text1"/>
                <w:sz w:val="24"/>
                <w:szCs w:val="24"/>
                <w:highlight w:val="none"/>
                <w14:textFill>
                  <w14:solidFill>
                    <w14:schemeClr w14:val="tx1"/>
                  </w14:solidFill>
                </w14:textFill>
              </w:rPr>
              <w:t>档次（</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后续服务工作安排及承诺基本满足要求，保障措施</w:t>
            </w:r>
            <w:r>
              <w:rPr>
                <w:rFonts w:hint="eastAsia" w:ascii="宋体" w:hAnsi="宋体" w:eastAsia="宋体" w:cs="宋体"/>
                <w:color w:val="000000" w:themeColor="text1"/>
                <w:sz w:val="24"/>
                <w:szCs w:val="24"/>
                <w:highlight w:val="none"/>
                <w:lang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完</w:t>
            </w:r>
            <w:r>
              <w:rPr>
                <w:rFonts w:hint="eastAsia" w:ascii="宋体" w:hAnsi="宋体" w:eastAsia="宋体" w:cs="宋体"/>
                <w:color w:val="000000" w:themeColor="text1"/>
                <w:sz w:val="24"/>
                <w:szCs w:val="24"/>
                <w:highlight w:val="none"/>
                <w:lang w:val="en-US" w:eastAsia="zh-CN"/>
                <w14:textFill>
                  <w14:solidFill>
                    <w14:schemeClr w14:val="tx1"/>
                  </w14:solidFill>
                </w14:textFill>
              </w:rPr>
              <w:t>整</w:t>
            </w:r>
            <w:r>
              <w:rPr>
                <w:rFonts w:hint="eastAsia" w:ascii="宋体" w:hAnsi="宋体" w:eastAsia="宋体" w:cs="宋体"/>
                <w:color w:val="000000" w:themeColor="text1"/>
                <w:sz w:val="24"/>
                <w:szCs w:val="24"/>
                <w:highlight w:val="none"/>
                <w14:textFill>
                  <w14:solidFill>
                    <w14:schemeClr w14:val="tx1"/>
                  </w14:solidFill>
                </w14:textFill>
              </w:rPr>
              <w:t>；</w:t>
            </w:r>
          </w:p>
          <w:p w14:paraId="60A7CD30">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档次（</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后续服务工作安排及承诺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满足要求，保障措施</w:t>
            </w:r>
            <w:r>
              <w:rPr>
                <w:rFonts w:hint="eastAsia" w:ascii="宋体" w:hAnsi="宋体" w:eastAsia="宋体" w:cs="宋体"/>
                <w:color w:val="000000" w:themeColor="text1"/>
                <w:sz w:val="24"/>
                <w:szCs w:val="24"/>
                <w:highlight w:val="none"/>
                <w:lang w:eastAsia="zh-CN"/>
                <w14:textFill>
                  <w14:solidFill>
                    <w14:schemeClr w14:val="tx1"/>
                  </w14:solidFill>
                </w14:textFill>
              </w:rPr>
              <w:t>不</w:t>
            </w:r>
            <w:r>
              <w:rPr>
                <w:rFonts w:hint="eastAsia" w:ascii="宋体" w:hAnsi="宋体" w:eastAsia="宋体" w:cs="宋体"/>
                <w:color w:val="000000" w:themeColor="text1"/>
                <w:sz w:val="24"/>
                <w:szCs w:val="24"/>
                <w:highlight w:val="none"/>
                <w:lang w:val="en-US" w:eastAsia="zh-CN"/>
                <w14:textFill>
                  <w14:solidFill>
                    <w14:schemeClr w14:val="tx1"/>
                  </w14:solidFill>
                </w14:textFill>
              </w:rPr>
              <w:t>合理</w:t>
            </w:r>
            <w:r>
              <w:rPr>
                <w:rFonts w:hint="eastAsia" w:ascii="宋体" w:hAnsi="宋体" w:eastAsia="宋体" w:cs="宋体"/>
                <w:color w:val="000000" w:themeColor="text1"/>
                <w:sz w:val="24"/>
                <w:szCs w:val="24"/>
                <w:highlight w:val="none"/>
                <w14:textFill>
                  <w14:solidFill>
                    <w14:schemeClr w14:val="tx1"/>
                  </w14:solidFill>
                </w14:textFill>
              </w:rPr>
              <w:t>；</w:t>
            </w:r>
          </w:p>
          <w:p w14:paraId="531F1641">
            <w:pPr>
              <w:pStyle w:val="44"/>
              <w:spacing w:line="420" w:lineRule="exact"/>
              <w:ind w:firstLine="48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五</w:t>
            </w:r>
            <w:r>
              <w:rPr>
                <w:rFonts w:hint="eastAsia"/>
                <w:color w:val="000000" w:themeColor="text1"/>
                <w:sz w:val="24"/>
                <w:szCs w:val="24"/>
                <w:highlight w:val="none"/>
                <w14:textFill>
                  <w14:solidFill>
                    <w14:schemeClr w14:val="tx1"/>
                  </w14:solidFill>
                </w14:textFill>
              </w:rPr>
              <w:t>档次（0分）：</w:t>
            </w:r>
            <w:r>
              <w:rPr>
                <w:rFonts w:hint="eastAsia" w:ascii="宋体" w:hAnsi="宋体" w:eastAsia="宋体" w:cs="宋体"/>
                <w:color w:val="000000" w:themeColor="text1"/>
                <w:sz w:val="24"/>
                <w:szCs w:val="24"/>
                <w:highlight w:val="none"/>
                <w14:textFill>
                  <w14:solidFill>
                    <w14:schemeClr w14:val="tx1"/>
                  </w14:solidFill>
                </w14:textFill>
              </w:rPr>
              <w:t>无后续服务工作安排及承诺。</w:t>
            </w:r>
          </w:p>
        </w:tc>
        <w:tc>
          <w:tcPr>
            <w:tcW w:w="2064" w:type="dxa"/>
            <w:tcBorders>
              <w:top w:val="single" w:color="auto" w:sz="4" w:space="0"/>
              <w:left w:val="single" w:color="auto" w:sz="4" w:space="0"/>
              <w:bottom w:val="single" w:color="auto" w:sz="4" w:space="0"/>
            </w:tcBorders>
            <w:vAlign w:val="center"/>
          </w:tcPr>
          <w:p w14:paraId="774D5A62">
            <w:pPr>
              <w:widowControl w:val="0"/>
              <w:spacing w:line="500" w:lineRule="exact"/>
              <w:rPr>
                <w:rFonts w:ascii="宋体" w:hAnsi="宋体" w:cs="宋体"/>
                <w:color w:val="000000" w:themeColor="text1"/>
                <w:highlight w:val="none"/>
                <w14:textFill>
                  <w14:solidFill>
                    <w14:schemeClr w14:val="tx1"/>
                  </w14:solidFill>
                </w14:textFill>
              </w:rPr>
            </w:pPr>
          </w:p>
        </w:tc>
      </w:tr>
    </w:tbl>
    <w:p w14:paraId="3F38EE1F">
      <w:pPr>
        <w:pStyle w:val="30"/>
        <w:widowControl w:val="0"/>
        <w:spacing w:line="360" w:lineRule="auto"/>
        <w:rPr>
          <w:rFonts w:hAnsi="宋体" w:cs="宋体"/>
          <w:b/>
          <w:color w:val="000000" w:themeColor="text1"/>
          <w:sz w:val="24"/>
          <w:szCs w:val="24"/>
          <w:highlight w:val="none"/>
          <w14:textFill>
            <w14:solidFill>
              <w14:schemeClr w14:val="tx1"/>
            </w14:solidFill>
          </w14:textFill>
        </w:rPr>
      </w:pPr>
    </w:p>
    <w:p w14:paraId="3B1102E8">
      <w:pPr>
        <w:pStyle w:val="30"/>
        <w:widowControl w:val="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一、磋商小组的组成</w:t>
      </w:r>
      <w:bookmarkEnd w:id="101"/>
      <w:bookmarkEnd w:id="102"/>
      <w:bookmarkEnd w:id="103"/>
      <w:bookmarkEnd w:id="104"/>
    </w:p>
    <w:p w14:paraId="3A5BBF9C">
      <w:pPr>
        <w:widowControl w:val="0"/>
        <w:spacing w:line="440" w:lineRule="exact"/>
        <w:ind w:left="-22" w:leftChars="-9" w:firstLine="501" w:firstLineChars="209"/>
        <w:rPr>
          <w:rFonts w:ascii="宋体" w:hAnsi="宋体" w:cs="宋体"/>
          <w:color w:val="auto"/>
          <w:highlight w:val="none"/>
        </w:rPr>
      </w:pPr>
      <w:r>
        <w:rPr>
          <w:rFonts w:hint="eastAsia" w:ascii="宋体" w:hAnsi="宋体" w:cs="宋体"/>
          <w:color w:val="auto"/>
          <w:highlight w:val="none"/>
        </w:rPr>
        <w:t>根据本次</w:t>
      </w:r>
      <w:r>
        <w:rPr>
          <w:rFonts w:hint="eastAsia" w:ascii="宋体" w:hAnsi="宋体" w:cs="宋体"/>
          <w:color w:val="auto"/>
          <w:highlight w:val="none"/>
          <w:lang w:eastAsia="zh-CN"/>
        </w:rPr>
        <w:t>采购</w:t>
      </w:r>
      <w:r>
        <w:rPr>
          <w:rFonts w:hint="eastAsia" w:ascii="宋体" w:hAnsi="宋体" w:cs="宋体"/>
          <w:color w:val="auto"/>
          <w:highlight w:val="none"/>
        </w:rPr>
        <w:t>项目的特点依法组建磋商小组，评审专家开标前从“云南省政府采购</w:t>
      </w:r>
      <w:r>
        <w:rPr>
          <w:rFonts w:hint="eastAsia" w:ascii="宋体" w:hAnsi="宋体" w:cs="宋体"/>
          <w:color w:val="auto"/>
          <w:highlight w:val="none"/>
          <w:lang w:val="en-US" w:eastAsia="zh-CN"/>
        </w:rPr>
        <w:t>专家库</w:t>
      </w:r>
      <w:r>
        <w:rPr>
          <w:rFonts w:hint="eastAsia" w:ascii="宋体" w:hAnsi="宋体" w:cs="宋体"/>
          <w:color w:val="auto"/>
          <w:highlight w:val="none"/>
        </w:rPr>
        <w:t>”中随机抽取</w:t>
      </w:r>
      <w:r>
        <w:rPr>
          <w:rFonts w:hint="eastAsia" w:ascii="宋体" w:hAnsi="宋体" w:cs="宋体"/>
          <w:color w:val="auto"/>
          <w:highlight w:val="none"/>
          <w:lang w:eastAsia="zh-CN"/>
        </w:rPr>
        <w:t>采购专家</w:t>
      </w:r>
      <w:r>
        <w:rPr>
          <w:rFonts w:hint="eastAsia" w:ascii="宋体" w:hAnsi="宋体" w:cs="宋体"/>
          <w:color w:val="auto"/>
          <w:highlight w:val="none"/>
        </w:rPr>
        <w:t>2人和采购方代表1人，共3人组成。磋商小组对磋商响应文件进行审查、质疑、评估和比较。</w:t>
      </w:r>
    </w:p>
    <w:p w14:paraId="6F7289FA">
      <w:pPr>
        <w:widowControl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综合评分法：磋商小组将根据评审办法计算出各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单位的综合得分，按得分由高到低推荐成交候选人排序，最终</w:t>
      </w:r>
      <w:r>
        <w:rPr>
          <w:rFonts w:hint="eastAsia" w:ascii="宋体" w:hAnsi="宋体" w:cs="宋体"/>
          <w:color w:val="000000" w:themeColor="text1"/>
          <w:highlight w:val="none"/>
          <w:lang w:eastAsia="zh-CN"/>
          <w14:textFill>
            <w14:solidFill>
              <w14:schemeClr w14:val="tx1"/>
            </w14:solidFill>
          </w14:textFill>
        </w:rPr>
        <w:t>磋商小组</w:t>
      </w:r>
      <w:r>
        <w:rPr>
          <w:rFonts w:hint="eastAsia" w:ascii="宋体" w:hAnsi="宋体" w:cs="宋体"/>
          <w:color w:val="000000" w:themeColor="text1"/>
          <w:highlight w:val="none"/>
          <w14:textFill>
            <w14:solidFill>
              <w14:schemeClr w14:val="tx1"/>
            </w14:solidFill>
          </w14:textFill>
        </w:rPr>
        <w:t>将根据评审后的总得分由高到低顺序排列推荐成交候选人。</w:t>
      </w:r>
    </w:p>
    <w:p w14:paraId="2B68C48F">
      <w:pPr>
        <w:widowControl w:val="0"/>
        <w:snapToGrid w:val="0"/>
        <w:spacing w:line="500" w:lineRule="exact"/>
        <w:ind w:right="53" w:firstLine="480" w:firstLineChars="20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评审</w:t>
      </w:r>
      <w:r>
        <w:rPr>
          <w:rFonts w:hint="eastAsia" w:ascii="宋体" w:hAnsi="宋体" w:cs="宋体"/>
          <w:color w:val="000000" w:themeColor="text1"/>
          <w:highlight w:val="none"/>
          <w14:textFill>
            <w14:solidFill>
              <w14:schemeClr w14:val="tx1"/>
            </w14:solidFill>
          </w14:textFill>
        </w:rPr>
        <w:t>时，除价格得分外，</w:t>
      </w:r>
      <w:r>
        <w:rPr>
          <w:rFonts w:hint="eastAsia" w:ascii="宋体" w:hAnsi="宋体" w:cs="宋体"/>
          <w:color w:val="000000" w:themeColor="text1"/>
          <w:highlight w:val="none"/>
          <w:lang w:eastAsia="zh-CN"/>
          <w14:textFill>
            <w14:solidFill>
              <w14:schemeClr w14:val="tx1"/>
            </w14:solidFill>
          </w14:textFill>
        </w:rPr>
        <w:t>磋商小组</w:t>
      </w:r>
      <w:r>
        <w:rPr>
          <w:rFonts w:hint="eastAsia" w:ascii="宋体" w:hAnsi="宋体" w:cs="宋体"/>
          <w:color w:val="000000" w:themeColor="text1"/>
          <w:highlight w:val="none"/>
          <w14:textFill>
            <w14:solidFill>
              <w14:schemeClr w14:val="tx1"/>
            </w14:solidFill>
          </w14:textFill>
        </w:rPr>
        <w:t>各成员将独立对每个有效</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的响应文件进行评价、打分，然后将每个</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各项评分因素的得分汇总后计算</w:t>
      </w:r>
      <w:r>
        <w:rPr>
          <w:rFonts w:hint="eastAsia" w:ascii="宋体" w:hAnsi="宋体" w:cs="宋体"/>
          <w:color w:val="000000" w:themeColor="text1"/>
          <w:highlight w:val="none"/>
          <w:lang w:eastAsia="zh-CN"/>
          <w14:textFill>
            <w14:solidFill>
              <w14:schemeClr w14:val="tx1"/>
            </w14:solidFill>
          </w14:textFill>
        </w:rPr>
        <w:t>磋商小组</w:t>
      </w:r>
      <w:r>
        <w:rPr>
          <w:rFonts w:hint="eastAsia" w:ascii="宋体" w:hAnsi="宋体" w:cs="宋体"/>
          <w:color w:val="000000" w:themeColor="text1"/>
          <w:highlight w:val="none"/>
          <w14:textFill>
            <w14:solidFill>
              <w14:schemeClr w14:val="tx1"/>
            </w14:solidFill>
          </w14:textFill>
        </w:rPr>
        <w:t>各成员独立评分的算术平均值（保留2位小数），得出每个</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 xml:space="preserve">的最终得分。     </w:t>
      </w:r>
    </w:p>
    <w:p w14:paraId="4EFB3D5D">
      <w:pPr>
        <w:widowControl w:val="0"/>
        <w:snapToGrid w:val="0"/>
        <w:spacing w:line="500" w:lineRule="exact"/>
        <w:ind w:right="53"/>
        <w:textAlignment w:val="bottom"/>
        <w:rPr>
          <w:rFonts w:ascii="宋体" w:hAnsi="宋体" w:cs="宋体"/>
          <w:b/>
          <w:bCs/>
          <w:color w:val="000000" w:themeColor="text1"/>
          <w:highlight w:val="none"/>
          <w14:textFill>
            <w14:solidFill>
              <w14:schemeClr w14:val="tx1"/>
            </w14:solidFill>
          </w14:textFill>
        </w:rPr>
      </w:pPr>
      <w:bookmarkStart w:id="105" w:name="_Toc32515"/>
      <w:bookmarkStart w:id="106" w:name="_Toc8099"/>
      <w:bookmarkStart w:id="107" w:name="_Toc16019"/>
      <w:bookmarkStart w:id="108" w:name="_Toc29245"/>
      <w:r>
        <w:rPr>
          <w:rFonts w:hint="eastAsia" w:ascii="宋体" w:hAnsi="宋体" w:cs="宋体"/>
          <w:b/>
          <w:bCs/>
          <w:color w:val="000000" w:themeColor="text1"/>
          <w:highlight w:val="none"/>
          <w14:textFill>
            <w14:solidFill>
              <w14:schemeClr w14:val="tx1"/>
            </w14:solidFill>
          </w14:textFill>
        </w:rPr>
        <w:t>二、</w:t>
      </w:r>
      <w:r>
        <w:rPr>
          <w:rFonts w:hint="eastAsia" w:ascii="宋体" w:hAnsi="宋体" w:cs="宋体"/>
          <w:b/>
          <w:bCs/>
          <w:color w:val="000000" w:themeColor="text1"/>
          <w:highlight w:val="none"/>
          <w:lang w:eastAsia="zh-CN"/>
          <w14:textFill>
            <w14:solidFill>
              <w14:schemeClr w14:val="tx1"/>
            </w14:solidFill>
          </w14:textFill>
        </w:rPr>
        <w:t>评审</w:t>
      </w:r>
      <w:r>
        <w:rPr>
          <w:rFonts w:hint="eastAsia" w:ascii="宋体" w:hAnsi="宋体" w:cs="宋体"/>
          <w:b/>
          <w:bCs/>
          <w:color w:val="000000" w:themeColor="text1"/>
          <w:highlight w:val="none"/>
          <w14:textFill>
            <w14:solidFill>
              <w14:schemeClr w14:val="tx1"/>
            </w14:solidFill>
          </w14:textFill>
        </w:rPr>
        <w:t>工作的基本原则</w:t>
      </w:r>
      <w:bookmarkEnd w:id="105"/>
      <w:bookmarkEnd w:id="106"/>
      <w:bookmarkEnd w:id="107"/>
      <w:bookmarkEnd w:id="108"/>
    </w:p>
    <w:p w14:paraId="3362FA78">
      <w:pPr>
        <w:widowControl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（1）认真贯彻国家有关法律、法规、维护国家利益。</w:t>
      </w:r>
    </w:p>
    <w:p w14:paraId="7914863B">
      <w:pPr>
        <w:widowControl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（2）保护发包人的各项合法利益。</w:t>
      </w:r>
    </w:p>
    <w:p w14:paraId="103CE2C6">
      <w:pPr>
        <w:widowControl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（3）客观、公正地对待所有</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，对所有</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评价，均采用相同的程序和标准。</w:t>
      </w:r>
    </w:p>
    <w:p w14:paraId="0243C401">
      <w:pPr>
        <w:pStyle w:val="185"/>
        <w:widowControl w:val="0"/>
        <w:shd w:val="clear" w:color="auto" w:fill="auto"/>
        <w:spacing w:before="0" w:line="300" w:lineRule="auto"/>
        <w:ind w:firstLine="524" w:firstLineChars="200"/>
        <w:jc w:val="left"/>
        <w:rPr>
          <w:rStyle w:val="182"/>
          <w:rFonts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（4）竞争性磋商文件是</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的依据。</w:t>
      </w:r>
    </w:p>
    <w:p w14:paraId="5DDCB3FC">
      <w:pPr>
        <w:widowControl w:val="0"/>
        <w:snapToGrid w:val="0"/>
        <w:spacing w:line="300" w:lineRule="auto"/>
        <w:ind w:firstLine="480" w:firstLineChars="200"/>
        <w:rPr>
          <w:rFonts w:ascii="宋体" w:hAnsi="宋体" w:cs="宋体"/>
          <w:color w:val="000000" w:themeColor="text1"/>
          <w:highlight w:val="none"/>
          <w:lang w:val="zh-TW"/>
          <w14:textFill>
            <w14:solidFill>
              <w14:schemeClr w14:val="tx1"/>
            </w14:solidFill>
          </w14:textFill>
        </w:rPr>
      </w:pPr>
    </w:p>
    <w:p w14:paraId="496BB6AE">
      <w:pPr>
        <w:widowControl w:val="0"/>
        <w:snapToGrid w:val="0"/>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1、计算错误的修改</w:t>
      </w:r>
    </w:p>
    <w:p w14:paraId="0E4ECFED">
      <w:pPr>
        <w:widowControl w:val="0"/>
        <w:snapToGrid w:val="0"/>
        <w:spacing w:line="500" w:lineRule="exact"/>
        <w:ind w:right="53" w:firstLine="480" w:firstLineChars="20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磋商响应文件中如果出现计算上或累加上的算术错误，可按以下原则进行修改：</w:t>
      </w:r>
    </w:p>
    <w:p w14:paraId="7D79C6BF">
      <w:pPr>
        <w:widowControl w:val="0"/>
        <w:snapToGrid w:val="0"/>
        <w:spacing w:line="500" w:lineRule="exact"/>
        <w:ind w:right="53" w:firstLine="480" w:firstLineChars="20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（1）用数字表示的金额和用文字表示的金额不一致，应以文字表示的金额为准。</w:t>
      </w:r>
    </w:p>
    <w:p w14:paraId="70D6B58C">
      <w:pPr>
        <w:widowControl w:val="0"/>
        <w:snapToGrid w:val="0"/>
        <w:spacing w:line="500" w:lineRule="exact"/>
        <w:ind w:right="53" w:firstLine="480" w:firstLineChars="20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（2）单价和数量的乘积与总价不一致时，以单价为准，并修正总价。</w:t>
      </w:r>
    </w:p>
    <w:p w14:paraId="59148C8E">
      <w:pPr>
        <w:widowControl w:val="0"/>
        <w:snapToGrid w:val="0"/>
        <w:spacing w:line="500" w:lineRule="exact"/>
        <w:ind w:right="53" w:firstLine="480" w:firstLineChars="20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（3）单价金额小数点有明显错误的，以总价为准，修正单价。</w:t>
      </w:r>
    </w:p>
    <w:p w14:paraId="15E8B757">
      <w:pPr>
        <w:widowControl w:val="0"/>
        <w:snapToGrid w:val="0"/>
        <w:spacing w:line="500" w:lineRule="exact"/>
        <w:ind w:right="53" w:firstLine="480" w:firstLineChars="20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按上述修正错误的方法调整的</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报价应对</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具有约束力。如果</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不接受修正后的价格，其</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lang w:val="en-US" w:eastAsia="zh-CN"/>
          <w14:textFill>
            <w14:solidFill>
              <w14:schemeClr w14:val="tx1"/>
            </w14:solidFill>
          </w14:textFill>
        </w:rPr>
        <w:t>响应文件</w:t>
      </w:r>
      <w:r>
        <w:rPr>
          <w:rFonts w:hint="eastAsia" w:ascii="宋体" w:hAnsi="宋体" w:cs="宋体"/>
          <w:color w:val="000000" w:themeColor="text1"/>
          <w:highlight w:val="none"/>
          <w14:textFill>
            <w14:solidFill>
              <w14:schemeClr w14:val="tx1"/>
            </w14:solidFill>
          </w14:textFill>
        </w:rPr>
        <w:t>将被拒绝。</w:t>
      </w:r>
    </w:p>
    <w:p w14:paraId="3BA592F4">
      <w:pPr>
        <w:widowControl w:val="0"/>
        <w:snapToGrid w:val="0"/>
        <w:spacing w:line="500" w:lineRule="exact"/>
        <w:ind w:right="53"/>
        <w:textAlignment w:val="bottom"/>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    2、统计分数原则</w:t>
      </w:r>
    </w:p>
    <w:p w14:paraId="11E83D57">
      <w:pPr>
        <w:widowControl w:val="0"/>
        <w:snapToGrid w:val="0"/>
        <w:spacing w:line="500" w:lineRule="exact"/>
        <w:ind w:right="53" w:firstLine="48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计算所有评委有效评分的算术平均分值为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的综合得分 (保留小数点后两位，小数点后三位四舍五入)。</w:t>
      </w:r>
    </w:p>
    <w:p w14:paraId="64E31FB0">
      <w:pPr>
        <w:widowControl w:val="0"/>
        <w:snapToGrid w:val="0"/>
        <w:spacing w:line="300" w:lineRule="auto"/>
        <w:jc w:val="center"/>
        <w:rPr>
          <w:rFonts w:ascii="宋体" w:hAnsi="宋体" w:cs="宋体"/>
          <w:color w:val="000000" w:themeColor="text1"/>
          <w:highlight w:val="none"/>
          <w:lang w:val="zh-TW"/>
          <w14:textFill>
            <w14:solidFill>
              <w14:schemeClr w14:val="tx1"/>
            </w14:solidFill>
          </w14:textFill>
        </w:rPr>
      </w:pPr>
    </w:p>
    <w:p w14:paraId="04097576">
      <w:pPr>
        <w:widowControl w:val="0"/>
        <w:snapToGrid w:val="0"/>
        <w:spacing w:line="300" w:lineRule="auto"/>
        <w:jc w:val="center"/>
        <w:rPr>
          <w:rFonts w:ascii="宋体" w:hAnsi="宋体" w:cs="宋体"/>
          <w:color w:val="000000" w:themeColor="text1"/>
          <w:highlight w:val="none"/>
          <w:lang w:val="zh-TW"/>
          <w14:textFill>
            <w14:solidFill>
              <w14:schemeClr w14:val="tx1"/>
            </w14:solidFill>
          </w14:textFill>
        </w:rPr>
      </w:pPr>
    </w:p>
    <w:p w14:paraId="3522222A">
      <w:pPr>
        <w:pStyle w:val="23"/>
        <w:widowControl w:val="0"/>
        <w:ind w:left="480"/>
        <w:rPr>
          <w:rFonts w:hint="default" w:hAnsi="宋体" w:cs="宋体"/>
          <w:color w:val="000000" w:themeColor="text1"/>
          <w:highlight w:val="none"/>
          <w:lang w:eastAsia="zh-TW"/>
          <w14:textFill>
            <w14:solidFill>
              <w14:schemeClr w14:val="tx1"/>
            </w14:solidFill>
          </w14:textFill>
        </w:rPr>
      </w:pPr>
    </w:p>
    <w:p w14:paraId="072A2BB0">
      <w:pPr>
        <w:pStyle w:val="23"/>
        <w:widowControl w:val="0"/>
        <w:ind w:left="480"/>
        <w:rPr>
          <w:rFonts w:hint="default" w:hAnsi="宋体" w:cs="宋体"/>
          <w:color w:val="000000" w:themeColor="text1"/>
          <w:highlight w:val="none"/>
          <w:lang w:eastAsia="zh-TW"/>
          <w14:textFill>
            <w14:solidFill>
              <w14:schemeClr w14:val="tx1"/>
            </w14:solidFill>
          </w14:textFill>
        </w:rPr>
      </w:pPr>
    </w:p>
    <w:p w14:paraId="0A28341B">
      <w:pPr>
        <w:pStyle w:val="23"/>
        <w:widowControl w:val="0"/>
        <w:ind w:left="480"/>
        <w:rPr>
          <w:rFonts w:hint="default" w:hAnsi="宋体" w:cs="宋体"/>
          <w:color w:val="000000" w:themeColor="text1"/>
          <w:highlight w:val="none"/>
          <w:lang w:eastAsia="zh-TW"/>
          <w14:textFill>
            <w14:solidFill>
              <w14:schemeClr w14:val="tx1"/>
            </w14:solidFill>
          </w14:textFill>
        </w:rPr>
      </w:pPr>
    </w:p>
    <w:p w14:paraId="3031B617">
      <w:pPr>
        <w:pStyle w:val="23"/>
        <w:widowControl w:val="0"/>
        <w:ind w:left="480"/>
        <w:rPr>
          <w:rFonts w:hint="default" w:hAnsi="宋体" w:cs="宋体"/>
          <w:color w:val="000000" w:themeColor="text1"/>
          <w:highlight w:val="none"/>
          <w:lang w:eastAsia="zh-TW"/>
          <w14:textFill>
            <w14:solidFill>
              <w14:schemeClr w14:val="tx1"/>
            </w14:solidFill>
          </w14:textFill>
        </w:rPr>
      </w:pPr>
    </w:p>
    <w:p w14:paraId="25E170DE">
      <w:pPr>
        <w:pStyle w:val="23"/>
        <w:widowControl w:val="0"/>
        <w:ind w:left="480"/>
        <w:rPr>
          <w:rFonts w:hint="default" w:hAnsi="宋体" w:cs="宋体"/>
          <w:color w:val="000000" w:themeColor="text1"/>
          <w:highlight w:val="none"/>
          <w:lang w:eastAsia="zh-TW"/>
          <w14:textFill>
            <w14:solidFill>
              <w14:schemeClr w14:val="tx1"/>
            </w14:solidFill>
          </w14:textFill>
        </w:rPr>
      </w:pPr>
    </w:p>
    <w:p w14:paraId="57071528">
      <w:pPr>
        <w:pStyle w:val="23"/>
        <w:widowControl w:val="0"/>
        <w:ind w:left="480"/>
        <w:rPr>
          <w:rFonts w:hint="default" w:hAnsi="宋体" w:cs="宋体"/>
          <w:color w:val="000000" w:themeColor="text1"/>
          <w:highlight w:val="none"/>
          <w:lang w:eastAsia="zh-TW"/>
          <w14:textFill>
            <w14:solidFill>
              <w14:schemeClr w14:val="tx1"/>
            </w14:solidFill>
          </w14:textFill>
        </w:rPr>
      </w:pPr>
    </w:p>
    <w:p w14:paraId="371DDA8C">
      <w:pPr>
        <w:pStyle w:val="23"/>
        <w:widowControl w:val="0"/>
        <w:ind w:left="480"/>
        <w:rPr>
          <w:rFonts w:hint="default" w:hAnsi="宋体" w:cs="宋体"/>
          <w:color w:val="000000" w:themeColor="text1"/>
          <w:highlight w:val="none"/>
          <w:lang w:eastAsia="zh-TW"/>
          <w14:textFill>
            <w14:solidFill>
              <w14:schemeClr w14:val="tx1"/>
            </w14:solidFill>
          </w14:textFill>
        </w:rPr>
      </w:pPr>
    </w:p>
    <w:p w14:paraId="4D961A15">
      <w:pPr>
        <w:pStyle w:val="23"/>
        <w:widowControl w:val="0"/>
        <w:ind w:left="480"/>
        <w:rPr>
          <w:rFonts w:hint="default" w:hAnsi="宋体" w:cs="宋体"/>
          <w:color w:val="000000" w:themeColor="text1"/>
          <w:highlight w:val="none"/>
          <w:lang w:eastAsia="zh-TW"/>
          <w14:textFill>
            <w14:solidFill>
              <w14:schemeClr w14:val="tx1"/>
            </w14:solidFill>
          </w14:textFill>
        </w:rPr>
      </w:pPr>
    </w:p>
    <w:p w14:paraId="0EA2A612">
      <w:pPr>
        <w:pStyle w:val="23"/>
        <w:widowControl w:val="0"/>
        <w:ind w:left="480"/>
        <w:rPr>
          <w:rFonts w:hint="default" w:hAnsi="宋体" w:cs="宋体"/>
          <w:color w:val="000000" w:themeColor="text1"/>
          <w:highlight w:val="none"/>
          <w:lang w:eastAsia="zh-TW"/>
          <w14:textFill>
            <w14:solidFill>
              <w14:schemeClr w14:val="tx1"/>
            </w14:solidFill>
          </w14:textFill>
        </w:rPr>
      </w:pPr>
    </w:p>
    <w:p w14:paraId="1A445DFB">
      <w:pPr>
        <w:pStyle w:val="23"/>
        <w:widowControl w:val="0"/>
        <w:ind w:left="480"/>
        <w:rPr>
          <w:rFonts w:hint="default" w:hAnsi="宋体" w:cs="宋体"/>
          <w:color w:val="000000" w:themeColor="text1"/>
          <w:highlight w:val="none"/>
          <w:lang w:eastAsia="zh-TW"/>
          <w14:textFill>
            <w14:solidFill>
              <w14:schemeClr w14:val="tx1"/>
            </w14:solidFill>
          </w14:textFill>
        </w:rPr>
      </w:pPr>
    </w:p>
    <w:p w14:paraId="7FCB9F7F">
      <w:pPr>
        <w:pStyle w:val="23"/>
        <w:widowControl w:val="0"/>
        <w:ind w:left="480"/>
        <w:rPr>
          <w:rFonts w:hint="default" w:hAnsi="宋体" w:cs="宋体"/>
          <w:color w:val="000000" w:themeColor="text1"/>
          <w:highlight w:val="none"/>
          <w:lang w:eastAsia="zh-TW"/>
          <w14:textFill>
            <w14:solidFill>
              <w14:schemeClr w14:val="tx1"/>
            </w14:solidFill>
          </w14:textFill>
        </w:rPr>
      </w:pPr>
    </w:p>
    <w:p w14:paraId="1C544078">
      <w:pPr>
        <w:pStyle w:val="23"/>
        <w:widowControl w:val="0"/>
        <w:ind w:left="480"/>
        <w:rPr>
          <w:rFonts w:hint="default" w:hAnsi="宋体" w:cs="宋体"/>
          <w:color w:val="000000" w:themeColor="text1"/>
          <w:highlight w:val="none"/>
          <w:lang w:eastAsia="zh-TW"/>
          <w14:textFill>
            <w14:solidFill>
              <w14:schemeClr w14:val="tx1"/>
            </w14:solidFill>
          </w14:textFill>
        </w:rPr>
      </w:pPr>
    </w:p>
    <w:p w14:paraId="0AC6F5FA">
      <w:pPr>
        <w:widowControl w:val="0"/>
        <w:snapToGrid w:val="0"/>
        <w:spacing w:line="300" w:lineRule="auto"/>
        <w:jc w:val="center"/>
        <w:rPr>
          <w:rFonts w:ascii="宋体" w:hAnsi="宋体" w:cs="宋体"/>
          <w:color w:val="000000" w:themeColor="text1"/>
          <w:highlight w:val="none"/>
          <w:lang w:eastAsia="zh-TW"/>
          <w14:textFill>
            <w14:solidFill>
              <w14:schemeClr w14:val="tx1"/>
            </w14:solidFill>
          </w14:textFill>
        </w:rPr>
      </w:pPr>
    </w:p>
    <w:p w14:paraId="791C8702">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bookmarkStart w:id="109" w:name="_Toc331341774"/>
      <w:bookmarkStart w:id="110" w:name="_Toc331427678"/>
      <w:bookmarkStart w:id="111" w:name="_Toc25137"/>
      <w:bookmarkStart w:id="112" w:name="_Toc508110430"/>
      <w:bookmarkStart w:id="113" w:name="_Toc508110141"/>
      <w:bookmarkStart w:id="114" w:name="_Toc16673"/>
      <w:bookmarkStart w:id="115" w:name="_Toc66457134"/>
      <w:bookmarkStart w:id="116" w:name="_Toc66736822"/>
    </w:p>
    <w:p w14:paraId="6D19E763">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7ADA594B">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16B7A835">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1A30ACC6">
      <w:pPr>
        <w:widowControl w:val="0"/>
        <w:jc w:val="both"/>
        <w:outlineLvl w:val="0"/>
        <w:rPr>
          <w:rFonts w:hint="eastAsia" w:ascii="宋体" w:hAnsi="宋体" w:cs="宋体"/>
          <w:b/>
          <w:bCs/>
          <w:color w:val="000000" w:themeColor="text1"/>
          <w:sz w:val="48"/>
          <w:szCs w:val="48"/>
          <w:highlight w:val="none"/>
          <w14:textFill>
            <w14:solidFill>
              <w14:schemeClr w14:val="tx1"/>
            </w14:solidFill>
          </w14:textFill>
        </w:rPr>
      </w:pPr>
    </w:p>
    <w:p w14:paraId="448ABD4A">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6290EFA0">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213007DF">
      <w:pPr>
        <w:widowControl w:val="0"/>
        <w:jc w:val="center"/>
        <w:outlineLvl w:val="0"/>
        <w:rPr>
          <w:rFonts w:hint="eastAsia" w:ascii="宋体" w:hAnsi="宋体" w:cs="宋体"/>
          <w:b/>
          <w:bCs/>
          <w:color w:val="000000" w:themeColor="text1"/>
          <w:sz w:val="48"/>
          <w:szCs w:val="48"/>
          <w:highlight w:val="none"/>
          <w14:textFill>
            <w14:solidFill>
              <w14:schemeClr w14:val="tx1"/>
            </w14:solidFill>
          </w14:textFill>
        </w:rPr>
      </w:pPr>
    </w:p>
    <w:p w14:paraId="58C254B0">
      <w:pPr>
        <w:widowControl w:val="0"/>
        <w:jc w:val="center"/>
        <w:outlineLvl w:val="0"/>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第四章  磋商响应文件格式</w:t>
      </w:r>
      <w:bookmarkEnd w:id="109"/>
      <w:bookmarkEnd w:id="110"/>
      <w:bookmarkEnd w:id="111"/>
      <w:bookmarkEnd w:id="112"/>
      <w:bookmarkEnd w:id="113"/>
      <w:bookmarkEnd w:id="114"/>
      <w:bookmarkEnd w:id="115"/>
      <w:bookmarkEnd w:id="116"/>
    </w:p>
    <w:p w14:paraId="2CA4C1FE">
      <w:pPr>
        <w:widowControl w:val="0"/>
        <w:snapToGrid w:val="0"/>
        <w:spacing w:line="300" w:lineRule="auto"/>
        <w:jc w:val="center"/>
        <w:rPr>
          <w:rFonts w:ascii="宋体" w:hAnsi="宋体" w:cs="宋体"/>
          <w:color w:val="000000" w:themeColor="text1"/>
          <w:highlight w:val="none"/>
          <w14:textFill>
            <w14:solidFill>
              <w14:schemeClr w14:val="tx1"/>
            </w14:solidFill>
          </w14:textFill>
        </w:rPr>
      </w:pPr>
    </w:p>
    <w:p w14:paraId="4EF4EEBF">
      <w:pPr>
        <w:widowControl w:val="0"/>
        <w:snapToGrid w:val="0"/>
        <w:spacing w:line="300" w:lineRule="auto"/>
        <w:jc w:val="center"/>
        <w:rPr>
          <w:rFonts w:ascii="宋体" w:hAnsi="宋体" w:cs="宋体"/>
          <w:color w:val="000000" w:themeColor="text1"/>
          <w:highlight w:val="none"/>
          <w14:textFill>
            <w14:solidFill>
              <w14:schemeClr w14:val="tx1"/>
            </w14:solidFill>
          </w14:textFill>
        </w:rPr>
      </w:pPr>
    </w:p>
    <w:p w14:paraId="305564E5">
      <w:pPr>
        <w:widowControl w:val="0"/>
        <w:snapToGrid w:val="0"/>
        <w:spacing w:line="300" w:lineRule="auto"/>
        <w:jc w:val="center"/>
        <w:rPr>
          <w:rFonts w:ascii="宋体" w:hAnsi="宋体" w:cs="宋体"/>
          <w:color w:val="000000" w:themeColor="text1"/>
          <w:highlight w:val="none"/>
          <w14:textFill>
            <w14:solidFill>
              <w14:schemeClr w14:val="tx1"/>
            </w14:solidFill>
          </w14:textFill>
        </w:rPr>
      </w:pPr>
    </w:p>
    <w:p w14:paraId="4B9E93D7">
      <w:pPr>
        <w:widowControl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713B7C5">
      <w:pPr>
        <w:pStyle w:val="68"/>
        <w:rPr>
          <w:rFonts w:hint="default" w:ascii="宋体" w:hAnsi="宋体" w:cs="宋体"/>
          <w:color w:val="000000" w:themeColor="text1"/>
          <w:highlight w:val="none"/>
          <w14:textFill>
            <w14:solidFill>
              <w14:schemeClr w14:val="tx1"/>
            </w14:solidFill>
          </w14:textFill>
        </w:rPr>
      </w:pPr>
    </w:p>
    <w:p w14:paraId="2C4A3F4B">
      <w:pPr>
        <w:widowControl w:val="0"/>
        <w:pBdr>
          <w:top w:val="dashed" w:color="auto" w:sz="4" w:space="1"/>
          <w:left w:val="dashed" w:color="auto" w:sz="4" w:space="4"/>
          <w:bottom w:val="dashed" w:color="auto" w:sz="4" w:space="1"/>
          <w:right w:val="dashed" w:color="auto" w:sz="4" w:space="4"/>
        </w:pBdr>
        <w:snapToGrid w:val="0"/>
        <w:spacing w:line="300" w:lineRule="auto"/>
        <w:jc w:val="center"/>
        <w:rPr>
          <w:rFonts w:ascii="宋体" w:hAnsi="宋体" w:cs="宋体"/>
          <w:color w:val="000000" w:themeColor="text1"/>
          <w:highlight w:val="none"/>
          <w14:textFill>
            <w14:solidFill>
              <w14:schemeClr w14:val="tx1"/>
            </w14:solidFill>
          </w14:textFill>
        </w:rPr>
      </w:pPr>
    </w:p>
    <w:p w14:paraId="4DCA30FF">
      <w:pPr>
        <w:widowControl w:val="0"/>
        <w:pBdr>
          <w:top w:val="dashed" w:color="auto" w:sz="4" w:space="1"/>
          <w:left w:val="dashed" w:color="auto" w:sz="4" w:space="4"/>
          <w:bottom w:val="dashed" w:color="auto" w:sz="4" w:space="1"/>
          <w:right w:val="dashed" w:color="auto" w:sz="4" w:space="4"/>
        </w:pBdr>
        <w:spacing w:line="360" w:lineRule="auto"/>
        <w:jc w:val="center"/>
        <w:rPr>
          <w:color w:val="000000" w:themeColor="text1"/>
          <w:kern w:val="2"/>
          <w:sz w:val="52"/>
          <w:szCs w:val="52"/>
          <w:highlight w:val="none"/>
          <w:lang w:val="zh-CN"/>
          <w14:textFill>
            <w14:solidFill>
              <w14:schemeClr w14:val="tx1"/>
            </w14:solidFill>
          </w14:textFill>
        </w:rPr>
      </w:pPr>
    </w:p>
    <w:p w14:paraId="3F2784C8">
      <w:pPr>
        <w:widowControl w:val="0"/>
        <w:pBdr>
          <w:top w:val="dashed" w:color="auto" w:sz="4" w:space="1"/>
          <w:left w:val="dashed" w:color="auto" w:sz="4" w:space="4"/>
          <w:bottom w:val="dashed" w:color="auto" w:sz="4" w:space="1"/>
          <w:right w:val="dashed" w:color="auto" w:sz="4" w:space="4"/>
        </w:pBdr>
        <w:spacing w:line="360" w:lineRule="auto"/>
        <w:jc w:val="center"/>
        <w:rPr>
          <w:color w:val="000000" w:themeColor="text1"/>
          <w:kern w:val="2"/>
          <w:sz w:val="52"/>
          <w:szCs w:val="52"/>
          <w:highlight w:val="none"/>
          <w:lang w:val="zh-CN"/>
          <w14:textFill>
            <w14:solidFill>
              <w14:schemeClr w14:val="tx1"/>
            </w14:solidFill>
          </w14:textFill>
        </w:rPr>
      </w:pPr>
    </w:p>
    <w:p w14:paraId="46F70518">
      <w:pPr>
        <w:widowControl w:val="0"/>
        <w:pBdr>
          <w:top w:val="dashed" w:color="auto" w:sz="4" w:space="1"/>
          <w:left w:val="dashed" w:color="auto" w:sz="4" w:space="4"/>
          <w:bottom w:val="dashed" w:color="auto" w:sz="4" w:space="1"/>
          <w:right w:val="dashed" w:color="auto" w:sz="4" w:space="4"/>
        </w:pBdr>
        <w:jc w:val="center"/>
        <w:rPr>
          <w:rFonts w:hint="eastAsia" w:eastAsia="宋体"/>
          <w:b/>
          <w:bCs/>
          <w:color w:val="000000" w:themeColor="text1"/>
          <w:kern w:val="2"/>
          <w:sz w:val="48"/>
          <w:szCs w:val="48"/>
          <w:highlight w:val="none"/>
          <w:lang w:val="zh-CN" w:eastAsia="zh-CN"/>
          <w14:textFill>
            <w14:solidFill>
              <w14:schemeClr w14:val="tx1"/>
            </w14:solidFill>
          </w14:textFill>
        </w:rPr>
      </w:pPr>
      <w:r>
        <w:rPr>
          <w:rFonts w:hint="eastAsia"/>
          <w:color w:val="000000" w:themeColor="text1"/>
          <w:sz w:val="48"/>
          <w:szCs w:val="48"/>
          <w:highlight w:val="none"/>
          <w:lang w:eastAsia="zh-CN"/>
          <w14:textFill>
            <w14:solidFill>
              <w14:schemeClr w14:val="tx1"/>
            </w14:solidFill>
          </w14:textFill>
        </w:rPr>
        <w:t>施甸县2025年水利工程白蚁等害堤动物</w:t>
      </w:r>
      <w:r>
        <w:rPr>
          <w:rFonts w:hint="eastAsia"/>
          <w:color w:val="000000" w:themeColor="text1"/>
          <w:sz w:val="48"/>
          <w:szCs w:val="48"/>
          <w:highlight w:val="none"/>
          <w:lang w:val="en-US" w:eastAsia="zh-CN"/>
          <w14:textFill>
            <w14:solidFill>
              <w14:schemeClr w14:val="tx1"/>
            </w14:solidFill>
          </w14:textFill>
        </w:rPr>
        <w:t xml:space="preserve">   </w:t>
      </w:r>
      <w:r>
        <w:rPr>
          <w:rFonts w:hint="eastAsia"/>
          <w:color w:val="000000" w:themeColor="text1"/>
          <w:sz w:val="48"/>
          <w:szCs w:val="48"/>
          <w:highlight w:val="none"/>
          <w:lang w:eastAsia="zh-CN"/>
          <w14:textFill>
            <w14:solidFill>
              <w14:schemeClr w14:val="tx1"/>
            </w14:solidFill>
          </w14:textFill>
        </w:rPr>
        <w:t>防治项目</w:t>
      </w:r>
    </w:p>
    <w:p w14:paraId="16874781">
      <w:pPr>
        <w:widowControl w:val="0"/>
        <w:pBdr>
          <w:top w:val="dashed" w:color="auto" w:sz="4" w:space="1"/>
          <w:left w:val="dashed" w:color="auto" w:sz="4" w:space="4"/>
          <w:bottom w:val="dashed" w:color="auto" w:sz="4" w:space="1"/>
          <w:right w:val="dashed" w:color="auto" w:sz="4" w:space="4"/>
        </w:pBdr>
        <w:jc w:val="center"/>
        <w:rPr>
          <w:b/>
          <w:bCs/>
          <w:color w:val="000000" w:themeColor="text1"/>
          <w:kern w:val="2"/>
          <w:sz w:val="48"/>
          <w:szCs w:val="48"/>
          <w:highlight w:val="none"/>
          <w:lang w:val="zh-CN"/>
          <w14:textFill>
            <w14:solidFill>
              <w14:schemeClr w14:val="tx1"/>
            </w14:solidFill>
          </w14:textFill>
        </w:rPr>
      </w:pPr>
    </w:p>
    <w:p w14:paraId="3C04B8EF">
      <w:pPr>
        <w:widowControl w:val="0"/>
        <w:pBdr>
          <w:top w:val="dashed" w:color="auto" w:sz="4" w:space="1"/>
          <w:left w:val="dashed" w:color="auto" w:sz="4" w:space="4"/>
          <w:bottom w:val="dashed" w:color="auto" w:sz="4" w:space="1"/>
          <w:right w:val="dashed" w:color="auto" w:sz="4" w:space="4"/>
        </w:pBdr>
        <w:jc w:val="center"/>
        <w:rPr>
          <w:b/>
          <w:bCs/>
          <w:color w:val="000000" w:themeColor="text1"/>
          <w:kern w:val="2"/>
          <w:sz w:val="48"/>
          <w:szCs w:val="48"/>
          <w:highlight w:val="none"/>
          <w:lang w:val="zh-CN"/>
          <w14:textFill>
            <w14:solidFill>
              <w14:schemeClr w14:val="tx1"/>
            </w14:solidFill>
          </w14:textFill>
        </w:rPr>
      </w:pPr>
    </w:p>
    <w:p w14:paraId="549706F0">
      <w:pPr>
        <w:widowControl w:val="0"/>
        <w:pBdr>
          <w:top w:val="dashed" w:color="auto" w:sz="4" w:space="1"/>
          <w:left w:val="dashed" w:color="auto" w:sz="4" w:space="4"/>
          <w:bottom w:val="dashed" w:color="auto" w:sz="4" w:space="1"/>
          <w:right w:val="dashed" w:color="auto" w:sz="4" w:space="4"/>
        </w:pBdr>
        <w:jc w:val="center"/>
        <w:rPr>
          <w:rFonts w:ascii="宋体" w:hAnsi="宋体" w:cs="宋体"/>
          <w:color w:val="000000" w:themeColor="text1"/>
          <w:sz w:val="72"/>
          <w:szCs w:val="72"/>
          <w:highlight w:val="none"/>
          <w14:textFill>
            <w14:solidFill>
              <w14:schemeClr w14:val="tx1"/>
            </w14:solidFill>
          </w14:textFill>
        </w:rPr>
      </w:pPr>
      <w:r>
        <w:rPr>
          <w:rFonts w:hint="eastAsia"/>
          <w:b/>
          <w:bCs/>
          <w:color w:val="000000" w:themeColor="text1"/>
          <w:kern w:val="2"/>
          <w:sz w:val="52"/>
          <w:szCs w:val="52"/>
          <w:highlight w:val="none"/>
          <w:lang w:val="zh-CN"/>
          <w14:textFill>
            <w14:solidFill>
              <w14:schemeClr w14:val="tx1"/>
            </w14:solidFill>
          </w14:textFill>
        </w:rPr>
        <w:t xml:space="preserve"> </w:t>
      </w:r>
    </w:p>
    <w:p w14:paraId="50CE0588">
      <w:pPr>
        <w:widowControl w:val="0"/>
        <w:pBdr>
          <w:top w:val="dashed" w:color="auto" w:sz="4" w:space="1"/>
          <w:left w:val="dashed" w:color="auto" w:sz="4" w:space="4"/>
          <w:bottom w:val="dashed" w:color="auto" w:sz="4" w:space="1"/>
          <w:right w:val="dashed" w:color="auto" w:sz="4" w:space="4"/>
        </w:pBd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lang w:val="en-US" w:eastAsia="zh-CN"/>
          <w14:textFill>
            <w14:solidFill>
              <w14:schemeClr w14:val="tx1"/>
            </w14:solidFill>
          </w14:textFill>
        </w:rPr>
        <w:t>竞争性</w:t>
      </w:r>
      <w:r>
        <w:rPr>
          <w:rFonts w:hint="eastAsia" w:ascii="宋体" w:hAnsi="宋体" w:cs="宋体"/>
          <w:color w:val="000000" w:themeColor="text1"/>
          <w:sz w:val="72"/>
          <w:szCs w:val="72"/>
          <w:highlight w:val="none"/>
          <w14:textFill>
            <w14:solidFill>
              <w14:schemeClr w14:val="tx1"/>
            </w14:solidFill>
          </w14:textFill>
        </w:rPr>
        <w:t>磋商响应文件</w:t>
      </w:r>
    </w:p>
    <w:p w14:paraId="5595B98D">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p>
    <w:p w14:paraId="468FB1CA">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p>
    <w:p w14:paraId="2176C733">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p>
    <w:p w14:paraId="2892620D">
      <w:pPr>
        <w:widowControl w:val="0"/>
        <w:pBdr>
          <w:top w:val="dashed" w:color="auto" w:sz="4" w:space="1"/>
          <w:left w:val="dashed" w:color="auto" w:sz="4" w:space="4"/>
          <w:bottom w:val="dashed" w:color="auto" w:sz="4" w:space="1"/>
          <w:right w:val="dashed" w:color="auto" w:sz="4" w:space="4"/>
        </w:pBdr>
        <w:spacing w:line="360" w:lineRule="auto"/>
        <w:jc w:val="both"/>
        <w:rPr>
          <w:rFonts w:ascii="宋体" w:hAnsi="宋体" w:cs="宋体"/>
          <w:color w:val="000000" w:themeColor="text1"/>
          <w:sz w:val="32"/>
          <w:szCs w:val="32"/>
          <w:highlight w:val="none"/>
          <w14:textFill>
            <w14:solidFill>
              <w14:schemeClr w14:val="tx1"/>
            </w14:solidFill>
          </w14:textFill>
        </w:rPr>
      </w:pPr>
    </w:p>
    <w:p w14:paraId="0C413445">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（盖章或电子签章）</w:t>
      </w:r>
    </w:p>
    <w:p w14:paraId="6F6A6EBC">
      <w:pPr>
        <w:widowControl w:val="0"/>
        <w:pBdr>
          <w:top w:val="dashed" w:color="auto" w:sz="4" w:space="1"/>
          <w:left w:val="dashed" w:color="auto" w:sz="4" w:space="4"/>
          <w:bottom w:val="dashed" w:color="auto" w:sz="4" w:space="1"/>
          <w:right w:val="dashed" w:color="auto" w:sz="4" w:space="4"/>
        </w:pBdr>
        <w:spacing w:line="360" w:lineRule="auto"/>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法定代表人或</w:t>
      </w:r>
      <w:r>
        <w:rPr>
          <w:rFonts w:hint="eastAsia" w:ascii="宋体" w:hAnsi="宋体" w:cs="宋体"/>
          <w:color w:val="000000" w:themeColor="text1"/>
          <w:sz w:val="32"/>
          <w:szCs w:val="32"/>
          <w:highlight w:val="none"/>
          <w:lang w:eastAsia="zh-CN"/>
          <w14:textFill>
            <w14:solidFill>
              <w14:schemeClr w14:val="tx1"/>
            </w14:solidFill>
          </w14:textFill>
        </w:rPr>
        <w:t>其</w:t>
      </w:r>
      <w:r>
        <w:rPr>
          <w:rFonts w:hint="eastAsia" w:ascii="宋体" w:hAnsi="宋体" w:cs="宋体"/>
          <w:color w:val="000000" w:themeColor="text1"/>
          <w:sz w:val="32"/>
          <w:szCs w:val="32"/>
          <w:highlight w:val="none"/>
          <w14:textFill>
            <w14:solidFill>
              <w14:schemeClr w14:val="tx1"/>
            </w14:solidFill>
          </w14:textFill>
        </w:rPr>
        <w:t>委托</w:t>
      </w:r>
      <w:r>
        <w:rPr>
          <w:rFonts w:hint="eastAsia" w:ascii="宋体" w:hAnsi="宋体" w:cs="宋体"/>
          <w:color w:val="000000" w:themeColor="text1"/>
          <w:sz w:val="32"/>
          <w:szCs w:val="32"/>
          <w:highlight w:val="none"/>
          <w:lang w:eastAsia="zh-CN"/>
          <w14:textFill>
            <w14:solidFill>
              <w14:schemeClr w14:val="tx1"/>
            </w14:solidFill>
          </w14:textFill>
        </w:rPr>
        <w:t>代理</w:t>
      </w:r>
      <w:r>
        <w:rPr>
          <w:rFonts w:hint="eastAsia" w:ascii="宋体" w:hAnsi="宋体" w:cs="宋体"/>
          <w:color w:val="000000" w:themeColor="text1"/>
          <w:sz w:val="32"/>
          <w:szCs w:val="32"/>
          <w:highlight w:val="none"/>
          <w14:textFill>
            <w14:solidFill>
              <w14:schemeClr w14:val="tx1"/>
            </w14:solidFill>
          </w14:textFill>
        </w:rPr>
        <w:t>人：</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（签字或盖章）</w:t>
      </w:r>
    </w:p>
    <w:p w14:paraId="0689FD86">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p>
    <w:p w14:paraId="59B6A3ED">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p>
    <w:p w14:paraId="64D93C3B">
      <w:pPr>
        <w:widowControl w:val="0"/>
        <w:pBdr>
          <w:top w:val="dashed" w:color="auto" w:sz="4" w:space="1"/>
          <w:left w:val="dashed" w:color="auto" w:sz="4" w:space="4"/>
          <w:bottom w:val="dashed" w:color="auto" w:sz="4" w:space="1"/>
          <w:right w:val="dashed" w:color="auto" w:sz="4" w:space="4"/>
        </w:pBdr>
        <w:spacing w:line="360" w:lineRule="auto"/>
        <w:jc w:val="center"/>
        <w:rPr>
          <w:rFonts w:ascii="宋体" w:hAnsi="宋体" w:cs="宋体"/>
          <w:color w:val="000000" w:themeColor="text1"/>
          <w:sz w:val="32"/>
          <w:szCs w:val="32"/>
          <w:highlight w:val="none"/>
          <w14:textFill>
            <w14:solidFill>
              <w14:schemeClr w14:val="tx1"/>
            </w14:solidFill>
          </w14:textFill>
        </w:rPr>
      </w:pPr>
    </w:p>
    <w:p w14:paraId="404CCFBD">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3410E557">
      <w:pPr>
        <w:widowControl w:val="0"/>
        <w:tabs>
          <w:tab w:val="left" w:pos="0"/>
        </w:tabs>
        <w:snapToGrid w:val="0"/>
        <w:spacing w:after="100" w:afterAutospacing="1" w:line="360" w:lineRule="auto"/>
        <w:jc w:val="center"/>
        <w:outlineLvl w:val="1"/>
        <w:rPr>
          <w:rFonts w:hint="eastAsia" w:ascii="宋体" w:hAnsi="宋体" w:cs="宋体"/>
          <w:b/>
          <w:bCs/>
          <w:color w:val="auto"/>
          <w:sz w:val="28"/>
          <w:szCs w:val="28"/>
          <w:highlight w:val="none"/>
          <w:lang w:eastAsia="zh-CN"/>
        </w:rPr>
      </w:pPr>
      <w:bookmarkStart w:id="117" w:name="_Toc18376"/>
      <w:bookmarkStart w:id="118" w:name="_Toc3309"/>
      <w:bookmarkStart w:id="119" w:name="_Toc66736823"/>
      <w:bookmarkStart w:id="120" w:name="_Toc66457135"/>
      <w:bookmarkStart w:id="121" w:name="_Toc506195183"/>
      <w:bookmarkStart w:id="122" w:name="_Toc13857"/>
      <w:bookmarkStart w:id="123" w:name="_Toc331341781"/>
      <w:r>
        <w:rPr>
          <w:rFonts w:hint="eastAsia" w:ascii="宋体" w:hAnsi="宋体" w:cs="宋体"/>
          <w:b/>
          <w:bCs/>
          <w:color w:val="auto"/>
          <w:sz w:val="28"/>
          <w:szCs w:val="28"/>
          <w:highlight w:val="none"/>
          <w:lang w:eastAsia="zh-CN"/>
        </w:rPr>
        <w:t>目录</w:t>
      </w:r>
    </w:p>
    <w:p w14:paraId="12C480AB">
      <w:pPr>
        <w:widowControl w:val="0"/>
        <w:tabs>
          <w:tab w:val="left" w:pos="0"/>
        </w:tabs>
        <w:snapToGrid w:val="0"/>
        <w:spacing w:after="100" w:afterAutospacing="1" w:line="360" w:lineRule="auto"/>
        <w:jc w:val="center"/>
        <w:outlineLvl w:val="1"/>
        <w:rPr>
          <w:rFonts w:hint="eastAsia" w:ascii="宋体" w:hAnsi="宋体" w:cs="宋体"/>
          <w:b/>
          <w:bCs/>
          <w:color w:val="auto"/>
          <w:highlight w:val="none"/>
          <w:lang w:eastAsia="zh-CN"/>
        </w:rPr>
      </w:pPr>
      <w:r>
        <w:rPr>
          <w:rFonts w:hint="eastAsia" w:ascii="宋体" w:hAnsi="宋体" w:cs="宋体"/>
          <w:b/>
          <w:bCs/>
          <w:color w:val="auto"/>
          <w:highlight w:val="none"/>
          <w:lang w:eastAsia="zh-CN"/>
        </w:rPr>
        <w:t>（格式自拟）</w:t>
      </w:r>
    </w:p>
    <w:p w14:paraId="084CF6C6">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534FD5AB">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49CF2BBA">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0AC1943B">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19BC8C58">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4F9F1277">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4F3596BF">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75DBA56B">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51DF3665">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30C2D3F2">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3582D0F0">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092511E2">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72A5F17C">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6756DA1B">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6ABE01B4">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0FCC7BA1">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5E2C69E6">
      <w:pPr>
        <w:widowControl w:val="0"/>
        <w:tabs>
          <w:tab w:val="left" w:pos="0"/>
        </w:tabs>
        <w:snapToGrid w:val="0"/>
        <w:spacing w:after="100" w:afterAutospacing="1" w:line="360" w:lineRule="auto"/>
        <w:jc w:val="center"/>
        <w:outlineLvl w:val="1"/>
        <w:rPr>
          <w:rFonts w:hint="eastAsia" w:ascii="宋体" w:hAnsi="宋体" w:cs="宋体"/>
          <w:b/>
          <w:bCs/>
          <w:color w:val="000000" w:themeColor="text1"/>
          <w:highlight w:val="none"/>
          <w14:textFill>
            <w14:solidFill>
              <w14:schemeClr w14:val="tx1"/>
            </w14:solidFill>
          </w14:textFill>
        </w:rPr>
      </w:pPr>
    </w:p>
    <w:p w14:paraId="704FB4B7">
      <w:pPr>
        <w:widowControl w:val="0"/>
        <w:tabs>
          <w:tab w:val="left" w:pos="0"/>
        </w:tabs>
        <w:snapToGrid w:val="0"/>
        <w:spacing w:after="100" w:afterAutospacing="1" w:line="360" w:lineRule="auto"/>
        <w:jc w:val="center"/>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w:t>
      </w:r>
      <w:r>
        <w:rPr>
          <w:rFonts w:hint="eastAsia" w:ascii="宋体" w:hAnsi="宋体" w:cs="宋体"/>
          <w:b/>
          <w:bCs/>
          <w:color w:val="000000" w:themeColor="text1"/>
          <w:sz w:val="28"/>
          <w:szCs w:val="28"/>
          <w:highlight w:val="none"/>
          <w:lang w:eastAsia="zh-CN"/>
          <w14:textFill>
            <w14:solidFill>
              <w14:schemeClr w14:val="tx1"/>
            </w14:solidFill>
          </w14:textFill>
        </w:rPr>
        <w:t>磋商</w:t>
      </w:r>
      <w:r>
        <w:rPr>
          <w:rFonts w:hint="eastAsia" w:ascii="宋体" w:hAnsi="宋体" w:cs="宋体"/>
          <w:b/>
          <w:bCs/>
          <w:color w:val="000000" w:themeColor="text1"/>
          <w:sz w:val="28"/>
          <w:szCs w:val="28"/>
          <w:highlight w:val="none"/>
          <w14:textFill>
            <w14:solidFill>
              <w14:schemeClr w14:val="tx1"/>
            </w14:solidFill>
          </w14:textFill>
        </w:rPr>
        <w:t>报价一览表</w:t>
      </w:r>
      <w:bookmarkEnd w:id="117"/>
    </w:p>
    <w:tbl>
      <w:tblPr>
        <w:tblStyle w:val="51"/>
        <w:tblW w:w="9364" w:type="dxa"/>
        <w:jc w:val="center"/>
        <w:tblLayout w:type="fixed"/>
        <w:tblCellMar>
          <w:top w:w="0" w:type="dxa"/>
          <w:left w:w="108" w:type="dxa"/>
          <w:bottom w:w="0" w:type="dxa"/>
          <w:right w:w="108" w:type="dxa"/>
        </w:tblCellMar>
      </w:tblPr>
      <w:tblGrid>
        <w:gridCol w:w="1065"/>
        <w:gridCol w:w="2276"/>
        <w:gridCol w:w="6023"/>
      </w:tblGrid>
      <w:tr w14:paraId="73F3CC35">
        <w:tblPrEx>
          <w:tblCellMar>
            <w:top w:w="0" w:type="dxa"/>
            <w:left w:w="108" w:type="dxa"/>
            <w:bottom w:w="0" w:type="dxa"/>
            <w:right w:w="108" w:type="dxa"/>
          </w:tblCellMar>
        </w:tblPrEx>
        <w:trPr>
          <w:trHeight w:val="1040" w:hRule="atLeast"/>
          <w:jc w:val="center"/>
        </w:trPr>
        <w:tc>
          <w:tcPr>
            <w:tcW w:w="9364" w:type="dxa"/>
            <w:gridSpan w:val="3"/>
            <w:tcBorders>
              <w:top w:val="single" w:color="auto" w:sz="4" w:space="0"/>
              <w:left w:val="single" w:color="auto" w:sz="4" w:space="0"/>
              <w:bottom w:val="single" w:color="auto" w:sz="4" w:space="0"/>
              <w:right w:val="single" w:color="auto" w:sz="4" w:space="0"/>
            </w:tcBorders>
            <w:vAlign w:val="center"/>
          </w:tcPr>
          <w:p w14:paraId="39332272">
            <w:pPr>
              <w:widowControl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施甸县2025年水利工程白蚁等害堤动物防治项目</w:t>
            </w:r>
            <w:r>
              <w:rPr>
                <w:rFonts w:hint="eastAsia" w:ascii="宋体" w:hAnsi="宋体" w:cs="宋体"/>
                <w:color w:val="000000" w:themeColor="text1"/>
                <w:highlight w:val="none"/>
                <w:lang w:val="zh-CN"/>
                <w14:textFill>
                  <w14:solidFill>
                    <w14:schemeClr w14:val="tx1"/>
                  </w14:solidFill>
                </w14:textFill>
              </w:rPr>
              <w:t xml:space="preserve"> </w:t>
            </w:r>
          </w:p>
        </w:tc>
      </w:tr>
      <w:tr w14:paraId="41DF29D9">
        <w:tblPrEx>
          <w:tblCellMar>
            <w:top w:w="0" w:type="dxa"/>
            <w:left w:w="108" w:type="dxa"/>
            <w:bottom w:w="0" w:type="dxa"/>
            <w:right w:w="108" w:type="dxa"/>
          </w:tblCellMar>
        </w:tblPrEx>
        <w:trPr>
          <w:trHeight w:val="685"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18D42C6D">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299" w:type="dxa"/>
            <w:gridSpan w:val="2"/>
            <w:tcBorders>
              <w:top w:val="single" w:color="auto" w:sz="4" w:space="0"/>
              <w:left w:val="single" w:color="auto" w:sz="4" w:space="0"/>
              <w:bottom w:val="single" w:color="auto" w:sz="4" w:space="0"/>
              <w:right w:val="single" w:color="auto" w:sz="4" w:space="0"/>
            </w:tcBorders>
            <w:vAlign w:val="center"/>
          </w:tcPr>
          <w:p w14:paraId="4E61965A">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报价内容</w:t>
            </w:r>
          </w:p>
        </w:tc>
      </w:tr>
      <w:tr w14:paraId="091CF782">
        <w:tblPrEx>
          <w:tblCellMar>
            <w:top w:w="0" w:type="dxa"/>
            <w:left w:w="108" w:type="dxa"/>
            <w:bottom w:w="0" w:type="dxa"/>
            <w:right w:w="108" w:type="dxa"/>
          </w:tblCellMar>
        </w:tblPrEx>
        <w:trPr>
          <w:trHeight w:val="1178"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088B715C">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276" w:type="dxa"/>
            <w:tcBorders>
              <w:top w:val="single" w:color="auto" w:sz="4" w:space="0"/>
              <w:left w:val="single" w:color="auto" w:sz="4" w:space="0"/>
              <w:bottom w:val="single" w:color="auto" w:sz="4" w:space="0"/>
              <w:right w:val="single" w:color="auto" w:sz="4" w:space="0"/>
            </w:tcBorders>
            <w:vAlign w:val="center"/>
          </w:tcPr>
          <w:p w14:paraId="6EEBB8BB">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总报价</w:t>
            </w:r>
          </w:p>
        </w:tc>
        <w:tc>
          <w:tcPr>
            <w:tcW w:w="6023" w:type="dxa"/>
            <w:tcBorders>
              <w:top w:val="single" w:color="auto" w:sz="4" w:space="0"/>
              <w:left w:val="single" w:color="auto" w:sz="4" w:space="0"/>
              <w:bottom w:val="single" w:color="auto" w:sz="4" w:space="0"/>
              <w:right w:val="single" w:color="auto" w:sz="4" w:space="0"/>
            </w:tcBorders>
            <w:vAlign w:val="center"/>
          </w:tcPr>
          <w:p w14:paraId="518E859B">
            <w:pPr>
              <w:widowControl w:val="0"/>
              <w:rPr>
                <w:rFonts w:ascii="宋体" w:hAnsi="宋体" w:cs="宋体"/>
                <w:color w:val="000000" w:themeColor="text1"/>
                <w:highlight w:val="none"/>
                <w14:textFill>
                  <w14:solidFill>
                    <w14:schemeClr w14:val="tx1"/>
                  </w14:solidFill>
                </w14:textFill>
              </w:rPr>
            </w:pPr>
          </w:p>
        </w:tc>
      </w:tr>
      <w:tr w14:paraId="5D6A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65" w:type="dxa"/>
            <w:tcBorders>
              <w:top w:val="single" w:color="auto" w:sz="4" w:space="0"/>
              <w:bottom w:val="single" w:color="auto" w:sz="4" w:space="0"/>
              <w:right w:val="single" w:color="auto" w:sz="4" w:space="0"/>
            </w:tcBorders>
            <w:vAlign w:val="center"/>
          </w:tcPr>
          <w:p w14:paraId="13FA49AF">
            <w:pPr>
              <w:widowControl w:val="0"/>
              <w:spacing w:line="2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276" w:type="dxa"/>
            <w:tcBorders>
              <w:top w:val="single" w:color="auto" w:sz="4" w:space="0"/>
              <w:left w:val="single" w:color="auto" w:sz="4" w:space="0"/>
              <w:bottom w:val="single" w:color="auto" w:sz="4" w:space="0"/>
              <w:right w:val="single" w:color="auto" w:sz="4" w:space="0"/>
            </w:tcBorders>
            <w:vAlign w:val="center"/>
          </w:tcPr>
          <w:p w14:paraId="2FD06195">
            <w:pPr>
              <w:widowControl w:val="0"/>
              <w:spacing w:line="2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工</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期</w:t>
            </w:r>
          </w:p>
        </w:tc>
        <w:tc>
          <w:tcPr>
            <w:tcW w:w="6023" w:type="dxa"/>
            <w:tcBorders>
              <w:top w:val="single" w:color="auto" w:sz="4" w:space="0"/>
              <w:left w:val="single" w:color="auto" w:sz="4" w:space="0"/>
              <w:bottom w:val="single" w:color="auto" w:sz="4" w:space="0"/>
            </w:tcBorders>
            <w:vAlign w:val="center"/>
          </w:tcPr>
          <w:p w14:paraId="2AB28616">
            <w:pPr>
              <w:widowControl w:val="0"/>
              <w:spacing w:line="280" w:lineRule="exact"/>
              <w:rPr>
                <w:rFonts w:ascii="宋体" w:hAnsi="宋体" w:cs="宋体"/>
                <w:color w:val="000000" w:themeColor="text1"/>
                <w:highlight w:val="none"/>
                <w14:textFill>
                  <w14:solidFill>
                    <w14:schemeClr w14:val="tx1"/>
                  </w14:solidFill>
                </w14:textFill>
              </w:rPr>
            </w:pPr>
          </w:p>
        </w:tc>
      </w:tr>
      <w:tr w14:paraId="507614C5">
        <w:tblPrEx>
          <w:tblCellMar>
            <w:top w:w="0" w:type="dxa"/>
            <w:left w:w="108" w:type="dxa"/>
            <w:bottom w:w="0" w:type="dxa"/>
            <w:right w:w="108" w:type="dxa"/>
          </w:tblCellMar>
        </w:tblPrEx>
        <w:trPr>
          <w:trHeight w:val="828"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0A5B316F">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276" w:type="dxa"/>
            <w:tcBorders>
              <w:top w:val="single" w:color="auto" w:sz="4" w:space="0"/>
              <w:left w:val="single" w:color="auto" w:sz="4" w:space="0"/>
              <w:bottom w:val="single" w:color="auto" w:sz="4" w:space="0"/>
              <w:right w:val="single" w:color="auto" w:sz="4" w:space="0"/>
            </w:tcBorders>
            <w:vAlign w:val="center"/>
          </w:tcPr>
          <w:p w14:paraId="73285559">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质量承诺</w:t>
            </w:r>
          </w:p>
        </w:tc>
        <w:tc>
          <w:tcPr>
            <w:tcW w:w="6023" w:type="dxa"/>
            <w:tcBorders>
              <w:top w:val="single" w:color="auto" w:sz="4" w:space="0"/>
              <w:left w:val="single" w:color="auto" w:sz="4" w:space="0"/>
              <w:bottom w:val="single" w:color="auto" w:sz="4" w:space="0"/>
              <w:right w:val="single" w:color="auto" w:sz="4" w:space="0"/>
            </w:tcBorders>
            <w:vAlign w:val="center"/>
          </w:tcPr>
          <w:p w14:paraId="4CE24382">
            <w:pPr>
              <w:widowControl w:val="0"/>
              <w:jc w:val="center"/>
              <w:rPr>
                <w:rFonts w:ascii="宋体" w:hAnsi="宋体" w:cs="宋体"/>
                <w:color w:val="000000" w:themeColor="text1"/>
                <w:highlight w:val="none"/>
                <w14:textFill>
                  <w14:solidFill>
                    <w14:schemeClr w14:val="tx1"/>
                  </w14:solidFill>
                </w14:textFill>
              </w:rPr>
            </w:pPr>
          </w:p>
        </w:tc>
      </w:tr>
      <w:tr w14:paraId="42221A2C">
        <w:tblPrEx>
          <w:tblCellMar>
            <w:top w:w="0" w:type="dxa"/>
            <w:left w:w="108" w:type="dxa"/>
            <w:bottom w:w="0" w:type="dxa"/>
            <w:right w:w="108" w:type="dxa"/>
          </w:tblCellMar>
        </w:tblPrEx>
        <w:trPr>
          <w:trHeight w:val="828"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038FBA2B">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276" w:type="dxa"/>
            <w:tcBorders>
              <w:top w:val="single" w:color="auto" w:sz="4" w:space="0"/>
              <w:left w:val="single" w:color="auto" w:sz="4" w:space="0"/>
              <w:bottom w:val="single" w:color="auto" w:sz="4" w:space="0"/>
              <w:right w:val="single" w:color="auto" w:sz="4" w:space="0"/>
            </w:tcBorders>
            <w:vAlign w:val="center"/>
          </w:tcPr>
          <w:p w14:paraId="6516A041">
            <w:pPr>
              <w:widowControl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w:t>
            </w:r>
            <w:r>
              <w:rPr>
                <w:rFonts w:hint="eastAsia" w:ascii="宋体" w:hAnsi="宋体" w:cs="宋体"/>
                <w:color w:val="000000" w:themeColor="text1"/>
                <w:highlight w:val="none"/>
                <w:lang w:val="en-US" w:eastAsia="zh-CN"/>
                <w14:textFill>
                  <w14:solidFill>
                    <w14:schemeClr w14:val="tx1"/>
                  </w14:solidFill>
                </w14:textFill>
              </w:rPr>
              <w:t>负责人</w:t>
            </w:r>
          </w:p>
        </w:tc>
        <w:tc>
          <w:tcPr>
            <w:tcW w:w="6023" w:type="dxa"/>
            <w:tcBorders>
              <w:top w:val="single" w:color="auto" w:sz="4" w:space="0"/>
              <w:left w:val="single" w:color="auto" w:sz="4" w:space="0"/>
              <w:bottom w:val="single" w:color="auto" w:sz="4" w:space="0"/>
              <w:right w:val="single" w:color="auto" w:sz="4" w:space="0"/>
            </w:tcBorders>
            <w:vAlign w:val="center"/>
          </w:tcPr>
          <w:p w14:paraId="14D5D628">
            <w:pPr>
              <w:spacing w:line="360" w:lineRule="exact"/>
              <w:rPr>
                <w:rFonts w:hint="eastAsia" w:ascii="宋体" w:hAnsi="宋体" w:cs="宋体"/>
                <w:color w:val="000000" w:themeColor="text1"/>
                <w:highlight w:val="none"/>
                <w14:textFill>
                  <w14:solidFill>
                    <w14:schemeClr w14:val="tx1"/>
                  </w14:solidFill>
                </w14:textFill>
              </w:rPr>
            </w:pPr>
          </w:p>
          <w:p w14:paraId="0AE75F26">
            <w:pPr>
              <w:spacing w:line="36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14:paraId="59C7C959">
            <w:pPr>
              <w:widowControl w:val="0"/>
              <w:jc w:val="both"/>
              <w:rPr>
                <w:rFonts w:ascii="宋体" w:hAnsi="宋体" w:cs="宋体"/>
                <w:color w:val="000000" w:themeColor="text1"/>
                <w:highlight w:val="none"/>
                <w14:textFill>
                  <w14:solidFill>
                    <w14:schemeClr w14:val="tx1"/>
                  </w14:solidFill>
                </w14:textFill>
              </w:rPr>
            </w:pPr>
          </w:p>
        </w:tc>
      </w:tr>
      <w:tr w14:paraId="7B5B14FA">
        <w:tblPrEx>
          <w:tblCellMar>
            <w:top w:w="0" w:type="dxa"/>
            <w:left w:w="108" w:type="dxa"/>
            <w:bottom w:w="0" w:type="dxa"/>
            <w:right w:w="108" w:type="dxa"/>
          </w:tblCellMar>
        </w:tblPrEx>
        <w:trPr>
          <w:trHeight w:val="828"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4B22799B">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276" w:type="dxa"/>
            <w:tcBorders>
              <w:top w:val="single" w:color="auto" w:sz="4" w:space="0"/>
              <w:left w:val="single" w:color="auto" w:sz="4" w:space="0"/>
              <w:bottom w:val="single" w:color="auto" w:sz="4" w:space="0"/>
              <w:right w:val="single" w:color="auto" w:sz="4" w:space="0"/>
            </w:tcBorders>
            <w:vAlign w:val="center"/>
          </w:tcPr>
          <w:p w14:paraId="6CB0C51B">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磋商保证金</w:t>
            </w:r>
          </w:p>
        </w:tc>
        <w:tc>
          <w:tcPr>
            <w:tcW w:w="6023" w:type="dxa"/>
            <w:tcBorders>
              <w:top w:val="single" w:color="auto" w:sz="4" w:space="0"/>
              <w:left w:val="single" w:color="auto" w:sz="4" w:space="0"/>
              <w:bottom w:val="single" w:color="auto" w:sz="4" w:space="0"/>
              <w:right w:val="single" w:color="auto" w:sz="4" w:space="0"/>
            </w:tcBorders>
            <w:vAlign w:val="center"/>
          </w:tcPr>
          <w:p w14:paraId="6FD5B3D8">
            <w:pPr>
              <w:widowControl w:val="0"/>
              <w:jc w:val="center"/>
              <w:rPr>
                <w:rFonts w:ascii="宋体" w:hAnsi="宋体" w:cs="宋体"/>
                <w:color w:val="000000" w:themeColor="text1"/>
                <w:highlight w:val="none"/>
                <w14:textFill>
                  <w14:solidFill>
                    <w14:schemeClr w14:val="tx1"/>
                  </w14:solidFill>
                </w14:textFill>
              </w:rPr>
            </w:pPr>
          </w:p>
        </w:tc>
      </w:tr>
      <w:tr w14:paraId="79507028">
        <w:tblPrEx>
          <w:tblCellMar>
            <w:top w:w="0" w:type="dxa"/>
            <w:left w:w="108" w:type="dxa"/>
            <w:bottom w:w="0" w:type="dxa"/>
            <w:right w:w="108" w:type="dxa"/>
          </w:tblCellMar>
        </w:tblPrEx>
        <w:trPr>
          <w:trHeight w:val="828"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5AB57736">
            <w:pPr>
              <w:widowControl w:val="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2276" w:type="dxa"/>
            <w:tcBorders>
              <w:top w:val="single" w:color="auto" w:sz="4" w:space="0"/>
              <w:left w:val="single" w:color="auto" w:sz="4" w:space="0"/>
              <w:bottom w:val="single" w:color="auto" w:sz="4" w:space="0"/>
              <w:right w:val="single" w:color="auto" w:sz="4" w:space="0"/>
            </w:tcBorders>
            <w:vAlign w:val="center"/>
          </w:tcPr>
          <w:p w14:paraId="5BA7FFB9">
            <w:pPr>
              <w:widowControl w:val="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保证金缴纳方式</w:t>
            </w:r>
          </w:p>
        </w:tc>
        <w:tc>
          <w:tcPr>
            <w:tcW w:w="6023" w:type="dxa"/>
            <w:tcBorders>
              <w:top w:val="single" w:color="auto" w:sz="4" w:space="0"/>
              <w:left w:val="single" w:color="auto" w:sz="4" w:space="0"/>
              <w:bottom w:val="single" w:color="auto" w:sz="4" w:space="0"/>
              <w:right w:val="single" w:color="auto" w:sz="4" w:space="0"/>
            </w:tcBorders>
            <w:vAlign w:val="center"/>
          </w:tcPr>
          <w:p w14:paraId="1ABA01B1">
            <w:pPr>
              <w:widowControl w:val="0"/>
              <w:jc w:val="center"/>
              <w:rPr>
                <w:rFonts w:ascii="宋体" w:hAnsi="宋体" w:cs="宋体"/>
                <w:color w:val="000000" w:themeColor="text1"/>
                <w:highlight w:val="none"/>
                <w14:textFill>
                  <w14:solidFill>
                    <w14:schemeClr w14:val="tx1"/>
                  </w14:solidFill>
                </w14:textFill>
              </w:rPr>
            </w:pPr>
          </w:p>
        </w:tc>
      </w:tr>
      <w:tr w14:paraId="32E89650">
        <w:tblPrEx>
          <w:tblCellMar>
            <w:top w:w="0" w:type="dxa"/>
            <w:left w:w="108" w:type="dxa"/>
            <w:bottom w:w="0" w:type="dxa"/>
            <w:right w:w="108" w:type="dxa"/>
          </w:tblCellMar>
        </w:tblPrEx>
        <w:trPr>
          <w:trHeight w:val="828"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14:paraId="032821D2">
            <w:pPr>
              <w:widowControl w:val="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p>
        </w:tc>
        <w:tc>
          <w:tcPr>
            <w:tcW w:w="2276" w:type="dxa"/>
            <w:tcBorders>
              <w:top w:val="single" w:color="auto" w:sz="4" w:space="0"/>
              <w:left w:val="single" w:color="auto" w:sz="4" w:space="0"/>
              <w:bottom w:val="single" w:color="auto" w:sz="4" w:space="0"/>
              <w:right w:val="single" w:color="auto" w:sz="4" w:space="0"/>
            </w:tcBorders>
            <w:vAlign w:val="center"/>
          </w:tcPr>
          <w:p w14:paraId="1DBD2784">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6023" w:type="dxa"/>
            <w:tcBorders>
              <w:top w:val="single" w:color="auto" w:sz="4" w:space="0"/>
              <w:left w:val="single" w:color="auto" w:sz="4" w:space="0"/>
              <w:bottom w:val="single" w:color="auto" w:sz="4" w:space="0"/>
              <w:right w:val="single" w:color="auto" w:sz="4" w:space="0"/>
            </w:tcBorders>
            <w:vAlign w:val="center"/>
          </w:tcPr>
          <w:p w14:paraId="31E108DE">
            <w:pPr>
              <w:widowControl w:val="0"/>
              <w:jc w:val="center"/>
              <w:rPr>
                <w:rFonts w:ascii="宋体" w:hAnsi="宋体" w:cs="宋体"/>
                <w:color w:val="000000" w:themeColor="text1"/>
                <w:highlight w:val="none"/>
                <w14:textFill>
                  <w14:solidFill>
                    <w14:schemeClr w14:val="tx1"/>
                  </w14:solidFill>
                </w14:textFill>
              </w:rPr>
            </w:pPr>
          </w:p>
        </w:tc>
      </w:tr>
    </w:tbl>
    <w:p w14:paraId="5DCDCC42">
      <w:pPr>
        <w:widowControl w:val="0"/>
        <w:rPr>
          <w:rFonts w:ascii="宋体" w:hAnsi="宋体" w:cs="宋体"/>
          <w:color w:val="000000" w:themeColor="text1"/>
          <w:highlight w:val="none"/>
          <w14:textFill>
            <w14:solidFill>
              <w14:schemeClr w14:val="tx1"/>
            </w14:solidFill>
          </w14:textFill>
        </w:rPr>
      </w:pPr>
    </w:p>
    <w:p w14:paraId="3C5A4AD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（盖章）</w:t>
      </w:r>
    </w:p>
    <w:p w14:paraId="4698456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u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none"/>
          <w14:textFill>
            <w14:solidFill>
              <w14:schemeClr w14:val="tx1"/>
            </w14:solidFill>
          </w14:textFill>
        </w:rPr>
        <w:t>（签字或盖章）</w:t>
      </w:r>
    </w:p>
    <w:p w14:paraId="3F92085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5BB2F4CA">
      <w:pPr>
        <w:widowControl w:val="0"/>
        <w:spacing w:line="360" w:lineRule="auto"/>
        <w:ind w:left="-482" w:leftChars="-201" w:firstLine="564" w:firstLineChars="234"/>
        <w:rPr>
          <w:rFonts w:hint="eastAsia" w:ascii="宋体" w:hAnsi="宋体" w:cs="宋体"/>
          <w:b/>
          <w:bCs/>
          <w:color w:val="000000" w:themeColor="text1"/>
          <w:highlight w:val="none"/>
          <w14:textFill>
            <w14:solidFill>
              <w14:schemeClr w14:val="tx1"/>
            </w14:solidFill>
          </w14:textFill>
        </w:rPr>
      </w:pPr>
    </w:p>
    <w:p w14:paraId="2CCE4F68">
      <w:pPr>
        <w:widowControl w:val="0"/>
        <w:spacing w:line="360" w:lineRule="auto"/>
        <w:ind w:left="-482" w:leftChars="-201" w:firstLine="564" w:firstLineChars="234"/>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注：1、表中“</w:t>
      </w: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14:textFill>
            <w14:solidFill>
              <w14:schemeClr w14:val="tx1"/>
            </w14:solidFill>
          </w14:textFill>
        </w:rPr>
        <w:t>总报价”应与 “</w:t>
      </w: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14:textFill>
            <w14:solidFill>
              <w14:schemeClr w14:val="tx1"/>
            </w14:solidFill>
          </w14:textFill>
        </w:rPr>
        <w:t>函”中“</w:t>
      </w: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14:textFill>
            <w14:solidFill>
              <w14:schemeClr w14:val="tx1"/>
            </w14:solidFill>
          </w14:textFill>
        </w:rPr>
        <w:t>总报价”一致。</w:t>
      </w:r>
    </w:p>
    <w:p w14:paraId="671B9E9D">
      <w:pPr>
        <w:widowControl w:val="0"/>
        <w:numPr>
          <w:ilvl w:val="0"/>
          <w:numId w:val="9"/>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14:textFill>
            <w14:solidFill>
              <w14:schemeClr w14:val="tx1"/>
            </w14:solidFill>
          </w14:textFill>
        </w:rPr>
        <w:t>报价为综合总报价，包括竞争性磋商文件中提到的或没有提到的各种费用。（即凡</w:t>
      </w:r>
      <w:r>
        <w:rPr>
          <w:rFonts w:hint="eastAsia" w:ascii="宋体" w:hAnsi="宋体" w:cs="宋体"/>
          <w:b/>
          <w:bCs/>
          <w:color w:val="000000" w:themeColor="text1"/>
          <w:highlight w:val="none"/>
          <w:lang w:eastAsia="zh-CN"/>
          <w14:textFill>
            <w14:solidFill>
              <w14:schemeClr w14:val="tx1"/>
            </w14:solidFill>
          </w14:textFill>
        </w:rPr>
        <w:t>供应商响应</w:t>
      </w:r>
      <w:r>
        <w:rPr>
          <w:rFonts w:hint="eastAsia" w:ascii="宋体" w:hAnsi="宋体" w:cs="宋体"/>
          <w:b/>
          <w:bCs/>
          <w:color w:val="000000" w:themeColor="text1"/>
          <w:highlight w:val="none"/>
          <w14:textFill>
            <w14:solidFill>
              <w14:schemeClr w14:val="tx1"/>
            </w14:solidFill>
          </w14:textFill>
        </w:rPr>
        <w:t>文件中承诺或涉及的或者是完成本项目必需的费用及</w:t>
      </w:r>
      <w:r>
        <w:rPr>
          <w:rFonts w:hint="eastAsia" w:ascii="宋体" w:hAnsi="宋体" w:cs="宋体"/>
          <w:b/>
          <w:bCs/>
          <w:color w:val="000000" w:themeColor="text1"/>
          <w:highlight w:val="none"/>
          <w:lang w:eastAsia="zh-CN"/>
          <w14:textFill>
            <w14:solidFill>
              <w14:schemeClr w14:val="tx1"/>
            </w14:solidFill>
          </w14:textFill>
        </w:rPr>
        <w:t>供应商</w:t>
      </w:r>
      <w:r>
        <w:rPr>
          <w:rFonts w:hint="eastAsia" w:ascii="宋体" w:hAnsi="宋体" w:cs="宋体"/>
          <w:b/>
          <w:bCs/>
          <w:color w:val="000000" w:themeColor="text1"/>
          <w:highlight w:val="none"/>
          <w14:textFill>
            <w14:solidFill>
              <w14:schemeClr w14:val="tx1"/>
            </w14:solidFill>
          </w14:textFill>
        </w:rPr>
        <w:t>为完成本项目漏报的费用，均视为已包括在</w:t>
      </w:r>
      <w:r>
        <w:rPr>
          <w:rFonts w:hint="eastAsia" w:ascii="宋体" w:hAnsi="宋体" w:cs="宋体"/>
          <w:b/>
          <w:bCs/>
          <w:color w:val="000000" w:themeColor="text1"/>
          <w:highlight w:val="none"/>
          <w:lang w:eastAsia="zh-CN"/>
          <w14:textFill>
            <w14:solidFill>
              <w14:schemeClr w14:val="tx1"/>
            </w14:solidFill>
          </w14:textFill>
        </w:rPr>
        <w:t>磋商</w:t>
      </w:r>
      <w:r>
        <w:rPr>
          <w:rFonts w:hint="eastAsia" w:ascii="宋体" w:hAnsi="宋体" w:cs="宋体"/>
          <w:b/>
          <w:bCs/>
          <w:color w:val="000000" w:themeColor="text1"/>
          <w:highlight w:val="none"/>
          <w14:textFill>
            <w14:solidFill>
              <w14:schemeClr w14:val="tx1"/>
            </w14:solidFill>
          </w14:textFill>
        </w:rPr>
        <w:t>总报价或相应项目的单价中</w:t>
      </w:r>
      <w:bookmarkEnd w:id="118"/>
      <w:bookmarkEnd w:id="119"/>
      <w:bookmarkEnd w:id="120"/>
      <w:bookmarkStart w:id="124" w:name="_Toc256"/>
      <w:bookmarkStart w:id="125" w:name="_Toc66736824"/>
      <w:bookmarkStart w:id="126" w:name="_Toc28177"/>
      <w:bookmarkStart w:id="127" w:name="_Toc66457136"/>
      <w:r>
        <w:rPr>
          <w:rFonts w:hint="eastAsia" w:ascii="宋体" w:hAnsi="宋体" w:cs="宋体"/>
          <w:b/>
          <w:bCs/>
          <w:color w:val="000000" w:themeColor="text1"/>
          <w:highlight w:val="none"/>
          <w14:textFill>
            <w14:solidFill>
              <w14:schemeClr w14:val="tx1"/>
            </w14:solidFill>
          </w14:textFill>
        </w:rPr>
        <w:t>）</w:t>
      </w:r>
    </w:p>
    <w:p w14:paraId="590C6AE7">
      <w:pPr>
        <w:pStyle w:val="581"/>
        <w:widowControl w:val="0"/>
        <w:ind w:firstLine="0" w:firstLineChars="0"/>
        <w:jc w:val="center"/>
        <w:rPr>
          <w:rFonts w:ascii="宋体" w:hAnsi="宋体" w:eastAsia="宋体" w:cs="宋体"/>
          <w:color w:val="000000" w:themeColor="text1"/>
          <w:szCs w:val="24"/>
          <w:highlight w:val="none"/>
          <w14:textFill>
            <w14:solidFill>
              <w14:schemeClr w14:val="tx1"/>
            </w14:solidFill>
          </w14:textFill>
        </w:rPr>
      </w:pPr>
    </w:p>
    <w:p w14:paraId="071B780F">
      <w:pPr>
        <w:pStyle w:val="577"/>
        <w:rPr>
          <w:color w:val="000000" w:themeColor="text1"/>
          <w:highlight w:val="none"/>
          <w14:textFill>
            <w14:solidFill>
              <w14:schemeClr w14:val="tx1"/>
            </w14:solidFill>
          </w14:textFill>
        </w:rPr>
      </w:pPr>
    </w:p>
    <w:p w14:paraId="6E2C0AEE">
      <w:pPr>
        <w:pStyle w:val="581"/>
        <w:widowControl w:val="0"/>
        <w:numPr>
          <w:ilvl w:val="0"/>
          <w:numId w:val="10"/>
        </w:numPr>
        <w:ind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基本情况表</w:t>
      </w:r>
      <w:bookmarkEnd w:id="124"/>
      <w:bookmarkEnd w:id="125"/>
      <w:bookmarkEnd w:id="126"/>
      <w:bookmarkEnd w:id="127"/>
    </w:p>
    <w:p w14:paraId="78FA3755">
      <w:pPr>
        <w:pStyle w:val="577"/>
        <w:numPr>
          <w:ilvl w:val="0"/>
          <w:numId w:val="0"/>
        </w:numPr>
      </w:pPr>
    </w:p>
    <w:tbl>
      <w:tblPr>
        <w:tblStyle w:val="51"/>
        <w:tblW w:w="86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80"/>
        <w:gridCol w:w="1559"/>
        <w:gridCol w:w="1308"/>
        <w:gridCol w:w="1811"/>
        <w:gridCol w:w="1560"/>
      </w:tblGrid>
      <w:tr w14:paraId="62ADE3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tcBorders>
              <w:top w:val="single" w:color="auto" w:sz="6" w:space="0"/>
              <w:left w:val="thinThickSmallGap" w:color="auto" w:sz="12" w:space="0"/>
              <w:bottom w:val="single" w:color="auto" w:sz="6" w:space="0"/>
              <w:right w:val="single" w:color="auto" w:sz="6" w:space="0"/>
            </w:tcBorders>
            <w:vAlign w:val="center"/>
          </w:tcPr>
          <w:p w14:paraId="6FFD66A3">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名称</w:t>
            </w:r>
          </w:p>
        </w:tc>
        <w:tc>
          <w:tcPr>
            <w:tcW w:w="6238" w:type="dxa"/>
            <w:gridSpan w:val="4"/>
            <w:tcBorders>
              <w:top w:val="single" w:color="auto" w:sz="6" w:space="0"/>
              <w:left w:val="single" w:color="auto" w:sz="6" w:space="0"/>
              <w:bottom w:val="single" w:color="auto" w:sz="6" w:space="0"/>
              <w:right w:val="thickThinSmallGap" w:color="auto" w:sz="12" w:space="0"/>
            </w:tcBorders>
            <w:vAlign w:val="center"/>
          </w:tcPr>
          <w:p w14:paraId="3A195798">
            <w:pPr>
              <w:widowControl w:val="0"/>
              <w:rPr>
                <w:rFonts w:ascii="宋体" w:hAnsi="宋体" w:cs="宋体"/>
                <w:color w:val="000000" w:themeColor="text1"/>
                <w:highlight w:val="none"/>
                <w14:textFill>
                  <w14:solidFill>
                    <w14:schemeClr w14:val="tx1"/>
                  </w14:solidFill>
                </w14:textFill>
              </w:rPr>
            </w:pPr>
          </w:p>
        </w:tc>
      </w:tr>
      <w:tr w14:paraId="05D456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1A91E845">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注册地址</w:t>
            </w:r>
          </w:p>
        </w:tc>
        <w:tc>
          <w:tcPr>
            <w:tcW w:w="2867" w:type="dxa"/>
            <w:gridSpan w:val="2"/>
            <w:vAlign w:val="center"/>
          </w:tcPr>
          <w:p w14:paraId="0DFE9AEB">
            <w:pPr>
              <w:widowControl w:val="0"/>
              <w:jc w:val="center"/>
              <w:rPr>
                <w:rFonts w:ascii="宋体" w:hAnsi="宋体" w:cs="宋体"/>
                <w:color w:val="000000" w:themeColor="text1"/>
                <w:highlight w:val="none"/>
                <w14:textFill>
                  <w14:solidFill>
                    <w14:schemeClr w14:val="tx1"/>
                  </w14:solidFill>
                </w14:textFill>
              </w:rPr>
            </w:pPr>
          </w:p>
        </w:tc>
        <w:tc>
          <w:tcPr>
            <w:tcW w:w="1811" w:type="dxa"/>
            <w:vAlign w:val="center"/>
          </w:tcPr>
          <w:p w14:paraId="6E43F14A">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p>
        </w:tc>
        <w:tc>
          <w:tcPr>
            <w:tcW w:w="1560" w:type="dxa"/>
            <w:vAlign w:val="center"/>
          </w:tcPr>
          <w:p w14:paraId="6D1DD85F">
            <w:pPr>
              <w:widowControl w:val="0"/>
              <w:jc w:val="center"/>
              <w:rPr>
                <w:rFonts w:ascii="宋体" w:hAnsi="宋体" w:cs="宋体"/>
                <w:color w:val="000000" w:themeColor="text1"/>
                <w:highlight w:val="none"/>
                <w14:textFill>
                  <w14:solidFill>
                    <w14:schemeClr w14:val="tx1"/>
                  </w14:solidFill>
                </w14:textFill>
              </w:rPr>
            </w:pPr>
          </w:p>
        </w:tc>
      </w:tr>
      <w:tr w14:paraId="0680483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Merge w:val="restart"/>
            <w:vAlign w:val="center"/>
          </w:tcPr>
          <w:p w14:paraId="260D10DE">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w:t>
            </w:r>
          </w:p>
        </w:tc>
        <w:tc>
          <w:tcPr>
            <w:tcW w:w="1559" w:type="dxa"/>
            <w:vAlign w:val="center"/>
          </w:tcPr>
          <w:p w14:paraId="15B705D6">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p>
        </w:tc>
        <w:tc>
          <w:tcPr>
            <w:tcW w:w="1308" w:type="dxa"/>
            <w:vAlign w:val="center"/>
          </w:tcPr>
          <w:p w14:paraId="0D9CDE81">
            <w:pPr>
              <w:widowControl w:val="0"/>
              <w:jc w:val="center"/>
              <w:rPr>
                <w:rFonts w:ascii="宋体" w:hAnsi="宋体" w:cs="宋体"/>
                <w:color w:val="000000" w:themeColor="text1"/>
                <w:highlight w:val="none"/>
                <w14:textFill>
                  <w14:solidFill>
                    <w14:schemeClr w14:val="tx1"/>
                  </w14:solidFill>
                </w14:textFill>
              </w:rPr>
            </w:pPr>
          </w:p>
        </w:tc>
        <w:tc>
          <w:tcPr>
            <w:tcW w:w="1811" w:type="dxa"/>
            <w:vAlign w:val="center"/>
          </w:tcPr>
          <w:p w14:paraId="5E926CAA">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w:t>
            </w:r>
          </w:p>
        </w:tc>
        <w:tc>
          <w:tcPr>
            <w:tcW w:w="1560" w:type="dxa"/>
            <w:vAlign w:val="center"/>
          </w:tcPr>
          <w:p w14:paraId="24E0A4EF">
            <w:pPr>
              <w:widowControl w:val="0"/>
              <w:jc w:val="center"/>
              <w:rPr>
                <w:rFonts w:ascii="宋体" w:hAnsi="宋体" w:cs="宋体"/>
                <w:color w:val="000000" w:themeColor="text1"/>
                <w:highlight w:val="none"/>
                <w14:textFill>
                  <w14:solidFill>
                    <w14:schemeClr w14:val="tx1"/>
                  </w14:solidFill>
                </w14:textFill>
              </w:rPr>
            </w:pPr>
          </w:p>
        </w:tc>
      </w:tr>
      <w:tr w14:paraId="1E757F4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Merge w:val="continue"/>
            <w:vAlign w:val="center"/>
          </w:tcPr>
          <w:p w14:paraId="771E0D2D">
            <w:pPr>
              <w:widowControl w:val="0"/>
              <w:jc w:val="center"/>
              <w:rPr>
                <w:rFonts w:ascii="宋体" w:hAnsi="宋体" w:cs="宋体"/>
                <w:color w:val="000000" w:themeColor="text1"/>
                <w:highlight w:val="none"/>
                <w14:textFill>
                  <w14:solidFill>
                    <w14:schemeClr w14:val="tx1"/>
                  </w14:solidFill>
                </w14:textFill>
              </w:rPr>
            </w:pPr>
          </w:p>
        </w:tc>
        <w:tc>
          <w:tcPr>
            <w:tcW w:w="1559" w:type="dxa"/>
            <w:vAlign w:val="center"/>
          </w:tcPr>
          <w:p w14:paraId="1D19AFDE">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p>
        </w:tc>
        <w:tc>
          <w:tcPr>
            <w:tcW w:w="1308" w:type="dxa"/>
            <w:vAlign w:val="center"/>
          </w:tcPr>
          <w:p w14:paraId="6A614DE2">
            <w:pPr>
              <w:widowControl w:val="0"/>
              <w:jc w:val="center"/>
              <w:rPr>
                <w:rFonts w:ascii="宋体" w:hAnsi="宋体" w:cs="宋体"/>
                <w:color w:val="000000" w:themeColor="text1"/>
                <w:highlight w:val="none"/>
                <w14:textFill>
                  <w14:solidFill>
                    <w14:schemeClr w14:val="tx1"/>
                  </w14:solidFill>
                </w14:textFill>
              </w:rPr>
            </w:pPr>
          </w:p>
        </w:tc>
        <w:tc>
          <w:tcPr>
            <w:tcW w:w="1811" w:type="dxa"/>
            <w:vAlign w:val="center"/>
          </w:tcPr>
          <w:p w14:paraId="533CE71B">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电子邮件</w:t>
            </w:r>
          </w:p>
        </w:tc>
        <w:tc>
          <w:tcPr>
            <w:tcW w:w="1560" w:type="dxa"/>
            <w:vAlign w:val="center"/>
          </w:tcPr>
          <w:p w14:paraId="74654B1E">
            <w:pPr>
              <w:widowControl w:val="0"/>
              <w:jc w:val="center"/>
              <w:rPr>
                <w:rFonts w:ascii="宋体" w:hAnsi="宋体" w:cs="宋体"/>
                <w:color w:val="000000" w:themeColor="text1"/>
                <w:highlight w:val="none"/>
                <w14:textFill>
                  <w14:solidFill>
                    <w14:schemeClr w14:val="tx1"/>
                  </w14:solidFill>
                </w14:textFill>
              </w:rPr>
            </w:pPr>
          </w:p>
        </w:tc>
      </w:tr>
      <w:tr w14:paraId="59A3B58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5A9C0D42">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w:t>
            </w:r>
          </w:p>
        </w:tc>
        <w:tc>
          <w:tcPr>
            <w:tcW w:w="1559" w:type="dxa"/>
            <w:vAlign w:val="center"/>
          </w:tcPr>
          <w:p w14:paraId="7D9B55A5">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tc>
        <w:tc>
          <w:tcPr>
            <w:tcW w:w="1308" w:type="dxa"/>
            <w:vAlign w:val="center"/>
          </w:tcPr>
          <w:p w14:paraId="67EBD658">
            <w:pPr>
              <w:widowControl w:val="0"/>
              <w:jc w:val="center"/>
              <w:rPr>
                <w:rFonts w:ascii="宋体" w:hAnsi="宋体" w:cs="宋体"/>
                <w:color w:val="000000" w:themeColor="text1"/>
                <w:highlight w:val="none"/>
                <w14:textFill>
                  <w14:solidFill>
                    <w14:schemeClr w14:val="tx1"/>
                  </w14:solidFill>
                </w14:textFill>
              </w:rPr>
            </w:pPr>
          </w:p>
        </w:tc>
        <w:tc>
          <w:tcPr>
            <w:tcW w:w="1811" w:type="dxa"/>
            <w:vAlign w:val="center"/>
          </w:tcPr>
          <w:p w14:paraId="78066262">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w:t>
            </w:r>
          </w:p>
        </w:tc>
        <w:tc>
          <w:tcPr>
            <w:tcW w:w="1560" w:type="dxa"/>
            <w:vAlign w:val="center"/>
          </w:tcPr>
          <w:p w14:paraId="68A74180">
            <w:pPr>
              <w:widowControl w:val="0"/>
              <w:jc w:val="center"/>
              <w:rPr>
                <w:rFonts w:ascii="宋体" w:hAnsi="宋体" w:cs="宋体"/>
                <w:color w:val="000000" w:themeColor="text1"/>
                <w:highlight w:val="none"/>
                <w14:textFill>
                  <w14:solidFill>
                    <w14:schemeClr w14:val="tx1"/>
                  </w14:solidFill>
                </w14:textFill>
              </w:rPr>
            </w:pPr>
          </w:p>
        </w:tc>
      </w:tr>
      <w:tr w14:paraId="183E69C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0AD26B20">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成立时间</w:t>
            </w:r>
          </w:p>
        </w:tc>
        <w:tc>
          <w:tcPr>
            <w:tcW w:w="6238" w:type="dxa"/>
            <w:gridSpan w:val="4"/>
            <w:vAlign w:val="center"/>
          </w:tcPr>
          <w:p w14:paraId="2503E479">
            <w:pPr>
              <w:widowControl w:val="0"/>
              <w:jc w:val="center"/>
              <w:rPr>
                <w:rFonts w:ascii="宋体" w:hAnsi="宋体" w:cs="宋体"/>
                <w:color w:val="000000" w:themeColor="text1"/>
                <w:highlight w:val="none"/>
                <w14:textFill>
                  <w14:solidFill>
                    <w14:schemeClr w14:val="tx1"/>
                  </w14:solidFill>
                </w14:textFill>
              </w:rPr>
            </w:pPr>
          </w:p>
        </w:tc>
      </w:tr>
      <w:tr w14:paraId="3544F45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5191D8A9">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营业执照号</w:t>
            </w:r>
          </w:p>
        </w:tc>
        <w:tc>
          <w:tcPr>
            <w:tcW w:w="2867" w:type="dxa"/>
            <w:gridSpan w:val="2"/>
            <w:vAlign w:val="center"/>
          </w:tcPr>
          <w:p w14:paraId="567B0245">
            <w:pPr>
              <w:widowControl w:val="0"/>
              <w:jc w:val="center"/>
              <w:rPr>
                <w:rFonts w:ascii="宋体" w:hAnsi="宋体" w:cs="宋体"/>
                <w:color w:val="000000" w:themeColor="text1"/>
                <w:highlight w:val="none"/>
                <w14:textFill>
                  <w14:solidFill>
                    <w14:schemeClr w14:val="tx1"/>
                  </w14:solidFill>
                </w14:textFill>
              </w:rPr>
            </w:pPr>
          </w:p>
        </w:tc>
        <w:tc>
          <w:tcPr>
            <w:tcW w:w="1811" w:type="dxa"/>
            <w:vAlign w:val="center"/>
          </w:tcPr>
          <w:p w14:paraId="17516993">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企业类型</w:t>
            </w:r>
          </w:p>
        </w:tc>
        <w:tc>
          <w:tcPr>
            <w:tcW w:w="1560" w:type="dxa"/>
            <w:vAlign w:val="center"/>
          </w:tcPr>
          <w:p w14:paraId="50F2646B">
            <w:pPr>
              <w:widowControl w:val="0"/>
              <w:jc w:val="center"/>
              <w:rPr>
                <w:rFonts w:ascii="宋体" w:hAnsi="宋体" w:cs="宋体"/>
                <w:color w:val="000000" w:themeColor="text1"/>
                <w:highlight w:val="none"/>
                <w14:textFill>
                  <w14:solidFill>
                    <w14:schemeClr w14:val="tx1"/>
                  </w14:solidFill>
                </w14:textFill>
              </w:rPr>
            </w:pPr>
          </w:p>
        </w:tc>
      </w:tr>
      <w:tr w14:paraId="7109119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74B7959D">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注册资本</w:t>
            </w:r>
          </w:p>
        </w:tc>
        <w:tc>
          <w:tcPr>
            <w:tcW w:w="2867" w:type="dxa"/>
            <w:gridSpan w:val="2"/>
            <w:vAlign w:val="center"/>
          </w:tcPr>
          <w:p w14:paraId="488794B0">
            <w:pPr>
              <w:widowControl w:val="0"/>
              <w:jc w:val="center"/>
              <w:rPr>
                <w:rFonts w:ascii="宋体" w:hAnsi="宋体" w:cs="宋体"/>
                <w:color w:val="000000" w:themeColor="text1"/>
                <w:highlight w:val="none"/>
                <w14:textFill>
                  <w14:solidFill>
                    <w14:schemeClr w14:val="tx1"/>
                  </w14:solidFill>
                </w14:textFill>
              </w:rPr>
            </w:pPr>
          </w:p>
        </w:tc>
        <w:tc>
          <w:tcPr>
            <w:tcW w:w="1811" w:type="dxa"/>
            <w:vAlign w:val="center"/>
          </w:tcPr>
          <w:p w14:paraId="1047AF26">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所属地区</w:t>
            </w:r>
          </w:p>
        </w:tc>
        <w:tc>
          <w:tcPr>
            <w:tcW w:w="1560" w:type="dxa"/>
            <w:vAlign w:val="center"/>
          </w:tcPr>
          <w:p w14:paraId="72604A2A">
            <w:pPr>
              <w:widowControl w:val="0"/>
              <w:jc w:val="center"/>
              <w:rPr>
                <w:rFonts w:ascii="宋体" w:hAnsi="宋体" w:cs="宋体"/>
                <w:color w:val="000000" w:themeColor="text1"/>
                <w:highlight w:val="none"/>
                <w14:textFill>
                  <w14:solidFill>
                    <w14:schemeClr w14:val="tx1"/>
                  </w14:solidFill>
                </w14:textFill>
              </w:rPr>
            </w:pPr>
          </w:p>
        </w:tc>
      </w:tr>
      <w:tr w14:paraId="1E0B947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15C60750">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基本账户开户银行</w:t>
            </w:r>
          </w:p>
        </w:tc>
        <w:tc>
          <w:tcPr>
            <w:tcW w:w="6238" w:type="dxa"/>
            <w:gridSpan w:val="4"/>
            <w:vAlign w:val="center"/>
          </w:tcPr>
          <w:p w14:paraId="389FE4DE">
            <w:pPr>
              <w:widowControl w:val="0"/>
              <w:jc w:val="center"/>
              <w:rPr>
                <w:rFonts w:ascii="宋体" w:hAnsi="宋体" w:cs="宋体"/>
                <w:color w:val="000000" w:themeColor="text1"/>
                <w:highlight w:val="none"/>
                <w14:textFill>
                  <w14:solidFill>
                    <w14:schemeClr w14:val="tx1"/>
                  </w14:solidFill>
                </w14:textFill>
              </w:rPr>
            </w:pPr>
          </w:p>
        </w:tc>
      </w:tr>
      <w:tr w14:paraId="6ACD6E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59DDBB3D">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基本账户账号</w:t>
            </w:r>
          </w:p>
        </w:tc>
        <w:tc>
          <w:tcPr>
            <w:tcW w:w="6238" w:type="dxa"/>
            <w:gridSpan w:val="4"/>
            <w:vAlign w:val="center"/>
          </w:tcPr>
          <w:p w14:paraId="1E9A9B4A">
            <w:pPr>
              <w:widowControl w:val="0"/>
              <w:jc w:val="center"/>
              <w:rPr>
                <w:rFonts w:ascii="宋体" w:hAnsi="宋体" w:cs="宋体"/>
                <w:color w:val="000000" w:themeColor="text1"/>
                <w:highlight w:val="none"/>
                <w14:textFill>
                  <w14:solidFill>
                    <w14:schemeClr w14:val="tx1"/>
                  </w14:solidFill>
                </w14:textFill>
              </w:rPr>
            </w:pPr>
          </w:p>
        </w:tc>
      </w:tr>
      <w:tr w14:paraId="09C0ADF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315E9DA5">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经营范围</w:t>
            </w:r>
          </w:p>
        </w:tc>
        <w:tc>
          <w:tcPr>
            <w:tcW w:w="6238" w:type="dxa"/>
            <w:gridSpan w:val="4"/>
            <w:vAlign w:val="center"/>
          </w:tcPr>
          <w:p w14:paraId="45A27EB8">
            <w:pPr>
              <w:widowControl w:val="0"/>
              <w:jc w:val="center"/>
              <w:rPr>
                <w:rFonts w:ascii="宋体" w:hAnsi="宋体" w:cs="宋体"/>
                <w:color w:val="000000" w:themeColor="text1"/>
                <w:highlight w:val="none"/>
                <w14:textFill>
                  <w14:solidFill>
                    <w14:schemeClr w14:val="tx1"/>
                  </w14:solidFill>
                </w14:textFill>
              </w:rPr>
            </w:pPr>
          </w:p>
        </w:tc>
      </w:tr>
      <w:tr w14:paraId="1BF54A0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0" w:type="dxa"/>
            <w:vAlign w:val="center"/>
          </w:tcPr>
          <w:p w14:paraId="260C40B6">
            <w:pPr>
              <w:widowControl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c>
          <w:tcPr>
            <w:tcW w:w="6238" w:type="dxa"/>
            <w:gridSpan w:val="4"/>
            <w:vAlign w:val="center"/>
          </w:tcPr>
          <w:p w14:paraId="7D67D311">
            <w:pPr>
              <w:widowControl w:val="0"/>
              <w:jc w:val="center"/>
              <w:rPr>
                <w:rFonts w:ascii="宋体" w:hAnsi="宋体" w:cs="宋体"/>
                <w:color w:val="000000" w:themeColor="text1"/>
                <w:highlight w:val="none"/>
                <w14:textFill>
                  <w14:solidFill>
                    <w14:schemeClr w14:val="tx1"/>
                  </w14:solidFill>
                </w14:textFill>
              </w:rPr>
            </w:pPr>
          </w:p>
        </w:tc>
      </w:tr>
    </w:tbl>
    <w:p w14:paraId="2C028821">
      <w:pPr>
        <w:widowControl w:val="0"/>
        <w:rPr>
          <w:rFonts w:ascii="宋体" w:hAnsi="宋体" w:cs="宋体"/>
          <w:color w:val="000000" w:themeColor="text1"/>
          <w:highlight w:val="none"/>
          <w14:textFill>
            <w14:solidFill>
              <w14:schemeClr w14:val="tx1"/>
            </w14:solidFill>
          </w14:textFill>
        </w:rPr>
      </w:pPr>
    </w:p>
    <w:p w14:paraId="7631E1B5">
      <w:pPr>
        <w:widowControl w:val="0"/>
        <w:ind w:left="720" w:hanging="720" w:hangingChars="300"/>
        <w:rPr>
          <w:rFonts w:ascii="宋体" w:hAnsi="宋体" w:cs="宋体"/>
          <w:strike/>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注：1.在本表后应附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营业执照、开户信息、相关资质证书</w:t>
      </w:r>
      <w:r>
        <w:rPr>
          <w:rFonts w:hint="eastAsia" w:ascii="宋体" w:hAnsi="宋体" w:cs="宋体"/>
          <w:color w:val="000000" w:themeColor="text1"/>
          <w:highlight w:val="none"/>
          <w:lang w:eastAsia="zh-CN"/>
          <w14:textFill>
            <w14:solidFill>
              <w14:schemeClr w14:val="tx1"/>
            </w14:solidFill>
          </w14:textFill>
        </w:rPr>
        <w:t>（如有）</w:t>
      </w:r>
      <w:r>
        <w:rPr>
          <w:rFonts w:hint="eastAsia" w:ascii="宋体" w:hAnsi="宋体" w:cs="宋体"/>
          <w:color w:val="000000" w:themeColor="text1"/>
          <w:highlight w:val="none"/>
          <w14:textFill>
            <w14:solidFill>
              <w14:schemeClr w14:val="tx1"/>
            </w14:solidFill>
          </w14:textFill>
        </w:rPr>
        <w:t>等的扫描件。</w:t>
      </w:r>
    </w:p>
    <w:p w14:paraId="45E813C6">
      <w:pPr>
        <w:widowControl w:val="0"/>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2.表格不够可另附页说明。</w:t>
      </w:r>
    </w:p>
    <w:p w14:paraId="6BA408A2">
      <w:pPr>
        <w:widowControl w:val="0"/>
        <w:ind w:firstLine="480"/>
        <w:rPr>
          <w:rFonts w:ascii="宋体" w:hAnsi="宋体" w:cs="宋体"/>
          <w:color w:val="000000" w:themeColor="text1"/>
          <w:highlight w:val="none"/>
          <w14:textFill>
            <w14:solidFill>
              <w14:schemeClr w14:val="tx1"/>
            </w14:solidFill>
          </w14:textFill>
        </w:rPr>
      </w:pPr>
    </w:p>
    <w:p w14:paraId="5E403527">
      <w:pPr>
        <w:widowControl w:val="0"/>
        <w:snapToGrid w:val="0"/>
        <w:spacing w:line="400" w:lineRule="exact"/>
        <w:ind w:firstLine="480" w:firstLineChars="200"/>
        <w:rPr>
          <w:rFonts w:hint="eastAsia" w:ascii="宋体" w:hAnsi="宋体" w:cs="宋体"/>
          <w:bCs/>
          <w:color w:val="000000" w:themeColor="text1"/>
          <w:highlight w:val="none"/>
          <w:lang w:eastAsia="zh-CN"/>
          <w14:textFill>
            <w14:solidFill>
              <w14:schemeClr w14:val="tx1"/>
            </w14:solidFill>
          </w14:textFill>
        </w:rPr>
      </w:pPr>
    </w:p>
    <w:p w14:paraId="5825223E">
      <w:pPr>
        <w:widowControl w:val="0"/>
        <w:snapToGrid w:val="0"/>
        <w:spacing w:line="400" w:lineRule="exact"/>
        <w:ind w:firstLine="480" w:firstLineChars="200"/>
        <w:rPr>
          <w:rFonts w:hint="eastAsia" w:ascii="宋体" w:hAnsi="宋体" w:cs="宋体"/>
          <w:bCs/>
          <w:color w:val="000000" w:themeColor="text1"/>
          <w:highlight w:val="none"/>
          <w:lang w:eastAsia="zh-CN"/>
          <w14:textFill>
            <w14:solidFill>
              <w14:schemeClr w14:val="tx1"/>
            </w14:solidFill>
          </w14:textFill>
        </w:rPr>
      </w:pPr>
    </w:p>
    <w:bookmarkEnd w:id="121"/>
    <w:bookmarkEnd w:id="122"/>
    <w:bookmarkEnd w:id="123"/>
    <w:p w14:paraId="5FAAEBED">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highlight w:val="none"/>
          <w14:textFill>
            <w14:solidFill>
              <w14:schemeClr w14:val="tx1"/>
            </w14:solidFill>
          </w14:textFill>
        </w:rPr>
      </w:pPr>
      <w:bookmarkStart w:id="128" w:name="_Toc28686"/>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（盖章）</w:t>
      </w:r>
    </w:p>
    <w:p w14:paraId="586FB65C">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highlight w:val="none"/>
          <w:u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none"/>
          <w14:textFill>
            <w14:solidFill>
              <w14:schemeClr w14:val="tx1"/>
            </w14:solidFill>
          </w14:textFill>
        </w:rPr>
        <w:t>（签字或盖章）</w:t>
      </w:r>
    </w:p>
    <w:p w14:paraId="2E687F54">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5601D99B">
      <w:pPr>
        <w:keepNext w:val="0"/>
        <w:keepLines w:val="0"/>
        <w:pageBreakBefore w:val="0"/>
        <w:widowControl w:val="0"/>
        <w:kinsoku/>
        <w:wordWrap/>
        <w:overflowPunct/>
        <w:topLinePunct w:val="0"/>
        <w:autoSpaceDE/>
        <w:autoSpaceDN/>
        <w:bidi w:val="0"/>
        <w:adjustRightInd/>
        <w:snapToGrid w:val="0"/>
        <w:spacing w:after="100" w:afterAutospacing="1" w:line="360" w:lineRule="auto"/>
        <w:jc w:val="center"/>
        <w:textAlignment w:val="auto"/>
        <w:outlineLvl w:val="1"/>
        <w:rPr>
          <w:rFonts w:hint="eastAsia" w:ascii="宋体" w:hAnsi="宋体" w:cs="宋体"/>
          <w:b/>
          <w:bCs/>
          <w:color w:val="000000" w:themeColor="text1"/>
          <w:sz w:val="28"/>
          <w:szCs w:val="28"/>
          <w:highlight w:val="none"/>
          <w:lang w:eastAsia="zh-CN"/>
          <w14:textFill>
            <w14:solidFill>
              <w14:schemeClr w14:val="tx1"/>
            </w14:solidFill>
          </w14:textFill>
        </w:rPr>
      </w:pPr>
    </w:p>
    <w:p w14:paraId="50DBB269">
      <w:pPr>
        <w:widowControl w:val="0"/>
        <w:snapToGrid w:val="0"/>
        <w:spacing w:after="100" w:afterAutospacing="1" w:line="360" w:lineRule="auto"/>
        <w:jc w:val="center"/>
        <w:outlineLvl w:val="1"/>
        <w:rPr>
          <w:rFonts w:hint="eastAsia" w:ascii="宋体" w:hAnsi="宋体" w:cs="宋体"/>
          <w:b/>
          <w:bCs/>
          <w:color w:val="000000" w:themeColor="text1"/>
          <w:sz w:val="28"/>
          <w:szCs w:val="28"/>
          <w:highlight w:val="none"/>
          <w:lang w:eastAsia="zh-CN"/>
          <w14:textFill>
            <w14:solidFill>
              <w14:schemeClr w14:val="tx1"/>
            </w14:solidFill>
          </w14:textFill>
        </w:rPr>
      </w:pPr>
    </w:p>
    <w:p w14:paraId="67F8A1DD">
      <w:pPr>
        <w:widowControl w:val="0"/>
        <w:snapToGrid w:val="0"/>
        <w:spacing w:after="100" w:afterAutospacing="1" w:line="360" w:lineRule="auto"/>
        <w:jc w:val="center"/>
        <w:outlineLvl w:val="1"/>
        <w:rPr>
          <w:rFonts w:hint="eastAsia" w:ascii="宋体" w:hAnsi="宋体" w:cs="宋体"/>
          <w:b/>
          <w:bCs/>
          <w:color w:val="000000" w:themeColor="text1"/>
          <w:sz w:val="28"/>
          <w:szCs w:val="28"/>
          <w:highlight w:val="none"/>
          <w:lang w:eastAsia="zh-CN"/>
          <w14:textFill>
            <w14:solidFill>
              <w14:schemeClr w14:val="tx1"/>
            </w14:solidFill>
          </w14:textFill>
        </w:rPr>
      </w:pPr>
    </w:p>
    <w:p w14:paraId="2FA02E78">
      <w:pPr>
        <w:widowControl w:val="0"/>
        <w:snapToGrid w:val="0"/>
        <w:spacing w:after="100" w:afterAutospacing="1" w:line="360" w:lineRule="auto"/>
        <w:jc w:val="center"/>
        <w:outlineLvl w:val="1"/>
        <w:rPr>
          <w:rFonts w:hint="eastAsia" w:ascii="宋体" w:hAnsi="宋体" w:cs="宋体"/>
          <w:b/>
          <w:bCs/>
          <w:color w:val="000000" w:themeColor="text1"/>
          <w:sz w:val="28"/>
          <w:szCs w:val="28"/>
          <w:highlight w:val="none"/>
          <w:lang w:eastAsia="zh-CN"/>
          <w14:textFill>
            <w14:solidFill>
              <w14:schemeClr w14:val="tx1"/>
            </w14:solidFill>
          </w14:textFill>
        </w:rPr>
      </w:pPr>
    </w:p>
    <w:p w14:paraId="1982EDF2">
      <w:pPr>
        <w:widowControl w:val="0"/>
        <w:snapToGrid w:val="0"/>
        <w:spacing w:after="100" w:afterAutospacing="1" w:line="360" w:lineRule="auto"/>
        <w:jc w:val="center"/>
        <w:outlineLvl w:val="1"/>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三</w:t>
      </w:r>
      <w:r>
        <w:rPr>
          <w:rFonts w:hint="eastAsia"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eastAsia="zh-CN"/>
          <w14:textFill>
            <w14:solidFill>
              <w14:schemeClr w14:val="tx1"/>
            </w14:solidFill>
          </w14:textFill>
        </w:rPr>
        <w:t>磋商</w:t>
      </w:r>
      <w:r>
        <w:rPr>
          <w:rFonts w:hint="eastAsia" w:ascii="宋体" w:hAnsi="宋体" w:cs="宋体"/>
          <w:b/>
          <w:bCs/>
          <w:color w:val="000000" w:themeColor="text1"/>
          <w:sz w:val="28"/>
          <w:szCs w:val="28"/>
          <w:highlight w:val="none"/>
          <w14:textFill>
            <w14:solidFill>
              <w14:schemeClr w14:val="tx1"/>
            </w14:solidFill>
          </w14:textFill>
        </w:rPr>
        <w:t>函</w:t>
      </w:r>
      <w:bookmarkEnd w:id="128"/>
    </w:p>
    <w:p w14:paraId="71A662E5">
      <w:pPr>
        <w:widowControl w:val="0"/>
        <w:snapToGrid w:val="0"/>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名称）：</w:t>
      </w:r>
    </w:p>
    <w:p w14:paraId="50F470ED">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我方全面研究了 “</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”项目竞争性磋商文件，决定参加贵单位组织的本项目</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。我方授权</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 xml:space="preserve">（姓名、职务）代表我方 </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w:t>
      </w:r>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的名称）全权处理本项目</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的有关事宜。</w:t>
      </w:r>
    </w:p>
    <w:p w14:paraId="63D66B91">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1、我方自愿按照竞争性磋商文件规定的各项要求向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提供所需工程</w:t>
      </w:r>
      <w:r>
        <w:rPr>
          <w:rFonts w:hint="eastAsia" w:ascii="宋体" w:hAnsi="宋体" w:cs="宋体"/>
          <w:bCs/>
          <w:color w:val="000000" w:themeColor="text1"/>
          <w:highlight w:val="none"/>
          <w:lang w:val="en-US" w:eastAsia="zh-CN"/>
          <w14:textFill>
            <w14:solidFill>
              <w14:schemeClr w14:val="tx1"/>
            </w14:solidFill>
          </w14:textFill>
        </w:rPr>
        <w:t>服务</w:t>
      </w:r>
      <w:r>
        <w:rPr>
          <w:rFonts w:hint="eastAsia" w:ascii="宋体" w:hAnsi="宋体" w:cs="宋体"/>
          <w:bCs/>
          <w:color w:val="000000" w:themeColor="text1"/>
          <w:highlight w:val="none"/>
          <w14:textFill>
            <w14:solidFill>
              <w14:schemeClr w14:val="tx1"/>
            </w14:solidFill>
          </w14:textFill>
        </w:rPr>
        <w:t>，总</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价为人民币</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元（大写：</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w:t>
      </w:r>
    </w:p>
    <w:p w14:paraId="55134357">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2、一旦我方</w:t>
      </w:r>
      <w:r>
        <w:rPr>
          <w:rFonts w:hint="eastAsia" w:ascii="宋体" w:hAnsi="宋体" w:cs="宋体"/>
          <w:bCs/>
          <w:color w:val="000000" w:themeColor="text1"/>
          <w:highlight w:val="none"/>
          <w:lang w:eastAsia="zh-CN"/>
          <w14:textFill>
            <w14:solidFill>
              <w14:schemeClr w14:val="tx1"/>
            </w14:solidFill>
          </w14:textFill>
        </w:rPr>
        <w:t>成交</w:t>
      </w:r>
      <w:r>
        <w:rPr>
          <w:rFonts w:hint="eastAsia" w:ascii="宋体" w:hAnsi="宋体" w:cs="宋体"/>
          <w:bCs/>
          <w:color w:val="000000" w:themeColor="text1"/>
          <w:highlight w:val="none"/>
          <w14:textFill>
            <w14:solidFill>
              <w14:schemeClr w14:val="tx1"/>
            </w14:solidFill>
          </w14:textFill>
        </w:rPr>
        <w:t>，我方将严格履行合同规定的责任和义务，保证按照</w:t>
      </w:r>
      <w:r>
        <w:rPr>
          <w:rFonts w:hint="eastAsia" w:ascii="宋体" w:hAnsi="宋体" w:cs="宋体"/>
          <w:bCs/>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的要求在规定时间内完成本项目，交付</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 xml:space="preserve">验收、使用。并承担任何质量缺陷责任。 </w:t>
      </w:r>
    </w:p>
    <w:p w14:paraId="683F77DE">
      <w:pPr>
        <w:widowControl w:val="0"/>
        <w:spacing w:line="360" w:lineRule="auto"/>
        <w:ind w:firstLine="44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3、</w:t>
      </w:r>
      <w:r>
        <w:rPr>
          <w:rFonts w:hint="eastAsia" w:ascii="宋体" w:hAnsi="宋体" w:cs="宋体"/>
          <w:color w:val="000000" w:themeColor="text1"/>
          <w:highlight w:val="none"/>
          <w:lang w:bidi="ar"/>
          <w14:textFill>
            <w14:solidFill>
              <w14:schemeClr w14:val="tx1"/>
            </w14:solidFill>
          </w14:textFill>
        </w:rPr>
        <w:t>我方同意按照竞争性磋商文件的要求，</w:t>
      </w:r>
      <w:r>
        <w:rPr>
          <w:rFonts w:hint="eastAsia" w:ascii="宋体" w:hAnsi="宋体" w:cs="宋体"/>
          <w:bCs/>
          <w:color w:val="000000" w:themeColor="text1"/>
          <w:sz w:val="22"/>
          <w:szCs w:val="22"/>
          <w:highlight w:val="none"/>
          <w14:textFill>
            <w14:solidFill>
              <w14:schemeClr w14:val="tx1"/>
            </w14:solidFill>
          </w14:textFill>
        </w:rPr>
        <w:t>交纳人民币</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元（大写：</w:t>
      </w:r>
      <w:r>
        <w:rPr>
          <w:rFonts w:hint="eastAsia" w:ascii="宋体" w:hAnsi="宋体" w:cs="宋体"/>
          <w:bCs/>
          <w:color w:val="000000" w:themeColor="text1"/>
          <w:highlight w:val="none"/>
          <w:u w:val="singl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）的</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保证金。并承诺：下列任何情况发生时，我方将不要求退还</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保证金：</w:t>
      </w:r>
    </w:p>
    <w:p w14:paraId="0F825681">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（1）如果我方在</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有效期内撤回</w:t>
      </w:r>
      <w:r>
        <w:rPr>
          <w:rFonts w:hint="eastAsia" w:ascii="宋体" w:hAnsi="宋体" w:cs="宋体"/>
          <w:bCs/>
          <w:color w:val="000000" w:themeColor="text1"/>
          <w:highlight w:val="none"/>
          <w:lang w:val="en-US" w:eastAsia="zh-CN"/>
          <w14:textFill>
            <w14:solidFill>
              <w14:schemeClr w14:val="tx1"/>
            </w14:solidFill>
          </w14:textFill>
        </w:rPr>
        <w:t>响应文件</w:t>
      </w:r>
      <w:r>
        <w:rPr>
          <w:rFonts w:hint="eastAsia" w:ascii="宋体" w:hAnsi="宋体" w:cs="宋体"/>
          <w:bCs/>
          <w:color w:val="000000" w:themeColor="text1"/>
          <w:highlight w:val="none"/>
          <w14:textFill>
            <w14:solidFill>
              <w14:schemeClr w14:val="tx1"/>
            </w14:solidFill>
          </w14:textFill>
        </w:rPr>
        <w:t>；</w:t>
      </w:r>
    </w:p>
    <w:p w14:paraId="5BAD52E4">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（2）我方提供了虚假的</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响应文件；</w:t>
      </w:r>
    </w:p>
    <w:p w14:paraId="64CEED0F">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（3）在</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过程中有违规违纪行为；</w:t>
      </w:r>
    </w:p>
    <w:p w14:paraId="437FACB6">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（4）我方在</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有效期内收到成交通知书后，由于我方原因未能按照竞争性磋商文件要求提交履约保证金或与采购单位签订并履行合同。</w:t>
      </w:r>
    </w:p>
    <w:p w14:paraId="0E0827B2">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4、我方愿意提供</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可能另外要求的，与</w:t>
      </w:r>
      <w:r>
        <w:rPr>
          <w:rFonts w:hint="eastAsia" w:ascii="宋体" w:hAnsi="宋体" w:cs="宋体"/>
          <w:bCs/>
          <w:color w:val="000000" w:themeColor="text1"/>
          <w:highlight w:val="none"/>
          <w:lang w:eastAsia="zh-CN"/>
          <w14:textFill>
            <w14:solidFill>
              <w14:schemeClr w14:val="tx1"/>
            </w14:solidFill>
          </w14:textFill>
        </w:rPr>
        <w:t>磋商</w:t>
      </w:r>
      <w:r>
        <w:rPr>
          <w:rFonts w:hint="eastAsia" w:ascii="宋体" w:hAnsi="宋体" w:cs="宋体"/>
          <w:bCs/>
          <w:color w:val="000000" w:themeColor="text1"/>
          <w:highlight w:val="none"/>
          <w14:textFill>
            <w14:solidFill>
              <w14:schemeClr w14:val="tx1"/>
            </w14:solidFill>
          </w14:textFill>
        </w:rPr>
        <w:t>有关的文件资料，并保证我方已提供和将要提供的文件资料是真实、准确的。</w:t>
      </w:r>
    </w:p>
    <w:p w14:paraId="6E346218">
      <w:pPr>
        <w:widowControl w:val="0"/>
        <w:snapToGrid w:val="0"/>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5、我方完全理解</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bCs/>
          <w:color w:val="000000" w:themeColor="text1"/>
          <w:highlight w:val="none"/>
          <w14:textFill>
            <w14:solidFill>
              <w14:schemeClr w14:val="tx1"/>
            </w14:solidFill>
          </w14:textFill>
        </w:rPr>
        <w:t>不一定将合同授予最低报价的</w:t>
      </w:r>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的行为。</w:t>
      </w:r>
    </w:p>
    <w:p w14:paraId="143675B4">
      <w:pPr>
        <w:widowControl w:val="0"/>
        <w:snapToGrid w:val="0"/>
        <w:spacing w:line="400" w:lineRule="exact"/>
        <w:ind w:firstLine="480" w:firstLineChars="200"/>
        <w:rPr>
          <w:rFonts w:ascii="宋体" w:hAnsi="宋体" w:cs="宋体"/>
          <w:bCs/>
          <w:color w:val="000000" w:themeColor="text1"/>
          <w:highlight w:val="none"/>
          <w14:textFill>
            <w14:solidFill>
              <w14:schemeClr w14:val="tx1"/>
            </w14:solidFill>
          </w14:textFill>
        </w:rPr>
      </w:pPr>
    </w:p>
    <w:p w14:paraId="2A884514">
      <w:pPr>
        <w:widowControl w:val="0"/>
        <w:snapToGrid w:val="0"/>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w:t>
      </w:r>
    </w:p>
    <w:p w14:paraId="45C5B096">
      <w:pPr>
        <w:widowControl w:val="0"/>
        <w:snapToGrid w:val="0"/>
        <w:spacing w:line="400" w:lineRule="exact"/>
        <w:ind w:firstLine="480" w:firstLineChars="200"/>
        <w:rPr>
          <w:rFonts w:hint="eastAsia" w:ascii="宋体" w:hAnsi="宋体" w:cs="宋体"/>
          <w:bCs/>
          <w:color w:val="000000" w:themeColor="text1"/>
          <w:highlight w:val="none"/>
          <w:lang w:eastAsia="zh-CN"/>
          <w14:textFill>
            <w14:solidFill>
              <w14:schemeClr w14:val="tx1"/>
            </w14:solidFill>
          </w14:textFill>
        </w:rPr>
      </w:pPr>
    </w:p>
    <w:p w14:paraId="48FFF82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（盖章）</w:t>
      </w:r>
    </w:p>
    <w:p w14:paraId="319A5E6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u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u w:val="none"/>
          <w14:textFill>
            <w14:solidFill>
              <w14:schemeClr w14:val="tx1"/>
            </w14:solidFill>
          </w14:textFill>
        </w:rPr>
        <w:t>（签字或盖章）</w:t>
      </w:r>
    </w:p>
    <w:p w14:paraId="2EB5B28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61FA4900">
      <w:pPr>
        <w:widowControl w:val="0"/>
        <w:snapToGrid w:val="0"/>
        <w:spacing w:line="400" w:lineRule="exact"/>
        <w:rPr>
          <w:rFonts w:ascii="宋体" w:hAnsi="宋体" w:cs="宋体"/>
          <w:bCs/>
          <w:color w:val="000000" w:themeColor="text1"/>
          <w:highlight w:val="none"/>
          <w14:textFill>
            <w14:solidFill>
              <w14:schemeClr w14:val="tx1"/>
            </w14:solidFill>
          </w14:textFill>
        </w:rPr>
      </w:pPr>
    </w:p>
    <w:p w14:paraId="3AEC3E5C">
      <w:pPr>
        <w:widowControl w:val="0"/>
        <w:snapToGrid w:val="0"/>
        <w:spacing w:after="100" w:afterAutospacing="1" w:line="360" w:lineRule="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w:t>
      </w:r>
    </w:p>
    <w:p w14:paraId="52BC7032">
      <w:pPr>
        <w:widowControl w:val="0"/>
        <w:snapToGrid w:val="0"/>
        <w:spacing w:after="100" w:afterAutospacing="1" w:line="360" w:lineRule="auto"/>
        <w:rPr>
          <w:rFonts w:hint="eastAsia" w:ascii="宋体" w:hAnsi="宋体" w:cs="宋体"/>
          <w:b/>
          <w:bCs/>
          <w:color w:val="000000" w:themeColor="text1"/>
          <w:highlight w:val="none"/>
          <w14:textFill>
            <w14:solidFill>
              <w14:schemeClr w14:val="tx1"/>
            </w14:solidFill>
          </w14:textFill>
        </w:rPr>
      </w:pPr>
    </w:p>
    <w:p w14:paraId="332944C8">
      <w:pPr>
        <w:widowControl w:val="0"/>
        <w:numPr>
          <w:ilvl w:val="0"/>
          <w:numId w:val="11"/>
        </w:numPr>
        <w:snapToGrid w:val="0"/>
        <w:spacing w:after="100" w:afterAutospacing="1" w:line="360" w:lineRule="auto"/>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工程量清单报价表</w:t>
      </w:r>
    </w:p>
    <w:p w14:paraId="54732CE2">
      <w:pPr>
        <w:pStyle w:val="581"/>
        <w:widowControl w:val="0"/>
        <w:ind w:firstLine="0" w:firstLineChars="0"/>
        <w:jc w:val="center"/>
        <w:rPr>
          <w:rFonts w:hint="eastAsia" w:ascii="宋体" w:hAnsi="宋体" w:eastAsia="宋体" w:cs="宋体"/>
          <w:b w:val="0"/>
          <w:bCs/>
          <w:color w:val="auto"/>
          <w:szCs w:val="24"/>
          <w:highlight w:val="none"/>
        </w:rPr>
      </w:pPr>
      <w:r>
        <w:rPr>
          <w:rFonts w:hint="eastAsia" w:ascii="宋体" w:hAnsi="宋体" w:eastAsia="宋体" w:cs="宋体"/>
          <w:b w:val="0"/>
          <w:bCs/>
          <w:color w:val="auto"/>
          <w:kern w:val="0"/>
          <w:sz w:val="24"/>
          <w:highlight w:val="none"/>
          <w:lang w:val="en-US" w:eastAsia="zh-CN"/>
        </w:rPr>
        <w:t>（供应商根据采购人提供的《工程量清单》的格式及内容进行报价）</w:t>
      </w:r>
    </w:p>
    <w:p w14:paraId="6B874BD1">
      <w:pPr>
        <w:widowControl w:val="0"/>
        <w:numPr>
          <w:ilvl w:val="0"/>
          <w:numId w:val="0"/>
        </w:numPr>
        <w:snapToGrid w:val="0"/>
        <w:spacing w:after="100" w:afterAutospacing="1" w:line="360" w:lineRule="auto"/>
        <w:jc w:val="both"/>
        <w:rPr>
          <w:rFonts w:hint="default" w:ascii="宋体" w:hAnsi="宋体" w:cs="宋体"/>
          <w:b/>
          <w:color w:val="auto"/>
          <w:highlight w:val="none"/>
          <w:lang w:val="en-US" w:eastAsia="zh-CN"/>
        </w:rPr>
      </w:pPr>
    </w:p>
    <w:p w14:paraId="446A8033">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5AE0B384">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7C316BC0">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1689160D">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16F59991">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29E84B1E">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08A8EF45">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46EEFCF5">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60733AC9">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50E896C6">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2C79B9D5">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056F9905">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4C21EE08">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31F0F5E6">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5B6F3C91">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5F3D9B18">
      <w:pPr>
        <w:widowControl w:val="0"/>
        <w:snapToGrid w:val="0"/>
        <w:spacing w:after="100" w:afterAutospacing="1" w:line="360" w:lineRule="auto"/>
        <w:jc w:val="center"/>
        <w:rPr>
          <w:rFonts w:hint="eastAsia" w:ascii="宋体" w:hAnsi="宋体" w:cs="宋体"/>
          <w:b/>
          <w:color w:val="000000" w:themeColor="text1"/>
          <w:highlight w:val="none"/>
          <w:lang w:eastAsia="zh-CN"/>
          <w14:textFill>
            <w14:solidFill>
              <w14:schemeClr w14:val="tx1"/>
            </w14:solidFill>
          </w14:textFill>
        </w:rPr>
      </w:pPr>
    </w:p>
    <w:p w14:paraId="47503D73">
      <w:pPr>
        <w:widowControl w:val="0"/>
        <w:snapToGrid w:val="0"/>
        <w:spacing w:after="100" w:afterAutospacing="1" w:line="360" w:lineRule="auto"/>
        <w:jc w:val="cente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五、</w:t>
      </w:r>
      <w:r>
        <w:rPr>
          <w:rFonts w:hint="eastAsia" w:ascii="宋体" w:hAnsi="宋体" w:cs="宋体"/>
          <w:b/>
          <w:color w:val="000000" w:themeColor="text1"/>
          <w:sz w:val="28"/>
          <w:szCs w:val="28"/>
          <w:highlight w:val="none"/>
          <w:lang w:eastAsia="zh-CN"/>
          <w14:textFill>
            <w14:solidFill>
              <w14:schemeClr w14:val="tx1"/>
            </w14:solidFill>
          </w14:textFill>
        </w:rPr>
        <w:t>磋商</w:t>
      </w:r>
      <w:r>
        <w:rPr>
          <w:rFonts w:hint="eastAsia" w:ascii="宋体" w:hAnsi="宋体" w:cs="宋体"/>
          <w:b/>
          <w:color w:val="000000" w:themeColor="text1"/>
          <w:sz w:val="28"/>
          <w:szCs w:val="28"/>
          <w:highlight w:val="none"/>
          <w14:textFill>
            <w14:solidFill>
              <w14:schemeClr w14:val="tx1"/>
            </w14:solidFill>
          </w14:textFill>
        </w:rPr>
        <w:t>保证金</w:t>
      </w:r>
    </w:p>
    <w:p w14:paraId="07B97516">
      <w:pPr>
        <w:widowControl w:val="0"/>
        <w:snapToGrid w:val="0"/>
        <w:spacing w:after="100" w:afterAutospacing="1" w:line="360" w:lineRule="auto"/>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（附交纳</w:t>
      </w:r>
      <w:r>
        <w:rPr>
          <w:rFonts w:hint="eastAsia" w:ascii="宋体" w:hAnsi="宋体" w:cs="宋体"/>
          <w:b/>
          <w:color w:val="000000" w:themeColor="text1"/>
          <w:highlight w:val="none"/>
          <w:lang w:eastAsia="zh-CN"/>
          <w14:textFill>
            <w14:solidFill>
              <w14:schemeClr w14:val="tx1"/>
            </w14:solidFill>
          </w14:textFill>
        </w:rPr>
        <w:t>磋商</w:t>
      </w:r>
      <w:r>
        <w:rPr>
          <w:rFonts w:hint="eastAsia" w:ascii="宋体" w:hAnsi="宋体" w:cs="宋体"/>
          <w:b/>
          <w:color w:val="000000" w:themeColor="text1"/>
          <w:highlight w:val="none"/>
          <w14:textFill>
            <w14:solidFill>
              <w14:schemeClr w14:val="tx1"/>
            </w14:solidFill>
          </w14:textFill>
        </w:rPr>
        <w:t>保证金的凭证复印件）</w:t>
      </w:r>
    </w:p>
    <w:p w14:paraId="0EEBA563">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43FB8E80">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0999CD3C">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367F10BE">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3E06E7D3">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6066C4B6">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577A773D">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13124BBA">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44059E7E">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0B05B2AD">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6FBD5D5D">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3D57D183">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5FB121B7">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1C1460CE">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175DAFC7">
      <w:pPr>
        <w:pStyle w:val="68"/>
        <w:rPr>
          <w:rFonts w:hint="default" w:ascii="宋体" w:hAnsi="宋体" w:cs="宋体"/>
          <w:b/>
          <w:bCs/>
          <w:color w:val="000000" w:themeColor="text1"/>
          <w:sz w:val="24"/>
          <w:szCs w:val="24"/>
          <w:highlight w:val="none"/>
          <w14:textFill>
            <w14:solidFill>
              <w14:schemeClr w14:val="tx1"/>
            </w14:solidFill>
          </w14:textFill>
        </w:rPr>
      </w:pPr>
    </w:p>
    <w:p w14:paraId="630E7EC5">
      <w:pPr>
        <w:pStyle w:val="68"/>
        <w:rPr>
          <w:rFonts w:hint="default" w:ascii="宋体" w:hAnsi="宋体" w:cs="宋体"/>
          <w:b/>
          <w:bCs/>
          <w:color w:val="000000" w:themeColor="text1"/>
          <w:sz w:val="24"/>
          <w:szCs w:val="24"/>
          <w:highlight w:val="none"/>
          <w14:textFill>
            <w14:solidFill>
              <w14:schemeClr w14:val="tx1"/>
            </w14:solidFill>
          </w14:textFill>
        </w:rPr>
      </w:pPr>
    </w:p>
    <w:p w14:paraId="0497EE2F">
      <w:pPr>
        <w:pStyle w:val="68"/>
        <w:rPr>
          <w:rFonts w:hint="default" w:ascii="宋体" w:hAnsi="宋体" w:cs="宋体"/>
          <w:b/>
          <w:bCs/>
          <w:color w:val="000000" w:themeColor="text1"/>
          <w:sz w:val="24"/>
          <w:szCs w:val="24"/>
          <w:highlight w:val="none"/>
          <w14:textFill>
            <w14:solidFill>
              <w14:schemeClr w14:val="tx1"/>
            </w14:solidFill>
          </w14:textFill>
        </w:rPr>
      </w:pPr>
    </w:p>
    <w:p w14:paraId="0AF74E27">
      <w:pPr>
        <w:pStyle w:val="21"/>
        <w:widowControl w:val="0"/>
        <w:rPr>
          <w:rFonts w:ascii="宋体" w:hAnsi="宋体" w:cs="宋体"/>
          <w:color w:val="000000" w:themeColor="text1"/>
          <w:sz w:val="24"/>
          <w:szCs w:val="24"/>
          <w:highlight w:val="none"/>
          <w14:textFill>
            <w14:solidFill>
              <w14:schemeClr w14:val="tx1"/>
            </w14:solidFill>
          </w14:textFill>
        </w:rPr>
      </w:pPr>
    </w:p>
    <w:p w14:paraId="2F1F1DCA">
      <w:pPr>
        <w:pStyle w:val="68"/>
        <w:ind w:left="0" w:leftChars="0" w:firstLine="0" w:firstLineChars="0"/>
        <w:rPr>
          <w:rFonts w:hint="default" w:ascii="宋体" w:hAnsi="宋体" w:cs="宋体"/>
          <w:b/>
          <w:bCs/>
          <w:color w:val="000000" w:themeColor="text1"/>
          <w:sz w:val="24"/>
          <w:szCs w:val="24"/>
          <w:highlight w:val="none"/>
          <w14:textFill>
            <w14:solidFill>
              <w14:schemeClr w14:val="tx1"/>
            </w14:solidFill>
          </w14:textFill>
        </w:rPr>
      </w:pPr>
    </w:p>
    <w:p w14:paraId="22AC9C90">
      <w:pPr>
        <w:widowControl w:val="0"/>
        <w:snapToGrid w:val="0"/>
        <w:spacing w:after="100" w:afterAutospacing="1" w:line="360" w:lineRule="auto"/>
        <w:jc w:val="center"/>
        <w:outlineLvl w:val="1"/>
        <w:rPr>
          <w:rFonts w:ascii="宋体" w:hAnsi="宋体" w:cs="宋体"/>
          <w:b/>
          <w:bCs/>
          <w:color w:val="000000" w:themeColor="text1"/>
          <w:sz w:val="28"/>
          <w:szCs w:val="28"/>
          <w:highlight w:val="none"/>
          <w14:textFill>
            <w14:solidFill>
              <w14:schemeClr w14:val="tx1"/>
            </w14:solidFill>
          </w14:textFill>
        </w:rPr>
      </w:pPr>
      <w:bookmarkStart w:id="129" w:name="_Toc2228"/>
      <w:r>
        <w:rPr>
          <w:rFonts w:hint="eastAsia" w:ascii="宋体" w:hAnsi="宋体" w:cs="宋体"/>
          <w:b/>
          <w:bCs/>
          <w:color w:val="000000" w:themeColor="text1"/>
          <w:sz w:val="28"/>
          <w:szCs w:val="28"/>
          <w:highlight w:val="none"/>
          <w:lang w:val="en-US" w:eastAsia="zh-CN"/>
          <w14:textFill>
            <w14:solidFill>
              <w14:schemeClr w14:val="tx1"/>
            </w14:solidFill>
          </w14:textFill>
        </w:rPr>
        <w:t>六</w:t>
      </w:r>
      <w:r>
        <w:rPr>
          <w:rFonts w:hint="eastAsia" w:ascii="宋体" w:hAnsi="宋体" w:cs="宋体"/>
          <w:b/>
          <w:bCs/>
          <w:color w:val="000000" w:themeColor="text1"/>
          <w:sz w:val="28"/>
          <w:szCs w:val="28"/>
          <w:highlight w:val="none"/>
          <w14:textFill>
            <w14:solidFill>
              <w14:schemeClr w14:val="tx1"/>
            </w14:solidFill>
          </w14:textFill>
        </w:rPr>
        <w:t>、法定代表人身份证明书</w:t>
      </w:r>
      <w:bookmarkEnd w:id="129"/>
    </w:p>
    <w:p w14:paraId="5FD96718">
      <w:pPr>
        <w:widowControl w:val="0"/>
        <w:snapToGrid w:val="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w:t>
      </w:r>
    </w:p>
    <w:p w14:paraId="6D8076BF">
      <w:pPr>
        <w:widowControl w:val="0"/>
        <w:snapToGrid w:val="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w:t>
      </w:r>
    </w:p>
    <w:p w14:paraId="58A6E675">
      <w:pPr>
        <w:widowControl w:val="0"/>
        <w:snapToGrid w:val="0"/>
        <w:spacing w:line="360" w:lineRule="auto"/>
        <w:ind w:firstLine="61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p>
    <w:p w14:paraId="493401AB">
      <w:pPr>
        <w:widowControl w:val="0"/>
        <w:snapToGrid w:val="0"/>
        <w:spacing w:line="360" w:lineRule="auto"/>
        <w:ind w:firstLine="61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6EE9D936">
      <w:pPr>
        <w:widowControl w:val="0"/>
        <w:snapToGrid w:val="0"/>
        <w:spacing w:line="360" w:lineRule="auto"/>
        <w:ind w:firstLine="61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单位性质：</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p>
    <w:p w14:paraId="5953BE2F">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6C63949D">
      <w:pPr>
        <w:widowControl w:val="0"/>
        <w:snapToGrid w:val="0"/>
        <w:spacing w:line="360" w:lineRule="auto"/>
        <w:ind w:firstLine="61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p>
    <w:p w14:paraId="5B4FB293">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6B637E46">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成立时间：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4A45AB28">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247AB1E0">
      <w:pPr>
        <w:widowControl w:val="0"/>
        <w:snapToGrid w:val="0"/>
        <w:spacing w:line="360" w:lineRule="auto"/>
        <w:ind w:firstLine="61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经营期限：</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ab/>
      </w:r>
    </w:p>
    <w:p w14:paraId="79983B9A">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388F0F9E">
      <w:pPr>
        <w:widowControl w:val="0"/>
        <w:snapToGrid w:val="0"/>
        <w:spacing w:line="360" w:lineRule="auto"/>
        <w:ind w:firstLine="61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    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性别：</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职务：</w:t>
      </w:r>
      <w:r>
        <w:rPr>
          <w:rFonts w:hint="eastAsia" w:ascii="宋体" w:hAnsi="宋体" w:cs="宋体"/>
          <w:color w:val="000000" w:themeColor="text1"/>
          <w:highlight w:val="none"/>
          <w:u w:val="single"/>
          <w14:textFill>
            <w14:solidFill>
              <w14:schemeClr w14:val="tx1"/>
            </w14:solidFill>
          </w14:textFill>
        </w:rPr>
        <w:tab/>
      </w:r>
      <w:r>
        <w:rPr>
          <w:rFonts w:hint="eastAsia" w:ascii="宋体" w:hAnsi="宋体" w:cs="宋体"/>
          <w:color w:val="000000" w:themeColor="text1"/>
          <w:highlight w:val="none"/>
          <w:u w:val="single"/>
          <w14:textFill>
            <w14:solidFill>
              <w14:schemeClr w14:val="tx1"/>
            </w14:solidFill>
          </w14:textFill>
        </w:rPr>
        <w:tab/>
      </w:r>
    </w:p>
    <w:p w14:paraId="77078818">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247234DF">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单位名称）         </w:t>
      </w:r>
      <w:r>
        <w:rPr>
          <w:rFonts w:hint="eastAsia" w:ascii="宋体" w:hAnsi="宋体" w:cs="宋体"/>
          <w:color w:val="000000" w:themeColor="text1"/>
          <w:highlight w:val="none"/>
          <w14:textFill>
            <w14:solidFill>
              <w14:schemeClr w14:val="tx1"/>
            </w14:solidFill>
          </w14:textFill>
        </w:rPr>
        <w:t>的法定代表人。</w:t>
      </w:r>
    </w:p>
    <w:p w14:paraId="6E3C31BE">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2AAB23B9">
      <w:pPr>
        <w:widowControl w:val="0"/>
        <w:snapToGrid w:val="0"/>
        <w:spacing w:line="360" w:lineRule="auto"/>
        <w:ind w:firstLine="61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特此证明。</w:t>
      </w:r>
    </w:p>
    <w:p w14:paraId="0B739C2B">
      <w:pPr>
        <w:widowControl w:val="0"/>
        <w:tabs>
          <w:tab w:val="left" w:pos="720"/>
          <w:tab w:val="left" w:pos="90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59B178C8">
      <w:pPr>
        <w:widowControl w:val="0"/>
        <w:tabs>
          <w:tab w:val="left" w:pos="720"/>
          <w:tab w:val="left" w:pos="900"/>
        </w:tabs>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207DE08F">
      <w:pPr>
        <w:widowControl w:val="0"/>
        <w:snapToGrid w:val="0"/>
        <w:spacing w:line="400" w:lineRule="exact"/>
        <w:ind w:firstLine="480" w:firstLineChars="200"/>
        <w:rPr>
          <w:rFonts w:hint="eastAsia" w:ascii="宋体" w:hAnsi="宋体" w:cs="宋体"/>
          <w:bCs/>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7F6FA46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（盖章）</w:t>
      </w:r>
    </w:p>
    <w:p w14:paraId="287EC68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54DED0A7">
      <w:pPr>
        <w:keepNext w:val="0"/>
        <w:keepLines w:val="0"/>
        <w:pageBreakBefore w:val="0"/>
        <w:widowControl w:val="0"/>
        <w:tabs>
          <w:tab w:val="left" w:pos="720"/>
          <w:tab w:val="left" w:pos="900"/>
        </w:tabs>
        <w:kinsoku/>
        <w:wordWrap/>
        <w:overflowPunct/>
        <w:topLinePunct w:val="0"/>
        <w:autoSpaceDE/>
        <w:autoSpaceDN/>
        <w:bidi w:val="0"/>
        <w:adjustRightInd/>
        <w:snapToGrid w:val="0"/>
        <w:spacing w:line="360" w:lineRule="auto"/>
        <w:ind w:firstLine="4080" w:firstLineChars="1700"/>
        <w:textAlignment w:val="auto"/>
        <w:rPr>
          <w:rFonts w:ascii="宋体" w:hAnsi="宋体" w:cs="宋体"/>
          <w:color w:val="000000" w:themeColor="text1"/>
          <w:highlight w:val="none"/>
          <w14:textFill>
            <w14:solidFill>
              <w14:schemeClr w14:val="tx1"/>
            </w14:solidFill>
          </w14:textFill>
        </w:rPr>
      </w:pPr>
    </w:p>
    <w:p w14:paraId="245B617A">
      <w:pPr>
        <w:widowControl w:val="0"/>
        <w:snapToGrid w:val="0"/>
        <w:spacing w:line="400" w:lineRule="exact"/>
        <w:ind w:firstLine="480" w:firstLineChars="200"/>
        <w:rPr>
          <w:rFonts w:ascii="宋体" w:hAnsi="宋体" w:cs="宋体"/>
          <w:bCs/>
          <w:color w:val="000000" w:themeColor="text1"/>
          <w:highlight w:val="none"/>
          <w14:textFill>
            <w14:solidFill>
              <w14:schemeClr w14:val="tx1"/>
            </w14:solidFill>
          </w14:textFill>
        </w:rPr>
      </w:pPr>
    </w:p>
    <w:p w14:paraId="16BD9C57">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附：法定代表人身份证复印件</w:t>
      </w:r>
    </w:p>
    <w:p w14:paraId="23DA8F12">
      <w:pPr>
        <w:widowControl w:val="0"/>
        <w:snapToGrid w:val="0"/>
        <w:spacing w:line="400" w:lineRule="exact"/>
        <w:ind w:firstLine="480" w:firstLineChars="200"/>
        <w:rPr>
          <w:rFonts w:ascii="宋体" w:hAnsi="宋体" w:cs="宋体"/>
          <w:bCs/>
          <w:color w:val="000000" w:themeColor="text1"/>
          <w:highlight w:val="none"/>
          <w14:textFill>
            <w14:solidFill>
              <w14:schemeClr w14:val="tx1"/>
            </w14:solidFill>
          </w14:textFill>
        </w:rPr>
      </w:pPr>
    </w:p>
    <w:p w14:paraId="3A2D62DF">
      <w:pPr>
        <w:pStyle w:val="68"/>
        <w:rPr>
          <w:rFonts w:hint="default" w:ascii="宋体" w:hAnsi="宋体" w:cs="宋体"/>
          <w:color w:val="000000" w:themeColor="text1"/>
          <w:highlight w:val="none"/>
          <w14:textFill>
            <w14:solidFill>
              <w14:schemeClr w14:val="tx1"/>
            </w14:solidFill>
          </w14:textFill>
        </w:rPr>
      </w:pPr>
    </w:p>
    <w:p w14:paraId="7B1131C0">
      <w:pPr>
        <w:rPr>
          <w:rFonts w:hint="default"/>
        </w:rPr>
      </w:pPr>
    </w:p>
    <w:p w14:paraId="7D13501B">
      <w:pPr>
        <w:widowControl w:val="0"/>
        <w:snapToGrid w:val="0"/>
        <w:spacing w:before="260" w:after="260" w:line="400" w:lineRule="exact"/>
        <w:jc w:val="center"/>
        <w:outlineLvl w:val="1"/>
        <w:rPr>
          <w:rFonts w:ascii="宋体" w:hAnsi="宋体" w:cs="宋体"/>
          <w:bCs/>
          <w:color w:val="000000" w:themeColor="text1"/>
          <w:sz w:val="28"/>
          <w:szCs w:val="28"/>
          <w:highlight w:val="none"/>
          <w14:textFill>
            <w14:solidFill>
              <w14:schemeClr w14:val="tx1"/>
            </w14:solidFill>
          </w14:textFill>
        </w:rPr>
      </w:pPr>
      <w:bookmarkStart w:id="130" w:name="_Toc4476"/>
      <w:bookmarkStart w:id="131" w:name="_Toc11134"/>
      <w:bookmarkStart w:id="132" w:name="_Toc2500"/>
      <w:bookmarkStart w:id="133" w:name="_Toc31956"/>
      <w:bookmarkStart w:id="134" w:name="_Toc22900"/>
      <w:r>
        <w:rPr>
          <w:rFonts w:hint="eastAsia" w:ascii="宋体"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cs="宋体"/>
          <w:b/>
          <w:bCs/>
          <w:color w:val="000000" w:themeColor="text1"/>
          <w:sz w:val="28"/>
          <w:szCs w:val="28"/>
          <w:highlight w:val="none"/>
          <w14:textFill>
            <w14:solidFill>
              <w14:schemeClr w14:val="tx1"/>
            </w14:solidFill>
          </w14:textFill>
        </w:rPr>
        <w:t>、法定代表人授权</w:t>
      </w:r>
      <w:r>
        <w:rPr>
          <w:rFonts w:hint="eastAsia" w:ascii="宋体" w:hAnsi="宋体" w:cs="宋体"/>
          <w:b/>
          <w:bCs/>
          <w:color w:val="000000" w:themeColor="text1"/>
          <w:sz w:val="28"/>
          <w:szCs w:val="28"/>
          <w:highlight w:val="none"/>
          <w:lang w:eastAsia="zh-CN"/>
          <w14:textFill>
            <w14:solidFill>
              <w14:schemeClr w14:val="tx1"/>
            </w14:solidFill>
          </w14:textFill>
        </w:rPr>
        <w:t>委托</w:t>
      </w:r>
      <w:r>
        <w:rPr>
          <w:rFonts w:hint="eastAsia" w:ascii="宋体" w:hAnsi="宋体" w:cs="宋体"/>
          <w:b/>
          <w:bCs/>
          <w:color w:val="000000" w:themeColor="text1"/>
          <w:sz w:val="28"/>
          <w:szCs w:val="28"/>
          <w:highlight w:val="none"/>
          <w14:textFill>
            <w14:solidFill>
              <w14:schemeClr w14:val="tx1"/>
            </w14:solidFill>
          </w14:textFill>
        </w:rPr>
        <w:t>书（法人参加</w:t>
      </w:r>
      <w:r>
        <w:rPr>
          <w:rFonts w:hint="eastAsia" w:ascii="宋体" w:hAnsi="宋体" w:cs="宋体"/>
          <w:b/>
          <w:bCs/>
          <w:color w:val="000000" w:themeColor="text1"/>
          <w:sz w:val="28"/>
          <w:szCs w:val="28"/>
          <w:highlight w:val="none"/>
          <w:lang w:eastAsia="zh-CN"/>
          <w14:textFill>
            <w14:solidFill>
              <w14:schemeClr w14:val="tx1"/>
            </w14:solidFill>
          </w14:textFill>
        </w:rPr>
        <w:t>磋商</w:t>
      </w:r>
      <w:r>
        <w:rPr>
          <w:rFonts w:hint="eastAsia" w:ascii="宋体" w:hAnsi="宋体" w:cs="宋体"/>
          <w:b/>
          <w:bCs/>
          <w:color w:val="000000" w:themeColor="text1"/>
          <w:sz w:val="28"/>
          <w:szCs w:val="28"/>
          <w:highlight w:val="none"/>
          <w14:textFill>
            <w14:solidFill>
              <w14:schemeClr w14:val="tx1"/>
            </w14:solidFill>
          </w14:textFill>
        </w:rPr>
        <w:t>时无需提供此表）</w:t>
      </w:r>
      <w:bookmarkEnd w:id="130"/>
      <w:bookmarkEnd w:id="131"/>
      <w:bookmarkEnd w:id="132"/>
      <w:bookmarkEnd w:id="133"/>
      <w:bookmarkEnd w:id="134"/>
    </w:p>
    <w:p w14:paraId="1BD36971">
      <w:pPr>
        <w:widowControl w:val="0"/>
        <w:snapToGrid w:val="0"/>
        <w:spacing w:line="4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w:t>
      </w:r>
    </w:p>
    <w:p w14:paraId="091ED94A">
      <w:pPr>
        <w:widowControl w:val="0"/>
        <w:snapToGrid w:val="0"/>
        <w:spacing w:line="400" w:lineRule="exact"/>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w:t>
      </w:r>
    </w:p>
    <w:p w14:paraId="38F8E86E">
      <w:pPr>
        <w:widowControl w:val="0"/>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__________________（</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名称）：</w:t>
      </w:r>
    </w:p>
    <w:p w14:paraId="2EADAAB1">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本授权声明：</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名称）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（法定代表人姓名、职务）授权</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（被授权人姓名、职务）为我方 “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项目</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活动的合法代表，以我方名义全权处理该项目有关</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、签订合同以及执行合同等一切事宜。</w:t>
      </w:r>
    </w:p>
    <w:p w14:paraId="1B76EF32">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特此声明。</w:t>
      </w:r>
    </w:p>
    <w:p w14:paraId="6F19472C">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3DADE421">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4A18A447">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w:t>
      </w:r>
    </w:p>
    <w:p w14:paraId="4C55DD50">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4B164CC8">
      <w:pPr>
        <w:widowControl w:val="0"/>
        <w:snapToGrid w:val="0"/>
        <w:spacing w:line="4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w:t>
      </w:r>
      <w:r>
        <w:rPr>
          <w:rFonts w:hint="eastAsia" w:ascii="宋体" w:hAnsi="宋体" w:cs="宋体"/>
          <w:color w:val="000000" w:themeColor="text1"/>
          <w:highlight w:val="none"/>
          <w:lang w:eastAsia="zh-CN"/>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签字：</w:t>
      </w:r>
    </w:p>
    <w:p w14:paraId="29620EA1">
      <w:pPr>
        <w:widowControl w:val="0"/>
        <w:snapToGrid w:val="0"/>
        <w:spacing w:line="400" w:lineRule="exact"/>
        <w:ind w:firstLine="480" w:firstLineChars="200"/>
        <w:rPr>
          <w:rFonts w:hint="eastAsia" w:ascii="宋体" w:hAnsi="宋体" w:cs="宋体"/>
          <w:color w:val="000000" w:themeColor="text1"/>
          <w:highlight w:val="none"/>
          <w14:textFill>
            <w14:solidFill>
              <w14:schemeClr w14:val="tx1"/>
            </w14:solidFill>
          </w14:textFill>
        </w:rPr>
      </w:pPr>
    </w:p>
    <w:p w14:paraId="1F6DDC54">
      <w:pPr>
        <w:widowControl w:val="0"/>
        <w:snapToGrid w:val="0"/>
        <w:spacing w:line="400" w:lineRule="exact"/>
        <w:ind w:firstLine="480" w:firstLineChars="200"/>
        <w:rPr>
          <w:rFonts w:ascii="宋体" w:hAnsi="宋体" w:cs="宋体"/>
          <w:color w:val="000000" w:themeColor="text1"/>
          <w:highlight w:val="none"/>
          <w14:textFill>
            <w14:solidFill>
              <w14:schemeClr w14:val="tx1"/>
            </w14:solidFill>
          </w14:textFill>
        </w:rPr>
      </w:pPr>
    </w:p>
    <w:p w14:paraId="4A28DDF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eastAsia="zh-CN"/>
          <w14:textFill>
            <w14:solidFill>
              <w14:schemeClr w14:val="tx1"/>
            </w14:solidFill>
          </w14:textFill>
        </w:rPr>
        <w:t>供应商</w:t>
      </w:r>
      <w:r>
        <w:rPr>
          <w:rFonts w:hint="eastAsia" w:ascii="宋体" w:hAnsi="宋体" w:cs="宋体"/>
          <w:bCs/>
          <w:color w:val="000000" w:themeColor="text1"/>
          <w:highlight w:val="none"/>
          <w14:textFill>
            <w14:solidFill>
              <w14:schemeClr w14:val="tx1"/>
            </w14:solidFill>
          </w14:textFill>
        </w:rPr>
        <w:t>名称</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（盖章）</w:t>
      </w:r>
    </w:p>
    <w:p w14:paraId="478310C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4B3CE6D7">
      <w:pPr>
        <w:widowControl w:val="0"/>
        <w:snapToGrid w:val="0"/>
        <w:spacing w:after="100" w:afterAutospacing="1" w:line="360" w:lineRule="auto"/>
        <w:ind w:firstLine="480" w:firstLineChars="200"/>
        <w:rPr>
          <w:rFonts w:ascii="宋体" w:hAnsi="宋体" w:cs="宋体"/>
          <w:color w:val="000000" w:themeColor="text1"/>
          <w:highlight w:val="none"/>
          <w14:textFill>
            <w14:solidFill>
              <w14:schemeClr w14:val="tx1"/>
            </w14:solidFill>
          </w14:textFill>
        </w:rPr>
      </w:pPr>
    </w:p>
    <w:p w14:paraId="27FDB3B1">
      <w:pPr>
        <w:widowControl w:val="0"/>
        <w:snapToGrid w:val="0"/>
        <w:spacing w:after="100" w:afterAutospacing="1" w:line="360" w:lineRule="auto"/>
        <w:ind w:firstLine="480" w:firstLineChars="200"/>
        <w:rPr>
          <w:rFonts w:ascii="宋体" w:hAnsi="宋体" w:cs="宋体"/>
          <w:color w:val="000000" w:themeColor="text1"/>
          <w:highlight w:val="none"/>
          <w14:textFill>
            <w14:solidFill>
              <w14:schemeClr w14:val="tx1"/>
            </w14:solidFill>
          </w14:textFill>
        </w:rPr>
      </w:pPr>
    </w:p>
    <w:p w14:paraId="662DEA56">
      <w:pPr>
        <w:widowControl w:val="0"/>
        <w:snapToGrid w:val="0"/>
        <w:spacing w:after="100" w:afterAutospacing="1" w:line="360" w:lineRule="auto"/>
        <w:ind w:firstLine="482" w:firstLineChars="200"/>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附：授权委托代理人身份证复印件</w:t>
      </w:r>
    </w:p>
    <w:p w14:paraId="4639A999">
      <w:pPr>
        <w:widowControl w:val="0"/>
        <w:snapToGrid w:val="0"/>
        <w:spacing w:after="100" w:afterAutospacing="1" w:line="360" w:lineRule="auto"/>
        <w:ind w:firstLine="480" w:firstLineChars="200"/>
        <w:rPr>
          <w:rFonts w:ascii="宋体" w:hAnsi="宋体" w:cs="宋体"/>
          <w:color w:val="000000" w:themeColor="text1"/>
          <w:highlight w:val="none"/>
          <w14:textFill>
            <w14:solidFill>
              <w14:schemeClr w14:val="tx1"/>
            </w14:solidFill>
          </w14:textFill>
        </w:rPr>
      </w:pPr>
    </w:p>
    <w:p w14:paraId="7F868603">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 xml:space="preserve"> </w:t>
      </w:r>
    </w:p>
    <w:p w14:paraId="4106A9E0">
      <w:pPr>
        <w:widowControl w:val="0"/>
        <w:snapToGrid w:val="0"/>
        <w:spacing w:after="100" w:afterAutospacing="1"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6F052B95">
      <w:pPr>
        <w:widowControl w:val="0"/>
        <w:snapToGrid w:val="0"/>
        <w:spacing w:before="260" w:after="260" w:line="400" w:lineRule="exact"/>
        <w:rPr>
          <w:rFonts w:ascii="宋体" w:hAnsi="宋体" w:cs="宋体"/>
          <w:b/>
          <w:bCs/>
          <w:color w:val="000000" w:themeColor="text1"/>
          <w:highlight w:val="none"/>
          <w14:textFill>
            <w14:solidFill>
              <w14:schemeClr w14:val="tx1"/>
            </w14:solidFill>
          </w14:textFill>
        </w:rPr>
      </w:pPr>
    </w:p>
    <w:p w14:paraId="4EDCE6CC">
      <w:pPr>
        <w:pStyle w:val="21"/>
        <w:widowControl w:val="0"/>
        <w:rPr>
          <w:rFonts w:ascii="宋体" w:hAnsi="宋体" w:cs="宋体"/>
          <w:b/>
          <w:bCs/>
          <w:color w:val="000000" w:themeColor="text1"/>
          <w:sz w:val="24"/>
          <w:szCs w:val="24"/>
          <w:highlight w:val="none"/>
          <w14:textFill>
            <w14:solidFill>
              <w14:schemeClr w14:val="tx1"/>
            </w14:solidFill>
          </w14:textFill>
        </w:rPr>
      </w:pPr>
    </w:p>
    <w:p w14:paraId="20FBA254">
      <w:pPr>
        <w:widowControl w:val="0"/>
        <w:snapToGrid w:val="0"/>
        <w:spacing w:before="260" w:after="260" w:line="400" w:lineRule="exact"/>
        <w:rPr>
          <w:rFonts w:ascii="宋体" w:hAnsi="宋体" w:cs="宋体"/>
          <w:b/>
          <w:bCs/>
          <w:color w:val="000000" w:themeColor="text1"/>
          <w:highlight w:val="none"/>
          <w14:textFill>
            <w14:solidFill>
              <w14:schemeClr w14:val="tx1"/>
            </w14:solidFill>
          </w14:textFill>
        </w:rPr>
      </w:pPr>
    </w:p>
    <w:p w14:paraId="6DFF53D4">
      <w:pPr>
        <w:widowControl w:val="0"/>
        <w:snapToGrid w:val="0"/>
        <w:spacing w:after="100" w:afterAutospacing="1" w:line="360" w:lineRule="auto"/>
        <w:jc w:val="center"/>
        <w:outlineLvl w:val="1"/>
        <w:rPr>
          <w:rFonts w:ascii="宋体" w:hAnsi="宋体" w:cs="宋体"/>
          <w:b/>
          <w:bCs/>
          <w:color w:val="000000" w:themeColor="text1"/>
          <w:sz w:val="28"/>
          <w:szCs w:val="28"/>
          <w:highlight w:val="none"/>
          <w14:textFill>
            <w14:solidFill>
              <w14:schemeClr w14:val="tx1"/>
            </w14:solidFill>
          </w14:textFill>
        </w:rPr>
      </w:pPr>
      <w:bookmarkStart w:id="135" w:name="_Toc17124"/>
      <w:r>
        <w:rPr>
          <w:rFonts w:hint="eastAsia" w:ascii="宋体" w:hAnsi="宋体" w:cs="宋体"/>
          <w:b/>
          <w:bCs/>
          <w:color w:val="000000" w:themeColor="text1"/>
          <w:sz w:val="28"/>
          <w:szCs w:val="28"/>
          <w:highlight w:val="none"/>
          <w:lang w:val="en-US" w:eastAsia="zh-CN"/>
          <w14:textFill>
            <w14:solidFill>
              <w14:schemeClr w14:val="tx1"/>
            </w14:solidFill>
          </w14:textFill>
        </w:rPr>
        <w:t>八</w:t>
      </w:r>
      <w:r>
        <w:rPr>
          <w:rFonts w:hint="eastAsia" w:ascii="宋体" w:hAnsi="宋体" w:cs="宋体"/>
          <w:b/>
          <w:bCs/>
          <w:color w:val="000000" w:themeColor="text1"/>
          <w:sz w:val="28"/>
          <w:szCs w:val="28"/>
          <w:highlight w:val="none"/>
          <w14:textFill>
            <w14:solidFill>
              <w14:schemeClr w14:val="tx1"/>
            </w14:solidFill>
          </w14:textFill>
        </w:rPr>
        <w:t>、资格证明文件</w:t>
      </w:r>
      <w:bookmarkEnd w:id="135"/>
    </w:p>
    <w:p w14:paraId="6BBD4964">
      <w:pPr>
        <w:widowControl w:val="0"/>
        <w:spacing w:line="360" w:lineRule="auto"/>
        <w:ind w:firstLine="48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资格证明文件包括：</w:t>
      </w:r>
    </w:p>
    <w:p w14:paraId="341EADFA">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bookmarkStart w:id="136" w:name="_Toc31930"/>
      <w:bookmarkStart w:id="137" w:name="_Toc22660"/>
      <w:r>
        <w:rPr>
          <w:rFonts w:hint="eastAsia" w:ascii="宋体" w:hAnsi="宋体" w:cs="宋体"/>
          <w:color w:val="000000" w:themeColor="text1"/>
          <w:highlight w:val="none"/>
          <w14:textFill>
            <w14:solidFill>
              <w14:schemeClr w14:val="tx1"/>
            </w14:solidFill>
          </w14:textFill>
        </w:rPr>
        <w:t>（1）具有独立承担民事责任的能力（提供有效营业执照）。</w:t>
      </w:r>
    </w:p>
    <w:p w14:paraId="06F68013">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（2）具有良好的商业信誉和健全的财务会计制度（</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提供2023年度或2024年度经第三方审计的财务报告及报表或企业自身出具的合法有效的财务报表；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成立不足1年的，可提供企业成立至今合法有效的财务资料）。</w:t>
      </w:r>
    </w:p>
    <w:p w14:paraId="12DD5B81">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具有履行合同所必需的设备和专业技术能力（提供书面声明）</w:t>
      </w:r>
      <w:r>
        <w:rPr>
          <w:rFonts w:hint="eastAsia" w:ascii="宋体" w:hAnsi="宋体" w:cs="宋体"/>
          <w:color w:val="000000" w:themeColor="text1"/>
          <w:highlight w:val="none"/>
          <w14:textFill>
            <w14:solidFill>
              <w14:schemeClr w14:val="tx1"/>
            </w14:solidFill>
          </w14:textFill>
        </w:rPr>
        <w:t>。</w:t>
      </w:r>
    </w:p>
    <w:p w14:paraId="350045D1">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（4）有依法缴纳税收和社会保障资金的良好记录（</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提供缴税所属时间在2024年01月至本项目</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响应文件提交截止时间前任意1个月的税务局税收通用缴款书或银行电子缴税（费）凭证或税务局出具纳税情况的相关证明，依法免税的，应提供依法免税的相关证明文件；至开标截止时间</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成立时间不足1个月的可根据自身情况提供依法缴纳税收相关材料或提供书面情况说明；</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提供缴费所属时间在2024年01月至本项目</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cs="宋体"/>
          <w:color w:val="000000" w:themeColor="text1"/>
          <w:highlight w:val="none"/>
          <w14:textFill>
            <w14:solidFill>
              <w14:schemeClr w14:val="tx1"/>
            </w14:solidFill>
          </w14:textFill>
        </w:rPr>
        <w:t>响应文件提交截止时间前任意1个月的社会保险费缴款书或银行电子缴税（费）凭证或社保管理部门出具的有效的缴款证明，依法免缴的，应提供依法免缴的相关证明文件；至开标截止时间</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成立时间不足1个月的可根据自身情况提供依法缴纳社会保障资金相关材料或提供书面情况说明。）</w:t>
      </w:r>
    </w:p>
    <w:p w14:paraId="1AAFB715">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（5）参加政府采购活动前三年内，在经营活动中没有重大违法记录（自行承诺）；</w:t>
      </w:r>
    </w:p>
    <w:p w14:paraId="021E6AC4">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（6）法律、行政法规规定的其他条件（自行承诺）。</w:t>
      </w:r>
    </w:p>
    <w:p w14:paraId="66C1DC05">
      <w:pPr>
        <w:snapToGrid w:val="0"/>
        <w:spacing w:line="500" w:lineRule="exact"/>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（7）单位负责人为同一人或者存在直接控股、管理关系的不同</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，不得参加同一合同项下的政府采购活动（自行承诺）</w:t>
      </w:r>
    </w:p>
    <w:p w14:paraId="27907759">
      <w:pPr>
        <w:keepNext w:val="0"/>
        <w:keepLines w:val="0"/>
        <w:pageBreakBefore w:val="0"/>
        <w:widowControl/>
        <w:kinsoku/>
        <w:wordWrap w:val="0"/>
        <w:overflowPunct/>
        <w:topLinePunct w:val="0"/>
        <w:autoSpaceDE/>
        <w:autoSpaceDN/>
        <w:bidi w:val="0"/>
        <w:adjustRightInd/>
        <w:snapToGrid w:val="0"/>
        <w:spacing w:line="500" w:lineRule="exact"/>
        <w:ind w:firstLine="480" w:firstLineChars="200"/>
        <w:textAlignment w:val="auto"/>
        <w:rPr>
          <w:rFonts w:hint="default"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（8）信誉：按照《财政部关于在政府采购活动中查询及使用信用记录有关问题的通知》(财库〔2016〕125号) 相关要求 ，各级财政部门 、采购人 、采购代理机构通过“信用中国 ”网站(www.creditchina.gov.cn) 、中国政府采购网 (www.ccgp.gov.cnwww.ccgp.gov.cn) 等渠道查询供应商信用记录，并采取必要方式做好信用信息查询记录和证据留存，信用信息查询记录及相关证据与采购文件一并保存。供应商未被列入失信被执行人记录、重大税收违法案件当事人名单、政府采购严重违法失信行为 (被禁止在一定期限内参加政府采购活动但期限届满的除外) ，参加本项目的供应商信用报告查询截止时点：本项目竞争性磋商公告发布之日起至递交响应文件截止时间。</w:t>
      </w:r>
    </w:p>
    <w:p w14:paraId="4E616E7A">
      <w:pPr>
        <w:pStyle w:val="68"/>
        <w:ind w:left="0" w:leftChars="0" w:firstLine="0" w:firstLineChars="0"/>
        <w:rPr>
          <w:rFonts w:hint="default" w:ascii="宋体" w:hAnsi="宋体" w:cs="宋体"/>
          <w:b/>
          <w:color w:val="000000" w:themeColor="text1"/>
          <w:sz w:val="24"/>
          <w:szCs w:val="24"/>
          <w:highlight w:val="none"/>
          <w14:textFill>
            <w14:solidFill>
              <w14:schemeClr w14:val="tx1"/>
            </w14:solidFill>
          </w14:textFill>
        </w:rPr>
      </w:pPr>
    </w:p>
    <w:p w14:paraId="0A9F9D80">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bookmarkStart w:id="138" w:name="_Toc25868"/>
    </w:p>
    <w:p w14:paraId="2074748A">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52B9C420">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44AF4473">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14A9C56C">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6648FD2A">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0DB1F7E9">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218C5375">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277399B9">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44EABC1B">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7085ED7B">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19184115">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180E756D">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4A0F0891">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2D29753E">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175B30CF">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1EAB7136">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46A0CC96">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0FC7EC62">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653EF6D4">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4D3867BE">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55A91B8E">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417A7C9B">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62CD07BB">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0AACEE97">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0852FD42">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6B6BDE69">
      <w:pPr>
        <w:widowControl w:val="0"/>
        <w:snapToGrid w:val="0"/>
        <w:spacing w:line="360" w:lineRule="auto"/>
        <w:jc w:val="center"/>
        <w:outlineLvl w:val="1"/>
        <w:rPr>
          <w:rFonts w:hint="eastAsia" w:ascii="宋体" w:hAnsi="宋体" w:cs="宋体"/>
          <w:b/>
          <w:color w:val="000000" w:themeColor="text1"/>
          <w:highlight w:val="none"/>
          <w:lang w:val="en-US" w:eastAsia="zh-CN"/>
          <w14:textFill>
            <w14:solidFill>
              <w14:schemeClr w14:val="tx1"/>
            </w14:solidFill>
          </w14:textFill>
        </w:rPr>
      </w:pPr>
    </w:p>
    <w:p w14:paraId="7345CB9D">
      <w:pPr>
        <w:widowControl w:val="0"/>
        <w:snapToGrid w:val="0"/>
        <w:spacing w:line="360" w:lineRule="auto"/>
        <w:jc w:val="center"/>
        <w:outlineLvl w:val="1"/>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九</w:t>
      </w:r>
      <w:r>
        <w:rPr>
          <w:rFonts w:hint="eastAsia" w:ascii="宋体" w:hAnsi="宋体" w:cs="宋体"/>
          <w:b/>
          <w:color w:val="000000" w:themeColor="text1"/>
          <w:highlight w:val="none"/>
          <w14:textFill>
            <w14:solidFill>
              <w14:schemeClr w14:val="tx1"/>
            </w14:solidFill>
          </w14:textFill>
        </w:rPr>
        <w:t>、</w:t>
      </w:r>
      <w:bookmarkEnd w:id="136"/>
      <w:bookmarkEnd w:id="137"/>
      <w:bookmarkEnd w:id="138"/>
      <w:r>
        <w:rPr>
          <w:rFonts w:hint="eastAsia" w:ascii="宋体" w:hAnsi="宋体" w:cs="宋体"/>
          <w:b/>
          <w:color w:val="000000" w:themeColor="text1"/>
          <w:sz w:val="26"/>
          <w:szCs w:val="26"/>
          <w:highlight w:val="none"/>
          <w:lang w:val="en-US" w:eastAsia="zh-CN"/>
          <w14:textFill>
            <w14:solidFill>
              <w14:schemeClr w14:val="tx1"/>
            </w14:solidFill>
          </w14:textFill>
        </w:rPr>
        <w:t>技术部分</w:t>
      </w:r>
    </w:p>
    <w:p w14:paraId="43EEF64E">
      <w:pPr>
        <w:spacing w:line="360" w:lineRule="auto"/>
        <w:ind w:firstLine="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（格式由各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cs="宋体"/>
          <w:color w:val="000000" w:themeColor="text1"/>
          <w:szCs w:val="21"/>
          <w:highlight w:val="none"/>
          <w14:textFill>
            <w14:solidFill>
              <w14:schemeClr w14:val="tx1"/>
            </w14:solidFill>
          </w14:textFill>
        </w:rPr>
        <w:t>自拟）</w:t>
      </w:r>
    </w:p>
    <w:p w14:paraId="48402857">
      <w:pPr>
        <w:spacing w:line="360" w:lineRule="auto"/>
        <w:ind w:firstLine="512"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pacing w:val="8"/>
          <w:szCs w:val="21"/>
          <w:highlight w:val="none"/>
          <w14:textFill>
            <w14:solidFill>
              <w14:schemeClr w14:val="tx1"/>
            </w14:solidFill>
          </w14:textFill>
        </w:rPr>
        <w:t>具体要求：编制时应采用文字并结合图表形式说明各分部分项项目的施工方法；拟投入的主要施工机械设备情况；劳动力计划等；结合本项目特点提出切实可行的项目质量、安全生产、文明施工、项目进度、技术组织措施。</w:t>
      </w:r>
      <w:r>
        <w:rPr>
          <w:rFonts w:hint="eastAsia" w:ascii="宋体" w:hAnsi="宋体"/>
          <w:color w:val="000000" w:themeColor="text1"/>
          <w:szCs w:val="21"/>
          <w:highlight w:val="none"/>
          <w14:textFill>
            <w14:solidFill>
              <w14:schemeClr w14:val="tx1"/>
            </w14:solidFill>
          </w14:textFill>
        </w:rPr>
        <w:t>包含但不限于以下内容：</w:t>
      </w:r>
    </w:p>
    <w:p w14:paraId="14348F9D">
      <w:pPr>
        <w:ind w:firstLine="480" w:firstLineChars="200"/>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pPr>
    </w:p>
    <w:p w14:paraId="0ED2C0E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lang w:val="en-US" w:eastAsia="zh-CN"/>
          <w14:textFill>
            <w14:solidFill>
              <w14:schemeClr w14:val="tx1"/>
            </w14:solidFill>
          </w14:textFill>
        </w:rPr>
        <w:t>1、对项目重点、难点分析</w:t>
      </w:r>
    </w:p>
    <w:p w14:paraId="0AE1DAF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2、服务</w:t>
      </w:r>
      <w:r>
        <w:rPr>
          <w:rFonts w:hint="eastAsia" w:ascii="宋体" w:hAnsi="宋体" w:cs="宋体"/>
          <w:b w:val="0"/>
          <w:bCs w:val="0"/>
          <w:color w:val="000000" w:themeColor="text1"/>
          <w:sz w:val="24"/>
          <w:szCs w:val="24"/>
          <w:highlight w:val="none"/>
          <w14:textFill>
            <w14:solidFill>
              <w14:schemeClr w14:val="tx1"/>
            </w14:solidFill>
          </w14:textFill>
        </w:rPr>
        <w:t>方案与技术措施</w:t>
      </w:r>
    </w:p>
    <w:p w14:paraId="09097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cs="宋体"/>
          <w:b w:val="0"/>
          <w:bCs w:val="0"/>
          <w:color w:val="000000" w:themeColor="text1"/>
          <w:sz w:val="24"/>
          <w:szCs w:val="24"/>
          <w:highlight w:val="none"/>
          <w14:textFill>
            <w14:solidFill>
              <w14:schemeClr w14:val="tx1"/>
            </w14:solidFill>
          </w14:textFill>
        </w:rPr>
        <w:t>质量管理与</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保障</w:t>
      </w:r>
      <w:r>
        <w:rPr>
          <w:rFonts w:hint="eastAsia" w:ascii="宋体" w:hAnsi="宋体" w:cs="宋体"/>
          <w:b w:val="0"/>
          <w:bCs w:val="0"/>
          <w:color w:val="000000" w:themeColor="text1"/>
          <w:sz w:val="24"/>
          <w:szCs w:val="24"/>
          <w:highlight w:val="none"/>
          <w14:textFill>
            <w14:solidFill>
              <w14:schemeClr w14:val="tx1"/>
            </w14:solidFill>
          </w14:textFill>
        </w:rPr>
        <w:t>措施</w:t>
      </w:r>
    </w:p>
    <w:p w14:paraId="7BF8C4F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4、项目</w:t>
      </w:r>
      <w:r>
        <w:rPr>
          <w:rFonts w:hint="eastAsia" w:ascii="宋体" w:hAnsi="宋体" w:cs="宋体"/>
          <w:b w:val="0"/>
          <w:bCs w:val="0"/>
          <w:color w:val="000000" w:themeColor="text1"/>
          <w:sz w:val="24"/>
          <w:szCs w:val="24"/>
          <w:highlight w:val="none"/>
          <w14:textFill>
            <w14:solidFill>
              <w14:schemeClr w14:val="tx1"/>
            </w14:solidFill>
          </w14:textFill>
        </w:rPr>
        <w:t>进度计划与保证措施</w:t>
      </w:r>
    </w:p>
    <w:p w14:paraId="1A2542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ascii="宋体" w:hAnsi="宋体" w:eastAsia="宋体" w:cs="宋体"/>
          <w:b w:val="0"/>
          <w:bCs w:val="0"/>
          <w:color w:val="000000" w:themeColor="text1"/>
          <w:sz w:val="24"/>
          <w:szCs w:val="24"/>
          <w:highlight w:val="none"/>
          <w14:textFill>
            <w14:solidFill>
              <w14:schemeClr w14:val="tx1"/>
            </w14:solidFill>
          </w14:textFill>
        </w:rPr>
        <w:t>安全生产、文明施工、环境保护措施</w:t>
      </w:r>
    </w:p>
    <w:p w14:paraId="77E02D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cs="宋体"/>
          <w:b w:val="0"/>
          <w:bCs w:val="0"/>
          <w:color w:val="000000" w:themeColor="text1"/>
          <w:sz w:val="24"/>
          <w:szCs w:val="24"/>
          <w:highlight w:val="none"/>
          <w14:textFill>
            <w14:solidFill>
              <w14:schemeClr w14:val="tx1"/>
            </w14:solidFill>
          </w14:textFill>
        </w:rPr>
        <w:t>资源配备计划</w:t>
      </w:r>
    </w:p>
    <w:p w14:paraId="22B7E1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lang w:val="en-US" w:eastAsia="zh-CN"/>
          <w14:textFill>
            <w14:solidFill>
              <w14:schemeClr w14:val="tx1"/>
            </w14:solidFill>
          </w14:textFill>
        </w:rPr>
        <w:t>7、</w:t>
      </w:r>
      <w:r>
        <w:rPr>
          <w:rFonts w:hint="eastAsia"/>
          <w:b w:val="0"/>
          <w:bCs w:val="0"/>
          <w:color w:val="000000" w:themeColor="text1"/>
          <w:kern w:val="0"/>
          <w:sz w:val="24"/>
          <w:szCs w:val="24"/>
          <w:highlight w:val="none"/>
          <w14:textFill>
            <w14:solidFill>
              <w14:schemeClr w14:val="tx1"/>
            </w14:solidFill>
          </w14:textFill>
        </w:rPr>
        <w:t>项目管理机构配置</w:t>
      </w:r>
    </w:p>
    <w:p w14:paraId="0BE8982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后续服务工作安排及承诺</w:t>
      </w:r>
    </w:p>
    <w:p w14:paraId="03CA8840">
      <w:pPr>
        <w:keepNext w:val="0"/>
        <w:keepLines w:val="0"/>
        <w:pageBreakBefore w:val="0"/>
        <w:widowControl/>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w:t>
      </w:r>
    </w:p>
    <w:p w14:paraId="39202C64">
      <w:pPr>
        <w:spacing w:line="480" w:lineRule="exact"/>
        <w:ind w:firstLine="540" w:firstLineChars="225"/>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注：具体技术部分要求以评分办法为准。</w:t>
      </w:r>
    </w:p>
    <w:p w14:paraId="195A5D2C">
      <w:pP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br w:type="page"/>
      </w:r>
    </w:p>
    <w:p w14:paraId="12C9F341">
      <w:pPr>
        <w:jc w:val="center"/>
        <w:rPr>
          <w:rFonts w:ascii="宋体" w:hAnsi="宋体" w:cs="宋体"/>
          <w:b/>
          <w:color w:val="000000" w:themeColor="text1"/>
          <w:sz w:val="26"/>
          <w:szCs w:val="26"/>
          <w:highlight w:val="none"/>
          <w14:textFill>
            <w14:solidFill>
              <w14:schemeClr w14:val="tx1"/>
            </w14:solidFill>
          </w14:textFill>
        </w:rPr>
      </w:pPr>
    </w:p>
    <w:p w14:paraId="7F6C400D">
      <w:pPr>
        <w:jc w:val="left"/>
        <w:rPr>
          <w:rFonts w:hint="default" w:ascii="宋体" w:hAnsi="宋体" w:eastAsia="宋体" w:cs="宋体"/>
          <w:b/>
          <w:color w:val="000000" w:themeColor="text1"/>
          <w:sz w:val="26"/>
          <w:szCs w:val="26"/>
          <w:highlight w:val="none"/>
          <w:lang w:val="en-US" w:eastAsia="zh-CN"/>
          <w14:textFill>
            <w14:solidFill>
              <w14:schemeClr w14:val="tx1"/>
            </w14:solidFill>
          </w14:textFill>
        </w:rPr>
      </w:pPr>
      <w:r>
        <w:rPr>
          <w:rFonts w:hint="eastAsia" w:ascii="宋体" w:hAnsi="宋体" w:cs="宋体"/>
          <w:b/>
          <w:color w:val="000000" w:themeColor="text1"/>
          <w:sz w:val="26"/>
          <w:szCs w:val="26"/>
          <w:highlight w:val="none"/>
          <w:lang w:val="en-US" w:eastAsia="zh-CN"/>
          <w14:textFill>
            <w14:solidFill>
              <w14:schemeClr w14:val="tx1"/>
            </w14:solidFill>
          </w14:textFill>
        </w:rPr>
        <w:t>附件1</w:t>
      </w:r>
    </w:p>
    <w:p w14:paraId="10BA33A2">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w:t>
      </w:r>
      <w:r>
        <w:rPr>
          <w:rFonts w:hint="eastAsia" w:ascii="宋体" w:hAnsi="宋体" w:cs="宋体"/>
          <w:b/>
          <w:color w:val="000000" w:themeColor="text1"/>
          <w:sz w:val="28"/>
          <w:szCs w:val="28"/>
          <w:highlight w:val="none"/>
          <w:lang w:val="en-US" w:eastAsia="zh-CN"/>
          <w14:textFill>
            <w14:solidFill>
              <w14:schemeClr w14:val="tx1"/>
            </w14:solidFill>
          </w14:textFill>
        </w:rPr>
        <w:t>负责人</w:t>
      </w:r>
      <w:r>
        <w:rPr>
          <w:rFonts w:hint="eastAsia" w:ascii="宋体" w:hAnsi="宋体" w:cs="宋体"/>
          <w:b/>
          <w:color w:val="000000" w:themeColor="text1"/>
          <w:sz w:val="28"/>
          <w:szCs w:val="28"/>
          <w:highlight w:val="none"/>
          <w14:textFill>
            <w14:solidFill>
              <w14:schemeClr w14:val="tx1"/>
            </w14:solidFill>
          </w14:textFill>
        </w:rPr>
        <w:t>简历表</w:t>
      </w:r>
    </w:p>
    <w:tbl>
      <w:tblPr>
        <w:tblStyle w:val="5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84"/>
        <w:gridCol w:w="1191"/>
        <w:gridCol w:w="1336"/>
        <w:gridCol w:w="2080"/>
        <w:gridCol w:w="2227"/>
      </w:tblGrid>
      <w:tr w14:paraId="6DA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14:paraId="6F7C7B5B">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姓  名</w:t>
            </w:r>
          </w:p>
        </w:tc>
        <w:tc>
          <w:tcPr>
            <w:tcW w:w="1084" w:type="dxa"/>
            <w:vAlign w:val="center"/>
          </w:tcPr>
          <w:p w14:paraId="45FBAD22">
            <w:pPr>
              <w:jc w:val="center"/>
              <w:rPr>
                <w:rFonts w:ascii="宋体" w:hAnsi="宋体"/>
                <w:color w:val="000000" w:themeColor="text1"/>
                <w:szCs w:val="21"/>
                <w:highlight w:val="none"/>
                <w14:textFill>
                  <w14:solidFill>
                    <w14:schemeClr w14:val="tx1"/>
                  </w14:solidFill>
                </w14:textFill>
              </w:rPr>
            </w:pPr>
          </w:p>
        </w:tc>
        <w:tc>
          <w:tcPr>
            <w:tcW w:w="1191" w:type="dxa"/>
            <w:vAlign w:val="center"/>
          </w:tcPr>
          <w:p w14:paraId="2695427C">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  龄</w:t>
            </w:r>
          </w:p>
        </w:tc>
        <w:tc>
          <w:tcPr>
            <w:tcW w:w="1336" w:type="dxa"/>
            <w:vAlign w:val="center"/>
          </w:tcPr>
          <w:p w14:paraId="435DA836">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6E7D1CCB">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学历</w:t>
            </w:r>
          </w:p>
        </w:tc>
        <w:tc>
          <w:tcPr>
            <w:tcW w:w="2227" w:type="dxa"/>
            <w:vAlign w:val="center"/>
          </w:tcPr>
          <w:p w14:paraId="3AB18D0E">
            <w:pPr>
              <w:jc w:val="center"/>
              <w:rPr>
                <w:rFonts w:ascii="宋体" w:hAnsi="宋体"/>
                <w:color w:val="000000" w:themeColor="text1"/>
                <w:szCs w:val="21"/>
                <w:highlight w:val="none"/>
                <w14:textFill>
                  <w14:solidFill>
                    <w14:schemeClr w14:val="tx1"/>
                  </w14:solidFill>
                </w14:textFill>
              </w:rPr>
            </w:pPr>
          </w:p>
        </w:tc>
      </w:tr>
      <w:tr w14:paraId="7770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14:paraId="5791EA28">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  称</w:t>
            </w:r>
          </w:p>
        </w:tc>
        <w:tc>
          <w:tcPr>
            <w:tcW w:w="1084" w:type="dxa"/>
            <w:vAlign w:val="center"/>
          </w:tcPr>
          <w:p w14:paraId="3977112D">
            <w:pPr>
              <w:jc w:val="center"/>
              <w:rPr>
                <w:rFonts w:ascii="宋体" w:hAnsi="宋体"/>
                <w:color w:val="000000" w:themeColor="text1"/>
                <w:szCs w:val="21"/>
                <w:highlight w:val="none"/>
                <w14:textFill>
                  <w14:solidFill>
                    <w14:schemeClr w14:val="tx1"/>
                  </w14:solidFill>
                </w14:textFill>
              </w:rPr>
            </w:pPr>
          </w:p>
        </w:tc>
        <w:tc>
          <w:tcPr>
            <w:tcW w:w="1191" w:type="dxa"/>
            <w:vAlign w:val="center"/>
          </w:tcPr>
          <w:p w14:paraId="6C4EDC22">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职  务</w:t>
            </w:r>
          </w:p>
        </w:tc>
        <w:tc>
          <w:tcPr>
            <w:tcW w:w="1336" w:type="dxa"/>
            <w:vAlign w:val="center"/>
          </w:tcPr>
          <w:p w14:paraId="0AE595DB">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4862290A">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拟在本</w:t>
            </w:r>
            <w:r>
              <w:rPr>
                <w:rFonts w:hint="eastAsia" w:ascii="宋体" w:hAnsi="宋体"/>
                <w:color w:val="000000" w:themeColor="text1"/>
                <w:szCs w:val="21"/>
                <w:highlight w:val="none"/>
                <w:lang w:val="en-US" w:eastAsia="zh-CN"/>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任职</w:t>
            </w:r>
          </w:p>
        </w:tc>
        <w:tc>
          <w:tcPr>
            <w:tcW w:w="2227" w:type="dxa"/>
            <w:vAlign w:val="center"/>
          </w:tcPr>
          <w:p w14:paraId="380DD20B">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项目负责人</w:t>
            </w:r>
          </w:p>
        </w:tc>
      </w:tr>
      <w:tr w14:paraId="6A8B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14:paraId="7B589B5C">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毕业</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学校</w:t>
            </w:r>
          </w:p>
        </w:tc>
        <w:tc>
          <w:tcPr>
            <w:tcW w:w="7918" w:type="dxa"/>
            <w:gridSpan w:val="5"/>
            <w:vAlign w:val="center"/>
          </w:tcPr>
          <w:p w14:paraId="1BA926D8">
            <w:pPr>
              <w:ind w:firstLine="960" w:firstLineChars="4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年毕业于                  学校            专业</w:t>
            </w:r>
          </w:p>
        </w:tc>
      </w:tr>
      <w:tr w14:paraId="5943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6"/>
            <w:vAlign w:val="center"/>
          </w:tcPr>
          <w:p w14:paraId="1B913109">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主要工作经历</w:t>
            </w:r>
          </w:p>
        </w:tc>
      </w:tr>
      <w:tr w14:paraId="51CD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3" w:type="dxa"/>
            <w:vAlign w:val="center"/>
          </w:tcPr>
          <w:p w14:paraId="4CBCA867">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时  间</w:t>
            </w:r>
          </w:p>
        </w:tc>
        <w:tc>
          <w:tcPr>
            <w:tcW w:w="3611" w:type="dxa"/>
            <w:gridSpan w:val="3"/>
            <w:vAlign w:val="center"/>
          </w:tcPr>
          <w:p w14:paraId="47CDF4F0">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参加过的类似项目名称</w:t>
            </w:r>
          </w:p>
        </w:tc>
        <w:tc>
          <w:tcPr>
            <w:tcW w:w="2080" w:type="dxa"/>
            <w:vAlign w:val="center"/>
          </w:tcPr>
          <w:p w14:paraId="5D962696">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工程概况说明</w:t>
            </w:r>
          </w:p>
        </w:tc>
        <w:tc>
          <w:tcPr>
            <w:tcW w:w="2227" w:type="dxa"/>
            <w:vAlign w:val="center"/>
          </w:tcPr>
          <w:p w14:paraId="47D519AC">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发包人</w:t>
            </w:r>
          </w:p>
        </w:tc>
      </w:tr>
      <w:tr w14:paraId="3B52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5D412D7F">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067514D7">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411E5FBB">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02CB92B2">
            <w:pPr>
              <w:jc w:val="center"/>
              <w:rPr>
                <w:rFonts w:ascii="宋体" w:hAnsi="宋体"/>
                <w:color w:val="000000" w:themeColor="text1"/>
                <w:szCs w:val="21"/>
                <w:highlight w:val="none"/>
                <w14:textFill>
                  <w14:solidFill>
                    <w14:schemeClr w14:val="tx1"/>
                  </w14:solidFill>
                </w14:textFill>
              </w:rPr>
            </w:pPr>
          </w:p>
        </w:tc>
      </w:tr>
      <w:tr w14:paraId="1060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392E0328">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306CB5CA">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57AA46D4">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0CAEF34A">
            <w:pPr>
              <w:jc w:val="center"/>
              <w:rPr>
                <w:rFonts w:ascii="宋体" w:hAnsi="宋体"/>
                <w:color w:val="000000" w:themeColor="text1"/>
                <w:szCs w:val="21"/>
                <w:highlight w:val="none"/>
                <w14:textFill>
                  <w14:solidFill>
                    <w14:schemeClr w14:val="tx1"/>
                  </w14:solidFill>
                </w14:textFill>
              </w:rPr>
            </w:pPr>
          </w:p>
        </w:tc>
      </w:tr>
      <w:tr w14:paraId="7F98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73207E92">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78C65FB9">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4C7684D2">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69299E71">
            <w:pPr>
              <w:jc w:val="center"/>
              <w:rPr>
                <w:rFonts w:ascii="宋体" w:hAnsi="宋体"/>
                <w:color w:val="000000" w:themeColor="text1"/>
                <w:szCs w:val="21"/>
                <w:highlight w:val="none"/>
                <w14:textFill>
                  <w14:solidFill>
                    <w14:schemeClr w14:val="tx1"/>
                  </w14:solidFill>
                </w14:textFill>
              </w:rPr>
            </w:pPr>
          </w:p>
        </w:tc>
      </w:tr>
      <w:tr w14:paraId="343E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05DE22AF">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2C518610">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7CBA38A4">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6466F7CB">
            <w:pPr>
              <w:jc w:val="center"/>
              <w:rPr>
                <w:rFonts w:ascii="宋体" w:hAnsi="宋体"/>
                <w:color w:val="000000" w:themeColor="text1"/>
                <w:szCs w:val="21"/>
                <w:highlight w:val="none"/>
                <w14:textFill>
                  <w14:solidFill>
                    <w14:schemeClr w14:val="tx1"/>
                  </w14:solidFill>
                </w14:textFill>
              </w:rPr>
            </w:pPr>
          </w:p>
        </w:tc>
      </w:tr>
      <w:tr w14:paraId="45F8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76E29C55">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1B0AE978">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27C77685">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6F0E2C12">
            <w:pPr>
              <w:jc w:val="center"/>
              <w:rPr>
                <w:rFonts w:ascii="宋体" w:hAnsi="宋体"/>
                <w:color w:val="000000" w:themeColor="text1"/>
                <w:szCs w:val="21"/>
                <w:highlight w:val="none"/>
                <w14:textFill>
                  <w14:solidFill>
                    <w14:schemeClr w14:val="tx1"/>
                  </w14:solidFill>
                </w14:textFill>
              </w:rPr>
            </w:pPr>
          </w:p>
        </w:tc>
      </w:tr>
      <w:tr w14:paraId="3DDE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5DCB3DA4">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00B0C33D">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581F1FA0">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5ACEA87F">
            <w:pPr>
              <w:jc w:val="center"/>
              <w:rPr>
                <w:rFonts w:ascii="宋体" w:hAnsi="宋体"/>
                <w:color w:val="000000" w:themeColor="text1"/>
                <w:szCs w:val="21"/>
                <w:highlight w:val="none"/>
                <w14:textFill>
                  <w14:solidFill>
                    <w14:schemeClr w14:val="tx1"/>
                  </w14:solidFill>
                </w14:textFill>
              </w:rPr>
            </w:pPr>
          </w:p>
        </w:tc>
      </w:tr>
      <w:tr w14:paraId="6726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41623B4B">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0FE75A91">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54DADDFE">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50A03744">
            <w:pPr>
              <w:jc w:val="center"/>
              <w:rPr>
                <w:rFonts w:ascii="宋体" w:hAnsi="宋体"/>
                <w:color w:val="000000" w:themeColor="text1"/>
                <w:szCs w:val="21"/>
                <w:highlight w:val="none"/>
                <w14:textFill>
                  <w14:solidFill>
                    <w14:schemeClr w14:val="tx1"/>
                  </w14:solidFill>
                </w14:textFill>
              </w:rPr>
            </w:pPr>
          </w:p>
        </w:tc>
      </w:tr>
      <w:tr w14:paraId="4FF6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707E3748">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4EB823B0">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4B13381F">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1EDC5462">
            <w:pPr>
              <w:jc w:val="center"/>
              <w:rPr>
                <w:rFonts w:ascii="宋体" w:hAnsi="宋体"/>
                <w:color w:val="000000" w:themeColor="text1"/>
                <w:szCs w:val="21"/>
                <w:highlight w:val="none"/>
                <w14:textFill>
                  <w14:solidFill>
                    <w14:schemeClr w14:val="tx1"/>
                  </w14:solidFill>
                </w14:textFill>
              </w:rPr>
            </w:pPr>
          </w:p>
        </w:tc>
      </w:tr>
      <w:tr w14:paraId="0862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3" w:type="dxa"/>
            <w:vAlign w:val="center"/>
          </w:tcPr>
          <w:p w14:paraId="7E3BC7CB">
            <w:pPr>
              <w:jc w:val="center"/>
              <w:rPr>
                <w:rFonts w:ascii="宋体" w:hAnsi="宋体"/>
                <w:color w:val="000000" w:themeColor="text1"/>
                <w:szCs w:val="21"/>
                <w:highlight w:val="none"/>
                <w14:textFill>
                  <w14:solidFill>
                    <w14:schemeClr w14:val="tx1"/>
                  </w14:solidFill>
                </w14:textFill>
              </w:rPr>
            </w:pPr>
          </w:p>
        </w:tc>
        <w:tc>
          <w:tcPr>
            <w:tcW w:w="3611" w:type="dxa"/>
            <w:gridSpan w:val="3"/>
            <w:vAlign w:val="center"/>
          </w:tcPr>
          <w:p w14:paraId="02F6C109">
            <w:pPr>
              <w:jc w:val="center"/>
              <w:rPr>
                <w:rFonts w:ascii="宋体" w:hAnsi="宋体"/>
                <w:color w:val="000000" w:themeColor="text1"/>
                <w:szCs w:val="21"/>
                <w:highlight w:val="none"/>
                <w14:textFill>
                  <w14:solidFill>
                    <w14:schemeClr w14:val="tx1"/>
                  </w14:solidFill>
                </w14:textFill>
              </w:rPr>
            </w:pPr>
          </w:p>
        </w:tc>
        <w:tc>
          <w:tcPr>
            <w:tcW w:w="2080" w:type="dxa"/>
            <w:vAlign w:val="center"/>
          </w:tcPr>
          <w:p w14:paraId="3329A0F7">
            <w:pPr>
              <w:jc w:val="center"/>
              <w:rPr>
                <w:rFonts w:ascii="宋体" w:hAnsi="宋体"/>
                <w:color w:val="000000" w:themeColor="text1"/>
                <w:szCs w:val="21"/>
                <w:highlight w:val="none"/>
                <w14:textFill>
                  <w14:solidFill>
                    <w14:schemeClr w14:val="tx1"/>
                  </w14:solidFill>
                </w14:textFill>
              </w:rPr>
            </w:pPr>
          </w:p>
        </w:tc>
        <w:tc>
          <w:tcPr>
            <w:tcW w:w="2227" w:type="dxa"/>
            <w:vAlign w:val="center"/>
          </w:tcPr>
          <w:p w14:paraId="7740B53E">
            <w:pPr>
              <w:jc w:val="center"/>
              <w:rPr>
                <w:rFonts w:ascii="宋体" w:hAnsi="宋体"/>
                <w:color w:val="000000" w:themeColor="text1"/>
                <w:szCs w:val="21"/>
                <w:highlight w:val="none"/>
                <w14:textFill>
                  <w14:solidFill>
                    <w14:schemeClr w14:val="tx1"/>
                  </w14:solidFill>
                </w14:textFill>
              </w:rPr>
            </w:pPr>
          </w:p>
        </w:tc>
      </w:tr>
    </w:tbl>
    <w:p w14:paraId="1D4DBE84">
      <w:pPr>
        <w:rPr>
          <w:rFonts w:ascii="宋体" w:hAnsi="宋体"/>
          <w:color w:val="000000" w:themeColor="text1"/>
          <w:highlight w:val="none"/>
          <w14:textFill>
            <w14:solidFill>
              <w14:schemeClr w14:val="tx1"/>
            </w14:solidFill>
          </w14:textFill>
        </w:rPr>
      </w:pPr>
    </w:p>
    <w:p w14:paraId="681E5949">
      <w:pPr>
        <w:pStyle w:val="23"/>
        <w:rPr>
          <w:rFonts w:ascii="宋体" w:hAnsi="宋体"/>
          <w:color w:val="000000" w:themeColor="text1"/>
          <w:highlight w:val="none"/>
          <w14:textFill>
            <w14:solidFill>
              <w14:schemeClr w14:val="tx1"/>
            </w14:solidFill>
          </w14:textFill>
        </w:rPr>
      </w:pPr>
    </w:p>
    <w:p w14:paraId="0DD688CD">
      <w:pPr>
        <w:pStyle w:val="23"/>
        <w:rPr>
          <w:rFonts w:ascii="宋体" w:hAnsi="宋体"/>
          <w:color w:val="000000" w:themeColor="text1"/>
          <w:highlight w:val="none"/>
          <w14:textFill>
            <w14:solidFill>
              <w14:schemeClr w14:val="tx1"/>
            </w14:solidFill>
          </w14:textFill>
        </w:rPr>
      </w:pPr>
    </w:p>
    <w:p w14:paraId="0DEECC6F">
      <w:pPr>
        <w:rPr>
          <w:rFonts w:ascii="宋体" w:hAnsi="宋体"/>
          <w:color w:val="000000" w:themeColor="text1"/>
          <w:highlight w:val="none"/>
          <w14:textFill>
            <w14:solidFill>
              <w14:schemeClr w14:val="tx1"/>
            </w14:solidFill>
          </w14:textFill>
        </w:rPr>
      </w:pPr>
    </w:p>
    <w:p w14:paraId="4D3337FE">
      <w:pPr>
        <w:rPr>
          <w:rFonts w:ascii="宋体" w:hAnsi="宋体"/>
          <w:color w:val="000000" w:themeColor="text1"/>
          <w:highlight w:val="none"/>
          <w14:textFill>
            <w14:solidFill>
              <w14:schemeClr w14:val="tx1"/>
            </w14:solidFill>
          </w14:textFill>
        </w:rPr>
      </w:pPr>
    </w:p>
    <w:p w14:paraId="55E70642">
      <w:pPr>
        <w:rPr>
          <w:rFonts w:ascii="宋体" w:hAnsi="宋体"/>
          <w:color w:val="000000" w:themeColor="text1"/>
          <w:highlight w:val="none"/>
          <w14:textFill>
            <w14:solidFill>
              <w14:schemeClr w14:val="tx1"/>
            </w14:solidFill>
          </w14:textFill>
        </w:rPr>
      </w:pPr>
    </w:p>
    <w:p w14:paraId="018CCA91">
      <w:pPr>
        <w:rPr>
          <w:rFonts w:ascii="宋体" w:hAnsi="宋体"/>
          <w:color w:val="000000" w:themeColor="text1"/>
          <w:highlight w:val="none"/>
          <w14:textFill>
            <w14:solidFill>
              <w14:schemeClr w14:val="tx1"/>
            </w14:solidFill>
          </w14:textFill>
        </w:rPr>
      </w:pPr>
    </w:p>
    <w:p w14:paraId="41250E11">
      <w:pPr>
        <w:rPr>
          <w:rFonts w:ascii="宋体" w:hAnsi="宋体"/>
          <w:color w:val="000000" w:themeColor="text1"/>
          <w:highlight w:val="none"/>
          <w14:textFill>
            <w14:solidFill>
              <w14:schemeClr w14:val="tx1"/>
            </w14:solidFill>
          </w14:textFill>
        </w:rPr>
      </w:pPr>
    </w:p>
    <w:p w14:paraId="523F260C">
      <w:pPr>
        <w:rPr>
          <w:rFonts w:ascii="宋体" w:hAnsi="宋体"/>
          <w:color w:val="000000" w:themeColor="text1"/>
          <w:highlight w:val="none"/>
          <w14:textFill>
            <w14:solidFill>
              <w14:schemeClr w14:val="tx1"/>
            </w14:solidFill>
          </w14:textFill>
        </w:rPr>
      </w:pPr>
    </w:p>
    <w:p w14:paraId="21D2DD97">
      <w:pPr>
        <w:rPr>
          <w:rFonts w:ascii="宋体" w:hAnsi="宋体"/>
          <w:color w:val="000000" w:themeColor="text1"/>
          <w:highlight w:val="none"/>
          <w14:textFill>
            <w14:solidFill>
              <w14:schemeClr w14:val="tx1"/>
            </w14:solidFill>
          </w14:textFill>
        </w:rPr>
      </w:pPr>
    </w:p>
    <w:p w14:paraId="4DA43927">
      <w:pPr>
        <w:rPr>
          <w:rFonts w:ascii="宋体" w:hAnsi="宋体"/>
          <w:color w:val="000000" w:themeColor="text1"/>
          <w:highlight w:val="none"/>
          <w14:textFill>
            <w14:solidFill>
              <w14:schemeClr w14:val="tx1"/>
            </w14:solidFill>
          </w14:textFill>
        </w:rPr>
      </w:pPr>
    </w:p>
    <w:p w14:paraId="16558B90">
      <w:pPr>
        <w:pStyle w:val="23"/>
        <w:ind w:left="0" w:leftChars="0" w:firstLine="0" w:firstLineChars="0"/>
        <w:jc w:val="both"/>
        <w:rPr>
          <w:rFonts w:hint="eastAsia" w:hAnsi="宋体"/>
          <w:b/>
          <w:bCs/>
          <w:color w:val="000000" w:themeColor="text1"/>
          <w:sz w:val="28"/>
          <w:szCs w:val="28"/>
          <w:highlight w:val="none"/>
          <w:lang w:val="en-US" w:eastAsia="zh-CN"/>
          <w14:textFill>
            <w14:solidFill>
              <w14:schemeClr w14:val="tx1"/>
            </w14:solidFill>
          </w14:textFill>
        </w:rPr>
      </w:pPr>
      <w:r>
        <w:rPr>
          <w:rFonts w:hint="eastAsia" w:hAnsi="宋体"/>
          <w:b/>
          <w:bCs/>
          <w:color w:val="000000" w:themeColor="text1"/>
          <w:sz w:val="24"/>
          <w:szCs w:val="24"/>
          <w:highlight w:val="none"/>
          <w:lang w:val="en-US" w:eastAsia="zh-CN"/>
          <w14:textFill>
            <w14:solidFill>
              <w14:schemeClr w14:val="tx1"/>
            </w14:solidFill>
          </w14:textFill>
        </w:rPr>
        <w:t xml:space="preserve">附件2       </w:t>
      </w:r>
    </w:p>
    <w:p w14:paraId="7F3B31E6">
      <w:pPr>
        <w:pStyle w:val="23"/>
        <w:ind w:left="0" w:leftChars="0" w:firstLine="0" w:firstLineChars="0"/>
        <w:jc w:val="center"/>
        <w:rPr>
          <w:rFonts w:hint="eastAsia"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项目管理机构配置</w:t>
      </w:r>
    </w:p>
    <w:p w14:paraId="03C8DC1D">
      <w:pPr>
        <w:pStyle w:val="23"/>
        <w:ind w:left="0" w:leftChars="0" w:firstLine="0" w:firstLineChars="0"/>
        <w:jc w:val="both"/>
        <w:rPr>
          <w:rFonts w:hint="eastAsia" w:ascii="宋体" w:hAnsi="宋体"/>
          <w:b/>
          <w:bCs/>
          <w:color w:val="000000" w:themeColor="text1"/>
          <w:sz w:val="24"/>
          <w:szCs w:val="24"/>
          <w:highlight w:val="none"/>
          <w14:textFill>
            <w14:solidFill>
              <w14:schemeClr w14:val="tx1"/>
            </w14:solidFill>
          </w14:textFill>
        </w:rPr>
      </w:pPr>
    </w:p>
    <w:tbl>
      <w:tblPr>
        <w:tblStyle w:val="51"/>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524"/>
        <w:gridCol w:w="739"/>
        <w:gridCol w:w="1445"/>
        <w:gridCol w:w="1020"/>
        <w:gridCol w:w="936"/>
        <w:gridCol w:w="972"/>
        <w:gridCol w:w="1349"/>
      </w:tblGrid>
      <w:tr w14:paraId="6737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37" w:type="dxa"/>
            <w:vAlign w:val="center"/>
          </w:tcPr>
          <w:p w14:paraId="030A519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岗位</w:t>
            </w:r>
          </w:p>
        </w:tc>
        <w:tc>
          <w:tcPr>
            <w:tcW w:w="1524" w:type="dxa"/>
            <w:vAlign w:val="center"/>
          </w:tcPr>
          <w:p w14:paraId="3656001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739" w:type="dxa"/>
            <w:vAlign w:val="center"/>
          </w:tcPr>
          <w:p w14:paraId="4E3176A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性别</w:t>
            </w:r>
          </w:p>
        </w:tc>
        <w:tc>
          <w:tcPr>
            <w:tcW w:w="1445" w:type="dxa"/>
            <w:vAlign w:val="center"/>
          </w:tcPr>
          <w:p w14:paraId="724A085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出生年月</w:t>
            </w:r>
          </w:p>
        </w:tc>
        <w:tc>
          <w:tcPr>
            <w:tcW w:w="1020" w:type="dxa"/>
            <w:vAlign w:val="center"/>
          </w:tcPr>
          <w:p w14:paraId="7E277B5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工作</w:t>
            </w:r>
          </w:p>
          <w:p w14:paraId="186FF2D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年限</w:t>
            </w:r>
          </w:p>
        </w:tc>
        <w:tc>
          <w:tcPr>
            <w:tcW w:w="936" w:type="dxa"/>
            <w:vAlign w:val="center"/>
          </w:tcPr>
          <w:p w14:paraId="1316789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972" w:type="dxa"/>
            <w:vAlign w:val="center"/>
          </w:tcPr>
          <w:p w14:paraId="1AB678E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学历</w:t>
            </w:r>
          </w:p>
        </w:tc>
        <w:tc>
          <w:tcPr>
            <w:tcW w:w="1349" w:type="dxa"/>
            <w:vAlign w:val="center"/>
          </w:tcPr>
          <w:p w14:paraId="20A91EA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资格证</w:t>
            </w:r>
            <w:r>
              <w:rPr>
                <w:rFonts w:hint="eastAsia" w:ascii="宋体" w:hAnsi="宋体" w:cs="宋体"/>
                <w:color w:val="000000" w:themeColor="text1"/>
                <w:szCs w:val="21"/>
                <w:highlight w:val="none"/>
                <w:lang w:val="en-US" w:eastAsia="zh-CN"/>
                <w14:textFill>
                  <w14:solidFill>
                    <w14:schemeClr w14:val="tx1"/>
                  </w14:solidFill>
                </w14:textFill>
              </w:rPr>
              <w:t>书</w:t>
            </w:r>
            <w:r>
              <w:rPr>
                <w:rFonts w:hint="eastAsia" w:ascii="宋体" w:hAnsi="宋体" w:cs="宋体"/>
                <w:color w:val="000000" w:themeColor="text1"/>
                <w:szCs w:val="21"/>
                <w:highlight w:val="none"/>
                <w14:textFill>
                  <w14:solidFill>
                    <w14:schemeClr w14:val="tx1"/>
                  </w14:solidFill>
                </w14:textFill>
              </w:rPr>
              <w:t>编号）</w:t>
            </w:r>
          </w:p>
        </w:tc>
      </w:tr>
      <w:tr w14:paraId="762A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vAlign w:val="center"/>
          </w:tcPr>
          <w:p w14:paraId="2DFEE8E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lang w:val="en-US" w:eastAsia="zh-CN"/>
                <w14:textFill>
                  <w14:solidFill>
                    <w14:schemeClr w14:val="tx1"/>
                  </w14:solidFill>
                </w14:textFill>
              </w:rPr>
              <w:t>负责人</w:t>
            </w:r>
          </w:p>
        </w:tc>
        <w:tc>
          <w:tcPr>
            <w:tcW w:w="1524" w:type="dxa"/>
            <w:vAlign w:val="center"/>
          </w:tcPr>
          <w:p w14:paraId="7609702D">
            <w:pPr>
              <w:jc w:val="center"/>
              <w:rPr>
                <w:rFonts w:ascii="宋体" w:hAnsi="宋体" w:cs="宋体"/>
                <w:color w:val="000000" w:themeColor="text1"/>
                <w:szCs w:val="21"/>
                <w:highlight w:val="none"/>
                <w14:textFill>
                  <w14:solidFill>
                    <w14:schemeClr w14:val="tx1"/>
                  </w14:solidFill>
                </w14:textFill>
              </w:rPr>
            </w:pPr>
          </w:p>
        </w:tc>
        <w:tc>
          <w:tcPr>
            <w:tcW w:w="739" w:type="dxa"/>
            <w:vAlign w:val="center"/>
          </w:tcPr>
          <w:p w14:paraId="6CC7BE26">
            <w:pPr>
              <w:jc w:val="center"/>
              <w:rPr>
                <w:rFonts w:ascii="宋体" w:hAnsi="宋体" w:cs="宋体"/>
                <w:color w:val="000000" w:themeColor="text1"/>
                <w:szCs w:val="21"/>
                <w:highlight w:val="none"/>
                <w14:textFill>
                  <w14:solidFill>
                    <w14:schemeClr w14:val="tx1"/>
                  </w14:solidFill>
                </w14:textFill>
              </w:rPr>
            </w:pPr>
          </w:p>
        </w:tc>
        <w:tc>
          <w:tcPr>
            <w:tcW w:w="1445" w:type="dxa"/>
            <w:vAlign w:val="center"/>
          </w:tcPr>
          <w:p w14:paraId="57808056">
            <w:pPr>
              <w:jc w:val="center"/>
              <w:rPr>
                <w:rFonts w:ascii="宋体" w:hAnsi="宋体" w:cs="宋体"/>
                <w:color w:val="000000" w:themeColor="text1"/>
                <w:szCs w:val="21"/>
                <w:highlight w:val="none"/>
                <w14:textFill>
                  <w14:solidFill>
                    <w14:schemeClr w14:val="tx1"/>
                  </w14:solidFill>
                </w14:textFill>
              </w:rPr>
            </w:pPr>
          </w:p>
        </w:tc>
        <w:tc>
          <w:tcPr>
            <w:tcW w:w="1020" w:type="dxa"/>
            <w:vAlign w:val="center"/>
          </w:tcPr>
          <w:p w14:paraId="38EA2D6A">
            <w:pPr>
              <w:jc w:val="center"/>
              <w:rPr>
                <w:rFonts w:ascii="宋体" w:hAnsi="宋体" w:cs="宋体"/>
                <w:color w:val="000000" w:themeColor="text1"/>
                <w:szCs w:val="21"/>
                <w:highlight w:val="none"/>
                <w14:textFill>
                  <w14:solidFill>
                    <w14:schemeClr w14:val="tx1"/>
                  </w14:solidFill>
                </w14:textFill>
              </w:rPr>
            </w:pPr>
          </w:p>
        </w:tc>
        <w:tc>
          <w:tcPr>
            <w:tcW w:w="936" w:type="dxa"/>
            <w:vAlign w:val="center"/>
          </w:tcPr>
          <w:p w14:paraId="6C7C4706">
            <w:pPr>
              <w:jc w:val="center"/>
              <w:rPr>
                <w:rFonts w:ascii="宋体" w:hAnsi="宋体" w:cs="宋体"/>
                <w:color w:val="000000" w:themeColor="text1"/>
                <w:szCs w:val="21"/>
                <w:highlight w:val="none"/>
                <w14:textFill>
                  <w14:solidFill>
                    <w14:schemeClr w14:val="tx1"/>
                  </w14:solidFill>
                </w14:textFill>
              </w:rPr>
            </w:pPr>
          </w:p>
        </w:tc>
        <w:tc>
          <w:tcPr>
            <w:tcW w:w="972" w:type="dxa"/>
            <w:vAlign w:val="center"/>
          </w:tcPr>
          <w:p w14:paraId="11A37933">
            <w:pPr>
              <w:jc w:val="center"/>
              <w:rPr>
                <w:rFonts w:ascii="宋体" w:hAnsi="宋体" w:cs="宋体"/>
                <w:color w:val="000000" w:themeColor="text1"/>
                <w:szCs w:val="21"/>
                <w:highlight w:val="none"/>
                <w14:textFill>
                  <w14:solidFill>
                    <w14:schemeClr w14:val="tx1"/>
                  </w14:solidFill>
                </w14:textFill>
              </w:rPr>
            </w:pPr>
          </w:p>
        </w:tc>
        <w:tc>
          <w:tcPr>
            <w:tcW w:w="1349" w:type="dxa"/>
            <w:vAlign w:val="center"/>
          </w:tcPr>
          <w:p w14:paraId="28DB582B">
            <w:pPr>
              <w:jc w:val="center"/>
              <w:rPr>
                <w:rFonts w:ascii="宋体" w:hAnsi="宋体" w:cs="宋体"/>
                <w:color w:val="000000" w:themeColor="text1"/>
                <w:szCs w:val="21"/>
                <w:highlight w:val="none"/>
                <w14:textFill>
                  <w14:solidFill>
                    <w14:schemeClr w14:val="tx1"/>
                  </w14:solidFill>
                </w14:textFill>
              </w:rPr>
            </w:pPr>
          </w:p>
        </w:tc>
      </w:tr>
      <w:tr w14:paraId="5081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Pr>
          <w:p w14:paraId="4E9C71C3">
            <w:pPr>
              <w:spacing w:line="440" w:lineRule="exact"/>
              <w:jc w:val="center"/>
              <w:rPr>
                <w:rFonts w:hint="eastAsia" w:ascii="宋体" w:hAnsi="宋体" w:eastAsia="宋体"/>
                <w:color w:val="000000" w:themeColor="text1"/>
                <w:szCs w:val="32"/>
                <w:highlight w:val="none"/>
                <w:lang w:eastAsia="zh-CN"/>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w:t>
            </w:r>
          </w:p>
        </w:tc>
        <w:tc>
          <w:tcPr>
            <w:tcW w:w="1524" w:type="dxa"/>
            <w:vAlign w:val="center"/>
          </w:tcPr>
          <w:p w14:paraId="3DC944F2">
            <w:pPr>
              <w:jc w:val="center"/>
              <w:rPr>
                <w:rFonts w:ascii="宋体" w:hAnsi="宋体" w:cs="宋体"/>
                <w:color w:val="000000" w:themeColor="text1"/>
                <w:szCs w:val="21"/>
                <w:highlight w:val="none"/>
                <w14:textFill>
                  <w14:solidFill>
                    <w14:schemeClr w14:val="tx1"/>
                  </w14:solidFill>
                </w14:textFill>
              </w:rPr>
            </w:pPr>
          </w:p>
        </w:tc>
        <w:tc>
          <w:tcPr>
            <w:tcW w:w="739" w:type="dxa"/>
            <w:vAlign w:val="center"/>
          </w:tcPr>
          <w:p w14:paraId="568F5652">
            <w:pPr>
              <w:jc w:val="center"/>
              <w:rPr>
                <w:rFonts w:ascii="宋体" w:hAnsi="宋体" w:cs="宋体"/>
                <w:color w:val="000000" w:themeColor="text1"/>
                <w:szCs w:val="21"/>
                <w:highlight w:val="none"/>
                <w14:textFill>
                  <w14:solidFill>
                    <w14:schemeClr w14:val="tx1"/>
                  </w14:solidFill>
                </w14:textFill>
              </w:rPr>
            </w:pPr>
          </w:p>
        </w:tc>
        <w:tc>
          <w:tcPr>
            <w:tcW w:w="1445" w:type="dxa"/>
            <w:vAlign w:val="center"/>
          </w:tcPr>
          <w:p w14:paraId="26836FA2">
            <w:pPr>
              <w:jc w:val="center"/>
              <w:rPr>
                <w:rFonts w:ascii="宋体" w:hAnsi="宋体" w:cs="宋体"/>
                <w:color w:val="000000" w:themeColor="text1"/>
                <w:szCs w:val="21"/>
                <w:highlight w:val="none"/>
                <w14:textFill>
                  <w14:solidFill>
                    <w14:schemeClr w14:val="tx1"/>
                  </w14:solidFill>
                </w14:textFill>
              </w:rPr>
            </w:pPr>
          </w:p>
        </w:tc>
        <w:tc>
          <w:tcPr>
            <w:tcW w:w="1020" w:type="dxa"/>
            <w:vAlign w:val="center"/>
          </w:tcPr>
          <w:p w14:paraId="2CB0AAF8">
            <w:pPr>
              <w:jc w:val="center"/>
              <w:rPr>
                <w:rFonts w:ascii="宋体" w:hAnsi="宋体" w:cs="宋体"/>
                <w:color w:val="000000" w:themeColor="text1"/>
                <w:szCs w:val="21"/>
                <w:highlight w:val="none"/>
                <w14:textFill>
                  <w14:solidFill>
                    <w14:schemeClr w14:val="tx1"/>
                  </w14:solidFill>
                </w14:textFill>
              </w:rPr>
            </w:pPr>
          </w:p>
        </w:tc>
        <w:tc>
          <w:tcPr>
            <w:tcW w:w="936" w:type="dxa"/>
            <w:vAlign w:val="center"/>
          </w:tcPr>
          <w:p w14:paraId="2F3493FC">
            <w:pPr>
              <w:jc w:val="center"/>
              <w:rPr>
                <w:rFonts w:ascii="宋体" w:hAnsi="宋体" w:cs="宋体"/>
                <w:color w:val="000000" w:themeColor="text1"/>
                <w:szCs w:val="21"/>
                <w:highlight w:val="none"/>
                <w14:textFill>
                  <w14:solidFill>
                    <w14:schemeClr w14:val="tx1"/>
                  </w14:solidFill>
                </w14:textFill>
              </w:rPr>
            </w:pPr>
          </w:p>
        </w:tc>
        <w:tc>
          <w:tcPr>
            <w:tcW w:w="972" w:type="dxa"/>
            <w:vAlign w:val="center"/>
          </w:tcPr>
          <w:p w14:paraId="7351C874">
            <w:pPr>
              <w:jc w:val="center"/>
              <w:rPr>
                <w:rFonts w:ascii="宋体" w:hAnsi="宋体" w:cs="宋体"/>
                <w:color w:val="000000" w:themeColor="text1"/>
                <w:szCs w:val="21"/>
                <w:highlight w:val="none"/>
                <w14:textFill>
                  <w14:solidFill>
                    <w14:schemeClr w14:val="tx1"/>
                  </w14:solidFill>
                </w14:textFill>
              </w:rPr>
            </w:pPr>
          </w:p>
        </w:tc>
        <w:tc>
          <w:tcPr>
            <w:tcW w:w="1349" w:type="dxa"/>
            <w:vAlign w:val="center"/>
          </w:tcPr>
          <w:p w14:paraId="71AAD16C">
            <w:pPr>
              <w:jc w:val="center"/>
              <w:rPr>
                <w:rFonts w:ascii="宋体" w:hAnsi="宋体" w:cs="宋体"/>
                <w:color w:val="000000" w:themeColor="text1"/>
                <w:szCs w:val="21"/>
                <w:highlight w:val="none"/>
                <w14:textFill>
                  <w14:solidFill>
                    <w14:schemeClr w14:val="tx1"/>
                  </w14:solidFill>
                </w14:textFill>
              </w:rPr>
            </w:pPr>
          </w:p>
        </w:tc>
      </w:tr>
      <w:tr w14:paraId="15A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Pr>
          <w:p w14:paraId="070C0016">
            <w:pPr>
              <w:spacing w:line="440" w:lineRule="exact"/>
              <w:jc w:val="center"/>
              <w:rPr>
                <w:rFonts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w:t>
            </w:r>
          </w:p>
        </w:tc>
        <w:tc>
          <w:tcPr>
            <w:tcW w:w="1524" w:type="dxa"/>
            <w:vAlign w:val="center"/>
          </w:tcPr>
          <w:p w14:paraId="1FCB26D1">
            <w:pPr>
              <w:jc w:val="center"/>
              <w:rPr>
                <w:rFonts w:ascii="宋体" w:hAnsi="宋体" w:cs="宋体"/>
                <w:color w:val="000000" w:themeColor="text1"/>
                <w:szCs w:val="21"/>
                <w:highlight w:val="none"/>
                <w14:textFill>
                  <w14:solidFill>
                    <w14:schemeClr w14:val="tx1"/>
                  </w14:solidFill>
                </w14:textFill>
              </w:rPr>
            </w:pPr>
          </w:p>
        </w:tc>
        <w:tc>
          <w:tcPr>
            <w:tcW w:w="739" w:type="dxa"/>
            <w:vAlign w:val="center"/>
          </w:tcPr>
          <w:p w14:paraId="787AF1AC">
            <w:pPr>
              <w:jc w:val="center"/>
              <w:rPr>
                <w:rFonts w:ascii="宋体" w:hAnsi="宋体" w:cs="宋体"/>
                <w:color w:val="000000" w:themeColor="text1"/>
                <w:szCs w:val="21"/>
                <w:highlight w:val="none"/>
                <w14:textFill>
                  <w14:solidFill>
                    <w14:schemeClr w14:val="tx1"/>
                  </w14:solidFill>
                </w14:textFill>
              </w:rPr>
            </w:pPr>
          </w:p>
        </w:tc>
        <w:tc>
          <w:tcPr>
            <w:tcW w:w="1445" w:type="dxa"/>
            <w:vAlign w:val="center"/>
          </w:tcPr>
          <w:p w14:paraId="60E0B6CD">
            <w:pPr>
              <w:jc w:val="center"/>
              <w:rPr>
                <w:rFonts w:ascii="宋体" w:hAnsi="宋体" w:cs="宋体"/>
                <w:color w:val="000000" w:themeColor="text1"/>
                <w:szCs w:val="21"/>
                <w:highlight w:val="none"/>
                <w14:textFill>
                  <w14:solidFill>
                    <w14:schemeClr w14:val="tx1"/>
                  </w14:solidFill>
                </w14:textFill>
              </w:rPr>
            </w:pPr>
          </w:p>
        </w:tc>
        <w:tc>
          <w:tcPr>
            <w:tcW w:w="1020" w:type="dxa"/>
            <w:vAlign w:val="center"/>
          </w:tcPr>
          <w:p w14:paraId="14A0B928">
            <w:pPr>
              <w:jc w:val="center"/>
              <w:rPr>
                <w:rFonts w:ascii="宋体" w:hAnsi="宋体" w:cs="宋体"/>
                <w:color w:val="000000" w:themeColor="text1"/>
                <w:szCs w:val="21"/>
                <w:highlight w:val="none"/>
                <w14:textFill>
                  <w14:solidFill>
                    <w14:schemeClr w14:val="tx1"/>
                  </w14:solidFill>
                </w14:textFill>
              </w:rPr>
            </w:pPr>
          </w:p>
        </w:tc>
        <w:tc>
          <w:tcPr>
            <w:tcW w:w="936" w:type="dxa"/>
            <w:vAlign w:val="center"/>
          </w:tcPr>
          <w:p w14:paraId="5B922B76">
            <w:pPr>
              <w:jc w:val="center"/>
              <w:rPr>
                <w:rFonts w:ascii="宋体" w:hAnsi="宋体" w:cs="宋体"/>
                <w:color w:val="000000" w:themeColor="text1"/>
                <w:szCs w:val="21"/>
                <w:highlight w:val="none"/>
                <w14:textFill>
                  <w14:solidFill>
                    <w14:schemeClr w14:val="tx1"/>
                  </w14:solidFill>
                </w14:textFill>
              </w:rPr>
            </w:pPr>
          </w:p>
        </w:tc>
        <w:tc>
          <w:tcPr>
            <w:tcW w:w="972" w:type="dxa"/>
            <w:vAlign w:val="center"/>
          </w:tcPr>
          <w:p w14:paraId="3BF338FB">
            <w:pPr>
              <w:jc w:val="center"/>
              <w:rPr>
                <w:rFonts w:ascii="宋体" w:hAnsi="宋体" w:cs="宋体"/>
                <w:color w:val="000000" w:themeColor="text1"/>
                <w:szCs w:val="21"/>
                <w:highlight w:val="none"/>
                <w14:textFill>
                  <w14:solidFill>
                    <w14:schemeClr w14:val="tx1"/>
                  </w14:solidFill>
                </w14:textFill>
              </w:rPr>
            </w:pPr>
          </w:p>
        </w:tc>
        <w:tc>
          <w:tcPr>
            <w:tcW w:w="1349" w:type="dxa"/>
            <w:vAlign w:val="center"/>
          </w:tcPr>
          <w:p w14:paraId="2E02F83C">
            <w:pPr>
              <w:jc w:val="center"/>
              <w:rPr>
                <w:rFonts w:ascii="宋体" w:hAnsi="宋体" w:cs="宋体"/>
                <w:color w:val="000000" w:themeColor="text1"/>
                <w:szCs w:val="21"/>
                <w:highlight w:val="none"/>
                <w14:textFill>
                  <w14:solidFill>
                    <w14:schemeClr w14:val="tx1"/>
                  </w14:solidFill>
                </w14:textFill>
              </w:rPr>
            </w:pPr>
          </w:p>
        </w:tc>
      </w:tr>
      <w:tr w14:paraId="0D89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Pr>
          <w:p w14:paraId="744D9A37">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vAlign w:val="center"/>
          </w:tcPr>
          <w:p w14:paraId="06C4AA43">
            <w:pPr>
              <w:jc w:val="center"/>
              <w:rPr>
                <w:rFonts w:ascii="宋体" w:hAnsi="宋体" w:cs="宋体"/>
                <w:color w:val="000000" w:themeColor="text1"/>
                <w:szCs w:val="21"/>
                <w:highlight w:val="none"/>
                <w14:textFill>
                  <w14:solidFill>
                    <w14:schemeClr w14:val="tx1"/>
                  </w14:solidFill>
                </w14:textFill>
              </w:rPr>
            </w:pPr>
          </w:p>
        </w:tc>
        <w:tc>
          <w:tcPr>
            <w:tcW w:w="739" w:type="dxa"/>
            <w:vAlign w:val="center"/>
          </w:tcPr>
          <w:p w14:paraId="6C4F32D5">
            <w:pPr>
              <w:jc w:val="center"/>
              <w:rPr>
                <w:rFonts w:ascii="宋体" w:hAnsi="宋体" w:cs="宋体"/>
                <w:color w:val="000000" w:themeColor="text1"/>
                <w:szCs w:val="21"/>
                <w:highlight w:val="none"/>
                <w14:textFill>
                  <w14:solidFill>
                    <w14:schemeClr w14:val="tx1"/>
                  </w14:solidFill>
                </w14:textFill>
              </w:rPr>
            </w:pPr>
          </w:p>
        </w:tc>
        <w:tc>
          <w:tcPr>
            <w:tcW w:w="1445" w:type="dxa"/>
            <w:vAlign w:val="center"/>
          </w:tcPr>
          <w:p w14:paraId="1CE3CE5F">
            <w:pPr>
              <w:jc w:val="center"/>
              <w:rPr>
                <w:rFonts w:ascii="宋体" w:hAnsi="宋体" w:cs="宋体"/>
                <w:color w:val="000000" w:themeColor="text1"/>
                <w:szCs w:val="21"/>
                <w:highlight w:val="none"/>
                <w14:textFill>
                  <w14:solidFill>
                    <w14:schemeClr w14:val="tx1"/>
                  </w14:solidFill>
                </w14:textFill>
              </w:rPr>
            </w:pPr>
          </w:p>
        </w:tc>
        <w:tc>
          <w:tcPr>
            <w:tcW w:w="1020" w:type="dxa"/>
            <w:vAlign w:val="center"/>
          </w:tcPr>
          <w:p w14:paraId="2C88D9F8">
            <w:pPr>
              <w:jc w:val="center"/>
              <w:rPr>
                <w:rFonts w:ascii="宋体" w:hAnsi="宋体" w:cs="宋体"/>
                <w:color w:val="000000" w:themeColor="text1"/>
                <w:szCs w:val="21"/>
                <w:highlight w:val="none"/>
                <w14:textFill>
                  <w14:solidFill>
                    <w14:schemeClr w14:val="tx1"/>
                  </w14:solidFill>
                </w14:textFill>
              </w:rPr>
            </w:pPr>
          </w:p>
        </w:tc>
        <w:tc>
          <w:tcPr>
            <w:tcW w:w="936" w:type="dxa"/>
            <w:vAlign w:val="center"/>
          </w:tcPr>
          <w:p w14:paraId="6ECCF82E">
            <w:pPr>
              <w:jc w:val="center"/>
              <w:rPr>
                <w:rFonts w:ascii="宋体" w:hAnsi="宋体" w:cs="宋体"/>
                <w:color w:val="000000" w:themeColor="text1"/>
                <w:szCs w:val="21"/>
                <w:highlight w:val="none"/>
                <w14:textFill>
                  <w14:solidFill>
                    <w14:schemeClr w14:val="tx1"/>
                  </w14:solidFill>
                </w14:textFill>
              </w:rPr>
            </w:pPr>
          </w:p>
        </w:tc>
        <w:tc>
          <w:tcPr>
            <w:tcW w:w="972" w:type="dxa"/>
            <w:vAlign w:val="center"/>
          </w:tcPr>
          <w:p w14:paraId="2D85B12F">
            <w:pPr>
              <w:jc w:val="center"/>
              <w:rPr>
                <w:rFonts w:ascii="宋体" w:hAnsi="宋体" w:cs="宋体"/>
                <w:color w:val="000000" w:themeColor="text1"/>
                <w:szCs w:val="21"/>
                <w:highlight w:val="none"/>
                <w14:textFill>
                  <w14:solidFill>
                    <w14:schemeClr w14:val="tx1"/>
                  </w14:solidFill>
                </w14:textFill>
              </w:rPr>
            </w:pPr>
          </w:p>
        </w:tc>
        <w:tc>
          <w:tcPr>
            <w:tcW w:w="1349" w:type="dxa"/>
            <w:vAlign w:val="center"/>
          </w:tcPr>
          <w:p w14:paraId="58873E7E">
            <w:pPr>
              <w:jc w:val="center"/>
              <w:rPr>
                <w:rFonts w:ascii="宋体" w:hAnsi="宋体" w:cs="宋体"/>
                <w:color w:val="000000" w:themeColor="text1"/>
                <w:szCs w:val="21"/>
                <w:highlight w:val="none"/>
                <w14:textFill>
                  <w14:solidFill>
                    <w14:schemeClr w14:val="tx1"/>
                  </w14:solidFill>
                </w14:textFill>
              </w:rPr>
            </w:pPr>
          </w:p>
        </w:tc>
      </w:tr>
      <w:tr w14:paraId="2CC6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937" w:type="dxa"/>
          </w:tcPr>
          <w:p w14:paraId="0924498F">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vAlign w:val="center"/>
          </w:tcPr>
          <w:p w14:paraId="631B51D5">
            <w:pPr>
              <w:jc w:val="center"/>
              <w:rPr>
                <w:rFonts w:ascii="宋体" w:hAnsi="宋体" w:cs="宋体"/>
                <w:color w:val="000000" w:themeColor="text1"/>
                <w:szCs w:val="21"/>
                <w:highlight w:val="none"/>
                <w14:textFill>
                  <w14:solidFill>
                    <w14:schemeClr w14:val="tx1"/>
                  </w14:solidFill>
                </w14:textFill>
              </w:rPr>
            </w:pPr>
          </w:p>
        </w:tc>
        <w:tc>
          <w:tcPr>
            <w:tcW w:w="739" w:type="dxa"/>
            <w:vAlign w:val="center"/>
          </w:tcPr>
          <w:p w14:paraId="02B52A61">
            <w:pPr>
              <w:jc w:val="center"/>
              <w:rPr>
                <w:rFonts w:ascii="宋体" w:hAnsi="宋体" w:cs="宋体"/>
                <w:color w:val="000000" w:themeColor="text1"/>
                <w:szCs w:val="21"/>
                <w:highlight w:val="none"/>
                <w14:textFill>
                  <w14:solidFill>
                    <w14:schemeClr w14:val="tx1"/>
                  </w14:solidFill>
                </w14:textFill>
              </w:rPr>
            </w:pPr>
          </w:p>
        </w:tc>
        <w:tc>
          <w:tcPr>
            <w:tcW w:w="1445" w:type="dxa"/>
            <w:vAlign w:val="center"/>
          </w:tcPr>
          <w:p w14:paraId="1818D87A">
            <w:pPr>
              <w:jc w:val="center"/>
              <w:rPr>
                <w:rFonts w:ascii="宋体" w:hAnsi="宋体" w:cs="宋体"/>
                <w:color w:val="000000" w:themeColor="text1"/>
                <w:szCs w:val="21"/>
                <w:highlight w:val="none"/>
                <w14:textFill>
                  <w14:solidFill>
                    <w14:schemeClr w14:val="tx1"/>
                  </w14:solidFill>
                </w14:textFill>
              </w:rPr>
            </w:pPr>
          </w:p>
        </w:tc>
        <w:tc>
          <w:tcPr>
            <w:tcW w:w="1020" w:type="dxa"/>
            <w:vAlign w:val="center"/>
          </w:tcPr>
          <w:p w14:paraId="5B8F2631">
            <w:pPr>
              <w:jc w:val="center"/>
              <w:rPr>
                <w:rFonts w:ascii="宋体" w:hAnsi="宋体" w:cs="宋体"/>
                <w:color w:val="000000" w:themeColor="text1"/>
                <w:szCs w:val="21"/>
                <w:highlight w:val="none"/>
                <w14:textFill>
                  <w14:solidFill>
                    <w14:schemeClr w14:val="tx1"/>
                  </w14:solidFill>
                </w14:textFill>
              </w:rPr>
            </w:pPr>
          </w:p>
        </w:tc>
        <w:tc>
          <w:tcPr>
            <w:tcW w:w="936" w:type="dxa"/>
            <w:vAlign w:val="center"/>
          </w:tcPr>
          <w:p w14:paraId="73046E2C">
            <w:pPr>
              <w:jc w:val="center"/>
              <w:rPr>
                <w:rFonts w:ascii="宋体" w:hAnsi="宋体" w:cs="宋体"/>
                <w:color w:val="000000" w:themeColor="text1"/>
                <w:szCs w:val="21"/>
                <w:highlight w:val="none"/>
                <w14:textFill>
                  <w14:solidFill>
                    <w14:schemeClr w14:val="tx1"/>
                  </w14:solidFill>
                </w14:textFill>
              </w:rPr>
            </w:pPr>
          </w:p>
        </w:tc>
        <w:tc>
          <w:tcPr>
            <w:tcW w:w="972" w:type="dxa"/>
            <w:vAlign w:val="center"/>
          </w:tcPr>
          <w:p w14:paraId="149BC61F">
            <w:pPr>
              <w:jc w:val="center"/>
              <w:rPr>
                <w:rFonts w:ascii="宋体" w:hAnsi="宋体" w:cs="宋体"/>
                <w:color w:val="000000" w:themeColor="text1"/>
                <w:szCs w:val="21"/>
                <w:highlight w:val="none"/>
                <w14:textFill>
                  <w14:solidFill>
                    <w14:schemeClr w14:val="tx1"/>
                  </w14:solidFill>
                </w14:textFill>
              </w:rPr>
            </w:pPr>
          </w:p>
        </w:tc>
        <w:tc>
          <w:tcPr>
            <w:tcW w:w="1349" w:type="dxa"/>
            <w:vAlign w:val="center"/>
          </w:tcPr>
          <w:p w14:paraId="50D7B9E7">
            <w:pPr>
              <w:jc w:val="center"/>
              <w:rPr>
                <w:rFonts w:ascii="宋体" w:hAnsi="宋体" w:cs="宋体"/>
                <w:color w:val="000000" w:themeColor="text1"/>
                <w:szCs w:val="21"/>
                <w:highlight w:val="none"/>
                <w14:textFill>
                  <w14:solidFill>
                    <w14:schemeClr w14:val="tx1"/>
                  </w14:solidFill>
                </w14:textFill>
              </w:rPr>
            </w:pPr>
          </w:p>
        </w:tc>
      </w:tr>
      <w:tr w14:paraId="4C09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Pr>
          <w:p w14:paraId="0EC5F3F1">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vAlign w:val="center"/>
          </w:tcPr>
          <w:p w14:paraId="7C8DE12D">
            <w:pPr>
              <w:jc w:val="center"/>
              <w:rPr>
                <w:rFonts w:ascii="宋体" w:hAnsi="宋体" w:cs="宋体"/>
                <w:color w:val="000000" w:themeColor="text1"/>
                <w:szCs w:val="21"/>
                <w:highlight w:val="none"/>
                <w14:textFill>
                  <w14:solidFill>
                    <w14:schemeClr w14:val="tx1"/>
                  </w14:solidFill>
                </w14:textFill>
              </w:rPr>
            </w:pPr>
          </w:p>
        </w:tc>
        <w:tc>
          <w:tcPr>
            <w:tcW w:w="739" w:type="dxa"/>
            <w:vAlign w:val="center"/>
          </w:tcPr>
          <w:p w14:paraId="7AF26917">
            <w:pPr>
              <w:jc w:val="center"/>
              <w:rPr>
                <w:rFonts w:ascii="宋体" w:hAnsi="宋体" w:cs="宋体"/>
                <w:color w:val="000000" w:themeColor="text1"/>
                <w:szCs w:val="21"/>
                <w:highlight w:val="none"/>
                <w14:textFill>
                  <w14:solidFill>
                    <w14:schemeClr w14:val="tx1"/>
                  </w14:solidFill>
                </w14:textFill>
              </w:rPr>
            </w:pPr>
          </w:p>
        </w:tc>
        <w:tc>
          <w:tcPr>
            <w:tcW w:w="1445" w:type="dxa"/>
            <w:vAlign w:val="center"/>
          </w:tcPr>
          <w:p w14:paraId="1BA50FF8">
            <w:pPr>
              <w:jc w:val="center"/>
              <w:rPr>
                <w:rFonts w:ascii="宋体" w:hAnsi="宋体" w:cs="宋体"/>
                <w:color w:val="000000" w:themeColor="text1"/>
                <w:szCs w:val="21"/>
                <w:highlight w:val="none"/>
                <w14:textFill>
                  <w14:solidFill>
                    <w14:schemeClr w14:val="tx1"/>
                  </w14:solidFill>
                </w14:textFill>
              </w:rPr>
            </w:pPr>
          </w:p>
        </w:tc>
        <w:tc>
          <w:tcPr>
            <w:tcW w:w="1020" w:type="dxa"/>
            <w:vAlign w:val="center"/>
          </w:tcPr>
          <w:p w14:paraId="6D182024">
            <w:pPr>
              <w:jc w:val="center"/>
              <w:rPr>
                <w:rFonts w:ascii="宋体" w:hAnsi="宋体" w:cs="宋体"/>
                <w:color w:val="000000" w:themeColor="text1"/>
                <w:szCs w:val="21"/>
                <w:highlight w:val="none"/>
                <w14:textFill>
                  <w14:solidFill>
                    <w14:schemeClr w14:val="tx1"/>
                  </w14:solidFill>
                </w14:textFill>
              </w:rPr>
            </w:pPr>
          </w:p>
        </w:tc>
        <w:tc>
          <w:tcPr>
            <w:tcW w:w="936" w:type="dxa"/>
            <w:vAlign w:val="center"/>
          </w:tcPr>
          <w:p w14:paraId="3DB42100">
            <w:pPr>
              <w:jc w:val="center"/>
              <w:rPr>
                <w:rFonts w:ascii="宋体" w:hAnsi="宋体" w:cs="宋体"/>
                <w:color w:val="000000" w:themeColor="text1"/>
                <w:szCs w:val="21"/>
                <w:highlight w:val="none"/>
                <w14:textFill>
                  <w14:solidFill>
                    <w14:schemeClr w14:val="tx1"/>
                  </w14:solidFill>
                </w14:textFill>
              </w:rPr>
            </w:pPr>
          </w:p>
        </w:tc>
        <w:tc>
          <w:tcPr>
            <w:tcW w:w="972" w:type="dxa"/>
            <w:vAlign w:val="center"/>
          </w:tcPr>
          <w:p w14:paraId="12AF208F">
            <w:pPr>
              <w:jc w:val="center"/>
              <w:rPr>
                <w:rFonts w:ascii="宋体" w:hAnsi="宋体" w:cs="宋体"/>
                <w:color w:val="000000" w:themeColor="text1"/>
                <w:szCs w:val="21"/>
                <w:highlight w:val="none"/>
                <w14:textFill>
                  <w14:solidFill>
                    <w14:schemeClr w14:val="tx1"/>
                  </w14:solidFill>
                </w14:textFill>
              </w:rPr>
            </w:pPr>
          </w:p>
        </w:tc>
        <w:tc>
          <w:tcPr>
            <w:tcW w:w="1349" w:type="dxa"/>
            <w:vAlign w:val="center"/>
          </w:tcPr>
          <w:p w14:paraId="007BAAD0">
            <w:pPr>
              <w:jc w:val="center"/>
              <w:rPr>
                <w:rFonts w:ascii="宋体" w:hAnsi="宋体" w:cs="宋体"/>
                <w:color w:val="000000" w:themeColor="text1"/>
                <w:szCs w:val="21"/>
                <w:highlight w:val="none"/>
                <w14:textFill>
                  <w14:solidFill>
                    <w14:schemeClr w14:val="tx1"/>
                  </w14:solidFill>
                </w14:textFill>
              </w:rPr>
            </w:pPr>
          </w:p>
        </w:tc>
      </w:tr>
      <w:tr w14:paraId="038A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Borders>
              <w:top w:val="single" w:color="auto" w:sz="4" w:space="0"/>
              <w:left w:val="single" w:color="auto" w:sz="4" w:space="0"/>
              <w:bottom w:val="single" w:color="auto" w:sz="4" w:space="0"/>
              <w:right w:val="single" w:color="auto" w:sz="4" w:space="0"/>
            </w:tcBorders>
          </w:tcPr>
          <w:p w14:paraId="619A3DD1">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vAlign w:val="center"/>
          </w:tcPr>
          <w:p w14:paraId="2407C66D">
            <w:pPr>
              <w:jc w:val="center"/>
              <w:rPr>
                <w:rFonts w:ascii="宋体" w:hAnsi="宋体" w:cs="宋体"/>
                <w:color w:val="000000" w:themeColor="text1"/>
                <w:szCs w:val="21"/>
                <w:highlight w:val="none"/>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14:paraId="1DE9E537">
            <w:pPr>
              <w:jc w:val="center"/>
              <w:rPr>
                <w:rFonts w:ascii="宋体" w:hAnsi="宋体" w:cs="宋体"/>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14:paraId="0CF137DC">
            <w:pPr>
              <w:jc w:val="center"/>
              <w:rPr>
                <w:rFonts w:ascii="宋体" w:hAnsi="宋体" w:cs="宋体"/>
                <w:color w:val="000000" w:themeColor="text1"/>
                <w:szCs w:val="21"/>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E6BFD58">
            <w:pPr>
              <w:jc w:val="center"/>
              <w:rPr>
                <w:rFonts w:ascii="宋体" w:hAnsi="宋体" w:cs="宋体"/>
                <w:color w:val="000000" w:themeColor="text1"/>
                <w:szCs w:val="21"/>
                <w:highlight w:val="none"/>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66C46E8B">
            <w:pPr>
              <w:jc w:val="center"/>
              <w:rPr>
                <w:rFonts w:ascii="宋体" w:hAnsi="宋体" w:cs="宋体"/>
                <w:color w:val="000000" w:themeColor="text1"/>
                <w:szCs w:val="2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7543CFCC">
            <w:pPr>
              <w:jc w:val="center"/>
              <w:rPr>
                <w:rFonts w:ascii="宋体" w:hAnsi="宋体" w:cs="宋体"/>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356A5A41">
            <w:pPr>
              <w:jc w:val="center"/>
              <w:rPr>
                <w:rFonts w:ascii="宋体" w:hAnsi="宋体" w:cs="宋体"/>
                <w:color w:val="000000" w:themeColor="text1"/>
                <w:szCs w:val="21"/>
                <w:highlight w:val="none"/>
                <w14:textFill>
                  <w14:solidFill>
                    <w14:schemeClr w14:val="tx1"/>
                  </w14:solidFill>
                </w14:textFill>
              </w:rPr>
            </w:pPr>
          </w:p>
        </w:tc>
      </w:tr>
      <w:tr w14:paraId="5A1B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Borders>
              <w:top w:val="single" w:color="auto" w:sz="4" w:space="0"/>
              <w:left w:val="single" w:color="auto" w:sz="4" w:space="0"/>
              <w:bottom w:val="single" w:color="auto" w:sz="4" w:space="0"/>
              <w:right w:val="single" w:color="auto" w:sz="4" w:space="0"/>
            </w:tcBorders>
          </w:tcPr>
          <w:p w14:paraId="768069A6">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vAlign w:val="center"/>
          </w:tcPr>
          <w:p w14:paraId="0F793CF3">
            <w:pPr>
              <w:jc w:val="center"/>
              <w:rPr>
                <w:rFonts w:ascii="宋体" w:hAnsi="宋体" w:cs="宋体"/>
                <w:color w:val="000000" w:themeColor="text1"/>
                <w:szCs w:val="21"/>
                <w:highlight w:val="none"/>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14:paraId="0539142F">
            <w:pPr>
              <w:jc w:val="center"/>
              <w:rPr>
                <w:rFonts w:ascii="宋体" w:hAnsi="宋体" w:cs="宋体"/>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14:paraId="28C4119E">
            <w:pPr>
              <w:jc w:val="center"/>
              <w:rPr>
                <w:rFonts w:ascii="宋体" w:hAnsi="宋体" w:cs="宋体"/>
                <w:color w:val="000000" w:themeColor="text1"/>
                <w:szCs w:val="21"/>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65C6309">
            <w:pPr>
              <w:jc w:val="center"/>
              <w:rPr>
                <w:rFonts w:ascii="宋体" w:hAnsi="宋体" w:cs="宋体"/>
                <w:color w:val="000000" w:themeColor="text1"/>
                <w:szCs w:val="21"/>
                <w:highlight w:val="none"/>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34AB7094">
            <w:pPr>
              <w:jc w:val="center"/>
              <w:rPr>
                <w:rFonts w:ascii="宋体" w:hAnsi="宋体" w:cs="宋体"/>
                <w:color w:val="000000" w:themeColor="text1"/>
                <w:szCs w:val="2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7A83D1E4">
            <w:pPr>
              <w:jc w:val="center"/>
              <w:rPr>
                <w:rFonts w:ascii="宋体" w:hAnsi="宋体" w:cs="宋体"/>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6387D052">
            <w:pPr>
              <w:jc w:val="center"/>
              <w:rPr>
                <w:rFonts w:ascii="宋体" w:hAnsi="宋体" w:cs="宋体"/>
                <w:color w:val="000000" w:themeColor="text1"/>
                <w:szCs w:val="21"/>
                <w:highlight w:val="none"/>
                <w14:textFill>
                  <w14:solidFill>
                    <w14:schemeClr w14:val="tx1"/>
                  </w14:solidFill>
                </w14:textFill>
              </w:rPr>
            </w:pPr>
          </w:p>
        </w:tc>
      </w:tr>
      <w:tr w14:paraId="49C3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Borders>
              <w:top w:val="single" w:color="auto" w:sz="4" w:space="0"/>
              <w:left w:val="single" w:color="auto" w:sz="4" w:space="0"/>
              <w:bottom w:val="single" w:color="auto" w:sz="4" w:space="0"/>
              <w:right w:val="single" w:color="auto" w:sz="4" w:space="0"/>
            </w:tcBorders>
          </w:tcPr>
          <w:p w14:paraId="08BE8CDD">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vAlign w:val="center"/>
          </w:tcPr>
          <w:p w14:paraId="25338085">
            <w:pPr>
              <w:jc w:val="center"/>
              <w:rPr>
                <w:rFonts w:ascii="宋体" w:hAnsi="宋体" w:cs="宋体"/>
                <w:color w:val="000000" w:themeColor="text1"/>
                <w:szCs w:val="21"/>
                <w:highlight w:val="none"/>
                <w14:textFill>
                  <w14:solidFill>
                    <w14:schemeClr w14:val="tx1"/>
                  </w14:solidFill>
                </w14:textFill>
              </w:rPr>
            </w:pPr>
          </w:p>
        </w:tc>
        <w:tc>
          <w:tcPr>
            <w:tcW w:w="739" w:type="dxa"/>
            <w:tcBorders>
              <w:top w:val="single" w:color="auto" w:sz="4" w:space="0"/>
              <w:left w:val="single" w:color="auto" w:sz="4" w:space="0"/>
              <w:bottom w:val="single" w:color="auto" w:sz="4" w:space="0"/>
              <w:right w:val="single" w:color="auto" w:sz="4" w:space="0"/>
            </w:tcBorders>
            <w:vAlign w:val="center"/>
          </w:tcPr>
          <w:p w14:paraId="5C69B5C8">
            <w:pPr>
              <w:jc w:val="center"/>
              <w:rPr>
                <w:rFonts w:ascii="宋体" w:hAnsi="宋体" w:cs="宋体"/>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14:paraId="606B04F9">
            <w:pPr>
              <w:jc w:val="center"/>
              <w:rPr>
                <w:rFonts w:ascii="宋体" w:hAnsi="宋体" w:cs="宋体"/>
                <w:color w:val="000000" w:themeColor="text1"/>
                <w:szCs w:val="21"/>
                <w:highlight w:val="none"/>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4576E88">
            <w:pPr>
              <w:jc w:val="center"/>
              <w:rPr>
                <w:rFonts w:ascii="宋体" w:hAnsi="宋体" w:cs="宋体"/>
                <w:color w:val="000000" w:themeColor="text1"/>
                <w:szCs w:val="21"/>
                <w:highlight w:val="none"/>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14:paraId="68D56548">
            <w:pPr>
              <w:jc w:val="center"/>
              <w:rPr>
                <w:rFonts w:ascii="宋体" w:hAnsi="宋体" w:cs="宋体"/>
                <w:color w:val="000000" w:themeColor="text1"/>
                <w:szCs w:val="2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0F7B94E1">
            <w:pPr>
              <w:jc w:val="center"/>
              <w:rPr>
                <w:rFonts w:ascii="宋体" w:hAnsi="宋体" w:cs="宋体"/>
                <w:color w:val="000000" w:themeColor="text1"/>
                <w:szCs w:val="21"/>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55C5F5D0">
            <w:pPr>
              <w:jc w:val="center"/>
              <w:rPr>
                <w:rFonts w:ascii="宋体" w:hAnsi="宋体" w:cs="宋体"/>
                <w:color w:val="000000" w:themeColor="text1"/>
                <w:szCs w:val="21"/>
                <w:highlight w:val="none"/>
                <w14:textFill>
                  <w14:solidFill>
                    <w14:schemeClr w14:val="tx1"/>
                  </w14:solidFill>
                </w14:textFill>
              </w:rPr>
            </w:pPr>
          </w:p>
        </w:tc>
      </w:tr>
      <w:tr w14:paraId="493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37" w:type="dxa"/>
          </w:tcPr>
          <w:p w14:paraId="2FF5CD9C">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tcPr>
          <w:p w14:paraId="62F04B79">
            <w:pPr>
              <w:jc w:val="center"/>
              <w:rPr>
                <w:rFonts w:ascii="宋体" w:hAnsi="宋体" w:cs="宋体"/>
                <w:color w:val="000000" w:themeColor="text1"/>
                <w:szCs w:val="21"/>
                <w:highlight w:val="none"/>
                <w14:textFill>
                  <w14:solidFill>
                    <w14:schemeClr w14:val="tx1"/>
                  </w14:solidFill>
                </w14:textFill>
              </w:rPr>
            </w:pPr>
          </w:p>
        </w:tc>
        <w:tc>
          <w:tcPr>
            <w:tcW w:w="739" w:type="dxa"/>
          </w:tcPr>
          <w:p w14:paraId="63975257">
            <w:pPr>
              <w:jc w:val="center"/>
              <w:rPr>
                <w:rFonts w:ascii="宋体" w:hAnsi="宋体" w:cs="宋体"/>
                <w:color w:val="000000" w:themeColor="text1"/>
                <w:szCs w:val="21"/>
                <w:highlight w:val="none"/>
                <w14:textFill>
                  <w14:solidFill>
                    <w14:schemeClr w14:val="tx1"/>
                  </w14:solidFill>
                </w14:textFill>
              </w:rPr>
            </w:pPr>
          </w:p>
        </w:tc>
        <w:tc>
          <w:tcPr>
            <w:tcW w:w="1445" w:type="dxa"/>
          </w:tcPr>
          <w:p w14:paraId="2911D638">
            <w:pPr>
              <w:jc w:val="center"/>
              <w:rPr>
                <w:rFonts w:ascii="宋体" w:hAnsi="宋体" w:cs="宋体"/>
                <w:color w:val="000000" w:themeColor="text1"/>
                <w:szCs w:val="21"/>
                <w:highlight w:val="none"/>
                <w14:textFill>
                  <w14:solidFill>
                    <w14:schemeClr w14:val="tx1"/>
                  </w14:solidFill>
                </w14:textFill>
              </w:rPr>
            </w:pPr>
          </w:p>
        </w:tc>
        <w:tc>
          <w:tcPr>
            <w:tcW w:w="1020" w:type="dxa"/>
          </w:tcPr>
          <w:p w14:paraId="2129D85B">
            <w:pPr>
              <w:jc w:val="center"/>
              <w:rPr>
                <w:rFonts w:ascii="宋体" w:hAnsi="宋体" w:cs="宋体"/>
                <w:color w:val="000000" w:themeColor="text1"/>
                <w:szCs w:val="21"/>
                <w:highlight w:val="none"/>
                <w14:textFill>
                  <w14:solidFill>
                    <w14:schemeClr w14:val="tx1"/>
                  </w14:solidFill>
                </w14:textFill>
              </w:rPr>
            </w:pPr>
          </w:p>
        </w:tc>
        <w:tc>
          <w:tcPr>
            <w:tcW w:w="936" w:type="dxa"/>
          </w:tcPr>
          <w:p w14:paraId="247DA0F0">
            <w:pPr>
              <w:jc w:val="center"/>
              <w:rPr>
                <w:rFonts w:ascii="宋体" w:hAnsi="宋体" w:cs="宋体"/>
                <w:color w:val="000000" w:themeColor="text1"/>
                <w:szCs w:val="21"/>
                <w:highlight w:val="none"/>
                <w14:textFill>
                  <w14:solidFill>
                    <w14:schemeClr w14:val="tx1"/>
                  </w14:solidFill>
                </w14:textFill>
              </w:rPr>
            </w:pPr>
          </w:p>
        </w:tc>
        <w:tc>
          <w:tcPr>
            <w:tcW w:w="972" w:type="dxa"/>
          </w:tcPr>
          <w:p w14:paraId="74120F03">
            <w:pPr>
              <w:jc w:val="center"/>
              <w:rPr>
                <w:rFonts w:ascii="宋体" w:hAnsi="宋体" w:cs="宋体"/>
                <w:color w:val="000000" w:themeColor="text1"/>
                <w:szCs w:val="21"/>
                <w:highlight w:val="none"/>
                <w14:textFill>
                  <w14:solidFill>
                    <w14:schemeClr w14:val="tx1"/>
                  </w14:solidFill>
                </w14:textFill>
              </w:rPr>
            </w:pPr>
          </w:p>
        </w:tc>
        <w:tc>
          <w:tcPr>
            <w:tcW w:w="1349" w:type="dxa"/>
          </w:tcPr>
          <w:p w14:paraId="5F3722AC">
            <w:pPr>
              <w:jc w:val="center"/>
              <w:rPr>
                <w:rFonts w:ascii="宋体" w:hAnsi="宋体" w:cs="宋体"/>
                <w:color w:val="000000" w:themeColor="text1"/>
                <w:szCs w:val="21"/>
                <w:highlight w:val="none"/>
                <w14:textFill>
                  <w14:solidFill>
                    <w14:schemeClr w14:val="tx1"/>
                  </w14:solidFill>
                </w14:textFill>
              </w:rPr>
            </w:pPr>
          </w:p>
        </w:tc>
      </w:tr>
      <w:tr w14:paraId="2CF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7" w:type="dxa"/>
          </w:tcPr>
          <w:p w14:paraId="6C3BA2A3">
            <w:pPr>
              <w:spacing w:line="440" w:lineRule="exact"/>
              <w:jc w:val="center"/>
              <w:rPr>
                <w:rFonts w:ascii="宋体" w:hAnsi="宋体"/>
                <w:color w:val="000000" w:themeColor="text1"/>
                <w:szCs w:val="32"/>
                <w:highlight w:val="none"/>
                <w14:textFill>
                  <w14:solidFill>
                    <w14:schemeClr w14:val="tx1"/>
                  </w14:solidFill>
                </w14:textFill>
              </w:rPr>
            </w:pPr>
          </w:p>
        </w:tc>
        <w:tc>
          <w:tcPr>
            <w:tcW w:w="1524" w:type="dxa"/>
          </w:tcPr>
          <w:p w14:paraId="52317068">
            <w:pPr>
              <w:jc w:val="center"/>
              <w:rPr>
                <w:rFonts w:ascii="宋体" w:hAnsi="宋体" w:cs="宋体"/>
                <w:color w:val="000000" w:themeColor="text1"/>
                <w:szCs w:val="21"/>
                <w:highlight w:val="none"/>
                <w14:textFill>
                  <w14:solidFill>
                    <w14:schemeClr w14:val="tx1"/>
                  </w14:solidFill>
                </w14:textFill>
              </w:rPr>
            </w:pPr>
          </w:p>
        </w:tc>
        <w:tc>
          <w:tcPr>
            <w:tcW w:w="739" w:type="dxa"/>
          </w:tcPr>
          <w:p w14:paraId="32CC3E2B">
            <w:pPr>
              <w:jc w:val="center"/>
              <w:rPr>
                <w:rFonts w:ascii="宋体" w:hAnsi="宋体" w:cs="宋体"/>
                <w:color w:val="000000" w:themeColor="text1"/>
                <w:szCs w:val="21"/>
                <w:highlight w:val="none"/>
                <w14:textFill>
                  <w14:solidFill>
                    <w14:schemeClr w14:val="tx1"/>
                  </w14:solidFill>
                </w14:textFill>
              </w:rPr>
            </w:pPr>
          </w:p>
        </w:tc>
        <w:tc>
          <w:tcPr>
            <w:tcW w:w="1445" w:type="dxa"/>
          </w:tcPr>
          <w:p w14:paraId="23FCB92B">
            <w:pPr>
              <w:jc w:val="center"/>
              <w:rPr>
                <w:rFonts w:ascii="宋体" w:hAnsi="宋体" w:cs="宋体"/>
                <w:color w:val="000000" w:themeColor="text1"/>
                <w:szCs w:val="21"/>
                <w:highlight w:val="none"/>
                <w14:textFill>
                  <w14:solidFill>
                    <w14:schemeClr w14:val="tx1"/>
                  </w14:solidFill>
                </w14:textFill>
              </w:rPr>
            </w:pPr>
          </w:p>
        </w:tc>
        <w:tc>
          <w:tcPr>
            <w:tcW w:w="1020" w:type="dxa"/>
          </w:tcPr>
          <w:p w14:paraId="17A818B0">
            <w:pPr>
              <w:jc w:val="center"/>
              <w:rPr>
                <w:rFonts w:ascii="宋体" w:hAnsi="宋体" w:cs="宋体"/>
                <w:color w:val="000000" w:themeColor="text1"/>
                <w:szCs w:val="21"/>
                <w:highlight w:val="none"/>
                <w14:textFill>
                  <w14:solidFill>
                    <w14:schemeClr w14:val="tx1"/>
                  </w14:solidFill>
                </w14:textFill>
              </w:rPr>
            </w:pPr>
          </w:p>
        </w:tc>
        <w:tc>
          <w:tcPr>
            <w:tcW w:w="936" w:type="dxa"/>
          </w:tcPr>
          <w:p w14:paraId="2943B3A4">
            <w:pPr>
              <w:jc w:val="center"/>
              <w:rPr>
                <w:rFonts w:ascii="宋体" w:hAnsi="宋体" w:cs="宋体"/>
                <w:color w:val="000000" w:themeColor="text1"/>
                <w:szCs w:val="21"/>
                <w:highlight w:val="none"/>
                <w14:textFill>
                  <w14:solidFill>
                    <w14:schemeClr w14:val="tx1"/>
                  </w14:solidFill>
                </w14:textFill>
              </w:rPr>
            </w:pPr>
          </w:p>
        </w:tc>
        <w:tc>
          <w:tcPr>
            <w:tcW w:w="972" w:type="dxa"/>
          </w:tcPr>
          <w:p w14:paraId="46C3A524">
            <w:pPr>
              <w:jc w:val="center"/>
              <w:rPr>
                <w:rFonts w:ascii="宋体" w:hAnsi="宋体" w:cs="宋体"/>
                <w:color w:val="000000" w:themeColor="text1"/>
                <w:szCs w:val="21"/>
                <w:highlight w:val="none"/>
                <w14:textFill>
                  <w14:solidFill>
                    <w14:schemeClr w14:val="tx1"/>
                  </w14:solidFill>
                </w14:textFill>
              </w:rPr>
            </w:pPr>
          </w:p>
        </w:tc>
        <w:tc>
          <w:tcPr>
            <w:tcW w:w="1349" w:type="dxa"/>
          </w:tcPr>
          <w:p w14:paraId="74098622">
            <w:pPr>
              <w:jc w:val="center"/>
              <w:rPr>
                <w:rFonts w:ascii="宋体" w:hAnsi="宋体" w:cs="宋体"/>
                <w:color w:val="000000" w:themeColor="text1"/>
                <w:szCs w:val="21"/>
                <w:highlight w:val="none"/>
                <w14:textFill>
                  <w14:solidFill>
                    <w14:schemeClr w14:val="tx1"/>
                  </w14:solidFill>
                </w14:textFill>
              </w:rPr>
            </w:pPr>
          </w:p>
        </w:tc>
      </w:tr>
    </w:tbl>
    <w:p w14:paraId="214DC5AA">
      <w:pPr>
        <w:spacing w:line="360" w:lineRule="auto"/>
        <w:rPr>
          <w:rFonts w:hint="eastAsia" w:ascii="宋体" w:hAnsi="宋体" w:cs="宋体"/>
          <w:color w:val="000000" w:themeColor="text1"/>
          <w:szCs w:val="21"/>
          <w:highlight w:val="none"/>
          <w14:textFill>
            <w14:solidFill>
              <w14:schemeClr w14:val="tx1"/>
            </w14:solidFill>
          </w14:textFill>
        </w:rPr>
      </w:pPr>
    </w:p>
    <w:p w14:paraId="13003962">
      <w:pPr>
        <w:spacing w:line="360" w:lineRule="auto"/>
        <w:rPr>
          <w:rFonts w:hint="eastAsia" w:ascii="宋体" w:hAnsi="宋体" w:cs="宋体"/>
          <w:color w:val="auto"/>
          <w:kern w:val="0"/>
          <w:sz w:val="24"/>
          <w:szCs w:val="21"/>
          <w:highlight w:val="none"/>
        </w:rPr>
      </w:pPr>
      <w:r>
        <w:rPr>
          <w:rFonts w:hint="eastAsia" w:ascii="宋体" w:hAnsi="宋体" w:cs="宋体"/>
          <w:color w:val="auto"/>
          <w:szCs w:val="21"/>
          <w:highlight w:val="none"/>
        </w:rPr>
        <w:t>注：1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项目负责人应附</w:t>
      </w:r>
      <w:r>
        <w:rPr>
          <w:rFonts w:ascii="宋体" w:hAnsi="宋体" w:cs="宋体"/>
          <w:color w:val="auto"/>
          <w:kern w:val="0"/>
          <w:sz w:val="24"/>
          <w:szCs w:val="21"/>
          <w:highlight w:val="none"/>
        </w:rPr>
        <w:t>身份证、</w:t>
      </w:r>
      <w:r>
        <w:rPr>
          <w:rFonts w:hint="eastAsia" w:ascii="宋体" w:hAnsi="宋体" w:cs="宋体"/>
          <w:color w:val="auto"/>
          <w:kern w:val="0"/>
          <w:sz w:val="24"/>
          <w:szCs w:val="21"/>
          <w:highlight w:val="none"/>
          <w:lang w:val="en-US" w:eastAsia="zh-CN"/>
        </w:rPr>
        <w:t>学历证、相关资格证书或职称证、社保证明等相关材料</w:t>
      </w:r>
      <w:r>
        <w:rPr>
          <w:rFonts w:hint="eastAsia" w:ascii="宋体" w:hAnsi="宋体" w:cs="宋体"/>
          <w:color w:val="auto"/>
          <w:kern w:val="0"/>
          <w:sz w:val="24"/>
          <w:szCs w:val="21"/>
          <w:highlight w:val="none"/>
        </w:rPr>
        <w:t>。</w:t>
      </w:r>
    </w:p>
    <w:p w14:paraId="29CFE983">
      <w:pPr>
        <w:pStyle w:val="68"/>
        <w:numPr>
          <w:ilvl w:val="0"/>
          <w:numId w:val="0"/>
        </w:numPr>
        <w:spacing w:line="360" w:lineRule="auto"/>
        <w:ind w:firstLine="480" w:firstLineChars="200"/>
        <w:rPr>
          <w:rFonts w:hint="default" w:ascii="宋体" w:hAnsi="宋体" w:cs="宋体"/>
          <w:b/>
          <w:color w:val="auto"/>
          <w:sz w:val="26"/>
          <w:szCs w:val="26"/>
          <w:highlight w:val="none"/>
        </w:rPr>
      </w:pPr>
      <w:r>
        <w:rPr>
          <w:rFonts w:hint="eastAsia" w:ascii="宋体" w:hAnsi="宋体" w:cs="宋体"/>
          <w:color w:val="auto"/>
          <w:kern w:val="0"/>
          <w:sz w:val="24"/>
          <w:szCs w:val="21"/>
          <w:highlight w:val="none"/>
          <w:lang w:val="en-US" w:eastAsia="zh-CN"/>
        </w:rPr>
        <w:t>2、主要</w:t>
      </w:r>
      <w:r>
        <w:rPr>
          <w:rFonts w:ascii="宋体" w:hAnsi="宋体" w:cs="宋体"/>
          <w:color w:val="auto"/>
          <w:kern w:val="0"/>
          <w:sz w:val="24"/>
          <w:szCs w:val="21"/>
          <w:highlight w:val="none"/>
        </w:rPr>
        <w:t>项目管理人员应附身份证、</w:t>
      </w:r>
      <w:r>
        <w:rPr>
          <w:rFonts w:hint="eastAsia" w:ascii="宋体" w:hAnsi="宋体" w:cs="宋体"/>
          <w:color w:val="auto"/>
          <w:kern w:val="0"/>
          <w:sz w:val="24"/>
          <w:szCs w:val="21"/>
          <w:highlight w:val="none"/>
          <w:lang w:val="en-US" w:eastAsia="zh-CN"/>
        </w:rPr>
        <w:t>相关资格证书</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lang w:val="en-US" w:eastAsia="zh-CN"/>
        </w:rPr>
        <w:t>如有</w:t>
      </w:r>
      <w:r>
        <w:rPr>
          <w:rFonts w:hint="eastAsia" w:ascii="宋体" w:hAnsi="宋体" w:cs="宋体"/>
          <w:color w:val="auto"/>
          <w:kern w:val="0"/>
          <w:sz w:val="24"/>
          <w:szCs w:val="21"/>
          <w:highlight w:val="none"/>
          <w:lang w:eastAsia="zh-CN"/>
        </w:rPr>
        <w:t>）</w:t>
      </w:r>
      <w:r>
        <w:rPr>
          <w:rFonts w:ascii="宋体" w:hAnsi="宋体" w:cs="宋体"/>
          <w:color w:val="auto"/>
          <w:kern w:val="0"/>
          <w:sz w:val="24"/>
          <w:szCs w:val="21"/>
          <w:highlight w:val="none"/>
        </w:rPr>
        <w:t>、社保证明</w:t>
      </w:r>
      <w:r>
        <w:rPr>
          <w:rFonts w:hint="eastAsia" w:ascii="宋体" w:hAnsi="宋体" w:cs="宋体"/>
          <w:color w:val="auto"/>
          <w:kern w:val="0"/>
          <w:sz w:val="24"/>
          <w:szCs w:val="21"/>
          <w:highlight w:val="none"/>
          <w:lang w:val="en-US" w:eastAsia="zh-CN"/>
        </w:rPr>
        <w:t>或合同</w:t>
      </w:r>
      <w:r>
        <w:rPr>
          <w:rFonts w:ascii="宋体" w:hAnsi="宋体" w:cs="宋体"/>
          <w:color w:val="auto"/>
          <w:kern w:val="0"/>
          <w:sz w:val="24"/>
          <w:szCs w:val="21"/>
          <w:highlight w:val="none"/>
        </w:rPr>
        <w:t>复印件等材料。</w:t>
      </w:r>
    </w:p>
    <w:p w14:paraId="68DFA060">
      <w:pPr>
        <w:rPr>
          <w:rFonts w:hint="default"/>
          <w:color w:val="000000" w:themeColor="text1"/>
          <w:highlight w:val="none"/>
          <w14:textFill>
            <w14:solidFill>
              <w14:schemeClr w14:val="tx1"/>
            </w14:solidFill>
          </w14:textFill>
        </w:rPr>
      </w:pPr>
    </w:p>
    <w:p w14:paraId="6632277E">
      <w:pPr>
        <w:pStyle w:val="13"/>
        <w:ind w:firstLine="506"/>
        <w:rPr>
          <w:rFonts w:ascii="宋体" w:hAnsi="宋体" w:cs="宋体"/>
          <w:b/>
          <w:color w:val="000000" w:themeColor="text1"/>
          <w:spacing w:val="6"/>
          <w:szCs w:val="24"/>
          <w:highlight w:val="none"/>
          <w14:textFill>
            <w14:solidFill>
              <w14:schemeClr w14:val="tx1"/>
            </w14:solidFill>
          </w14:textFill>
        </w:rPr>
      </w:pPr>
    </w:p>
    <w:p w14:paraId="121ECB25">
      <w:pPr>
        <w:widowControl/>
        <w:jc w:val="left"/>
        <w:outlineLvl w:val="1"/>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《中小企业声明函》或《残疾人福利性单位声明函》或《监狱企业声明函》</w:t>
      </w:r>
    </w:p>
    <w:p w14:paraId="0B0A26EE">
      <w:pPr>
        <w:widowControl/>
        <w:jc w:val="left"/>
        <w:rPr>
          <w:color w:val="000000" w:themeColor="text1"/>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应对其提交的《中小企业声明函》《残疾人福利性单位声明函》《监狱企业声明函》的真实性负责，提交的声明函不真实的，应承担相应的法律责任。</w:t>
      </w:r>
    </w:p>
    <w:p w14:paraId="2554CC7F">
      <w:pPr>
        <w:widowControl/>
        <w:spacing w:line="540" w:lineRule="exact"/>
        <w:jc w:val="center"/>
        <w:rPr>
          <w:color w:val="000000" w:themeColor="text1"/>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（1）中小企业声明函（</w:t>
      </w:r>
      <w:r>
        <w:rPr>
          <w:rFonts w:hint="eastAsia" w:ascii="宋体" w:hAnsi="宋体" w:cs="宋体"/>
          <w:b/>
          <w:color w:val="000000" w:themeColor="text1"/>
          <w:kern w:val="0"/>
          <w:sz w:val="30"/>
          <w:szCs w:val="30"/>
          <w:highlight w:val="none"/>
          <w:lang w:val="en-US" w:eastAsia="zh-CN"/>
          <w14:textFill>
            <w14:solidFill>
              <w14:schemeClr w14:val="tx1"/>
            </w14:solidFill>
          </w14:textFill>
        </w:rPr>
        <w:t>工程、</w:t>
      </w:r>
      <w:r>
        <w:rPr>
          <w:rFonts w:hint="eastAsia" w:ascii="宋体" w:hAnsi="宋体" w:cs="宋体"/>
          <w:b/>
          <w:color w:val="000000" w:themeColor="text1"/>
          <w:kern w:val="0"/>
          <w:sz w:val="30"/>
          <w:szCs w:val="30"/>
          <w:highlight w:val="none"/>
          <w14:textFill>
            <w14:solidFill>
              <w14:schemeClr w14:val="tx1"/>
            </w14:solidFill>
          </w14:textFill>
        </w:rPr>
        <w:t>服务）</w:t>
      </w:r>
    </w:p>
    <w:p w14:paraId="6AB87F64">
      <w:pPr>
        <w:widowControl/>
        <w:spacing w:line="54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本公司（联合体）郑重声明，根据《政府采购促进中小企业发展管理办法》（财库 （2020) 46号）的规定， 本公司（联合体）参加</w:t>
      </w:r>
      <w:r>
        <w:rPr>
          <w:rFonts w:hint="eastAsia" w:ascii="宋体" w:hAnsi="宋体" w:cs="宋体"/>
          <w:color w:val="000000" w:themeColor="text1"/>
          <w:kern w:val="0"/>
          <w:sz w:val="24"/>
          <w:szCs w:val="24"/>
          <w:highlight w:val="none"/>
          <w:u w:val="single"/>
          <w14:textFill>
            <w14:solidFill>
              <w14:schemeClr w14:val="tx1"/>
            </w14:solidFill>
          </w14:textFill>
        </w:rPr>
        <w:t>（单位名称）</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kern w:val="0"/>
          <w:sz w:val="24"/>
          <w:szCs w:val="24"/>
          <w:highlight w:val="none"/>
          <w:u w:val="single"/>
          <w14:textFill>
            <w14:solidFill>
              <w14:schemeClr w14:val="tx1"/>
            </w14:solidFill>
          </w14:textFill>
        </w:rPr>
        <w:t>（项目名称）</w:t>
      </w:r>
      <w:r>
        <w:rPr>
          <w:rFonts w:hint="eastAsia" w:ascii="宋体" w:hAnsi="宋体" w:cs="宋体"/>
          <w:color w:val="000000" w:themeColor="text1"/>
          <w:kern w:val="0"/>
          <w:sz w:val="24"/>
          <w:szCs w:val="24"/>
          <w:highlight w:val="none"/>
          <w14:textFill>
            <w14:solidFill>
              <w14:schemeClr w14:val="tx1"/>
            </w14:solidFill>
          </w14:textFill>
        </w:rPr>
        <w:t>采购活动，服务全部由符合政策要求的中小企业承接。相关企业（含联合体中的中小企业、签订分包意向协议的中小企业） 的具体情况如下：</w:t>
      </w:r>
    </w:p>
    <w:p w14:paraId="37D606AF">
      <w:pPr>
        <w:widowControl/>
        <w:spacing w:line="54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（标的名称）</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（采购文件中明确的所属行业）</w:t>
      </w:r>
      <w:r>
        <w:rPr>
          <w:rFonts w:hint="eastAsia" w:ascii="宋体" w:hAnsi="宋体" w:cs="宋体"/>
          <w:color w:val="000000" w:themeColor="text1"/>
          <w:kern w:val="0"/>
          <w:sz w:val="24"/>
          <w:szCs w:val="24"/>
          <w:highlight w:val="none"/>
          <w14:textFill>
            <w14:solidFill>
              <w14:schemeClr w14:val="tx1"/>
            </w14:solidFill>
          </w14:textFill>
        </w:rPr>
        <w:t>行业；承建（承接）企业为</w:t>
      </w:r>
      <w:r>
        <w:rPr>
          <w:rFonts w:hint="eastAsia" w:ascii="宋体" w:hAnsi="宋体" w:cs="宋体"/>
          <w:color w:val="000000" w:themeColor="text1"/>
          <w:kern w:val="0"/>
          <w:sz w:val="24"/>
          <w:szCs w:val="24"/>
          <w:highlight w:val="none"/>
          <w:u w:val="single"/>
          <w14:textFill>
            <w14:solidFill>
              <w14:schemeClr w14:val="tx1"/>
            </w14:solidFill>
          </w14:textFill>
        </w:rPr>
        <w:t>（企业名称）</w:t>
      </w:r>
      <w:r>
        <w:rPr>
          <w:rFonts w:hint="eastAsia" w:ascii="宋体" w:hAnsi="宋体" w:cs="宋体"/>
          <w:color w:val="000000" w:themeColor="text1"/>
          <w:kern w:val="0"/>
          <w:sz w:val="24"/>
          <w:szCs w:val="24"/>
          <w:highlight w:val="none"/>
          <w14:textFill>
            <w14:solidFill>
              <w14:schemeClr w14:val="tx1"/>
            </w14:solidFill>
          </w14:textFill>
        </w:rPr>
        <w:t>，从业人员</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人，营业收入为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万元，属于</w:t>
      </w:r>
      <w:r>
        <w:rPr>
          <w:rFonts w:hint="eastAsia" w:ascii="宋体" w:hAnsi="宋体" w:cs="宋体"/>
          <w:color w:val="000000" w:themeColor="text1"/>
          <w:kern w:val="0"/>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14:textFill>
            <w14:solidFill>
              <w14:schemeClr w14:val="tx1"/>
            </w14:solidFill>
          </w14:textFill>
        </w:rPr>
        <w:t>；</w:t>
      </w:r>
    </w:p>
    <w:p w14:paraId="515F9CFD">
      <w:pPr>
        <w:widowControl/>
        <w:spacing w:line="54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u w:val="single"/>
          <w14:textFill>
            <w14:solidFill>
              <w14:schemeClr w14:val="tx1"/>
            </w14:solidFill>
          </w14:textFill>
        </w:rPr>
        <w:tab/>
      </w:r>
      <w:r>
        <w:rPr>
          <w:rFonts w:hint="eastAsia" w:ascii="宋体" w:hAnsi="宋体" w:cs="宋体"/>
          <w:color w:val="000000" w:themeColor="text1"/>
          <w:kern w:val="0"/>
          <w:sz w:val="24"/>
          <w:szCs w:val="24"/>
          <w:highlight w:val="none"/>
          <w:u w:val="single"/>
          <w14:textFill>
            <w14:solidFill>
              <w14:schemeClr w14:val="tx1"/>
            </w14:solidFill>
          </w14:textFill>
        </w:rPr>
        <w:t>（标的名称）</w:t>
      </w:r>
      <w:r>
        <w:rPr>
          <w:rFonts w:hint="eastAsia" w:ascii="宋体" w:hAnsi="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kern w:val="0"/>
          <w:sz w:val="24"/>
          <w:szCs w:val="24"/>
          <w:highlight w:val="none"/>
          <w:u w:val="single"/>
          <w14:textFill>
            <w14:solidFill>
              <w14:schemeClr w14:val="tx1"/>
            </w14:solidFill>
          </w14:textFill>
        </w:rPr>
        <w:t>（采购文件中明确的所属行业）</w:t>
      </w:r>
      <w:r>
        <w:rPr>
          <w:rFonts w:hint="eastAsia" w:ascii="宋体" w:hAnsi="宋体" w:cs="宋体"/>
          <w:color w:val="000000" w:themeColor="text1"/>
          <w:kern w:val="0"/>
          <w:sz w:val="24"/>
          <w:szCs w:val="24"/>
          <w:highlight w:val="none"/>
          <w14:textFill>
            <w14:solidFill>
              <w14:schemeClr w14:val="tx1"/>
            </w14:solidFill>
          </w14:textFill>
        </w:rPr>
        <w:t>行业；承建（承接）企业为</w:t>
      </w:r>
      <w:r>
        <w:rPr>
          <w:rFonts w:hint="eastAsia" w:ascii="宋体" w:hAnsi="宋体" w:cs="宋体"/>
          <w:color w:val="000000" w:themeColor="text1"/>
          <w:kern w:val="0"/>
          <w:sz w:val="24"/>
          <w:szCs w:val="24"/>
          <w:highlight w:val="none"/>
          <w:u w:val="single"/>
          <w14:textFill>
            <w14:solidFill>
              <w14:schemeClr w14:val="tx1"/>
            </w14:solidFill>
          </w14:textFill>
        </w:rPr>
        <w:t>（企业名称）</w:t>
      </w:r>
      <w:r>
        <w:rPr>
          <w:rFonts w:hint="eastAsia" w:ascii="宋体" w:hAnsi="宋体" w:cs="宋体"/>
          <w:color w:val="000000" w:themeColor="text1"/>
          <w:kern w:val="0"/>
          <w:sz w:val="24"/>
          <w:szCs w:val="24"/>
          <w:highlight w:val="none"/>
          <w14:textFill>
            <w14:solidFill>
              <w14:schemeClr w14:val="tx1"/>
            </w14:solidFill>
          </w14:textFill>
        </w:rPr>
        <w:t>，从业人员</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人，营业收入为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万元，属于</w:t>
      </w:r>
      <w:r>
        <w:rPr>
          <w:rFonts w:hint="eastAsia" w:ascii="宋体" w:hAnsi="宋体" w:cs="宋体"/>
          <w:color w:val="000000" w:themeColor="text1"/>
          <w:kern w:val="0"/>
          <w:sz w:val="24"/>
          <w:szCs w:val="24"/>
          <w:highlight w:val="none"/>
          <w:u w:val="single"/>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14:textFill>
            <w14:solidFill>
              <w14:schemeClr w14:val="tx1"/>
            </w14:solidFill>
          </w14:textFill>
        </w:rPr>
        <w:t>；</w:t>
      </w:r>
    </w:p>
    <w:p w14:paraId="3AE3DE46">
      <w:pPr>
        <w:widowControl/>
        <w:spacing w:line="540" w:lineRule="exact"/>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41CF9FB9">
      <w:pPr>
        <w:widowControl/>
        <w:spacing w:line="540" w:lineRule="exact"/>
        <w:ind w:firstLine="48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50876CA0">
      <w:pPr>
        <w:widowControl w:val="0"/>
        <w:adjustRightInd w:val="0"/>
        <w:snapToGrid w:val="0"/>
        <w:spacing w:line="6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r>
        <w:rPr>
          <w:rFonts w:hint="eastAsia" w:ascii="宋体" w:hAnsi="宋体" w:cs="宋体"/>
          <w:color w:val="000000" w:themeColor="text1"/>
          <w:highlight w:val="none"/>
          <w:u w:val="single"/>
          <w14:textFill>
            <w14:solidFill>
              <w14:schemeClr w14:val="tx1"/>
            </w14:solidFill>
          </w14:textFill>
        </w:rPr>
        <w:t xml:space="preserve">              </w:t>
      </w:r>
    </w:p>
    <w:p w14:paraId="1227D6BE">
      <w:pPr>
        <w:widowControl w:val="0"/>
        <w:spacing w:line="600" w:lineRule="exact"/>
        <w:ind w:firstLine="2" w:firstLineChars="1"/>
        <w:rPr>
          <w:rFonts w:ascii="宋体" w:hAnsi="宋体" w:cs="宋体"/>
          <w:b/>
          <w:color w:val="000000" w:themeColor="text1"/>
          <w:highlight w:val="none"/>
          <w:u w:val="singl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全称（加盖电子公章）：</w:t>
      </w:r>
      <w:r>
        <w:rPr>
          <w:rFonts w:hint="eastAsia" w:ascii="宋体" w:hAnsi="宋体" w:cs="宋体"/>
          <w:color w:val="000000" w:themeColor="text1"/>
          <w:highlight w:val="none"/>
          <w:u w:val="single"/>
          <w14:textFill>
            <w14:solidFill>
              <w14:schemeClr w14:val="tx1"/>
            </w14:solidFill>
          </w14:textFill>
        </w:rPr>
        <w:t xml:space="preserve">                </w:t>
      </w:r>
    </w:p>
    <w:p w14:paraId="0764446D">
      <w:pPr>
        <w:widowControl w:val="0"/>
        <w:adjustRightInd w:val="0"/>
        <w:snapToGrid w:val="0"/>
        <w:spacing w:line="600" w:lineRule="exac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75A5B85D">
      <w:pPr>
        <w:widowControl/>
        <w:spacing w:line="540" w:lineRule="exact"/>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1、从业人员、营业收入、资产总额填报上一年度数据 ，无上一年度数据的新成立企业可不填报。</w:t>
      </w:r>
    </w:p>
    <w:p w14:paraId="24EB3A9F">
      <w:pPr>
        <w:pStyle w:val="21"/>
        <w:widowControl w:val="0"/>
        <w:spacing w:line="360" w:lineRule="auto"/>
        <w:jc w:val="both"/>
        <w:rPr>
          <w:rFonts w:ascii="宋体" w:hAnsi="宋体" w:cs="宋体"/>
          <w:b/>
          <w:color w:val="000000" w:themeColor="text1"/>
          <w:sz w:val="24"/>
          <w:szCs w:val="24"/>
          <w:highlight w:val="none"/>
          <w14:textFill>
            <w14:solidFill>
              <w14:schemeClr w14:val="tx1"/>
            </w14:solidFill>
          </w14:textFill>
        </w:rPr>
      </w:pPr>
    </w:p>
    <w:p w14:paraId="392103E8">
      <w:pPr>
        <w:pStyle w:val="21"/>
        <w:widowControl w:val="0"/>
        <w:spacing w:line="360" w:lineRule="auto"/>
        <w:jc w:val="both"/>
        <w:rPr>
          <w:rFonts w:ascii="宋体" w:hAnsi="宋体" w:cs="宋体"/>
          <w:b/>
          <w:color w:val="000000" w:themeColor="text1"/>
          <w:sz w:val="24"/>
          <w:szCs w:val="24"/>
          <w:highlight w:val="none"/>
          <w14:textFill>
            <w14:solidFill>
              <w14:schemeClr w14:val="tx1"/>
            </w14:solidFill>
          </w14:textFill>
        </w:rPr>
      </w:pPr>
    </w:p>
    <w:p w14:paraId="1EECDFBD">
      <w:pPr>
        <w:pStyle w:val="21"/>
        <w:widowControl w:val="0"/>
        <w:spacing w:line="360" w:lineRule="auto"/>
        <w:jc w:val="center"/>
        <w:rPr>
          <w:rFonts w:ascii="宋体" w:hAnsi="宋体" w:cs="宋体"/>
          <w:b/>
          <w:color w:val="000000" w:themeColor="text1"/>
          <w:sz w:val="24"/>
          <w:szCs w:val="24"/>
          <w:highlight w:val="none"/>
          <w14:textFill>
            <w14:solidFill>
              <w14:schemeClr w14:val="tx1"/>
            </w14:solidFill>
          </w14:textFill>
        </w:rPr>
      </w:pPr>
    </w:p>
    <w:p w14:paraId="5A58D3D8">
      <w:pPr>
        <w:pStyle w:val="21"/>
        <w:widowControl w:val="0"/>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w:t>
      </w:r>
      <w:r>
        <w:rPr>
          <w:rFonts w:hint="eastAsia" w:ascii="宋体" w:hAnsi="宋体" w:cs="宋体"/>
          <w:b/>
          <w:color w:val="000000" w:themeColor="text1"/>
          <w:kern w:val="0"/>
          <w:sz w:val="24"/>
          <w:szCs w:val="24"/>
          <w:highlight w:val="none"/>
          <w14:textFill>
            <w14:solidFill>
              <w14:schemeClr w14:val="tx1"/>
            </w14:solidFill>
          </w14:textFill>
        </w:rPr>
        <w:t>监狱企业声明函</w:t>
      </w:r>
    </w:p>
    <w:p w14:paraId="57C23B47">
      <w:pPr>
        <w:pStyle w:val="21"/>
        <w:widowControl w:val="0"/>
        <w:spacing w:line="360" w:lineRule="auto"/>
        <w:jc w:val="center"/>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不属于监狱企业的无需填写</w:t>
      </w:r>
      <w:r>
        <w:rPr>
          <w:rFonts w:hint="eastAsia" w:ascii="宋体" w:hAnsi="宋体" w:cs="宋体"/>
          <w:color w:val="000000" w:themeColor="text1"/>
          <w:spacing w:val="-4"/>
          <w:sz w:val="24"/>
          <w:szCs w:val="24"/>
          <w:highlight w:val="none"/>
          <w14:textFill>
            <w14:solidFill>
              <w14:schemeClr w14:val="tx1"/>
            </w14:solidFill>
          </w14:textFill>
        </w:rPr>
        <w:t>）</w:t>
      </w:r>
    </w:p>
    <w:p w14:paraId="3BF48D77">
      <w:pPr>
        <w:pStyle w:val="21"/>
        <w:widowControl w:val="0"/>
        <w:spacing w:line="360" w:lineRule="auto"/>
        <w:ind w:firstLine="464"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 xml:space="preserve">公司郑重声明，根据《关于政府采购支持监狱企业发展有关问题的通知》 </w:t>
      </w:r>
      <w:r>
        <w:rPr>
          <w:rFonts w:hint="eastAsia" w:ascii="宋体" w:hAnsi="宋体" w:cs="宋体"/>
          <w:color w:val="000000" w:themeColor="text1"/>
          <w:sz w:val="24"/>
          <w:szCs w:val="24"/>
          <w:highlight w:val="none"/>
          <w14:textFill>
            <w14:solidFill>
              <w14:schemeClr w14:val="tx1"/>
            </w14:solidFill>
          </w14:textFill>
        </w:rPr>
        <w:t>（财库[2014]68</w:t>
      </w:r>
      <w:r>
        <w:rPr>
          <w:rFonts w:hint="eastAsia" w:ascii="宋体" w:hAnsi="宋体" w:cs="宋体"/>
          <w:color w:val="000000" w:themeColor="text1"/>
          <w:spacing w:val="-47"/>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号）的规定，本公司为监狱企业。 </w:t>
      </w:r>
    </w:p>
    <w:p w14:paraId="49E4A084">
      <w:pPr>
        <w:pStyle w:val="21"/>
        <w:widowControl w:val="0"/>
        <w:spacing w:line="360" w:lineRule="auto"/>
        <w:ind w:firstLine="45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7"/>
          <w:sz w:val="24"/>
          <w:szCs w:val="24"/>
          <w:highlight w:val="none"/>
          <w14:textFill>
            <w14:solidFill>
              <w14:schemeClr w14:val="tx1"/>
            </w14:solidFill>
          </w14:textFill>
        </w:rPr>
        <w:t>根据上述标准，我公司属于监狱企业的理由为：</w:t>
      </w:r>
      <w:r>
        <w:rPr>
          <w:rFonts w:hint="eastAsia" w:ascii="宋体" w:hAnsi="宋体" w:cs="宋体"/>
          <w:color w:val="000000" w:themeColor="text1"/>
          <w:spacing w:val="-7"/>
          <w:sz w:val="24"/>
          <w:szCs w:val="24"/>
          <w:highlight w:val="none"/>
          <w:u w:val="single"/>
          <w14:textFill>
            <w14:solidFill>
              <w14:schemeClr w14:val="tx1"/>
            </w14:solidFill>
          </w14:textFill>
        </w:rPr>
        <w:t xml:space="preserve">                    </w:t>
      </w:r>
      <w:r>
        <w:rPr>
          <w:rFonts w:hint="eastAsia" w:ascii="宋体" w:hAnsi="宋体" w:cs="宋体"/>
          <w:color w:val="000000" w:themeColor="text1"/>
          <w:spacing w:val="-7"/>
          <w:sz w:val="24"/>
          <w:szCs w:val="24"/>
          <w:highlight w:val="none"/>
          <w14:textFill>
            <w14:solidFill>
              <w14:schemeClr w14:val="tx1"/>
            </w14:solidFill>
          </w14:textFill>
        </w:rPr>
        <w:t>。</w:t>
      </w:r>
    </w:p>
    <w:p w14:paraId="2F2B8FA2">
      <w:pPr>
        <w:pStyle w:val="21"/>
        <w:widowControl w:val="0"/>
        <w:tabs>
          <w:tab w:val="left" w:pos="3120"/>
        </w:tabs>
        <w:spacing w:line="360" w:lineRule="auto"/>
        <w:ind w:firstLine="476"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1"/>
          <w:sz w:val="24"/>
          <w:szCs w:val="24"/>
          <w:highlight w:val="none"/>
          <w14:textFill>
            <w14:solidFill>
              <w14:schemeClr w14:val="tx1"/>
            </w14:solidFill>
          </w14:textFill>
        </w:rPr>
        <w:t>本公司为参加</w:t>
      </w:r>
      <w:r>
        <w:rPr>
          <w:rFonts w:hint="eastAsia" w:ascii="宋体" w:hAnsi="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cs="宋体"/>
          <w:color w:val="000000" w:themeColor="text1"/>
          <w:spacing w:val="-1"/>
          <w:sz w:val="24"/>
          <w:szCs w:val="24"/>
          <w:highlight w:val="none"/>
          <w:u w:val="single" w:color="000000"/>
          <w14:textFill>
            <w14:solidFill>
              <w14:schemeClr w14:val="tx1"/>
            </w14:solidFill>
          </w14:textFill>
        </w:rPr>
        <w:t>（项目名称）</w:t>
      </w:r>
      <w:r>
        <w:rPr>
          <w:rFonts w:hint="eastAsia" w:ascii="宋体" w:hAnsi="宋体" w:cs="宋体"/>
          <w:color w:val="000000" w:themeColor="text1"/>
          <w:spacing w:val="34"/>
          <w:sz w:val="24"/>
          <w:szCs w:val="24"/>
          <w:highlight w:val="none"/>
          <w:u w:val="single" w:color="000000"/>
          <w14:textFill>
            <w14:solidFill>
              <w14:schemeClr w14:val="tx1"/>
            </w14:solidFill>
          </w14:textFill>
        </w:rPr>
        <w:t xml:space="preserve"> </w:t>
      </w:r>
      <w:r>
        <w:rPr>
          <w:rFonts w:hint="eastAsia" w:ascii="宋体" w:hAnsi="宋体" w:cs="宋体"/>
          <w:color w:val="000000" w:themeColor="text1"/>
          <w:spacing w:val="-6"/>
          <w:sz w:val="24"/>
          <w:szCs w:val="24"/>
          <w:highlight w:val="none"/>
          <w14:textFill>
            <w14:solidFill>
              <w14:schemeClr w14:val="tx1"/>
            </w14:solidFill>
          </w14:textFill>
        </w:rPr>
        <w:t xml:space="preserve">（项目编号： </w:t>
      </w:r>
      <w:r>
        <w:rPr>
          <w:rFonts w:hint="eastAsia" w:ascii="宋体" w:hAnsi="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cs="宋体"/>
          <w:color w:val="000000" w:themeColor="text1"/>
          <w:spacing w:val="-6"/>
          <w:sz w:val="24"/>
          <w:szCs w:val="24"/>
          <w:highlight w:val="none"/>
          <w14:textFill>
            <w14:solidFill>
              <w14:schemeClr w14:val="tx1"/>
            </w14:solidFill>
          </w14:textFill>
        </w:rPr>
        <w:t>）采购活动提供本企业</w:t>
      </w:r>
      <w:r>
        <w:rPr>
          <w:rFonts w:hint="eastAsia" w:ascii="宋体" w:hAnsi="宋体" w:cs="宋体"/>
          <w:color w:val="000000" w:themeColor="text1"/>
          <w:spacing w:val="-6"/>
          <w:sz w:val="24"/>
          <w:szCs w:val="24"/>
          <w:highlight w:val="none"/>
          <w:u w:val="single"/>
          <w14:textFill>
            <w14:solidFill>
              <w14:schemeClr w14:val="tx1"/>
            </w14:solidFill>
          </w14:textFill>
        </w:rPr>
        <w:t xml:space="preserve">     </w:t>
      </w:r>
      <w:r>
        <w:rPr>
          <w:rFonts w:hint="eastAsia" w:ascii="宋体" w:hAnsi="宋体" w:cs="宋体"/>
          <w:color w:val="000000" w:themeColor="text1"/>
          <w:spacing w:val="-6"/>
          <w:sz w:val="24"/>
          <w:szCs w:val="24"/>
          <w:highlight w:val="none"/>
          <w:u w:val="single" w:color="000000"/>
          <w14:textFill>
            <w14:solidFill>
              <w14:schemeClr w14:val="tx1"/>
            </w14:solidFill>
          </w14:textFill>
        </w:rPr>
        <w:t>（填写制造的货</w:t>
      </w:r>
      <w:r>
        <w:rPr>
          <w:rFonts w:hint="eastAsia" w:ascii="宋体" w:hAnsi="宋体" w:cs="宋体"/>
          <w:color w:val="000000" w:themeColor="text1"/>
          <w:spacing w:val="-8"/>
          <w:sz w:val="24"/>
          <w:szCs w:val="24"/>
          <w:highlight w:val="none"/>
          <w:u w:val="single" w:color="000000"/>
          <w14:textFill>
            <w14:solidFill>
              <w14:schemeClr w14:val="tx1"/>
            </w14:solidFill>
          </w14:textFill>
        </w:rPr>
        <w:t>物，由本企业承担工程、提供服务）</w:t>
      </w:r>
      <w:r>
        <w:rPr>
          <w:rFonts w:hint="eastAsia" w:ascii="宋体" w:hAnsi="宋体" w:cs="宋体"/>
          <w:color w:val="000000" w:themeColor="text1"/>
          <w:spacing w:val="-8"/>
          <w:sz w:val="24"/>
          <w:szCs w:val="24"/>
          <w:highlight w:val="none"/>
          <w14:textFill>
            <w14:solidFill>
              <w14:schemeClr w14:val="tx1"/>
            </w14:solidFill>
          </w14:textFill>
        </w:rPr>
        <w:t>。</w:t>
      </w:r>
    </w:p>
    <w:p w14:paraId="709766F0">
      <w:pPr>
        <w:widowControl w:val="0"/>
        <w:spacing w:line="360" w:lineRule="auto"/>
        <w:rPr>
          <w:rFonts w:ascii="宋体" w:hAnsi="宋体" w:cs="宋体"/>
          <w:color w:val="000000" w:themeColor="text1"/>
          <w:highlight w:val="none"/>
          <w14:textFill>
            <w14:solidFill>
              <w14:schemeClr w14:val="tx1"/>
            </w14:solidFill>
          </w14:textFill>
        </w:rPr>
      </w:pPr>
    </w:p>
    <w:p w14:paraId="0117EFBA">
      <w:pPr>
        <w:pStyle w:val="21"/>
        <w:widowControl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本条所称货物不包括使用大型企业注册商标的货物和服务。 </w:t>
      </w:r>
    </w:p>
    <w:p w14:paraId="21A83215">
      <w:pPr>
        <w:pStyle w:val="21"/>
        <w:widowControl w:val="0"/>
        <w:spacing w:line="360" w:lineRule="auto"/>
        <w:ind w:firstLine="47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2"/>
          <w:sz w:val="24"/>
          <w:szCs w:val="24"/>
          <w:highlight w:val="none"/>
          <w14:textFill>
            <w14:solidFill>
              <w14:schemeClr w14:val="tx1"/>
            </w14:solidFill>
          </w14:textFill>
        </w:rPr>
        <w:t>本公司对上述声明的真实性负责。如有虚假，将依法承担相应责任。</w:t>
      </w:r>
    </w:p>
    <w:p w14:paraId="654A6C60">
      <w:pPr>
        <w:widowControl w:val="0"/>
        <w:spacing w:line="360" w:lineRule="auto"/>
        <w:rPr>
          <w:rFonts w:ascii="宋体" w:hAnsi="宋体" w:cs="宋体"/>
          <w:color w:val="000000" w:themeColor="text1"/>
          <w:highlight w:val="none"/>
          <w14:textFill>
            <w14:solidFill>
              <w14:schemeClr w14:val="tx1"/>
            </w14:solidFill>
          </w14:textFill>
        </w:rPr>
      </w:pPr>
    </w:p>
    <w:p w14:paraId="51B13BDB">
      <w:pPr>
        <w:widowControl w:val="0"/>
        <w:spacing w:line="360" w:lineRule="auto"/>
        <w:rPr>
          <w:rFonts w:ascii="宋体" w:hAnsi="宋体" w:cs="宋体"/>
          <w:color w:val="000000" w:themeColor="text1"/>
          <w:highlight w:val="none"/>
          <w14:textFill>
            <w14:solidFill>
              <w14:schemeClr w14:val="tx1"/>
            </w14:solidFill>
          </w14:textFill>
        </w:rPr>
      </w:pPr>
    </w:p>
    <w:p w14:paraId="2E73702B">
      <w:pPr>
        <w:widowControl w:val="0"/>
        <w:adjustRightInd w:val="0"/>
        <w:snapToGrid w:val="0"/>
        <w:spacing w:line="6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r>
        <w:rPr>
          <w:rFonts w:hint="eastAsia" w:ascii="宋体" w:hAnsi="宋体" w:cs="宋体"/>
          <w:color w:val="000000" w:themeColor="text1"/>
          <w:highlight w:val="none"/>
          <w:u w:val="single"/>
          <w14:textFill>
            <w14:solidFill>
              <w14:schemeClr w14:val="tx1"/>
            </w14:solidFill>
          </w14:textFill>
        </w:rPr>
        <w:t xml:space="preserve">              </w:t>
      </w:r>
    </w:p>
    <w:p w14:paraId="7BC3A323">
      <w:pPr>
        <w:widowControl w:val="0"/>
        <w:spacing w:line="600" w:lineRule="exact"/>
        <w:ind w:firstLine="2" w:firstLineChars="1"/>
        <w:rPr>
          <w:rFonts w:ascii="宋体" w:hAnsi="宋体" w:cs="宋体"/>
          <w:b/>
          <w:color w:val="000000" w:themeColor="text1"/>
          <w:highlight w:val="none"/>
          <w:u w:val="singl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全称（加盖电子公章）：</w:t>
      </w:r>
      <w:r>
        <w:rPr>
          <w:rFonts w:hint="eastAsia" w:ascii="宋体" w:hAnsi="宋体" w:cs="宋体"/>
          <w:color w:val="000000" w:themeColor="text1"/>
          <w:highlight w:val="none"/>
          <w:u w:val="single"/>
          <w14:textFill>
            <w14:solidFill>
              <w14:schemeClr w14:val="tx1"/>
            </w14:solidFill>
          </w14:textFill>
        </w:rPr>
        <w:t xml:space="preserve">                </w:t>
      </w:r>
    </w:p>
    <w:p w14:paraId="4B9E715A">
      <w:pPr>
        <w:widowControl w:val="0"/>
        <w:adjustRightInd w:val="0"/>
        <w:snapToGrid w:val="0"/>
        <w:spacing w:line="6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4DD3E763">
      <w:pPr>
        <w:widowControl w:val="0"/>
        <w:spacing w:line="360" w:lineRule="auto"/>
        <w:rPr>
          <w:rFonts w:ascii="宋体" w:hAnsi="宋体" w:cs="宋体"/>
          <w:color w:val="000000" w:themeColor="text1"/>
          <w:highlight w:val="none"/>
          <w14:textFill>
            <w14:solidFill>
              <w14:schemeClr w14:val="tx1"/>
            </w14:solidFill>
          </w14:textFill>
        </w:rPr>
      </w:pPr>
    </w:p>
    <w:p w14:paraId="7ED7BE89">
      <w:pPr>
        <w:widowControl w:val="0"/>
        <w:spacing w:line="360" w:lineRule="auto"/>
        <w:rPr>
          <w:rFonts w:ascii="宋体" w:hAnsi="宋体" w:cs="宋体"/>
          <w:color w:val="000000" w:themeColor="text1"/>
          <w:highlight w:val="none"/>
          <w14:textFill>
            <w14:solidFill>
              <w14:schemeClr w14:val="tx1"/>
            </w14:solidFill>
          </w14:textFill>
        </w:rPr>
      </w:pPr>
    </w:p>
    <w:p w14:paraId="695DDB8D">
      <w:pPr>
        <w:pStyle w:val="21"/>
        <w:widowControl w:val="0"/>
        <w:spacing w:line="360" w:lineRule="auto"/>
        <w:ind w:firstLine="478" w:firstLineChars="200"/>
        <w:rPr>
          <w:rFonts w:ascii="宋体" w:hAnsi="宋体" w:cs="宋体"/>
          <w:b/>
          <w:bCs/>
          <w:color w:val="000000" w:themeColor="text1"/>
          <w:spacing w:val="-1"/>
          <w:sz w:val="24"/>
          <w:szCs w:val="24"/>
          <w:highlight w:val="none"/>
          <w14:textFill>
            <w14:solidFill>
              <w14:schemeClr w14:val="tx1"/>
            </w14:solidFill>
          </w14:textFill>
        </w:rPr>
      </w:pPr>
      <w:r>
        <w:rPr>
          <w:rFonts w:hint="eastAsia" w:ascii="宋体" w:hAnsi="宋体" w:cs="宋体"/>
          <w:b/>
          <w:bCs/>
          <w:color w:val="000000" w:themeColor="text1"/>
          <w:spacing w:val="-1"/>
          <w:sz w:val="24"/>
          <w:szCs w:val="24"/>
          <w:highlight w:val="none"/>
          <w14:textFill>
            <w14:solidFill>
              <w14:schemeClr w14:val="tx1"/>
            </w14:solidFill>
          </w14:textFill>
        </w:rPr>
        <w:t xml:space="preserve">注： </w:t>
      </w:r>
      <w:r>
        <w:rPr>
          <w:rFonts w:hint="eastAsia" w:ascii="宋体" w:hAnsi="宋体" w:cs="宋体"/>
          <w:b/>
          <w:bCs/>
          <w:color w:val="000000" w:themeColor="text1"/>
          <w:spacing w:val="-1"/>
          <w:sz w:val="24"/>
          <w:szCs w:val="24"/>
          <w:highlight w:val="none"/>
          <w:lang w:val="en-US"/>
          <w14:textFill>
            <w14:solidFill>
              <w14:schemeClr w14:val="tx1"/>
            </w14:solidFill>
          </w14:textFill>
        </w:rPr>
        <w:t>1.</w:t>
      </w:r>
      <w:r>
        <w:rPr>
          <w:rFonts w:hint="eastAsia" w:ascii="宋体" w:hAnsi="宋体" w:cs="宋体"/>
          <w:b/>
          <w:bCs/>
          <w:color w:val="000000" w:themeColor="text1"/>
          <w:spacing w:val="-1"/>
          <w:sz w:val="24"/>
          <w:szCs w:val="24"/>
          <w:highlight w:val="none"/>
          <w14:textFill>
            <w14:solidFill>
              <w14:schemeClr w14:val="tx1"/>
            </w14:solidFill>
          </w14:textFill>
        </w:rPr>
        <w:t>若产品出自符合国家规定的监狱企业，则该产品制造企业必须出具上述声明函，且</w:t>
      </w:r>
      <w:r>
        <w:rPr>
          <w:rFonts w:hint="eastAsia" w:ascii="宋体" w:hAnsi="宋体" w:cs="宋体"/>
          <w:b/>
          <w:bCs/>
          <w:color w:val="000000" w:themeColor="text1"/>
          <w:spacing w:val="-1"/>
          <w:sz w:val="24"/>
          <w:szCs w:val="24"/>
          <w:highlight w:val="none"/>
          <w:lang w:eastAsia="zh-CN"/>
          <w14:textFill>
            <w14:solidFill>
              <w14:schemeClr w14:val="tx1"/>
            </w14:solidFill>
          </w14:textFill>
        </w:rPr>
        <w:t>供应商</w:t>
      </w:r>
      <w:r>
        <w:rPr>
          <w:rFonts w:hint="eastAsia" w:ascii="宋体" w:hAnsi="宋体" w:cs="宋体"/>
          <w:b/>
          <w:bCs/>
          <w:color w:val="000000" w:themeColor="text1"/>
          <w:spacing w:val="-1"/>
          <w:sz w:val="24"/>
          <w:szCs w:val="24"/>
          <w:highlight w:val="none"/>
          <w14:textFill>
            <w14:solidFill>
              <w14:schemeClr w14:val="tx1"/>
            </w14:solidFill>
          </w14:textFill>
        </w:rPr>
        <w:t>必须提供 应当提供由省级以上监狱管理局、戒毒管理局（含新疆生产建设兵团）出具的属于监狱企业的证明文件，否则在评审时将不考虑对该监狱企业的相关优惠。监狱企业视同小型、微型企业，享受评审中价格扣除等政府采购促进中小企业发展的政府采购政策。</w:t>
      </w:r>
    </w:p>
    <w:p w14:paraId="177BB496">
      <w:pPr>
        <w:widowControl w:val="0"/>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2.不属于监狱企业的</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此表可不填写。</w:t>
      </w:r>
    </w:p>
    <w:p w14:paraId="0AD56148">
      <w:pPr>
        <w:pStyle w:val="21"/>
        <w:widowControl w:val="0"/>
        <w:spacing w:line="360" w:lineRule="auto"/>
        <w:ind w:firstLine="478" w:firstLineChars="200"/>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pacing w:val="-1"/>
          <w:sz w:val="24"/>
          <w:szCs w:val="24"/>
          <w:highlight w:val="none"/>
          <w14:textFill>
            <w14:solidFill>
              <w14:schemeClr w14:val="tx1"/>
            </w14:solidFill>
          </w14:textFill>
        </w:rPr>
        <w:br w:type="page"/>
      </w:r>
      <w:r>
        <w:rPr>
          <w:rFonts w:hint="eastAsia" w:ascii="宋体" w:hAnsi="宋体" w:cs="宋体"/>
          <w:b/>
          <w:color w:val="000000" w:themeColor="text1"/>
          <w:sz w:val="24"/>
          <w:szCs w:val="24"/>
          <w:highlight w:val="none"/>
          <w14:textFill>
            <w14:solidFill>
              <w14:schemeClr w14:val="tx1"/>
            </w14:solidFill>
          </w14:textFill>
        </w:rPr>
        <w:t>（三）</w:t>
      </w:r>
      <w:r>
        <w:rPr>
          <w:rFonts w:hint="eastAsia" w:ascii="宋体" w:hAnsi="宋体" w:cs="宋体"/>
          <w:b/>
          <w:color w:val="000000" w:themeColor="text1"/>
          <w:kern w:val="0"/>
          <w:sz w:val="24"/>
          <w:szCs w:val="24"/>
          <w:highlight w:val="none"/>
          <w14:textFill>
            <w14:solidFill>
              <w14:schemeClr w14:val="tx1"/>
            </w14:solidFill>
          </w14:textFill>
        </w:rPr>
        <w:t>残疾人福利性单位声明函</w:t>
      </w:r>
    </w:p>
    <w:p w14:paraId="6F965109">
      <w:pPr>
        <w:pStyle w:val="21"/>
        <w:widowControl w:val="0"/>
        <w:spacing w:line="360" w:lineRule="auto"/>
        <w:ind w:firstLine="420"/>
        <w:jc w:val="center"/>
        <w:rPr>
          <w:rFonts w:ascii="宋体" w:hAnsi="宋体" w:cs="宋体"/>
          <w:color w:val="000000" w:themeColor="text1"/>
          <w:sz w:val="24"/>
          <w:szCs w:val="24"/>
          <w:highlight w:val="none"/>
          <w14:textFill>
            <w14:solidFill>
              <w14:schemeClr w14:val="tx1"/>
            </w14:solidFill>
          </w14:textFill>
        </w:rPr>
      </w:pPr>
      <w:bookmarkStart w:id="139" w:name="_Toc12907"/>
      <w:bookmarkStart w:id="140" w:name="_Toc20904"/>
      <w:r>
        <w:rPr>
          <w:rFonts w:hint="eastAsia" w:ascii="宋体" w:hAnsi="宋体" w:cs="宋体"/>
          <w:color w:val="000000" w:themeColor="text1"/>
          <w:sz w:val="24"/>
          <w:szCs w:val="24"/>
          <w:highlight w:val="none"/>
          <w14:textFill>
            <w14:solidFill>
              <w14:schemeClr w14:val="tx1"/>
            </w14:solidFill>
          </w14:textFill>
        </w:rPr>
        <w:t>（不属于残疾人福利性单位的无需填写）</w:t>
      </w:r>
      <w:bookmarkEnd w:id="139"/>
      <w:bookmarkEnd w:id="140"/>
    </w:p>
    <w:p w14:paraId="392BC711">
      <w:pPr>
        <w:pStyle w:val="21"/>
        <w:widowControl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w:t>
      </w:r>
      <w:r>
        <w:rPr>
          <w:rFonts w:hint="eastAsia" w:ascii="宋体" w:hAnsi="宋体" w:cs="宋体"/>
          <w:color w:val="000000" w:themeColor="text1"/>
          <w:spacing w:val="-10"/>
          <w:sz w:val="24"/>
          <w:szCs w:val="24"/>
          <w:highlight w:val="none"/>
          <w14:textFill>
            <w14:solidFill>
              <w14:schemeClr w14:val="tx1"/>
            </w14:solidFill>
          </w14:textFill>
        </w:rPr>
        <w:t xml:space="preserve">的通知》（财库〔2017〕  </w:t>
      </w:r>
      <w:r>
        <w:rPr>
          <w:rFonts w:hint="eastAsia" w:ascii="宋体" w:hAnsi="宋体" w:cs="宋体"/>
          <w:color w:val="000000" w:themeColor="text1"/>
          <w:sz w:val="24"/>
          <w:szCs w:val="24"/>
          <w:highlight w:val="none"/>
          <w14:textFill>
            <w14:solidFill>
              <w14:schemeClr w14:val="tx1"/>
            </w14:solidFill>
          </w14:textFill>
        </w:rPr>
        <w:t>141</w:t>
      </w:r>
      <w:r>
        <w:rPr>
          <w:rFonts w:hint="eastAsia" w:ascii="宋体" w:hAnsi="宋体" w:cs="宋体"/>
          <w:color w:val="000000" w:themeColor="text1"/>
          <w:spacing w:val="-32"/>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cs="宋体"/>
          <w:color w:val="000000" w:themeColor="text1"/>
          <w:sz w:val="24"/>
          <w:szCs w:val="24"/>
          <w:highlight w:val="none"/>
          <w:u w:val="single" w:color="000000"/>
          <w14:textFill>
            <w14:solidFill>
              <w14:schemeClr w14:val="tx1"/>
            </w14:solidFill>
          </w14:textFill>
        </w:rPr>
        <w:tab/>
      </w:r>
      <w:r>
        <w:rPr>
          <w:rFonts w:hint="eastAsia" w:ascii="宋体" w:hAnsi="宋体" w:cs="宋体"/>
          <w:color w:val="000000" w:themeColor="text1"/>
          <w:sz w:val="24"/>
          <w:szCs w:val="24"/>
          <w:highlight w:val="none"/>
          <w:u w:val="single" w:color="000000"/>
          <w14:textFill>
            <w14:solidFill>
              <w14:schemeClr w14:val="tx1"/>
            </w14:solidFill>
          </w14:textFill>
        </w:rPr>
        <w:t xml:space="preserve">         </w:t>
      </w:r>
      <w:r>
        <w:rPr>
          <w:rFonts w:hint="eastAsia" w:ascii="宋体" w:hAnsi="宋体" w:cs="宋体"/>
          <w:color w:val="000000" w:themeColor="text1"/>
          <w:spacing w:val="-1"/>
          <w:sz w:val="24"/>
          <w:szCs w:val="24"/>
          <w:highlight w:val="none"/>
          <w14:textFill>
            <w14:solidFill>
              <w14:schemeClr w14:val="tx1"/>
            </w14:solidFill>
          </w14:textFill>
        </w:rPr>
        <w:t>单位的</w:t>
      </w:r>
      <w:r>
        <w:rPr>
          <w:rFonts w:hint="eastAsia" w:ascii="宋体" w:hAnsi="宋体" w:cs="宋体"/>
          <w:color w:val="000000" w:themeColor="text1"/>
          <w:spacing w:val="-1"/>
          <w:sz w:val="24"/>
          <w:szCs w:val="24"/>
          <w:highlight w:val="none"/>
          <w:u w:val="single" w:color="000000"/>
          <w14:textFill>
            <w14:solidFill>
              <w14:schemeClr w14:val="tx1"/>
            </w14:solidFill>
          </w14:textFill>
        </w:rPr>
        <w:tab/>
      </w:r>
      <w:r>
        <w:rPr>
          <w:rFonts w:hint="eastAsia" w:ascii="宋体" w:hAnsi="宋体" w:cs="宋体"/>
          <w:color w:val="000000" w:themeColor="text1"/>
          <w:spacing w:val="-1"/>
          <w:sz w:val="24"/>
          <w:szCs w:val="24"/>
          <w:highlight w:val="none"/>
          <w:u w:val="single" w:color="000000"/>
          <w14:textFill>
            <w14:solidFill>
              <w14:schemeClr w14:val="tx1"/>
            </w14:solidFill>
          </w14:textFill>
        </w:rPr>
        <w:t xml:space="preserve">              </w:t>
      </w:r>
      <w:r>
        <w:rPr>
          <w:rFonts w:hint="eastAsia" w:ascii="宋体" w:hAnsi="宋体" w:cs="宋体"/>
          <w:color w:val="000000" w:themeColor="text1"/>
          <w:spacing w:val="-4"/>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2578910">
      <w:pPr>
        <w:pStyle w:val="21"/>
        <w:widowControl w:val="0"/>
        <w:spacing w:line="46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14:paraId="476F5A13">
      <w:pPr>
        <w:widowControl w:val="0"/>
        <w:spacing w:line="460" w:lineRule="exact"/>
        <w:rPr>
          <w:rFonts w:ascii="宋体" w:hAnsi="宋体" w:cs="宋体"/>
          <w:color w:val="000000" w:themeColor="text1"/>
          <w:highlight w:val="none"/>
          <w14:textFill>
            <w14:solidFill>
              <w14:schemeClr w14:val="tx1"/>
            </w14:solidFill>
          </w14:textFill>
        </w:rPr>
      </w:pPr>
    </w:p>
    <w:p w14:paraId="6387EE56">
      <w:pPr>
        <w:pStyle w:val="21"/>
        <w:widowControl w:val="0"/>
        <w:spacing w:line="460" w:lineRule="exact"/>
        <w:ind w:firstLine="420"/>
        <w:rPr>
          <w:rFonts w:ascii="宋体" w:hAnsi="宋体" w:cs="宋体"/>
          <w:color w:val="000000" w:themeColor="text1"/>
          <w:spacing w:val="-4"/>
          <w:sz w:val="24"/>
          <w:szCs w:val="24"/>
          <w:highlight w:val="none"/>
          <w14:textFill>
            <w14:solidFill>
              <w14:schemeClr w14:val="tx1"/>
            </w14:solidFill>
          </w14:textFill>
        </w:rPr>
      </w:pPr>
      <w:r>
        <w:rPr>
          <w:rFonts w:hint="eastAsia" w:ascii="宋体" w:hAnsi="宋体" w:cs="宋体"/>
          <w:color w:val="000000" w:themeColor="text1"/>
          <w:spacing w:val="-4"/>
          <w:sz w:val="24"/>
          <w:szCs w:val="24"/>
          <w:highlight w:val="none"/>
          <w14:textFill>
            <w14:solidFill>
              <w14:schemeClr w14:val="tx1"/>
            </w14:solidFill>
          </w14:textFill>
        </w:rPr>
        <w:t>注： 单独列出所供残疾人福利性单位制造的货物产品单价和总价。</w:t>
      </w:r>
    </w:p>
    <w:p w14:paraId="56D05E49">
      <w:pPr>
        <w:pStyle w:val="21"/>
        <w:widowControl w:val="0"/>
        <w:spacing w:line="46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14:textFill>
            <w14:solidFill>
              <w14:schemeClr w14:val="tx1"/>
            </w14:solidFill>
          </w14:textFill>
        </w:rPr>
        <w:t>（若</w:t>
      </w:r>
      <w:r>
        <w:rPr>
          <w:rFonts w:hint="eastAsia" w:ascii="宋体" w:hAnsi="宋体" w:cs="宋体"/>
          <w:color w:val="000000" w:themeColor="text1"/>
          <w:spacing w:val="-5"/>
          <w:sz w:val="24"/>
          <w:szCs w:val="24"/>
          <w:highlight w:val="none"/>
          <w:lang w:eastAsia="zh-CN"/>
          <w14:textFill>
            <w14:solidFill>
              <w14:schemeClr w14:val="tx1"/>
            </w14:solidFill>
          </w14:textFill>
        </w:rPr>
        <w:t>磋商</w:t>
      </w:r>
      <w:r>
        <w:rPr>
          <w:rFonts w:hint="eastAsia" w:ascii="宋体" w:hAnsi="宋体" w:cs="宋体"/>
          <w:color w:val="000000" w:themeColor="text1"/>
          <w:spacing w:val="-5"/>
          <w:sz w:val="24"/>
          <w:szCs w:val="24"/>
          <w:highlight w:val="none"/>
          <w14:textFill>
            <w14:solidFill>
              <w14:schemeClr w14:val="tx1"/>
            </w14:solidFill>
          </w14:textFill>
        </w:rPr>
        <w:t>文件中无上述材料，则在评审时不考虑对该小、微企业的相关优惠。）</w:t>
      </w:r>
    </w:p>
    <w:p w14:paraId="5DFDCACA">
      <w:pPr>
        <w:widowControl w:val="0"/>
        <w:spacing w:line="460" w:lineRule="exact"/>
        <w:rPr>
          <w:rFonts w:ascii="宋体" w:hAnsi="宋体" w:cs="宋体"/>
          <w:color w:val="000000" w:themeColor="text1"/>
          <w:highlight w:val="none"/>
          <w14:textFill>
            <w14:solidFill>
              <w14:schemeClr w14:val="tx1"/>
            </w14:solidFill>
          </w14:textFill>
        </w:rPr>
      </w:pPr>
    </w:p>
    <w:p w14:paraId="6A195B6A">
      <w:pPr>
        <w:widowControl w:val="0"/>
        <w:adjustRightInd w:val="0"/>
        <w:snapToGrid w:val="0"/>
        <w:spacing w:line="6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r>
        <w:rPr>
          <w:rFonts w:hint="eastAsia" w:ascii="宋体" w:hAnsi="宋体" w:cs="宋体"/>
          <w:color w:val="000000" w:themeColor="text1"/>
          <w:highlight w:val="none"/>
          <w:u w:val="single"/>
          <w14:textFill>
            <w14:solidFill>
              <w14:schemeClr w14:val="tx1"/>
            </w14:solidFill>
          </w14:textFill>
        </w:rPr>
        <w:t xml:space="preserve">              </w:t>
      </w:r>
    </w:p>
    <w:p w14:paraId="597D0315">
      <w:pPr>
        <w:widowControl w:val="0"/>
        <w:spacing w:line="600" w:lineRule="exact"/>
        <w:ind w:firstLine="2" w:firstLineChars="1"/>
        <w:rPr>
          <w:rFonts w:ascii="宋体" w:hAnsi="宋体" w:cs="宋体"/>
          <w:b/>
          <w:color w:val="000000" w:themeColor="text1"/>
          <w:highlight w:val="none"/>
          <w:u w:val="singl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全称（加盖电子公章）：</w:t>
      </w:r>
      <w:r>
        <w:rPr>
          <w:rFonts w:hint="eastAsia" w:ascii="宋体" w:hAnsi="宋体" w:cs="宋体"/>
          <w:color w:val="000000" w:themeColor="text1"/>
          <w:highlight w:val="none"/>
          <w:u w:val="single"/>
          <w14:textFill>
            <w14:solidFill>
              <w14:schemeClr w14:val="tx1"/>
            </w14:solidFill>
          </w14:textFill>
        </w:rPr>
        <w:t xml:space="preserve">                </w:t>
      </w:r>
    </w:p>
    <w:p w14:paraId="1312FB40">
      <w:pPr>
        <w:widowControl w:val="0"/>
        <w:adjustRightInd w:val="0"/>
        <w:snapToGrid w:val="0"/>
        <w:spacing w:line="6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w:t>
      </w:r>
      <w:r>
        <w:rPr>
          <w:rFonts w:hint="eastAsia" w:ascii="宋体" w:hAnsi="宋体" w:cs="宋体"/>
          <w:color w:val="000000" w:themeColor="text1"/>
          <w:highlight w:val="none"/>
          <w14:textFill>
            <w14:solidFill>
              <w14:schemeClr w14:val="tx1"/>
            </w14:solidFill>
          </w14:textFill>
        </w:rPr>
        <w:t>日</w:t>
      </w:r>
    </w:p>
    <w:p w14:paraId="19DBB156">
      <w:pPr>
        <w:pStyle w:val="21"/>
        <w:widowControl w:val="0"/>
        <w:spacing w:line="460" w:lineRule="exact"/>
        <w:ind w:hanging="27"/>
        <w:rPr>
          <w:rFonts w:ascii="宋体" w:hAnsi="宋体" w:cs="宋体"/>
          <w:color w:val="000000" w:themeColor="text1"/>
          <w:sz w:val="24"/>
          <w:szCs w:val="24"/>
          <w:highlight w:val="none"/>
          <w:lang w:val="en-US"/>
          <w14:textFill>
            <w14:solidFill>
              <w14:schemeClr w14:val="tx1"/>
            </w14:solidFill>
          </w14:textFill>
        </w:rPr>
      </w:pPr>
    </w:p>
    <w:p w14:paraId="48F00804">
      <w:pPr>
        <w:widowControl w:val="0"/>
        <w:spacing w:line="460" w:lineRule="exact"/>
        <w:rPr>
          <w:rFonts w:ascii="宋体" w:hAnsi="宋体" w:cs="宋体"/>
          <w:color w:val="000000" w:themeColor="text1"/>
          <w:highlight w:val="none"/>
          <w14:textFill>
            <w14:solidFill>
              <w14:schemeClr w14:val="tx1"/>
            </w14:solidFill>
          </w14:textFill>
        </w:rPr>
      </w:pPr>
    </w:p>
    <w:p w14:paraId="51F62248">
      <w:pPr>
        <w:pStyle w:val="23"/>
        <w:widowControl w:val="0"/>
        <w:spacing w:after="0" w:line="360" w:lineRule="auto"/>
        <w:ind w:left="0" w:leftChars="0" w:firstLine="478" w:firstLineChars="200"/>
        <w:rPr>
          <w:rFonts w:hint="default" w:hAnsi="宋体" w:cs="宋体"/>
          <w:b/>
          <w:bCs/>
          <w:color w:val="000000" w:themeColor="text1"/>
          <w:spacing w:val="-1"/>
          <w:sz w:val="24"/>
          <w:szCs w:val="24"/>
          <w:highlight w:val="none"/>
          <w14:textFill>
            <w14:solidFill>
              <w14:schemeClr w14:val="tx1"/>
            </w14:solidFill>
          </w14:textFill>
        </w:rPr>
      </w:pPr>
      <w:r>
        <w:rPr>
          <w:rFonts w:hAnsi="宋体" w:cs="宋体"/>
          <w:b/>
          <w:bCs/>
          <w:color w:val="000000" w:themeColor="text1"/>
          <w:spacing w:val="-1"/>
          <w:sz w:val="24"/>
          <w:szCs w:val="24"/>
          <w:highlight w:val="none"/>
          <w14:textFill>
            <w14:solidFill>
              <w14:schemeClr w14:val="tx1"/>
            </w14:solidFill>
          </w14:textFill>
        </w:rPr>
        <w:t>注：</w:t>
      </w:r>
      <w:r>
        <w:rPr>
          <w:rFonts w:hAnsi="宋体" w:cs="宋体"/>
          <w:b/>
          <w:bCs/>
          <w:color w:val="000000" w:themeColor="text1"/>
          <w:spacing w:val="-1"/>
          <w:sz w:val="24"/>
          <w:szCs w:val="24"/>
          <w:highlight w:val="none"/>
          <w:lang w:val="en-US"/>
          <w14:textFill>
            <w14:solidFill>
              <w14:schemeClr w14:val="tx1"/>
            </w14:solidFill>
          </w14:textFill>
        </w:rPr>
        <w:t>1.</w:t>
      </w:r>
      <w:r>
        <w:rPr>
          <w:rFonts w:hAnsi="宋体" w:cs="宋体"/>
          <w:b/>
          <w:bCs/>
          <w:color w:val="000000" w:themeColor="text1"/>
          <w:spacing w:val="-1"/>
          <w:sz w:val="24"/>
          <w:szCs w:val="24"/>
          <w:highlight w:val="none"/>
          <w14:textFill>
            <w14:solidFill>
              <w14:schemeClr w14:val="tx1"/>
            </w14:solidFill>
          </w14:textFill>
        </w:rPr>
        <w:t>符合条件的残疾人福利性单位在参加政府采购活动时，应当提供本通知规定的《残疾人福利性单位声明函》，并对声明的真实性负责。</w:t>
      </w:r>
      <w:r>
        <w:rPr>
          <w:rFonts w:hint="eastAsia" w:hAnsi="宋体" w:cs="宋体"/>
          <w:b/>
          <w:bCs/>
          <w:color w:val="000000" w:themeColor="text1"/>
          <w:spacing w:val="-1"/>
          <w:sz w:val="24"/>
          <w:szCs w:val="24"/>
          <w:highlight w:val="none"/>
          <w:lang w:eastAsia="zh-CN"/>
          <w14:textFill>
            <w14:solidFill>
              <w14:schemeClr w14:val="tx1"/>
            </w14:solidFill>
          </w14:textFill>
        </w:rPr>
        <w:t>采购代理机构</w:t>
      </w:r>
      <w:r>
        <w:rPr>
          <w:rFonts w:hAnsi="宋体" w:cs="宋体"/>
          <w:b/>
          <w:bCs/>
          <w:color w:val="000000" w:themeColor="text1"/>
          <w:spacing w:val="-1"/>
          <w:sz w:val="24"/>
          <w:szCs w:val="24"/>
          <w:highlight w:val="none"/>
          <w14:textFill>
            <w14:solidFill>
              <w14:schemeClr w14:val="tx1"/>
            </w14:solidFill>
          </w14:textFill>
        </w:rPr>
        <w:t>在随</w:t>
      </w:r>
      <w:r>
        <w:rPr>
          <w:rFonts w:hint="eastAsia" w:hAnsi="宋体" w:cs="宋体"/>
          <w:b/>
          <w:bCs/>
          <w:color w:val="000000" w:themeColor="text1"/>
          <w:spacing w:val="-1"/>
          <w:sz w:val="24"/>
          <w:szCs w:val="24"/>
          <w:highlight w:val="none"/>
          <w:lang w:eastAsia="zh-CN"/>
          <w14:textFill>
            <w14:solidFill>
              <w14:schemeClr w14:val="tx1"/>
            </w14:solidFill>
          </w14:textFill>
        </w:rPr>
        <w:t>成交</w:t>
      </w:r>
      <w:r>
        <w:rPr>
          <w:rFonts w:hAnsi="宋体" w:cs="宋体"/>
          <w:b/>
          <w:bCs/>
          <w:color w:val="000000" w:themeColor="text1"/>
          <w:spacing w:val="-1"/>
          <w:sz w:val="24"/>
          <w:szCs w:val="24"/>
          <w:highlight w:val="none"/>
          <w14:textFill>
            <w14:solidFill>
              <w14:schemeClr w14:val="tx1"/>
            </w14:solidFill>
          </w14:textFill>
        </w:rPr>
        <w:t>、成交结果同时公告其《残疾人福利性单位声明函》，接受社会监督。</w:t>
      </w:r>
      <w:r>
        <w:rPr>
          <w:rFonts w:hint="eastAsia" w:hAnsi="宋体" w:cs="宋体"/>
          <w:b/>
          <w:bCs/>
          <w:color w:val="000000" w:themeColor="text1"/>
          <w:spacing w:val="-1"/>
          <w:sz w:val="24"/>
          <w:szCs w:val="24"/>
          <w:highlight w:val="none"/>
          <w:lang w:eastAsia="zh-CN"/>
          <w14:textFill>
            <w14:solidFill>
              <w14:schemeClr w14:val="tx1"/>
            </w14:solidFill>
          </w14:textFill>
        </w:rPr>
        <w:t>供应商</w:t>
      </w:r>
      <w:r>
        <w:rPr>
          <w:rFonts w:hAnsi="宋体" w:cs="宋体"/>
          <w:b/>
          <w:bCs/>
          <w:color w:val="000000" w:themeColor="text1"/>
          <w:spacing w:val="-1"/>
          <w:sz w:val="24"/>
          <w:szCs w:val="24"/>
          <w:highlight w:val="none"/>
          <w14:textFill>
            <w14:solidFill>
              <w14:schemeClr w14:val="tx1"/>
            </w14:solidFill>
          </w14:textFill>
        </w:rPr>
        <w:t>提供的《残疾人福利性单位声明函》与事实不符的，依照《政府采购法》第七十七条第一款的规定追究法律责任。</w:t>
      </w:r>
    </w:p>
    <w:p w14:paraId="2AD9164C">
      <w:pPr>
        <w:widowControl w:val="0"/>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2.不属于残疾人福利性单位的</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此表可不填写。</w:t>
      </w:r>
    </w:p>
    <w:p w14:paraId="76412A42">
      <w:pPr>
        <w:widowControl w:val="0"/>
        <w:tabs>
          <w:tab w:val="left" w:pos="0"/>
        </w:tabs>
        <w:spacing w:line="360" w:lineRule="auto"/>
        <w:jc w:val="center"/>
        <w:rPr>
          <w:rFonts w:ascii="宋体" w:hAnsi="宋体" w:cs="宋体"/>
          <w:b/>
          <w:bCs/>
          <w:color w:val="000000" w:themeColor="text1"/>
          <w:highlight w:val="none"/>
          <w14:textFill>
            <w14:solidFill>
              <w14:schemeClr w14:val="tx1"/>
            </w14:solidFill>
          </w14:textFill>
        </w:rPr>
      </w:pPr>
    </w:p>
    <w:p w14:paraId="640B5711">
      <w:pPr>
        <w:widowControl w:val="0"/>
        <w:tabs>
          <w:tab w:val="left" w:pos="0"/>
        </w:tabs>
        <w:spacing w:line="360" w:lineRule="auto"/>
        <w:jc w:val="center"/>
        <w:rPr>
          <w:rFonts w:ascii="宋体" w:hAnsi="宋体" w:cs="宋体"/>
          <w:b/>
          <w:bCs/>
          <w:color w:val="000000" w:themeColor="text1"/>
          <w:highlight w:val="none"/>
          <w14:textFill>
            <w14:solidFill>
              <w14:schemeClr w14:val="tx1"/>
            </w14:solidFill>
          </w14:textFill>
        </w:rPr>
      </w:pPr>
    </w:p>
    <w:p w14:paraId="53F2EC45">
      <w:pPr>
        <w:widowControl w:val="0"/>
        <w:tabs>
          <w:tab w:val="left" w:pos="0"/>
        </w:tabs>
        <w:spacing w:line="360" w:lineRule="auto"/>
        <w:jc w:val="center"/>
        <w:rPr>
          <w:rFonts w:ascii="宋体" w:hAnsi="宋体" w:cs="宋体"/>
          <w:b/>
          <w:bCs/>
          <w:color w:val="000000" w:themeColor="text1"/>
          <w:highlight w:val="none"/>
          <w14:textFill>
            <w14:solidFill>
              <w14:schemeClr w14:val="tx1"/>
            </w14:solidFill>
          </w14:textFill>
        </w:rPr>
      </w:pPr>
    </w:p>
    <w:p w14:paraId="60681192">
      <w:pPr>
        <w:widowControl w:val="0"/>
        <w:tabs>
          <w:tab w:val="left" w:pos="0"/>
        </w:tabs>
        <w:spacing w:line="360" w:lineRule="auto"/>
        <w:jc w:val="center"/>
        <w:rPr>
          <w:rFonts w:ascii="宋体" w:hAnsi="宋体" w:cs="宋体"/>
          <w:b/>
          <w:bCs/>
          <w:color w:val="000000" w:themeColor="text1"/>
          <w:highlight w:val="none"/>
          <w14:textFill>
            <w14:solidFill>
              <w14:schemeClr w14:val="tx1"/>
            </w14:solidFill>
          </w14:textFill>
        </w:rPr>
      </w:pPr>
    </w:p>
    <w:p w14:paraId="21645318">
      <w:pPr>
        <w:widowControl w:val="0"/>
        <w:tabs>
          <w:tab w:val="left" w:pos="0"/>
        </w:tabs>
        <w:spacing w:line="360" w:lineRule="auto"/>
        <w:jc w:val="center"/>
        <w:rPr>
          <w:rFonts w:ascii="宋体" w:hAnsi="宋体" w:cs="宋体"/>
          <w:b/>
          <w:bCs/>
          <w:color w:val="000000" w:themeColor="text1"/>
          <w:highlight w:val="none"/>
          <w14:textFill>
            <w14:solidFill>
              <w14:schemeClr w14:val="tx1"/>
            </w14:solidFill>
          </w14:textFill>
        </w:rPr>
      </w:pPr>
    </w:p>
    <w:p w14:paraId="123FE8CD">
      <w:pPr>
        <w:widowControl w:val="0"/>
        <w:tabs>
          <w:tab w:val="left" w:pos="0"/>
        </w:tabs>
        <w:spacing w:line="360" w:lineRule="auto"/>
        <w:jc w:val="center"/>
        <w:rPr>
          <w:rFonts w:ascii="宋体" w:hAnsi="宋体" w:cs="宋体"/>
          <w:b/>
          <w:bCs/>
          <w:color w:val="000000" w:themeColor="text1"/>
          <w:highlight w:val="none"/>
          <w14:textFill>
            <w14:solidFill>
              <w14:schemeClr w14:val="tx1"/>
            </w14:solidFill>
          </w14:textFill>
        </w:rPr>
      </w:pPr>
    </w:p>
    <w:p w14:paraId="5725867C">
      <w:pPr>
        <w:widowControl w:val="0"/>
        <w:tabs>
          <w:tab w:val="left" w:pos="0"/>
        </w:tabs>
        <w:spacing w:line="360" w:lineRule="auto"/>
        <w:jc w:val="both"/>
        <w:rPr>
          <w:rFonts w:ascii="宋体" w:hAnsi="宋体" w:cs="宋体"/>
          <w:b/>
          <w:bCs/>
          <w:color w:val="000000" w:themeColor="text1"/>
          <w:highlight w:val="none"/>
          <w14:textFill>
            <w14:solidFill>
              <w14:schemeClr w14:val="tx1"/>
            </w14:solidFill>
          </w14:textFill>
        </w:rPr>
      </w:pPr>
    </w:p>
    <w:p w14:paraId="784CC31F">
      <w:pPr>
        <w:widowControl w:val="0"/>
        <w:tabs>
          <w:tab w:val="left" w:pos="0"/>
        </w:tabs>
        <w:spacing w:line="360" w:lineRule="auto"/>
        <w:jc w:val="center"/>
        <w:outlineLvl w:val="1"/>
        <w:rPr>
          <w:rFonts w:ascii="宋体" w:hAnsi="宋体" w:cs="宋体"/>
          <w:b/>
          <w:bCs/>
          <w:color w:val="000000" w:themeColor="text1"/>
          <w:sz w:val="28"/>
          <w:szCs w:val="28"/>
          <w:highlight w:val="none"/>
          <w14:textFill>
            <w14:solidFill>
              <w14:schemeClr w14:val="tx1"/>
            </w14:solidFill>
          </w14:textFill>
        </w:rPr>
      </w:pPr>
      <w:bookmarkStart w:id="141" w:name="_Toc18930"/>
      <w:r>
        <w:rPr>
          <w:rFonts w:hint="eastAsia" w:ascii="宋体" w:hAnsi="宋体" w:cs="宋体"/>
          <w:b/>
          <w:bCs/>
          <w:color w:val="000000" w:themeColor="text1"/>
          <w:sz w:val="28"/>
          <w:szCs w:val="28"/>
          <w:highlight w:val="none"/>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一</w:t>
      </w:r>
      <w:r>
        <w:rPr>
          <w:rFonts w:hint="eastAsia"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lang w:eastAsia="zh-CN"/>
          <w14:textFill>
            <w14:solidFill>
              <w14:schemeClr w14:val="tx1"/>
            </w14:solidFill>
          </w14:textFill>
        </w:rPr>
        <w:t>供应商</w:t>
      </w:r>
      <w:r>
        <w:rPr>
          <w:rFonts w:hint="eastAsia" w:ascii="宋体" w:hAnsi="宋体" w:cs="宋体"/>
          <w:b/>
          <w:bCs/>
          <w:color w:val="000000" w:themeColor="text1"/>
          <w:sz w:val="28"/>
          <w:szCs w:val="28"/>
          <w:highlight w:val="none"/>
          <w14:textFill>
            <w14:solidFill>
              <w14:schemeClr w14:val="tx1"/>
            </w14:solidFill>
          </w14:textFill>
        </w:rPr>
        <w:t>认为有必要提供的其他资料</w:t>
      </w:r>
      <w:bookmarkEnd w:id="141"/>
    </w:p>
    <w:p w14:paraId="079DA991">
      <w:pPr>
        <w:widowControl w:val="0"/>
        <w:tabs>
          <w:tab w:val="left" w:pos="0"/>
        </w:tabs>
        <w:spacing w:line="360" w:lineRule="auto"/>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供应商认为</w:t>
      </w:r>
      <w:r>
        <w:rPr>
          <w:rFonts w:hint="eastAsia" w:ascii="宋体" w:hAnsi="宋体" w:cs="宋体"/>
          <w:color w:val="000000" w:themeColor="text1"/>
          <w:highlight w:val="none"/>
          <w14:textFill>
            <w14:solidFill>
              <w14:schemeClr w14:val="tx1"/>
            </w14:solidFill>
          </w14:textFill>
        </w:rPr>
        <w:t>足够证明其具有承担本项目能力的</w:t>
      </w:r>
      <w:r>
        <w:rPr>
          <w:rFonts w:hint="eastAsia" w:ascii="宋体" w:hAnsi="宋体" w:cs="宋体"/>
          <w:color w:val="000000" w:themeColor="text1"/>
          <w:highlight w:val="none"/>
          <w:lang w:val="en-US" w:eastAsia="zh-CN"/>
          <w14:textFill>
            <w14:solidFill>
              <w14:schemeClr w14:val="tx1"/>
            </w14:solidFill>
          </w14:textFill>
        </w:rPr>
        <w:t>资料</w:t>
      </w:r>
      <w:r>
        <w:rPr>
          <w:rFonts w:hint="eastAsia" w:ascii="宋体" w:hAnsi="宋体" w:cs="宋体"/>
          <w:color w:val="000000" w:themeColor="text1"/>
          <w:highlight w:val="none"/>
          <w14:textFill>
            <w14:solidFill>
              <w14:schemeClr w14:val="tx1"/>
            </w14:solidFill>
          </w14:textFill>
        </w:rPr>
        <w:t>或竞争性磋商文件中没有提到的相关资料）</w:t>
      </w:r>
    </w:p>
    <w:p w14:paraId="480D5491">
      <w:pPr>
        <w:widowControl w:val="0"/>
        <w:snapToGrid w:val="0"/>
        <w:spacing w:after="100" w:afterAutospacing="1" w:line="360" w:lineRule="auto"/>
        <w:jc w:val="center"/>
        <w:rPr>
          <w:rFonts w:ascii="宋体" w:hAnsi="宋体" w:cs="宋体"/>
          <w:b/>
          <w:bCs/>
          <w:color w:val="000000" w:themeColor="text1"/>
          <w:highlight w:val="none"/>
          <w14:textFill>
            <w14:solidFill>
              <w14:schemeClr w14:val="tx1"/>
            </w14:solidFill>
          </w14:textFill>
        </w:rPr>
      </w:pPr>
    </w:p>
    <w:p w14:paraId="5E47D96C">
      <w:pPr>
        <w:widowControl w:val="0"/>
        <w:snapToGrid w:val="0"/>
        <w:spacing w:after="100" w:afterAutospacing="1"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7F198CB1">
      <w:pPr>
        <w:widowControl w:val="0"/>
        <w:snapToGrid w:val="0"/>
        <w:spacing w:after="100" w:afterAutospacing="1"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72AC8837">
      <w:pPr>
        <w:widowControl w:val="0"/>
        <w:snapToGrid w:val="0"/>
        <w:spacing w:after="100" w:afterAutospacing="1"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w:t>
      </w:r>
    </w:p>
    <w:p w14:paraId="0433AE58">
      <w:pPr>
        <w:pStyle w:val="46"/>
        <w:widowControl w:val="0"/>
        <w:spacing w:after="0" w:line="520" w:lineRule="exact"/>
        <w:ind w:firstLine="880"/>
        <w:jc w:val="center"/>
        <w:rPr>
          <w:b/>
          <w:bCs/>
          <w:color w:val="000000" w:themeColor="text1"/>
          <w:sz w:val="30"/>
          <w:szCs w:val="30"/>
          <w:highlight w:val="none"/>
          <w14:textFill>
            <w14:solidFill>
              <w14:schemeClr w14:val="tx1"/>
            </w14:solidFill>
          </w14:textFill>
        </w:rPr>
      </w:pPr>
    </w:p>
    <w:p w14:paraId="57A00CF9">
      <w:pPr>
        <w:pStyle w:val="46"/>
        <w:widowControl w:val="0"/>
        <w:spacing w:after="0" w:line="520" w:lineRule="exact"/>
        <w:ind w:firstLine="880"/>
        <w:jc w:val="center"/>
        <w:rPr>
          <w:b/>
          <w:bCs/>
          <w:color w:val="000000" w:themeColor="text1"/>
          <w:sz w:val="30"/>
          <w:szCs w:val="30"/>
          <w:highlight w:val="none"/>
          <w14:textFill>
            <w14:solidFill>
              <w14:schemeClr w14:val="tx1"/>
            </w14:solidFill>
          </w14:textFill>
        </w:rPr>
      </w:pPr>
    </w:p>
    <w:p w14:paraId="13579B8B">
      <w:pPr>
        <w:pStyle w:val="46"/>
        <w:widowControl w:val="0"/>
        <w:spacing w:after="0" w:line="520" w:lineRule="exact"/>
        <w:ind w:firstLine="880"/>
        <w:jc w:val="center"/>
        <w:rPr>
          <w:b/>
          <w:bCs/>
          <w:color w:val="000000" w:themeColor="text1"/>
          <w:sz w:val="30"/>
          <w:szCs w:val="30"/>
          <w:highlight w:val="none"/>
          <w14:textFill>
            <w14:solidFill>
              <w14:schemeClr w14:val="tx1"/>
            </w14:solidFill>
          </w14:textFill>
        </w:rPr>
      </w:pPr>
    </w:p>
    <w:p w14:paraId="607C8521">
      <w:pPr>
        <w:pStyle w:val="46"/>
        <w:widowControl w:val="0"/>
        <w:spacing w:after="0" w:line="520" w:lineRule="exact"/>
        <w:ind w:firstLine="880"/>
        <w:jc w:val="center"/>
        <w:rPr>
          <w:b/>
          <w:bCs/>
          <w:color w:val="000000" w:themeColor="text1"/>
          <w:sz w:val="30"/>
          <w:szCs w:val="30"/>
          <w:highlight w:val="none"/>
          <w14:textFill>
            <w14:solidFill>
              <w14:schemeClr w14:val="tx1"/>
            </w14:solidFill>
          </w14:textFill>
        </w:rPr>
      </w:pPr>
    </w:p>
    <w:p w14:paraId="28265394">
      <w:pPr>
        <w:pStyle w:val="46"/>
        <w:widowControl w:val="0"/>
        <w:spacing w:after="0" w:line="520" w:lineRule="exact"/>
        <w:ind w:firstLine="880"/>
        <w:jc w:val="center"/>
        <w:rPr>
          <w:b/>
          <w:bCs/>
          <w:color w:val="000000" w:themeColor="text1"/>
          <w:sz w:val="30"/>
          <w:szCs w:val="30"/>
          <w:highlight w:val="none"/>
          <w14:textFill>
            <w14:solidFill>
              <w14:schemeClr w14:val="tx1"/>
            </w14:solidFill>
          </w14:textFill>
        </w:rPr>
      </w:pPr>
    </w:p>
    <w:p w14:paraId="3E1CCA7F">
      <w:pPr>
        <w:pStyle w:val="46"/>
        <w:widowControl w:val="0"/>
        <w:spacing w:after="0" w:line="520" w:lineRule="exact"/>
        <w:jc w:val="both"/>
        <w:rPr>
          <w:b/>
          <w:bCs/>
          <w:color w:val="000000" w:themeColor="text1"/>
          <w:sz w:val="30"/>
          <w:szCs w:val="30"/>
          <w:highlight w:val="none"/>
          <w14:textFill>
            <w14:solidFill>
              <w14:schemeClr w14:val="tx1"/>
            </w14:solidFill>
          </w14:textFill>
        </w:rPr>
      </w:pPr>
    </w:p>
    <w:p w14:paraId="6F791026">
      <w:pPr>
        <w:pStyle w:val="46"/>
        <w:widowControl w:val="0"/>
        <w:spacing w:after="0" w:line="520" w:lineRule="exact"/>
        <w:ind w:firstLine="880"/>
        <w:jc w:val="center"/>
        <w:rPr>
          <w:b/>
          <w:bCs/>
          <w:color w:val="000000" w:themeColor="text1"/>
          <w:sz w:val="30"/>
          <w:szCs w:val="30"/>
          <w:highlight w:val="none"/>
          <w14:textFill>
            <w14:solidFill>
              <w14:schemeClr w14:val="tx1"/>
            </w14:solidFill>
          </w14:textFill>
        </w:rPr>
      </w:pPr>
    </w:p>
    <w:p w14:paraId="3DB8F879">
      <w:pPr>
        <w:adjustRightInd w:val="0"/>
        <w:snapToGrid w:val="0"/>
        <w:spacing w:line="360" w:lineRule="auto"/>
        <w:jc w:val="both"/>
        <w:outlineLvl w:val="0"/>
        <w:rPr>
          <w:rFonts w:ascii="宋体" w:hAnsi="宋体"/>
          <w:b/>
          <w:color w:val="000000" w:themeColor="text1"/>
          <w:sz w:val="44"/>
          <w:highlight w:val="none"/>
          <w14:textFill>
            <w14:solidFill>
              <w14:schemeClr w14:val="tx1"/>
            </w14:solidFill>
          </w14:textFill>
        </w:rPr>
      </w:pPr>
    </w:p>
    <w:p w14:paraId="1AF82DE8">
      <w:pPr>
        <w:adjustRightInd w:val="0"/>
        <w:snapToGrid w:val="0"/>
        <w:spacing w:line="360" w:lineRule="auto"/>
        <w:jc w:val="center"/>
        <w:outlineLvl w:val="0"/>
        <w:rPr>
          <w:rFonts w:hint="eastAsia" w:ascii="宋体" w:hAnsi="宋体"/>
          <w:b/>
          <w:color w:val="000000" w:themeColor="text1"/>
          <w:sz w:val="44"/>
          <w:highlight w:val="none"/>
          <w14:textFill>
            <w14:solidFill>
              <w14:schemeClr w14:val="tx1"/>
            </w14:solidFill>
          </w14:textFill>
        </w:rPr>
      </w:pPr>
      <w:bookmarkStart w:id="142" w:name="_Toc15344"/>
    </w:p>
    <w:p w14:paraId="0A8CAF36">
      <w:pPr>
        <w:adjustRightInd w:val="0"/>
        <w:snapToGrid w:val="0"/>
        <w:spacing w:line="360" w:lineRule="auto"/>
        <w:jc w:val="center"/>
        <w:outlineLvl w:val="0"/>
        <w:rPr>
          <w:rFonts w:hint="eastAsia" w:ascii="宋体" w:hAnsi="宋体"/>
          <w:b/>
          <w:color w:val="000000" w:themeColor="text1"/>
          <w:sz w:val="44"/>
          <w:highlight w:val="none"/>
          <w14:textFill>
            <w14:solidFill>
              <w14:schemeClr w14:val="tx1"/>
            </w14:solidFill>
          </w14:textFill>
        </w:rPr>
      </w:pPr>
    </w:p>
    <w:p w14:paraId="189463C6">
      <w:pPr>
        <w:adjustRightInd w:val="0"/>
        <w:snapToGrid w:val="0"/>
        <w:spacing w:line="360" w:lineRule="auto"/>
        <w:jc w:val="center"/>
        <w:outlineLvl w:val="0"/>
        <w:rPr>
          <w:rFonts w:hint="eastAsia" w:ascii="宋体" w:hAnsi="宋体"/>
          <w:b/>
          <w:color w:val="000000" w:themeColor="text1"/>
          <w:sz w:val="44"/>
          <w:highlight w:val="none"/>
          <w14:textFill>
            <w14:solidFill>
              <w14:schemeClr w14:val="tx1"/>
            </w14:solidFill>
          </w14:textFill>
        </w:rPr>
      </w:pPr>
    </w:p>
    <w:p w14:paraId="37525ECB">
      <w:pPr>
        <w:adjustRightInd w:val="0"/>
        <w:snapToGrid w:val="0"/>
        <w:spacing w:line="360" w:lineRule="auto"/>
        <w:jc w:val="center"/>
        <w:outlineLvl w:val="0"/>
        <w:rPr>
          <w:rFonts w:hint="eastAsia" w:ascii="宋体" w:hAnsi="宋体"/>
          <w:b/>
          <w:color w:val="000000" w:themeColor="text1"/>
          <w:sz w:val="44"/>
          <w:highlight w:val="none"/>
          <w14:textFill>
            <w14:solidFill>
              <w14:schemeClr w14:val="tx1"/>
            </w14:solidFill>
          </w14:textFill>
        </w:rPr>
      </w:pPr>
    </w:p>
    <w:p w14:paraId="46DC95EF">
      <w:pPr>
        <w:adjustRightInd w:val="0"/>
        <w:snapToGrid w:val="0"/>
        <w:spacing w:line="360" w:lineRule="auto"/>
        <w:jc w:val="center"/>
        <w:outlineLvl w:val="0"/>
        <w:rPr>
          <w:rFonts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第五章  合同条款及格式</w:t>
      </w:r>
      <w:bookmarkEnd w:id="142"/>
    </w:p>
    <w:p w14:paraId="2FB9B002">
      <w:pPr>
        <w:widowControl w:val="0"/>
        <w:topLinePunct/>
        <w:jc w:val="center"/>
        <w:rPr>
          <w:rFonts w:ascii="宋体" w:hAnsi="宋体" w:cs="宋体"/>
          <w:b/>
          <w:snapToGrid w:val="0"/>
          <w:color w:val="000000" w:themeColor="text1"/>
          <w:sz w:val="28"/>
          <w:szCs w:val="20"/>
          <w:highlight w:val="none"/>
          <w14:textFill>
            <w14:solidFill>
              <w14:schemeClr w14:val="tx1"/>
            </w14:solidFill>
          </w14:textFill>
        </w:rPr>
      </w:pPr>
      <w:r>
        <w:rPr>
          <w:rFonts w:hint="eastAsia" w:ascii="宋体" w:hAnsi="宋体" w:cs="宋体"/>
          <w:b/>
          <w:snapToGrid w:val="0"/>
          <w:color w:val="000000" w:themeColor="text1"/>
          <w:sz w:val="28"/>
          <w:szCs w:val="20"/>
          <w:highlight w:val="none"/>
          <w14:textFill>
            <w14:solidFill>
              <w14:schemeClr w14:val="tx1"/>
            </w14:solidFill>
          </w14:textFill>
        </w:rPr>
        <w:t>（仅供参考，具体内容以签订施工合同时双方约定为准）</w:t>
      </w:r>
    </w:p>
    <w:p w14:paraId="6B08AF0D">
      <w:pPr>
        <w:adjustRightInd w:val="0"/>
        <w:snapToGrid w:val="0"/>
        <w:rPr>
          <w:rFonts w:ascii="宋体" w:hAnsi="宋体"/>
          <w:snapToGrid w:val="0"/>
          <w:color w:val="000000" w:themeColor="text1"/>
          <w:szCs w:val="21"/>
          <w:highlight w:val="none"/>
          <w14:textFill>
            <w14:solidFill>
              <w14:schemeClr w14:val="tx1"/>
            </w14:solidFill>
          </w14:textFill>
        </w:rPr>
      </w:pPr>
    </w:p>
    <w:p w14:paraId="500F6E34">
      <w:pPr>
        <w:pStyle w:val="68"/>
        <w:rPr>
          <w:rFonts w:hint="default" w:ascii="宋体" w:hAnsi="宋体"/>
          <w:snapToGrid w:val="0"/>
          <w:color w:val="000000" w:themeColor="text1"/>
          <w:kern w:val="0"/>
          <w:szCs w:val="21"/>
          <w:highlight w:val="none"/>
          <w14:textFill>
            <w14:solidFill>
              <w14:schemeClr w14:val="tx1"/>
            </w14:solidFill>
          </w14:textFill>
        </w:rPr>
      </w:pPr>
    </w:p>
    <w:p w14:paraId="35F61A22">
      <w:pPr>
        <w:pStyle w:val="68"/>
        <w:rPr>
          <w:rFonts w:hint="default" w:ascii="宋体" w:hAnsi="宋体"/>
          <w:snapToGrid w:val="0"/>
          <w:color w:val="000000" w:themeColor="text1"/>
          <w:kern w:val="0"/>
          <w:szCs w:val="21"/>
          <w:highlight w:val="none"/>
          <w14:textFill>
            <w14:solidFill>
              <w14:schemeClr w14:val="tx1"/>
            </w14:solidFill>
          </w14:textFill>
        </w:rPr>
      </w:pPr>
    </w:p>
    <w:p w14:paraId="42B8E67C">
      <w:pPr>
        <w:pStyle w:val="68"/>
        <w:rPr>
          <w:rFonts w:hint="default" w:ascii="宋体" w:hAnsi="宋体"/>
          <w:snapToGrid w:val="0"/>
          <w:color w:val="000000" w:themeColor="text1"/>
          <w:kern w:val="0"/>
          <w:szCs w:val="21"/>
          <w:highlight w:val="none"/>
          <w14:textFill>
            <w14:solidFill>
              <w14:schemeClr w14:val="tx1"/>
            </w14:solidFill>
          </w14:textFill>
        </w:rPr>
      </w:pPr>
    </w:p>
    <w:p w14:paraId="028AE9B8">
      <w:pPr>
        <w:pStyle w:val="68"/>
        <w:rPr>
          <w:rFonts w:hint="default" w:ascii="宋体" w:hAnsi="宋体"/>
          <w:snapToGrid w:val="0"/>
          <w:color w:val="000000" w:themeColor="text1"/>
          <w:kern w:val="0"/>
          <w:szCs w:val="21"/>
          <w:highlight w:val="none"/>
          <w14:textFill>
            <w14:solidFill>
              <w14:schemeClr w14:val="tx1"/>
            </w14:solidFill>
          </w14:textFill>
        </w:rPr>
      </w:pPr>
    </w:p>
    <w:p w14:paraId="5999E830">
      <w:pPr>
        <w:pStyle w:val="68"/>
        <w:rPr>
          <w:rFonts w:hint="default" w:ascii="宋体" w:hAnsi="宋体"/>
          <w:snapToGrid w:val="0"/>
          <w:color w:val="000000" w:themeColor="text1"/>
          <w:kern w:val="0"/>
          <w:szCs w:val="21"/>
          <w:highlight w:val="none"/>
          <w14:textFill>
            <w14:solidFill>
              <w14:schemeClr w14:val="tx1"/>
            </w14:solidFill>
          </w14:textFill>
        </w:rPr>
      </w:pPr>
    </w:p>
    <w:p w14:paraId="45EDF928">
      <w:pPr>
        <w:pStyle w:val="68"/>
        <w:rPr>
          <w:rFonts w:hint="default" w:ascii="宋体" w:hAnsi="宋体"/>
          <w:snapToGrid w:val="0"/>
          <w:color w:val="000000" w:themeColor="text1"/>
          <w:kern w:val="0"/>
          <w:szCs w:val="21"/>
          <w:highlight w:val="none"/>
          <w14:textFill>
            <w14:solidFill>
              <w14:schemeClr w14:val="tx1"/>
            </w14:solidFill>
          </w14:textFill>
        </w:rPr>
      </w:pPr>
    </w:p>
    <w:p w14:paraId="40FC0D15">
      <w:pPr>
        <w:pStyle w:val="68"/>
        <w:rPr>
          <w:rFonts w:hint="default" w:ascii="宋体" w:hAnsi="宋体"/>
          <w:snapToGrid w:val="0"/>
          <w:color w:val="000000" w:themeColor="text1"/>
          <w:kern w:val="0"/>
          <w:szCs w:val="21"/>
          <w:highlight w:val="none"/>
          <w14:textFill>
            <w14:solidFill>
              <w14:schemeClr w14:val="tx1"/>
            </w14:solidFill>
          </w14:textFill>
        </w:rPr>
      </w:pPr>
    </w:p>
    <w:p w14:paraId="4F0D8DD4">
      <w:pPr>
        <w:pStyle w:val="68"/>
        <w:rPr>
          <w:rFonts w:hint="default" w:ascii="宋体" w:hAnsi="宋体"/>
          <w:snapToGrid w:val="0"/>
          <w:color w:val="000000" w:themeColor="text1"/>
          <w:kern w:val="0"/>
          <w:szCs w:val="21"/>
          <w:highlight w:val="none"/>
          <w14:textFill>
            <w14:solidFill>
              <w14:schemeClr w14:val="tx1"/>
            </w14:solidFill>
          </w14:textFill>
        </w:rPr>
      </w:pPr>
    </w:p>
    <w:p w14:paraId="1306340E">
      <w:pPr>
        <w:rPr>
          <w:rFonts w:hint="default" w:ascii="宋体" w:hAnsi="宋体"/>
          <w:snapToGrid w:val="0"/>
          <w:color w:val="000000" w:themeColor="text1"/>
          <w:kern w:val="0"/>
          <w:szCs w:val="21"/>
          <w:highlight w:val="none"/>
          <w14:textFill>
            <w14:solidFill>
              <w14:schemeClr w14:val="tx1"/>
            </w14:solidFill>
          </w14:textFill>
        </w:rPr>
      </w:pPr>
    </w:p>
    <w:p w14:paraId="1D15DB5E">
      <w:pPr>
        <w:rPr>
          <w:rFonts w:hint="default" w:ascii="宋体" w:hAnsi="宋体"/>
          <w:snapToGrid w:val="0"/>
          <w:color w:val="000000" w:themeColor="text1"/>
          <w:kern w:val="0"/>
          <w:szCs w:val="21"/>
          <w:highlight w:val="none"/>
          <w14:textFill>
            <w14:solidFill>
              <w14:schemeClr w14:val="tx1"/>
            </w14:solidFill>
          </w14:textFill>
        </w:rPr>
      </w:pPr>
    </w:p>
    <w:p w14:paraId="60F542FE">
      <w:pPr>
        <w:rPr>
          <w:rFonts w:hint="default" w:ascii="宋体" w:hAnsi="宋体"/>
          <w:snapToGrid w:val="0"/>
          <w:color w:val="000000" w:themeColor="text1"/>
          <w:kern w:val="0"/>
          <w:szCs w:val="21"/>
          <w:highlight w:val="none"/>
          <w14:textFill>
            <w14:solidFill>
              <w14:schemeClr w14:val="tx1"/>
            </w14:solidFill>
          </w14:textFill>
        </w:rPr>
      </w:pPr>
    </w:p>
    <w:p w14:paraId="0552E724">
      <w:pPr>
        <w:rPr>
          <w:rFonts w:hint="default" w:ascii="宋体" w:hAnsi="宋体"/>
          <w:snapToGrid w:val="0"/>
          <w:color w:val="000000" w:themeColor="text1"/>
          <w:kern w:val="0"/>
          <w:szCs w:val="21"/>
          <w:highlight w:val="none"/>
          <w14:textFill>
            <w14:solidFill>
              <w14:schemeClr w14:val="tx1"/>
            </w14:solidFill>
          </w14:textFill>
        </w:rPr>
      </w:pPr>
    </w:p>
    <w:p w14:paraId="1E4E8424">
      <w:pPr>
        <w:rPr>
          <w:rFonts w:hint="default" w:ascii="宋体" w:hAnsi="宋体"/>
          <w:snapToGrid w:val="0"/>
          <w:color w:val="000000" w:themeColor="text1"/>
          <w:kern w:val="0"/>
          <w:szCs w:val="21"/>
          <w:highlight w:val="none"/>
          <w14:textFill>
            <w14:solidFill>
              <w14:schemeClr w14:val="tx1"/>
            </w14:solidFill>
          </w14:textFill>
        </w:rPr>
      </w:pPr>
    </w:p>
    <w:p w14:paraId="02949D8B">
      <w:pPr>
        <w:rPr>
          <w:rFonts w:hint="default" w:ascii="宋体" w:hAnsi="宋体"/>
          <w:snapToGrid w:val="0"/>
          <w:color w:val="000000" w:themeColor="text1"/>
          <w:kern w:val="0"/>
          <w:szCs w:val="21"/>
          <w:highlight w:val="none"/>
          <w14:textFill>
            <w14:solidFill>
              <w14:schemeClr w14:val="tx1"/>
            </w14:solidFill>
          </w14:textFill>
        </w:rPr>
      </w:pPr>
    </w:p>
    <w:p w14:paraId="75772C48">
      <w:pPr>
        <w:rPr>
          <w:rFonts w:hint="default" w:ascii="宋体" w:hAnsi="宋体"/>
          <w:snapToGrid w:val="0"/>
          <w:color w:val="000000" w:themeColor="text1"/>
          <w:kern w:val="0"/>
          <w:szCs w:val="21"/>
          <w:highlight w:val="none"/>
          <w14:textFill>
            <w14:solidFill>
              <w14:schemeClr w14:val="tx1"/>
            </w14:solidFill>
          </w14:textFill>
        </w:rPr>
      </w:pPr>
    </w:p>
    <w:p w14:paraId="1F21A4DF">
      <w:pPr>
        <w:rPr>
          <w:rFonts w:hint="default" w:ascii="宋体" w:hAnsi="宋体"/>
          <w:snapToGrid w:val="0"/>
          <w:color w:val="000000" w:themeColor="text1"/>
          <w:kern w:val="0"/>
          <w:szCs w:val="21"/>
          <w:highlight w:val="none"/>
          <w14:textFill>
            <w14:solidFill>
              <w14:schemeClr w14:val="tx1"/>
            </w14:solidFill>
          </w14:textFill>
        </w:rPr>
      </w:pPr>
    </w:p>
    <w:p w14:paraId="303F0386">
      <w:pPr>
        <w:rPr>
          <w:rFonts w:hint="default" w:ascii="宋体" w:hAnsi="宋体"/>
          <w:snapToGrid w:val="0"/>
          <w:color w:val="000000" w:themeColor="text1"/>
          <w:kern w:val="0"/>
          <w:szCs w:val="21"/>
          <w:highlight w:val="none"/>
          <w14:textFill>
            <w14:solidFill>
              <w14:schemeClr w14:val="tx1"/>
            </w14:solidFill>
          </w14:textFill>
        </w:rPr>
      </w:pPr>
    </w:p>
    <w:p w14:paraId="141DEE9B">
      <w:pPr>
        <w:pStyle w:val="68"/>
        <w:rPr>
          <w:rFonts w:hint="default" w:ascii="宋体" w:hAnsi="宋体"/>
          <w:snapToGrid w:val="0"/>
          <w:color w:val="000000" w:themeColor="text1"/>
          <w:kern w:val="0"/>
          <w:szCs w:val="21"/>
          <w:highlight w:val="none"/>
          <w14:textFill>
            <w14:solidFill>
              <w14:schemeClr w14:val="tx1"/>
            </w14:solidFill>
          </w14:textFill>
        </w:rPr>
      </w:pPr>
    </w:p>
    <w:p w14:paraId="68782C48">
      <w:pPr>
        <w:pStyle w:val="68"/>
        <w:rPr>
          <w:rFonts w:hint="default" w:ascii="宋体" w:hAnsi="宋体"/>
          <w:snapToGrid w:val="0"/>
          <w:color w:val="000000" w:themeColor="text1"/>
          <w:kern w:val="0"/>
          <w:szCs w:val="21"/>
          <w:highlight w:val="none"/>
          <w14:textFill>
            <w14:solidFill>
              <w14:schemeClr w14:val="tx1"/>
            </w14:solidFill>
          </w14:textFill>
        </w:rPr>
      </w:pPr>
    </w:p>
    <w:p w14:paraId="6357D2F1">
      <w:pPr>
        <w:pStyle w:val="68"/>
        <w:rPr>
          <w:rFonts w:hint="default" w:ascii="宋体" w:hAnsi="宋体"/>
          <w:snapToGrid w:val="0"/>
          <w:color w:val="000000" w:themeColor="text1"/>
          <w:kern w:val="0"/>
          <w:szCs w:val="21"/>
          <w:highlight w:val="none"/>
          <w14:textFill>
            <w14:solidFill>
              <w14:schemeClr w14:val="tx1"/>
            </w14:solidFill>
          </w14:textFill>
        </w:rPr>
      </w:pPr>
    </w:p>
    <w:p w14:paraId="4BB49F59">
      <w:pPr>
        <w:pStyle w:val="68"/>
        <w:rPr>
          <w:rFonts w:hint="default" w:ascii="宋体" w:hAnsi="宋体"/>
          <w:snapToGrid w:val="0"/>
          <w:color w:val="000000" w:themeColor="text1"/>
          <w:kern w:val="0"/>
          <w:szCs w:val="21"/>
          <w:highlight w:val="none"/>
          <w14:textFill>
            <w14:solidFill>
              <w14:schemeClr w14:val="tx1"/>
            </w14:solidFill>
          </w14:textFill>
        </w:rPr>
      </w:pPr>
    </w:p>
    <w:p w14:paraId="1BBE77E0">
      <w:pPr>
        <w:rPr>
          <w:rFonts w:hint="default" w:ascii="宋体" w:hAnsi="宋体"/>
          <w:snapToGrid w:val="0"/>
          <w:color w:val="000000" w:themeColor="text1"/>
          <w:kern w:val="0"/>
          <w:szCs w:val="21"/>
          <w:highlight w:val="none"/>
          <w14:textFill>
            <w14:solidFill>
              <w14:schemeClr w14:val="tx1"/>
            </w14:solidFill>
          </w14:textFill>
        </w:rPr>
      </w:pPr>
    </w:p>
    <w:p w14:paraId="18AAB9CA">
      <w:pPr>
        <w:rPr>
          <w:rFonts w:hint="default" w:ascii="宋体" w:hAnsi="宋体"/>
          <w:snapToGrid w:val="0"/>
          <w:color w:val="000000" w:themeColor="text1"/>
          <w:kern w:val="0"/>
          <w:szCs w:val="21"/>
          <w:highlight w:val="none"/>
          <w14:textFill>
            <w14:solidFill>
              <w14:schemeClr w14:val="tx1"/>
            </w14:solidFill>
          </w14:textFill>
        </w:rPr>
      </w:pPr>
    </w:p>
    <w:p w14:paraId="2B664755">
      <w:pPr>
        <w:rPr>
          <w:rFonts w:hint="default" w:ascii="宋体" w:hAnsi="宋体"/>
          <w:snapToGrid w:val="0"/>
          <w:color w:val="000000" w:themeColor="text1"/>
          <w:kern w:val="0"/>
          <w:szCs w:val="21"/>
          <w:highlight w:val="none"/>
          <w14:textFill>
            <w14:solidFill>
              <w14:schemeClr w14:val="tx1"/>
            </w14:solidFill>
          </w14:textFill>
        </w:rPr>
      </w:pPr>
    </w:p>
    <w:p w14:paraId="07D23695">
      <w:pPr>
        <w:rPr>
          <w:rFonts w:hint="default" w:ascii="宋体" w:hAnsi="宋体"/>
          <w:snapToGrid w:val="0"/>
          <w:color w:val="000000" w:themeColor="text1"/>
          <w:kern w:val="0"/>
          <w:szCs w:val="21"/>
          <w:highlight w:val="none"/>
          <w14:textFill>
            <w14:solidFill>
              <w14:schemeClr w14:val="tx1"/>
            </w14:solidFill>
          </w14:textFill>
        </w:rPr>
      </w:pPr>
    </w:p>
    <w:p w14:paraId="22BEE1B7">
      <w:pPr>
        <w:rPr>
          <w:rFonts w:hint="default" w:ascii="宋体" w:hAnsi="宋体"/>
          <w:snapToGrid w:val="0"/>
          <w:color w:val="000000" w:themeColor="text1"/>
          <w:kern w:val="0"/>
          <w:szCs w:val="21"/>
          <w:highlight w:val="none"/>
          <w14:textFill>
            <w14:solidFill>
              <w14:schemeClr w14:val="tx1"/>
            </w14:solidFill>
          </w14:textFill>
        </w:rPr>
      </w:pPr>
    </w:p>
    <w:p w14:paraId="516AD6E0">
      <w:pPr>
        <w:rPr>
          <w:rFonts w:hint="default" w:ascii="宋体" w:hAnsi="宋体"/>
          <w:snapToGrid w:val="0"/>
          <w:color w:val="000000" w:themeColor="text1"/>
          <w:kern w:val="0"/>
          <w:szCs w:val="21"/>
          <w:highlight w:val="none"/>
          <w14:textFill>
            <w14:solidFill>
              <w14:schemeClr w14:val="tx1"/>
            </w14:solidFill>
          </w14:textFill>
        </w:rPr>
      </w:pPr>
    </w:p>
    <w:p w14:paraId="765140E6">
      <w:pPr>
        <w:pStyle w:val="68"/>
        <w:rPr>
          <w:rFonts w:hint="default" w:ascii="宋体" w:hAnsi="宋体"/>
          <w:snapToGrid w:val="0"/>
          <w:color w:val="000000" w:themeColor="text1"/>
          <w:kern w:val="0"/>
          <w:szCs w:val="21"/>
          <w:highlight w:val="none"/>
          <w14:textFill>
            <w14:solidFill>
              <w14:schemeClr w14:val="tx1"/>
            </w14:solidFill>
          </w14:textFill>
        </w:rPr>
      </w:pPr>
    </w:p>
    <w:p w14:paraId="42558A82">
      <w:pPr>
        <w:adjustRightInd w:val="0"/>
        <w:snapToGrid w:val="0"/>
        <w:rPr>
          <w:rFonts w:ascii="宋体" w:hAnsi="宋体"/>
          <w:snapToGrid w:val="0"/>
          <w:color w:val="000000" w:themeColor="text1"/>
          <w:szCs w:val="21"/>
          <w:highlight w:val="none"/>
          <w14:textFill>
            <w14:solidFill>
              <w14:schemeClr w14:val="tx1"/>
            </w14:solidFill>
          </w14:textFill>
        </w:rPr>
      </w:pPr>
    </w:p>
    <w:p w14:paraId="48C4377B">
      <w:pPr>
        <w:rPr>
          <w:color w:val="000000" w:themeColor="text1"/>
          <w:highlight w:val="none"/>
          <w14:textFill>
            <w14:solidFill>
              <w14:schemeClr w14:val="tx1"/>
            </w14:solidFill>
          </w14:textFill>
        </w:rPr>
      </w:pPr>
    </w:p>
    <w:tbl>
      <w:tblPr>
        <w:tblStyle w:val="51"/>
        <w:tblW w:w="9750" w:type="dxa"/>
        <w:jc w:val="center"/>
        <w:tblCellSpacing w:w="0" w:type="dxa"/>
        <w:tblLayout w:type="fixed"/>
        <w:tblCellMar>
          <w:top w:w="0" w:type="dxa"/>
          <w:left w:w="0" w:type="dxa"/>
          <w:bottom w:w="0" w:type="dxa"/>
          <w:right w:w="0" w:type="dxa"/>
        </w:tblCellMar>
      </w:tblPr>
      <w:tblGrid>
        <w:gridCol w:w="9750"/>
      </w:tblGrid>
      <w:tr w14:paraId="01696FBB">
        <w:tblPrEx>
          <w:tblCellMar>
            <w:top w:w="0" w:type="dxa"/>
            <w:left w:w="0" w:type="dxa"/>
            <w:bottom w:w="0" w:type="dxa"/>
            <w:right w:w="0" w:type="dxa"/>
          </w:tblCellMar>
        </w:tblPrEx>
        <w:trPr>
          <w:tblCellSpacing w:w="0" w:type="dxa"/>
          <w:jc w:val="center"/>
        </w:trPr>
        <w:tc>
          <w:tcPr>
            <w:tcW w:w="9750" w:type="dxa"/>
            <w:noWrap w:val="0"/>
            <w:vAlign w:val="center"/>
          </w:tcPr>
          <w:tbl>
            <w:tblPr>
              <w:tblStyle w:val="51"/>
              <w:tblW w:w="9750" w:type="dxa"/>
              <w:tblCellSpacing w:w="0" w:type="dxa"/>
              <w:tblInd w:w="0" w:type="dxa"/>
              <w:tblLayout w:type="fixed"/>
              <w:tblCellMar>
                <w:top w:w="0" w:type="dxa"/>
                <w:left w:w="0" w:type="dxa"/>
                <w:bottom w:w="0" w:type="dxa"/>
                <w:right w:w="0" w:type="dxa"/>
              </w:tblCellMar>
            </w:tblPr>
            <w:tblGrid>
              <w:gridCol w:w="1306"/>
              <w:gridCol w:w="1281"/>
              <w:gridCol w:w="1590"/>
              <w:gridCol w:w="996"/>
              <w:gridCol w:w="1138"/>
              <w:gridCol w:w="1305"/>
              <w:gridCol w:w="2134"/>
            </w:tblGrid>
            <w:tr w14:paraId="6AB26C83">
              <w:tblPrEx>
                <w:tblCellMar>
                  <w:top w:w="0" w:type="dxa"/>
                  <w:left w:w="0" w:type="dxa"/>
                  <w:bottom w:w="0" w:type="dxa"/>
                  <w:right w:w="0" w:type="dxa"/>
                </w:tblCellMar>
              </w:tblPrEx>
              <w:trPr>
                <w:trHeight w:val="567" w:hRule="atLeast"/>
                <w:tblCellSpacing w:w="0" w:type="dxa"/>
              </w:trPr>
              <w:tc>
                <w:tcPr>
                  <w:tcW w:w="1306" w:type="dxa"/>
                  <w:noWrap w:val="0"/>
                  <w:vAlign w:val="center"/>
                </w:tcPr>
                <w:p w14:paraId="18FAB034">
                  <w:pPr>
                    <w:widowControl/>
                    <w:jc w:val="righ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合同编号：</w:t>
                  </w:r>
                </w:p>
              </w:tc>
              <w:tc>
                <w:tcPr>
                  <w:tcW w:w="1281" w:type="dxa"/>
                  <w:noWrap w:val="0"/>
                  <w:vAlign w:val="center"/>
                </w:tcPr>
                <w:p w14:paraId="19D1EA43">
                  <w:pPr>
                    <w:widowControl/>
                    <w:jc w:val="left"/>
                    <w:rPr>
                      <w:rFonts w:ascii="宋体" w:hAnsi="宋体" w:eastAsia="宋体" w:cs="宋体"/>
                      <w:color w:val="000000" w:themeColor="text1"/>
                      <w:kern w:val="0"/>
                      <w:sz w:val="24"/>
                      <w:szCs w:val="24"/>
                      <w:highlight w:val="none"/>
                      <w14:textFill>
                        <w14:solidFill>
                          <w14:schemeClr w14:val="tx1"/>
                        </w14:solidFill>
                      </w14:textFill>
                    </w:rPr>
                  </w:pPr>
                </w:p>
              </w:tc>
              <w:tc>
                <w:tcPr>
                  <w:tcW w:w="1590" w:type="dxa"/>
                  <w:noWrap w:val="0"/>
                  <w:vAlign w:val="center"/>
                </w:tcPr>
                <w:p w14:paraId="017B8BF4">
                  <w:pPr>
                    <w:widowControl/>
                    <w:jc w:val="righ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合同自编号：</w:t>
                  </w:r>
                </w:p>
              </w:tc>
              <w:tc>
                <w:tcPr>
                  <w:tcW w:w="996" w:type="dxa"/>
                  <w:noWrap w:val="0"/>
                  <w:vAlign w:val="center"/>
                </w:tcPr>
                <w:p w14:paraId="5D92054A">
                  <w:pPr>
                    <w:widowControl/>
                    <w:jc w:val="left"/>
                    <w:rPr>
                      <w:rFonts w:ascii="宋体" w:hAnsi="宋体" w:eastAsia="宋体" w:cs="宋体"/>
                      <w:color w:val="000000" w:themeColor="text1"/>
                      <w:kern w:val="0"/>
                      <w:sz w:val="24"/>
                      <w:szCs w:val="24"/>
                      <w:highlight w:val="none"/>
                      <w14:textFill>
                        <w14:solidFill>
                          <w14:schemeClr w14:val="tx1"/>
                        </w14:solidFill>
                      </w14:textFill>
                    </w:rPr>
                  </w:pPr>
                </w:p>
              </w:tc>
              <w:tc>
                <w:tcPr>
                  <w:tcW w:w="1138" w:type="dxa"/>
                  <w:noWrap w:val="0"/>
                  <w:vAlign w:val="center"/>
                </w:tcPr>
                <w:p w14:paraId="6728253F">
                  <w:pPr>
                    <w:widowControl/>
                    <w:jc w:val="left"/>
                    <w:rPr>
                      <w:rFonts w:ascii="宋体" w:hAnsi="宋体" w:eastAsia="宋体" w:cs="宋体"/>
                      <w:color w:val="000000" w:themeColor="text1"/>
                      <w:kern w:val="0"/>
                      <w:sz w:val="24"/>
                      <w:szCs w:val="24"/>
                      <w:highlight w:val="none"/>
                      <w14:textFill>
                        <w14:solidFill>
                          <w14:schemeClr w14:val="tx1"/>
                        </w14:solidFill>
                      </w14:textFill>
                    </w:rPr>
                  </w:pPr>
                </w:p>
              </w:tc>
              <w:tc>
                <w:tcPr>
                  <w:tcW w:w="1305" w:type="dxa"/>
                  <w:noWrap w:val="0"/>
                  <w:vAlign w:val="center"/>
                </w:tcPr>
                <w:p w14:paraId="6D83C03C">
                  <w:pPr>
                    <w:widowControl/>
                    <w:spacing w:before="100" w:beforeAutospacing="1" w:after="100" w:afterAutospacing="1"/>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 xml:space="preserve">编号： </w:t>
                  </w:r>
                </w:p>
              </w:tc>
              <w:tc>
                <w:tcPr>
                  <w:tcW w:w="2134" w:type="dxa"/>
                  <w:noWrap w:val="0"/>
                  <w:vAlign w:val="center"/>
                </w:tcPr>
                <w:p w14:paraId="2AA3C9B6">
                  <w:pPr>
                    <w:widowControl/>
                    <w:jc w:val="left"/>
                    <w:rPr>
                      <w:rFonts w:ascii="宋体" w:hAnsi="宋体" w:eastAsia="宋体" w:cs="宋体"/>
                      <w:color w:val="000000" w:themeColor="text1"/>
                      <w:kern w:val="0"/>
                      <w:sz w:val="24"/>
                      <w:szCs w:val="24"/>
                      <w:highlight w:val="none"/>
                      <w14:textFill>
                        <w14:solidFill>
                          <w14:schemeClr w14:val="tx1"/>
                        </w14:solidFill>
                      </w14:textFill>
                    </w:rPr>
                  </w:pPr>
                </w:p>
              </w:tc>
            </w:tr>
          </w:tbl>
          <w:p w14:paraId="2A5A3B84">
            <w:pPr>
              <w:widowControl/>
              <w:spacing w:after="24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62918F07">
            <w:pPr>
              <w:pStyle w:val="593"/>
              <w:rPr>
                <w:rFonts w:hint="eastAsia"/>
                <w:color w:val="000000" w:themeColor="text1"/>
                <w:highlight w:val="none"/>
                <w:lang w:eastAsia="zh-CN"/>
                <w14:textFill>
                  <w14:solidFill>
                    <w14:schemeClr w14:val="tx1"/>
                  </w14:solidFill>
                </w14:textFill>
              </w:rPr>
            </w:pPr>
          </w:p>
        </w:tc>
      </w:tr>
      <w:tr w14:paraId="3E182F0B">
        <w:tblPrEx>
          <w:tblCellMar>
            <w:top w:w="0" w:type="dxa"/>
            <w:left w:w="0" w:type="dxa"/>
            <w:bottom w:w="0" w:type="dxa"/>
            <w:right w:w="0" w:type="dxa"/>
          </w:tblCellMar>
        </w:tblPrEx>
        <w:trPr>
          <w:tblCellSpacing w:w="0" w:type="dxa"/>
          <w:jc w:val="center"/>
        </w:trPr>
        <w:tc>
          <w:tcPr>
            <w:tcW w:w="9750" w:type="dxa"/>
            <w:noWrap w:val="0"/>
            <w:vAlign w:val="center"/>
          </w:tcPr>
          <w:p w14:paraId="2A3259B6">
            <w:pPr>
              <w:widowControl/>
              <w:spacing w:after="24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●本合同须加盖甲乙双方骑缝章有效</w:t>
            </w:r>
          </w:p>
          <w:p w14:paraId="73FF924D">
            <w:pPr>
              <w:pStyle w:val="593"/>
              <w:rPr>
                <w:rFonts w:hint="eastAsia"/>
                <w:color w:val="000000" w:themeColor="text1"/>
                <w:highlight w:val="none"/>
                <w:lang w:eastAsia="zh-CN"/>
                <w14:textFill>
                  <w14:solidFill>
                    <w14:schemeClr w14:val="tx1"/>
                  </w14:solidFill>
                </w14:textFill>
              </w:rPr>
            </w:pPr>
          </w:p>
          <w:p w14:paraId="5E751F2F">
            <w:pPr>
              <w:pStyle w:val="593"/>
              <w:rPr>
                <w:rFonts w:hint="eastAsia"/>
                <w:color w:val="000000" w:themeColor="text1"/>
                <w:highlight w:val="none"/>
                <w:lang w:eastAsia="zh-CN"/>
                <w14:textFill>
                  <w14:solidFill>
                    <w14:schemeClr w14:val="tx1"/>
                  </w14:solidFill>
                </w14:textFill>
              </w:rPr>
            </w:pPr>
          </w:p>
        </w:tc>
      </w:tr>
      <w:tr w14:paraId="55EA87F1">
        <w:tblPrEx>
          <w:tblCellMar>
            <w:top w:w="0" w:type="dxa"/>
            <w:left w:w="0" w:type="dxa"/>
            <w:bottom w:w="0" w:type="dxa"/>
            <w:right w:w="0" w:type="dxa"/>
          </w:tblCellMar>
        </w:tblPrEx>
        <w:trPr>
          <w:trHeight w:val="1014" w:hRule="atLeast"/>
          <w:tblCellSpacing w:w="0" w:type="dxa"/>
          <w:jc w:val="center"/>
        </w:trPr>
        <w:tc>
          <w:tcPr>
            <w:tcW w:w="9750" w:type="dxa"/>
            <w:noWrap w:val="0"/>
            <w:vAlign w:val="center"/>
          </w:tcPr>
          <w:p w14:paraId="11DC1907">
            <w:pPr>
              <w:widowControl/>
              <w:spacing w:after="240"/>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39"/>
                <w:szCs w:val="39"/>
                <w:highlight w:val="none"/>
                <w14:textFill>
                  <w14:solidFill>
                    <w14:schemeClr w14:val="tx1"/>
                  </w14:solidFill>
                </w14:textFill>
              </w:rPr>
              <w:t>云南省政府采购</w:t>
            </w:r>
          </w:p>
        </w:tc>
      </w:tr>
      <w:tr w14:paraId="303002BD">
        <w:tblPrEx>
          <w:tblCellMar>
            <w:top w:w="0" w:type="dxa"/>
            <w:left w:w="0" w:type="dxa"/>
            <w:bottom w:w="0" w:type="dxa"/>
            <w:right w:w="0" w:type="dxa"/>
          </w:tblCellMar>
        </w:tblPrEx>
        <w:trPr>
          <w:tblCellSpacing w:w="0" w:type="dxa"/>
          <w:jc w:val="center"/>
        </w:trPr>
        <w:tc>
          <w:tcPr>
            <w:tcW w:w="9750" w:type="dxa"/>
            <w:noWrap w:val="0"/>
            <w:vAlign w:val="center"/>
          </w:tcPr>
          <w:p w14:paraId="03A356D7">
            <w:pPr>
              <w:widowControl/>
              <w:spacing w:after="24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（委托采购） </w:t>
            </w:r>
          </w:p>
          <w:p w14:paraId="650C6F09">
            <w:pPr>
              <w:pStyle w:val="593"/>
              <w:rPr>
                <w:rFonts w:hint="eastAsia"/>
                <w:color w:val="000000" w:themeColor="text1"/>
                <w:highlight w:val="none"/>
                <w:lang w:eastAsia="zh-CN"/>
                <w14:textFill>
                  <w14:solidFill>
                    <w14:schemeClr w14:val="tx1"/>
                  </w14:solidFill>
                </w14:textFill>
              </w:rPr>
            </w:pPr>
          </w:p>
          <w:p w14:paraId="1BE9ECE4">
            <w:pPr>
              <w:pStyle w:val="593"/>
              <w:rPr>
                <w:rFonts w:hint="eastAsia"/>
                <w:color w:val="000000" w:themeColor="text1"/>
                <w:highlight w:val="none"/>
                <w:lang w:eastAsia="zh-CN"/>
                <w14:textFill>
                  <w14:solidFill>
                    <w14:schemeClr w14:val="tx1"/>
                  </w14:solidFill>
                </w14:textFill>
              </w:rPr>
            </w:pPr>
          </w:p>
        </w:tc>
      </w:tr>
      <w:tr w14:paraId="53E637DD">
        <w:tblPrEx>
          <w:tblCellMar>
            <w:top w:w="0" w:type="dxa"/>
            <w:left w:w="0" w:type="dxa"/>
            <w:bottom w:w="0" w:type="dxa"/>
            <w:right w:w="0" w:type="dxa"/>
          </w:tblCellMar>
        </w:tblPrEx>
        <w:trPr>
          <w:tblCellSpacing w:w="0" w:type="dxa"/>
          <w:jc w:val="center"/>
        </w:trPr>
        <w:tc>
          <w:tcPr>
            <w:tcW w:w="9750" w:type="dxa"/>
            <w:noWrap w:val="0"/>
            <w:vAlign w:val="center"/>
          </w:tcPr>
          <w:p w14:paraId="33E81F8F">
            <w:pPr>
              <w:widowControl/>
              <w:spacing w:after="240"/>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63"/>
                <w:szCs w:val="63"/>
                <w:highlight w:val="none"/>
                <w14:textFill>
                  <w14:solidFill>
                    <w14:schemeClr w14:val="tx1"/>
                  </w14:solidFill>
                </w14:textFill>
              </w:rPr>
              <w:t>合</w:t>
            </w:r>
          </w:p>
        </w:tc>
      </w:tr>
      <w:tr w14:paraId="779A2C06">
        <w:tblPrEx>
          <w:tblCellMar>
            <w:top w:w="0" w:type="dxa"/>
            <w:left w:w="0" w:type="dxa"/>
            <w:bottom w:w="0" w:type="dxa"/>
            <w:right w:w="0" w:type="dxa"/>
          </w:tblCellMar>
        </w:tblPrEx>
        <w:trPr>
          <w:tblCellSpacing w:w="0" w:type="dxa"/>
          <w:jc w:val="center"/>
        </w:trPr>
        <w:tc>
          <w:tcPr>
            <w:tcW w:w="9750" w:type="dxa"/>
            <w:noWrap w:val="0"/>
            <w:vAlign w:val="center"/>
          </w:tcPr>
          <w:p w14:paraId="5453F266">
            <w:pPr>
              <w:widowControl/>
              <w:spacing w:after="240"/>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63"/>
                <w:szCs w:val="63"/>
                <w:highlight w:val="none"/>
                <w14:textFill>
                  <w14:solidFill>
                    <w14:schemeClr w14:val="tx1"/>
                  </w14:solidFill>
                </w14:textFill>
              </w:rPr>
              <w:t>同</w:t>
            </w:r>
          </w:p>
        </w:tc>
      </w:tr>
      <w:tr w14:paraId="0566A32B">
        <w:tblPrEx>
          <w:tblCellMar>
            <w:top w:w="0" w:type="dxa"/>
            <w:left w:w="0" w:type="dxa"/>
            <w:bottom w:w="0" w:type="dxa"/>
            <w:right w:w="0" w:type="dxa"/>
          </w:tblCellMar>
        </w:tblPrEx>
        <w:trPr>
          <w:tblCellSpacing w:w="0" w:type="dxa"/>
          <w:jc w:val="center"/>
        </w:trPr>
        <w:tc>
          <w:tcPr>
            <w:tcW w:w="9750" w:type="dxa"/>
            <w:noWrap w:val="0"/>
            <w:vAlign w:val="center"/>
          </w:tcPr>
          <w:p w14:paraId="657A9E7D">
            <w:pPr>
              <w:widowControl/>
              <w:spacing w:after="240"/>
              <w:jc w:val="center"/>
              <w:rPr>
                <w:rFonts w:hint="eastAsia" w:ascii="宋体" w:hAnsi="宋体" w:eastAsia="宋体" w:cs="宋体"/>
                <w:color w:val="000000" w:themeColor="text1"/>
                <w:kern w:val="0"/>
                <w:sz w:val="63"/>
                <w:szCs w:val="63"/>
                <w:highlight w:val="none"/>
                <w:lang w:eastAsia="zh-CN"/>
                <w14:textFill>
                  <w14:solidFill>
                    <w14:schemeClr w14:val="tx1"/>
                  </w14:solidFill>
                </w14:textFill>
              </w:rPr>
            </w:pPr>
            <w:r>
              <w:rPr>
                <w:rFonts w:hint="eastAsia" w:ascii="宋体" w:hAnsi="宋体" w:eastAsia="宋体" w:cs="宋体"/>
                <w:color w:val="000000" w:themeColor="text1"/>
                <w:kern w:val="0"/>
                <w:sz w:val="63"/>
                <w:szCs w:val="63"/>
                <w:highlight w:val="none"/>
                <w14:textFill>
                  <w14:solidFill>
                    <w14:schemeClr w14:val="tx1"/>
                  </w14:solidFill>
                </w14:textFill>
              </w:rPr>
              <w:t>书</w:t>
            </w:r>
          </w:p>
          <w:p w14:paraId="2181F6C0">
            <w:pPr>
              <w:pStyle w:val="593"/>
              <w:rPr>
                <w:rFonts w:hint="eastAsia"/>
                <w:color w:val="000000" w:themeColor="text1"/>
                <w:highlight w:val="none"/>
                <w:lang w:eastAsia="zh-CN"/>
                <w14:textFill>
                  <w14:solidFill>
                    <w14:schemeClr w14:val="tx1"/>
                  </w14:solidFill>
                </w14:textFill>
              </w:rPr>
            </w:pPr>
          </w:p>
        </w:tc>
      </w:tr>
      <w:tr w14:paraId="40D5CB70">
        <w:tblPrEx>
          <w:tblCellMar>
            <w:top w:w="0" w:type="dxa"/>
            <w:left w:w="0" w:type="dxa"/>
            <w:bottom w:w="0" w:type="dxa"/>
            <w:right w:w="0" w:type="dxa"/>
          </w:tblCellMar>
        </w:tblPrEx>
        <w:trPr>
          <w:trHeight w:val="1299" w:hRule="atLeast"/>
          <w:tblCellSpacing w:w="0" w:type="dxa"/>
          <w:jc w:val="center"/>
        </w:trPr>
        <w:tc>
          <w:tcPr>
            <w:tcW w:w="9750" w:type="dxa"/>
            <w:noWrap w:val="0"/>
            <w:vAlign w:val="center"/>
          </w:tcPr>
          <w:p w14:paraId="19322AA4">
            <w:pPr>
              <w:widowControl/>
              <w:spacing w:after="240"/>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7"/>
                <w:highlight w:val="none"/>
                <w14:textFill>
                  <w14:solidFill>
                    <w14:schemeClr w14:val="tx1"/>
                  </w14:solidFill>
                </w14:textFill>
              </w:rPr>
              <w:t>签订地点：    </w:t>
            </w:r>
          </w:p>
        </w:tc>
      </w:tr>
      <w:tr w14:paraId="6193D483">
        <w:tblPrEx>
          <w:tblCellMar>
            <w:top w:w="0" w:type="dxa"/>
            <w:left w:w="0" w:type="dxa"/>
            <w:bottom w:w="0" w:type="dxa"/>
            <w:right w:w="0" w:type="dxa"/>
          </w:tblCellMar>
        </w:tblPrEx>
        <w:trPr>
          <w:trHeight w:val="1059" w:hRule="atLeast"/>
          <w:tblCellSpacing w:w="0" w:type="dxa"/>
          <w:jc w:val="center"/>
        </w:trPr>
        <w:tc>
          <w:tcPr>
            <w:tcW w:w="9750" w:type="dxa"/>
            <w:noWrap w:val="0"/>
            <w:vAlign w:val="center"/>
          </w:tcPr>
          <w:p w14:paraId="5DD1D182">
            <w:pPr>
              <w:widowControl/>
              <w:spacing w:before="100" w:beforeAutospacing="1" w:after="100" w:afterAutospacing="1"/>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7"/>
                <w:highlight w:val="none"/>
                <w14:textFill>
                  <w14:solidFill>
                    <w14:schemeClr w14:val="tx1"/>
                  </w14:solidFill>
                </w14:textFill>
              </w:rPr>
              <w:t>云南省财政厅　制</w:t>
            </w:r>
          </w:p>
        </w:tc>
      </w:tr>
    </w:tbl>
    <w:p w14:paraId="30D89A49">
      <w:pPr>
        <w:spacing w:line="480" w:lineRule="exact"/>
        <w:jc w:val="center"/>
        <w:rPr>
          <w:rFonts w:ascii="宋体" w:hAnsi="宋体" w:eastAsia="宋体" w:cs="宋体"/>
          <w:b/>
          <w:bCs/>
          <w:color w:val="000000" w:themeColor="text1"/>
          <w:sz w:val="24"/>
          <w:highlight w:val="none"/>
          <w14:textFill>
            <w14:solidFill>
              <w14:schemeClr w14:val="tx1"/>
            </w14:solidFill>
          </w14:textFill>
        </w:rPr>
      </w:pPr>
    </w:p>
    <w:p w14:paraId="3B98B235">
      <w:pPr>
        <w:widowControl/>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BF39B25">
      <w:pPr>
        <w:jc w:val="center"/>
        <w:rPr>
          <w:rFonts w:ascii="黑体" w:hAnsi="华文中宋" w:eastAsia="黑体"/>
          <w:b/>
          <w:bCs/>
          <w:color w:val="000000" w:themeColor="text1"/>
          <w:sz w:val="24"/>
          <w:highlight w:val="none"/>
          <w14:textFill>
            <w14:solidFill>
              <w14:schemeClr w14:val="tx1"/>
            </w14:solidFill>
          </w14:textFill>
        </w:rPr>
      </w:pPr>
      <w:r>
        <w:rPr>
          <w:rFonts w:hint="eastAsia" w:ascii="黑体" w:hAnsi="华文中宋" w:eastAsia="黑体"/>
          <w:color w:val="000000" w:themeColor="text1"/>
          <w:sz w:val="24"/>
          <w:highlight w:val="none"/>
          <w14:textFill>
            <w14:solidFill>
              <w14:schemeClr w14:val="tx1"/>
            </w14:solidFill>
          </w14:textFill>
        </w:rPr>
        <w:t>（通用合同，仅供参考，具体内容和格式由使用单位及</w:t>
      </w:r>
      <w:r>
        <w:rPr>
          <w:rFonts w:hint="eastAsia" w:ascii="黑体" w:hAnsi="华文中宋" w:eastAsia="黑体"/>
          <w:color w:val="000000" w:themeColor="text1"/>
          <w:sz w:val="24"/>
          <w:highlight w:val="none"/>
          <w:lang w:eastAsia="zh-CN"/>
          <w14:textFill>
            <w14:solidFill>
              <w14:schemeClr w14:val="tx1"/>
            </w14:solidFill>
          </w14:textFill>
        </w:rPr>
        <w:t>成交</w:t>
      </w:r>
      <w:r>
        <w:rPr>
          <w:rFonts w:hint="eastAsia" w:ascii="黑体" w:hAnsi="华文中宋" w:eastAsia="黑体"/>
          <w:color w:val="000000" w:themeColor="text1"/>
          <w:sz w:val="24"/>
          <w:highlight w:val="none"/>
          <w14:textFill>
            <w14:solidFill>
              <w14:schemeClr w14:val="tx1"/>
            </w14:solidFill>
          </w14:textFill>
        </w:rPr>
        <w:t>单位共同协商拟定）</w:t>
      </w:r>
    </w:p>
    <w:p w14:paraId="5A03EF86">
      <w:pPr>
        <w:spacing w:line="500" w:lineRule="exact"/>
        <w:ind w:firstLine="480" w:firstLineChars="200"/>
        <w:jc w:val="left"/>
        <w:outlineLvl w:val="9"/>
        <w:rPr>
          <w:rFonts w:ascii="宋体" w:hAnsi="宋体" w:eastAsia="宋体" w:cs="宋体"/>
          <w:color w:val="000000" w:themeColor="text1"/>
          <w:sz w:val="24"/>
          <w:szCs w:val="24"/>
          <w:highlight w:val="none"/>
          <w14:textFill>
            <w14:solidFill>
              <w14:schemeClr w14:val="tx1"/>
            </w14:solidFill>
          </w14:textFill>
        </w:rPr>
      </w:pPr>
      <w:bookmarkStart w:id="143" w:name="_Toc17861"/>
      <w:bookmarkStart w:id="144" w:name="_Toc27238"/>
      <w:bookmarkStart w:id="145" w:name="_Toc7421"/>
      <w:r>
        <w:rPr>
          <w:rFonts w:hint="eastAsia" w:ascii="宋体" w:hAnsi="宋体" w:eastAsia="宋体" w:cs="宋体"/>
          <w:color w:val="000000" w:themeColor="text1"/>
          <w:sz w:val="24"/>
          <w:szCs w:val="24"/>
          <w:highlight w:val="none"/>
          <w14:textFill>
            <w14:solidFill>
              <w14:schemeClr w14:val="tx1"/>
            </w14:solidFill>
          </w14:textFill>
        </w:rPr>
        <w:t>甲    方：（以下简称甲方）</w:t>
      </w:r>
      <w:bookmarkEnd w:id="143"/>
      <w:bookmarkEnd w:id="144"/>
      <w:bookmarkEnd w:id="145"/>
    </w:p>
    <w:p w14:paraId="7C7AAB0F">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46" w:name="_Toc16583"/>
      <w:r>
        <w:rPr>
          <w:rFonts w:hint="eastAsia" w:ascii="宋体" w:hAnsi="宋体" w:eastAsia="宋体" w:cs="宋体"/>
          <w:color w:val="000000" w:themeColor="text1"/>
          <w:sz w:val="24"/>
          <w:szCs w:val="24"/>
          <w:highlight w:val="none"/>
          <w14:textFill>
            <w14:solidFill>
              <w14:schemeClr w14:val="tx1"/>
            </w14:solidFill>
          </w14:textFill>
        </w:rPr>
        <w:t>乙    方：（以下简称乙方）</w:t>
      </w:r>
      <w:bookmarkEnd w:id="146"/>
    </w:p>
    <w:p w14:paraId="245D996C">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政府采购的竞争性磋商采购结果，经双方协商，本着平等互利和诚实信用的原则，在真实、充分地表述各自意愿的基础上，根据《中华人民共和国民法典》的规定和采购文件及乙方递交的磋商响应文件的实质精神，达成如下协议，并由双方共同恪守。</w:t>
      </w:r>
    </w:p>
    <w:p w14:paraId="2D8D5649">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47" w:name="_Toc22"/>
      <w:bookmarkStart w:id="148" w:name="_Toc21305"/>
      <w:bookmarkStart w:id="149" w:name="_Toc814"/>
      <w:bookmarkStart w:id="150" w:name="_Toc17934"/>
      <w:r>
        <w:rPr>
          <w:rFonts w:hint="eastAsia" w:ascii="宋体" w:hAnsi="宋体" w:eastAsia="宋体" w:cs="宋体"/>
          <w:color w:val="000000" w:themeColor="text1"/>
          <w:sz w:val="24"/>
          <w:szCs w:val="24"/>
          <w:highlight w:val="none"/>
          <w14:textFill>
            <w14:solidFill>
              <w14:schemeClr w14:val="tx1"/>
            </w14:solidFill>
          </w14:textFill>
        </w:rPr>
        <w:t>一、采购项目</w:t>
      </w:r>
      <w:bookmarkEnd w:id="147"/>
      <w:bookmarkEnd w:id="148"/>
      <w:bookmarkEnd w:id="149"/>
      <w:bookmarkEnd w:id="150"/>
    </w:p>
    <w:p w14:paraId="39B7F608">
      <w:pPr>
        <w:spacing w:line="500" w:lineRule="exact"/>
        <w:ind w:left="480" w:leftChars="200" w:firstLine="0" w:firstLine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合同总金额：大写：       ，小写：        。</w:t>
      </w:r>
    </w:p>
    <w:p w14:paraId="0064D236">
      <w:pPr>
        <w:spacing w:line="5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本合同总金额包含</w:t>
      </w:r>
      <w:r>
        <w:rPr>
          <w:rFonts w:hint="eastAsia" w:ascii="宋体" w:hAnsi="宋体" w:eastAsia="宋体" w:cs="宋体"/>
          <w:color w:val="000000" w:themeColor="text1"/>
          <w:sz w:val="24"/>
          <w:szCs w:val="24"/>
          <w:highlight w:val="none"/>
          <w:lang w:val="en-US" w:eastAsia="zh-CN"/>
          <w14:textFill>
            <w14:solidFill>
              <w14:schemeClr w14:val="tx1"/>
            </w14:solidFill>
          </w14:textFill>
        </w:rPr>
        <w:t>完成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及其它费用。</w:t>
      </w:r>
    </w:p>
    <w:p w14:paraId="466B9CDF">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产品名称、价格、数量</w:t>
      </w:r>
      <w:r>
        <w:rPr>
          <w:rFonts w:hint="eastAsia" w:ascii="宋体" w:hAnsi="宋体" w:eastAsia="宋体" w:cs="宋体"/>
          <w:color w:val="000000" w:themeColor="text1"/>
          <w:sz w:val="24"/>
          <w:szCs w:val="24"/>
          <w:highlight w:val="none"/>
          <w14:textFill>
            <w14:solidFill>
              <w14:schemeClr w14:val="tx1"/>
            </w14:solidFill>
          </w14:textFill>
        </w:rPr>
        <w:t>，清单详见下表：</w:t>
      </w:r>
    </w:p>
    <w:tbl>
      <w:tblPr>
        <w:tblStyle w:val="52"/>
        <w:tblW w:w="9996"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228"/>
        <w:gridCol w:w="1065"/>
        <w:gridCol w:w="739"/>
        <w:gridCol w:w="1604"/>
        <w:gridCol w:w="1640"/>
        <w:gridCol w:w="1047"/>
      </w:tblGrid>
      <w:tr w14:paraId="5F91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3" w:type="dxa"/>
            <w:noWrap w:val="0"/>
            <w:vAlign w:val="center"/>
          </w:tcPr>
          <w:p w14:paraId="3E2B144C">
            <w:pPr>
              <w:keepNext w:val="0"/>
              <w:keepLines w:val="0"/>
              <w:widowControl/>
              <w:suppressLineNumbers w:val="0"/>
              <w:jc w:val="center"/>
              <w:textAlignment w:val="center"/>
              <w:rPr>
                <w:rFonts w:hint="default" w:ascii="宋体" w:hAnsi="宋体"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序号</w:t>
            </w:r>
          </w:p>
        </w:tc>
        <w:tc>
          <w:tcPr>
            <w:tcW w:w="3228" w:type="dxa"/>
            <w:noWrap w:val="0"/>
            <w:vAlign w:val="center"/>
          </w:tcPr>
          <w:p w14:paraId="6FF1CB48">
            <w:pPr>
              <w:keepNext w:val="0"/>
              <w:keepLines w:val="0"/>
              <w:widowControl/>
              <w:suppressLineNumbers w:val="0"/>
              <w:jc w:val="center"/>
              <w:textAlignment w:val="center"/>
              <w:rPr>
                <w:rFonts w:hint="default" w:ascii="宋体" w:hAnsi="宋体"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名称</w:t>
            </w:r>
          </w:p>
        </w:tc>
        <w:tc>
          <w:tcPr>
            <w:tcW w:w="1065" w:type="dxa"/>
            <w:noWrap w:val="0"/>
            <w:vAlign w:val="center"/>
          </w:tcPr>
          <w:p w14:paraId="49B456D5">
            <w:pPr>
              <w:keepNext w:val="0"/>
              <w:keepLines w:val="0"/>
              <w:widowControl/>
              <w:suppressLineNumbers w:val="0"/>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数量</w:t>
            </w:r>
          </w:p>
        </w:tc>
        <w:tc>
          <w:tcPr>
            <w:tcW w:w="739" w:type="dxa"/>
            <w:noWrap w:val="0"/>
            <w:vAlign w:val="center"/>
          </w:tcPr>
          <w:p w14:paraId="345C1A8C">
            <w:pPr>
              <w:keepNext w:val="0"/>
              <w:keepLines w:val="0"/>
              <w:widowControl/>
              <w:suppressLineNumbers w:val="0"/>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单位</w:t>
            </w:r>
          </w:p>
        </w:tc>
        <w:tc>
          <w:tcPr>
            <w:tcW w:w="1604" w:type="dxa"/>
            <w:noWrap w:val="0"/>
            <w:vAlign w:val="center"/>
          </w:tcPr>
          <w:p w14:paraId="07160B13">
            <w:pPr>
              <w:keepNext w:val="0"/>
              <w:keepLines w:val="0"/>
              <w:widowControl/>
              <w:suppressLineNumbers w:val="0"/>
              <w:jc w:val="center"/>
              <w:textAlignment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单价（元）</w:t>
            </w:r>
          </w:p>
        </w:tc>
        <w:tc>
          <w:tcPr>
            <w:tcW w:w="1640" w:type="dxa"/>
            <w:noWrap w:val="0"/>
            <w:vAlign w:val="center"/>
          </w:tcPr>
          <w:p w14:paraId="38097F40">
            <w:pPr>
              <w:keepNext w:val="0"/>
              <w:keepLines w:val="0"/>
              <w:widowControl/>
              <w:suppressLineNumbers w:val="0"/>
              <w:jc w:val="center"/>
              <w:textAlignment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合计（元）</w:t>
            </w:r>
          </w:p>
        </w:tc>
        <w:tc>
          <w:tcPr>
            <w:tcW w:w="1047" w:type="dxa"/>
            <w:noWrap w:val="0"/>
            <w:vAlign w:val="center"/>
          </w:tcPr>
          <w:p w14:paraId="4F55164C">
            <w:pPr>
              <w:keepNext w:val="0"/>
              <w:keepLines w:val="0"/>
              <w:widowControl/>
              <w:suppressLineNumbers w:val="0"/>
              <w:jc w:val="center"/>
              <w:textAlignment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w:t>
            </w:r>
          </w:p>
        </w:tc>
      </w:tr>
      <w:tr w14:paraId="12AA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3" w:type="dxa"/>
            <w:noWrap w:val="0"/>
            <w:vAlign w:val="center"/>
          </w:tcPr>
          <w:p w14:paraId="5DD08B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3228" w:type="dxa"/>
            <w:noWrap w:val="0"/>
            <w:vAlign w:val="center"/>
          </w:tcPr>
          <w:p w14:paraId="66B916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065" w:type="dxa"/>
            <w:noWrap w:val="0"/>
            <w:vAlign w:val="center"/>
          </w:tcPr>
          <w:p w14:paraId="66013B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739" w:type="dxa"/>
            <w:noWrap w:val="0"/>
            <w:vAlign w:val="center"/>
          </w:tcPr>
          <w:p w14:paraId="4AB696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604" w:type="dxa"/>
            <w:noWrap w:val="0"/>
            <w:vAlign w:val="center"/>
          </w:tcPr>
          <w:p w14:paraId="25CF445F">
            <w:pPr>
              <w:widowControl w:val="0"/>
              <w:jc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640" w:type="dxa"/>
            <w:noWrap w:val="0"/>
            <w:vAlign w:val="center"/>
          </w:tcPr>
          <w:p w14:paraId="1F13ADB9">
            <w:pPr>
              <w:widowControl w:val="0"/>
              <w:jc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047" w:type="dxa"/>
            <w:noWrap w:val="0"/>
            <w:vAlign w:val="center"/>
          </w:tcPr>
          <w:p w14:paraId="61DD55AC">
            <w:pPr>
              <w:widowControl w:val="0"/>
              <w:jc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r>
      <w:tr w14:paraId="0C46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3" w:type="dxa"/>
            <w:noWrap w:val="0"/>
            <w:vAlign w:val="center"/>
          </w:tcPr>
          <w:p w14:paraId="7D1D58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3228" w:type="dxa"/>
            <w:noWrap w:val="0"/>
            <w:vAlign w:val="center"/>
          </w:tcPr>
          <w:p w14:paraId="7DA50A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065" w:type="dxa"/>
            <w:noWrap w:val="0"/>
            <w:vAlign w:val="center"/>
          </w:tcPr>
          <w:p w14:paraId="709EB3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739" w:type="dxa"/>
            <w:noWrap w:val="0"/>
            <w:vAlign w:val="center"/>
          </w:tcPr>
          <w:p w14:paraId="211FBB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604" w:type="dxa"/>
            <w:noWrap w:val="0"/>
            <w:vAlign w:val="center"/>
          </w:tcPr>
          <w:p w14:paraId="0D550FA4">
            <w:pPr>
              <w:keepNext w:val="0"/>
              <w:keepLines w:val="0"/>
              <w:widowControl/>
              <w:suppressLineNumbers w:val="0"/>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640" w:type="dxa"/>
            <w:noWrap w:val="0"/>
            <w:vAlign w:val="center"/>
          </w:tcPr>
          <w:p w14:paraId="2B1F1938">
            <w:pPr>
              <w:keepNext w:val="0"/>
              <w:keepLines w:val="0"/>
              <w:widowControl/>
              <w:suppressLineNumbers w:val="0"/>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c>
          <w:tcPr>
            <w:tcW w:w="1047" w:type="dxa"/>
            <w:noWrap w:val="0"/>
            <w:vAlign w:val="center"/>
          </w:tcPr>
          <w:p w14:paraId="45B1EA90">
            <w:pPr>
              <w:keepNext w:val="0"/>
              <w:keepLines w:val="0"/>
              <w:widowControl/>
              <w:suppressLineNumbers w:val="0"/>
              <w:jc w:val="center"/>
              <w:textAlignment w:val="center"/>
              <w:rPr>
                <w:rFonts w:hint="eastAsia" w:ascii="宋体" w:hAnsi="宋体" w:eastAsia="宋体" w:cs="Times New Roman"/>
                <w:color w:val="000000" w:themeColor="text1"/>
                <w:sz w:val="21"/>
                <w:szCs w:val="21"/>
                <w:highlight w:val="none"/>
                <w:vertAlign w:val="baseline"/>
                <w:lang w:val="en-US" w:eastAsia="zh-CN"/>
                <w14:textFill>
                  <w14:solidFill>
                    <w14:schemeClr w14:val="tx1"/>
                  </w14:solidFill>
                </w14:textFill>
              </w:rPr>
            </w:pPr>
          </w:p>
        </w:tc>
      </w:tr>
    </w:tbl>
    <w:p w14:paraId="1FFDB980">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二、产品质量规格标准</w:t>
      </w:r>
    </w:p>
    <w:p w14:paraId="08D39D27">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三、项目相关要求</w:t>
      </w:r>
    </w:p>
    <w:p w14:paraId="1D93314B">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项目期限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123AAE3">
      <w:pPr>
        <w:spacing w:line="500" w:lineRule="exact"/>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2.项目实施地点：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9B4FADE">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3.项目交付方式：乙方按甲方指定的项目实施地点进行送货，一切费用由乙方承担；</w:t>
      </w:r>
    </w:p>
    <w:p w14:paraId="0B2C667D">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4.安全责任：供货运输中的安全责任概由乙方负责。已验收合格的产品，因使用不当等原因导致的安全责任概由甲方负责。</w:t>
      </w:r>
    </w:p>
    <w:p w14:paraId="0FC4584B">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5.交货时乙方须完整提交采购商品的产品质量合格证说明书及相关资料。</w:t>
      </w:r>
    </w:p>
    <w:p w14:paraId="65F89181">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51" w:name="_Toc23984"/>
      <w:bookmarkStart w:id="152" w:name="_Toc22995"/>
      <w:bookmarkStart w:id="153" w:name="_Toc8590"/>
      <w:bookmarkStart w:id="154" w:name="_Toc28943"/>
      <w:r>
        <w:rPr>
          <w:rFonts w:hint="eastAsia" w:ascii="宋体" w:hAnsi="宋体" w:eastAsia="宋体" w:cs="宋体"/>
          <w:color w:val="000000" w:themeColor="text1"/>
          <w:sz w:val="24"/>
          <w:szCs w:val="24"/>
          <w:highlight w:val="none"/>
          <w14:textFill>
            <w14:solidFill>
              <w14:schemeClr w14:val="tx1"/>
            </w14:solidFill>
          </w14:textFill>
        </w:rPr>
        <w:t>四、采购项目的验收</w:t>
      </w:r>
      <w:bookmarkEnd w:id="151"/>
      <w:bookmarkEnd w:id="152"/>
      <w:bookmarkEnd w:id="153"/>
      <w:bookmarkEnd w:id="154"/>
    </w:p>
    <w:p w14:paraId="532E6D6C">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乙方将成交项目中要求的货物送到甲方指定地点，报请甲方验收，甲方收到乙方申请后应组织技术人员进行货物验收，验收合格后双方办理正式交货手续，并填写验收报告表。</w:t>
      </w:r>
    </w:p>
    <w:p w14:paraId="2BC22987">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五、乙方售后服务</w:t>
      </w:r>
    </w:p>
    <w:p w14:paraId="519863F9">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六、付款方式和付款期限</w:t>
      </w:r>
    </w:p>
    <w:p w14:paraId="0F2C0A3C">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七、甲乙双方的权利和义务</w:t>
      </w:r>
    </w:p>
    <w:p w14:paraId="691C4A75">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（一）甲方的权利和义务</w:t>
      </w:r>
    </w:p>
    <w:p w14:paraId="55377C44">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1、负责合同签订后项目协调的工作（如与乙方的具体联系和衔接，产品运输、交付或交货时进行监管控制）；</w:t>
      </w:r>
    </w:p>
    <w:p w14:paraId="6DE6579C">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2、负责提供产品交货存储安置所必需的场地和环境；</w:t>
      </w:r>
    </w:p>
    <w:p w14:paraId="28DC1DDE">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3、负责组织成立验收小组对产品或项目进行验收并签署验收报告；</w:t>
      </w:r>
    </w:p>
    <w:p w14:paraId="519A3C53">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4、按合同规定享有乙方提供的设备或项目服务。</w:t>
      </w:r>
    </w:p>
    <w:p w14:paraId="4499E2CF">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（二）乙方的权利和义务</w:t>
      </w:r>
    </w:p>
    <w:p w14:paraId="39330816">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保证按本合同条款负责完成甲方项目，并保证提供的设备是全新（包括零部件）、数量配置齐全、符合竞争性磋商文件规定、具有国家有关部门注册并符合国家质量检测标准和产品出厂标准的设备；按合同质保条款提供售后服务，终身负责保修。</w:t>
      </w:r>
    </w:p>
    <w:p w14:paraId="31E365A7">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2、保证甲方在合同设备或项目使用期间不受第三方提出侵犯其专利权、商标权和工业设计权的起诉，否则乙方予以处理并承担全部费用。</w:t>
      </w:r>
    </w:p>
    <w:p w14:paraId="4C39A62A">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3、严格遵守</w:t>
      </w:r>
      <w:r>
        <w:rPr>
          <w:rFonts w:hint="eastAsia" w:ascii="宋体" w:hAnsi="宋体" w:cs="宋体"/>
          <w:color w:val="000000" w:themeColor="text1"/>
          <w:sz w:val="24"/>
          <w:szCs w:val="24"/>
          <w:highlight w:val="none"/>
          <w:lang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、技术澄清、商务谈判、</w:t>
      </w: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所承诺的一切规定和条款；</w:t>
      </w:r>
    </w:p>
    <w:p w14:paraId="38A57A20">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4、参与甲方共同进行设备和项目的验收。</w:t>
      </w:r>
    </w:p>
    <w:p w14:paraId="62B12AC3">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55" w:name="_Toc17576"/>
      <w:bookmarkStart w:id="156" w:name="_Toc32535"/>
      <w:bookmarkStart w:id="157" w:name="_Toc27060"/>
      <w:bookmarkStart w:id="158" w:name="_Toc16025"/>
      <w:r>
        <w:rPr>
          <w:rFonts w:hint="eastAsia" w:ascii="宋体" w:hAnsi="宋体" w:eastAsia="宋体" w:cs="宋体"/>
          <w:color w:val="000000" w:themeColor="text1"/>
          <w:sz w:val="24"/>
          <w:szCs w:val="24"/>
          <w:highlight w:val="none"/>
          <w14:textFill>
            <w14:solidFill>
              <w14:schemeClr w14:val="tx1"/>
            </w14:solidFill>
          </w14:textFill>
        </w:rPr>
        <w:t>八、违约责任</w:t>
      </w:r>
      <w:bookmarkEnd w:id="155"/>
      <w:bookmarkEnd w:id="156"/>
      <w:bookmarkEnd w:id="157"/>
      <w:bookmarkEnd w:id="158"/>
    </w:p>
    <w:p w14:paraId="569C7C6E">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（一）乙方逾期履行本合同约定义务时，每逾期一日，应当按本合同总价的    %向甲方支付履约逾期违约金；逾期超过    个工作日的，甲方有权单方解除本合同，并扣除全部履约保证金并要求乙方退还全部或部分已收合同款，如给甲方造成的经济损失的，乙方应当承担全部违约责任并按实际损失额向甲方全额赔偿。</w:t>
      </w:r>
    </w:p>
    <w:p w14:paraId="501C38FC">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除本合同另有约定，乙方违约的，甲方有权扣除履约保证金并限期催告乙方停止违约行为、采取有效补救措施（包括但不限于继续履行合同、扣除履约保证金、赔偿甲方经济损失等）。如乙方未在甲方指定期限内采取相关措施并经甲方验收合格的，甲方有权单方解除本合同，并要求乙方退还全部或部分已收合同款，如给甲方造成经济损失的，乙方应当承担全部违约责任并按实际损失额向甲方全额赔偿。</w:t>
      </w:r>
    </w:p>
    <w:p w14:paraId="3FEF98E9">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乙方必须向甲方提供全新的、经出厂检验合格的、获得国家销售许可的合格产品。若乙方所供货物是假货或走私等非法来源货物的，甲方有权扣除履约保证金并无条件解除本合同，乙方必须无条件向甲方支付合同总价10倍的违约赔偿金。</w:t>
      </w:r>
    </w:p>
    <w:p w14:paraId="148193C3">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（四）乙方向甲方开具等额、真实、合法的有效发票，若乙方提供的发票存在虚假、过期、失效或违法等情形的，乙方向甲方支付合同总价双倍的违约金并承担由此而发生的全部违约责任。</w:t>
      </w:r>
    </w:p>
    <w:p w14:paraId="11772C00">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59" w:name="_Toc20254"/>
      <w:bookmarkStart w:id="160" w:name="_Toc1516"/>
      <w:bookmarkStart w:id="161" w:name="_Toc3456"/>
      <w:bookmarkStart w:id="162" w:name="_Toc22074"/>
      <w:r>
        <w:rPr>
          <w:rFonts w:hint="eastAsia" w:ascii="宋体" w:hAnsi="宋体" w:eastAsia="宋体" w:cs="宋体"/>
          <w:color w:val="000000" w:themeColor="text1"/>
          <w:sz w:val="24"/>
          <w:szCs w:val="24"/>
          <w:highlight w:val="none"/>
          <w14:textFill>
            <w14:solidFill>
              <w14:schemeClr w14:val="tx1"/>
            </w14:solidFill>
          </w14:textFill>
        </w:rPr>
        <w:t>九、合同纠纷</w:t>
      </w:r>
      <w:bookmarkEnd w:id="159"/>
      <w:bookmarkEnd w:id="160"/>
      <w:bookmarkEnd w:id="161"/>
      <w:bookmarkEnd w:id="162"/>
    </w:p>
    <w:p w14:paraId="0BAFEC04">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甲乙双方在履行合同过程中发生纠纷，应及时向有关监督管理部门反映，以便相关部门进行协调或处理；或按以下方式处理：（请在□内打√，其余打×）</w:t>
      </w:r>
    </w:p>
    <w:p w14:paraId="083F2315">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□向合同签订地仲裁部门申请仲裁；</w:t>
      </w:r>
    </w:p>
    <w:p w14:paraId="078219B3">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bdr w:val="single" w:color="auto" w:sz="4" w:space="0"/>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向甲方所在地人民法院提起诉讼。</w:t>
      </w:r>
    </w:p>
    <w:p w14:paraId="19674B24">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63" w:name="_Toc26622"/>
      <w:bookmarkStart w:id="164" w:name="_Toc638"/>
      <w:bookmarkStart w:id="165" w:name="_Toc2792"/>
      <w:bookmarkStart w:id="166" w:name="_Toc11832"/>
      <w:r>
        <w:rPr>
          <w:rFonts w:hint="eastAsia" w:ascii="宋体" w:hAnsi="宋体" w:eastAsia="宋体" w:cs="宋体"/>
          <w:color w:val="000000" w:themeColor="text1"/>
          <w:sz w:val="24"/>
          <w:szCs w:val="24"/>
          <w:highlight w:val="none"/>
          <w14:textFill>
            <w14:solidFill>
              <w14:schemeClr w14:val="tx1"/>
            </w14:solidFill>
          </w14:textFill>
        </w:rPr>
        <w:t>十、本合同其他未尽事宜</w:t>
      </w:r>
      <w:bookmarkEnd w:id="163"/>
      <w:bookmarkEnd w:id="164"/>
      <w:bookmarkEnd w:id="165"/>
      <w:bookmarkEnd w:id="166"/>
    </w:p>
    <w:p w14:paraId="1AED8A5B">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本合同其他未尽事宜，按国家《民法典》有关规定处理。</w:t>
      </w:r>
    </w:p>
    <w:p w14:paraId="302127C7">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67" w:name="_Toc18453"/>
      <w:bookmarkStart w:id="168" w:name="_Toc9638"/>
      <w:bookmarkStart w:id="169" w:name="_Toc20953"/>
      <w:bookmarkStart w:id="170" w:name="_Toc30467"/>
      <w:r>
        <w:rPr>
          <w:rFonts w:hint="eastAsia" w:ascii="宋体" w:hAnsi="宋体" w:eastAsia="宋体" w:cs="宋体"/>
          <w:color w:val="000000" w:themeColor="text1"/>
          <w:sz w:val="24"/>
          <w:szCs w:val="24"/>
          <w:highlight w:val="none"/>
          <w14:textFill>
            <w14:solidFill>
              <w14:schemeClr w14:val="tx1"/>
            </w14:solidFill>
          </w14:textFill>
        </w:rPr>
        <w:t>十一、保密责任</w:t>
      </w:r>
      <w:bookmarkEnd w:id="167"/>
      <w:bookmarkEnd w:id="168"/>
      <w:bookmarkEnd w:id="169"/>
      <w:bookmarkEnd w:id="170"/>
    </w:p>
    <w:p w14:paraId="4B288A84">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本合同内容以及乙方因签订、履行本合同所获悉的甲方、关联单位及合作单位的相关信息、资料（包括但不限于图纸、数据、文件、视频、图片等）均属于保密范围，未经甲方书面同意，乙方不得将保密内容泄露给任何第三方或用于本合同以外的用途；否则，乙方须承担因泄密而引发的全部责任。</w:t>
      </w:r>
    </w:p>
    <w:p w14:paraId="62DEC876">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（二）乙方在本合同签订、履行期间及终止后，无条件负有本合同约定的保密义务。</w:t>
      </w:r>
    </w:p>
    <w:p w14:paraId="3E0C700C">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bookmarkStart w:id="171" w:name="_Toc1802"/>
      <w:bookmarkStart w:id="172" w:name="_Toc25971"/>
      <w:bookmarkStart w:id="173" w:name="_Toc26909"/>
      <w:bookmarkStart w:id="174" w:name="_Toc8049"/>
      <w:r>
        <w:rPr>
          <w:rFonts w:hint="eastAsia" w:ascii="宋体" w:hAnsi="宋体" w:eastAsia="宋体" w:cs="宋体"/>
          <w:color w:val="000000" w:themeColor="text1"/>
          <w:sz w:val="24"/>
          <w:szCs w:val="24"/>
          <w:highlight w:val="none"/>
          <w14:textFill>
            <w14:solidFill>
              <w14:schemeClr w14:val="tx1"/>
            </w14:solidFill>
          </w14:textFill>
        </w:rPr>
        <w:t>十二、不可抗力</w:t>
      </w:r>
      <w:bookmarkEnd w:id="171"/>
      <w:bookmarkEnd w:id="172"/>
      <w:bookmarkEnd w:id="173"/>
      <w:bookmarkEnd w:id="174"/>
    </w:p>
    <w:p w14:paraId="675C57DF">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如果甲乙双方中任何一方遭遇战争、自然灾害（火灾、水灾、台风、地震、重大疫情等）、政治动乱等不可抗力的因素，致使本合同履行受阻时，履行本合同的期限应予延长，延长的期限应相当于不可抗力所影响的时间。</w:t>
      </w:r>
    </w:p>
    <w:p w14:paraId="4F8FB1AA">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（二）受不可抗力影响的一方应在不可抗力发生后，以最快的方式在最短的时间内通知另一方，并在不可抗力发生后10日内，将有关部门出具的证明文件直接送达另一方。</w:t>
      </w:r>
    </w:p>
    <w:p w14:paraId="15602095">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（三）如果不可抗力影响导致合同迟延履行30日以上的，甲乙双方应友好协商解决，协商不成的，按照甲方要求执行。</w:t>
      </w:r>
    </w:p>
    <w:p w14:paraId="5422D230">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75" w:name="_Toc23340"/>
      <w:bookmarkStart w:id="176" w:name="_Toc14222"/>
      <w:bookmarkStart w:id="177" w:name="_Toc24219"/>
      <w:bookmarkStart w:id="178" w:name="_Toc1568"/>
      <w:r>
        <w:rPr>
          <w:rFonts w:hint="eastAsia" w:ascii="宋体" w:hAnsi="宋体" w:eastAsia="宋体" w:cs="宋体"/>
          <w:color w:val="000000" w:themeColor="text1"/>
          <w:sz w:val="24"/>
          <w:szCs w:val="24"/>
          <w:highlight w:val="none"/>
          <w14:textFill>
            <w14:solidFill>
              <w14:schemeClr w14:val="tx1"/>
            </w14:solidFill>
          </w14:textFill>
        </w:rPr>
        <w:t>十三、合同的生效</w:t>
      </w:r>
      <w:bookmarkEnd w:id="175"/>
      <w:bookmarkEnd w:id="176"/>
      <w:bookmarkEnd w:id="177"/>
      <w:bookmarkEnd w:id="178"/>
    </w:p>
    <w:p w14:paraId="3812FC89">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本合同经双方签字并盖章后生效。本合同一式4份，甲方持2份，乙方持2份，具有同等法律效力。</w:t>
      </w:r>
    </w:p>
    <w:p w14:paraId="02AD2F9A">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79" w:name="_Toc20701"/>
      <w:bookmarkStart w:id="180" w:name="_Toc6138"/>
      <w:bookmarkStart w:id="181" w:name="_Toc29416"/>
      <w:bookmarkStart w:id="182" w:name="_Toc9333"/>
      <w:r>
        <w:rPr>
          <w:rFonts w:hint="eastAsia" w:ascii="宋体" w:hAnsi="宋体" w:eastAsia="宋体" w:cs="宋体"/>
          <w:color w:val="000000" w:themeColor="text1"/>
          <w:sz w:val="24"/>
          <w:szCs w:val="24"/>
          <w:highlight w:val="none"/>
          <w14:textFill>
            <w14:solidFill>
              <w14:schemeClr w14:val="tx1"/>
            </w14:solidFill>
          </w14:textFill>
        </w:rPr>
        <w:t>十四、货物质保期</w:t>
      </w:r>
      <w:bookmarkEnd w:id="179"/>
      <w:bookmarkEnd w:id="180"/>
      <w:bookmarkEnd w:id="181"/>
      <w:bookmarkEnd w:id="182"/>
    </w:p>
    <w:p w14:paraId="12C89516">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货物的质量保证期：自全部货物通过甲方到货验收合格之日起需要安装调试的项目，应以全部货物完成安装调试且正常运行之日起   个月。</w:t>
      </w:r>
    </w:p>
    <w:p w14:paraId="44382F6A">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83" w:name="_Toc23661"/>
      <w:bookmarkStart w:id="184" w:name="_Toc9138"/>
      <w:bookmarkStart w:id="185" w:name="_Toc19822"/>
      <w:bookmarkStart w:id="186" w:name="_Toc22588"/>
      <w:r>
        <w:rPr>
          <w:rFonts w:hint="eastAsia" w:ascii="宋体" w:hAnsi="宋体" w:eastAsia="宋体" w:cs="宋体"/>
          <w:color w:val="000000" w:themeColor="text1"/>
          <w:sz w:val="24"/>
          <w:szCs w:val="24"/>
          <w:highlight w:val="none"/>
          <w14:textFill>
            <w14:solidFill>
              <w14:schemeClr w14:val="tx1"/>
            </w14:solidFill>
          </w14:textFill>
        </w:rPr>
        <w:t>十五、其它</w:t>
      </w:r>
      <w:bookmarkEnd w:id="183"/>
      <w:bookmarkEnd w:id="184"/>
      <w:bookmarkEnd w:id="185"/>
      <w:bookmarkEnd w:id="186"/>
    </w:p>
    <w:p w14:paraId="4B9C2A81">
      <w:pPr>
        <w:spacing w:line="500" w:lineRule="exact"/>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本合同未尽事宜可签署补充协议，补充协议是本合同的重要组成，与本合同具有同等法律效力。</w:t>
      </w:r>
    </w:p>
    <w:p w14:paraId="522CAEDD">
      <w:pPr>
        <w:spacing w:line="500" w:lineRule="exact"/>
        <w:ind w:firstLine="480" w:firstLineChars="200"/>
        <w:jc w:val="left"/>
        <w:outlineLvl w:val="1"/>
        <w:rPr>
          <w:rFonts w:ascii="宋体" w:hAnsi="宋体" w:eastAsia="宋体" w:cs="宋体"/>
          <w:color w:val="000000" w:themeColor="text1"/>
          <w:sz w:val="24"/>
          <w:szCs w:val="24"/>
          <w:highlight w:val="none"/>
          <w14:textFill>
            <w14:solidFill>
              <w14:schemeClr w14:val="tx1"/>
            </w14:solidFill>
          </w14:textFill>
        </w:rPr>
      </w:pPr>
      <w:bookmarkStart w:id="187" w:name="_Toc17181"/>
      <w:bookmarkStart w:id="188" w:name="_Toc8074"/>
      <w:bookmarkStart w:id="189" w:name="_Toc30577"/>
      <w:bookmarkStart w:id="190" w:name="_Toc19508"/>
      <w:r>
        <w:rPr>
          <w:rFonts w:hint="eastAsia" w:ascii="宋体" w:hAnsi="宋体" w:eastAsia="宋体" w:cs="宋体"/>
          <w:color w:val="000000" w:themeColor="text1"/>
          <w:sz w:val="24"/>
          <w:szCs w:val="24"/>
          <w:highlight w:val="none"/>
          <w14:textFill>
            <w14:solidFill>
              <w14:schemeClr w14:val="tx1"/>
            </w14:solidFill>
          </w14:textFill>
        </w:rPr>
        <w:t>十六、本合同不可分割之部分包括以下所列文件之内容：</w:t>
      </w:r>
      <w:bookmarkEnd w:id="187"/>
      <w:bookmarkEnd w:id="188"/>
      <w:bookmarkEnd w:id="189"/>
      <w:bookmarkEnd w:id="190"/>
    </w:p>
    <w:p w14:paraId="55092B0E">
      <w:pPr>
        <w:widowControl/>
        <w:spacing w:line="360" w:lineRule="auto"/>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1、合同书附件；2、采购文件；3、成交通知书；4、乙方递交的响应文件；5、甲乙双方签订合同过程中形成的其他文件。</w:t>
      </w:r>
    </w:p>
    <w:p w14:paraId="42E54C5C">
      <w:pPr>
        <w:widowControl/>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甲方（采购人公章）名称：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627B5EFA">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p w14:paraId="6665D8BF">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邮编：</w:t>
      </w:r>
    </w:p>
    <w:p w14:paraId="5525C244">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法定代表人：委托代理人：</w:t>
      </w:r>
    </w:p>
    <w:p w14:paraId="4824106F">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项目（技术）负责人：</w:t>
      </w:r>
    </w:p>
    <w:p w14:paraId="6E254FB2">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电话：</w:t>
      </w:r>
    </w:p>
    <w:p w14:paraId="39D41D99">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 户 银行：</w:t>
      </w:r>
    </w:p>
    <w:p w14:paraId="493DAA81">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账号：</w:t>
      </w:r>
    </w:p>
    <w:p w14:paraId="4C75D490">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w:t>
      </w:r>
      <w:r>
        <w:rPr>
          <w:rFonts w:hint="eastAsia" w:ascii="宋体" w:hAnsi="宋体" w:cs="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14:textFill>
            <w14:solidFill>
              <w14:schemeClr w14:val="tx1"/>
            </w14:solidFill>
          </w14:textFill>
        </w:rPr>
        <w:t>单位章）名称：</w:t>
      </w:r>
    </w:p>
    <w:p w14:paraId="5FFB7121">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地址：</w:t>
      </w:r>
    </w:p>
    <w:p w14:paraId="28631B1D">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邮编：</w:t>
      </w:r>
    </w:p>
    <w:p w14:paraId="4B39F8DD">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w:t>
      </w:r>
    </w:p>
    <w:p w14:paraId="0C1A62A8">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委托代理人：</w:t>
      </w:r>
    </w:p>
    <w:p w14:paraId="1EAECCA8">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电话：</w:t>
      </w:r>
    </w:p>
    <w:p w14:paraId="20CC8338">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开 户 银行：</w:t>
      </w:r>
    </w:p>
    <w:p w14:paraId="722034F9">
      <w:pPr>
        <w:widowControl/>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账号：</w:t>
      </w:r>
    </w:p>
    <w:p w14:paraId="62FB274A">
      <w:pPr>
        <w:rPr>
          <w:rFonts w:eastAsia="仿宋_GB2312"/>
          <w:color w:val="000000" w:themeColor="text1"/>
          <w:szCs w:val="21"/>
          <w:highlight w:val="none"/>
          <w14:textFill>
            <w14:solidFill>
              <w14:schemeClr w14:val="tx1"/>
            </w14:solidFill>
          </w14:textFill>
        </w:rPr>
      </w:pPr>
    </w:p>
    <w:sectPr>
      <w:headerReference r:id="rId3" w:type="default"/>
      <w:footerReference r:id="rId4" w:type="default"/>
      <w:pgSz w:w="11906" w:h="16838"/>
      <w:pgMar w:top="1440" w:right="1134" w:bottom="144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F Song">
    <w:altName w:val="宋体"/>
    <w:panose1 w:val="00000000000000000000"/>
    <w:charset w:val="86"/>
    <w:family w:val="auto"/>
    <w:pitch w:val="default"/>
    <w:sig w:usb0="00000000" w:usb1="00000000" w:usb2="00000010" w:usb3="00000000" w:csb0="00040000" w:csb1="00000000"/>
  </w:font>
  <w:font w:name="Heiti SC Light">
    <w:altName w:val="Noto Serif SC"/>
    <w:panose1 w:val="00000000000000000000"/>
    <w:charset w:val="80"/>
    <w:family w:val="auto"/>
    <w:pitch w:val="default"/>
    <w:sig w:usb0="00000000" w:usb1="00000000" w:usb2="00000000" w:usb3="00000000" w:csb0="203E0000" w:csb1="00000000"/>
  </w:font>
  <w:font w:name="Noto Serif SC">
    <w:panose1 w:val="02020200000000000000"/>
    <w:charset w:val="86"/>
    <w:family w:val="auto"/>
    <w:pitch w:val="default"/>
    <w:sig w:usb0="20000083" w:usb1="2ADF3C10" w:usb2="00000016" w:usb3="00000000" w:csb0="6006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Kai">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Dotum">
    <w:altName w:val="Malgun Gothic"/>
    <w:panose1 w:val="020B0600000101010101"/>
    <w:charset w:val="81"/>
    <w:family w:val="swiss"/>
    <w:pitch w:val="default"/>
    <w:sig w:usb0="00000000" w:usb1="00000000" w:usb2="00000030" w:usb3="00000000" w:csb0="4008009F" w:csb1="DFD70000"/>
  </w:font>
  <w:font w:name="Impact">
    <w:panose1 w:val="020B0806030902050204"/>
    <w:charset w:val="00"/>
    <w:family w:val="swiss"/>
    <w:pitch w:val="default"/>
    <w:sig w:usb0="00000287" w:usb1="00000000" w:usb2="00000000" w:usb3="00000000" w:csb0="2000009F" w:csb1="DFD70000"/>
  </w:font>
  <w:font w:name="Franklin Gothic Heavy">
    <w:panose1 w:val="020B0903020102020204"/>
    <w:charset w:val="00"/>
    <w:family w:val="swiss"/>
    <w:pitch w:val="default"/>
    <w:sig w:usb0="00000287" w:usb1="00000000" w:usb2="00000000" w:usb3="00000000" w:csb0="2000009F" w:csb1="DFD70000"/>
  </w:font>
  <w:font w:name="长城仿宋">
    <w:altName w:val="仿宋"/>
    <w:panose1 w:val="00000000000000000000"/>
    <w:charset w:val="00"/>
    <w:family w:val="modern"/>
    <w:pitch w:val="default"/>
    <w:sig w:usb0="00000000" w:usb1="00000000" w:usb2="00000000" w:usb3="00000000" w:csb0="00040001" w:csb1="00000000"/>
  </w:font>
  <w:font w:name="Frutiger 45 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alatino">
    <w:altName w:val="Palatino Linotype"/>
    <w:panose1 w:val="00000000000000000000"/>
    <w:charset w:val="00"/>
    <w:family w:val="roman"/>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BatangChe">
    <w:altName w:val="Malgun Gothic"/>
    <w:panose1 w:val="02030609000101010101"/>
    <w:charset w:val="81"/>
    <w:family w:val="modern"/>
    <w:pitch w:val="default"/>
    <w:sig w:usb0="00000000" w:usb1="00000000" w:usb2="00000030" w:usb3="00000000" w:csb0="4008009F" w:csb1="DFD70000"/>
  </w:font>
  <w:font w:name="B Frutiger Bold">
    <w:altName w:val="Arial"/>
    <w:panose1 w:val="000000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93" w:csb1="00000000"/>
  </w:font>
  <w:font w:name="CG Times">
    <w:altName w:val="Times New Roman"/>
    <w:panose1 w:val="00000000000000000000"/>
    <w:charset w:val="00"/>
    <w:family w:val="roman"/>
    <w:pitch w:val="default"/>
    <w:sig w:usb0="00000000" w:usb1="00000000" w:usb2="00000000" w:usb3="00000000" w:csb0="00000093" w:csb1="00000000"/>
  </w:font>
  <w:font w:name="仿宋体">
    <w:altName w:val="宋体"/>
    <w:panose1 w:val="00000000000000000000"/>
    <w:charset w:val="86"/>
    <w:family w:val="roma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4061">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2AA4A">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A2AA4A">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2BA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18CA4"/>
    <w:multiLevelType w:val="singleLevel"/>
    <w:tmpl w:val="8BF18CA4"/>
    <w:lvl w:ilvl="0" w:tentative="0">
      <w:start w:val="7"/>
      <w:numFmt w:val="decimal"/>
      <w:lvlText w:val="%1."/>
      <w:lvlJc w:val="left"/>
      <w:pPr>
        <w:tabs>
          <w:tab w:val="left" w:pos="312"/>
        </w:tabs>
      </w:pPr>
    </w:lvl>
  </w:abstractNum>
  <w:abstractNum w:abstractNumId="1">
    <w:nsid w:val="9BCA3C94"/>
    <w:multiLevelType w:val="singleLevel"/>
    <w:tmpl w:val="9BCA3C94"/>
    <w:lvl w:ilvl="0" w:tentative="0">
      <w:start w:val="1"/>
      <w:numFmt w:val="decimal"/>
      <w:lvlText w:val="%1."/>
      <w:lvlJc w:val="left"/>
      <w:pPr>
        <w:tabs>
          <w:tab w:val="left" w:pos="312"/>
        </w:tabs>
      </w:pPr>
    </w:lvl>
  </w:abstractNum>
  <w:abstractNum w:abstractNumId="2">
    <w:nsid w:val="FDA55486"/>
    <w:multiLevelType w:val="singleLevel"/>
    <w:tmpl w:val="FDA55486"/>
    <w:lvl w:ilvl="0" w:tentative="0">
      <w:start w:val="8"/>
      <w:numFmt w:val="chineseCounting"/>
      <w:suff w:val="nothing"/>
      <w:lvlText w:val="%1、"/>
      <w:lvlJc w:val="left"/>
      <w:rPr>
        <w:rFonts w:hint="eastAsia"/>
      </w:rPr>
    </w:lvl>
  </w:abstractNum>
  <w:abstractNum w:abstractNumId="3">
    <w:nsid w:val="01FE1FBC"/>
    <w:multiLevelType w:val="multilevel"/>
    <w:tmpl w:val="01FE1FBC"/>
    <w:lvl w:ilvl="0" w:tentative="0">
      <w:start w:val="1"/>
      <w:numFmt w:val="upperLetter"/>
      <w:pStyle w:val="546"/>
      <w:lvlText w:val="(%1)"/>
      <w:lvlJc w:val="left"/>
      <w:pPr>
        <w:tabs>
          <w:tab w:val="left" w:pos="720"/>
        </w:tabs>
        <w:ind w:left="720" w:hanging="720"/>
      </w:pPr>
    </w:lvl>
    <w:lvl w:ilvl="1" w:tentative="0">
      <w:start w:val="1"/>
      <w:numFmt w:val="upperLetter"/>
      <w:pStyle w:val="547"/>
      <w:lvlText w:val="(%2)"/>
      <w:lvlJc w:val="left"/>
      <w:pPr>
        <w:tabs>
          <w:tab w:val="left" w:pos="1440"/>
        </w:tabs>
        <w:ind w:left="1440" w:hanging="720"/>
      </w:pPr>
    </w:lvl>
    <w:lvl w:ilvl="2" w:tentative="0">
      <w:start w:val="1"/>
      <w:numFmt w:val="upperLetter"/>
      <w:pStyle w:val="548"/>
      <w:lvlText w:val="(%3)"/>
      <w:lvlJc w:val="left"/>
      <w:pPr>
        <w:tabs>
          <w:tab w:val="left" w:pos="2160"/>
        </w:tabs>
        <w:ind w:left="2160" w:hanging="720"/>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4">
    <w:nsid w:val="05DA1521"/>
    <w:multiLevelType w:val="singleLevel"/>
    <w:tmpl w:val="05DA1521"/>
    <w:lvl w:ilvl="0" w:tentative="0">
      <w:start w:val="2"/>
      <w:numFmt w:val="chineseCounting"/>
      <w:suff w:val="nothing"/>
      <w:lvlText w:val="%1、"/>
      <w:lvlJc w:val="left"/>
      <w:rPr>
        <w:rFonts w:hint="eastAsia"/>
      </w:rPr>
    </w:lvl>
  </w:abstractNum>
  <w:abstractNum w:abstractNumId="5">
    <w:nsid w:val="237E4D61"/>
    <w:multiLevelType w:val="multilevel"/>
    <w:tmpl w:val="237E4D61"/>
    <w:lvl w:ilvl="0" w:tentative="0">
      <w:start w:val="1"/>
      <w:numFmt w:val="japaneseCounting"/>
      <w:lvlText w:val="第%1章"/>
      <w:lvlJc w:val="left"/>
      <w:pPr>
        <w:ind w:left="9351" w:hanging="420"/>
      </w:pPr>
      <w:rPr>
        <w:rFonts w:hint="eastAsia" w:ascii="黑体" w:eastAsia="黑体"/>
        <w:b w:val="0"/>
        <w:sz w:val="36"/>
        <w:lang w:val="en-US"/>
      </w:rPr>
    </w:lvl>
    <w:lvl w:ilvl="1" w:tentative="0">
      <w:start w:val="1"/>
      <w:numFmt w:val="chineseCountingThousand"/>
      <w:pStyle w:val="378"/>
      <w:lvlText w:val="%2、"/>
      <w:lvlJc w:val="left"/>
      <w:pPr>
        <w:tabs>
          <w:tab w:val="left" w:pos="851"/>
        </w:tabs>
        <w:ind w:left="0" w:firstLine="0"/>
      </w:pPr>
      <w:rPr>
        <w:b w:val="0"/>
        <w:bCs w:val="0"/>
        <w:i w:val="0"/>
        <w:iCs w:val="0"/>
        <w:caps w:val="0"/>
        <w:smallCaps w:val="0"/>
        <w:strike w:val="0"/>
        <w:dstrike w:val="0"/>
        <w:vanish w:val="0"/>
        <w:color w:val="000000"/>
        <w:spacing w:val="0"/>
        <w:kern w:val="0"/>
        <w:position w:val="0"/>
        <w:u w:val="none"/>
        <w:vertAlign w:val="baseline"/>
      </w:rPr>
    </w:lvl>
    <w:lvl w:ilvl="2" w:tentative="0">
      <w:start w:val="1"/>
      <w:numFmt w:val="decimal"/>
      <w:isLgl/>
      <w:lvlText w:val="%1.%2.%3"/>
      <w:lvlJc w:val="left"/>
      <w:pPr>
        <w:tabs>
          <w:tab w:val="left" w:pos="851"/>
        </w:tabs>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38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6">
    <w:nsid w:val="305B4994"/>
    <w:multiLevelType w:val="multilevel"/>
    <w:tmpl w:val="305B4994"/>
    <w:lvl w:ilvl="0" w:tentative="0">
      <w:start w:val="1"/>
      <w:numFmt w:val="decimal"/>
      <w:pStyle w:val="550"/>
      <w:lvlText w:val="第%1章"/>
      <w:lvlJc w:val="left"/>
      <w:pPr>
        <w:tabs>
          <w:tab w:val="left" w:pos="1134"/>
        </w:tabs>
        <w:ind w:left="425" w:hanging="425"/>
      </w:pPr>
      <w:rPr>
        <w:rFonts w:hint="eastAsia"/>
      </w:rPr>
    </w:lvl>
    <w:lvl w:ilvl="1" w:tentative="0">
      <w:start w:val="1"/>
      <w:numFmt w:val="decimal"/>
      <w:pStyle w:val="551"/>
      <w:lvlText w:val="%1.%2"/>
      <w:lvlJc w:val="left"/>
      <w:pPr>
        <w:tabs>
          <w:tab w:val="left" w:pos="567"/>
        </w:tabs>
        <w:ind w:left="567" w:hanging="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552"/>
      <w:lvlText w:val="%1.%2.%3"/>
      <w:lvlJc w:val="left"/>
      <w:pPr>
        <w:tabs>
          <w:tab w:val="left" w:pos="1418"/>
        </w:tabs>
        <w:ind w:left="1418" w:hanging="851"/>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lowerLetter"/>
      <w:pStyle w:val="554"/>
      <w:lvlText w:val="(%4)"/>
      <w:lvlJc w:val="left"/>
      <w:pPr>
        <w:tabs>
          <w:tab w:val="left" w:pos="1814"/>
        </w:tabs>
        <w:ind w:left="1814" w:hanging="39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343A5581"/>
    <w:multiLevelType w:val="multilevel"/>
    <w:tmpl w:val="343A5581"/>
    <w:lvl w:ilvl="0" w:tentative="0">
      <w:start w:val="1"/>
      <w:numFmt w:val="decimal"/>
      <w:pStyle w:val="278"/>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3F937F27"/>
    <w:multiLevelType w:val="singleLevel"/>
    <w:tmpl w:val="3F937F27"/>
    <w:lvl w:ilvl="0" w:tentative="0">
      <w:start w:val="4"/>
      <w:numFmt w:val="chineseCounting"/>
      <w:suff w:val="nothing"/>
      <w:lvlText w:val="%1、"/>
      <w:lvlJc w:val="left"/>
      <w:rPr>
        <w:rFonts w:hint="eastAsia"/>
      </w:rPr>
    </w:lvl>
  </w:abstractNum>
  <w:abstractNum w:abstractNumId="9">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2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5328122C"/>
    <w:multiLevelType w:val="singleLevel"/>
    <w:tmpl w:val="5328122C"/>
    <w:lvl w:ilvl="0" w:tentative="0">
      <w:start w:val="2"/>
      <w:numFmt w:val="decimal"/>
      <w:suff w:val="nothing"/>
      <w:lvlText w:val="%1、"/>
      <w:lvlJc w:val="left"/>
      <w:pPr>
        <w:ind w:left="500" w:firstLine="0"/>
      </w:pPr>
    </w:lvl>
  </w:abstractNum>
  <w:num w:numId="1">
    <w:abstractNumId w:val="9"/>
  </w:num>
  <w:num w:numId="2">
    <w:abstractNumId w:val="7"/>
  </w:num>
  <w:num w:numId="3">
    <w:abstractNumId w:val="5"/>
  </w:num>
  <w:num w:numId="4">
    <w:abstractNumId w:val="3"/>
  </w:num>
  <w:num w:numId="5">
    <w:abstractNumId w:val="6"/>
  </w:num>
  <w:num w:numId="6">
    <w:abstractNumId w:val="0"/>
  </w:num>
  <w:num w:numId="7">
    <w:abstractNumId w:val="1"/>
  </w:num>
  <w:num w:numId="8">
    <w:abstractNumId w:val="2"/>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mirrorMargins w:val="1"/>
  <w:bordersDoNotSurroundHeader w:val="0"/>
  <w:bordersDoNotSurroundFooter w:val="0"/>
  <w:hideSpellingErrors/>
  <w:hideGrammaticalErrors/>
  <w:documentProtection w:edit="readOnly"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Y2VhZDIzNzk4OWQxOWNmN2JiNmNhYWMzMGE4OGYifQ=="/>
  </w:docVars>
  <w:rsids>
    <w:rsidRoot w:val="00C9019B"/>
    <w:rsid w:val="00000762"/>
    <w:rsid w:val="00001A81"/>
    <w:rsid w:val="00001CE7"/>
    <w:rsid w:val="00001EDE"/>
    <w:rsid w:val="0000230D"/>
    <w:rsid w:val="00002556"/>
    <w:rsid w:val="000033EC"/>
    <w:rsid w:val="000038BC"/>
    <w:rsid w:val="0000495E"/>
    <w:rsid w:val="0000682F"/>
    <w:rsid w:val="00006C88"/>
    <w:rsid w:val="000078A2"/>
    <w:rsid w:val="00011434"/>
    <w:rsid w:val="00011936"/>
    <w:rsid w:val="0001226B"/>
    <w:rsid w:val="0001257D"/>
    <w:rsid w:val="00012B1C"/>
    <w:rsid w:val="00013A4B"/>
    <w:rsid w:val="00013D4D"/>
    <w:rsid w:val="000153E5"/>
    <w:rsid w:val="00015865"/>
    <w:rsid w:val="00016AD2"/>
    <w:rsid w:val="00016E1B"/>
    <w:rsid w:val="00017B64"/>
    <w:rsid w:val="00017DB1"/>
    <w:rsid w:val="00017E5D"/>
    <w:rsid w:val="00020293"/>
    <w:rsid w:val="000211C9"/>
    <w:rsid w:val="00022299"/>
    <w:rsid w:val="00022735"/>
    <w:rsid w:val="000228C6"/>
    <w:rsid w:val="00023586"/>
    <w:rsid w:val="00023DBF"/>
    <w:rsid w:val="00024252"/>
    <w:rsid w:val="0002494C"/>
    <w:rsid w:val="000251B6"/>
    <w:rsid w:val="00025CC5"/>
    <w:rsid w:val="00025F10"/>
    <w:rsid w:val="00026E95"/>
    <w:rsid w:val="0002767E"/>
    <w:rsid w:val="00027C18"/>
    <w:rsid w:val="00030296"/>
    <w:rsid w:val="00030824"/>
    <w:rsid w:val="00030F0E"/>
    <w:rsid w:val="00031582"/>
    <w:rsid w:val="00031C6B"/>
    <w:rsid w:val="00032157"/>
    <w:rsid w:val="00033326"/>
    <w:rsid w:val="00033E7E"/>
    <w:rsid w:val="00034483"/>
    <w:rsid w:val="0003472F"/>
    <w:rsid w:val="000352EC"/>
    <w:rsid w:val="000358CD"/>
    <w:rsid w:val="00036CA6"/>
    <w:rsid w:val="000374FB"/>
    <w:rsid w:val="0003776C"/>
    <w:rsid w:val="00037BDF"/>
    <w:rsid w:val="000402AF"/>
    <w:rsid w:val="00040B46"/>
    <w:rsid w:val="00040EDF"/>
    <w:rsid w:val="000413F2"/>
    <w:rsid w:val="00041628"/>
    <w:rsid w:val="0004209E"/>
    <w:rsid w:val="000423CF"/>
    <w:rsid w:val="00042E31"/>
    <w:rsid w:val="00043059"/>
    <w:rsid w:val="00043569"/>
    <w:rsid w:val="00043771"/>
    <w:rsid w:val="000437DB"/>
    <w:rsid w:val="00044979"/>
    <w:rsid w:val="00044C78"/>
    <w:rsid w:val="00044D22"/>
    <w:rsid w:val="00047E8D"/>
    <w:rsid w:val="0005068A"/>
    <w:rsid w:val="00051246"/>
    <w:rsid w:val="0005240E"/>
    <w:rsid w:val="000528A2"/>
    <w:rsid w:val="00052B9F"/>
    <w:rsid w:val="0005317D"/>
    <w:rsid w:val="00054D89"/>
    <w:rsid w:val="0005503E"/>
    <w:rsid w:val="00055278"/>
    <w:rsid w:val="0005571C"/>
    <w:rsid w:val="0005585F"/>
    <w:rsid w:val="000562BA"/>
    <w:rsid w:val="000562DA"/>
    <w:rsid w:val="00056509"/>
    <w:rsid w:val="00056574"/>
    <w:rsid w:val="0005665D"/>
    <w:rsid w:val="00056AA2"/>
    <w:rsid w:val="00056B4C"/>
    <w:rsid w:val="00057112"/>
    <w:rsid w:val="0006014F"/>
    <w:rsid w:val="000604A3"/>
    <w:rsid w:val="000606FD"/>
    <w:rsid w:val="00061ACB"/>
    <w:rsid w:val="00061E2A"/>
    <w:rsid w:val="00063012"/>
    <w:rsid w:val="00066067"/>
    <w:rsid w:val="000660A0"/>
    <w:rsid w:val="00066A64"/>
    <w:rsid w:val="00066CA8"/>
    <w:rsid w:val="00066D2D"/>
    <w:rsid w:val="00066ECD"/>
    <w:rsid w:val="00066FD8"/>
    <w:rsid w:val="00067DDB"/>
    <w:rsid w:val="00070627"/>
    <w:rsid w:val="000718BD"/>
    <w:rsid w:val="00072B1D"/>
    <w:rsid w:val="00072E85"/>
    <w:rsid w:val="00073743"/>
    <w:rsid w:val="00073976"/>
    <w:rsid w:val="00073F72"/>
    <w:rsid w:val="00075BB8"/>
    <w:rsid w:val="000772D9"/>
    <w:rsid w:val="00077504"/>
    <w:rsid w:val="00077B91"/>
    <w:rsid w:val="00080143"/>
    <w:rsid w:val="00080EE4"/>
    <w:rsid w:val="00080F8D"/>
    <w:rsid w:val="00081466"/>
    <w:rsid w:val="00083150"/>
    <w:rsid w:val="00083286"/>
    <w:rsid w:val="00085931"/>
    <w:rsid w:val="00087302"/>
    <w:rsid w:val="00087882"/>
    <w:rsid w:val="00091261"/>
    <w:rsid w:val="00092ADB"/>
    <w:rsid w:val="000935CB"/>
    <w:rsid w:val="00093F13"/>
    <w:rsid w:val="00095066"/>
    <w:rsid w:val="0009598B"/>
    <w:rsid w:val="00095E08"/>
    <w:rsid w:val="0009633E"/>
    <w:rsid w:val="000970AC"/>
    <w:rsid w:val="000974D7"/>
    <w:rsid w:val="000974F7"/>
    <w:rsid w:val="00097D72"/>
    <w:rsid w:val="000A02A5"/>
    <w:rsid w:val="000A09B2"/>
    <w:rsid w:val="000A0BC9"/>
    <w:rsid w:val="000A0F1F"/>
    <w:rsid w:val="000A1390"/>
    <w:rsid w:val="000A34DE"/>
    <w:rsid w:val="000A435A"/>
    <w:rsid w:val="000A472B"/>
    <w:rsid w:val="000A542F"/>
    <w:rsid w:val="000A55DE"/>
    <w:rsid w:val="000A5682"/>
    <w:rsid w:val="000A7773"/>
    <w:rsid w:val="000B0483"/>
    <w:rsid w:val="000B1C12"/>
    <w:rsid w:val="000B2B88"/>
    <w:rsid w:val="000B2C24"/>
    <w:rsid w:val="000B3FD7"/>
    <w:rsid w:val="000B445D"/>
    <w:rsid w:val="000B484D"/>
    <w:rsid w:val="000B4F91"/>
    <w:rsid w:val="000B5027"/>
    <w:rsid w:val="000B6D91"/>
    <w:rsid w:val="000B7EE8"/>
    <w:rsid w:val="000C004B"/>
    <w:rsid w:val="000C0A2E"/>
    <w:rsid w:val="000C14DC"/>
    <w:rsid w:val="000C1CF9"/>
    <w:rsid w:val="000C26AA"/>
    <w:rsid w:val="000C3425"/>
    <w:rsid w:val="000C3D61"/>
    <w:rsid w:val="000C47D0"/>
    <w:rsid w:val="000C5532"/>
    <w:rsid w:val="000C5A9F"/>
    <w:rsid w:val="000C5B9D"/>
    <w:rsid w:val="000C6C6C"/>
    <w:rsid w:val="000C70ED"/>
    <w:rsid w:val="000C7263"/>
    <w:rsid w:val="000C76FE"/>
    <w:rsid w:val="000D0F92"/>
    <w:rsid w:val="000D1583"/>
    <w:rsid w:val="000D3EEA"/>
    <w:rsid w:val="000D40AE"/>
    <w:rsid w:val="000D4F2F"/>
    <w:rsid w:val="000D51D7"/>
    <w:rsid w:val="000D5B69"/>
    <w:rsid w:val="000D6525"/>
    <w:rsid w:val="000D65B5"/>
    <w:rsid w:val="000E0B84"/>
    <w:rsid w:val="000E12BA"/>
    <w:rsid w:val="000E155A"/>
    <w:rsid w:val="000E15A2"/>
    <w:rsid w:val="000E17E9"/>
    <w:rsid w:val="000E2206"/>
    <w:rsid w:val="000E27A3"/>
    <w:rsid w:val="000E2D57"/>
    <w:rsid w:val="000E3D56"/>
    <w:rsid w:val="000E4491"/>
    <w:rsid w:val="000E45FA"/>
    <w:rsid w:val="000E46BB"/>
    <w:rsid w:val="000E49C4"/>
    <w:rsid w:val="000E5655"/>
    <w:rsid w:val="000E594E"/>
    <w:rsid w:val="000E5B39"/>
    <w:rsid w:val="000E5CA4"/>
    <w:rsid w:val="000E5FD2"/>
    <w:rsid w:val="000E7D86"/>
    <w:rsid w:val="000F127D"/>
    <w:rsid w:val="000F1A24"/>
    <w:rsid w:val="000F1CD7"/>
    <w:rsid w:val="000F1EC1"/>
    <w:rsid w:val="000F3724"/>
    <w:rsid w:val="000F47C0"/>
    <w:rsid w:val="000F48E0"/>
    <w:rsid w:val="000F4990"/>
    <w:rsid w:val="000F4A11"/>
    <w:rsid w:val="000F5BB4"/>
    <w:rsid w:val="000F5DEE"/>
    <w:rsid w:val="000F6C58"/>
    <w:rsid w:val="000F75E8"/>
    <w:rsid w:val="000F7D67"/>
    <w:rsid w:val="00101462"/>
    <w:rsid w:val="0010177F"/>
    <w:rsid w:val="001018F1"/>
    <w:rsid w:val="00101A5D"/>
    <w:rsid w:val="00102021"/>
    <w:rsid w:val="00103EB3"/>
    <w:rsid w:val="0010678F"/>
    <w:rsid w:val="00107A87"/>
    <w:rsid w:val="00107BFD"/>
    <w:rsid w:val="00111690"/>
    <w:rsid w:val="00111CCD"/>
    <w:rsid w:val="00111F79"/>
    <w:rsid w:val="00111FBC"/>
    <w:rsid w:val="001121A2"/>
    <w:rsid w:val="00113324"/>
    <w:rsid w:val="00113452"/>
    <w:rsid w:val="00113621"/>
    <w:rsid w:val="00113925"/>
    <w:rsid w:val="00114040"/>
    <w:rsid w:val="001146D6"/>
    <w:rsid w:val="001154EA"/>
    <w:rsid w:val="00115633"/>
    <w:rsid w:val="00115946"/>
    <w:rsid w:val="00116978"/>
    <w:rsid w:val="0011710F"/>
    <w:rsid w:val="00117D78"/>
    <w:rsid w:val="0012131E"/>
    <w:rsid w:val="00122124"/>
    <w:rsid w:val="00122241"/>
    <w:rsid w:val="00122713"/>
    <w:rsid w:val="00122FD5"/>
    <w:rsid w:val="00123435"/>
    <w:rsid w:val="00123525"/>
    <w:rsid w:val="00123FD4"/>
    <w:rsid w:val="0012419F"/>
    <w:rsid w:val="00125D7E"/>
    <w:rsid w:val="00125FA0"/>
    <w:rsid w:val="0012657C"/>
    <w:rsid w:val="00126824"/>
    <w:rsid w:val="00126C01"/>
    <w:rsid w:val="0013015E"/>
    <w:rsid w:val="001305B4"/>
    <w:rsid w:val="00130A56"/>
    <w:rsid w:val="00131C22"/>
    <w:rsid w:val="00132835"/>
    <w:rsid w:val="00132F1F"/>
    <w:rsid w:val="00133288"/>
    <w:rsid w:val="00133888"/>
    <w:rsid w:val="0013432A"/>
    <w:rsid w:val="00135855"/>
    <w:rsid w:val="00137053"/>
    <w:rsid w:val="0013751E"/>
    <w:rsid w:val="00140FC4"/>
    <w:rsid w:val="00141106"/>
    <w:rsid w:val="0014117D"/>
    <w:rsid w:val="00143016"/>
    <w:rsid w:val="0014513A"/>
    <w:rsid w:val="001451D2"/>
    <w:rsid w:val="00145701"/>
    <w:rsid w:val="00145B5C"/>
    <w:rsid w:val="00145DE1"/>
    <w:rsid w:val="0014724D"/>
    <w:rsid w:val="00147717"/>
    <w:rsid w:val="00147D30"/>
    <w:rsid w:val="001500F2"/>
    <w:rsid w:val="00150AA9"/>
    <w:rsid w:val="00150B56"/>
    <w:rsid w:val="00150E2F"/>
    <w:rsid w:val="0015284F"/>
    <w:rsid w:val="00152C27"/>
    <w:rsid w:val="00153E35"/>
    <w:rsid w:val="00153EB5"/>
    <w:rsid w:val="001542A7"/>
    <w:rsid w:val="00154D10"/>
    <w:rsid w:val="00155C16"/>
    <w:rsid w:val="001560D6"/>
    <w:rsid w:val="00157F44"/>
    <w:rsid w:val="00161CF4"/>
    <w:rsid w:val="00161DDC"/>
    <w:rsid w:val="00163540"/>
    <w:rsid w:val="00163775"/>
    <w:rsid w:val="00163A1E"/>
    <w:rsid w:val="00164478"/>
    <w:rsid w:val="00164EAB"/>
    <w:rsid w:val="0016511A"/>
    <w:rsid w:val="00165EA0"/>
    <w:rsid w:val="00166527"/>
    <w:rsid w:val="00167080"/>
    <w:rsid w:val="00170884"/>
    <w:rsid w:val="0017168D"/>
    <w:rsid w:val="00171CE7"/>
    <w:rsid w:val="00171F5F"/>
    <w:rsid w:val="001729F2"/>
    <w:rsid w:val="001730B5"/>
    <w:rsid w:val="00173599"/>
    <w:rsid w:val="0017388C"/>
    <w:rsid w:val="00174B74"/>
    <w:rsid w:val="001751CC"/>
    <w:rsid w:val="00180AC8"/>
    <w:rsid w:val="00180EE3"/>
    <w:rsid w:val="00181876"/>
    <w:rsid w:val="00181DAE"/>
    <w:rsid w:val="00181E44"/>
    <w:rsid w:val="00183664"/>
    <w:rsid w:val="00183D88"/>
    <w:rsid w:val="0018411F"/>
    <w:rsid w:val="0018501B"/>
    <w:rsid w:val="001865DD"/>
    <w:rsid w:val="00187328"/>
    <w:rsid w:val="00187624"/>
    <w:rsid w:val="00191A5C"/>
    <w:rsid w:val="00192409"/>
    <w:rsid w:val="001928EA"/>
    <w:rsid w:val="00194B82"/>
    <w:rsid w:val="00195766"/>
    <w:rsid w:val="001958E2"/>
    <w:rsid w:val="00195A82"/>
    <w:rsid w:val="00195ED3"/>
    <w:rsid w:val="00196D73"/>
    <w:rsid w:val="001A00A0"/>
    <w:rsid w:val="001A044B"/>
    <w:rsid w:val="001A0B7E"/>
    <w:rsid w:val="001A122F"/>
    <w:rsid w:val="001A1318"/>
    <w:rsid w:val="001A1425"/>
    <w:rsid w:val="001A1A92"/>
    <w:rsid w:val="001A314A"/>
    <w:rsid w:val="001A3F1C"/>
    <w:rsid w:val="001A3F79"/>
    <w:rsid w:val="001A40C5"/>
    <w:rsid w:val="001A4240"/>
    <w:rsid w:val="001A429C"/>
    <w:rsid w:val="001A5033"/>
    <w:rsid w:val="001A5A64"/>
    <w:rsid w:val="001A5C21"/>
    <w:rsid w:val="001A5E33"/>
    <w:rsid w:val="001A63E1"/>
    <w:rsid w:val="001A63EF"/>
    <w:rsid w:val="001A6936"/>
    <w:rsid w:val="001A6C69"/>
    <w:rsid w:val="001A6CB9"/>
    <w:rsid w:val="001A750A"/>
    <w:rsid w:val="001A7561"/>
    <w:rsid w:val="001A780F"/>
    <w:rsid w:val="001B014E"/>
    <w:rsid w:val="001B2F1C"/>
    <w:rsid w:val="001B35D3"/>
    <w:rsid w:val="001B4006"/>
    <w:rsid w:val="001B47A6"/>
    <w:rsid w:val="001B5014"/>
    <w:rsid w:val="001B5372"/>
    <w:rsid w:val="001B545C"/>
    <w:rsid w:val="001B57F8"/>
    <w:rsid w:val="001B5890"/>
    <w:rsid w:val="001B6D68"/>
    <w:rsid w:val="001C062E"/>
    <w:rsid w:val="001C1470"/>
    <w:rsid w:val="001C1DBE"/>
    <w:rsid w:val="001C23F6"/>
    <w:rsid w:val="001C2B48"/>
    <w:rsid w:val="001C42C5"/>
    <w:rsid w:val="001C5369"/>
    <w:rsid w:val="001C57E9"/>
    <w:rsid w:val="001C5F7A"/>
    <w:rsid w:val="001C6225"/>
    <w:rsid w:val="001C6B4B"/>
    <w:rsid w:val="001C73B6"/>
    <w:rsid w:val="001C7F6E"/>
    <w:rsid w:val="001D0223"/>
    <w:rsid w:val="001D1AC7"/>
    <w:rsid w:val="001D24FA"/>
    <w:rsid w:val="001D2CD2"/>
    <w:rsid w:val="001D2FDB"/>
    <w:rsid w:val="001D3A93"/>
    <w:rsid w:val="001D52EF"/>
    <w:rsid w:val="001D53ED"/>
    <w:rsid w:val="001D629E"/>
    <w:rsid w:val="001D6943"/>
    <w:rsid w:val="001D6A5D"/>
    <w:rsid w:val="001D7056"/>
    <w:rsid w:val="001D7957"/>
    <w:rsid w:val="001E1788"/>
    <w:rsid w:val="001E3F8E"/>
    <w:rsid w:val="001E422B"/>
    <w:rsid w:val="001E4A46"/>
    <w:rsid w:val="001E4AEE"/>
    <w:rsid w:val="001E4EB6"/>
    <w:rsid w:val="001E5670"/>
    <w:rsid w:val="001E6531"/>
    <w:rsid w:val="001E6A0C"/>
    <w:rsid w:val="001E6DF6"/>
    <w:rsid w:val="001E7F34"/>
    <w:rsid w:val="001F049C"/>
    <w:rsid w:val="001F0B6B"/>
    <w:rsid w:val="001F0C8D"/>
    <w:rsid w:val="001F0D44"/>
    <w:rsid w:val="001F1642"/>
    <w:rsid w:val="001F186E"/>
    <w:rsid w:val="001F1DAD"/>
    <w:rsid w:val="001F2B76"/>
    <w:rsid w:val="001F3047"/>
    <w:rsid w:val="001F38E4"/>
    <w:rsid w:val="001F3A04"/>
    <w:rsid w:val="001F3A35"/>
    <w:rsid w:val="001F3B6A"/>
    <w:rsid w:val="001F494A"/>
    <w:rsid w:val="001F5E57"/>
    <w:rsid w:val="001F697E"/>
    <w:rsid w:val="001F7982"/>
    <w:rsid w:val="001F7AB6"/>
    <w:rsid w:val="0020018D"/>
    <w:rsid w:val="002013A9"/>
    <w:rsid w:val="00201F7A"/>
    <w:rsid w:val="002033FF"/>
    <w:rsid w:val="00204370"/>
    <w:rsid w:val="00204873"/>
    <w:rsid w:val="00204D87"/>
    <w:rsid w:val="00205376"/>
    <w:rsid w:val="00205ED4"/>
    <w:rsid w:val="00205F7A"/>
    <w:rsid w:val="00206DB0"/>
    <w:rsid w:val="002076F7"/>
    <w:rsid w:val="00207C74"/>
    <w:rsid w:val="00210B26"/>
    <w:rsid w:val="00211DD1"/>
    <w:rsid w:val="00212241"/>
    <w:rsid w:val="00212BDE"/>
    <w:rsid w:val="00213361"/>
    <w:rsid w:val="00213BF7"/>
    <w:rsid w:val="00214128"/>
    <w:rsid w:val="0021457A"/>
    <w:rsid w:val="002146F1"/>
    <w:rsid w:val="00214750"/>
    <w:rsid w:val="002151CD"/>
    <w:rsid w:val="002156BD"/>
    <w:rsid w:val="00215E16"/>
    <w:rsid w:val="00216330"/>
    <w:rsid w:val="00216E47"/>
    <w:rsid w:val="00216F63"/>
    <w:rsid w:val="00217271"/>
    <w:rsid w:val="002175D7"/>
    <w:rsid w:val="00217644"/>
    <w:rsid w:val="00217F08"/>
    <w:rsid w:val="002200FA"/>
    <w:rsid w:val="00220B70"/>
    <w:rsid w:val="00220C88"/>
    <w:rsid w:val="0022191E"/>
    <w:rsid w:val="00221B71"/>
    <w:rsid w:val="00221F58"/>
    <w:rsid w:val="0022477F"/>
    <w:rsid w:val="00224DEE"/>
    <w:rsid w:val="00225E83"/>
    <w:rsid w:val="00226804"/>
    <w:rsid w:val="00227094"/>
    <w:rsid w:val="00227109"/>
    <w:rsid w:val="00232329"/>
    <w:rsid w:val="00233967"/>
    <w:rsid w:val="00233DB2"/>
    <w:rsid w:val="0023529D"/>
    <w:rsid w:val="002356FC"/>
    <w:rsid w:val="00235C3F"/>
    <w:rsid w:val="00236637"/>
    <w:rsid w:val="002370DE"/>
    <w:rsid w:val="00240DFF"/>
    <w:rsid w:val="0024105A"/>
    <w:rsid w:val="002413B5"/>
    <w:rsid w:val="00241615"/>
    <w:rsid w:val="00243DEB"/>
    <w:rsid w:val="002445C2"/>
    <w:rsid w:val="00244B81"/>
    <w:rsid w:val="002453FB"/>
    <w:rsid w:val="00246C52"/>
    <w:rsid w:val="00251B4E"/>
    <w:rsid w:val="00251BCA"/>
    <w:rsid w:val="00251C38"/>
    <w:rsid w:val="00252369"/>
    <w:rsid w:val="00252936"/>
    <w:rsid w:val="002533FB"/>
    <w:rsid w:val="00253570"/>
    <w:rsid w:val="0025365F"/>
    <w:rsid w:val="002556F7"/>
    <w:rsid w:val="00256069"/>
    <w:rsid w:val="002561AB"/>
    <w:rsid w:val="00256B91"/>
    <w:rsid w:val="0026058E"/>
    <w:rsid w:val="00260649"/>
    <w:rsid w:val="00260A20"/>
    <w:rsid w:val="00261C76"/>
    <w:rsid w:val="0026230B"/>
    <w:rsid w:val="0026441F"/>
    <w:rsid w:val="00264702"/>
    <w:rsid w:val="00265815"/>
    <w:rsid w:val="00265D76"/>
    <w:rsid w:val="00266247"/>
    <w:rsid w:val="00266962"/>
    <w:rsid w:val="00266997"/>
    <w:rsid w:val="00270687"/>
    <w:rsid w:val="002708D6"/>
    <w:rsid w:val="00270FCF"/>
    <w:rsid w:val="002719C7"/>
    <w:rsid w:val="002720BC"/>
    <w:rsid w:val="0027226E"/>
    <w:rsid w:val="0027376E"/>
    <w:rsid w:val="00273D93"/>
    <w:rsid w:val="00274C27"/>
    <w:rsid w:val="00274FF8"/>
    <w:rsid w:val="00275ACE"/>
    <w:rsid w:val="0027602B"/>
    <w:rsid w:val="00276115"/>
    <w:rsid w:val="0027619B"/>
    <w:rsid w:val="0027641C"/>
    <w:rsid w:val="002772CF"/>
    <w:rsid w:val="00277AA0"/>
    <w:rsid w:val="00277F2E"/>
    <w:rsid w:val="0028037B"/>
    <w:rsid w:val="00280440"/>
    <w:rsid w:val="00280DD3"/>
    <w:rsid w:val="00280F94"/>
    <w:rsid w:val="002811DF"/>
    <w:rsid w:val="00282412"/>
    <w:rsid w:val="0028256D"/>
    <w:rsid w:val="002826FA"/>
    <w:rsid w:val="0028305D"/>
    <w:rsid w:val="00283DB3"/>
    <w:rsid w:val="00284525"/>
    <w:rsid w:val="00285333"/>
    <w:rsid w:val="00285F4E"/>
    <w:rsid w:val="00286619"/>
    <w:rsid w:val="00286B5A"/>
    <w:rsid w:val="00286B61"/>
    <w:rsid w:val="0029031C"/>
    <w:rsid w:val="00290E0B"/>
    <w:rsid w:val="00292164"/>
    <w:rsid w:val="00292F5A"/>
    <w:rsid w:val="002940EE"/>
    <w:rsid w:val="0029497B"/>
    <w:rsid w:val="00295A72"/>
    <w:rsid w:val="0029629D"/>
    <w:rsid w:val="00296877"/>
    <w:rsid w:val="002A1B81"/>
    <w:rsid w:val="002A231D"/>
    <w:rsid w:val="002A39A8"/>
    <w:rsid w:val="002A3CA1"/>
    <w:rsid w:val="002A3DF5"/>
    <w:rsid w:val="002A4CB8"/>
    <w:rsid w:val="002A508E"/>
    <w:rsid w:val="002A556A"/>
    <w:rsid w:val="002A62E8"/>
    <w:rsid w:val="002A664F"/>
    <w:rsid w:val="002A694F"/>
    <w:rsid w:val="002A7817"/>
    <w:rsid w:val="002A7EEC"/>
    <w:rsid w:val="002B1595"/>
    <w:rsid w:val="002B2468"/>
    <w:rsid w:val="002B298A"/>
    <w:rsid w:val="002B3594"/>
    <w:rsid w:val="002B3D5A"/>
    <w:rsid w:val="002B4683"/>
    <w:rsid w:val="002B489C"/>
    <w:rsid w:val="002B6CF7"/>
    <w:rsid w:val="002B75A6"/>
    <w:rsid w:val="002B7E70"/>
    <w:rsid w:val="002C0174"/>
    <w:rsid w:val="002C0631"/>
    <w:rsid w:val="002C06D9"/>
    <w:rsid w:val="002C0B7C"/>
    <w:rsid w:val="002C0FDA"/>
    <w:rsid w:val="002C134B"/>
    <w:rsid w:val="002C1560"/>
    <w:rsid w:val="002C1B0E"/>
    <w:rsid w:val="002C388C"/>
    <w:rsid w:val="002C39D3"/>
    <w:rsid w:val="002C3EFB"/>
    <w:rsid w:val="002C3F70"/>
    <w:rsid w:val="002C43FA"/>
    <w:rsid w:val="002C4C70"/>
    <w:rsid w:val="002C502E"/>
    <w:rsid w:val="002C5EF9"/>
    <w:rsid w:val="002C6346"/>
    <w:rsid w:val="002C6676"/>
    <w:rsid w:val="002D004B"/>
    <w:rsid w:val="002D03F5"/>
    <w:rsid w:val="002D0919"/>
    <w:rsid w:val="002D1ED2"/>
    <w:rsid w:val="002D35C3"/>
    <w:rsid w:val="002D38E1"/>
    <w:rsid w:val="002D5281"/>
    <w:rsid w:val="002D5452"/>
    <w:rsid w:val="002D6103"/>
    <w:rsid w:val="002D667D"/>
    <w:rsid w:val="002D7B19"/>
    <w:rsid w:val="002E194E"/>
    <w:rsid w:val="002E19CA"/>
    <w:rsid w:val="002E1A38"/>
    <w:rsid w:val="002E2042"/>
    <w:rsid w:val="002E3A9E"/>
    <w:rsid w:val="002E3E36"/>
    <w:rsid w:val="002E41B2"/>
    <w:rsid w:val="002E5056"/>
    <w:rsid w:val="002E593E"/>
    <w:rsid w:val="002E5A4B"/>
    <w:rsid w:val="002E7173"/>
    <w:rsid w:val="002E7FB4"/>
    <w:rsid w:val="002F0421"/>
    <w:rsid w:val="002F0A08"/>
    <w:rsid w:val="002F1412"/>
    <w:rsid w:val="002F1494"/>
    <w:rsid w:val="002F25DF"/>
    <w:rsid w:val="002F2721"/>
    <w:rsid w:val="002F275C"/>
    <w:rsid w:val="002F2B8A"/>
    <w:rsid w:val="002F2EF4"/>
    <w:rsid w:val="002F3197"/>
    <w:rsid w:val="002F3892"/>
    <w:rsid w:val="002F3E5E"/>
    <w:rsid w:val="002F440C"/>
    <w:rsid w:val="002F4421"/>
    <w:rsid w:val="002F4B5C"/>
    <w:rsid w:val="002F4C01"/>
    <w:rsid w:val="002F4EDA"/>
    <w:rsid w:val="002F65DC"/>
    <w:rsid w:val="002F6720"/>
    <w:rsid w:val="002F6C44"/>
    <w:rsid w:val="002F7879"/>
    <w:rsid w:val="00300089"/>
    <w:rsid w:val="00300169"/>
    <w:rsid w:val="0030018A"/>
    <w:rsid w:val="003016CE"/>
    <w:rsid w:val="00301E1A"/>
    <w:rsid w:val="00302960"/>
    <w:rsid w:val="003030BE"/>
    <w:rsid w:val="00303885"/>
    <w:rsid w:val="00303A1D"/>
    <w:rsid w:val="00303A8A"/>
    <w:rsid w:val="00303BBE"/>
    <w:rsid w:val="00303FD9"/>
    <w:rsid w:val="00304090"/>
    <w:rsid w:val="00304C6E"/>
    <w:rsid w:val="00305DAC"/>
    <w:rsid w:val="0030649C"/>
    <w:rsid w:val="0030678F"/>
    <w:rsid w:val="003074DA"/>
    <w:rsid w:val="00310847"/>
    <w:rsid w:val="00311E04"/>
    <w:rsid w:val="00311FD0"/>
    <w:rsid w:val="00312119"/>
    <w:rsid w:val="003127A9"/>
    <w:rsid w:val="00312B72"/>
    <w:rsid w:val="00312C11"/>
    <w:rsid w:val="003139DB"/>
    <w:rsid w:val="00314193"/>
    <w:rsid w:val="0031454C"/>
    <w:rsid w:val="003163CD"/>
    <w:rsid w:val="00316C4E"/>
    <w:rsid w:val="00316E0E"/>
    <w:rsid w:val="003175A8"/>
    <w:rsid w:val="003202DF"/>
    <w:rsid w:val="00320374"/>
    <w:rsid w:val="00320868"/>
    <w:rsid w:val="00321528"/>
    <w:rsid w:val="00321CE6"/>
    <w:rsid w:val="00321E5A"/>
    <w:rsid w:val="00322622"/>
    <w:rsid w:val="00323B48"/>
    <w:rsid w:val="00324640"/>
    <w:rsid w:val="00324EC6"/>
    <w:rsid w:val="00325532"/>
    <w:rsid w:val="00325997"/>
    <w:rsid w:val="003260A3"/>
    <w:rsid w:val="00327112"/>
    <w:rsid w:val="00327F85"/>
    <w:rsid w:val="00330E95"/>
    <w:rsid w:val="00330FDF"/>
    <w:rsid w:val="0033172B"/>
    <w:rsid w:val="0033375A"/>
    <w:rsid w:val="0033419E"/>
    <w:rsid w:val="00337F18"/>
    <w:rsid w:val="00340B37"/>
    <w:rsid w:val="00340C3D"/>
    <w:rsid w:val="00340D8D"/>
    <w:rsid w:val="00341592"/>
    <w:rsid w:val="00342394"/>
    <w:rsid w:val="00342B79"/>
    <w:rsid w:val="00342C47"/>
    <w:rsid w:val="0034311C"/>
    <w:rsid w:val="00343CC4"/>
    <w:rsid w:val="00343E1A"/>
    <w:rsid w:val="00343F30"/>
    <w:rsid w:val="00345D06"/>
    <w:rsid w:val="003468B0"/>
    <w:rsid w:val="003471C7"/>
    <w:rsid w:val="003479D1"/>
    <w:rsid w:val="0035131E"/>
    <w:rsid w:val="00351AC6"/>
    <w:rsid w:val="00351AD9"/>
    <w:rsid w:val="00352D48"/>
    <w:rsid w:val="00353938"/>
    <w:rsid w:val="00353BA8"/>
    <w:rsid w:val="00353C82"/>
    <w:rsid w:val="00354455"/>
    <w:rsid w:val="00354501"/>
    <w:rsid w:val="003549BB"/>
    <w:rsid w:val="00355C98"/>
    <w:rsid w:val="0035608E"/>
    <w:rsid w:val="003562D3"/>
    <w:rsid w:val="00356509"/>
    <w:rsid w:val="003568A3"/>
    <w:rsid w:val="003569F6"/>
    <w:rsid w:val="00356D32"/>
    <w:rsid w:val="003574D7"/>
    <w:rsid w:val="00357FB9"/>
    <w:rsid w:val="0036030C"/>
    <w:rsid w:val="0036082A"/>
    <w:rsid w:val="00362851"/>
    <w:rsid w:val="00364022"/>
    <w:rsid w:val="003641A3"/>
    <w:rsid w:val="003641C9"/>
    <w:rsid w:val="00364E6A"/>
    <w:rsid w:val="00365D90"/>
    <w:rsid w:val="0036726C"/>
    <w:rsid w:val="00367CF0"/>
    <w:rsid w:val="00370C43"/>
    <w:rsid w:val="00371BA9"/>
    <w:rsid w:val="00371C8D"/>
    <w:rsid w:val="00371F1E"/>
    <w:rsid w:val="003728A5"/>
    <w:rsid w:val="0037297B"/>
    <w:rsid w:val="00373FBC"/>
    <w:rsid w:val="00374EAF"/>
    <w:rsid w:val="00375320"/>
    <w:rsid w:val="003764C4"/>
    <w:rsid w:val="003765AB"/>
    <w:rsid w:val="00376F39"/>
    <w:rsid w:val="0037717E"/>
    <w:rsid w:val="0037789C"/>
    <w:rsid w:val="003779B8"/>
    <w:rsid w:val="003805C1"/>
    <w:rsid w:val="00380900"/>
    <w:rsid w:val="00380CE2"/>
    <w:rsid w:val="00381F87"/>
    <w:rsid w:val="00382342"/>
    <w:rsid w:val="00383933"/>
    <w:rsid w:val="0038589D"/>
    <w:rsid w:val="003861C7"/>
    <w:rsid w:val="00391DA2"/>
    <w:rsid w:val="00392915"/>
    <w:rsid w:val="00392967"/>
    <w:rsid w:val="00393134"/>
    <w:rsid w:val="00393BB6"/>
    <w:rsid w:val="00393E42"/>
    <w:rsid w:val="00396407"/>
    <w:rsid w:val="003968BD"/>
    <w:rsid w:val="0039705F"/>
    <w:rsid w:val="003A21A4"/>
    <w:rsid w:val="003A2B4C"/>
    <w:rsid w:val="003A2B83"/>
    <w:rsid w:val="003A3B6B"/>
    <w:rsid w:val="003A40D1"/>
    <w:rsid w:val="003A423E"/>
    <w:rsid w:val="003A4848"/>
    <w:rsid w:val="003A69A0"/>
    <w:rsid w:val="003A723E"/>
    <w:rsid w:val="003A7FB5"/>
    <w:rsid w:val="003B065F"/>
    <w:rsid w:val="003B0F6E"/>
    <w:rsid w:val="003B22D1"/>
    <w:rsid w:val="003B3276"/>
    <w:rsid w:val="003B3933"/>
    <w:rsid w:val="003B3E6E"/>
    <w:rsid w:val="003B43F9"/>
    <w:rsid w:val="003B4C75"/>
    <w:rsid w:val="003B5C1F"/>
    <w:rsid w:val="003B5CFA"/>
    <w:rsid w:val="003B5F1A"/>
    <w:rsid w:val="003B6019"/>
    <w:rsid w:val="003B6549"/>
    <w:rsid w:val="003B6688"/>
    <w:rsid w:val="003B6E6D"/>
    <w:rsid w:val="003B718E"/>
    <w:rsid w:val="003B79F2"/>
    <w:rsid w:val="003C0369"/>
    <w:rsid w:val="003C073C"/>
    <w:rsid w:val="003C0B09"/>
    <w:rsid w:val="003C0F08"/>
    <w:rsid w:val="003C1A80"/>
    <w:rsid w:val="003C1ECD"/>
    <w:rsid w:val="003C2AE9"/>
    <w:rsid w:val="003C324C"/>
    <w:rsid w:val="003C3528"/>
    <w:rsid w:val="003C35E0"/>
    <w:rsid w:val="003C3AA2"/>
    <w:rsid w:val="003C5420"/>
    <w:rsid w:val="003C5662"/>
    <w:rsid w:val="003C5A5B"/>
    <w:rsid w:val="003C6538"/>
    <w:rsid w:val="003C69E3"/>
    <w:rsid w:val="003D0F7C"/>
    <w:rsid w:val="003D1917"/>
    <w:rsid w:val="003D234F"/>
    <w:rsid w:val="003D2B27"/>
    <w:rsid w:val="003D32B8"/>
    <w:rsid w:val="003D36AC"/>
    <w:rsid w:val="003D48FE"/>
    <w:rsid w:val="003D4D4F"/>
    <w:rsid w:val="003D5672"/>
    <w:rsid w:val="003D5CA0"/>
    <w:rsid w:val="003D62C9"/>
    <w:rsid w:val="003D6C91"/>
    <w:rsid w:val="003E1092"/>
    <w:rsid w:val="003E13AC"/>
    <w:rsid w:val="003E17D8"/>
    <w:rsid w:val="003E2BC4"/>
    <w:rsid w:val="003E362B"/>
    <w:rsid w:val="003E442A"/>
    <w:rsid w:val="003E44E6"/>
    <w:rsid w:val="003E61AD"/>
    <w:rsid w:val="003E6A65"/>
    <w:rsid w:val="003E70F7"/>
    <w:rsid w:val="003E76D1"/>
    <w:rsid w:val="003F022C"/>
    <w:rsid w:val="003F0663"/>
    <w:rsid w:val="003F1B03"/>
    <w:rsid w:val="003F1ED9"/>
    <w:rsid w:val="003F1F5E"/>
    <w:rsid w:val="003F27B1"/>
    <w:rsid w:val="003F2BDD"/>
    <w:rsid w:val="003F2E17"/>
    <w:rsid w:val="003F2F78"/>
    <w:rsid w:val="003F3679"/>
    <w:rsid w:val="003F3B7D"/>
    <w:rsid w:val="003F4267"/>
    <w:rsid w:val="003F4317"/>
    <w:rsid w:val="003F43A7"/>
    <w:rsid w:val="003F4553"/>
    <w:rsid w:val="003F52C5"/>
    <w:rsid w:val="003F5E9F"/>
    <w:rsid w:val="003F6041"/>
    <w:rsid w:val="003F654F"/>
    <w:rsid w:val="003F6925"/>
    <w:rsid w:val="003F6ABF"/>
    <w:rsid w:val="003F6FF4"/>
    <w:rsid w:val="00400203"/>
    <w:rsid w:val="00400AD4"/>
    <w:rsid w:val="00400C95"/>
    <w:rsid w:val="004018A1"/>
    <w:rsid w:val="00401A84"/>
    <w:rsid w:val="00402F29"/>
    <w:rsid w:val="004030B6"/>
    <w:rsid w:val="00403FC8"/>
    <w:rsid w:val="00404A75"/>
    <w:rsid w:val="00405115"/>
    <w:rsid w:val="00406725"/>
    <w:rsid w:val="00406A2E"/>
    <w:rsid w:val="00406A44"/>
    <w:rsid w:val="00406C2B"/>
    <w:rsid w:val="0040757D"/>
    <w:rsid w:val="0040769A"/>
    <w:rsid w:val="00407B8B"/>
    <w:rsid w:val="00407EF5"/>
    <w:rsid w:val="004120FF"/>
    <w:rsid w:val="004131C2"/>
    <w:rsid w:val="0041339C"/>
    <w:rsid w:val="004136D9"/>
    <w:rsid w:val="00414138"/>
    <w:rsid w:val="004146A4"/>
    <w:rsid w:val="00416492"/>
    <w:rsid w:val="00416C65"/>
    <w:rsid w:val="0041717B"/>
    <w:rsid w:val="004208E9"/>
    <w:rsid w:val="00420DF4"/>
    <w:rsid w:val="00421286"/>
    <w:rsid w:val="004214D0"/>
    <w:rsid w:val="00421AFD"/>
    <w:rsid w:val="00422DBE"/>
    <w:rsid w:val="00423AC1"/>
    <w:rsid w:val="004245A0"/>
    <w:rsid w:val="00425492"/>
    <w:rsid w:val="004270E7"/>
    <w:rsid w:val="00427E19"/>
    <w:rsid w:val="00430C9E"/>
    <w:rsid w:val="004310C6"/>
    <w:rsid w:val="00431471"/>
    <w:rsid w:val="004315D9"/>
    <w:rsid w:val="00432724"/>
    <w:rsid w:val="00432DE8"/>
    <w:rsid w:val="00433C7E"/>
    <w:rsid w:val="004347A9"/>
    <w:rsid w:val="00434997"/>
    <w:rsid w:val="00434A31"/>
    <w:rsid w:val="00434ADA"/>
    <w:rsid w:val="004365E4"/>
    <w:rsid w:val="004375E4"/>
    <w:rsid w:val="00437607"/>
    <w:rsid w:val="0043766F"/>
    <w:rsid w:val="0044047D"/>
    <w:rsid w:val="0044047F"/>
    <w:rsid w:val="004415DE"/>
    <w:rsid w:val="00441A88"/>
    <w:rsid w:val="00441D8E"/>
    <w:rsid w:val="004430F2"/>
    <w:rsid w:val="00443AAB"/>
    <w:rsid w:val="00443CA3"/>
    <w:rsid w:val="00443DAA"/>
    <w:rsid w:val="00445E1B"/>
    <w:rsid w:val="0044674B"/>
    <w:rsid w:val="0045293C"/>
    <w:rsid w:val="004536C2"/>
    <w:rsid w:val="00453D71"/>
    <w:rsid w:val="00454370"/>
    <w:rsid w:val="00454926"/>
    <w:rsid w:val="00454C73"/>
    <w:rsid w:val="00455348"/>
    <w:rsid w:val="004556AE"/>
    <w:rsid w:val="00457739"/>
    <w:rsid w:val="00457B96"/>
    <w:rsid w:val="00460D00"/>
    <w:rsid w:val="00460D19"/>
    <w:rsid w:val="0046173E"/>
    <w:rsid w:val="004621C8"/>
    <w:rsid w:val="0046290A"/>
    <w:rsid w:val="00462F92"/>
    <w:rsid w:val="004631B4"/>
    <w:rsid w:val="00464438"/>
    <w:rsid w:val="00465E3A"/>
    <w:rsid w:val="004669E9"/>
    <w:rsid w:val="00467808"/>
    <w:rsid w:val="00467E0F"/>
    <w:rsid w:val="00470441"/>
    <w:rsid w:val="00470F6C"/>
    <w:rsid w:val="00471044"/>
    <w:rsid w:val="00471C12"/>
    <w:rsid w:val="00471F4F"/>
    <w:rsid w:val="00471F65"/>
    <w:rsid w:val="0047281D"/>
    <w:rsid w:val="004732C2"/>
    <w:rsid w:val="00473811"/>
    <w:rsid w:val="00474549"/>
    <w:rsid w:val="0047463A"/>
    <w:rsid w:val="00475303"/>
    <w:rsid w:val="004753BC"/>
    <w:rsid w:val="0047544D"/>
    <w:rsid w:val="00475B63"/>
    <w:rsid w:val="004760F4"/>
    <w:rsid w:val="004772AD"/>
    <w:rsid w:val="004779AD"/>
    <w:rsid w:val="00480C96"/>
    <w:rsid w:val="00481724"/>
    <w:rsid w:val="0048184F"/>
    <w:rsid w:val="00482A31"/>
    <w:rsid w:val="00482B01"/>
    <w:rsid w:val="00483AAC"/>
    <w:rsid w:val="00484FBA"/>
    <w:rsid w:val="00485089"/>
    <w:rsid w:val="00485890"/>
    <w:rsid w:val="00486B0D"/>
    <w:rsid w:val="00486D90"/>
    <w:rsid w:val="00487AC5"/>
    <w:rsid w:val="00487F88"/>
    <w:rsid w:val="00490FDB"/>
    <w:rsid w:val="0049146C"/>
    <w:rsid w:val="00491910"/>
    <w:rsid w:val="00491A63"/>
    <w:rsid w:val="0049279A"/>
    <w:rsid w:val="00492D14"/>
    <w:rsid w:val="00493213"/>
    <w:rsid w:val="00493676"/>
    <w:rsid w:val="00494B99"/>
    <w:rsid w:val="00496E22"/>
    <w:rsid w:val="0049717C"/>
    <w:rsid w:val="00497364"/>
    <w:rsid w:val="00497804"/>
    <w:rsid w:val="004A0107"/>
    <w:rsid w:val="004A02F8"/>
    <w:rsid w:val="004A059E"/>
    <w:rsid w:val="004A0A9B"/>
    <w:rsid w:val="004A0B23"/>
    <w:rsid w:val="004A11AA"/>
    <w:rsid w:val="004A17F6"/>
    <w:rsid w:val="004A1A56"/>
    <w:rsid w:val="004A25C2"/>
    <w:rsid w:val="004A289A"/>
    <w:rsid w:val="004A3256"/>
    <w:rsid w:val="004A386B"/>
    <w:rsid w:val="004A5808"/>
    <w:rsid w:val="004A7020"/>
    <w:rsid w:val="004B026D"/>
    <w:rsid w:val="004B0404"/>
    <w:rsid w:val="004B0535"/>
    <w:rsid w:val="004B10DB"/>
    <w:rsid w:val="004B1130"/>
    <w:rsid w:val="004B19BB"/>
    <w:rsid w:val="004B1A37"/>
    <w:rsid w:val="004B355E"/>
    <w:rsid w:val="004B4CD8"/>
    <w:rsid w:val="004C0012"/>
    <w:rsid w:val="004C1E33"/>
    <w:rsid w:val="004C4371"/>
    <w:rsid w:val="004C4A87"/>
    <w:rsid w:val="004C4AEF"/>
    <w:rsid w:val="004C4B04"/>
    <w:rsid w:val="004C514B"/>
    <w:rsid w:val="004C5DD4"/>
    <w:rsid w:val="004C62CE"/>
    <w:rsid w:val="004C6351"/>
    <w:rsid w:val="004C7487"/>
    <w:rsid w:val="004C7EF7"/>
    <w:rsid w:val="004C7FB6"/>
    <w:rsid w:val="004D0993"/>
    <w:rsid w:val="004D09BE"/>
    <w:rsid w:val="004D218F"/>
    <w:rsid w:val="004D2C9D"/>
    <w:rsid w:val="004D36E3"/>
    <w:rsid w:val="004D3980"/>
    <w:rsid w:val="004D4B08"/>
    <w:rsid w:val="004D4C66"/>
    <w:rsid w:val="004D6CF0"/>
    <w:rsid w:val="004E0821"/>
    <w:rsid w:val="004E0DB0"/>
    <w:rsid w:val="004E1A01"/>
    <w:rsid w:val="004E1A70"/>
    <w:rsid w:val="004E1B49"/>
    <w:rsid w:val="004E1BD8"/>
    <w:rsid w:val="004E22C0"/>
    <w:rsid w:val="004E3773"/>
    <w:rsid w:val="004E3A8C"/>
    <w:rsid w:val="004E4FCC"/>
    <w:rsid w:val="004E533F"/>
    <w:rsid w:val="004E5374"/>
    <w:rsid w:val="004E5548"/>
    <w:rsid w:val="004E5B42"/>
    <w:rsid w:val="004E5BD2"/>
    <w:rsid w:val="004E6439"/>
    <w:rsid w:val="004E7189"/>
    <w:rsid w:val="004E7773"/>
    <w:rsid w:val="004F0B6B"/>
    <w:rsid w:val="004F18CE"/>
    <w:rsid w:val="004F18D5"/>
    <w:rsid w:val="004F1E98"/>
    <w:rsid w:val="004F23A4"/>
    <w:rsid w:val="004F2E62"/>
    <w:rsid w:val="004F35E5"/>
    <w:rsid w:val="004F39F9"/>
    <w:rsid w:val="004F3C9A"/>
    <w:rsid w:val="004F3CA1"/>
    <w:rsid w:val="004F409D"/>
    <w:rsid w:val="004F443B"/>
    <w:rsid w:val="004F4913"/>
    <w:rsid w:val="004F5E19"/>
    <w:rsid w:val="004F620C"/>
    <w:rsid w:val="004F65C2"/>
    <w:rsid w:val="004F675C"/>
    <w:rsid w:val="00500E3B"/>
    <w:rsid w:val="00501295"/>
    <w:rsid w:val="005023D2"/>
    <w:rsid w:val="00502555"/>
    <w:rsid w:val="00503307"/>
    <w:rsid w:val="005043E7"/>
    <w:rsid w:val="005047B5"/>
    <w:rsid w:val="00504DE9"/>
    <w:rsid w:val="0050504E"/>
    <w:rsid w:val="005059A0"/>
    <w:rsid w:val="005060A1"/>
    <w:rsid w:val="005067AB"/>
    <w:rsid w:val="00506B4A"/>
    <w:rsid w:val="00510437"/>
    <w:rsid w:val="005105B2"/>
    <w:rsid w:val="00510D96"/>
    <w:rsid w:val="00511424"/>
    <w:rsid w:val="00511442"/>
    <w:rsid w:val="0051157D"/>
    <w:rsid w:val="00511C8E"/>
    <w:rsid w:val="00513D3A"/>
    <w:rsid w:val="005149C7"/>
    <w:rsid w:val="00515CB6"/>
    <w:rsid w:val="00516769"/>
    <w:rsid w:val="00517C4B"/>
    <w:rsid w:val="00521221"/>
    <w:rsid w:val="00522794"/>
    <w:rsid w:val="0052298E"/>
    <w:rsid w:val="00523293"/>
    <w:rsid w:val="0052403B"/>
    <w:rsid w:val="0052411C"/>
    <w:rsid w:val="00524A21"/>
    <w:rsid w:val="00525054"/>
    <w:rsid w:val="0052553D"/>
    <w:rsid w:val="0052563B"/>
    <w:rsid w:val="005263B5"/>
    <w:rsid w:val="00526E94"/>
    <w:rsid w:val="005272F9"/>
    <w:rsid w:val="00530959"/>
    <w:rsid w:val="00530B54"/>
    <w:rsid w:val="00531121"/>
    <w:rsid w:val="00532584"/>
    <w:rsid w:val="0053300A"/>
    <w:rsid w:val="00533E7A"/>
    <w:rsid w:val="005358B9"/>
    <w:rsid w:val="00536707"/>
    <w:rsid w:val="00536ABE"/>
    <w:rsid w:val="005376AD"/>
    <w:rsid w:val="00541C0D"/>
    <w:rsid w:val="0054250D"/>
    <w:rsid w:val="00542AF9"/>
    <w:rsid w:val="005430DC"/>
    <w:rsid w:val="005440D1"/>
    <w:rsid w:val="005455C1"/>
    <w:rsid w:val="00545AA9"/>
    <w:rsid w:val="00546406"/>
    <w:rsid w:val="00546A22"/>
    <w:rsid w:val="005474D2"/>
    <w:rsid w:val="0055029C"/>
    <w:rsid w:val="00550638"/>
    <w:rsid w:val="00551661"/>
    <w:rsid w:val="00552834"/>
    <w:rsid w:val="00552EA6"/>
    <w:rsid w:val="005541D8"/>
    <w:rsid w:val="0055450D"/>
    <w:rsid w:val="00554CE1"/>
    <w:rsid w:val="00555B14"/>
    <w:rsid w:val="005562E7"/>
    <w:rsid w:val="00557427"/>
    <w:rsid w:val="00557C3A"/>
    <w:rsid w:val="00557F98"/>
    <w:rsid w:val="00557FD3"/>
    <w:rsid w:val="0056140F"/>
    <w:rsid w:val="0056147E"/>
    <w:rsid w:val="00561C4D"/>
    <w:rsid w:val="00561C94"/>
    <w:rsid w:val="00561E1F"/>
    <w:rsid w:val="00561EFB"/>
    <w:rsid w:val="00562165"/>
    <w:rsid w:val="0056287C"/>
    <w:rsid w:val="00562EA7"/>
    <w:rsid w:val="0056307F"/>
    <w:rsid w:val="0056358E"/>
    <w:rsid w:val="00564393"/>
    <w:rsid w:val="0056479B"/>
    <w:rsid w:val="00564DAF"/>
    <w:rsid w:val="0056535D"/>
    <w:rsid w:val="00565403"/>
    <w:rsid w:val="005657DD"/>
    <w:rsid w:val="00565937"/>
    <w:rsid w:val="005668DD"/>
    <w:rsid w:val="005675BE"/>
    <w:rsid w:val="005675ED"/>
    <w:rsid w:val="00567900"/>
    <w:rsid w:val="00567A11"/>
    <w:rsid w:val="005707A1"/>
    <w:rsid w:val="00570A97"/>
    <w:rsid w:val="00570DBE"/>
    <w:rsid w:val="0057117E"/>
    <w:rsid w:val="0057122D"/>
    <w:rsid w:val="005717C2"/>
    <w:rsid w:val="005723E5"/>
    <w:rsid w:val="00572988"/>
    <w:rsid w:val="0057318D"/>
    <w:rsid w:val="00573AA7"/>
    <w:rsid w:val="00574187"/>
    <w:rsid w:val="005746D7"/>
    <w:rsid w:val="00574768"/>
    <w:rsid w:val="005777DA"/>
    <w:rsid w:val="00577F52"/>
    <w:rsid w:val="005802CA"/>
    <w:rsid w:val="0058133E"/>
    <w:rsid w:val="005827A8"/>
    <w:rsid w:val="00582960"/>
    <w:rsid w:val="005844E9"/>
    <w:rsid w:val="00584D1C"/>
    <w:rsid w:val="00587A05"/>
    <w:rsid w:val="005900AF"/>
    <w:rsid w:val="005916CB"/>
    <w:rsid w:val="00591C82"/>
    <w:rsid w:val="00593080"/>
    <w:rsid w:val="005935CB"/>
    <w:rsid w:val="00593A4E"/>
    <w:rsid w:val="00594232"/>
    <w:rsid w:val="005A0859"/>
    <w:rsid w:val="005A0B08"/>
    <w:rsid w:val="005A2730"/>
    <w:rsid w:val="005A2DE4"/>
    <w:rsid w:val="005A320B"/>
    <w:rsid w:val="005A3C2E"/>
    <w:rsid w:val="005A3DB9"/>
    <w:rsid w:val="005A4358"/>
    <w:rsid w:val="005A4C8A"/>
    <w:rsid w:val="005A5657"/>
    <w:rsid w:val="005A5BAF"/>
    <w:rsid w:val="005A7191"/>
    <w:rsid w:val="005A7867"/>
    <w:rsid w:val="005A7C02"/>
    <w:rsid w:val="005A7F07"/>
    <w:rsid w:val="005B0166"/>
    <w:rsid w:val="005B0F74"/>
    <w:rsid w:val="005B198B"/>
    <w:rsid w:val="005B1EA8"/>
    <w:rsid w:val="005B332B"/>
    <w:rsid w:val="005B370A"/>
    <w:rsid w:val="005B3B0D"/>
    <w:rsid w:val="005B417A"/>
    <w:rsid w:val="005B4C49"/>
    <w:rsid w:val="005B540D"/>
    <w:rsid w:val="005B5712"/>
    <w:rsid w:val="005B59B4"/>
    <w:rsid w:val="005B6192"/>
    <w:rsid w:val="005B782B"/>
    <w:rsid w:val="005B79AE"/>
    <w:rsid w:val="005B7B7B"/>
    <w:rsid w:val="005B7BE8"/>
    <w:rsid w:val="005C07EE"/>
    <w:rsid w:val="005C0835"/>
    <w:rsid w:val="005C0CD0"/>
    <w:rsid w:val="005C0D3F"/>
    <w:rsid w:val="005C2BD0"/>
    <w:rsid w:val="005C2E74"/>
    <w:rsid w:val="005C30DF"/>
    <w:rsid w:val="005C37C6"/>
    <w:rsid w:val="005C4F1A"/>
    <w:rsid w:val="005C5141"/>
    <w:rsid w:val="005C5B8D"/>
    <w:rsid w:val="005C6623"/>
    <w:rsid w:val="005C6848"/>
    <w:rsid w:val="005C691C"/>
    <w:rsid w:val="005C75CA"/>
    <w:rsid w:val="005D022A"/>
    <w:rsid w:val="005D0DD5"/>
    <w:rsid w:val="005D11F9"/>
    <w:rsid w:val="005D173A"/>
    <w:rsid w:val="005D3EE0"/>
    <w:rsid w:val="005D537B"/>
    <w:rsid w:val="005D5B48"/>
    <w:rsid w:val="005D6597"/>
    <w:rsid w:val="005D6C56"/>
    <w:rsid w:val="005E0039"/>
    <w:rsid w:val="005E029F"/>
    <w:rsid w:val="005E09C4"/>
    <w:rsid w:val="005E1B6F"/>
    <w:rsid w:val="005E2134"/>
    <w:rsid w:val="005E3BAC"/>
    <w:rsid w:val="005E47DB"/>
    <w:rsid w:val="005E78E7"/>
    <w:rsid w:val="005F03D9"/>
    <w:rsid w:val="005F0B39"/>
    <w:rsid w:val="005F15DE"/>
    <w:rsid w:val="005F196E"/>
    <w:rsid w:val="005F2195"/>
    <w:rsid w:val="005F27E1"/>
    <w:rsid w:val="005F2ECA"/>
    <w:rsid w:val="005F31E0"/>
    <w:rsid w:val="005F34E4"/>
    <w:rsid w:val="005F44F7"/>
    <w:rsid w:val="005F4BBD"/>
    <w:rsid w:val="005F686F"/>
    <w:rsid w:val="005F6BA0"/>
    <w:rsid w:val="005F6BC9"/>
    <w:rsid w:val="00600442"/>
    <w:rsid w:val="006008B6"/>
    <w:rsid w:val="00600E29"/>
    <w:rsid w:val="00601541"/>
    <w:rsid w:val="00601E5D"/>
    <w:rsid w:val="00601F5B"/>
    <w:rsid w:val="006020CD"/>
    <w:rsid w:val="0060232D"/>
    <w:rsid w:val="006024DC"/>
    <w:rsid w:val="00602A33"/>
    <w:rsid w:val="0060311A"/>
    <w:rsid w:val="006034FF"/>
    <w:rsid w:val="006038F4"/>
    <w:rsid w:val="00603FD3"/>
    <w:rsid w:val="00604906"/>
    <w:rsid w:val="00604A3F"/>
    <w:rsid w:val="00604BE5"/>
    <w:rsid w:val="006056E2"/>
    <w:rsid w:val="00605A44"/>
    <w:rsid w:val="00606140"/>
    <w:rsid w:val="00606897"/>
    <w:rsid w:val="006072AB"/>
    <w:rsid w:val="00610B7C"/>
    <w:rsid w:val="006114BE"/>
    <w:rsid w:val="006115C0"/>
    <w:rsid w:val="00612293"/>
    <w:rsid w:val="0061333B"/>
    <w:rsid w:val="00613667"/>
    <w:rsid w:val="006139D8"/>
    <w:rsid w:val="00613B0B"/>
    <w:rsid w:val="00614A8C"/>
    <w:rsid w:val="00614BB9"/>
    <w:rsid w:val="006154A6"/>
    <w:rsid w:val="00615636"/>
    <w:rsid w:val="006161F3"/>
    <w:rsid w:val="00616AE2"/>
    <w:rsid w:val="00617B55"/>
    <w:rsid w:val="00617C7E"/>
    <w:rsid w:val="00617E6C"/>
    <w:rsid w:val="00617FAB"/>
    <w:rsid w:val="00620369"/>
    <w:rsid w:val="00620506"/>
    <w:rsid w:val="0062053A"/>
    <w:rsid w:val="006209FD"/>
    <w:rsid w:val="00621EB0"/>
    <w:rsid w:val="006220CB"/>
    <w:rsid w:val="006229F5"/>
    <w:rsid w:val="00624428"/>
    <w:rsid w:val="00624488"/>
    <w:rsid w:val="006248B8"/>
    <w:rsid w:val="00624AD0"/>
    <w:rsid w:val="00624DF6"/>
    <w:rsid w:val="00631020"/>
    <w:rsid w:val="006314BC"/>
    <w:rsid w:val="00631813"/>
    <w:rsid w:val="006328F7"/>
    <w:rsid w:val="00633AF1"/>
    <w:rsid w:val="006346E8"/>
    <w:rsid w:val="0063493E"/>
    <w:rsid w:val="00634991"/>
    <w:rsid w:val="006349FA"/>
    <w:rsid w:val="00637FA8"/>
    <w:rsid w:val="00637FCA"/>
    <w:rsid w:val="0064003D"/>
    <w:rsid w:val="00640E43"/>
    <w:rsid w:val="00641367"/>
    <w:rsid w:val="006413BA"/>
    <w:rsid w:val="00641E24"/>
    <w:rsid w:val="00642435"/>
    <w:rsid w:val="00644DB3"/>
    <w:rsid w:val="00644FCB"/>
    <w:rsid w:val="00645A5A"/>
    <w:rsid w:val="00645C9D"/>
    <w:rsid w:val="00646092"/>
    <w:rsid w:val="00646680"/>
    <w:rsid w:val="00646C48"/>
    <w:rsid w:val="00647FDC"/>
    <w:rsid w:val="0065120D"/>
    <w:rsid w:val="00651611"/>
    <w:rsid w:val="00652D33"/>
    <w:rsid w:val="00652DD5"/>
    <w:rsid w:val="00653192"/>
    <w:rsid w:val="006536DD"/>
    <w:rsid w:val="00653A66"/>
    <w:rsid w:val="006545C3"/>
    <w:rsid w:val="00654DC8"/>
    <w:rsid w:val="006574F6"/>
    <w:rsid w:val="00657F27"/>
    <w:rsid w:val="00657F5D"/>
    <w:rsid w:val="0066056B"/>
    <w:rsid w:val="0066058C"/>
    <w:rsid w:val="006619D4"/>
    <w:rsid w:val="00662194"/>
    <w:rsid w:val="00662CDD"/>
    <w:rsid w:val="00662FAD"/>
    <w:rsid w:val="00663888"/>
    <w:rsid w:val="00663892"/>
    <w:rsid w:val="006649C6"/>
    <w:rsid w:val="00665058"/>
    <w:rsid w:val="006655D6"/>
    <w:rsid w:val="00665860"/>
    <w:rsid w:val="0066596E"/>
    <w:rsid w:val="00666516"/>
    <w:rsid w:val="006668BB"/>
    <w:rsid w:val="00667903"/>
    <w:rsid w:val="00667C60"/>
    <w:rsid w:val="00667D53"/>
    <w:rsid w:val="00670455"/>
    <w:rsid w:val="00670AC9"/>
    <w:rsid w:val="00670D5F"/>
    <w:rsid w:val="00671494"/>
    <w:rsid w:val="0067183A"/>
    <w:rsid w:val="00671BDE"/>
    <w:rsid w:val="0067236D"/>
    <w:rsid w:val="006725CE"/>
    <w:rsid w:val="00672A08"/>
    <w:rsid w:val="006737B2"/>
    <w:rsid w:val="00673C1A"/>
    <w:rsid w:val="00673D46"/>
    <w:rsid w:val="00673F21"/>
    <w:rsid w:val="00674BD0"/>
    <w:rsid w:val="00674DD0"/>
    <w:rsid w:val="00675FBF"/>
    <w:rsid w:val="006766B9"/>
    <w:rsid w:val="00676957"/>
    <w:rsid w:val="00676BFF"/>
    <w:rsid w:val="006808AC"/>
    <w:rsid w:val="006811AF"/>
    <w:rsid w:val="00684DE6"/>
    <w:rsid w:val="00684F9B"/>
    <w:rsid w:val="0068519F"/>
    <w:rsid w:val="00685618"/>
    <w:rsid w:val="00685DD4"/>
    <w:rsid w:val="0068724E"/>
    <w:rsid w:val="006873C5"/>
    <w:rsid w:val="0068782F"/>
    <w:rsid w:val="006910C4"/>
    <w:rsid w:val="00691EF2"/>
    <w:rsid w:val="006930AF"/>
    <w:rsid w:val="0069376E"/>
    <w:rsid w:val="00693F16"/>
    <w:rsid w:val="006945BE"/>
    <w:rsid w:val="006946D4"/>
    <w:rsid w:val="00694A4E"/>
    <w:rsid w:val="00694C26"/>
    <w:rsid w:val="00695473"/>
    <w:rsid w:val="0069562B"/>
    <w:rsid w:val="00695C5D"/>
    <w:rsid w:val="00696067"/>
    <w:rsid w:val="00696D7E"/>
    <w:rsid w:val="006A1050"/>
    <w:rsid w:val="006A157E"/>
    <w:rsid w:val="006A163B"/>
    <w:rsid w:val="006A1751"/>
    <w:rsid w:val="006A38C6"/>
    <w:rsid w:val="006A3BAD"/>
    <w:rsid w:val="006A4886"/>
    <w:rsid w:val="006A490E"/>
    <w:rsid w:val="006A5831"/>
    <w:rsid w:val="006B2377"/>
    <w:rsid w:val="006B3ED6"/>
    <w:rsid w:val="006B4765"/>
    <w:rsid w:val="006B4F57"/>
    <w:rsid w:val="006B5346"/>
    <w:rsid w:val="006B57B7"/>
    <w:rsid w:val="006B6901"/>
    <w:rsid w:val="006B69A0"/>
    <w:rsid w:val="006B701C"/>
    <w:rsid w:val="006C0199"/>
    <w:rsid w:val="006C028D"/>
    <w:rsid w:val="006C0B45"/>
    <w:rsid w:val="006C112B"/>
    <w:rsid w:val="006C1704"/>
    <w:rsid w:val="006C2609"/>
    <w:rsid w:val="006C2CA0"/>
    <w:rsid w:val="006C31E4"/>
    <w:rsid w:val="006C3C51"/>
    <w:rsid w:val="006C3E59"/>
    <w:rsid w:val="006C4031"/>
    <w:rsid w:val="006C409F"/>
    <w:rsid w:val="006C56AF"/>
    <w:rsid w:val="006C6409"/>
    <w:rsid w:val="006C7E65"/>
    <w:rsid w:val="006D04AC"/>
    <w:rsid w:val="006D06B2"/>
    <w:rsid w:val="006D2054"/>
    <w:rsid w:val="006D3F48"/>
    <w:rsid w:val="006D411A"/>
    <w:rsid w:val="006D4224"/>
    <w:rsid w:val="006D42BE"/>
    <w:rsid w:val="006D4478"/>
    <w:rsid w:val="006D48AE"/>
    <w:rsid w:val="006D4F27"/>
    <w:rsid w:val="006D50F9"/>
    <w:rsid w:val="006D5657"/>
    <w:rsid w:val="006D5A53"/>
    <w:rsid w:val="006D701D"/>
    <w:rsid w:val="006D7E1A"/>
    <w:rsid w:val="006D7E34"/>
    <w:rsid w:val="006E027C"/>
    <w:rsid w:val="006E0C9D"/>
    <w:rsid w:val="006E156A"/>
    <w:rsid w:val="006E22DE"/>
    <w:rsid w:val="006E2E52"/>
    <w:rsid w:val="006E30C9"/>
    <w:rsid w:val="006E3608"/>
    <w:rsid w:val="006E36BE"/>
    <w:rsid w:val="006E3860"/>
    <w:rsid w:val="006E3B09"/>
    <w:rsid w:val="006E3D9B"/>
    <w:rsid w:val="006E3F16"/>
    <w:rsid w:val="006E412D"/>
    <w:rsid w:val="006E483D"/>
    <w:rsid w:val="006E526C"/>
    <w:rsid w:val="006E54FF"/>
    <w:rsid w:val="006E61FC"/>
    <w:rsid w:val="006E6574"/>
    <w:rsid w:val="006E6CB6"/>
    <w:rsid w:val="006E6DB4"/>
    <w:rsid w:val="006E6FBE"/>
    <w:rsid w:val="006E6FDD"/>
    <w:rsid w:val="006E782A"/>
    <w:rsid w:val="006E7A2C"/>
    <w:rsid w:val="006E7CD5"/>
    <w:rsid w:val="006F0066"/>
    <w:rsid w:val="006F0D8C"/>
    <w:rsid w:val="006F1CB5"/>
    <w:rsid w:val="006F3805"/>
    <w:rsid w:val="006F3DBF"/>
    <w:rsid w:val="006F42AF"/>
    <w:rsid w:val="006F4899"/>
    <w:rsid w:val="006F51D7"/>
    <w:rsid w:val="006F6135"/>
    <w:rsid w:val="006F66B6"/>
    <w:rsid w:val="006F7E28"/>
    <w:rsid w:val="00700DEC"/>
    <w:rsid w:val="00701E83"/>
    <w:rsid w:val="00701EBA"/>
    <w:rsid w:val="00702774"/>
    <w:rsid w:val="00703D67"/>
    <w:rsid w:val="0070462E"/>
    <w:rsid w:val="00704A8C"/>
    <w:rsid w:val="00705F28"/>
    <w:rsid w:val="00707662"/>
    <w:rsid w:val="007077FD"/>
    <w:rsid w:val="007101B9"/>
    <w:rsid w:val="0071024C"/>
    <w:rsid w:val="00710AF8"/>
    <w:rsid w:val="00711C72"/>
    <w:rsid w:val="007126C2"/>
    <w:rsid w:val="0071406F"/>
    <w:rsid w:val="0071466F"/>
    <w:rsid w:val="00714E9E"/>
    <w:rsid w:val="00715AD9"/>
    <w:rsid w:val="00715AE8"/>
    <w:rsid w:val="0071642F"/>
    <w:rsid w:val="00716849"/>
    <w:rsid w:val="00716C61"/>
    <w:rsid w:val="00716DD5"/>
    <w:rsid w:val="00717717"/>
    <w:rsid w:val="00717B67"/>
    <w:rsid w:val="00717FAB"/>
    <w:rsid w:val="007201B0"/>
    <w:rsid w:val="00720A45"/>
    <w:rsid w:val="00720BD3"/>
    <w:rsid w:val="00720EAF"/>
    <w:rsid w:val="007217AB"/>
    <w:rsid w:val="0072369D"/>
    <w:rsid w:val="007244E0"/>
    <w:rsid w:val="00725CBF"/>
    <w:rsid w:val="00726EF7"/>
    <w:rsid w:val="007273F3"/>
    <w:rsid w:val="007277A7"/>
    <w:rsid w:val="00727E24"/>
    <w:rsid w:val="007306BF"/>
    <w:rsid w:val="00731617"/>
    <w:rsid w:val="00731B34"/>
    <w:rsid w:val="0073228F"/>
    <w:rsid w:val="00732E36"/>
    <w:rsid w:val="00732EDE"/>
    <w:rsid w:val="0073396C"/>
    <w:rsid w:val="00733EFA"/>
    <w:rsid w:val="007347B3"/>
    <w:rsid w:val="0073587A"/>
    <w:rsid w:val="00736076"/>
    <w:rsid w:val="00736789"/>
    <w:rsid w:val="00740CA6"/>
    <w:rsid w:val="007422AA"/>
    <w:rsid w:val="00742709"/>
    <w:rsid w:val="00742B18"/>
    <w:rsid w:val="00744AB1"/>
    <w:rsid w:val="0074608B"/>
    <w:rsid w:val="00747ABA"/>
    <w:rsid w:val="00750AA4"/>
    <w:rsid w:val="0075113C"/>
    <w:rsid w:val="00751E27"/>
    <w:rsid w:val="007522C8"/>
    <w:rsid w:val="007526A2"/>
    <w:rsid w:val="00752814"/>
    <w:rsid w:val="00753B8C"/>
    <w:rsid w:val="00753FCB"/>
    <w:rsid w:val="007550C8"/>
    <w:rsid w:val="007572E7"/>
    <w:rsid w:val="0076093C"/>
    <w:rsid w:val="00760EED"/>
    <w:rsid w:val="00760FF9"/>
    <w:rsid w:val="00761E30"/>
    <w:rsid w:val="0076227E"/>
    <w:rsid w:val="00762363"/>
    <w:rsid w:val="00763696"/>
    <w:rsid w:val="00763A18"/>
    <w:rsid w:val="00763BD0"/>
    <w:rsid w:val="00763F20"/>
    <w:rsid w:val="00764596"/>
    <w:rsid w:val="007655E9"/>
    <w:rsid w:val="00766088"/>
    <w:rsid w:val="0076720B"/>
    <w:rsid w:val="0076766C"/>
    <w:rsid w:val="0076787F"/>
    <w:rsid w:val="00767D9D"/>
    <w:rsid w:val="00767ED4"/>
    <w:rsid w:val="00771071"/>
    <w:rsid w:val="00771883"/>
    <w:rsid w:val="00771E3C"/>
    <w:rsid w:val="007738AE"/>
    <w:rsid w:val="007747A5"/>
    <w:rsid w:val="007762DE"/>
    <w:rsid w:val="007765BE"/>
    <w:rsid w:val="007766F1"/>
    <w:rsid w:val="00776CB5"/>
    <w:rsid w:val="00777683"/>
    <w:rsid w:val="00777C84"/>
    <w:rsid w:val="00780133"/>
    <w:rsid w:val="007814D3"/>
    <w:rsid w:val="00781D0C"/>
    <w:rsid w:val="007820B4"/>
    <w:rsid w:val="00783151"/>
    <w:rsid w:val="00784B0A"/>
    <w:rsid w:val="00785231"/>
    <w:rsid w:val="00785370"/>
    <w:rsid w:val="00785E1E"/>
    <w:rsid w:val="00786788"/>
    <w:rsid w:val="007868E4"/>
    <w:rsid w:val="00786C00"/>
    <w:rsid w:val="00786CC0"/>
    <w:rsid w:val="0078778C"/>
    <w:rsid w:val="00790073"/>
    <w:rsid w:val="007905CB"/>
    <w:rsid w:val="00791269"/>
    <w:rsid w:val="00791393"/>
    <w:rsid w:val="00791581"/>
    <w:rsid w:val="0079270E"/>
    <w:rsid w:val="00793240"/>
    <w:rsid w:val="007934B0"/>
    <w:rsid w:val="007951EB"/>
    <w:rsid w:val="00796859"/>
    <w:rsid w:val="0079698B"/>
    <w:rsid w:val="00796B2D"/>
    <w:rsid w:val="007975F0"/>
    <w:rsid w:val="00797660"/>
    <w:rsid w:val="00797B9B"/>
    <w:rsid w:val="00797BFD"/>
    <w:rsid w:val="007A081A"/>
    <w:rsid w:val="007A1695"/>
    <w:rsid w:val="007A219D"/>
    <w:rsid w:val="007A2F01"/>
    <w:rsid w:val="007A359A"/>
    <w:rsid w:val="007A4EAF"/>
    <w:rsid w:val="007A6097"/>
    <w:rsid w:val="007A714C"/>
    <w:rsid w:val="007A7D9B"/>
    <w:rsid w:val="007B024D"/>
    <w:rsid w:val="007B0853"/>
    <w:rsid w:val="007B1181"/>
    <w:rsid w:val="007B2436"/>
    <w:rsid w:val="007B2D6D"/>
    <w:rsid w:val="007B3A44"/>
    <w:rsid w:val="007B414A"/>
    <w:rsid w:val="007B47A1"/>
    <w:rsid w:val="007B5B1B"/>
    <w:rsid w:val="007B60CE"/>
    <w:rsid w:val="007B61EB"/>
    <w:rsid w:val="007C12C1"/>
    <w:rsid w:val="007C22E1"/>
    <w:rsid w:val="007C2DF6"/>
    <w:rsid w:val="007C3889"/>
    <w:rsid w:val="007C4245"/>
    <w:rsid w:val="007C465B"/>
    <w:rsid w:val="007C5243"/>
    <w:rsid w:val="007C62CA"/>
    <w:rsid w:val="007C6342"/>
    <w:rsid w:val="007C649E"/>
    <w:rsid w:val="007C68E8"/>
    <w:rsid w:val="007C714F"/>
    <w:rsid w:val="007C73A4"/>
    <w:rsid w:val="007C796E"/>
    <w:rsid w:val="007C7D0F"/>
    <w:rsid w:val="007D0216"/>
    <w:rsid w:val="007D17C8"/>
    <w:rsid w:val="007D1AE7"/>
    <w:rsid w:val="007D2515"/>
    <w:rsid w:val="007D2626"/>
    <w:rsid w:val="007D2A7A"/>
    <w:rsid w:val="007D31F5"/>
    <w:rsid w:val="007D3925"/>
    <w:rsid w:val="007D3E23"/>
    <w:rsid w:val="007D4291"/>
    <w:rsid w:val="007D44B5"/>
    <w:rsid w:val="007D458E"/>
    <w:rsid w:val="007D4FE6"/>
    <w:rsid w:val="007D6789"/>
    <w:rsid w:val="007D6C9E"/>
    <w:rsid w:val="007D703E"/>
    <w:rsid w:val="007D7532"/>
    <w:rsid w:val="007D7989"/>
    <w:rsid w:val="007D7B03"/>
    <w:rsid w:val="007D7C19"/>
    <w:rsid w:val="007D7C83"/>
    <w:rsid w:val="007D7E38"/>
    <w:rsid w:val="007E1039"/>
    <w:rsid w:val="007E122E"/>
    <w:rsid w:val="007E12BE"/>
    <w:rsid w:val="007E191D"/>
    <w:rsid w:val="007E1BB2"/>
    <w:rsid w:val="007E1BEF"/>
    <w:rsid w:val="007E1D2E"/>
    <w:rsid w:val="007E1DFA"/>
    <w:rsid w:val="007E25B3"/>
    <w:rsid w:val="007E26E6"/>
    <w:rsid w:val="007E3093"/>
    <w:rsid w:val="007E3184"/>
    <w:rsid w:val="007E449B"/>
    <w:rsid w:val="007E4BD4"/>
    <w:rsid w:val="007E523B"/>
    <w:rsid w:val="007E680E"/>
    <w:rsid w:val="007E7BB3"/>
    <w:rsid w:val="007E7CAA"/>
    <w:rsid w:val="007F04B9"/>
    <w:rsid w:val="007F0642"/>
    <w:rsid w:val="007F0727"/>
    <w:rsid w:val="007F1215"/>
    <w:rsid w:val="007F1F24"/>
    <w:rsid w:val="007F34ED"/>
    <w:rsid w:val="007F4E55"/>
    <w:rsid w:val="007F4F4B"/>
    <w:rsid w:val="007F594D"/>
    <w:rsid w:val="007F699D"/>
    <w:rsid w:val="007F782B"/>
    <w:rsid w:val="007F7C84"/>
    <w:rsid w:val="007F7D7C"/>
    <w:rsid w:val="00800092"/>
    <w:rsid w:val="0080214E"/>
    <w:rsid w:val="0080327A"/>
    <w:rsid w:val="00803722"/>
    <w:rsid w:val="008054EF"/>
    <w:rsid w:val="00805CDD"/>
    <w:rsid w:val="00805E76"/>
    <w:rsid w:val="00807AFD"/>
    <w:rsid w:val="00810DC6"/>
    <w:rsid w:val="00810ECD"/>
    <w:rsid w:val="00811EC0"/>
    <w:rsid w:val="00812065"/>
    <w:rsid w:val="0081268C"/>
    <w:rsid w:val="0081354C"/>
    <w:rsid w:val="00813738"/>
    <w:rsid w:val="00813798"/>
    <w:rsid w:val="0081388F"/>
    <w:rsid w:val="00813BCF"/>
    <w:rsid w:val="0081426A"/>
    <w:rsid w:val="00814F2C"/>
    <w:rsid w:val="00814FD0"/>
    <w:rsid w:val="00815353"/>
    <w:rsid w:val="0081559D"/>
    <w:rsid w:val="00815C91"/>
    <w:rsid w:val="00815CA6"/>
    <w:rsid w:val="00816132"/>
    <w:rsid w:val="008164C5"/>
    <w:rsid w:val="008165B4"/>
    <w:rsid w:val="008168EB"/>
    <w:rsid w:val="00816C43"/>
    <w:rsid w:val="00817019"/>
    <w:rsid w:val="00817232"/>
    <w:rsid w:val="0081730C"/>
    <w:rsid w:val="008177FC"/>
    <w:rsid w:val="00820240"/>
    <w:rsid w:val="008202AF"/>
    <w:rsid w:val="008217D9"/>
    <w:rsid w:val="00821C37"/>
    <w:rsid w:val="008229ED"/>
    <w:rsid w:val="008230ED"/>
    <w:rsid w:val="00823845"/>
    <w:rsid w:val="00824011"/>
    <w:rsid w:val="00824CA2"/>
    <w:rsid w:val="008251F0"/>
    <w:rsid w:val="00825553"/>
    <w:rsid w:val="0082589D"/>
    <w:rsid w:val="00825A93"/>
    <w:rsid w:val="008275FA"/>
    <w:rsid w:val="00827766"/>
    <w:rsid w:val="0082778E"/>
    <w:rsid w:val="00830FD0"/>
    <w:rsid w:val="00831881"/>
    <w:rsid w:val="008323C2"/>
    <w:rsid w:val="00832AC4"/>
    <w:rsid w:val="00832BFF"/>
    <w:rsid w:val="008332AE"/>
    <w:rsid w:val="0083390F"/>
    <w:rsid w:val="00833E12"/>
    <w:rsid w:val="00833ED8"/>
    <w:rsid w:val="00833FDC"/>
    <w:rsid w:val="00834323"/>
    <w:rsid w:val="008349C2"/>
    <w:rsid w:val="00835189"/>
    <w:rsid w:val="00835D84"/>
    <w:rsid w:val="0083671B"/>
    <w:rsid w:val="00837B42"/>
    <w:rsid w:val="00840055"/>
    <w:rsid w:val="00840EAA"/>
    <w:rsid w:val="00841211"/>
    <w:rsid w:val="00841244"/>
    <w:rsid w:val="00842831"/>
    <w:rsid w:val="00842AE3"/>
    <w:rsid w:val="008434FE"/>
    <w:rsid w:val="00845DE3"/>
    <w:rsid w:val="00850A72"/>
    <w:rsid w:val="00850B49"/>
    <w:rsid w:val="00850B6E"/>
    <w:rsid w:val="00851604"/>
    <w:rsid w:val="00851D13"/>
    <w:rsid w:val="00851E3D"/>
    <w:rsid w:val="00852456"/>
    <w:rsid w:val="00852A2F"/>
    <w:rsid w:val="008532FA"/>
    <w:rsid w:val="0085340D"/>
    <w:rsid w:val="0085350E"/>
    <w:rsid w:val="00853BF3"/>
    <w:rsid w:val="00854558"/>
    <w:rsid w:val="00854AE9"/>
    <w:rsid w:val="00854B7E"/>
    <w:rsid w:val="00854C9D"/>
    <w:rsid w:val="00854F3B"/>
    <w:rsid w:val="00855F7B"/>
    <w:rsid w:val="00856064"/>
    <w:rsid w:val="00856454"/>
    <w:rsid w:val="0085662E"/>
    <w:rsid w:val="008566FD"/>
    <w:rsid w:val="008567E6"/>
    <w:rsid w:val="00856CA2"/>
    <w:rsid w:val="008609CB"/>
    <w:rsid w:val="00861B99"/>
    <w:rsid w:val="008628A6"/>
    <w:rsid w:val="00862B02"/>
    <w:rsid w:val="00863376"/>
    <w:rsid w:val="00864225"/>
    <w:rsid w:val="00865208"/>
    <w:rsid w:val="00865343"/>
    <w:rsid w:val="008653E9"/>
    <w:rsid w:val="00865720"/>
    <w:rsid w:val="00866880"/>
    <w:rsid w:val="008671C1"/>
    <w:rsid w:val="0086726A"/>
    <w:rsid w:val="00870A86"/>
    <w:rsid w:val="00871689"/>
    <w:rsid w:val="00871770"/>
    <w:rsid w:val="00871A2F"/>
    <w:rsid w:val="00871D3B"/>
    <w:rsid w:val="00871FA9"/>
    <w:rsid w:val="00872987"/>
    <w:rsid w:val="008729DD"/>
    <w:rsid w:val="0087348C"/>
    <w:rsid w:val="00875B38"/>
    <w:rsid w:val="00875E41"/>
    <w:rsid w:val="008762A0"/>
    <w:rsid w:val="008765E8"/>
    <w:rsid w:val="00876D7A"/>
    <w:rsid w:val="00877283"/>
    <w:rsid w:val="00877430"/>
    <w:rsid w:val="00880179"/>
    <w:rsid w:val="00880C0F"/>
    <w:rsid w:val="00881551"/>
    <w:rsid w:val="008828C0"/>
    <w:rsid w:val="00883CB5"/>
    <w:rsid w:val="00884CEC"/>
    <w:rsid w:val="00886301"/>
    <w:rsid w:val="00886554"/>
    <w:rsid w:val="00887B32"/>
    <w:rsid w:val="00891426"/>
    <w:rsid w:val="008916A7"/>
    <w:rsid w:val="008919DE"/>
    <w:rsid w:val="008919EE"/>
    <w:rsid w:val="00891D82"/>
    <w:rsid w:val="00891F49"/>
    <w:rsid w:val="008936FE"/>
    <w:rsid w:val="008937F0"/>
    <w:rsid w:val="00893DAB"/>
    <w:rsid w:val="00894358"/>
    <w:rsid w:val="008945FE"/>
    <w:rsid w:val="00894768"/>
    <w:rsid w:val="00894EEB"/>
    <w:rsid w:val="00895602"/>
    <w:rsid w:val="00895939"/>
    <w:rsid w:val="00897563"/>
    <w:rsid w:val="00897C36"/>
    <w:rsid w:val="008A03D5"/>
    <w:rsid w:val="008A11C5"/>
    <w:rsid w:val="008A121B"/>
    <w:rsid w:val="008A17D5"/>
    <w:rsid w:val="008A180C"/>
    <w:rsid w:val="008A2053"/>
    <w:rsid w:val="008A2C6F"/>
    <w:rsid w:val="008A4925"/>
    <w:rsid w:val="008A56F5"/>
    <w:rsid w:val="008A660A"/>
    <w:rsid w:val="008A68E4"/>
    <w:rsid w:val="008A6A6A"/>
    <w:rsid w:val="008A6E07"/>
    <w:rsid w:val="008A732B"/>
    <w:rsid w:val="008A7A47"/>
    <w:rsid w:val="008A7CC8"/>
    <w:rsid w:val="008A7D70"/>
    <w:rsid w:val="008B0131"/>
    <w:rsid w:val="008B1D7D"/>
    <w:rsid w:val="008B222F"/>
    <w:rsid w:val="008B305E"/>
    <w:rsid w:val="008B3B1B"/>
    <w:rsid w:val="008B3B9F"/>
    <w:rsid w:val="008B3EC4"/>
    <w:rsid w:val="008B413A"/>
    <w:rsid w:val="008B63C7"/>
    <w:rsid w:val="008B719C"/>
    <w:rsid w:val="008B733D"/>
    <w:rsid w:val="008C0C80"/>
    <w:rsid w:val="008C0D06"/>
    <w:rsid w:val="008C1FFA"/>
    <w:rsid w:val="008C21D0"/>
    <w:rsid w:val="008C39F5"/>
    <w:rsid w:val="008C3B0B"/>
    <w:rsid w:val="008C5CED"/>
    <w:rsid w:val="008C5D65"/>
    <w:rsid w:val="008C6AEC"/>
    <w:rsid w:val="008C6B42"/>
    <w:rsid w:val="008C702D"/>
    <w:rsid w:val="008C79D7"/>
    <w:rsid w:val="008C7DDE"/>
    <w:rsid w:val="008D0A7E"/>
    <w:rsid w:val="008D0E89"/>
    <w:rsid w:val="008D1B38"/>
    <w:rsid w:val="008D2417"/>
    <w:rsid w:val="008D2438"/>
    <w:rsid w:val="008D267A"/>
    <w:rsid w:val="008D2F39"/>
    <w:rsid w:val="008D3ED8"/>
    <w:rsid w:val="008D400C"/>
    <w:rsid w:val="008D416E"/>
    <w:rsid w:val="008D53EC"/>
    <w:rsid w:val="008D6227"/>
    <w:rsid w:val="008D6645"/>
    <w:rsid w:val="008D6BA1"/>
    <w:rsid w:val="008D7426"/>
    <w:rsid w:val="008D76E1"/>
    <w:rsid w:val="008D7702"/>
    <w:rsid w:val="008D785F"/>
    <w:rsid w:val="008E00B8"/>
    <w:rsid w:val="008E0E01"/>
    <w:rsid w:val="008E1DA0"/>
    <w:rsid w:val="008E23DA"/>
    <w:rsid w:val="008E25EB"/>
    <w:rsid w:val="008E305B"/>
    <w:rsid w:val="008E3992"/>
    <w:rsid w:val="008E4CAA"/>
    <w:rsid w:val="008E511D"/>
    <w:rsid w:val="008E5194"/>
    <w:rsid w:val="008E5459"/>
    <w:rsid w:val="008E54D5"/>
    <w:rsid w:val="008E5C5B"/>
    <w:rsid w:val="008E6C9E"/>
    <w:rsid w:val="008E76D8"/>
    <w:rsid w:val="008E7DE5"/>
    <w:rsid w:val="008F070A"/>
    <w:rsid w:val="008F0BBC"/>
    <w:rsid w:val="008F0EE3"/>
    <w:rsid w:val="008F0F0B"/>
    <w:rsid w:val="008F1644"/>
    <w:rsid w:val="008F19F1"/>
    <w:rsid w:val="008F203A"/>
    <w:rsid w:val="008F2104"/>
    <w:rsid w:val="008F3362"/>
    <w:rsid w:val="008F403D"/>
    <w:rsid w:val="008F4A93"/>
    <w:rsid w:val="008F54EF"/>
    <w:rsid w:val="008F5B2D"/>
    <w:rsid w:val="008F6010"/>
    <w:rsid w:val="008F6BBE"/>
    <w:rsid w:val="008F6DFD"/>
    <w:rsid w:val="008F70F7"/>
    <w:rsid w:val="009001D7"/>
    <w:rsid w:val="00900FBB"/>
    <w:rsid w:val="009010F5"/>
    <w:rsid w:val="009016D8"/>
    <w:rsid w:val="00902891"/>
    <w:rsid w:val="00902F0B"/>
    <w:rsid w:val="00903632"/>
    <w:rsid w:val="009053D8"/>
    <w:rsid w:val="00905526"/>
    <w:rsid w:val="009056D5"/>
    <w:rsid w:val="00906423"/>
    <w:rsid w:val="00907BCB"/>
    <w:rsid w:val="00907ECC"/>
    <w:rsid w:val="00910503"/>
    <w:rsid w:val="00910A6B"/>
    <w:rsid w:val="00910B43"/>
    <w:rsid w:val="00910C43"/>
    <w:rsid w:val="00910FF3"/>
    <w:rsid w:val="00911916"/>
    <w:rsid w:val="009124BB"/>
    <w:rsid w:val="00912ED4"/>
    <w:rsid w:val="00913331"/>
    <w:rsid w:val="0091474C"/>
    <w:rsid w:val="00914BF4"/>
    <w:rsid w:val="009150FD"/>
    <w:rsid w:val="00915481"/>
    <w:rsid w:val="0091622D"/>
    <w:rsid w:val="009163E8"/>
    <w:rsid w:val="009170E7"/>
    <w:rsid w:val="0092049D"/>
    <w:rsid w:val="0092113F"/>
    <w:rsid w:val="00921639"/>
    <w:rsid w:val="009219FD"/>
    <w:rsid w:val="00922CBA"/>
    <w:rsid w:val="009232C3"/>
    <w:rsid w:val="009235BE"/>
    <w:rsid w:val="009242F4"/>
    <w:rsid w:val="00924685"/>
    <w:rsid w:val="009247F9"/>
    <w:rsid w:val="00924CD9"/>
    <w:rsid w:val="00925D7B"/>
    <w:rsid w:val="009266C4"/>
    <w:rsid w:val="00931E87"/>
    <w:rsid w:val="00932403"/>
    <w:rsid w:val="00932465"/>
    <w:rsid w:val="00932F3A"/>
    <w:rsid w:val="00933CDA"/>
    <w:rsid w:val="00933F97"/>
    <w:rsid w:val="00935D08"/>
    <w:rsid w:val="00937334"/>
    <w:rsid w:val="0093744E"/>
    <w:rsid w:val="009374F3"/>
    <w:rsid w:val="00937B4F"/>
    <w:rsid w:val="00940389"/>
    <w:rsid w:val="00940649"/>
    <w:rsid w:val="0094137F"/>
    <w:rsid w:val="00943033"/>
    <w:rsid w:val="00943338"/>
    <w:rsid w:val="00943A26"/>
    <w:rsid w:val="009443AB"/>
    <w:rsid w:val="0094478B"/>
    <w:rsid w:val="0094489C"/>
    <w:rsid w:val="009448BB"/>
    <w:rsid w:val="009454D0"/>
    <w:rsid w:val="00945C91"/>
    <w:rsid w:val="00945E74"/>
    <w:rsid w:val="00947A44"/>
    <w:rsid w:val="009503E0"/>
    <w:rsid w:val="00951E1B"/>
    <w:rsid w:val="00952585"/>
    <w:rsid w:val="00952FEF"/>
    <w:rsid w:val="00953279"/>
    <w:rsid w:val="00954492"/>
    <w:rsid w:val="00955625"/>
    <w:rsid w:val="00956346"/>
    <w:rsid w:val="00957320"/>
    <w:rsid w:val="00957F9F"/>
    <w:rsid w:val="00960690"/>
    <w:rsid w:val="00960BD0"/>
    <w:rsid w:val="009623B8"/>
    <w:rsid w:val="0096273E"/>
    <w:rsid w:val="00962A3F"/>
    <w:rsid w:val="00962AB1"/>
    <w:rsid w:val="00963342"/>
    <w:rsid w:val="0096457F"/>
    <w:rsid w:val="009646AA"/>
    <w:rsid w:val="00965D3F"/>
    <w:rsid w:val="0096643F"/>
    <w:rsid w:val="009670B3"/>
    <w:rsid w:val="00967895"/>
    <w:rsid w:val="009716D8"/>
    <w:rsid w:val="00972B95"/>
    <w:rsid w:val="00972C48"/>
    <w:rsid w:val="00972E27"/>
    <w:rsid w:val="0097335C"/>
    <w:rsid w:val="00973F07"/>
    <w:rsid w:val="00974F8E"/>
    <w:rsid w:val="009755F0"/>
    <w:rsid w:val="009760CF"/>
    <w:rsid w:val="00976448"/>
    <w:rsid w:val="009768A4"/>
    <w:rsid w:val="00976A6B"/>
    <w:rsid w:val="00976DFC"/>
    <w:rsid w:val="00977572"/>
    <w:rsid w:val="0097764C"/>
    <w:rsid w:val="00977F43"/>
    <w:rsid w:val="009817B6"/>
    <w:rsid w:val="00981C14"/>
    <w:rsid w:val="00982217"/>
    <w:rsid w:val="00982857"/>
    <w:rsid w:val="00983AAA"/>
    <w:rsid w:val="0098652E"/>
    <w:rsid w:val="00986E38"/>
    <w:rsid w:val="00986E3E"/>
    <w:rsid w:val="00990ABF"/>
    <w:rsid w:val="00990B8E"/>
    <w:rsid w:val="009910BB"/>
    <w:rsid w:val="009919F2"/>
    <w:rsid w:val="00991B80"/>
    <w:rsid w:val="009929A0"/>
    <w:rsid w:val="00992BBC"/>
    <w:rsid w:val="0099384A"/>
    <w:rsid w:val="00993D7A"/>
    <w:rsid w:val="00993DB1"/>
    <w:rsid w:val="00993E45"/>
    <w:rsid w:val="00994A40"/>
    <w:rsid w:val="009957E2"/>
    <w:rsid w:val="00995FCF"/>
    <w:rsid w:val="009A013C"/>
    <w:rsid w:val="009A1CEF"/>
    <w:rsid w:val="009A20A7"/>
    <w:rsid w:val="009A23EE"/>
    <w:rsid w:val="009A347D"/>
    <w:rsid w:val="009A3E62"/>
    <w:rsid w:val="009A4E54"/>
    <w:rsid w:val="009A51F7"/>
    <w:rsid w:val="009A698E"/>
    <w:rsid w:val="009A6A85"/>
    <w:rsid w:val="009A6ECE"/>
    <w:rsid w:val="009A7082"/>
    <w:rsid w:val="009A7697"/>
    <w:rsid w:val="009B025B"/>
    <w:rsid w:val="009B0878"/>
    <w:rsid w:val="009B16B5"/>
    <w:rsid w:val="009B1FF9"/>
    <w:rsid w:val="009B2371"/>
    <w:rsid w:val="009B2CE4"/>
    <w:rsid w:val="009B2D4C"/>
    <w:rsid w:val="009B3C48"/>
    <w:rsid w:val="009B41C9"/>
    <w:rsid w:val="009B56D0"/>
    <w:rsid w:val="009B5A37"/>
    <w:rsid w:val="009B64BA"/>
    <w:rsid w:val="009C0179"/>
    <w:rsid w:val="009C05D5"/>
    <w:rsid w:val="009C1AAF"/>
    <w:rsid w:val="009C355F"/>
    <w:rsid w:val="009C3633"/>
    <w:rsid w:val="009C4DCA"/>
    <w:rsid w:val="009C53F1"/>
    <w:rsid w:val="009C609A"/>
    <w:rsid w:val="009C61B4"/>
    <w:rsid w:val="009C6261"/>
    <w:rsid w:val="009C6C9C"/>
    <w:rsid w:val="009C6CB6"/>
    <w:rsid w:val="009C78FE"/>
    <w:rsid w:val="009D0627"/>
    <w:rsid w:val="009D0B26"/>
    <w:rsid w:val="009D0B52"/>
    <w:rsid w:val="009D1F9A"/>
    <w:rsid w:val="009D409B"/>
    <w:rsid w:val="009D5A5B"/>
    <w:rsid w:val="009D60D0"/>
    <w:rsid w:val="009D7173"/>
    <w:rsid w:val="009D7236"/>
    <w:rsid w:val="009D7DDC"/>
    <w:rsid w:val="009E03AE"/>
    <w:rsid w:val="009E09A3"/>
    <w:rsid w:val="009E0BD1"/>
    <w:rsid w:val="009E0DC0"/>
    <w:rsid w:val="009E1301"/>
    <w:rsid w:val="009E1430"/>
    <w:rsid w:val="009E4BA8"/>
    <w:rsid w:val="009E4FD4"/>
    <w:rsid w:val="009E53D4"/>
    <w:rsid w:val="009E793B"/>
    <w:rsid w:val="009E7CC5"/>
    <w:rsid w:val="009F0766"/>
    <w:rsid w:val="009F07D8"/>
    <w:rsid w:val="009F0FEC"/>
    <w:rsid w:val="009F1785"/>
    <w:rsid w:val="009F26C2"/>
    <w:rsid w:val="009F3658"/>
    <w:rsid w:val="009F3C9B"/>
    <w:rsid w:val="009F4056"/>
    <w:rsid w:val="009F5021"/>
    <w:rsid w:val="009F55F7"/>
    <w:rsid w:val="009F59BA"/>
    <w:rsid w:val="009F6202"/>
    <w:rsid w:val="009F62F5"/>
    <w:rsid w:val="009F63D2"/>
    <w:rsid w:val="009F6BD8"/>
    <w:rsid w:val="00A001F1"/>
    <w:rsid w:val="00A009C4"/>
    <w:rsid w:val="00A00B9A"/>
    <w:rsid w:val="00A01F6E"/>
    <w:rsid w:val="00A020ED"/>
    <w:rsid w:val="00A036FE"/>
    <w:rsid w:val="00A03BBF"/>
    <w:rsid w:val="00A054F7"/>
    <w:rsid w:val="00A0689D"/>
    <w:rsid w:val="00A1113D"/>
    <w:rsid w:val="00A12391"/>
    <w:rsid w:val="00A123CC"/>
    <w:rsid w:val="00A12431"/>
    <w:rsid w:val="00A12A60"/>
    <w:rsid w:val="00A132DF"/>
    <w:rsid w:val="00A136F1"/>
    <w:rsid w:val="00A1395A"/>
    <w:rsid w:val="00A1432B"/>
    <w:rsid w:val="00A151DF"/>
    <w:rsid w:val="00A16506"/>
    <w:rsid w:val="00A16BA7"/>
    <w:rsid w:val="00A176FC"/>
    <w:rsid w:val="00A2038A"/>
    <w:rsid w:val="00A204EF"/>
    <w:rsid w:val="00A20ECB"/>
    <w:rsid w:val="00A22CF1"/>
    <w:rsid w:val="00A24627"/>
    <w:rsid w:val="00A24EDE"/>
    <w:rsid w:val="00A24FD6"/>
    <w:rsid w:val="00A26558"/>
    <w:rsid w:val="00A30EC8"/>
    <w:rsid w:val="00A3151E"/>
    <w:rsid w:val="00A31DC2"/>
    <w:rsid w:val="00A33BBA"/>
    <w:rsid w:val="00A3518F"/>
    <w:rsid w:val="00A36ABB"/>
    <w:rsid w:val="00A402B3"/>
    <w:rsid w:val="00A406F5"/>
    <w:rsid w:val="00A40761"/>
    <w:rsid w:val="00A41121"/>
    <w:rsid w:val="00A41FEE"/>
    <w:rsid w:val="00A42BC2"/>
    <w:rsid w:val="00A42ECF"/>
    <w:rsid w:val="00A42F09"/>
    <w:rsid w:val="00A432EE"/>
    <w:rsid w:val="00A44482"/>
    <w:rsid w:val="00A44722"/>
    <w:rsid w:val="00A452A6"/>
    <w:rsid w:val="00A457EF"/>
    <w:rsid w:val="00A45CCC"/>
    <w:rsid w:val="00A4663E"/>
    <w:rsid w:val="00A46B72"/>
    <w:rsid w:val="00A46C79"/>
    <w:rsid w:val="00A479B3"/>
    <w:rsid w:val="00A508E5"/>
    <w:rsid w:val="00A50963"/>
    <w:rsid w:val="00A5221B"/>
    <w:rsid w:val="00A52233"/>
    <w:rsid w:val="00A5250B"/>
    <w:rsid w:val="00A52EC0"/>
    <w:rsid w:val="00A546F5"/>
    <w:rsid w:val="00A54873"/>
    <w:rsid w:val="00A54C7A"/>
    <w:rsid w:val="00A55E2D"/>
    <w:rsid w:val="00A561FF"/>
    <w:rsid w:val="00A568C1"/>
    <w:rsid w:val="00A56EF7"/>
    <w:rsid w:val="00A579F7"/>
    <w:rsid w:val="00A601BA"/>
    <w:rsid w:val="00A6083E"/>
    <w:rsid w:val="00A608AB"/>
    <w:rsid w:val="00A608F0"/>
    <w:rsid w:val="00A61B06"/>
    <w:rsid w:val="00A61FC5"/>
    <w:rsid w:val="00A63AF4"/>
    <w:rsid w:val="00A642ED"/>
    <w:rsid w:val="00A64D4D"/>
    <w:rsid w:val="00A665B2"/>
    <w:rsid w:val="00A66B4E"/>
    <w:rsid w:val="00A66DBB"/>
    <w:rsid w:val="00A6773B"/>
    <w:rsid w:val="00A70762"/>
    <w:rsid w:val="00A70D15"/>
    <w:rsid w:val="00A70F59"/>
    <w:rsid w:val="00A710B5"/>
    <w:rsid w:val="00A712F0"/>
    <w:rsid w:val="00A72848"/>
    <w:rsid w:val="00A72D22"/>
    <w:rsid w:val="00A7348F"/>
    <w:rsid w:val="00A734A2"/>
    <w:rsid w:val="00A736C9"/>
    <w:rsid w:val="00A7396F"/>
    <w:rsid w:val="00A74069"/>
    <w:rsid w:val="00A75DEB"/>
    <w:rsid w:val="00A762AB"/>
    <w:rsid w:val="00A77945"/>
    <w:rsid w:val="00A80083"/>
    <w:rsid w:val="00A81CA7"/>
    <w:rsid w:val="00A8211E"/>
    <w:rsid w:val="00A821D9"/>
    <w:rsid w:val="00A82601"/>
    <w:rsid w:val="00A82804"/>
    <w:rsid w:val="00A8326E"/>
    <w:rsid w:val="00A859B9"/>
    <w:rsid w:val="00A878D1"/>
    <w:rsid w:val="00A901FA"/>
    <w:rsid w:val="00A906F9"/>
    <w:rsid w:val="00A910F8"/>
    <w:rsid w:val="00A91133"/>
    <w:rsid w:val="00A91B9F"/>
    <w:rsid w:val="00A92BDB"/>
    <w:rsid w:val="00A92DE3"/>
    <w:rsid w:val="00A92F8E"/>
    <w:rsid w:val="00A93427"/>
    <w:rsid w:val="00A937EF"/>
    <w:rsid w:val="00A93E45"/>
    <w:rsid w:val="00A9579C"/>
    <w:rsid w:val="00A958D1"/>
    <w:rsid w:val="00A95BAA"/>
    <w:rsid w:val="00A96EF7"/>
    <w:rsid w:val="00A97841"/>
    <w:rsid w:val="00AA052E"/>
    <w:rsid w:val="00AA0A9B"/>
    <w:rsid w:val="00AA0C41"/>
    <w:rsid w:val="00AA0DB8"/>
    <w:rsid w:val="00AA129B"/>
    <w:rsid w:val="00AA1498"/>
    <w:rsid w:val="00AA23F5"/>
    <w:rsid w:val="00AA27A1"/>
    <w:rsid w:val="00AA2E7A"/>
    <w:rsid w:val="00AA45F6"/>
    <w:rsid w:val="00AA4799"/>
    <w:rsid w:val="00AA4F3A"/>
    <w:rsid w:val="00AA549C"/>
    <w:rsid w:val="00AA607D"/>
    <w:rsid w:val="00AA6859"/>
    <w:rsid w:val="00AA778C"/>
    <w:rsid w:val="00AA7830"/>
    <w:rsid w:val="00AB0FA0"/>
    <w:rsid w:val="00AB1A27"/>
    <w:rsid w:val="00AB22E4"/>
    <w:rsid w:val="00AB2D0C"/>
    <w:rsid w:val="00AB4A6F"/>
    <w:rsid w:val="00AB6D95"/>
    <w:rsid w:val="00AC034B"/>
    <w:rsid w:val="00AC0EB0"/>
    <w:rsid w:val="00AC10A0"/>
    <w:rsid w:val="00AC14FD"/>
    <w:rsid w:val="00AC1779"/>
    <w:rsid w:val="00AC1B19"/>
    <w:rsid w:val="00AC2673"/>
    <w:rsid w:val="00AC2A6C"/>
    <w:rsid w:val="00AC40D9"/>
    <w:rsid w:val="00AC4B48"/>
    <w:rsid w:val="00AC6E13"/>
    <w:rsid w:val="00AD05FC"/>
    <w:rsid w:val="00AD0CF5"/>
    <w:rsid w:val="00AD0CFC"/>
    <w:rsid w:val="00AD107B"/>
    <w:rsid w:val="00AD2A0E"/>
    <w:rsid w:val="00AD37EB"/>
    <w:rsid w:val="00AD42CD"/>
    <w:rsid w:val="00AD477E"/>
    <w:rsid w:val="00AD49A0"/>
    <w:rsid w:val="00AD55E1"/>
    <w:rsid w:val="00AD5737"/>
    <w:rsid w:val="00AD5F01"/>
    <w:rsid w:val="00AD6314"/>
    <w:rsid w:val="00AD675A"/>
    <w:rsid w:val="00AD67C3"/>
    <w:rsid w:val="00AD6D24"/>
    <w:rsid w:val="00AD7218"/>
    <w:rsid w:val="00AE09A5"/>
    <w:rsid w:val="00AE1019"/>
    <w:rsid w:val="00AE125C"/>
    <w:rsid w:val="00AE1818"/>
    <w:rsid w:val="00AE2865"/>
    <w:rsid w:val="00AE2E78"/>
    <w:rsid w:val="00AE39DC"/>
    <w:rsid w:val="00AE3CEC"/>
    <w:rsid w:val="00AE5413"/>
    <w:rsid w:val="00AE5430"/>
    <w:rsid w:val="00AE5C22"/>
    <w:rsid w:val="00AE717F"/>
    <w:rsid w:val="00AE75E0"/>
    <w:rsid w:val="00AF0117"/>
    <w:rsid w:val="00AF0A28"/>
    <w:rsid w:val="00AF0C4D"/>
    <w:rsid w:val="00AF1AF7"/>
    <w:rsid w:val="00AF1D8A"/>
    <w:rsid w:val="00AF1F37"/>
    <w:rsid w:val="00AF30B3"/>
    <w:rsid w:val="00AF3970"/>
    <w:rsid w:val="00AF4513"/>
    <w:rsid w:val="00AF466C"/>
    <w:rsid w:val="00AF47E0"/>
    <w:rsid w:val="00AF56EA"/>
    <w:rsid w:val="00AF5D54"/>
    <w:rsid w:val="00AF5D64"/>
    <w:rsid w:val="00AF5F11"/>
    <w:rsid w:val="00AF65E3"/>
    <w:rsid w:val="00AF689F"/>
    <w:rsid w:val="00AF692C"/>
    <w:rsid w:val="00AF6D60"/>
    <w:rsid w:val="00AF7A56"/>
    <w:rsid w:val="00AF7A8D"/>
    <w:rsid w:val="00AF7DA2"/>
    <w:rsid w:val="00AF7E13"/>
    <w:rsid w:val="00AF7F2B"/>
    <w:rsid w:val="00AF7F8C"/>
    <w:rsid w:val="00B0051C"/>
    <w:rsid w:val="00B00536"/>
    <w:rsid w:val="00B01985"/>
    <w:rsid w:val="00B026C1"/>
    <w:rsid w:val="00B04154"/>
    <w:rsid w:val="00B04B60"/>
    <w:rsid w:val="00B04E5D"/>
    <w:rsid w:val="00B05258"/>
    <w:rsid w:val="00B06099"/>
    <w:rsid w:val="00B061AE"/>
    <w:rsid w:val="00B06239"/>
    <w:rsid w:val="00B066A4"/>
    <w:rsid w:val="00B066D5"/>
    <w:rsid w:val="00B06845"/>
    <w:rsid w:val="00B06F56"/>
    <w:rsid w:val="00B0707D"/>
    <w:rsid w:val="00B072B8"/>
    <w:rsid w:val="00B0748C"/>
    <w:rsid w:val="00B07615"/>
    <w:rsid w:val="00B07C0C"/>
    <w:rsid w:val="00B10492"/>
    <w:rsid w:val="00B106C0"/>
    <w:rsid w:val="00B11B50"/>
    <w:rsid w:val="00B138DA"/>
    <w:rsid w:val="00B14968"/>
    <w:rsid w:val="00B14D39"/>
    <w:rsid w:val="00B14D54"/>
    <w:rsid w:val="00B16776"/>
    <w:rsid w:val="00B16C3F"/>
    <w:rsid w:val="00B17A15"/>
    <w:rsid w:val="00B17ABF"/>
    <w:rsid w:val="00B203BF"/>
    <w:rsid w:val="00B20C1A"/>
    <w:rsid w:val="00B21328"/>
    <w:rsid w:val="00B21A07"/>
    <w:rsid w:val="00B21DFF"/>
    <w:rsid w:val="00B2291D"/>
    <w:rsid w:val="00B230A8"/>
    <w:rsid w:val="00B2340D"/>
    <w:rsid w:val="00B2355E"/>
    <w:rsid w:val="00B23659"/>
    <w:rsid w:val="00B25A90"/>
    <w:rsid w:val="00B25B29"/>
    <w:rsid w:val="00B2698C"/>
    <w:rsid w:val="00B26F4B"/>
    <w:rsid w:val="00B2719A"/>
    <w:rsid w:val="00B274DF"/>
    <w:rsid w:val="00B277CB"/>
    <w:rsid w:val="00B305AE"/>
    <w:rsid w:val="00B31A25"/>
    <w:rsid w:val="00B32F22"/>
    <w:rsid w:val="00B34606"/>
    <w:rsid w:val="00B347F6"/>
    <w:rsid w:val="00B361A8"/>
    <w:rsid w:val="00B369E5"/>
    <w:rsid w:val="00B36FE9"/>
    <w:rsid w:val="00B40BD5"/>
    <w:rsid w:val="00B41964"/>
    <w:rsid w:val="00B41B79"/>
    <w:rsid w:val="00B42063"/>
    <w:rsid w:val="00B42168"/>
    <w:rsid w:val="00B445D9"/>
    <w:rsid w:val="00B45173"/>
    <w:rsid w:val="00B45A76"/>
    <w:rsid w:val="00B476ED"/>
    <w:rsid w:val="00B4786E"/>
    <w:rsid w:val="00B47CE7"/>
    <w:rsid w:val="00B50F96"/>
    <w:rsid w:val="00B510E9"/>
    <w:rsid w:val="00B53128"/>
    <w:rsid w:val="00B5360D"/>
    <w:rsid w:val="00B54498"/>
    <w:rsid w:val="00B555F2"/>
    <w:rsid w:val="00B56064"/>
    <w:rsid w:val="00B563FC"/>
    <w:rsid w:val="00B56F5A"/>
    <w:rsid w:val="00B579B1"/>
    <w:rsid w:val="00B57AA7"/>
    <w:rsid w:val="00B615B4"/>
    <w:rsid w:val="00B6186A"/>
    <w:rsid w:val="00B61ED5"/>
    <w:rsid w:val="00B62075"/>
    <w:rsid w:val="00B62591"/>
    <w:rsid w:val="00B62C7E"/>
    <w:rsid w:val="00B649DD"/>
    <w:rsid w:val="00B64F55"/>
    <w:rsid w:val="00B65322"/>
    <w:rsid w:val="00B65578"/>
    <w:rsid w:val="00B65B76"/>
    <w:rsid w:val="00B66A9A"/>
    <w:rsid w:val="00B70B2C"/>
    <w:rsid w:val="00B71592"/>
    <w:rsid w:val="00B71BAC"/>
    <w:rsid w:val="00B72419"/>
    <w:rsid w:val="00B726B6"/>
    <w:rsid w:val="00B72F35"/>
    <w:rsid w:val="00B73F96"/>
    <w:rsid w:val="00B74B72"/>
    <w:rsid w:val="00B74FB9"/>
    <w:rsid w:val="00B7512C"/>
    <w:rsid w:val="00B767C5"/>
    <w:rsid w:val="00B774AE"/>
    <w:rsid w:val="00B801EE"/>
    <w:rsid w:val="00B8078C"/>
    <w:rsid w:val="00B810F3"/>
    <w:rsid w:val="00B81437"/>
    <w:rsid w:val="00B81507"/>
    <w:rsid w:val="00B828CD"/>
    <w:rsid w:val="00B84127"/>
    <w:rsid w:val="00B8537C"/>
    <w:rsid w:val="00B85EF4"/>
    <w:rsid w:val="00B860B5"/>
    <w:rsid w:val="00B8613E"/>
    <w:rsid w:val="00B87445"/>
    <w:rsid w:val="00B878C7"/>
    <w:rsid w:val="00B87AC6"/>
    <w:rsid w:val="00B90736"/>
    <w:rsid w:val="00B9125B"/>
    <w:rsid w:val="00B9157E"/>
    <w:rsid w:val="00B9200F"/>
    <w:rsid w:val="00B961D9"/>
    <w:rsid w:val="00B9632A"/>
    <w:rsid w:val="00B96BE7"/>
    <w:rsid w:val="00BA127B"/>
    <w:rsid w:val="00BA3B0A"/>
    <w:rsid w:val="00BA459D"/>
    <w:rsid w:val="00BA71E3"/>
    <w:rsid w:val="00BB017D"/>
    <w:rsid w:val="00BB051A"/>
    <w:rsid w:val="00BB1916"/>
    <w:rsid w:val="00BB27DC"/>
    <w:rsid w:val="00BB3773"/>
    <w:rsid w:val="00BB54F9"/>
    <w:rsid w:val="00BB5B11"/>
    <w:rsid w:val="00BB5DD3"/>
    <w:rsid w:val="00BB5FD9"/>
    <w:rsid w:val="00BB6939"/>
    <w:rsid w:val="00BB69D7"/>
    <w:rsid w:val="00BB7904"/>
    <w:rsid w:val="00BB7C70"/>
    <w:rsid w:val="00BB7C7E"/>
    <w:rsid w:val="00BC035F"/>
    <w:rsid w:val="00BC07FE"/>
    <w:rsid w:val="00BC218A"/>
    <w:rsid w:val="00BC3000"/>
    <w:rsid w:val="00BC3BE5"/>
    <w:rsid w:val="00BC4033"/>
    <w:rsid w:val="00BC421F"/>
    <w:rsid w:val="00BC465F"/>
    <w:rsid w:val="00BC52F8"/>
    <w:rsid w:val="00BC62E2"/>
    <w:rsid w:val="00BC68C3"/>
    <w:rsid w:val="00BC7A8F"/>
    <w:rsid w:val="00BD0016"/>
    <w:rsid w:val="00BD0FEE"/>
    <w:rsid w:val="00BD219B"/>
    <w:rsid w:val="00BD230F"/>
    <w:rsid w:val="00BD27FC"/>
    <w:rsid w:val="00BD2935"/>
    <w:rsid w:val="00BD39B6"/>
    <w:rsid w:val="00BD3AB5"/>
    <w:rsid w:val="00BD4CDD"/>
    <w:rsid w:val="00BD5D7C"/>
    <w:rsid w:val="00BD6DA6"/>
    <w:rsid w:val="00BD6E0A"/>
    <w:rsid w:val="00BD6F94"/>
    <w:rsid w:val="00BD7709"/>
    <w:rsid w:val="00BD7D6F"/>
    <w:rsid w:val="00BE131B"/>
    <w:rsid w:val="00BE161C"/>
    <w:rsid w:val="00BE1998"/>
    <w:rsid w:val="00BE1AAB"/>
    <w:rsid w:val="00BE2668"/>
    <w:rsid w:val="00BE2E7D"/>
    <w:rsid w:val="00BE3037"/>
    <w:rsid w:val="00BE3352"/>
    <w:rsid w:val="00BE3ACE"/>
    <w:rsid w:val="00BE3B68"/>
    <w:rsid w:val="00BE3D1F"/>
    <w:rsid w:val="00BE4053"/>
    <w:rsid w:val="00BE4BC6"/>
    <w:rsid w:val="00BE4F66"/>
    <w:rsid w:val="00BE50F5"/>
    <w:rsid w:val="00BE6A5F"/>
    <w:rsid w:val="00BE736B"/>
    <w:rsid w:val="00BE7793"/>
    <w:rsid w:val="00BE7998"/>
    <w:rsid w:val="00BF0E17"/>
    <w:rsid w:val="00BF1A4D"/>
    <w:rsid w:val="00BF1C33"/>
    <w:rsid w:val="00BF2459"/>
    <w:rsid w:val="00BF2544"/>
    <w:rsid w:val="00BF2977"/>
    <w:rsid w:val="00BF3F1B"/>
    <w:rsid w:val="00BF46A1"/>
    <w:rsid w:val="00BF4E23"/>
    <w:rsid w:val="00BF574B"/>
    <w:rsid w:val="00BF5D48"/>
    <w:rsid w:val="00BF6457"/>
    <w:rsid w:val="00BF6511"/>
    <w:rsid w:val="00BF6E56"/>
    <w:rsid w:val="00BF7B8F"/>
    <w:rsid w:val="00C01A16"/>
    <w:rsid w:val="00C0267A"/>
    <w:rsid w:val="00C02CF0"/>
    <w:rsid w:val="00C033DF"/>
    <w:rsid w:val="00C057E0"/>
    <w:rsid w:val="00C0635B"/>
    <w:rsid w:val="00C103B5"/>
    <w:rsid w:val="00C12044"/>
    <w:rsid w:val="00C126DB"/>
    <w:rsid w:val="00C1299B"/>
    <w:rsid w:val="00C13A42"/>
    <w:rsid w:val="00C142E4"/>
    <w:rsid w:val="00C14757"/>
    <w:rsid w:val="00C14C3C"/>
    <w:rsid w:val="00C15191"/>
    <w:rsid w:val="00C1647E"/>
    <w:rsid w:val="00C16836"/>
    <w:rsid w:val="00C16AA2"/>
    <w:rsid w:val="00C170E5"/>
    <w:rsid w:val="00C2012B"/>
    <w:rsid w:val="00C20AAB"/>
    <w:rsid w:val="00C2168C"/>
    <w:rsid w:val="00C21CE8"/>
    <w:rsid w:val="00C22973"/>
    <w:rsid w:val="00C22D79"/>
    <w:rsid w:val="00C2350C"/>
    <w:rsid w:val="00C246B5"/>
    <w:rsid w:val="00C2616C"/>
    <w:rsid w:val="00C27840"/>
    <w:rsid w:val="00C3064A"/>
    <w:rsid w:val="00C307ED"/>
    <w:rsid w:val="00C3087B"/>
    <w:rsid w:val="00C319B0"/>
    <w:rsid w:val="00C31F61"/>
    <w:rsid w:val="00C3236F"/>
    <w:rsid w:val="00C32D8E"/>
    <w:rsid w:val="00C33335"/>
    <w:rsid w:val="00C33483"/>
    <w:rsid w:val="00C33A9D"/>
    <w:rsid w:val="00C33EF0"/>
    <w:rsid w:val="00C34681"/>
    <w:rsid w:val="00C35389"/>
    <w:rsid w:val="00C36495"/>
    <w:rsid w:val="00C36663"/>
    <w:rsid w:val="00C36744"/>
    <w:rsid w:val="00C371C4"/>
    <w:rsid w:val="00C37496"/>
    <w:rsid w:val="00C37614"/>
    <w:rsid w:val="00C37D49"/>
    <w:rsid w:val="00C4091F"/>
    <w:rsid w:val="00C40BDA"/>
    <w:rsid w:val="00C40F87"/>
    <w:rsid w:val="00C4170B"/>
    <w:rsid w:val="00C41D67"/>
    <w:rsid w:val="00C42186"/>
    <w:rsid w:val="00C42B75"/>
    <w:rsid w:val="00C434A4"/>
    <w:rsid w:val="00C44732"/>
    <w:rsid w:val="00C44A57"/>
    <w:rsid w:val="00C453A8"/>
    <w:rsid w:val="00C45BB6"/>
    <w:rsid w:val="00C45E0C"/>
    <w:rsid w:val="00C46720"/>
    <w:rsid w:val="00C46CE3"/>
    <w:rsid w:val="00C46E8F"/>
    <w:rsid w:val="00C479A1"/>
    <w:rsid w:val="00C50461"/>
    <w:rsid w:val="00C50CE9"/>
    <w:rsid w:val="00C5113D"/>
    <w:rsid w:val="00C52686"/>
    <w:rsid w:val="00C532A2"/>
    <w:rsid w:val="00C542C7"/>
    <w:rsid w:val="00C55465"/>
    <w:rsid w:val="00C55AE2"/>
    <w:rsid w:val="00C55F0E"/>
    <w:rsid w:val="00C564D8"/>
    <w:rsid w:val="00C56B64"/>
    <w:rsid w:val="00C56DAE"/>
    <w:rsid w:val="00C57E67"/>
    <w:rsid w:val="00C60616"/>
    <w:rsid w:val="00C611EC"/>
    <w:rsid w:val="00C612E7"/>
    <w:rsid w:val="00C616E9"/>
    <w:rsid w:val="00C61863"/>
    <w:rsid w:val="00C61AA6"/>
    <w:rsid w:val="00C61B28"/>
    <w:rsid w:val="00C6225C"/>
    <w:rsid w:val="00C62CF2"/>
    <w:rsid w:val="00C643EB"/>
    <w:rsid w:val="00C64FB8"/>
    <w:rsid w:val="00C65049"/>
    <w:rsid w:val="00C653C8"/>
    <w:rsid w:val="00C65648"/>
    <w:rsid w:val="00C6622D"/>
    <w:rsid w:val="00C66667"/>
    <w:rsid w:val="00C6778D"/>
    <w:rsid w:val="00C67C06"/>
    <w:rsid w:val="00C70036"/>
    <w:rsid w:val="00C71124"/>
    <w:rsid w:val="00C724E2"/>
    <w:rsid w:val="00C72657"/>
    <w:rsid w:val="00C74EE4"/>
    <w:rsid w:val="00C74F63"/>
    <w:rsid w:val="00C75469"/>
    <w:rsid w:val="00C75E29"/>
    <w:rsid w:val="00C76BC5"/>
    <w:rsid w:val="00C77740"/>
    <w:rsid w:val="00C77DE3"/>
    <w:rsid w:val="00C800BD"/>
    <w:rsid w:val="00C8010F"/>
    <w:rsid w:val="00C8036C"/>
    <w:rsid w:val="00C80EA3"/>
    <w:rsid w:val="00C8180C"/>
    <w:rsid w:val="00C8212F"/>
    <w:rsid w:val="00C833BA"/>
    <w:rsid w:val="00C87CD1"/>
    <w:rsid w:val="00C9019B"/>
    <w:rsid w:val="00C90ADC"/>
    <w:rsid w:val="00C91EA3"/>
    <w:rsid w:val="00C924E3"/>
    <w:rsid w:val="00C947E1"/>
    <w:rsid w:val="00C94EED"/>
    <w:rsid w:val="00C967AA"/>
    <w:rsid w:val="00C96C89"/>
    <w:rsid w:val="00C97A8F"/>
    <w:rsid w:val="00CA0161"/>
    <w:rsid w:val="00CA0EA2"/>
    <w:rsid w:val="00CA11D9"/>
    <w:rsid w:val="00CA21CE"/>
    <w:rsid w:val="00CA30B7"/>
    <w:rsid w:val="00CA39C3"/>
    <w:rsid w:val="00CA3CB8"/>
    <w:rsid w:val="00CA3CE8"/>
    <w:rsid w:val="00CA4857"/>
    <w:rsid w:val="00CA4B32"/>
    <w:rsid w:val="00CA4FA1"/>
    <w:rsid w:val="00CA572D"/>
    <w:rsid w:val="00CA674F"/>
    <w:rsid w:val="00CA6B29"/>
    <w:rsid w:val="00CA6C8D"/>
    <w:rsid w:val="00CA6C90"/>
    <w:rsid w:val="00CA77B1"/>
    <w:rsid w:val="00CA7B99"/>
    <w:rsid w:val="00CA7CA2"/>
    <w:rsid w:val="00CA7F3C"/>
    <w:rsid w:val="00CA7F62"/>
    <w:rsid w:val="00CB04AB"/>
    <w:rsid w:val="00CB1C75"/>
    <w:rsid w:val="00CB2338"/>
    <w:rsid w:val="00CB3749"/>
    <w:rsid w:val="00CB3C0B"/>
    <w:rsid w:val="00CB42B5"/>
    <w:rsid w:val="00CB5871"/>
    <w:rsid w:val="00CB6636"/>
    <w:rsid w:val="00CB7B50"/>
    <w:rsid w:val="00CC022B"/>
    <w:rsid w:val="00CC37D0"/>
    <w:rsid w:val="00CC3EA5"/>
    <w:rsid w:val="00CC44D4"/>
    <w:rsid w:val="00CC4832"/>
    <w:rsid w:val="00CC4B0C"/>
    <w:rsid w:val="00CC4C12"/>
    <w:rsid w:val="00CC60E2"/>
    <w:rsid w:val="00CC74AD"/>
    <w:rsid w:val="00CC79F1"/>
    <w:rsid w:val="00CC7A9A"/>
    <w:rsid w:val="00CC7BD7"/>
    <w:rsid w:val="00CD003F"/>
    <w:rsid w:val="00CD0898"/>
    <w:rsid w:val="00CD0D58"/>
    <w:rsid w:val="00CD1187"/>
    <w:rsid w:val="00CD15FD"/>
    <w:rsid w:val="00CD1CF3"/>
    <w:rsid w:val="00CD2456"/>
    <w:rsid w:val="00CD26E7"/>
    <w:rsid w:val="00CD2768"/>
    <w:rsid w:val="00CD290D"/>
    <w:rsid w:val="00CD29CD"/>
    <w:rsid w:val="00CD3138"/>
    <w:rsid w:val="00CD3155"/>
    <w:rsid w:val="00CD332C"/>
    <w:rsid w:val="00CD34BE"/>
    <w:rsid w:val="00CD3818"/>
    <w:rsid w:val="00CD6716"/>
    <w:rsid w:val="00CD6974"/>
    <w:rsid w:val="00CE03BC"/>
    <w:rsid w:val="00CE0E35"/>
    <w:rsid w:val="00CE22A1"/>
    <w:rsid w:val="00CE23EB"/>
    <w:rsid w:val="00CE27FB"/>
    <w:rsid w:val="00CE29F8"/>
    <w:rsid w:val="00CE2A83"/>
    <w:rsid w:val="00CE34B9"/>
    <w:rsid w:val="00CE48AA"/>
    <w:rsid w:val="00CE549E"/>
    <w:rsid w:val="00CE54A0"/>
    <w:rsid w:val="00CE571C"/>
    <w:rsid w:val="00CE65A3"/>
    <w:rsid w:val="00CE69F6"/>
    <w:rsid w:val="00CE6E6F"/>
    <w:rsid w:val="00CE70A7"/>
    <w:rsid w:val="00CE71D3"/>
    <w:rsid w:val="00CF0532"/>
    <w:rsid w:val="00CF14F1"/>
    <w:rsid w:val="00CF22B0"/>
    <w:rsid w:val="00CF274D"/>
    <w:rsid w:val="00CF297D"/>
    <w:rsid w:val="00CF2D76"/>
    <w:rsid w:val="00CF2E13"/>
    <w:rsid w:val="00CF3038"/>
    <w:rsid w:val="00CF37A5"/>
    <w:rsid w:val="00CF3A6E"/>
    <w:rsid w:val="00CF49E0"/>
    <w:rsid w:val="00CF5759"/>
    <w:rsid w:val="00CF5A91"/>
    <w:rsid w:val="00CF65E3"/>
    <w:rsid w:val="00CF6726"/>
    <w:rsid w:val="00CF67D4"/>
    <w:rsid w:val="00CF69D5"/>
    <w:rsid w:val="00D00079"/>
    <w:rsid w:val="00D00EBF"/>
    <w:rsid w:val="00D013FF"/>
    <w:rsid w:val="00D01736"/>
    <w:rsid w:val="00D01842"/>
    <w:rsid w:val="00D018F0"/>
    <w:rsid w:val="00D01C70"/>
    <w:rsid w:val="00D0237A"/>
    <w:rsid w:val="00D032D3"/>
    <w:rsid w:val="00D06761"/>
    <w:rsid w:val="00D06866"/>
    <w:rsid w:val="00D06970"/>
    <w:rsid w:val="00D07BD7"/>
    <w:rsid w:val="00D10079"/>
    <w:rsid w:val="00D10A6A"/>
    <w:rsid w:val="00D10E75"/>
    <w:rsid w:val="00D11730"/>
    <w:rsid w:val="00D1175A"/>
    <w:rsid w:val="00D12061"/>
    <w:rsid w:val="00D123D7"/>
    <w:rsid w:val="00D12527"/>
    <w:rsid w:val="00D14B7D"/>
    <w:rsid w:val="00D14CA4"/>
    <w:rsid w:val="00D15477"/>
    <w:rsid w:val="00D166B3"/>
    <w:rsid w:val="00D175EE"/>
    <w:rsid w:val="00D17E9D"/>
    <w:rsid w:val="00D20BE0"/>
    <w:rsid w:val="00D211A6"/>
    <w:rsid w:val="00D21D52"/>
    <w:rsid w:val="00D21D64"/>
    <w:rsid w:val="00D22826"/>
    <w:rsid w:val="00D24A00"/>
    <w:rsid w:val="00D25F81"/>
    <w:rsid w:val="00D26563"/>
    <w:rsid w:val="00D27544"/>
    <w:rsid w:val="00D30847"/>
    <w:rsid w:val="00D30873"/>
    <w:rsid w:val="00D31472"/>
    <w:rsid w:val="00D31E20"/>
    <w:rsid w:val="00D31ED2"/>
    <w:rsid w:val="00D32429"/>
    <w:rsid w:val="00D333CF"/>
    <w:rsid w:val="00D3352D"/>
    <w:rsid w:val="00D33916"/>
    <w:rsid w:val="00D33B96"/>
    <w:rsid w:val="00D33DE2"/>
    <w:rsid w:val="00D344DF"/>
    <w:rsid w:val="00D351E8"/>
    <w:rsid w:val="00D352A3"/>
    <w:rsid w:val="00D354C5"/>
    <w:rsid w:val="00D35BB1"/>
    <w:rsid w:val="00D36C6C"/>
    <w:rsid w:val="00D377AC"/>
    <w:rsid w:val="00D40D31"/>
    <w:rsid w:val="00D40EFA"/>
    <w:rsid w:val="00D419FE"/>
    <w:rsid w:val="00D43A57"/>
    <w:rsid w:val="00D43F65"/>
    <w:rsid w:val="00D4420E"/>
    <w:rsid w:val="00D450D9"/>
    <w:rsid w:val="00D45188"/>
    <w:rsid w:val="00D45CAC"/>
    <w:rsid w:val="00D46C00"/>
    <w:rsid w:val="00D46DCD"/>
    <w:rsid w:val="00D474E3"/>
    <w:rsid w:val="00D50B88"/>
    <w:rsid w:val="00D510BC"/>
    <w:rsid w:val="00D5138F"/>
    <w:rsid w:val="00D51FAC"/>
    <w:rsid w:val="00D522D8"/>
    <w:rsid w:val="00D534DE"/>
    <w:rsid w:val="00D53B39"/>
    <w:rsid w:val="00D54D9D"/>
    <w:rsid w:val="00D55C0D"/>
    <w:rsid w:val="00D55E71"/>
    <w:rsid w:val="00D56673"/>
    <w:rsid w:val="00D573B2"/>
    <w:rsid w:val="00D573BA"/>
    <w:rsid w:val="00D57DD0"/>
    <w:rsid w:val="00D60BB4"/>
    <w:rsid w:val="00D60D35"/>
    <w:rsid w:val="00D616AF"/>
    <w:rsid w:val="00D619CF"/>
    <w:rsid w:val="00D62E29"/>
    <w:rsid w:val="00D63081"/>
    <w:rsid w:val="00D633F3"/>
    <w:rsid w:val="00D6371D"/>
    <w:rsid w:val="00D63985"/>
    <w:rsid w:val="00D63B2C"/>
    <w:rsid w:val="00D63EDD"/>
    <w:rsid w:val="00D642AC"/>
    <w:rsid w:val="00D648C5"/>
    <w:rsid w:val="00D65655"/>
    <w:rsid w:val="00D65901"/>
    <w:rsid w:val="00D6665E"/>
    <w:rsid w:val="00D66741"/>
    <w:rsid w:val="00D70AC3"/>
    <w:rsid w:val="00D70C0C"/>
    <w:rsid w:val="00D70E40"/>
    <w:rsid w:val="00D70EEE"/>
    <w:rsid w:val="00D71CE2"/>
    <w:rsid w:val="00D737E7"/>
    <w:rsid w:val="00D738AC"/>
    <w:rsid w:val="00D73BA8"/>
    <w:rsid w:val="00D73F87"/>
    <w:rsid w:val="00D74462"/>
    <w:rsid w:val="00D74801"/>
    <w:rsid w:val="00D74909"/>
    <w:rsid w:val="00D74A52"/>
    <w:rsid w:val="00D74E88"/>
    <w:rsid w:val="00D76B1D"/>
    <w:rsid w:val="00D776AE"/>
    <w:rsid w:val="00D80409"/>
    <w:rsid w:val="00D80609"/>
    <w:rsid w:val="00D80CE9"/>
    <w:rsid w:val="00D80FDB"/>
    <w:rsid w:val="00D814C5"/>
    <w:rsid w:val="00D820CC"/>
    <w:rsid w:val="00D82BC3"/>
    <w:rsid w:val="00D855A8"/>
    <w:rsid w:val="00D85A01"/>
    <w:rsid w:val="00D85B49"/>
    <w:rsid w:val="00D85FB8"/>
    <w:rsid w:val="00D8759E"/>
    <w:rsid w:val="00D876B3"/>
    <w:rsid w:val="00D8774C"/>
    <w:rsid w:val="00D87DF1"/>
    <w:rsid w:val="00D903E0"/>
    <w:rsid w:val="00D93B9B"/>
    <w:rsid w:val="00D94405"/>
    <w:rsid w:val="00D94598"/>
    <w:rsid w:val="00D955BA"/>
    <w:rsid w:val="00D9710D"/>
    <w:rsid w:val="00D97173"/>
    <w:rsid w:val="00D97AAD"/>
    <w:rsid w:val="00D97BF9"/>
    <w:rsid w:val="00DA046B"/>
    <w:rsid w:val="00DA06D1"/>
    <w:rsid w:val="00DA0E0C"/>
    <w:rsid w:val="00DA3209"/>
    <w:rsid w:val="00DA376B"/>
    <w:rsid w:val="00DA3DC2"/>
    <w:rsid w:val="00DA5719"/>
    <w:rsid w:val="00DA7F7B"/>
    <w:rsid w:val="00DB0251"/>
    <w:rsid w:val="00DB0892"/>
    <w:rsid w:val="00DB0C5D"/>
    <w:rsid w:val="00DB1348"/>
    <w:rsid w:val="00DB1C05"/>
    <w:rsid w:val="00DB2133"/>
    <w:rsid w:val="00DB2889"/>
    <w:rsid w:val="00DB2947"/>
    <w:rsid w:val="00DB2E58"/>
    <w:rsid w:val="00DB4A7C"/>
    <w:rsid w:val="00DB4C70"/>
    <w:rsid w:val="00DB4E7E"/>
    <w:rsid w:val="00DB6E33"/>
    <w:rsid w:val="00DB7139"/>
    <w:rsid w:val="00DB73A9"/>
    <w:rsid w:val="00DB79F5"/>
    <w:rsid w:val="00DB7EC4"/>
    <w:rsid w:val="00DC01E4"/>
    <w:rsid w:val="00DC14C0"/>
    <w:rsid w:val="00DC187E"/>
    <w:rsid w:val="00DC1AE7"/>
    <w:rsid w:val="00DC1AFE"/>
    <w:rsid w:val="00DC1F68"/>
    <w:rsid w:val="00DC20C3"/>
    <w:rsid w:val="00DC308D"/>
    <w:rsid w:val="00DC34E2"/>
    <w:rsid w:val="00DC5104"/>
    <w:rsid w:val="00DC52AF"/>
    <w:rsid w:val="00DC5473"/>
    <w:rsid w:val="00DC5918"/>
    <w:rsid w:val="00DC6002"/>
    <w:rsid w:val="00DC647A"/>
    <w:rsid w:val="00DC705E"/>
    <w:rsid w:val="00DC746C"/>
    <w:rsid w:val="00DD018A"/>
    <w:rsid w:val="00DD1C34"/>
    <w:rsid w:val="00DD2664"/>
    <w:rsid w:val="00DD2EE4"/>
    <w:rsid w:val="00DD33F7"/>
    <w:rsid w:val="00DD4839"/>
    <w:rsid w:val="00DD4956"/>
    <w:rsid w:val="00DD4CDA"/>
    <w:rsid w:val="00DD4CDB"/>
    <w:rsid w:val="00DD682A"/>
    <w:rsid w:val="00DD6EF3"/>
    <w:rsid w:val="00DD74C6"/>
    <w:rsid w:val="00DE088D"/>
    <w:rsid w:val="00DE1AB6"/>
    <w:rsid w:val="00DE20E6"/>
    <w:rsid w:val="00DE25CD"/>
    <w:rsid w:val="00DE3351"/>
    <w:rsid w:val="00DE3505"/>
    <w:rsid w:val="00DE4588"/>
    <w:rsid w:val="00DE4600"/>
    <w:rsid w:val="00DE66EE"/>
    <w:rsid w:val="00DE674E"/>
    <w:rsid w:val="00DE6CD0"/>
    <w:rsid w:val="00DE7F00"/>
    <w:rsid w:val="00DF09E4"/>
    <w:rsid w:val="00DF11C7"/>
    <w:rsid w:val="00DF139A"/>
    <w:rsid w:val="00DF29C1"/>
    <w:rsid w:val="00DF3272"/>
    <w:rsid w:val="00DF33C6"/>
    <w:rsid w:val="00DF4790"/>
    <w:rsid w:val="00DF53AD"/>
    <w:rsid w:val="00DF58BB"/>
    <w:rsid w:val="00DF5F5F"/>
    <w:rsid w:val="00DF6040"/>
    <w:rsid w:val="00DF6351"/>
    <w:rsid w:val="00DF656A"/>
    <w:rsid w:val="00DF6D2D"/>
    <w:rsid w:val="00E0161B"/>
    <w:rsid w:val="00E01973"/>
    <w:rsid w:val="00E01ADE"/>
    <w:rsid w:val="00E02BFA"/>
    <w:rsid w:val="00E039BE"/>
    <w:rsid w:val="00E03F29"/>
    <w:rsid w:val="00E04320"/>
    <w:rsid w:val="00E05BAC"/>
    <w:rsid w:val="00E06376"/>
    <w:rsid w:val="00E063AA"/>
    <w:rsid w:val="00E07941"/>
    <w:rsid w:val="00E10BE6"/>
    <w:rsid w:val="00E1155A"/>
    <w:rsid w:val="00E11EEB"/>
    <w:rsid w:val="00E124BE"/>
    <w:rsid w:val="00E137C0"/>
    <w:rsid w:val="00E143CA"/>
    <w:rsid w:val="00E14506"/>
    <w:rsid w:val="00E1469F"/>
    <w:rsid w:val="00E1479E"/>
    <w:rsid w:val="00E160FA"/>
    <w:rsid w:val="00E16502"/>
    <w:rsid w:val="00E16CFA"/>
    <w:rsid w:val="00E16E23"/>
    <w:rsid w:val="00E16FC8"/>
    <w:rsid w:val="00E1710B"/>
    <w:rsid w:val="00E17C49"/>
    <w:rsid w:val="00E20805"/>
    <w:rsid w:val="00E20F6E"/>
    <w:rsid w:val="00E22A59"/>
    <w:rsid w:val="00E238AF"/>
    <w:rsid w:val="00E238EC"/>
    <w:rsid w:val="00E23BAA"/>
    <w:rsid w:val="00E2691C"/>
    <w:rsid w:val="00E26AED"/>
    <w:rsid w:val="00E2784C"/>
    <w:rsid w:val="00E27A8A"/>
    <w:rsid w:val="00E30745"/>
    <w:rsid w:val="00E30B3D"/>
    <w:rsid w:val="00E30C45"/>
    <w:rsid w:val="00E32614"/>
    <w:rsid w:val="00E32A97"/>
    <w:rsid w:val="00E32DF9"/>
    <w:rsid w:val="00E3300E"/>
    <w:rsid w:val="00E330B2"/>
    <w:rsid w:val="00E33275"/>
    <w:rsid w:val="00E334A5"/>
    <w:rsid w:val="00E33AB0"/>
    <w:rsid w:val="00E34414"/>
    <w:rsid w:val="00E3453A"/>
    <w:rsid w:val="00E354AF"/>
    <w:rsid w:val="00E35D0F"/>
    <w:rsid w:val="00E403F1"/>
    <w:rsid w:val="00E42538"/>
    <w:rsid w:val="00E42C9C"/>
    <w:rsid w:val="00E43537"/>
    <w:rsid w:val="00E441CD"/>
    <w:rsid w:val="00E44385"/>
    <w:rsid w:val="00E4487C"/>
    <w:rsid w:val="00E448F9"/>
    <w:rsid w:val="00E4749E"/>
    <w:rsid w:val="00E47739"/>
    <w:rsid w:val="00E47D30"/>
    <w:rsid w:val="00E47DFF"/>
    <w:rsid w:val="00E5009E"/>
    <w:rsid w:val="00E50843"/>
    <w:rsid w:val="00E50CF4"/>
    <w:rsid w:val="00E50DF1"/>
    <w:rsid w:val="00E5273A"/>
    <w:rsid w:val="00E52A44"/>
    <w:rsid w:val="00E5322E"/>
    <w:rsid w:val="00E53BB3"/>
    <w:rsid w:val="00E53E56"/>
    <w:rsid w:val="00E55051"/>
    <w:rsid w:val="00E56AA1"/>
    <w:rsid w:val="00E60279"/>
    <w:rsid w:val="00E6051F"/>
    <w:rsid w:val="00E611D7"/>
    <w:rsid w:val="00E61326"/>
    <w:rsid w:val="00E61772"/>
    <w:rsid w:val="00E62641"/>
    <w:rsid w:val="00E62BBB"/>
    <w:rsid w:val="00E634B7"/>
    <w:rsid w:val="00E640F6"/>
    <w:rsid w:val="00E64DAF"/>
    <w:rsid w:val="00E651D2"/>
    <w:rsid w:val="00E703BA"/>
    <w:rsid w:val="00E7041C"/>
    <w:rsid w:val="00E707B0"/>
    <w:rsid w:val="00E70E15"/>
    <w:rsid w:val="00E7105E"/>
    <w:rsid w:val="00E72515"/>
    <w:rsid w:val="00E72A8D"/>
    <w:rsid w:val="00E72FDC"/>
    <w:rsid w:val="00E76050"/>
    <w:rsid w:val="00E7615A"/>
    <w:rsid w:val="00E766E2"/>
    <w:rsid w:val="00E76B52"/>
    <w:rsid w:val="00E7721A"/>
    <w:rsid w:val="00E7747A"/>
    <w:rsid w:val="00E80119"/>
    <w:rsid w:val="00E80934"/>
    <w:rsid w:val="00E815DE"/>
    <w:rsid w:val="00E82444"/>
    <w:rsid w:val="00E824CB"/>
    <w:rsid w:val="00E82A53"/>
    <w:rsid w:val="00E82E19"/>
    <w:rsid w:val="00E839CA"/>
    <w:rsid w:val="00E844F2"/>
    <w:rsid w:val="00E856B7"/>
    <w:rsid w:val="00E85768"/>
    <w:rsid w:val="00E86D8D"/>
    <w:rsid w:val="00E87758"/>
    <w:rsid w:val="00E87F82"/>
    <w:rsid w:val="00E900D1"/>
    <w:rsid w:val="00E908C8"/>
    <w:rsid w:val="00E92156"/>
    <w:rsid w:val="00E938EE"/>
    <w:rsid w:val="00E94649"/>
    <w:rsid w:val="00E9510C"/>
    <w:rsid w:val="00E95CE6"/>
    <w:rsid w:val="00E96584"/>
    <w:rsid w:val="00E969CF"/>
    <w:rsid w:val="00E96CAC"/>
    <w:rsid w:val="00EA098B"/>
    <w:rsid w:val="00EA141A"/>
    <w:rsid w:val="00EA2B71"/>
    <w:rsid w:val="00EA2BB5"/>
    <w:rsid w:val="00EA2CF8"/>
    <w:rsid w:val="00EA2E81"/>
    <w:rsid w:val="00EA438E"/>
    <w:rsid w:val="00EA5141"/>
    <w:rsid w:val="00EA53DC"/>
    <w:rsid w:val="00EA56B4"/>
    <w:rsid w:val="00EA57D3"/>
    <w:rsid w:val="00EA5B99"/>
    <w:rsid w:val="00EA6042"/>
    <w:rsid w:val="00EA65C5"/>
    <w:rsid w:val="00EA6E87"/>
    <w:rsid w:val="00EB17E9"/>
    <w:rsid w:val="00EB18D4"/>
    <w:rsid w:val="00EB26CC"/>
    <w:rsid w:val="00EB4666"/>
    <w:rsid w:val="00EB47BE"/>
    <w:rsid w:val="00EB60C1"/>
    <w:rsid w:val="00EB6481"/>
    <w:rsid w:val="00EB6A35"/>
    <w:rsid w:val="00EB74D1"/>
    <w:rsid w:val="00EC01B2"/>
    <w:rsid w:val="00EC0B82"/>
    <w:rsid w:val="00EC2DD6"/>
    <w:rsid w:val="00EC3ACB"/>
    <w:rsid w:val="00EC436F"/>
    <w:rsid w:val="00EC46C0"/>
    <w:rsid w:val="00EC4E22"/>
    <w:rsid w:val="00EC5030"/>
    <w:rsid w:val="00EC5209"/>
    <w:rsid w:val="00EC59F0"/>
    <w:rsid w:val="00EC64F4"/>
    <w:rsid w:val="00EC6529"/>
    <w:rsid w:val="00EC65C6"/>
    <w:rsid w:val="00EC70D3"/>
    <w:rsid w:val="00EC7309"/>
    <w:rsid w:val="00ED17C5"/>
    <w:rsid w:val="00ED1B48"/>
    <w:rsid w:val="00ED3A25"/>
    <w:rsid w:val="00ED45F8"/>
    <w:rsid w:val="00ED5371"/>
    <w:rsid w:val="00ED6E37"/>
    <w:rsid w:val="00ED7923"/>
    <w:rsid w:val="00EE10EB"/>
    <w:rsid w:val="00EE117D"/>
    <w:rsid w:val="00EE210A"/>
    <w:rsid w:val="00EE3753"/>
    <w:rsid w:val="00EE3807"/>
    <w:rsid w:val="00EE3BBE"/>
    <w:rsid w:val="00EE41B1"/>
    <w:rsid w:val="00EE4DF7"/>
    <w:rsid w:val="00EE581A"/>
    <w:rsid w:val="00EE5ADA"/>
    <w:rsid w:val="00EE6248"/>
    <w:rsid w:val="00EE6448"/>
    <w:rsid w:val="00EE64A2"/>
    <w:rsid w:val="00EE7298"/>
    <w:rsid w:val="00EE730D"/>
    <w:rsid w:val="00EE7750"/>
    <w:rsid w:val="00EF0F17"/>
    <w:rsid w:val="00EF1CC4"/>
    <w:rsid w:val="00EF233C"/>
    <w:rsid w:val="00EF2395"/>
    <w:rsid w:val="00EF2844"/>
    <w:rsid w:val="00EF286F"/>
    <w:rsid w:val="00EF28B7"/>
    <w:rsid w:val="00EF3052"/>
    <w:rsid w:val="00EF38CE"/>
    <w:rsid w:val="00EF3B40"/>
    <w:rsid w:val="00EF3CB7"/>
    <w:rsid w:val="00EF3FE2"/>
    <w:rsid w:val="00EF4152"/>
    <w:rsid w:val="00EF42C4"/>
    <w:rsid w:val="00EF4A32"/>
    <w:rsid w:val="00EF59D6"/>
    <w:rsid w:val="00EF6299"/>
    <w:rsid w:val="00EF65FE"/>
    <w:rsid w:val="00EF6C88"/>
    <w:rsid w:val="00EF6D24"/>
    <w:rsid w:val="00EF743B"/>
    <w:rsid w:val="00F03199"/>
    <w:rsid w:val="00F03937"/>
    <w:rsid w:val="00F03AB2"/>
    <w:rsid w:val="00F04040"/>
    <w:rsid w:val="00F04897"/>
    <w:rsid w:val="00F04B46"/>
    <w:rsid w:val="00F05D28"/>
    <w:rsid w:val="00F07735"/>
    <w:rsid w:val="00F10362"/>
    <w:rsid w:val="00F1069A"/>
    <w:rsid w:val="00F1098B"/>
    <w:rsid w:val="00F10C6F"/>
    <w:rsid w:val="00F12A67"/>
    <w:rsid w:val="00F12E4D"/>
    <w:rsid w:val="00F14505"/>
    <w:rsid w:val="00F1494B"/>
    <w:rsid w:val="00F15746"/>
    <w:rsid w:val="00F15C0F"/>
    <w:rsid w:val="00F167AC"/>
    <w:rsid w:val="00F20923"/>
    <w:rsid w:val="00F20E95"/>
    <w:rsid w:val="00F20F47"/>
    <w:rsid w:val="00F227C4"/>
    <w:rsid w:val="00F23155"/>
    <w:rsid w:val="00F23694"/>
    <w:rsid w:val="00F23750"/>
    <w:rsid w:val="00F238D9"/>
    <w:rsid w:val="00F23E79"/>
    <w:rsid w:val="00F246F1"/>
    <w:rsid w:val="00F24921"/>
    <w:rsid w:val="00F25010"/>
    <w:rsid w:val="00F269AA"/>
    <w:rsid w:val="00F270C5"/>
    <w:rsid w:val="00F31D55"/>
    <w:rsid w:val="00F326A1"/>
    <w:rsid w:val="00F32BE0"/>
    <w:rsid w:val="00F336F5"/>
    <w:rsid w:val="00F33FEA"/>
    <w:rsid w:val="00F3437E"/>
    <w:rsid w:val="00F350BE"/>
    <w:rsid w:val="00F366FA"/>
    <w:rsid w:val="00F3794F"/>
    <w:rsid w:val="00F41690"/>
    <w:rsid w:val="00F41867"/>
    <w:rsid w:val="00F42267"/>
    <w:rsid w:val="00F4461D"/>
    <w:rsid w:val="00F4511E"/>
    <w:rsid w:val="00F45F5D"/>
    <w:rsid w:val="00F47469"/>
    <w:rsid w:val="00F47A69"/>
    <w:rsid w:val="00F47EAE"/>
    <w:rsid w:val="00F50FCF"/>
    <w:rsid w:val="00F513B5"/>
    <w:rsid w:val="00F54DE6"/>
    <w:rsid w:val="00F54FCF"/>
    <w:rsid w:val="00F55806"/>
    <w:rsid w:val="00F55E16"/>
    <w:rsid w:val="00F55FA6"/>
    <w:rsid w:val="00F55FB5"/>
    <w:rsid w:val="00F56106"/>
    <w:rsid w:val="00F56868"/>
    <w:rsid w:val="00F57AE2"/>
    <w:rsid w:val="00F57DC1"/>
    <w:rsid w:val="00F57FB0"/>
    <w:rsid w:val="00F604D9"/>
    <w:rsid w:val="00F608A9"/>
    <w:rsid w:val="00F62114"/>
    <w:rsid w:val="00F62B20"/>
    <w:rsid w:val="00F62B2D"/>
    <w:rsid w:val="00F630ED"/>
    <w:rsid w:val="00F63A7F"/>
    <w:rsid w:val="00F63CA1"/>
    <w:rsid w:val="00F63E4B"/>
    <w:rsid w:val="00F65E27"/>
    <w:rsid w:val="00F66B15"/>
    <w:rsid w:val="00F67405"/>
    <w:rsid w:val="00F72349"/>
    <w:rsid w:val="00F7312C"/>
    <w:rsid w:val="00F73FE9"/>
    <w:rsid w:val="00F74593"/>
    <w:rsid w:val="00F753C4"/>
    <w:rsid w:val="00F7595E"/>
    <w:rsid w:val="00F75B56"/>
    <w:rsid w:val="00F75BD1"/>
    <w:rsid w:val="00F75D61"/>
    <w:rsid w:val="00F75D76"/>
    <w:rsid w:val="00F773B7"/>
    <w:rsid w:val="00F77721"/>
    <w:rsid w:val="00F77B9F"/>
    <w:rsid w:val="00F77EA4"/>
    <w:rsid w:val="00F801FB"/>
    <w:rsid w:val="00F8044A"/>
    <w:rsid w:val="00F80961"/>
    <w:rsid w:val="00F815A5"/>
    <w:rsid w:val="00F8319B"/>
    <w:rsid w:val="00F83743"/>
    <w:rsid w:val="00F83AE0"/>
    <w:rsid w:val="00F83DA9"/>
    <w:rsid w:val="00F84C50"/>
    <w:rsid w:val="00F8507C"/>
    <w:rsid w:val="00F85E1D"/>
    <w:rsid w:val="00F864DA"/>
    <w:rsid w:val="00F865E3"/>
    <w:rsid w:val="00F8676A"/>
    <w:rsid w:val="00F86CFA"/>
    <w:rsid w:val="00F9014B"/>
    <w:rsid w:val="00F90D8C"/>
    <w:rsid w:val="00F91814"/>
    <w:rsid w:val="00F919A4"/>
    <w:rsid w:val="00F91A2A"/>
    <w:rsid w:val="00F91DB3"/>
    <w:rsid w:val="00F92453"/>
    <w:rsid w:val="00F95C12"/>
    <w:rsid w:val="00F95C90"/>
    <w:rsid w:val="00F961EA"/>
    <w:rsid w:val="00F96603"/>
    <w:rsid w:val="00F96884"/>
    <w:rsid w:val="00F968C8"/>
    <w:rsid w:val="00F97C4E"/>
    <w:rsid w:val="00FA0855"/>
    <w:rsid w:val="00FA0906"/>
    <w:rsid w:val="00FA10EC"/>
    <w:rsid w:val="00FA1901"/>
    <w:rsid w:val="00FA2272"/>
    <w:rsid w:val="00FA2FF0"/>
    <w:rsid w:val="00FA3209"/>
    <w:rsid w:val="00FA353B"/>
    <w:rsid w:val="00FA3B6A"/>
    <w:rsid w:val="00FA3BDA"/>
    <w:rsid w:val="00FA421F"/>
    <w:rsid w:val="00FA4784"/>
    <w:rsid w:val="00FA64E3"/>
    <w:rsid w:val="00FA661A"/>
    <w:rsid w:val="00FA7754"/>
    <w:rsid w:val="00FB0116"/>
    <w:rsid w:val="00FB12E3"/>
    <w:rsid w:val="00FB15CB"/>
    <w:rsid w:val="00FB22F9"/>
    <w:rsid w:val="00FB2F36"/>
    <w:rsid w:val="00FB310A"/>
    <w:rsid w:val="00FB43A2"/>
    <w:rsid w:val="00FB4417"/>
    <w:rsid w:val="00FB4EFF"/>
    <w:rsid w:val="00FB50E2"/>
    <w:rsid w:val="00FB5662"/>
    <w:rsid w:val="00FB575F"/>
    <w:rsid w:val="00FB5B2C"/>
    <w:rsid w:val="00FB666E"/>
    <w:rsid w:val="00FB6ED2"/>
    <w:rsid w:val="00FB7296"/>
    <w:rsid w:val="00FB76A6"/>
    <w:rsid w:val="00FB7F9E"/>
    <w:rsid w:val="00FC0DED"/>
    <w:rsid w:val="00FC131F"/>
    <w:rsid w:val="00FC1D61"/>
    <w:rsid w:val="00FC3CD8"/>
    <w:rsid w:val="00FC3FF8"/>
    <w:rsid w:val="00FC56F9"/>
    <w:rsid w:val="00FC5FC2"/>
    <w:rsid w:val="00FC6876"/>
    <w:rsid w:val="00FC708D"/>
    <w:rsid w:val="00FC7C91"/>
    <w:rsid w:val="00FD05A7"/>
    <w:rsid w:val="00FD0681"/>
    <w:rsid w:val="00FD0E0C"/>
    <w:rsid w:val="00FD1076"/>
    <w:rsid w:val="00FD1FB6"/>
    <w:rsid w:val="00FD2098"/>
    <w:rsid w:val="00FD2C59"/>
    <w:rsid w:val="00FD2F3F"/>
    <w:rsid w:val="00FD45DB"/>
    <w:rsid w:val="00FD49A4"/>
    <w:rsid w:val="00FD49D8"/>
    <w:rsid w:val="00FD5081"/>
    <w:rsid w:val="00FD5578"/>
    <w:rsid w:val="00FD57BE"/>
    <w:rsid w:val="00FD7895"/>
    <w:rsid w:val="00FD7C92"/>
    <w:rsid w:val="00FE0951"/>
    <w:rsid w:val="00FE2CA4"/>
    <w:rsid w:val="00FE31BD"/>
    <w:rsid w:val="00FE3E6A"/>
    <w:rsid w:val="00FE41BD"/>
    <w:rsid w:val="00FE48B7"/>
    <w:rsid w:val="00FE4CA3"/>
    <w:rsid w:val="00FE5EF7"/>
    <w:rsid w:val="00FE64C6"/>
    <w:rsid w:val="00FE64C9"/>
    <w:rsid w:val="00FE689C"/>
    <w:rsid w:val="00FE7F47"/>
    <w:rsid w:val="00FF02BC"/>
    <w:rsid w:val="00FF04AB"/>
    <w:rsid w:val="00FF09D7"/>
    <w:rsid w:val="00FF1D28"/>
    <w:rsid w:val="00FF2174"/>
    <w:rsid w:val="00FF3618"/>
    <w:rsid w:val="00FF3E3F"/>
    <w:rsid w:val="00FF427B"/>
    <w:rsid w:val="00FF453D"/>
    <w:rsid w:val="00FF4773"/>
    <w:rsid w:val="00FF60D8"/>
    <w:rsid w:val="00FF6591"/>
    <w:rsid w:val="00FF6858"/>
    <w:rsid w:val="00FF6A15"/>
    <w:rsid w:val="00FF7BF3"/>
    <w:rsid w:val="01701A79"/>
    <w:rsid w:val="0199100A"/>
    <w:rsid w:val="01AA1262"/>
    <w:rsid w:val="01C32805"/>
    <w:rsid w:val="02300C76"/>
    <w:rsid w:val="026B6B93"/>
    <w:rsid w:val="02912605"/>
    <w:rsid w:val="02A720F7"/>
    <w:rsid w:val="02E825EA"/>
    <w:rsid w:val="031F6118"/>
    <w:rsid w:val="03A739C5"/>
    <w:rsid w:val="03C56D03"/>
    <w:rsid w:val="03D822E2"/>
    <w:rsid w:val="03EE419D"/>
    <w:rsid w:val="03F1179B"/>
    <w:rsid w:val="04B821C6"/>
    <w:rsid w:val="050312DF"/>
    <w:rsid w:val="050D21F3"/>
    <w:rsid w:val="05276CF9"/>
    <w:rsid w:val="05704825"/>
    <w:rsid w:val="0677449D"/>
    <w:rsid w:val="06D6758B"/>
    <w:rsid w:val="07374408"/>
    <w:rsid w:val="07B00EC1"/>
    <w:rsid w:val="07E50E92"/>
    <w:rsid w:val="08270219"/>
    <w:rsid w:val="08694664"/>
    <w:rsid w:val="09113FD0"/>
    <w:rsid w:val="0930069A"/>
    <w:rsid w:val="094A4EA1"/>
    <w:rsid w:val="09543006"/>
    <w:rsid w:val="0AAC5CE9"/>
    <w:rsid w:val="0AE306CA"/>
    <w:rsid w:val="0B6F3B0C"/>
    <w:rsid w:val="0B9D10D5"/>
    <w:rsid w:val="0BBE31AD"/>
    <w:rsid w:val="0CDD38ED"/>
    <w:rsid w:val="0E472D19"/>
    <w:rsid w:val="0E782522"/>
    <w:rsid w:val="0E7E66EE"/>
    <w:rsid w:val="0E8102F3"/>
    <w:rsid w:val="0E8A790A"/>
    <w:rsid w:val="0EB4794B"/>
    <w:rsid w:val="0F233BA9"/>
    <w:rsid w:val="0F241522"/>
    <w:rsid w:val="0F4A748F"/>
    <w:rsid w:val="10430EB7"/>
    <w:rsid w:val="106502A3"/>
    <w:rsid w:val="113069F5"/>
    <w:rsid w:val="11A1318A"/>
    <w:rsid w:val="11E3001F"/>
    <w:rsid w:val="12861CE4"/>
    <w:rsid w:val="13B3142C"/>
    <w:rsid w:val="13CF5599"/>
    <w:rsid w:val="13D0124B"/>
    <w:rsid w:val="13D2550D"/>
    <w:rsid w:val="13D66270"/>
    <w:rsid w:val="13FA7D9F"/>
    <w:rsid w:val="14581B93"/>
    <w:rsid w:val="148779AC"/>
    <w:rsid w:val="151736C6"/>
    <w:rsid w:val="159F3197"/>
    <w:rsid w:val="15AF54A9"/>
    <w:rsid w:val="15E06128"/>
    <w:rsid w:val="15E66ADF"/>
    <w:rsid w:val="15F011B7"/>
    <w:rsid w:val="16087314"/>
    <w:rsid w:val="163F3011"/>
    <w:rsid w:val="16407D64"/>
    <w:rsid w:val="167E42A8"/>
    <w:rsid w:val="16A30190"/>
    <w:rsid w:val="1758491E"/>
    <w:rsid w:val="17F04282"/>
    <w:rsid w:val="18035DCC"/>
    <w:rsid w:val="18740446"/>
    <w:rsid w:val="19134299"/>
    <w:rsid w:val="195A0E34"/>
    <w:rsid w:val="1A361CF4"/>
    <w:rsid w:val="1A411C05"/>
    <w:rsid w:val="1A9860DC"/>
    <w:rsid w:val="1AA014D6"/>
    <w:rsid w:val="1AAD77CA"/>
    <w:rsid w:val="1AF339A6"/>
    <w:rsid w:val="1B197658"/>
    <w:rsid w:val="1B4E684A"/>
    <w:rsid w:val="1B842559"/>
    <w:rsid w:val="1C147C71"/>
    <w:rsid w:val="1C181ED3"/>
    <w:rsid w:val="1C324211"/>
    <w:rsid w:val="1C6665CB"/>
    <w:rsid w:val="1C950AE1"/>
    <w:rsid w:val="1CB84D67"/>
    <w:rsid w:val="1D846BD6"/>
    <w:rsid w:val="1D9A0349"/>
    <w:rsid w:val="1E624BB1"/>
    <w:rsid w:val="1E9A05FC"/>
    <w:rsid w:val="1ECC70CB"/>
    <w:rsid w:val="1F6455F0"/>
    <w:rsid w:val="1F7315B2"/>
    <w:rsid w:val="1FF73CD4"/>
    <w:rsid w:val="20815F93"/>
    <w:rsid w:val="20945E1F"/>
    <w:rsid w:val="20B00100"/>
    <w:rsid w:val="21334602"/>
    <w:rsid w:val="21796F6E"/>
    <w:rsid w:val="21BC5F07"/>
    <w:rsid w:val="21C651E1"/>
    <w:rsid w:val="22042631"/>
    <w:rsid w:val="229F6D61"/>
    <w:rsid w:val="22C94847"/>
    <w:rsid w:val="22CA0B50"/>
    <w:rsid w:val="22DC5D3F"/>
    <w:rsid w:val="22F32C04"/>
    <w:rsid w:val="22FC6509"/>
    <w:rsid w:val="231337DD"/>
    <w:rsid w:val="233D2346"/>
    <w:rsid w:val="237E03EC"/>
    <w:rsid w:val="24542E31"/>
    <w:rsid w:val="24857E1A"/>
    <w:rsid w:val="248758D4"/>
    <w:rsid w:val="24C707F8"/>
    <w:rsid w:val="24DA693C"/>
    <w:rsid w:val="24EE6385"/>
    <w:rsid w:val="258E4C9B"/>
    <w:rsid w:val="25964568"/>
    <w:rsid w:val="25BD48EB"/>
    <w:rsid w:val="25C52A96"/>
    <w:rsid w:val="264B3A73"/>
    <w:rsid w:val="264F2DF1"/>
    <w:rsid w:val="27007528"/>
    <w:rsid w:val="275159C0"/>
    <w:rsid w:val="27557EE4"/>
    <w:rsid w:val="276363F3"/>
    <w:rsid w:val="27DE3507"/>
    <w:rsid w:val="27E005F3"/>
    <w:rsid w:val="280C6F5D"/>
    <w:rsid w:val="28567B2A"/>
    <w:rsid w:val="28871665"/>
    <w:rsid w:val="28F56694"/>
    <w:rsid w:val="29323796"/>
    <w:rsid w:val="296207D3"/>
    <w:rsid w:val="298F5EF2"/>
    <w:rsid w:val="29C8533A"/>
    <w:rsid w:val="29C93499"/>
    <w:rsid w:val="2A4020F4"/>
    <w:rsid w:val="2A4D2F83"/>
    <w:rsid w:val="2A685161"/>
    <w:rsid w:val="2A9E1303"/>
    <w:rsid w:val="2ABA7514"/>
    <w:rsid w:val="2ABC11EE"/>
    <w:rsid w:val="2B38264F"/>
    <w:rsid w:val="2B5E4040"/>
    <w:rsid w:val="2B6E3457"/>
    <w:rsid w:val="2B7D32B5"/>
    <w:rsid w:val="2BB1791E"/>
    <w:rsid w:val="2BB60B25"/>
    <w:rsid w:val="2BD77C54"/>
    <w:rsid w:val="2C367F04"/>
    <w:rsid w:val="2C8E7C41"/>
    <w:rsid w:val="2D636205"/>
    <w:rsid w:val="2D8F3503"/>
    <w:rsid w:val="2D9A35F5"/>
    <w:rsid w:val="2DC1644C"/>
    <w:rsid w:val="2DFB3A7B"/>
    <w:rsid w:val="2E6914F6"/>
    <w:rsid w:val="2E923685"/>
    <w:rsid w:val="2EA86EF2"/>
    <w:rsid w:val="2F392E02"/>
    <w:rsid w:val="2F4B5AFB"/>
    <w:rsid w:val="2F5605EF"/>
    <w:rsid w:val="2F7767C1"/>
    <w:rsid w:val="2F810F73"/>
    <w:rsid w:val="2F8B6071"/>
    <w:rsid w:val="301168A9"/>
    <w:rsid w:val="30260A23"/>
    <w:rsid w:val="304F1CD2"/>
    <w:rsid w:val="30F358EF"/>
    <w:rsid w:val="31156531"/>
    <w:rsid w:val="313A3CF5"/>
    <w:rsid w:val="31AC17F4"/>
    <w:rsid w:val="31B25D06"/>
    <w:rsid w:val="323A3717"/>
    <w:rsid w:val="32C0738B"/>
    <w:rsid w:val="32C94609"/>
    <w:rsid w:val="32FD5E0B"/>
    <w:rsid w:val="336A30FA"/>
    <w:rsid w:val="337A71EB"/>
    <w:rsid w:val="33A354E6"/>
    <w:rsid w:val="34124AA1"/>
    <w:rsid w:val="349A1C07"/>
    <w:rsid w:val="34EA74D6"/>
    <w:rsid w:val="354F1F6B"/>
    <w:rsid w:val="35F05081"/>
    <w:rsid w:val="36883E30"/>
    <w:rsid w:val="36E94542"/>
    <w:rsid w:val="370B680C"/>
    <w:rsid w:val="37250F22"/>
    <w:rsid w:val="37316219"/>
    <w:rsid w:val="373B1052"/>
    <w:rsid w:val="3763274C"/>
    <w:rsid w:val="37795246"/>
    <w:rsid w:val="3802246B"/>
    <w:rsid w:val="38080589"/>
    <w:rsid w:val="38757EBD"/>
    <w:rsid w:val="389122A4"/>
    <w:rsid w:val="39F5767E"/>
    <w:rsid w:val="39FA5950"/>
    <w:rsid w:val="3A0A7EC7"/>
    <w:rsid w:val="3A5A0FDF"/>
    <w:rsid w:val="3AC1358B"/>
    <w:rsid w:val="3B066086"/>
    <w:rsid w:val="3BA17AB2"/>
    <w:rsid w:val="3BFF0071"/>
    <w:rsid w:val="3C77720D"/>
    <w:rsid w:val="3C9C0CD1"/>
    <w:rsid w:val="3CAA12FD"/>
    <w:rsid w:val="3CB255EF"/>
    <w:rsid w:val="3CF93ED0"/>
    <w:rsid w:val="3D6B5C86"/>
    <w:rsid w:val="3D9723E7"/>
    <w:rsid w:val="3DB80CB3"/>
    <w:rsid w:val="3DD558AD"/>
    <w:rsid w:val="3E0261BA"/>
    <w:rsid w:val="3E2A0347"/>
    <w:rsid w:val="3E9A7FA6"/>
    <w:rsid w:val="3EDF55F7"/>
    <w:rsid w:val="3EEB3AD9"/>
    <w:rsid w:val="3F143D5A"/>
    <w:rsid w:val="3F1E1AD3"/>
    <w:rsid w:val="3F4A4292"/>
    <w:rsid w:val="3F610238"/>
    <w:rsid w:val="3F897987"/>
    <w:rsid w:val="3FF35B98"/>
    <w:rsid w:val="40184BC3"/>
    <w:rsid w:val="40231E1C"/>
    <w:rsid w:val="402C7A63"/>
    <w:rsid w:val="404922F5"/>
    <w:rsid w:val="40A450E4"/>
    <w:rsid w:val="40B616F1"/>
    <w:rsid w:val="40EE0503"/>
    <w:rsid w:val="41307ECF"/>
    <w:rsid w:val="4239405C"/>
    <w:rsid w:val="428428CB"/>
    <w:rsid w:val="42CC762E"/>
    <w:rsid w:val="43016DD2"/>
    <w:rsid w:val="432E3C17"/>
    <w:rsid w:val="437C018F"/>
    <w:rsid w:val="4391119C"/>
    <w:rsid w:val="43C31B7D"/>
    <w:rsid w:val="43F40003"/>
    <w:rsid w:val="451E44F6"/>
    <w:rsid w:val="454A165D"/>
    <w:rsid w:val="460B031D"/>
    <w:rsid w:val="47360948"/>
    <w:rsid w:val="47754ECC"/>
    <w:rsid w:val="47DB67A8"/>
    <w:rsid w:val="480F1B16"/>
    <w:rsid w:val="48334E70"/>
    <w:rsid w:val="485E084A"/>
    <w:rsid w:val="488A027D"/>
    <w:rsid w:val="48FF3A76"/>
    <w:rsid w:val="49C05719"/>
    <w:rsid w:val="4A980BD8"/>
    <w:rsid w:val="4B0D101B"/>
    <w:rsid w:val="4B4B5366"/>
    <w:rsid w:val="4CAE285F"/>
    <w:rsid w:val="4D2F0FA5"/>
    <w:rsid w:val="4D3B60A8"/>
    <w:rsid w:val="4D601CFB"/>
    <w:rsid w:val="4E0F0C57"/>
    <w:rsid w:val="4E7E6C55"/>
    <w:rsid w:val="4EB3432F"/>
    <w:rsid w:val="4F444F81"/>
    <w:rsid w:val="50105715"/>
    <w:rsid w:val="5068549F"/>
    <w:rsid w:val="5069674F"/>
    <w:rsid w:val="509610E4"/>
    <w:rsid w:val="512C4E2D"/>
    <w:rsid w:val="516D3A79"/>
    <w:rsid w:val="522E3175"/>
    <w:rsid w:val="52527F72"/>
    <w:rsid w:val="525C37C3"/>
    <w:rsid w:val="52BD21DF"/>
    <w:rsid w:val="52F32B59"/>
    <w:rsid w:val="534D108E"/>
    <w:rsid w:val="53DA2905"/>
    <w:rsid w:val="540811F0"/>
    <w:rsid w:val="540B2D2B"/>
    <w:rsid w:val="55031E59"/>
    <w:rsid w:val="551F7DF1"/>
    <w:rsid w:val="554B1BDA"/>
    <w:rsid w:val="55636E74"/>
    <w:rsid w:val="55897145"/>
    <w:rsid w:val="5687726F"/>
    <w:rsid w:val="56F6488D"/>
    <w:rsid w:val="573C5E95"/>
    <w:rsid w:val="57420142"/>
    <w:rsid w:val="577D619B"/>
    <w:rsid w:val="578E579E"/>
    <w:rsid w:val="579453FF"/>
    <w:rsid w:val="57CC6A51"/>
    <w:rsid w:val="583A0076"/>
    <w:rsid w:val="58580B92"/>
    <w:rsid w:val="587E6105"/>
    <w:rsid w:val="58930228"/>
    <w:rsid w:val="58BF7C8D"/>
    <w:rsid w:val="58D63BE8"/>
    <w:rsid w:val="5A59582A"/>
    <w:rsid w:val="5A8F51ED"/>
    <w:rsid w:val="5A92673C"/>
    <w:rsid w:val="5ABD07F6"/>
    <w:rsid w:val="5AE82F9C"/>
    <w:rsid w:val="5B2D0095"/>
    <w:rsid w:val="5B61780E"/>
    <w:rsid w:val="5B877194"/>
    <w:rsid w:val="5BD4347F"/>
    <w:rsid w:val="5BD908DF"/>
    <w:rsid w:val="5C3C25B5"/>
    <w:rsid w:val="5C527D8F"/>
    <w:rsid w:val="5C79491A"/>
    <w:rsid w:val="5CE37F63"/>
    <w:rsid w:val="5D597EFD"/>
    <w:rsid w:val="5D645EE9"/>
    <w:rsid w:val="5DC72F85"/>
    <w:rsid w:val="5DD5494D"/>
    <w:rsid w:val="5DFF387D"/>
    <w:rsid w:val="5E1D6CAF"/>
    <w:rsid w:val="5E52747D"/>
    <w:rsid w:val="5E563CE0"/>
    <w:rsid w:val="5EED186A"/>
    <w:rsid w:val="5EFE78C9"/>
    <w:rsid w:val="5F2A27FF"/>
    <w:rsid w:val="5FB90557"/>
    <w:rsid w:val="5FE82542"/>
    <w:rsid w:val="60195132"/>
    <w:rsid w:val="6042508C"/>
    <w:rsid w:val="60805044"/>
    <w:rsid w:val="60BA5F5A"/>
    <w:rsid w:val="60E43825"/>
    <w:rsid w:val="610A624F"/>
    <w:rsid w:val="619338C2"/>
    <w:rsid w:val="6217786F"/>
    <w:rsid w:val="62C3289C"/>
    <w:rsid w:val="62CC4E8C"/>
    <w:rsid w:val="62FC7D45"/>
    <w:rsid w:val="636F5ACB"/>
    <w:rsid w:val="63B318ED"/>
    <w:rsid w:val="63BB4D53"/>
    <w:rsid w:val="63FC741F"/>
    <w:rsid w:val="644037A7"/>
    <w:rsid w:val="64541A46"/>
    <w:rsid w:val="648758EC"/>
    <w:rsid w:val="64C47634"/>
    <w:rsid w:val="64D25660"/>
    <w:rsid w:val="65325D9C"/>
    <w:rsid w:val="65444892"/>
    <w:rsid w:val="657B4BF2"/>
    <w:rsid w:val="658C6359"/>
    <w:rsid w:val="65B335D9"/>
    <w:rsid w:val="65D54467"/>
    <w:rsid w:val="65D941E8"/>
    <w:rsid w:val="65ED6CD8"/>
    <w:rsid w:val="6616757C"/>
    <w:rsid w:val="66BA3943"/>
    <w:rsid w:val="671E1940"/>
    <w:rsid w:val="672A5CA5"/>
    <w:rsid w:val="674E28B0"/>
    <w:rsid w:val="67613677"/>
    <w:rsid w:val="678D1BF7"/>
    <w:rsid w:val="6817003C"/>
    <w:rsid w:val="68271D2D"/>
    <w:rsid w:val="68CE5F37"/>
    <w:rsid w:val="68E150D9"/>
    <w:rsid w:val="695706BC"/>
    <w:rsid w:val="696F522B"/>
    <w:rsid w:val="6992418B"/>
    <w:rsid w:val="699B3038"/>
    <w:rsid w:val="69BE713E"/>
    <w:rsid w:val="6A596020"/>
    <w:rsid w:val="6A66583D"/>
    <w:rsid w:val="6AB57D25"/>
    <w:rsid w:val="6ABD3D41"/>
    <w:rsid w:val="6AC821AF"/>
    <w:rsid w:val="6B6C1664"/>
    <w:rsid w:val="6C1765A4"/>
    <w:rsid w:val="6C277079"/>
    <w:rsid w:val="6C733B60"/>
    <w:rsid w:val="6CD01792"/>
    <w:rsid w:val="6D062D75"/>
    <w:rsid w:val="6D101A8C"/>
    <w:rsid w:val="6D42384C"/>
    <w:rsid w:val="6D491E96"/>
    <w:rsid w:val="6DA8731F"/>
    <w:rsid w:val="6DC5678C"/>
    <w:rsid w:val="6DEF7365"/>
    <w:rsid w:val="6DFA45B8"/>
    <w:rsid w:val="6DFD16CF"/>
    <w:rsid w:val="6E4B2919"/>
    <w:rsid w:val="6E4C6BCD"/>
    <w:rsid w:val="6E5528FB"/>
    <w:rsid w:val="6E71195D"/>
    <w:rsid w:val="6E7D21F1"/>
    <w:rsid w:val="6E9063E9"/>
    <w:rsid w:val="6E9437BA"/>
    <w:rsid w:val="6F397C0C"/>
    <w:rsid w:val="6F62105C"/>
    <w:rsid w:val="6FB360D2"/>
    <w:rsid w:val="70176106"/>
    <w:rsid w:val="702600AF"/>
    <w:rsid w:val="705261FF"/>
    <w:rsid w:val="70775D44"/>
    <w:rsid w:val="70881F3B"/>
    <w:rsid w:val="70A604D8"/>
    <w:rsid w:val="70D04A5F"/>
    <w:rsid w:val="713140C5"/>
    <w:rsid w:val="71422B3F"/>
    <w:rsid w:val="717D624A"/>
    <w:rsid w:val="719A6613"/>
    <w:rsid w:val="71CB5498"/>
    <w:rsid w:val="72A22207"/>
    <w:rsid w:val="72AD59B3"/>
    <w:rsid w:val="73190ACB"/>
    <w:rsid w:val="734477F0"/>
    <w:rsid w:val="7358775B"/>
    <w:rsid w:val="736A60E5"/>
    <w:rsid w:val="738B18DE"/>
    <w:rsid w:val="739C69CC"/>
    <w:rsid w:val="74655E39"/>
    <w:rsid w:val="74F9032B"/>
    <w:rsid w:val="75953CF3"/>
    <w:rsid w:val="75B07D22"/>
    <w:rsid w:val="761532BB"/>
    <w:rsid w:val="761616D8"/>
    <w:rsid w:val="76E43163"/>
    <w:rsid w:val="76EA221B"/>
    <w:rsid w:val="7740435D"/>
    <w:rsid w:val="775302D8"/>
    <w:rsid w:val="77C64123"/>
    <w:rsid w:val="77F76E69"/>
    <w:rsid w:val="77FE10E9"/>
    <w:rsid w:val="780A1A08"/>
    <w:rsid w:val="78AB59F3"/>
    <w:rsid w:val="7A1F5FAF"/>
    <w:rsid w:val="7A355593"/>
    <w:rsid w:val="7A415B5C"/>
    <w:rsid w:val="7A793D31"/>
    <w:rsid w:val="7B226FCC"/>
    <w:rsid w:val="7BEC4A0E"/>
    <w:rsid w:val="7BF93D4E"/>
    <w:rsid w:val="7C13525A"/>
    <w:rsid w:val="7C6D24C9"/>
    <w:rsid w:val="7C7E247E"/>
    <w:rsid w:val="7C9E27EC"/>
    <w:rsid w:val="7CB92C99"/>
    <w:rsid w:val="7CF25494"/>
    <w:rsid w:val="7D1D1522"/>
    <w:rsid w:val="7D1E1FAE"/>
    <w:rsid w:val="7D322A52"/>
    <w:rsid w:val="7D71584C"/>
    <w:rsid w:val="7F5652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qFormat="1" w:unhideWhenUsed="0" w:uiPriority="0" w:name="toa heading"/>
    <w:lsdException w:uiPriority="0" w:name="List"/>
    <w:lsdException w:qFormat="1" w:unhideWhenUsed="0" w:uiPriority="99"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99"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qFormat="1" w:unhideWhenUsed="0" w:uiPriority="99"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70"/>
    <w:autoRedefine/>
    <w:qFormat/>
    <w:uiPriority w:val="0"/>
    <w:pPr>
      <w:keepNext/>
      <w:keepLines/>
      <w:spacing w:before="340" w:after="330" w:line="578" w:lineRule="auto"/>
      <w:jc w:val="center"/>
      <w:outlineLvl w:val="0"/>
    </w:pPr>
    <w:rPr>
      <w:rFonts w:eastAsia="黑体"/>
      <w:bCs/>
      <w:kern w:val="44"/>
      <w:sz w:val="48"/>
      <w:szCs w:val="44"/>
      <w:lang w:val="zh-CN"/>
    </w:rPr>
  </w:style>
  <w:style w:type="paragraph" w:styleId="3">
    <w:name w:val="heading 2"/>
    <w:basedOn w:val="1"/>
    <w:next w:val="1"/>
    <w:link w:val="71"/>
    <w:autoRedefine/>
    <w:qFormat/>
    <w:uiPriority w:val="0"/>
    <w:pPr>
      <w:keepNext/>
      <w:keepLines/>
      <w:spacing w:line="300" w:lineRule="auto"/>
      <w:outlineLvl w:val="1"/>
    </w:pPr>
    <w:rPr>
      <w:rFonts w:ascii="Calibri" w:hAnsi="Calibri" w:eastAsia="黑体"/>
      <w:bCs/>
      <w:kern w:val="2"/>
      <w:sz w:val="28"/>
      <w:szCs w:val="32"/>
      <w:lang w:val="zh-CN"/>
    </w:rPr>
  </w:style>
  <w:style w:type="paragraph" w:styleId="4">
    <w:name w:val="heading 3"/>
    <w:basedOn w:val="1"/>
    <w:next w:val="1"/>
    <w:link w:val="72"/>
    <w:autoRedefine/>
    <w:qFormat/>
    <w:uiPriority w:val="0"/>
    <w:pPr>
      <w:keepNext/>
      <w:keepLines/>
      <w:spacing w:line="360" w:lineRule="auto"/>
      <w:outlineLvl w:val="2"/>
    </w:pPr>
    <w:rPr>
      <w:rFonts w:eastAsia="黑体"/>
      <w:bCs/>
      <w:kern w:val="2"/>
      <w:szCs w:val="32"/>
      <w:lang w:val="zh-CN"/>
    </w:rPr>
  </w:style>
  <w:style w:type="paragraph" w:styleId="5">
    <w:name w:val="heading 4"/>
    <w:basedOn w:val="1"/>
    <w:next w:val="1"/>
    <w:link w:val="73"/>
    <w:autoRedefine/>
    <w:qFormat/>
    <w:uiPriority w:val="0"/>
    <w:pPr>
      <w:keepNext/>
      <w:keepLines/>
      <w:spacing w:line="360" w:lineRule="auto"/>
      <w:outlineLvl w:val="3"/>
    </w:pPr>
    <w:rPr>
      <w:rFonts w:ascii="Arial" w:hAnsi="Arial" w:eastAsia="黑体"/>
      <w:bCs/>
      <w:kern w:val="2"/>
      <w:szCs w:val="28"/>
      <w:lang w:val="zh-CN"/>
    </w:rPr>
  </w:style>
  <w:style w:type="paragraph" w:styleId="6">
    <w:name w:val="heading 5"/>
    <w:basedOn w:val="1"/>
    <w:next w:val="1"/>
    <w:link w:val="98"/>
    <w:autoRedefine/>
    <w:qFormat/>
    <w:uiPriority w:val="0"/>
    <w:pPr>
      <w:keepNext/>
      <w:keepLines/>
      <w:spacing w:before="280" w:after="290" w:line="376" w:lineRule="auto"/>
      <w:outlineLvl w:val="4"/>
    </w:pPr>
    <w:rPr>
      <w:b/>
      <w:bCs/>
      <w:kern w:val="2"/>
      <w:sz w:val="28"/>
      <w:szCs w:val="28"/>
      <w:lang w:val="zh-CN"/>
    </w:rPr>
  </w:style>
  <w:style w:type="paragraph" w:styleId="7">
    <w:name w:val="heading 6"/>
    <w:basedOn w:val="1"/>
    <w:next w:val="1"/>
    <w:link w:val="99"/>
    <w:autoRedefine/>
    <w:qFormat/>
    <w:uiPriority w:val="0"/>
    <w:pPr>
      <w:keepNext/>
      <w:keepLines/>
      <w:spacing w:before="240" w:after="64" w:line="320" w:lineRule="auto"/>
      <w:outlineLvl w:val="5"/>
    </w:pPr>
    <w:rPr>
      <w:rFonts w:ascii="Arial" w:hAnsi="Arial" w:eastAsia="黑体"/>
      <w:b/>
      <w:bCs/>
      <w:kern w:val="2"/>
      <w:lang w:val="zh-CN"/>
    </w:rPr>
  </w:style>
  <w:style w:type="paragraph" w:styleId="8">
    <w:name w:val="heading 7"/>
    <w:basedOn w:val="1"/>
    <w:next w:val="1"/>
    <w:link w:val="100"/>
    <w:autoRedefine/>
    <w:qFormat/>
    <w:uiPriority w:val="0"/>
    <w:pPr>
      <w:keepNext/>
      <w:keepLines/>
      <w:spacing w:before="240" w:after="64" w:line="320" w:lineRule="auto"/>
      <w:outlineLvl w:val="6"/>
    </w:pPr>
    <w:rPr>
      <w:b/>
      <w:bCs/>
      <w:kern w:val="2"/>
      <w:lang w:val="zh-CN"/>
    </w:rPr>
  </w:style>
  <w:style w:type="paragraph" w:styleId="9">
    <w:name w:val="heading 8"/>
    <w:basedOn w:val="1"/>
    <w:next w:val="1"/>
    <w:link w:val="101"/>
    <w:autoRedefine/>
    <w:qFormat/>
    <w:uiPriority w:val="0"/>
    <w:pPr>
      <w:keepNext/>
      <w:keepLines/>
      <w:spacing w:before="240" w:after="64" w:line="320" w:lineRule="auto"/>
      <w:outlineLvl w:val="7"/>
    </w:pPr>
    <w:rPr>
      <w:rFonts w:ascii="Arial" w:hAnsi="Arial" w:eastAsia="黑体"/>
      <w:kern w:val="2"/>
      <w:lang w:val="zh-CN"/>
    </w:rPr>
  </w:style>
  <w:style w:type="paragraph" w:styleId="10">
    <w:name w:val="heading 9"/>
    <w:basedOn w:val="1"/>
    <w:next w:val="1"/>
    <w:link w:val="102"/>
    <w:autoRedefine/>
    <w:qFormat/>
    <w:uiPriority w:val="0"/>
    <w:pPr>
      <w:keepNext/>
      <w:keepLines/>
      <w:spacing w:before="240" w:after="64" w:line="320" w:lineRule="auto"/>
      <w:outlineLvl w:val="8"/>
    </w:pPr>
    <w:rPr>
      <w:rFonts w:ascii="Arial" w:hAnsi="Arial" w:eastAsia="黑体"/>
      <w:kern w:val="2"/>
      <w:sz w:val="21"/>
      <w:szCs w:val="21"/>
      <w:lang w:val="zh-CN"/>
    </w:rPr>
  </w:style>
  <w:style w:type="character" w:default="1" w:styleId="56">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unhideWhenUsed/>
    <w:qFormat/>
    <w:uiPriority w:val="99"/>
    <w:pPr>
      <w:widowControl w:val="0"/>
      <w:ind w:left="420" w:leftChars="200"/>
      <w:jc w:val="both"/>
    </w:pPr>
    <w:rPr>
      <w:rFonts w:ascii="Calibri" w:hAnsi="Calibri"/>
      <w:kern w:val="2"/>
      <w:sz w:val="21"/>
      <w:szCs w:val="22"/>
    </w:rPr>
  </w:style>
  <w:style w:type="paragraph" w:styleId="12">
    <w:name w:val="index 8"/>
    <w:basedOn w:val="1"/>
    <w:next w:val="1"/>
    <w:autoRedefine/>
    <w:qFormat/>
    <w:uiPriority w:val="0"/>
    <w:pPr>
      <w:ind w:left="1400" w:leftChars="1400"/>
    </w:pPr>
  </w:style>
  <w:style w:type="paragraph" w:styleId="13">
    <w:name w:val="Normal Indent"/>
    <w:basedOn w:val="1"/>
    <w:next w:val="1"/>
    <w:link w:val="133"/>
    <w:autoRedefine/>
    <w:qFormat/>
    <w:uiPriority w:val="0"/>
    <w:pPr>
      <w:adjustRightInd w:val="0"/>
      <w:spacing w:line="360" w:lineRule="atLeast"/>
      <w:ind w:firstLine="420" w:firstLineChars="200"/>
      <w:textAlignment w:val="baseline"/>
    </w:pPr>
    <w:rPr>
      <w:kern w:val="2"/>
      <w:szCs w:val="20"/>
      <w:lang w:val="zh-CN"/>
    </w:rPr>
  </w:style>
  <w:style w:type="paragraph" w:styleId="14">
    <w:name w:val="caption"/>
    <w:basedOn w:val="1"/>
    <w:next w:val="1"/>
    <w:autoRedefine/>
    <w:qFormat/>
    <w:uiPriority w:val="0"/>
    <w:rPr>
      <w:rFonts w:ascii="Cambria" w:hAnsi="Cambria" w:eastAsia="黑体"/>
      <w:sz w:val="20"/>
      <w:szCs w:val="20"/>
    </w:rPr>
  </w:style>
  <w:style w:type="paragraph" w:styleId="15">
    <w:name w:val="List Bullet"/>
    <w:basedOn w:val="1"/>
    <w:autoRedefine/>
    <w:qFormat/>
    <w:uiPriority w:val="99"/>
    <w:pPr>
      <w:spacing w:before="240" w:line="260" w:lineRule="atLeast"/>
      <w:ind w:left="1080" w:hanging="360" w:hangingChars="200"/>
      <w:jc w:val="both"/>
    </w:pPr>
    <w:rPr>
      <w:rFonts w:eastAsia="LF Song"/>
      <w:i/>
      <w:szCs w:val="20"/>
      <w:lang w:val="en-GB"/>
    </w:rPr>
  </w:style>
  <w:style w:type="paragraph" w:styleId="16">
    <w:name w:val="envelope address"/>
    <w:basedOn w:val="1"/>
    <w:autoRedefine/>
    <w:qFormat/>
    <w:uiPriority w:val="99"/>
    <w:pPr>
      <w:ind w:left="2880"/>
      <w:jc w:val="both"/>
    </w:pPr>
    <w:rPr>
      <w:sz w:val="22"/>
      <w:szCs w:val="20"/>
      <w:lang w:val="en-GB" w:eastAsia="en-US"/>
    </w:rPr>
  </w:style>
  <w:style w:type="paragraph" w:styleId="17">
    <w:name w:val="Document Map"/>
    <w:basedOn w:val="1"/>
    <w:link w:val="76"/>
    <w:autoRedefine/>
    <w:qFormat/>
    <w:uiPriority w:val="99"/>
    <w:rPr>
      <w:rFonts w:ascii="Heiti SC Light" w:eastAsia="Heiti SC Light"/>
      <w:kern w:val="2"/>
      <w:lang w:val="zh-CN"/>
    </w:rPr>
  </w:style>
  <w:style w:type="paragraph" w:styleId="18">
    <w:name w:val="toa heading"/>
    <w:basedOn w:val="1"/>
    <w:next w:val="11"/>
    <w:autoRedefine/>
    <w:semiHidden/>
    <w:qFormat/>
    <w:uiPriority w:val="0"/>
    <w:pPr>
      <w:keepNext/>
      <w:widowControl w:val="0"/>
      <w:spacing w:before="120" w:after="120" w:line="240" w:lineRule="exact"/>
      <w:jc w:val="center"/>
    </w:pPr>
    <w:rPr>
      <w:b/>
      <w:bCs/>
      <w:caps/>
      <w:lang w:val="en-GB"/>
    </w:rPr>
  </w:style>
  <w:style w:type="paragraph" w:styleId="19">
    <w:name w:val="annotation text"/>
    <w:basedOn w:val="1"/>
    <w:link w:val="116"/>
    <w:autoRedefine/>
    <w:qFormat/>
    <w:uiPriority w:val="0"/>
    <w:pPr>
      <w:spacing w:line="360" w:lineRule="auto"/>
      <w:ind w:firstLine="200" w:firstLineChars="200"/>
    </w:pPr>
    <w:rPr>
      <w:kern w:val="2"/>
      <w:lang w:val="zh-CN"/>
    </w:rPr>
  </w:style>
  <w:style w:type="paragraph" w:styleId="20">
    <w:name w:val="Body Text 3"/>
    <w:basedOn w:val="1"/>
    <w:link w:val="126"/>
    <w:autoRedefine/>
    <w:qFormat/>
    <w:uiPriority w:val="99"/>
    <w:rPr>
      <w:rFonts w:ascii="宋体"/>
      <w:color w:val="000000"/>
      <w:szCs w:val="20"/>
      <w:lang w:val="zh-CN"/>
    </w:rPr>
  </w:style>
  <w:style w:type="paragraph" w:styleId="21">
    <w:name w:val="Body Text"/>
    <w:basedOn w:val="1"/>
    <w:link w:val="106"/>
    <w:autoRedefine/>
    <w:qFormat/>
    <w:uiPriority w:val="99"/>
    <w:rPr>
      <w:kern w:val="2"/>
      <w:sz w:val="28"/>
      <w:szCs w:val="20"/>
      <w:lang w:val="zh-CN"/>
    </w:rPr>
  </w:style>
  <w:style w:type="paragraph" w:styleId="22">
    <w:name w:val="Body Text Indent"/>
    <w:basedOn w:val="1"/>
    <w:next w:val="23"/>
    <w:link w:val="265"/>
    <w:autoRedefine/>
    <w:qFormat/>
    <w:uiPriority w:val="0"/>
    <w:pPr>
      <w:spacing w:after="120"/>
      <w:ind w:left="420" w:leftChars="200"/>
    </w:pPr>
    <w:rPr>
      <w:rFonts w:ascii="宋体"/>
      <w:color w:val="000000"/>
      <w:sz w:val="21"/>
      <w:szCs w:val="21"/>
      <w:lang w:val="zh-CN"/>
    </w:rPr>
  </w:style>
  <w:style w:type="paragraph" w:styleId="23">
    <w:name w:val="Body Text First Indent 2"/>
    <w:basedOn w:val="1"/>
    <w:autoRedefine/>
    <w:unhideWhenUsed/>
    <w:qFormat/>
    <w:uiPriority w:val="0"/>
    <w:pPr>
      <w:ind w:firstLine="420"/>
    </w:pPr>
    <w:rPr>
      <w:rFonts w:hint="eastAsia"/>
    </w:rPr>
  </w:style>
  <w:style w:type="paragraph" w:styleId="24">
    <w:name w:val="List 2"/>
    <w:basedOn w:val="1"/>
    <w:autoRedefine/>
    <w:qFormat/>
    <w:uiPriority w:val="0"/>
    <w:pPr>
      <w:ind w:left="100" w:leftChars="200" w:hanging="200" w:hangingChars="200"/>
    </w:pPr>
  </w:style>
  <w:style w:type="paragraph" w:styleId="25">
    <w:name w:val="Block Text"/>
    <w:basedOn w:val="1"/>
    <w:autoRedefine/>
    <w:qFormat/>
    <w:uiPriority w:val="0"/>
    <w:pPr>
      <w:spacing w:line="360" w:lineRule="auto"/>
      <w:ind w:left="564" w:right="26"/>
    </w:pPr>
    <w:rPr>
      <w:rFonts w:ascii="宋体"/>
      <w:color w:val="000000"/>
      <w:szCs w:val="20"/>
    </w:rPr>
  </w:style>
  <w:style w:type="paragraph" w:styleId="26">
    <w:name w:val="List Bullet 2"/>
    <w:basedOn w:val="1"/>
    <w:autoRedefine/>
    <w:qFormat/>
    <w:uiPriority w:val="99"/>
    <w:pPr>
      <w:tabs>
        <w:tab w:val="left" w:pos="780"/>
      </w:tabs>
      <w:spacing w:before="240" w:line="260" w:lineRule="atLeast"/>
      <w:ind w:left="1620" w:leftChars="200" w:hanging="720" w:hangingChars="200"/>
      <w:jc w:val="both"/>
    </w:pPr>
    <w:rPr>
      <w:rFonts w:eastAsia="LF Song"/>
      <w:i/>
      <w:szCs w:val="20"/>
    </w:rPr>
  </w:style>
  <w:style w:type="paragraph" w:styleId="27">
    <w:name w:val="index 4"/>
    <w:basedOn w:val="1"/>
    <w:next w:val="1"/>
    <w:autoRedefine/>
    <w:qFormat/>
    <w:uiPriority w:val="0"/>
    <w:pPr>
      <w:ind w:left="600" w:leftChars="600"/>
    </w:pPr>
  </w:style>
  <w:style w:type="paragraph" w:styleId="28">
    <w:name w:val="toc 5"/>
    <w:basedOn w:val="1"/>
    <w:next w:val="1"/>
    <w:qFormat/>
    <w:uiPriority w:val="39"/>
    <w:pPr>
      <w:ind w:left="800" w:leftChars="800"/>
    </w:pPr>
  </w:style>
  <w:style w:type="paragraph" w:styleId="29">
    <w:name w:val="toc 3"/>
    <w:basedOn w:val="1"/>
    <w:next w:val="1"/>
    <w:autoRedefine/>
    <w:unhideWhenUsed/>
    <w:qFormat/>
    <w:uiPriority w:val="39"/>
    <w:pPr>
      <w:ind w:left="840" w:leftChars="400"/>
    </w:pPr>
  </w:style>
  <w:style w:type="paragraph" w:styleId="30">
    <w:name w:val="Plain Text"/>
    <w:basedOn w:val="1"/>
    <w:next w:val="13"/>
    <w:link w:val="105"/>
    <w:autoRedefine/>
    <w:qFormat/>
    <w:uiPriority w:val="0"/>
    <w:rPr>
      <w:rFonts w:ascii="宋体" w:hAnsi="Courier New"/>
      <w:kern w:val="2"/>
      <w:sz w:val="21"/>
      <w:szCs w:val="20"/>
      <w:lang w:val="zh-CN"/>
    </w:rPr>
  </w:style>
  <w:style w:type="paragraph" w:styleId="31">
    <w:name w:val="Date"/>
    <w:basedOn w:val="1"/>
    <w:next w:val="1"/>
    <w:link w:val="79"/>
    <w:autoRedefine/>
    <w:qFormat/>
    <w:uiPriority w:val="0"/>
    <w:pPr>
      <w:ind w:left="100" w:leftChars="2500"/>
    </w:pPr>
    <w:rPr>
      <w:rFonts w:ascii="宋体"/>
      <w:lang w:val="zh-CN"/>
    </w:rPr>
  </w:style>
  <w:style w:type="paragraph" w:styleId="32">
    <w:name w:val="Body Text Indent 2"/>
    <w:basedOn w:val="1"/>
    <w:link w:val="103"/>
    <w:autoRedefine/>
    <w:qFormat/>
    <w:uiPriority w:val="99"/>
    <w:pPr>
      <w:spacing w:line="480" w:lineRule="auto"/>
      <w:ind w:firstLine="480" w:firstLineChars="200"/>
    </w:pPr>
    <w:rPr>
      <w:rFonts w:ascii="仿宋_GB2312" w:hAnsi="宋体" w:eastAsia="仿宋_GB2312"/>
      <w:kern w:val="2"/>
      <w:lang w:val="zh-CN"/>
    </w:rPr>
  </w:style>
  <w:style w:type="paragraph" w:styleId="33">
    <w:name w:val="Balloon Text"/>
    <w:basedOn w:val="1"/>
    <w:link w:val="97"/>
    <w:autoRedefine/>
    <w:qFormat/>
    <w:uiPriority w:val="99"/>
    <w:rPr>
      <w:rFonts w:ascii="Heiti SC Light" w:eastAsia="Heiti SC Light"/>
      <w:kern w:val="2"/>
      <w:sz w:val="18"/>
      <w:szCs w:val="18"/>
      <w:lang w:val="zh-CN"/>
    </w:rPr>
  </w:style>
  <w:style w:type="paragraph" w:styleId="34">
    <w:name w:val="footer"/>
    <w:basedOn w:val="1"/>
    <w:link w:val="138"/>
    <w:autoRedefine/>
    <w:qFormat/>
    <w:uiPriority w:val="99"/>
    <w:pPr>
      <w:tabs>
        <w:tab w:val="center" w:pos="4153"/>
        <w:tab w:val="right" w:pos="8306"/>
      </w:tabs>
      <w:snapToGrid w:val="0"/>
    </w:pPr>
    <w:rPr>
      <w:kern w:val="2"/>
      <w:sz w:val="18"/>
      <w:szCs w:val="18"/>
      <w:lang w:val="zh-CN"/>
    </w:rPr>
  </w:style>
  <w:style w:type="paragraph" w:styleId="35">
    <w:name w:val="envelope return"/>
    <w:basedOn w:val="1"/>
    <w:autoRedefine/>
    <w:qFormat/>
    <w:uiPriority w:val="99"/>
    <w:pPr>
      <w:jc w:val="both"/>
    </w:pPr>
    <w:rPr>
      <w:sz w:val="22"/>
      <w:szCs w:val="20"/>
      <w:lang w:val="en-GB" w:eastAsia="en-US"/>
    </w:rPr>
  </w:style>
  <w:style w:type="paragraph" w:styleId="36">
    <w:name w:val="header"/>
    <w:basedOn w:val="1"/>
    <w:next w:val="1"/>
    <w:link w:val="74"/>
    <w:autoRedefine/>
    <w:qFormat/>
    <w:uiPriority w:val="99"/>
    <w:pPr>
      <w:pBdr>
        <w:bottom w:val="single" w:color="auto" w:sz="6" w:space="1"/>
      </w:pBdr>
      <w:tabs>
        <w:tab w:val="center" w:pos="4153"/>
        <w:tab w:val="right" w:pos="8306"/>
      </w:tabs>
      <w:snapToGrid w:val="0"/>
      <w:jc w:val="center"/>
    </w:pPr>
    <w:rPr>
      <w:kern w:val="2"/>
      <w:sz w:val="18"/>
      <w:szCs w:val="18"/>
      <w:lang w:val="zh-CN"/>
    </w:rPr>
  </w:style>
  <w:style w:type="paragraph" w:styleId="37">
    <w:name w:val="toc 1"/>
    <w:basedOn w:val="1"/>
    <w:next w:val="1"/>
    <w:autoRedefine/>
    <w:unhideWhenUsed/>
    <w:qFormat/>
    <w:uiPriority w:val="39"/>
  </w:style>
  <w:style w:type="paragraph" w:styleId="38">
    <w:name w:val="toc 4"/>
    <w:basedOn w:val="1"/>
    <w:next w:val="1"/>
    <w:autoRedefine/>
    <w:unhideWhenUsed/>
    <w:qFormat/>
    <w:uiPriority w:val="39"/>
    <w:pPr>
      <w:ind w:left="1260" w:leftChars="600"/>
    </w:pPr>
  </w:style>
  <w:style w:type="paragraph" w:styleId="39">
    <w:name w:val="Subtitle"/>
    <w:basedOn w:val="1"/>
    <w:next w:val="1"/>
    <w:link w:val="146"/>
    <w:autoRedefine/>
    <w:qFormat/>
    <w:uiPriority w:val="0"/>
    <w:pPr>
      <w:spacing w:before="240" w:after="60" w:line="312" w:lineRule="auto"/>
      <w:jc w:val="center"/>
      <w:outlineLvl w:val="1"/>
    </w:pPr>
    <w:rPr>
      <w:rFonts w:ascii="Cambria" w:hAnsi="Cambria"/>
      <w:b/>
      <w:bCs/>
      <w:kern w:val="28"/>
      <w:sz w:val="32"/>
      <w:szCs w:val="32"/>
      <w:lang w:val="zh-CN"/>
    </w:rPr>
  </w:style>
  <w:style w:type="paragraph" w:styleId="40">
    <w:name w:val="footnote text"/>
    <w:basedOn w:val="1"/>
    <w:link w:val="496"/>
    <w:autoRedefine/>
    <w:semiHidden/>
    <w:qFormat/>
    <w:uiPriority w:val="0"/>
    <w:pPr>
      <w:widowControl w:val="0"/>
      <w:snapToGrid w:val="0"/>
    </w:pPr>
    <w:rPr>
      <w:kern w:val="2"/>
      <w:sz w:val="18"/>
      <w:szCs w:val="18"/>
    </w:rPr>
  </w:style>
  <w:style w:type="paragraph" w:styleId="41">
    <w:name w:val="Body Text Indent 3"/>
    <w:basedOn w:val="1"/>
    <w:link w:val="104"/>
    <w:autoRedefine/>
    <w:qFormat/>
    <w:uiPriority w:val="99"/>
    <w:pPr>
      <w:spacing w:after="120" w:line="360" w:lineRule="atLeast"/>
      <w:ind w:firstLine="720" w:firstLineChars="300"/>
    </w:pPr>
    <w:rPr>
      <w:kern w:val="2"/>
      <w:szCs w:val="20"/>
      <w:lang w:val="zh-CN"/>
    </w:rPr>
  </w:style>
  <w:style w:type="paragraph" w:styleId="42">
    <w:name w:val="table of figures"/>
    <w:basedOn w:val="1"/>
    <w:next w:val="1"/>
    <w:autoRedefine/>
    <w:unhideWhenUsed/>
    <w:qFormat/>
    <w:uiPriority w:val="0"/>
    <w:pPr>
      <w:spacing w:before="100" w:beforeAutospacing="1" w:after="100" w:afterAutospacing="1"/>
      <w:ind w:left="200" w:leftChars="200" w:hanging="200" w:hangingChars="200"/>
    </w:pPr>
    <w:rPr>
      <w:rFonts w:hint="eastAsia" w:cs="黑体"/>
      <w:sz w:val="32"/>
      <w:szCs w:val="22"/>
    </w:rPr>
  </w:style>
  <w:style w:type="paragraph" w:styleId="43">
    <w:name w:val="toc 2"/>
    <w:basedOn w:val="1"/>
    <w:next w:val="1"/>
    <w:autoRedefine/>
    <w:unhideWhenUsed/>
    <w:qFormat/>
    <w:uiPriority w:val="39"/>
    <w:pPr>
      <w:ind w:left="420" w:leftChars="200"/>
    </w:pPr>
  </w:style>
  <w:style w:type="paragraph" w:styleId="44">
    <w:name w:val="Body Text 2"/>
    <w:basedOn w:val="1"/>
    <w:link w:val="360"/>
    <w:autoRedefine/>
    <w:qFormat/>
    <w:uiPriority w:val="0"/>
    <w:pPr>
      <w:widowControl w:val="0"/>
      <w:spacing w:line="480" w:lineRule="atLeast"/>
      <w:ind w:firstLine="200" w:firstLineChars="200"/>
      <w:jc w:val="both"/>
    </w:pPr>
    <w:rPr>
      <w:rFonts w:ascii="宋体" w:hAnsi="宋体" w:cs="宋体"/>
      <w:color w:val="000000"/>
      <w:kern w:val="1"/>
      <w:sz w:val="28"/>
      <w:szCs w:val="20"/>
    </w:rPr>
  </w:style>
  <w:style w:type="paragraph" w:styleId="45">
    <w:name w:val="HTML Preformatted"/>
    <w:basedOn w:val="1"/>
    <w:link w:val="172"/>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val="zh-CN"/>
    </w:rPr>
  </w:style>
  <w:style w:type="paragraph" w:styleId="46">
    <w:name w:val="Normal (Web)"/>
    <w:basedOn w:val="1"/>
    <w:autoRedefine/>
    <w:qFormat/>
    <w:uiPriority w:val="0"/>
    <w:pPr>
      <w:spacing w:before="100" w:beforeAutospacing="1" w:after="100" w:afterAutospacing="1"/>
    </w:pPr>
    <w:rPr>
      <w:rFonts w:ascii="宋体" w:hAnsi="宋体" w:cs="宋体"/>
    </w:rPr>
  </w:style>
  <w:style w:type="paragraph" w:styleId="47">
    <w:name w:val="index 1"/>
    <w:basedOn w:val="1"/>
    <w:next w:val="1"/>
    <w:autoRedefine/>
    <w:qFormat/>
    <w:uiPriority w:val="99"/>
    <w:pPr>
      <w:widowControl w:val="0"/>
      <w:spacing w:line="360" w:lineRule="auto"/>
      <w:jc w:val="both"/>
    </w:pPr>
    <w:rPr>
      <w:rFonts w:ascii="宋体" w:hAnsi="宋体"/>
      <w:bCs/>
      <w:kern w:val="2"/>
      <w:sz w:val="21"/>
      <w:szCs w:val="21"/>
    </w:rPr>
  </w:style>
  <w:style w:type="paragraph" w:styleId="48">
    <w:name w:val="Title"/>
    <w:basedOn w:val="1"/>
    <w:next w:val="1"/>
    <w:link w:val="108"/>
    <w:autoRedefine/>
    <w:qFormat/>
    <w:uiPriority w:val="10"/>
    <w:pPr>
      <w:spacing w:before="240" w:after="60"/>
      <w:jc w:val="center"/>
      <w:outlineLvl w:val="0"/>
    </w:pPr>
    <w:rPr>
      <w:rFonts w:ascii="Cambria" w:hAnsi="Cambria"/>
      <w:b/>
      <w:bCs/>
      <w:kern w:val="2"/>
      <w:sz w:val="32"/>
      <w:szCs w:val="32"/>
      <w:lang w:val="zh-CN"/>
    </w:rPr>
  </w:style>
  <w:style w:type="paragraph" w:styleId="49">
    <w:name w:val="annotation subject"/>
    <w:basedOn w:val="19"/>
    <w:next w:val="19"/>
    <w:link w:val="117"/>
    <w:autoRedefine/>
    <w:qFormat/>
    <w:uiPriority w:val="99"/>
    <w:pPr>
      <w:spacing w:line="240" w:lineRule="auto"/>
      <w:ind w:firstLine="0" w:firstLineChars="0"/>
    </w:pPr>
    <w:rPr>
      <w:b/>
      <w:bCs/>
      <w:sz w:val="21"/>
    </w:rPr>
  </w:style>
  <w:style w:type="paragraph" w:styleId="50">
    <w:name w:val="Body Text First Indent"/>
    <w:basedOn w:val="21"/>
    <w:autoRedefine/>
    <w:qFormat/>
    <w:uiPriority w:val="0"/>
    <w:pPr>
      <w:spacing w:after="120"/>
      <w:ind w:firstLine="420" w:firstLineChars="100"/>
    </w:p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Theme"/>
    <w:basedOn w:val="51"/>
    <w:autoRedefine/>
    <w:semiHidden/>
    <w:qFormat/>
    <w:uiPriority w:val="99"/>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Subtle 2"/>
    <w:basedOn w:val="51"/>
    <w:autoRedefine/>
    <w:semiHidden/>
    <w:qFormat/>
    <w:uiPriority w:val="99"/>
    <w:pPr>
      <w:widowControl w:val="0"/>
      <w:adjustRightInd w:val="0"/>
      <w:spacing w:line="360" w:lineRule="auto"/>
      <w:jc w:val="both"/>
      <w:textAlignment w:val="baseline"/>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55">
    <w:name w:val="Table List 3"/>
    <w:basedOn w:val="51"/>
    <w:autoRedefine/>
    <w:semiHidden/>
    <w:qFormat/>
    <w:uiPriority w:val="99"/>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57">
    <w:name w:val="Strong"/>
    <w:autoRedefine/>
    <w:qFormat/>
    <w:uiPriority w:val="22"/>
    <w:rPr>
      <w:b/>
      <w:bCs/>
    </w:rPr>
  </w:style>
  <w:style w:type="character" w:styleId="58">
    <w:name w:val="page number"/>
    <w:basedOn w:val="56"/>
    <w:autoRedefine/>
    <w:qFormat/>
    <w:uiPriority w:val="0"/>
  </w:style>
  <w:style w:type="character" w:styleId="59">
    <w:name w:val="FollowedHyperlink"/>
    <w:autoRedefine/>
    <w:qFormat/>
    <w:uiPriority w:val="99"/>
    <w:rPr>
      <w:color w:val="800080"/>
      <w:u w:val="single"/>
    </w:rPr>
  </w:style>
  <w:style w:type="character" w:styleId="60">
    <w:name w:val="Emphasis"/>
    <w:autoRedefine/>
    <w:qFormat/>
    <w:uiPriority w:val="99"/>
    <w:rPr>
      <w:i/>
      <w:iCs/>
    </w:rPr>
  </w:style>
  <w:style w:type="character" w:styleId="61">
    <w:name w:val="HTML Definition"/>
    <w:basedOn w:val="56"/>
    <w:autoRedefine/>
    <w:semiHidden/>
    <w:unhideWhenUsed/>
    <w:qFormat/>
    <w:uiPriority w:val="0"/>
    <w:rPr>
      <w:i/>
    </w:rPr>
  </w:style>
  <w:style w:type="character" w:styleId="62">
    <w:name w:val="Hyperlink"/>
    <w:basedOn w:val="56"/>
    <w:autoRedefine/>
    <w:qFormat/>
    <w:uiPriority w:val="99"/>
    <w:rPr>
      <w:color w:val="0000FF"/>
      <w:u w:val="single"/>
    </w:rPr>
  </w:style>
  <w:style w:type="character" w:styleId="63">
    <w:name w:val="HTML Code"/>
    <w:basedOn w:val="56"/>
    <w:autoRedefine/>
    <w:semiHidden/>
    <w:unhideWhenUsed/>
    <w:qFormat/>
    <w:uiPriority w:val="0"/>
    <w:rPr>
      <w:rFonts w:hint="default" w:ascii="Consolas" w:hAnsi="Consolas" w:eastAsia="Consolas" w:cs="Consolas"/>
      <w:color w:val="C7254E"/>
      <w:sz w:val="21"/>
      <w:szCs w:val="21"/>
      <w:shd w:val="clear" w:color="auto" w:fill="F9F2F4"/>
    </w:rPr>
  </w:style>
  <w:style w:type="character" w:styleId="64">
    <w:name w:val="annotation reference"/>
    <w:autoRedefine/>
    <w:qFormat/>
    <w:uiPriority w:val="0"/>
    <w:rPr>
      <w:sz w:val="21"/>
      <w:szCs w:val="21"/>
    </w:rPr>
  </w:style>
  <w:style w:type="character" w:styleId="65">
    <w:name w:val="footnote reference"/>
    <w:autoRedefine/>
    <w:semiHidden/>
    <w:qFormat/>
    <w:uiPriority w:val="0"/>
    <w:rPr>
      <w:vertAlign w:val="superscript"/>
    </w:rPr>
  </w:style>
  <w:style w:type="character" w:styleId="66">
    <w:name w:val="HTML Keyboard"/>
    <w:basedOn w:val="56"/>
    <w:autoRedefine/>
    <w:semiHidden/>
    <w:unhideWhenUsed/>
    <w:qFormat/>
    <w:uiPriority w:val="0"/>
    <w:rPr>
      <w:rFonts w:ascii="Consolas" w:hAnsi="Consolas" w:eastAsia="Consolas" w:cs="Consolas"/>
      <w:color w:val="FFFFFF"/>
      <w:sz w:val="21"/>
      <w:szCs w:val="21"/>
      <w:shd w:val="clear" w:color="auto" w:fill="333333"/>
    </w:rPr>
  </w:style>
  <w:style w:type="character" w:styleId="67">
    <w:name w:val="HTML Sample"/>
    <w:basedOn w:val="56"/>
    <w:autoRedefine/>
    <w:semiHidden/>
    <w:unhideWhenUsed/>
    <w:qFormat/>
    <w:uiPriority w:val="0"/>
    <w:rPr>
      <w:rFonts w:hint="default" w:ascii="Consolas" w:hAnsi="Consolas" w:eastAsia="Consolas" w:cs="Consolas"/>
      <w:sz w:val="21"/>
      <w:szCs w:val="21"/>
    </w:rPr>
  </w:style>
  <w:style w:type="paragraph" w:customStyle="1" w:styleId="68">
    <w:name w:val="无间隔1"/>
    <w:basedOn w:val="50"/>
    <w:next w:val="1"/>
    <w:autoRedefine/>
    <w:unhideWhenUsed/>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标题 1 字符1"/>
    <w:link w:val="2"/>
    <w:autoRedefine/>
    <w:qFormat/>
    <w:uiPriority w:val="99"/>
    <w:rPr>
      <w:rFonts w:eastAsia="黑体"/>
      <w:bCs/>
      <w:kern w:val="44"/>
      <w:sz w:val="48"/>
      <w:szCs w:val="44"/>
    </w:rPr>
  </w:style>
  <w:style w:type="character" w:customStyle="1" w:styleId="71">
    <w:name w:val="标题 2 字符1"/>
    <w:link w:val="3"/>
    <w:autoRedefine/>
    <w:qFormat/>
    <w:uiPriority w:val="9"/>
    <w:rPr>
      <w:rFonts w:ascii="Calibri" w:hAnsi="Calibri" w:eastAsia="黑体" w:cs="Times New Roman"/>
      <w:bCs/>
      <w:kern w:val="2"/>
      <w:sz w:val="28"/>
      <w:szCs w:val="32"/>
    </w:rPr>
  </w:style>
  <w:style w:type="character" w:customStyle="1" w:styleId="72">
    <w:name w:val="标题 3 字符1"/>
    <w:link w:val="4"/>
    <w:autoRedefine/>
    <w:qFormat/>
    <w:uiPriority w:val="9"/>
    <w:rPr>
      <w:rFonts w:eastAsia="黑体"/>
      <w:bCs/>
      <w:kern w:val="2"/>
      <w:sz w:val="24"/>
      <w:szCs w:val="32"/>
    </w:rPr>
  </w:style>
  <w:style w:type="character" w:customStyle="1" w:styleId="73">
    <w:name w:val="标题 4 字符1"/>
    <w:link w:val="5"/>
    <w:autoRedefine/>
    <w:qFormat/>
    <w:uiPriority w:val="9"/>
    <w:rPr>
      <w:rFonts w:ascii="Arial" w:hAnsi="Arial" w:eastAsia="黑体"/>
      <w:bCs/>
      <w:kern w:val="2"/>
      <w:sz w:val="24"/>
      <w:szCs w:val="28"/>
    </w:rPr>
  </w:style>
  <w:style w:type="character" w:customStyle="1" w:styleId="74">
    <w:name w:val="页眉 字符1"/>
    <w:link w:val="36"/>
    <w:autoRedefine/>
    <w:qFormat/>
    <w:uiPriority w:val="99"/>
    <w:rPr>
      <w:kern w:val="2"/>
      <w:sz w:val="18"/>
      <w:szCs w:val="18"/>
    </w:rPr>
  </w:style>
  <w:style w:type="paragraph" w:customStyle="1" w:styleId="75">
    <w:name w:val="Char Char"/>
    <w:basedOn w:val="1"/>
    <w:autoRedefine/>
    <w:qFormat/>
    <w:uiPriority w:val="0"/>
    <w:pPr>
      <w:spacing w:after="160" w:line="240" w:lineRule="exact"/>
    </w:pPr>
    <w:rPr>
      <w:rFonts w:ascii="Verdana" w:hAnsi="Verdana" w:cs="Verdana"/>
      <w:sz w:val="20"/>
      <w:szCs w:val="20"/>
      <w:lang w:eastAsia="en-US"/>
    </w:rPr>
  </w:style>
  <w:style w:type="character" w:customStyle="1" w:styleId="76">
    <w:name w:val="文档结构图 字符"/>
    <w:link w:val="17"/>
    <w:autoRedefine/>
    <w:qFormat/>
    <w:uiPriority w:val="99"/>
    <w:rPr>
      <w:rFonts w:ascii="Heiti SC Light" w:eastAsia="Heiti SC Light"/>
      <w:kern w:val="2"/>
      <w:sz w:val="24"/>
      <w:szCs w:val="24"/>
    </w:rPr>
  </w:style>
  <w:style w:type="paragraph" w:customStyle="1" w:styleId="77">
    <w:name w:val="Char Char Char"/>
    <w:basedOn w:val="1"/>
    <w:autoRedefine/>
    <w:qFormat/>
    <w:uiPriority w:val="99"/>
    <w:rPr>
      <w:rFonts w:ascii="Tahoma" w:hAnsi="Tahoma"/>
      <w:szCs w:val="20"/>
    </w:rPr>
  </w:style>
  <w:style w:type="paragraph" w:customStyle="1" w:styleId="78">
    <w:name w:val="CM91"/>
    <w:basedOn w:val="69"/>
    <w:next w:val="69"/>
    <w:autoRedefine/>
    <w:qFormat/>
    <w:uiPriority w:val="0"/>
    <w:pPr>
      <w:spacing w:after="160"/>
    </w:pPr>
    <w:rPr>
      <w:color w:val="auto"/>
    </w:rPr>
  </w:style>
  <w:style w:type="character" w:customStyle="1" w:styleId="79">
    <w:name w:val="日期 字符1"/>
    <w:link w:val="31"/>
    <w:autoRedefine/>
    <w:qFormat/>
    <w:uiPriority w:val="99"/>
    <w:rPr>
      <w:rFonts w:ascii="宋体" w:cs="宋体"/>
      <w:sz w:val="24"/>
      <w:szCs w:val="24"/>
    </w:rPr>
  </w:style>
  <w:style w:type="paragraph" w:customStyle="1" w:styleId="80">
    <w:name w:val="Char Char1 Char Char Char"/>
    <w:basedOn w:val="1"/>
    <w:autoRedefine/>
    <w:qFormat/>
    <w:uiPriority w:val="0"/>
    <w:rPr>
      <w:sz w:val="20"/>
      <w:szCs w:val="20"/>
    </w:rPr>
  </w:style>
  <w:style w:type="paragraph" w:customStyle="1" w:styleId="81">
    <w:name w:val="CM4"/>
    <w:basedOn w:val="69"/>
    <w:next w:val="69"/>
    <w:autoRedefine/>
    <w:qFormat/>
    <w:uiPriority w:val="0"/>
    <w:rPr>
      <w:color w:val="auto"/>
    </w:rPr>
  </w:style>
  <w:style w:type="paragraph" w:customStyle="1" w:styleId="82">
    <w:name w:val="CM26"/>
    <w:basedOn w:val="69"/>
    <w:next w:val="69"/>
    <w:autoRedefine/>
    <w:qFormat/>
    <w:uiPriority w:val="0"/>
    <w:pPr>
      <w:spacing w:line="400" w:lineRule="atLeast"/>
    </w:pPr>
    <w:rPr>
      <w:color w:val="auto"/>
    </w:rPr>
  </w:style>
  <w:style w:type="paragraph" w:customStyle="1" w:styleId="83">
    <w:name w:val="CM95"/>
    <w:basedOn w:val="69"/>
    <w:next w:val="69"/>
    <w:autoRedefine/>
    <w:qFormat/>
    <w:uiPriority w:val="0"/>
    <w:pPr>
      <w:spacing w:after="115"/>
    </w:pPr>
    <w:rPr>
      <w:color w:val="auto"/>
    </w:rPr>
  </w:style>
  <w:style w:type="paragraph" w:customStyle="1" w:styleId="84">
    <w:name w:val="CM28"/>
    <w:basedOn w:val="69"/>
    <w:next w:val="69"/>
    <w:autoRedefine/>
    <w:qFormat/>
    <w:uiPriority w:val="0"/>
    <w:rPr>
      <w:color w:val="auto"/>
    </w:rPr>
  </w:style>
  <w:style w:type="paragraph" w:customStyle="1" w:styleId="85">
    <w:name w:val="CM65"/>
    <w:basedOn w:val="69"/>
    <w:next w:val="69"/>
    <w:autoRedefine/>
    <w:qFormat/>
    <w:uiPriority w:val="0"/>
    <w:rPr>
      <w:color w:val="auto"/>
    </w:rPr>
  </w:style>
  <w:style w:type="paragraph" w:customStyle="1" w:styleId="86">
    <w:name w:val="目录 11"/>
    <w:basedOn w:val="1"/>
    <w:next w:val="1"/>
    <w:autoRedefine/>
    <w:qFormat/>
    <w:uiPriority w:val="39"/>
    <w:pPr>
      <w:spacing w:before="120" w:after="120"/>
    </w:pPr>
    <w:rPr>
      <w:rFonts w:ascii="等线" w:eastAsia="等线"/>
      <w:b/>
      <w:bCs/>
      <w:caps/>
      <w:sz w:val="20"/>
      <w:szCs w:val="20"/>
    </w:rPr>
  </w:style>
  <w:style w:type="paragraph" w:customStyle="1" w:styleId="87">
    <w:name w:val="目录 21"/>
    <w:basedOn w:val="1"/>
    <w:next w:val="1"/>
    <w:autoRedefine/>
    <w:qFormat/>
    <w:uiPriority w:val="39"/>
    <w:pPr>
      <w:ind w:left="240"/>
    </w:pPr>
    <w:rPr>
      <w:rFonts w:ascii="等线" w:eastAsia="等线"/>
      <w:smallCaps/>
      <w:sz w:val="20"/>
      <w:szCs w:val="20"/>
    </w:rPr>
  </w:style>
  <w:style w:type="paragraph" w:customStyle="1" w:styleId="88">
    <w:name w:val="目录 31"/>
    <w:basedOn w:val="1"/>
    <w:next w:val="1"/>
    <w:autoRedefine/>
    <w:qFormat/>
    <w:uiPriority w:val="39"/>
    <w:pPr>
      <w:ind w:left="480"/>
    </w:pPr>
    <w:rPr>
      <w:rFonts w:ascii="等线" w:eastAsia="Kai"/>
      <w:iCs/>
      <w:sz w:val="20"/>
      <w:szCs w:val="20"/>
    </w:rPr>
  </w:style>
  <w:style w:type="paragraph" w:customStyle="1" w:styleId="89">
    <w:name w:val="目录 41"/>
    <w:basedOn w:val="1"/>
    <w:next w:val="1"/>
    <w:autoRedefine/>
    <w:qFormat/>
    <w:uiPriority w:val="39"/>
    <w:pPr>
      <w:ind w:left="720"/>
    </w:pPr>
    <w:rPr>
      <w:rFonts w:ascii="等线" w:eastAsia="等线"/>
      <w:sz w:val="18"/>
      <w:szCs w:val="18"/>
    </w:rPr>
  </w:style>
  <w:style w:type="paragraph" w:customStyle="1" w:styleId="90">
    <w:name w:val="目录 51"/>
    <w:basedOn w:val="1"/>
    <w:next w:val="1"/>
    <w:autoRedefine/>
    <w:qFormat/>
    <w:uiPriority w:val="39"/>
    <w:pPr>
      <w:ind w:left="960"/>
    </w:pPr>
    <w:rPr>
      <w:rFonts w:ascii="等线" w:eastAsia="等线"/>
      <w:sz w:val="18"/>
      <w:szCs w:val="18"/>
    </w:rPr>
  </w:style>
  <w:style w:type="paragraph" w:customStyle="1" w:styleId="91">
    <w:name w:val="CM24"/>
    <w:basedOn w:val="69"/>
    <w:next w:val="69"/>
    <w:autoRedefine/>
    <w:qFormat/>
    <w:uiPriority w:val="0"/>
    <w:pPr>
      <w:spacing w:line="440" w:lineRule="atLeast"/>
    </w:pPr>
    <w:rPr>
      <w:color w:val="auto"/>
    </w:rPr>
  </w:style>
  <w:style w:type="paragraph" w:customStyle="1" w:styleId="92">
    <w:name w:val="目录 61"/>
    <w:basedOn w:val="1"/>
    <w:next w:val="1"/>
    <w:autoRedefine/>
    <w:qFormat/>
    <w:uiPriority w:val="39"/>
    <w:pPr>
      <w:ind w:left="1200"/>
    </w:pPr>
    <w:rPr>
      <w:rFonts w:ascii="等线" w:eastAsia="等线"/>
      <w:sz w:val="18"/>
      <w:szCs w:val="18"/>
    </w:rPr>
  </w:style>
  <w:style w:type="paragraph" w:customStyle="1" w:styleId="93">
    <w:name w:val="目录 71"/>
    <w:basedOn w:val="1"/>
    <w:next w:val="1"/>
    <w:autoRedefine/>
    <w:qFormat/>
    <w:uiPriority w:val="39"/>
    <w:pPr>
      <w:ind w:left="1440"/>
    </w:pPr>
    <w:rPr>
      <w:rFonts w:ascii="等线" w:eastAsia="等线"/>
      <w:sz w:val="18"/>
      <w:szCs w:val="18"/>
    </w:rPr>
  </w:style>
  <w:style w:type="paragraph" w:customStyle="1" w:styleId="94">
    <w:name w:val="目录 81"/>
    <w:basedOn w:val="1"/>
    <w:next w:val="1"/>
    <w:autoRedefine/>
    <w:qFormat/>
    <w:uiPriority w:val="39"/>
    <w:pPr>
      <w:ind w:left="1680"/>
    </w:pPr>
    <w:rPr>
      <w:rFonts w:ascii="等线" w:eastAsia="等线"/>
      <w:sz w:val="18"/>
      <w:szCs w:val="18"/>
    </w:rPr>
  </w:style>
  <w:style w:type="paragraph" w:customStyle="1" w:styleId="95">
    <w:name w:val="目录 91"/>
    <w:basedOn w:val="1"/>
    <w:next w:val="1"/>
    <w:autoRedefine/>
    <w:qFormat/>
    <w:uiPriority w:val="39"/>
    <w:pPr>
      <w:ind w:left="1920"/>
    </w:pPr>
    <w:rPr>
      <w:rFonts w:ascii="等线" w:eastAsia="等线"/>
      <w:sz w:val="18"/>
      <w:szCs w:val="18"/>
    </w:rPr>
  </w:style>
  <w:style w:type="paragraph" w:customStyle="1" w:styleId="96">
    <w:name w:val="Char Char3"/>
    <w:basedOn w:val="1"/>
    <w:autoRedefine/>
    <w:qFormat/>
    <w:uiPriority w:val="0"/>
    <w:rPr>
      <w:rFonts w:ascii="Tahoma" w:hAnsi="Tahoma"/>
      <w:szCs w:val="20"/>
    </w:rPr>
  </w:style>
  <w:style w:type="character" w:customStyle="1" w:styleId="97">
    <w:name w:val="批注框文本 字符1"/>
    <w:link w:val="33"/>
    <w:autoRedefine/>
    <w:qFormat/>
    <w:uiPriority w:val="99"/>
    <w:rPr>
      <w:rFonts w:ascii="Heiti SC Light" w:eastAsia="Heiti SC Light"/>
      <w:kern w:val="2"/>
      <w:sz w:val="18"/>
      <w:szCs w:val="18"/>
    </w:rPr>
  </w:style>
  <w:style w:type="character" w:customStyle="1" w:styleId="98">
    <w:name w:val="标题 5 字符"/>
    <w:link w:val="6"/>
    <w:autoRedefine/>
    <w:qFormat/>
    <w:uiPriority w:val="9"/>
    <w:rPr>
      <w:b/>
      <w:bCs/>
      <w:kern w:val="2"/>
      <w:sz w:val="28"/>
      <w:szCs w:val="28"/>
    </w:rPr>
  </w:style>
  <w:style w:type="character" w:customStyle="1" w:styleId="99">
    <w:name w:val="标题 6 字符"/>
    <w:link w:val="7"/>
    <w:autoRedefine/>
    <w:qFormat/>
    <w:uiPriority w:val="9"/>
    <w:rPr>
      <w:rFonts w:ascii="Arial" w:hAnsi="Arial" w:eastAsia="黑体"/>
      <w:b/>
      <w:bCs/>
      <w:kern w:val="2"/>
      <w:sz w:val="24"/>
      <w:szCs w:val="24"/>
    </w:rPr>
  </w:style>
  <w:style w:type="character" w:customStyle="1" w:styleId="100">
    <w:name w:val="标题 7 字符"/>
    <w:link w:val="8"/>
    <w:autoRedefine/>
    <w:qFormat/>
    <w:uiPriority w:val="0"/>
    <w:rPr>
      <w:b/>
      <w:bCs/>
      <w:kern w:val="2"/>
      <w:sz w:val="24"/>
      <w:szCs w:val="24"/>
    </w:rPr>
  </w:style>
  <w:style w:type="character" w:customStyle="1" w:styleId="101">
    <w:name w:val="标题 8 字符"/>
    <w:link w:val="9"/>
    <w:autoRedefine/>
    <w:qFormat/>
    <w:uiPriority w:val="0"/>
    <w:rPr>
      <w:rFonts w:ascii="Arial" w:hAnsi="Arial" w:eastAsia="黑体"/>
      <w:kern w:val="2"/>
      <w:sz w:val="24"/>
      <w:szCs w:val="24"/>
    </w:rPr>
  </w:style>
  <w:style w:type="character" w:customStyle="1" w:styleId="102">
    <w:name w:val="标题 9 字符"/>
    <w:link w:val="10"/>
    <w:autoRedefine/>
    <w:qFormat/>
    <w:uiPriority w:val="0"/>
    <w:rPr>
      <w:rFonts w:ascii="Arial" w:hAnsi="Arial" w:eastAsia="黑体"/>
      <w:kern w:val="2"/>
      <w:sz w:val="21"/>
      <w:szCs w:val="21"/>
    </w:rPr>
  </w:style>
  <w:style w:type="character" w:customStyle="1" w:styleId="103">
    <w:name w:val="正文文本缩进 2 字符"/>
    <w:link w:val="32"/>
    <w:autoRedefine/>
    <w:qFormat/>
    <w:uiPriority w:val="99"/>
    <w:rPr>
      <w:rFonts w:ascii="仿宋_GB2312" w:hAnsi="宋体" w:eastAsia="仿宋_GB2312"/>
      <w:kern w:val="2"/>
      <w:sz w:val="24"/>
      <w:szCs w:val="24"/>
    </w:rPr>
  </w:style>
  <w:style w:type="character" w:customStyle="1" w:styleId="104">
    <w:name w:val="正文文本缩进 3 字符"/>
    <w:link w:val="41"/>
    <w:autoRedefine/>
    <w:qFormat/>
    <w:uiPriority w:val="99"/>
    <w:rPr>
      <w:kern w:val="2"/>
      <w:sz w:val="24"/>
    </w:rPr>
  </w:style>
  <w:style w:type="character" w:customStyle="1" w:styleId="105">
    <w:name w:val="纯文本 字符"/>
    <w:link w:val="30"/>
    <w:autoRedefine/>
    <w:qFormat/>
    <w:uiPriority w:val="0"/>
    <w:rPr>
      <w:rFonts w:ascii="宋体" w:hAnsi="Courier New"/>
      <w:kern w:val="2"/>
      <w:sz w:val="21"/>
    </w:rPr>
  </w:style>
  <w:style w:type="character" w:customStyle="1" w:styleId="106">
    <w:name w:val="正文文本 字符"/>
    <w:link w:val="21"/>
    <w:autoRedefine/>
    <w:qFormat/>
    <w:uiPriority w:val="99"/>
    <w:rPr>
      <w:kern w:val="2"/>
      <w:sz w:val="28"/>
    </w:rPr>
  </w:style>
  <w:style w:type="character" w:customStyle="1" w:styleId="107">
    <w:name w:val="Char Char1"/>
    <w:autoRedefine/>
    <w:qFormat/>
    <w:uiPriority w:val="0"/>
    <w:rPr>
      <w:rFonts w:ascii="楷体_GB2312" w:eastAsia="楷体_GB2312"/>
      <w:sz w:val="28"/>
    </w:rPr>
  </w:style>
  <w:style w:type="character" w:customStyle="1" w:styleId="108">
    <w:name w:val="标题 字符"/>
    <w:link w:val="48"/>
    <w:autoRedefine/>
    <w:qFormat/>
    <w:uiPriority w:val="10"/>
    <w:rPr>
      <w:rFonts w:ascii="Cambria" w:hAnsi="Cambria"/>
      <w:b/>
      <w:bCs/>
      <w:kern w:val="2"/>
      <w:sz w:val="32"/>
      <w:szCs w:val="32"/>
    </w:rPr>
  </w:style>
  <w:style w:type="character" w:customStyle="1" w:styleId="109">
    <w:name w:val="标题 Char"/>
    <w:autoRedefine/>
    <w:qFormat/>
    <w:uiPriority w:val="10"/>
    <w:rPr>
      <w:rFonts w:ascii="Cambria" w:hAnsi="Cambria" w:cs="Times New Roman"/>
      <w:b/>
      <w:bCs/>
      <w:kern w:val="2"/>
      <w:sz w:val="32"/>
      <w:szCs w:val="32"/>
    </w:rPr>
  </w:style>
  <w:style w:type="character" w:customStyle="1" w:styleId="110">
    <w:name w:val="标题 1 Char"/>
    <w:autoRedefine/>
    <w:qFormat/>
    <w:uiPriority w:val="0"/>
    <w:rPr>
      <w:rFonts w:ascii="黑体"/>
      <w:b/>
      <w:kern w:val="44"/>
      <w:sz w:val="32"/>
    </w:rPr>
  </w:style>
  <w:style w:type="paragraph" w:customStyle="1" w:styleId="111">
    <w:name w:val="网格表 31"/>
    <w:basedOn w:val="2"/>
    <w:next w:val="1"/>
    <w:autoRedefine/>
    <w:qFormat/>
    <w:uiPriority w:val="0"/>
    <w:pPr>
      <w:spacing w:before="480" w:after="0" w:line="276" w:lineRule="auto"/>
      <w:jc w:val="left"/>
      <w:outlineLvl w:val="9"/>
    </w:pPr>
    <w:rPr>
      <w:rFonts w:ascii="Cambria" w:hAnsi="Cambria" w:eastAsia="宋体"/>
      <w:b/>
      <w:color w:val="365F91"/>
      <w:kern w:val="0"/>
      <w:sz w:val="28"/>
      <w:szCs w:val="28"/>
    </w:rPr>
  </w:style>
  <w:style w:type="paragraph" w:customStyle="1" w:styleId="112">
    <w:name w:val="彩色列表 - 着色 11"/>
    <w:basedOn w:val="1"/>
    <w:autoRedefine/>
    <w:qFormat/>
    <w:uiPriority w:val="0"/>
    <w:pPr>
      <w:ind w:firstLine="420" w:firstLineChars="200"/>
    </w:pPr>
    <w:rPr>
      <w:szCs w:val="20"/>
    </w:rPr>
  </w:style>
  <w:style w:type="character" w:customStyle="1" w:styleId="113">
    <w:name w:val="正文文本缩进 Char"/>
    <w:autoRedefine/>
    <w:qFormat/>
    <w:uiPriority w:val="0"/>
    <w:rPr>
      <w:rFonts w:ascii="楷体_GB2312" w:eastAsia="楷体_GB2312"/>
      <w:sz w:val="28"/>
    </w:rPr>
  </w:style>
  <w:style w:type="paragraph" w:customStyle="1" w:styleId="114">
    <w:name w:val="Char Char Char Char Char Char Char Char Char Char Char Char Char"/>
    <w:basedOn w:val="17"/>
    <w:autoRedefine/>
    <w:qFormat/>
    <w:uiPriority w:val="0"/>
    <w:pPr>
      <w:shd w:val="clear" w:color="auto" w:fill="000080"/>
    </w:pPr>
    <w:rPr>
      <w:rFonts w:ascii="Tahoma" w:hAnsi="Tahoma" w:eastAsia="宋体"/>
    </w:rPr>
  </w:style>
  <w:style w:type="paragraph" w:customStyle="1" w:styleId="115">
    <w:name w:val="Blockquote"/>
    <w:basedOn w:val="1"/>
    <w:autoRedefine/>
    <w:qFormat/>
    <w:uiPriority w:val="0"/>
    <w:pPr>
      <w:autoSpaceDE w:val="0"/>
      <w:autoSpaceDN w:val="0"/>
      <w:adjustRightInd w:val="0"/>
      <w:spacing w:before="100" w:after="100"/>
      <w:ind w:left="360" w:right="360"/>
    </w:pPr>
    <w:rPr>
      <w:szCs w:val="20"/>
    </w:rPr>
  </w:style>
  <w:style w:type="character" w:customStyle="1" w:styleId="116">
    <w:name w:val="批注文字 字符1"/>
    <w:link w:val="19"/>
    <w:autoRedefine/>
    <w:qFormat/>
    <w:uiPriority w:val="99"/>
    <w:rPr>
      <w:kern w:val="2"/>
      <w:sz w:val="24"/>
      <w:szCs w:val="24"/>
    </w:rPr>
  </w:style>
  <w:style w:type="character" w:customStyle="1" w:styleId="117">
    <w:name w:val="批注主题 字符1"/>
    <w:link w:val="49"/>
    <w:autoRedefine/>
    <w:qFormat/>
    <w:uiPriority w:val="99"/>
    <w:rPr>
      <w:b/>
      <w:bCs/>
      <w:kern w:val="2"/>
      <w:sz w:val="21"/>
      <w:szCs w:val="24"/>
    </w:rPr>
  </w:style>
  <w:style w:type="paragraph" w:customStyle="1" w:styleId="118">
    <w:name w:val="bt1bt1"/>
    <w:basedOn w:val="2"/>
    <w:autoRedefine/>
    <w:qFormat/>
    <w:uiPriority w:val="0"/>
    <w:pPr>
      <w:spacing w:line="240" w:lineRule="auto"/>
    </w:pPr>
    <w:rPr>
      <w:rFonts w:ascii="黑体"/>
      <w:sz w:val="36"/>
      <w:szCs w:val="36"/>
    </w:rPr>
  </w:style>
  <w:style w:type="paragraph" w:customStyle="1" w:styleId="119">
    <w:name w:val="新定义正文"/>
    <w:basedOn w:val="1"/>
    <w:autoRedefine/>
    <w:qFormat/>
    <w:uiPriority w:val="0"/>
    <w:rPr>
      <w:color w:val="000000"/>
      <w:szCs w:val="21"/>
    </w:rPr>
  </w:style>
  <w:style w:type="paragraph" w:customStyle="1" w:styleId="120">
    <w:name w:val="节"/>
    <w:basedOn w:val="3"/>
    <w:autoRedefine/>
    <w:qFormat/>
    <w:uiPriority w:val="0"/>
    <w:pPr>
      <w:numPr>
        <w:ilvl w:val="1"/>
        <w:numId w:val="1"/>
      </w:numPr>
      <w:spacing w:before="260" w:after="260" w:line="240" w:lineRule="auto"/>
    </w:pPr>
    <w:rPr>
      <w:rFonts w:ascii="黑体" w:hAnsi="Arial"/>
      <w:szCs w:val="28"/>
    </w:rPr>
  </w:style>
  <w:style w:type="paragraph" w:customStyle="1" w:styleId="121">
    <w:name w:val="CM92"/>
    <w:basedOn w:val="69"/>
    <w:next w:val="69"/>
    <w:autoRedefine/>
    <w:qFormat/>
    <w:uiPriority w:val="0"/>
    <w:pPr>
      <w:spacing w:after="530"/>
    </w:pPr>
    <w:rPr>
      <w:color w:val="auto"/>
    </w:rPr>
  </w:style>
  <w:style w:type="paragraph" w:customStyle="1" w:styleId="122">
    <w:name w:val="CM31"/>
    <w:basedOn w:val="69"/>
    <w:next w:val="69"/>
    <w:autoRedefine/>
    <w:qFormat/>
    <w:uiPriority w:val="0"/>
    <w:pPr>
      <w:spacing w:line="400" w:lineRule="atLeast"/>
    </w:pPr>
    <w:rPr>
      <w:color w:val="auto"/>
    </w:rPr>
  </w:style>
  <w:style w:type="paragraph" w:customStyle="1" w:styleId="123">
    <w:name w:val="Char Char Char Char"/>
    <w:basedOn w:val="1"/>
    <w:autoRedefine/>
    <w:qFormat/>
    <w:uiPriority w:val="0"/>
    <w:pPr>
      <w:spacing w:after="160" w:line="240" w:lineRule="exact"/>
    </w:pPr>
    <w:rPr>
      <w:rFonts w:ascii="Verdana" w:hAnsi="Verdana" w:cs="Verdana"/>
      <w:color w:val="000000"/>
      <w:szCs w:val="21"/>
    </w:rPr>
  </w:style>
  <w:style w:type="paragraph" w:customStyle="1" w:styleId="124">
    <w:name w:val="CM39"/>
    <w:basedOn w:val="69"/>
    <w:next w:val="69"/>
    <w:autoRedefine/>
    <w:qFormat/>
    <w:uiPriority w:val="0"/>
    <w:pPr>
      <w:spacing w:line="400" w:lineRule="atLeast"/>
    </w:pPr>
    <w:rPr>
      <w:color w:val="auto"/>
    </w:rPr>
  </w:style>
  <w:style w:type="paragraph" w:customStyle="1" w:styleId="125">
    <w:name w:val="样式 标题 3 + (中文) 黑体 小四 非加粗 段前: 7.8 磅 段后: 0 磅 行距: 固定值 20 磅"/>
    <w:basedOn w:val="4"/>
    <w:autoRedefine/>
    <w:qFormat/>
    <w:uiPriority w:val="0"/>
    <w:pPr>
      <w:spacing w:line="400" w:lineRule="exact"/>
    </w:pPr>
    <w:rPr>
      <w:rFonts w:ascii="宋体" w:cs="宋体"/>
      <w:bCs w:val="0"/>
      <w:color w:val="000000"/>
      <w:kern w:val="0"/>
      <w:szCs w:val="20"/>
    </w:rPr>
  </w:style>
  <w:style w:type="character" w:customStyle="1" w:styleId="126">
    <w:name w:val="正文文本 3 字符"/>
    <w:link w:val="20"/>
    <w:autoRedefine/>
    <w:qFormat/>
    <w:uiPriority w:val="99"/>
    <w:rPr>
      <w:rFonts w:ascii="宋体" w:cs="宋体"/>
      <w:color w:val="000000"/>
      <w:sz w:val="24"/>
    </w:rPr>
  </w:style>
  <w:style w:type="paragraph" w:customStyle="1" w:styleId="127">
    <w:name w:val="CM97"/>
    <w:basedOn w:val="69"/>
    <w:next w:val="69"/>
    <w:autoRedefine/>
    <w:qFormat/>
    <w:uiPriority w:val="0"/>
    <w:pPr>
      <w:spacing w:after="373"/>
    </w:pPr>
    <w:rPr>
      <w:color w:val="auto"/>
    </w:rPr>
  </w:style>
  <w:style w:type="paragraph" w:customStyle="1" w:styleId="128">
    <w:name w:val="Char1"/>
    <w:basedOn w:val="1"/>
    <w:autoRedefine/>
    <w:qFormat/>
    <w:uiPriority w:val="0"/>
  </w:style>
  <w:style w:type="paragraph" w:customStyle="1" w:styleId="129">
    <w:name w:val="Char Char Char Char Char Char Char"/>
    <w:basedOn w:val="1"/>
    <w:autoRedefine/>
    <w:qFormat/>
    <w:uiPriority w:val="99"/>
    <w:rPr>
      <w:rFonts w:ascii="Tahoma" w:hAnsi="Tahoma"/>
      <w:szCs w:val="20"/>
    </w:rPr>
  </w:style>
  <w:style w:type="paragraph" w:customStyle="1" w:styleId="130">
    <w:name w:val="默认段落字体 Para Char Char Char Char"/>
    <w:basedOn w:val="1"/>
    <w:autoRedefine/>
    <w:qFormat/>
    <w:uiPriority w:val="99"/>
  </w:style>
  <w:style w:type="paragraph" w:customStyle="1" w:styleId="131">
    <w:name w:val="Char Char Char1 Char"/>
    <w:basedOn w:val="1"/>
    <w:autoRedefine/>
    <w:qFormat/>
    <w:uiPriority w:val="99"/>
    <w:rPr>
      <w:rFonts w:ascii="Tahoma" w:hAnsi="Tahoma"/>
      <w:szCs w:val="20"/>
    </w:rPr>
  </w:style>
  <w:style w:type="paragraph" w:customStyle="1" w:styleId="132">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8"/>
      <w:szCs w:val="28"/>
    </w:rPr>
  </w:style>
  <w:style w:type="character" w:customStyle="1" w:styleId="133">
    <w:name w:val="正文缩进 字符"/>
    <w:link w:val="13"/>
    <w:autoRedefine/>
    <w:qFormat/>
    <w:uiPriority w:val="0"/>
    <w:rPr>
      <w:kern w:val="2"/>
      <w:sz w:val="24"/>
    </w:rPr>
  </w:style>
  <w:style w:type="paragraph" w:customStyle="1" w:styleId="134">
    <w:name w:val="Char"/>
    <w:basedOn w:val="1"/>
    <w:autoRedefine/>
    <w:qFormat/>
    <w:uiPriority w:val="0"/>
  </w:style>
  <w:style w:type="paragraph" w:customStyle="1" w:styleId="135">
    <w:name w:val="Char Char4 Char Char Char Char Char Char Char Char"/>
    <w:basedOn w:val="1"/>
    <w:autoRedefine/>
    <w:qFormat/>
    <w:uiPriority w:val="0"/>
    <w:rPr>
      <w:sz w:val="30"/>
      <w:szCs w:val="20"/>
    </w:rPr>
  </w:style>
  <w:style w:type="paragraph" w:customStyle="1" w:styleId="136">
    <w:name w:val="CM1"/>
    <w:basedOn w:val="69"/>
    <w:next w:val="69"/>
    <w:autoRedefine/>
    <w:qFormat/>
    <w:uiPriority w:val="0"/>
    <w:rPr>
      <w:color w:val="auto"/>
    </w:rPr>
  </w:style>
  <w:style w:type="paragraph" w:customStyle="1" w:styleId="137">
    <w:name w:val="Char Char3 Char Char"/>
    <w:basedOn w:val="1"/>
    <w:autoRedefine/>
    <w:qFormat/>
    <w:uiPriority w:val="0"/>
    <w:rPr>
      <w:rFonts w:ascii="Tahoma" w:hAnsi="Tahoma"/>
      <w:szCs w:val="20"/>
    </w:rPr>
  </w:style>
  <w:style w:type="character" w:customStyle="1" w:styleId="138">
    <w:name w:val="页脚 字符1"/>
    <w:link w:val="34"/>
    <w:autoRedefine/>
    <w:qFormat/>
    <w:uiPriority w:val="99"/>
    <w:rPr>
      <w:kern w:val="2"/>
      <w:sz w:val="18"/>
      <w:szCs w:val="18"/>
    </w:rPr>
  </w:style>
  <w:style w:type="paragraph" w:customStyle="1" w:styleId="139">
    <w:name w:val="1 Char Char Char Char Char Char Char"/>
    <w:basedOn w:val="1"/>
    <w:autoRedefine/>
    <w:qFormat/>
    <w:uiPriority w:val="0"/>
    <w:rPr>
      <w:sz w:val="30"/>
      <w:szCs w:val="20"/>
    </w:rPr>
  </w:style>
  <w:style w:type="character" w:customStyle="1" w:styleId="140">
    <w:name w:val="apple-converted-space"/>
    <w:basedOn w:val="56"/>
    <w:autoRedefine/>
    <w:qFormat/>
    <w:uiPriority w:val="0"/>
  </w:style>
  <w:style w:type="paragraph" w:customStyle="1" w:styleId="141">
    <w:name w:val="彩色列表 - 强调文字颜色 11"/>
    <w:basedOn w:val="1"/>
    <w:autoRedefine/>
    <w:qFormat/>
    <w:uiPriority w:val="0"/>
    <w:pPr>
      <w:ind w:firstLine="420" w:firstLineChars="200"/>
    </w:pPr>
  </w:style>
  <w:style w:type="character" w:customStyle="1" w:styleId="142">
    <w:name w:val="标题4 Char Char"/>
    <w:autoRedefine/>
    <w:qFormat/>
    <w:uiPriority w:val="0"/>
    <w:rPr>
      <w:rFonts w:ascii="Arial" w:hAnsi="Arial"/>
      <w:b/>
      <w:bCs/>
      <w:sz w:val="24"/>
      <w:szCs w:val="32"/>
    </w:rPr>
  </w:style>
  <w:style w:type="character" w:customStyle="1" w:styleId="143">
    <w:name w:val="浅色底纹 - 强调文字颜色 2 Char"/>
    <w:link w:val="144"/>
    <w:autoRedefine/>
    <w:qFormat/>
    <w:uiPriority w:val="0"/>
    <w:rPr>
      <w:b/>
      <w:bCs/>
      <w:i/>
      <w:iCs/>
      <w:color w:val="4F81BD"/>
      <w:kern w:val="2"/>
      <w:sz w:val="21"/>
      <w:szCs w:val="22"/>
    </w:rPr>
  </w:style>
  <w:style w:type="paragraph" w:customStyle="1" w:styleId="144">
    <w:name w:val="浅色底纹 - 强调文字颜色 21"/>
    <w:basedOn w:val="1"/>
    <w:next w:val="1"/>
    <w:link w:val="143"/>
    <w:autoRedefine/>
    <w:qFormat/>
    <w:uiPriority w:val="0"/>
    <w:pPr>
      <w:pBdr>
        <w:bottom w:val="single" w:color="4F81BD" w:sz="4" w:space="4"/>
      </w:pBdr>
      <w:spacing w:before="200" w:after="280"/>
      <w:ind w:left="936" w:right="936"/>
    </w:pPr>
    <w:rPr>
      <w:b/>
      <w:bCs/>
      <w:i/>
      <w:iCs/>
      <w:color w:val="4F81BD"/>
      <w:kern w:val="2"/>
      <w:sz w:val="21"/>
      <w:szCs w:val="22"/>
      <w:lang w:val="zh-CN"/>
    </w:rPr>
  </w:style>
  <w:style w:type="character" w:customStyle="1" w:styleId="145">
    <w:name w:val="书籍标题1"/>
    <w:autoRedefine/>
    <w:qFormat/>
    <w:uiPriority w:val="0"/>
    <w:rPr>
      <w:b/>
      <w:bCs/>
      <w:smallCaps/>
      <w:spacing w:val="5"/>
    </w:rPr>
  </w:style>
  <w:style w:type="character" w:customStyle="1" w:styleId="146">
    <w:name w:val="副标题 字符"/>
    <w:link w:val="39"/>
    <w:autoRedefine/>
    <w:qFormat/>
    <w:uiPriority w:val="0"/>
    <w:rPr>
      <w:rFonts w:ascii="Cambria" w:hAnsi="Cambria"/>
      <w:b/>
      <w:bCs/>
      <w:kern w:val="28"/>
      <w:sz w:val="32"/>
      <w:szCs w:val="32"/>
    </w:rPr>
  </w:style>
  <w:style w:type="character" w:customStyle="1" w:styleId="147">
    <w:name w:val="明显强调1"/>
    <w:autoRedefine/>
    <w:qFormat/>
    <w:uiPriority w:val="0"/>
    <w:rPr>
      <w:b/>
      <w:bCs/>
      <w:i/>
      <w:iCs/>
      <w:color w:val="4F81BD"/>
    </w:rPr>
  </w:style>
  <w:style w:type="character" w:customStyle="1" w:styleId="148">
    <w:name w:val="标题5 Char Char"/>
    <w:link w:val="149"/>
    <w:autoRedefine/>
    <w:qFormat/>
    <w:uiPriority w:val="0"/>
    <w:rPr>
      <w:rFonts w:ascii="Arial" w:hAnsi="Arial"/>
      <w:b/>
      <w:bCs/>
      <w:sz w:val="24"/>
      <w:szCs w:val="32"/>
    </w:rPr>
  </w:style>
  <w:style w:type="paragraph" w:customStyle="1" w:styleId="149">
    <w:name w:val="标题5"/>
    <w:basedOn w:val="4"/>
    <w:link w:val="148"/>
    <w:autoRedefine/>
    <w:qFormat/>
    <w:uiPriority w:val="0"/>
    <w:pPr>
      <w:spacing w:before="260" w:after="260" w:line="413" w:lineRule="auto"/>
    </w:pPr>
    <w:rPr>
      <w:rFonts w:ascii="Arial" w:hAnsi="Arial" w:eastAsia="宋体"/>
      <w:b/>
    </w:rPr>
  </w:style>
  <w:style w:type="character" w:customStyle="1" w:styleId="150">
    <w:name w:val="textcontents"/>
    <w:autoRedefine/>
    <w:qFormat/>
    <w:uiPriority w:val="0"/>
    <w:rPr>
      <w:rFonts w:cs="Times New Roman"/>
    </w:rPr>
  </w:style>
  <w:style w:type="character" w:customStyle="1" w:styleId="151">
    <w:name w:val="不明显强调1"/>
    <w:autoRedefine/>
    <w:qFormat/>
    <w:uiPriority w:val="0"/>
    <w:rPr>
      <w:i/>
      <w:iCs/>
      <w:color w:val="808080"/>
    </w:rPr>
  </w:style>
  <w:style w:type="character" w:customStyle="1" w:styleId="152">
    <w:name w:val="不明显参考1"/>
    <w:autoRedefine/>
    <w:qFormat/>
    <w:uiPriority w:val="0"/>
    <w:rPr>
      <w:smallCaps/>
      <w:color w:val="C0504D"/>
      <w:u w:val="single"/>
    </w:rPr>
  </w:style>
  <w:style w:type="character" w:customStyle="1" w:styleId="153">
    <w:name w:val="日期 Char1"/>
    <w:autoRedefine/>
    <w:qFormat/>
    <w:uiPriority w:val="99"/>
    <w:rPr>
      <w:kern w:val="2"/>
      <w:sz w:val="21"/>
      <w:szCs w:val="22"/>
    </w:rPr>
  </w:style>
  <w:style w:type="character" w:customStyle="1" w:styleId="154">
    <w:name w:val="正文文本 Char1"/>
    <w:autoRedefine/>
    <w:qFormat/>
    <w:uiPriority w:val="99"/>
    <w:rPr>
      <w:kern w:val="2"/>
      <w:sz w:val="21"/>
      <w:szCs w:val="22"/>
    </w:rPr>
  </w:style>
  <w:style w:type="character" w:customStyle="1" w:styleId="155">
    <w:name w:val="批注主题 Char1"/>
    <w:autoRedefine/>
    <w:qFormat/>
    <w:uiPriority w:val="99"/>
    <w:rPr>
      <w:b/>
      <w:bCs/>
      <w:kern w:val="2"/>
      <w:sz w:val="21"/>
      <w:szCs w:val="22"/>
    </w:rPr>
  </w:style>
  <w:style w:type="character" w:customStyle="1" w:styleId="156">
    <w:name w:val="批注文字 Char Char"/>
    <w:autoRedefine/>
    <w:qFormat/>
    <w:uiPriority w:val="0"/>
    <w:rPr>
      <w:rFonts w:ascii="宋体" w:hAnsi="Times New Roman" w:eastAsia="宋体" w:cs="Times New Roman"/>
      <w:sz w:val="28"/>
      <w:szCs w:val="20"/>
    </w:rPr>
  </w:style>
  <w:style w:type="character" w:customStyle="1" w:styleId="157">
    <w:name w:val="明显参考1"/>
    <w:autoRedefine/>
    <w:qFormat/>
    <w:uiPriority w:val="0"/>
    <w:rPr>
      <w:b/>
      <w:bCs/>
      <w:smallCaps/>
      <w:color w:val="C0504D"/>
      <w:spacing w:val="5"/>
      <w:u w:val="single"/>
    </w:rPr>
  </w:style>
  <w:style w:type="character" w:customStyle="1" w:styleId="158">
    <w:name w:val="批注框文本 Char1"/>
    <w:autoRedefine/>
    <w:qFormat/>
    <w:uiPriority w:val="99"/>
    <w:rPr>
      <w:kern w:val="2"/>
      <w:sz w:val="18"/>
      <w:szCs w:val="18"/>
    </w:rPr>
  </w:style>
  <w:style w:type="character" w:customStyle="1" w:styleId="159">
    <w:name w:val="彩色网格 - 强调文字颜色 1 Char"/>
    <w:link w:val="160"/>
    <w:autoRedefine/>
    <w:qFormat/>
    <w:uiPriority w:val="0"/>
    <w:rPr>
      <w:i/>
      <w:iCs/>
      <w:color w:val="000000"/>
      <w:kern w:val="2"/>
      <w:sz w:val="21"/>
      <w:szCs w:val="22"/>
    </w:rPr>
  </w:style>
  <w:style w:type="paragraph" w:customStyle="1" w:styleId="160">
    <w:name w:val="彩色网格 - 强调文字颜色 11"/>
    <w:basedOn w:val="1"/>
    <w:next w:val="1"/>
    <w:link w:val="159"/>
    <w:autoRedefine/>
    <w:qFormat/>
    <w:uiPriority w:val="0"/>
    <w:rPr>
      <w:i/>
      <w:iCs/>
      <w:color w:val="000000"/>
      <w:kern w:val="2"/>
      <w:sz w:val="21"/>
      <w:szCs w:val="22"/>
      <w:lang w:val="zh-CN"/>
    </w:rPr>
  </w:style>
  <w:style w:type="character" w:customStyle="1" w:styleId="161">
    <w:name w:val="文档结构图 Char1"/>
    <w:autoRedefine/>
    <w:qFormat/>
    <w:uiPriority w:val="99"/>
    <w:rPr>
      <w:rFonts w:ascii="宋体"/>
      <w:kern w:val="2"/>
      <w:sz w:val="18"/>
      <w:szCs w:val="18"/>
    </w:rPr>
  </w:style>
  <w:style w:type="paragraph" w:customStyle="1" w:styleId="162">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bCs w:val="0"/>
      <w:kern w:val="0"/>
      <w:szCs w:val="20"/>
    </w:rPr>
  </w:style>
  <w:style w:type="paragraph" w:customStyle="1" w:styleId="163">
    <w:name w:val="无间距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4">
    <w:name w:val="副标题字符1"/>
    <w:autoRedefine/>
    <w:qFormat/>
    <w:uiPriority w:val="0"/>
    <w:rPr>
      <w:rFonts w:ascii="Calibri" w:hAnsi="Calibri" w:cs="Times New Roman"/>
      <w:b/>
      <w:bCs/>
      <w:kern w:val="28"/>
      <w:sz w:val="32"/>
      <w:szCs w:val="32"/>
    </w:rPr>
  </w:style>
  <w:style w:type="character" w:customStyle="1" w:styleId="165">
    <w:name w:val="明显引用字符1"/>
    <w:autoRedefine/>
    <w:qFormat/>
    <w:uiPriority w:val="0"/>
    <w:rPr>
      <w:b/>
      <w:bCs/>
      <w:i/>
      <w:iCs/>
      <w:color w:val="4F81BD"/>
      <w:kern w:val="2"/>
      <w:sz w:val="21"/>
      <w:szCs w:val="24"/>
    </w:rPr>
  </w:style>
  <w:style w:type="character" w:customStyle="1" w:styleId="166">
    <w:name w:val="引用字符1"/>
    <w:autoRedefine/>
    <w:qFormat/>
    <w:uiPriority w:val="0"/>
    <w:rPr>
      <w:i/>
      <w:iCs/>
      <w:color w:val="000000"/>
      <w:kern w:val="2"/>
      <w:sz w:val="21"/>
      <w:szCs w:val="24"/>
    </w:rPr>
  </w:style>
  <w:style w:type="paragraph" w:customStyle="1" w:styleId="16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68">
    <w:name w:val="flNote"/>
    <w:basedOn w:val="1"/>
    <w:autoRedefine/>
    <w:qFormat/>
    <w:uiPriority w:val="0"/>
    <w:pPr>
      <w:adjustRightInd w:val="0"/>
      <w:spacing w:before="320" w:after="160" w:line="360" w:lineRule="atLeast"/>
      <w:jc w:val="center"/>
      <w:textAlignment w:val="baseline"/>
    </w:pPr>
    <w:rPr>
      <w:rFonts w:ascii="Arial" w:eastAsia="黑体"/>
      <w:sz w:val="30"/>
      <w:szCs w:val="20"/>
    </w:rPr>
  </w:style>
  <w:style w:type="paragraph" w:customStyle="1" w:styleId="169">
    <w:name w:val="空半行"/>
    <w:basedOn w:val="1"/>
    <w:autoRedefine/>
    <w:qFormat/>
    <w:uiPriority w:val="0"/>
    <w:pPr>
      <w:adjustRightInd w:val="0"/>
      <w:spacing w:line="120" w:lineRule="exact"/>
      <w:textAlignment w:val="baseline"/>
    </w:pPr>
    <w:rPr>
      <w:rFonts w:eastAsia="仿宋_GB2312"/>
      <w:color w:val="FFFFFF"/>
      <w:sz w:val="30"/>
      <w:szCs w:val="20"/>
    </w:rPr>
  </w:style>
  <w:style w:type="paragraph" w:customStyle="1" w:styleId="170">
    <w:name w:val="TOC 标题1"/>
    <w:basedOn w:val="2"/>
    <w:next w:val="1"/>
    <w:autoRedefine/>
    <w:qFormat/>
    <w:uiPriority w:val="39"/>
    <w:pPr>
      <w:spacing w:line="576" w:lineRule="auto"/>
      <w:jc w:val="both"/>
      <w:outlineLvl w:val="9"/>
    </w:pPr>
    <w:rPr>
      <w:rFonts w:ascii="Calibri" w:hAnsi="Calibri" w:eastAsia="宋体"/>
      <w:b/>
      <w:sz w:val="44"/>
    </w:rPr>
  </w:style>
  <w:style w:type="character" w:customStyle="1" w:styleId="171">
    <w:name w:val="Char Char18"/>
    <w:autoRedefine/>
    <w:qFormat/>
    <w:uiPriority w:val="0"/>
    <w:rPr>
      <w:rFonts w:ascii="Calibri" w:hAnsi="Calibri" w:eastAsia="宋体"/>
      <w:b/>
      <w:bCs/>
      <w:kern w:val="44"/>
      <w:sz w:val="44"/>
      <w:szCs w:val="44"/>
      <w:lang w:val="en-US" w:eastAsia="zh-CN" w:bidi="ar-SA"/>
    </w:rPr>
  </w:style>
  <w:style w:type="character" w:customStyle="1" w:styleId="172">
    <w:name w:val="HTML 预设格式 字符"/>
    <w:link w:val="45"/>
    <w:autoRedefine/>
    <w:qFormat/>
    <w:uiPriority w:val="99"/>
    <w:rPr>
      <w:rFonts w:ascii="Arial" w:hAnsi="Arial" w:cs="Arial"/>
      <w:sz w:val="24"/>
      <w:szCs w:val="24"/>
    </w:rPr>
  </w:style>
  <w:style w:type="paragraph" w:customStyle="1" w:styleId="173">
    <w:name w:val="Char Char Char Char11"/>
    <w:basedOn w:val="1"/>
    <w:autoRedefine/>
    <w:qFormat/>
    <w:uiPriority w:val="0"/>
    <w:pPr>
      <w:adjustRightInd w:val="0"/>
      <w:spacing w:line="360" w:lineRule="atLeast"/>
      <w:textAlignment w:val="baseline"/>
    </w:pPr>
  </w:style>
  <w:style w:type="character" w:customStyle="1" w:styleId="174">
    <w:name w:val="标题 #3_"/>
    <w:link w:val="175"/>
    <w:autoRedefine/>
    <w:qFormat/>
    <w:uiPriority w:val="0"/>
    <w:rPr>
      <w:rFonts w:ascii="MingLiU" w:hAnsi="MingLiU" w:eastAsia="MingLiU" w:cs="MingLiU"/>
      <w:spacing w:val="42"/>
      <w:sz w:val="45"/>
      <w:szCs w:val="45"/>
      <w:shd w:val="clear" w:color="auto" w:fill="FFFFFF"/>
    </w:rPr>
  </w:style>
  <w:style w:type="paragraph" w:customStyle="1" w:styleId="175">
    <w:name w:val="标题 #3"/>
    <w:basedOn w:val="1"/>
    <w:link w:val="174"/>
    <w:autoRedefine/>
    <w:qFormat/>
    <w:uiPriority w:val="0"/>
    <w:pPr>
      <w:shd w:val="clear" w:color="auto" w:fill="FFFFFF"/>
      <w:spacing w:after="660" w:line="0" w:lineRule="atLeast"/>
      <w:jc w:val="center"/>
      <w:outlineLvl w:val="2"/>
    </w:pPr>
    <w:rPr>
      <w:rFonts w:ascii="MingLiU" w:hAnsi="MingLiU" w:eastAsia="MingLiU"/>
      <w:spacing w:val="42"/>
      <w:sz w:val="45"/>
      <w:szCs w:val="45"/>
      <w:lang w:val="zh-CN"/>
    </w:rPr>
  </w:style>
  <w:style w:type="character" w:customStyle="1" w:styleId="176">
    <w:name w:val="标题 #3 + 29.5 pt"/>
    <w:autoRedefine/>
    <w:qFormat/>
    <w:uiPriority w:val="0"/>
    <w:rPr>
      <w:rFonts w:ascii="MingLiU" w:hAnsi="MingLiU" w:eastAsia="MingLiU" w:cs="MingLiU"/>
      <w:color w:val="000000"/>
      <w:spacing w:val="21"/>
      <w:w w:val="100"/>
      <w:position w:val="0"/>
      <w:sz w:val="59"/>
      <w:szCs w:val="59"/>
      <w:shd w:val="clear" w:color="auto" w:fill="FFFFFF"/>
      <w:lang w:val="en-US"/>
    </w:rPr>
  </w:style>
  <w:style w:type="character" w:customStyle="1" w:styleId="177">
    <w:name w:val="正文文本 (2)_"/>
    <w:link w:val="178"/>
    <w:autoRedefine/>
    <w:qFormat/>
    <w:uiPriority w:val="0"/>
    <w:rPr>
      <w:rFonts w:ascii="Batang" w:hAnsi="Batang" w:eastAsia="Batang" w:cs="Batang"/>
      <w:spacing w:val="-9"/>
      <w:shd w:val="clear" w:color="auto" w:fill="FFFFFF"/>
    </w:rPr>
  </w:style>
  <w:style w:type="paragraph" w:customStyle="1" w:styleId="178">
    <w:name w:val="正文文本 (2)"/>
    <w:basedOn w:val="1"/>
    <w:link w:val="177"/>
    <w:autoRedefine/>
    <w:qFormat/>
    <w:uiPriority w:val="0"/>
    <w:pPr>
      <w:shd w:val="clear" w:color="auto" w:fill="FFFFFF"/>
      <w:spacing w:before="660" w:after="7860" w:line="0" w:lineRule="atLeast"/>
    </w:pPr>
    <w:rPr>
      <w:rFonts w:ascii="Batang" w:hAnsi="Batang" w:eastAsia="Batang"/>
      <w:spacing w:val="-9"/>
      <w:sz w:val="20"/>
      <w:szCs w:val="20"/>
      <w:lang w:val="zh-CN"/>
    </w:rPr>
  </w:style>
  <w:style w:type="character" w:customStyle="1" w:styleId="179">
    <w:name w:val="标题 #1 + 间距 9 pt"/>
    <w:autoRedefine/>
    <w:qFormat/>
    <w:uiPriority w:val="0"/>
    <w:rPr>
      <w:rFonts w:ascii="MingLiU" w:hAnsi="MingLiU" w:eastAsia="MingLiU" w:cs="MingLiU"/>
      <w:color w:val="000000"/>
      <w:spacing w:val="190"/>
      <w:w w:val="100"/>
      <w:position w:val="0"/>
      <w:sz w:val="55"/>
      <w:szCs w:val="55"/>
      <w:u w:val="none"/>
      <w:lang w:val="zh-TW"/>
    </w:rPr>
  </w:style>
  <w:style w:type="character" w:customStyle="1" w:styleId="180">
    <w:name w:val="标题 #6_"/>
    <w:link w:val="181"/>
    <w:autoRedefine/>
    <w:qFormat/>
    <w:uiPriority w:val="0"/>
    <w:rPr>
      <w:rFonts w:ascii="MingLiU" w:hAnsi="MingLiU" w:eastAsia="MingLiU" w:cs="MingLiU"/>
      <w:spacing w:val="17"/>
      <w:sz w:val="34"/>
      <w:szCs w:val="34"/>
      <w:shd w:val="clear" w:color="auto" w:fill="FFFFFF"/>
    </w:rPr>
  </w:style>
  <w:style w:type="paragraph" w:customStyle="1" w:styleId="181">
    <w:name w:val="标题 #6"/>
    <w:basedOn w:val="1"/>
    <w:link w:val="180"/>
    <w:autoRedefine/>
    <w:qFormat/>
    <w:uiPriority w:val="0"/>
    <w:pPr>
      <w:shd w:val="clear" w:color="auto" w:fill="FFFFFF"/>
      <w:spacing w:before="960" w:after="120" w:line="0" w:lineRule="atLeast"/>
      <w:outlineLvl w:val="5"/>
    </w:pPr>
    <w:rPr>
      <w:rFonts w:ascii="MingLiU" w:hAnsi="MingLiU" w:eastAsia="MingLiU"/>
      <w:spacing w:val="17"/>
      <w:sz w:val="34"/>
      <w:szCs w:val="34"/>
      <w:lang w:val="zh-CN"/>
    </w:rPr>
  </w:style>
  <w:style w:type="character" w:customStyle="1" w:styleId="182">
    <w:name w:val="标题 #6 + Batang"/>
    <w:autoRedefine/>
    <w:qFormat/>
    <w:uiPriority w:val="0"/>
    <w:rPr>
      <w:rFonts w:ascii="Batang" w:hAnsi="Batang" w:eastAsia="Batang" w:cs="Batang"/>
      <w:color w:val="000000"/>
      <w:spacing w:val="13"/>
      <w:w w:val="100"/>
      <w:position w:val="0"/>
      <w:sz w:val="35"/>
      <w:szCs w:val="35"/>
      <w:shd w:val="clear" w:color="auto" w:fill="FFFFFF"/>
      <w:lang w:val="en-US"/>
    </w:rPr>
  </w:style>
  <w:style w:type="character" w:customStyle="1" w:styleId="183">
    <w:name w:val="正文文本 (11) + 间距 1 pt"/>
    <w:autoRedefine/>
    <w:qFormat/>
    <w:uiPriority w:val="0"/>
    <w:rPr>
      <w:rFonts w:ascii="MingLiU" w:hAnsi="MingLiU" w:eastAsia="MingLiU" w:cs="MingLiU"/>
      <w:color w:val="000000"/>
      <w:spacing w:val="37"/>
      <w:w w:val="100"/>
      <w:position w:val="0"/>
      <w:sz w:val="21"/>
      <w:szCs w:val="21"/>
      <w:u w:val="none"/>
      <w:lang w:val="zh-TW"/>
    </w:rPr>
  </w:style>
  <w:style w:type="character" w:customStyle="1" w:styleId="184">
    <w:name w:val="正文文本_"/>
    <w:link w:val="185"/>
    <w:autoRedefine/>
    <w:qFormat/>
    <w:uiPriority w:val="0"/>
    <w:rPr>
      <w:rFonts w:ascii="MingLiU" w:hAnsi="MingLiU" w:eastAsia="MingLiU" w:cs="MingLiU"/>
      <w:spacing w:val="11"/>
      <w:szCs w:val="21"/>
      <w:shd w:val="clear" w:color="auto" w:fill="FFFFFF"/>
    </w:rPr>
  </w:style>
  <w:style w:type="paragraph" w:customStyle="1" w:styleId="185">
    <w:name w:val="正文文本1"/>
    <w:basedOn w:val="1"/>
    <w:link w:val="184"/>
    <w:autoRedefine/>
    <w:qFormat/>
    <w:uiPriority w:val="0"/>
    <w:pPr>
      <w:shd w:val="clear" w:color="auto" w:fill="FFFFFF"/>
      <w:spacing w:before="840" w:line="346" w:lineRule="exact"/>
      <w:jc w:val="distribute"/>
    </w:pPr>
    <w:rPr>
      <w:rFonts w:ascii="MingLiU" w:hAnsi="MingLiU" w:eastAsia="MingLiU"/>
      <w:spacing w:val="11"/>
      <w:sz w:val="20"/>
      <w:szCs w:val="21"/>
      <w:lang w:val="zh-CN"/>
    </w:rPr>
  </w:style>
  <w:style w:type="character" w:customStyle="1" w:styleId="186">
    <w:name w:val="正文文本 + 间距 3 pt"/>
    <w:autoRedefine/>
    <w:qFormat/>
    <w:uiPriority w:val="0"/>
    <w:rPr>
      <w:rFonts w:ascii="MingLiU" w:hAnsi="MingLiU" w:eastAsia="MingLiU" w:cs="MingLiU"/>
      <w:color w:val="000000"/>
      <w:spacing w:val="79"/>
      <w:w w:val="100"/>
      <w:position w:val="0"/>
      <w:szCs w:val="21"/>
      <w:shd w:val="clear" w:color="auto" w:fill="FFFFFF"/>
      <w:lang w:val="zh-TW"/>
    </w:rPr>
  </w:style>
  <w:style w:type="character" w:customStyle="1" w:styleId="187">
    <w:name w:val="页眉或页脚 (3)_"/>
    <w:link w:val="188"/>
    <w:autoRedefine/>
    <w:qFormat/>
    <w:uiPriority w:val="0"/>
    <w:rPr>
      <w:rFonts w:ascii="MingLiU" w:hAnsi="MingLiU" w:eastAsia="MingLiU" w:cs="MingLiU"/>
      <w:spacing w:val="28"/>
      <w:sz w:val="19"/>
      <w:szCs w:val="19"/>
      <w:shd w:val="clear" w:color="auto" w:fill="FFFFFF"/>
    </w:rPr>
  </w:style>
  <w:style w:type="paragraph" w:customStyle="1" w:styleId="188">
    <w:name w:val="页眉或页脚 (3)"/>
    <w:basedOn w:val="1"/>
    <w:link w:val="187"/>
    <w:autoRedefine/>
    <w:qFormat/>
    <w:uiPriority w:val="0"/>
    <w:pPr>
      <w:shd w:val="clear" w:color="auto" w:fill="FFFFFF"/>
      <w:spacing w:line="0" w:lineRule="atLeast"/>
    </w:pPr>
    <w:rPr>
      <w:rFonts w:ascii="MingLiU" w:hAnsi="MingLiU" w:eastAsia="MingLiU"/>
      <w:spacing w:val="28"/>
      <w:sz w:val="19"/>
      <w:szCs w:val="19"/>
      <w:lang w:val="zh-CN"/>
    </w:rPr>
  </w:style>
  <w:style w:type="character" w:customStyle="1" w:styleId="189">
    <w:name w:val="正文文本 (13) + MingLiU"/>
    <w:autoRedefine/>
    <w:qFormat/>
    <w:uiPriority w:val="0"/>
    <w:rPr>
      <w:rFonts w:ascii="MingLiU" w:hAnsi="MingLiU" w:eastAsia="MingLiU" w:cs="MingLiU"/>
      <w:b/>
      <w:bCs/>
      <w:color w:val="000000"/>
      <w:spacing w:val="257"/>
      <w:w w:val="100"/>
      <w:position w:val="0"/>
      <w:sz w:val="23"/>
      <w:szCs w:val="23"/>
      <w:u w:val="none"/>
      <w:lang w:val="zh-TW"/>
    </w:rPr>
  </w:style>
  <w:style w:type="character" w:customStyle="1" w:styleId="190">
    <w:name w:val="标题 #5 + 间距 10 pt"/>
    <w:autoRedefine/>
    <w:qFormat/>
    <w:uiPriority w:val="0"/>
    <w:rPr>
      <w:rFonts w:ascii="MingLiU" w:hAnsi="MingLiU" w:eastAsia="MingLiU" w:cs="MingLiU"/>
      <w:color w:val="000000"/>
      <w:spacing w:val="201"/>
      <w:w w:val="100"/>
      <w:position w:val="0"/>
      <w:sz w:val="39"/>
      <w:szCs w:val="39"/>
      <w:u w:val="none"/>
      <w:lang w:val="zh-TW"/>
    </w:rPr>
  </w:style>
  <w:style w:type="character" w:customStyle="1" w:styleId="191">
    <w:name w:val="正文文本 (14) + 间距 2 pt"/>
    <w:autoRedefine/>
    <w:qFormat/>
    <w:uiPriority w:val="0"/>
    <w:rPr>
      <w:rFonts w:ascii="MingLiU" w:hAnsi="MingLiU" w:eastAsia="MingLiU" w:cs="MingLiU"/>
      <w:b/>
      <w:bCs/>
      <w:color w:val="000000"/>
      <w:spacing w:val="46"/>
      <w:w w:val="100"/>
      <w:position w:val="0"/>
      <w:sz w:val="23"/>
      <w:szCs w:val="23"/>
      <w:u w:val="none"/>
      <w:lang w:val="zh-TW"/>
    </w:rPr>
  </w:style>
  <w:style w:type="character" w:customStyle="1" w:styleId="192">
    <w:name w:val="正文文本 (11) + 11.5 pt"/>
    <w:autoRedefine/>
    <w:qFormat/>
    <w:uiPriority w:val="0"/>
    <w:rPr>
      <w:rFonts w:ascii="MingLiU" w:hAnsi="MingLiU" w:eastAsia="MingLiU" w:cs="MingLiU"/>
      <w:b/>
      <w:bCs/>
      <w:color w:val="000000"/>
      <w:spacing w:val="46"/>
      <w:w w:val="100"/>
      <w:position w:val="0"/>
      <w:sz w:val="23"/>
      <w:szCs w:val="23"/>
      <w:u w:val="none"/>
      <w:lang w:val="zh-TW"/>
    </w:rPr>
  </w:style>
  <w:style w:type="character" w:customStyle="1" w:styleId="193">
    <w:name w:val="目录 + 间距 1 pt"/>
    <w:autoRedefine/>
    <w:qFormat/>
    <w:uiPriority w:val="0"/>
    <w:rPr>
      <w:rFonts w:ascii="MingLiU" w:hAnsi="MingLiU" w:eastAsia="MingLiU" w:cs="MingLiU"/>
      <w:color w:val="000000"/>
      <w:spacing w:val="39"/>
      <w:w w:val="100"/>
      <w:position w:val="0"/>
      <w:sz w:val="21"/>
      <w:szCs w:val="21"/>
      <w:u w:val="none"/>
      <w:lang w:val="zh-TW"/>
    </w:rPr>
  </w:style>
  <w:style w:type="paragraph" w:customStyle="1" w:styleId="194">
    <w:name w:val="1"/>
    <w:basedOn w:val="1"/>
    <w:autoRedefine/>
    <w:qFormat/>
    <w:uiPriority w:val="99"/>
    <w:pPr>
      <w:adjustRightInd w:val="0"/>
      <w:spacing w:before="360" w:after="240" w:line="420" w:lineRule="atLeast"/>
      <w:ind w:firstLine="454"/>
      <w:textAlignment w:val="baseline"/>
    </w:pPr>
    <w:rPr>
      <w:b/>
      <w:szCs w:val="20"/>
    </w:rPr>
  </w:style>
  <w:style w:type="character" w:customStyle="1" w:styleId="195">
    <w:name w:val="正文文本 + 8 pt"/>
    <w:autoRedefine/>
    <w:qFormat/>
    <w:uiPriority w:val="0"/>
    <w:rPr>
      <w:rFonts w:ascii="宋体" w:hAnsi="宋体" w:eastAsia="宋体" w:cs="宋体"/>
      <w:color w:val="000000"/>
      <w:spacing w:val="2"/>
      <w:w w:val="100"/>
      <w:position w:val="0"/>
      <w:sz w:val="16"/>
      <w:szCs w:val="16"/>
      <w:u w:val="none"/>
      <w:shd w:val="clear" w:color="auto" w:fill="FFFFFF"/>
      <w:lang w:val="zh-TW"/>
    </w:rPr>
  </w:style>
  <w:style w:type="character" w:customStyle="1" w:styleId="196">
    <w:name w:val="正文文本 (5)_"/>
    <w:link w:val="197"/>
    <w:autoRedefine/>
    <w:qFormat/>
    <w:uiPriority w:val="0"/>
    <w:rPr>
      <w:rFonts w:ascii="宋体" w:hAnsi="宋体" w:eastAsia="宋体" w:cs="宋体"/>
      <w:spacing w:val="11"/>
      <w:shd w:val="clear" w:color="auto" w:fill="FFFFFF"/>
    </w:rPr>
  </w:style>
  <w:style w:type="paragraph" w:customStyle="1" w:styleId="197">
    <w:name w:val="正文文本 (5)"/>
    <w:basedOn w:val="1"/>
    <w:link w:val="196"/>
    <w:autoRedefine/>
    <w:qFormat/>
    <w:uiPriority w:val="0"/>
    <w:pPr>
      <w:shd w:val="clear" w:color="auto" w:fill="FFFFFF"/>
      <w:spacing w:after="540" w:line="0" w:lineRule="atLeast"/>
    </w:pPr>
    <w:rPr>
      <w:rFonts w:ascii="宋体" w:hAnsi="宋体"/>
      <w:spacing w:val="11"/>
      <w:sz w:val="20"/>
      <w:szCs w:val="20"/>
      <w:lang w:val="zh-CN"/>
    </w:rPr>
  </w:style>
  <w:style w:type="character" w:customStyle="1" w:styleId="198">
    <w:name w:val="正文文本 (6)_"/>
    <w:link w:val="199"/>
    <w:autoRedefine/>
    <w:qFormat/>
    <w:uiPriority w:val="0"/>
    <w:rPr>
      <w:rFonts w:ascii="Batang" w:hAnsi="Batang" w:eastAsia="Batang" w:cs="Batang"/>
      <w:spacing w:val="22"/>
      <w:sz w:val="19"/>
      <w:szCs w:val="19"/>
      <w:shd w:val="clear" w:color="auto" w:fill="FFFFFF"/>
    </w:rPr>
  </w:style>
  <w:style w:type="paragraph" w:customStyle="1" w:styleId="199">
    <w:name w:val="正文文本 (6)"/>
    <w:basedOn w:val="1"/>
    <w:link w:val="198"/>
    <w:autoRedefine/>
    <w:qFormat/>
    <w:uiPriority w:val="0"/>
    <w:pPr>
      <w:shd w:val="clear" w:color="auto" w:fill="FFFFFF"/>
      <w:spacing w:before="240" w:line="110" w:lineRule="exact"/>
      <w:jc w:val="distribute"/>
    </w:pPr>
    <w:rPr>
      <w:rFonts w:ascii="Batang" w:hAnsi="Batang" w:eastAsia="Batang"/>
      <w:spacing w:val="22"/>
      <w:sz w:val="19"/>
      <w:szCs w:val="19"/>
      <w:lang w:val="zh-CN"/>
    </w:rPr>
  </w:style>
  <w:style w:type="character" w:customStyle="1" w:styleId="200">
    <w:name w:val="正文文本 (6) + 间距 0 pt"/>
    <w:autoRedefine/>
    <w:qFormat/>
    <w:uiPriority w:val="0"/>
    <w:rPr>
      <w:rFonts w:ascii="Batang" w:hAnsi="Batang" w:eastAsia="Batang" w:cs="Batang"/>
      <w:color w:val="000000"/>
      <w:spacing w:val="-6"/>
      <w:w w:val="100"/>
      <w:position w:val="0"/>
      <w:sz w:val="19"/>
      <w:szCs w:val="19"/>
      <w:shd w:val="clear" w:color="auto" w:fill="FFFFFF"/>
    </w:rPr>
  </w:style>
  <w:style w:type="character" w:customStyle="1" w:styleId="201">
    <w:name w:val="标题 #1_"/>
    <w:link w:val="202"/>
    <w:autoRedefine/>
    <w:qFormat/>
    <w:uiPriority w:val="0"/>
    <w:rPr>
      <w:rFonts w:ascii="宋体" w:hAnsi="宋体" w:eastAsia="宋体" w:cs="宋体"/>
      <w:spacing w:val="11"/>
      <w:shd w:val="clear" w:color="auto" w:fill="FFFFFF"/>
    </w:rPr>
  </w:style>
  <w:style w:type="paragraph" w:customStyle="1" w:styleId="202">
    <w:name w:val="标题 #1"/>
    <w:basedOn w:val="1"/>
    <w:link w:val="201"/>
    <w:autoRedefine/>
    <w:qFormat/>
    <w:uiPriority w:val="0"/>
    <w:pPr>
      <w:shd w:val="clear" w:color="auto" w:fill="FFFFFF"/>
      <w:spacing w:after="240" w:line="0" w:lineRule="atLeast"/>
      <w:outlineLvl w:val="0"/>
    </w:pPr>
    <w:rPr>
      <w:rFonts w:ascii="宋体" w:hAnsi="宋体"/>
      <w:spacing w:val="11"/>
      <w:sz w:val="20"/>
      <w:szCs w:val="20"/>
      <w:lang w:val="zh-CN"/>
    </w:rPr>
  </w:style>
  <w:style w:type="character" w:customStyle="1" w:styleId="203">
    <w:name w:val="正文文本 (6) + 间距 -1 pt"/>
    <w:autoRedefine/>
    <w:qFormat/>
    <w:uiPriority w:val="0"/>
    <w:rPr>
      <w:rFonts w:ascii="Batang" w:hAnsi="Batang" w:eastAsia="Batang" w:cs="Batang"/>
      <w:color w:val="000000"/>
      <w:spacing w:val="-36"/>
      <w:w w:val="100"/>
      <w:position w:val="0"/>
      <w:sz w:val="19"/>
      <w:szCs w:val="19"/>
      <w:u w:val="none"/>
      <w:shd w:val="clear" w:color="auto" w:fill="FFFFFF"/>
      <w:lang w:val="en-US"/>
    </w:rPr>
  </w:style>
  <w:style w:type="character" w:customStyle="1" w:styleId="204">
    <w:name w:val="正文文本 (7)_"/>
    <w:link w:val="205"/>
    <w:autoRedefine/>
    <w:qFormat/>
    <w:uiPriority w:val="0"/>
    <w:rPr>
      <w:rFonts w:ascii="宋体" w:hAnsi="宋体" w:eastAsia="宋体" w:cs="宋体"/>
      <w:spacing w:val="12"/>
      <w:sz w:val="22"/>
      <w:shd w:val="clear" w:color="auto" w:fill="FFFFFF"/>
    </w:rPr>
  </w:style>
  <w:style w:type="paragraph" w:customStyle="1" w:styleId="205">
    <w:name w:val="正文文本 (7)"/>
    <w:basedOn w:val="1"/>
    <w:link w:val="204"/>
    <w:autoRedefine/>
    <w:qFormat/>
    <w:uiPriority w:val="0"/>
    <w:pPr>
      <w:shd w:val="clear" w:color="auto" w:fill="FFFFFF"/>
      <w:spacing w:line="350" w:lineRule="exact"/>
      <w:ind w:firstLine="440"/>
      <w:jc w:val="distribute"/>
    </w:pPr>
    <w:rPr>
      <w:rFonts w:ascii="宋体" w:hAnsi="宋体"/>
      <w:spacing w:val="12"/>
      <w:sz w:val="22"/>
      <w:szCs w:val="20"/>
      <w:lang w:val="zh-CN"/>
    </w:rPr>
  </w:style>
  <w:style w:type="character" w:customStyle="1" w:styleId="206">
    <w:name w:val="正文文本 (7) + 间距 -2 pt"/>
    <w:autoRedefine/>
    <w:qFormat/>
    <w:uiPriority w:val="0"/>
    <w:rPr>
      <w:rFonts w:ascii="宋体" w:hAnsi="宋体" w:eastAsia="宋体" w:cs="宋体"/>
      <w:color w:val="000000"/>
      <w:spacing w:val="-41"/>
      <w:w w:val="100"/>
      <w:position w:val="0"/>
      <w:sz w:val="22"/>
      <w:shd w:val="clear" w:color="auto" w:fill="FFFFFF"/>
      <w:lang w:val="zh-TW"/>
    </w:rPr>
  </w:style>
  <w:style w:type="character" w:customStyle="1" w:styleId="207">
    <w:name w:val="正文文本 (8)_"/>
    <w:link w:val="208"/>
    <w:autoRedefine/>
    <w:qFormat/>
    <w:uiPriority w:val="0"/>
    <w:rPr>
      <w:rFonts w:ascii="Dotum" w:hAnsi="Dotum" w:eastAsia="Dotum" w:cs="Dotum"/>
      <w:spacing w:val="-9"/>
      <w:sz w:val="14"/>
      <w:szCs w:val="14"/>
      <w:shd w:val="clear" w:color="auto" w:fill="FFFFFF"/>
    </w:rPr>
  </w:style>
  <w:style w:type="paragraph" w:customStyle="1" w:styleId="208">
    <w:name w:val="正文文本 (8)"/>
    <w:basedOn w:val="1"/>
    <w:link w:val="207"/>
    <w:autoRedefine/>
    <w:qFormat/>
    <w:uiPriority w:val="0"/>
    <w:pPr>
      <w:shd w:val="clear" w:color="auto" w:fill="FFFFFF"/>
      <w:spacing w:line="0" w:lineRule="atLeast"/>
    </w:pPr>
    <w:rPr>
      <w:rFonts w:ascii="Dotum" w:hAnsi="Dotum" w:eastAsia="Dotum"/>
      <w:spacing w:val="-9"/>
      <w:sz w:val="14"/>
      <w:szCs w:val="14"/>
      <w:lang w:val="zh-CN"/>
    </w:rPr>
  </w:style>
  <w:style w:type="character" w:customStyle="1" w:styleId="209">
    <w:name w:val="正文文本 (8) + 间距 -1 pt"/>
    <w:autoRedefine/>
    <w:qFormat/>
    <w:uiPriority w:val="0"/>
    <w:rPr>
      <w:rFonts w:ascii="Dotum" w:hAnsi="Dotum" w:eastAsia="Dotum" w:cs="Dotum"/>
      <w:color w:val="000000"/>
      <w:spacing w:val="-28"/>
      <w:w w:val="100"/>
      <w:position w:val="0"/>
      <w:sz w:val="14"/>
      <w:szCs w:val="14"/>
      <w:shd w:val="clear" w:color="auto" w:fill="FFFFFF"/>
    </w:rPr>
  </w:style>
  <w:style w:type="character" w:customStyle="1" w:styleId="210">
    <w:name w:val="目录_"/>
    <w:link w:val="211"/>
    <w:autoRedefine/>
    <w:qFormat/>
    <w:uiPriority w:val="0"/>
    <w:rPr>
      <w:rFonts w:ascii="宋体" w:hAnsi="宋体" w:eastAsia="宋体" w:cs="宋体"/>
      <w:spacing w:val="2"/>
      <w:sz w:val="22"/>
      <w:shd w:val="clear" w:color="auto" w:fill="FFFFFF"/>
    </w:rPr>
  </w:style>
  <w:style w:type="paragraph" w:customStyle="1" w:styleId="211">
    <w:name w:val="目录"/>
    <w:basedOn w:val="1"/>
    <w:link w:val="210"/>
    <w:autoRedefine/>
    <w:qFormat/>
    <w:uiPriority w:val="0"/>
    <w:pPr>
      <w:shd w:val="clear" w:color="auto" w:fill="FFFFFF"/>
      <w:spacing w:line="350" w:lineRule="exact"/>
      <w:jc w:val="distribute"/>
    </w:pPr>
    <w:rPr>
      <w:rFonts w:ascii="宋体" w:hAnsi="宋体"/>
      <w:spacing w:val="2"/>
      <w:sz w:val="22"/>
      <w:szCs w:val="20"/>
      <w:lang w:val="zh-CN"/>
    </w:rPr>
  </w:style>
  <w:style w:type="character" w:customStyle="1" w:styleId="212">
    <w:name w:val="目录 + 间距 -1 pt"/>
    <w:autoRedefine/>
    <w:qFormat/>
    <w:uiPriority w:val="0"/>
    <w:rPr>
      <w:rFonts w:ascii="宋体" w:hAnsi="宋体" w:eastAsia="宋体" w:cs="宋体"/>
      <w:color w:val="000000"/>
      <w:spacing w:val="-21"/>
      <w:w w:val="100"/>
      <w:position w:val="0"/>
      <w:sz w:val="22"/>
      <w:shd w:val="clear" w:color="auto" w:fill="FFFFFF"/>
      <w:lang w:val="zh-TW"/>
    </w:rPr>
  </w:style>
  <w:style w:type="character" w:customStyle="1" w:styleId="213">
    <w:name w:val="目录 + 间距 -2 pt"/>
    <w:autoRedefine/>
    <w:qFormat/>
    <w:uiPriority w:val="0"/>
    <w:rPr>
      <w:rFonts w:ascii="宋体" w:hAnsi="宋体" w:eastAsia="宋体" w:cs="宋体"/>
      <w:color w:val="000000"/>
      <w:spacing w:val="-41"/>
      <w:w w:val="100"/>
      <w:position w:val="0"/>
      <w:sz w:val="22"/>
      <w:shd w:val="clear" w:color="auto" w:fill="FFFFFF"/>
    </w:rPr>
  </w:style>
  <w:style w:type="character" w:customStyle="1" w:styleId="214">
    <w:name w:val="目录 + 8 pt"/>
    <w:autoRedefine/>
    <w:qFormat/>
    <w:uiPriority w:val="0"/>
    <w:rPr>
      <w:rFonts w:ascii="宋体" w:hAnsi="宋体" w:eastAsia="宋体" w:cs="宋体"/>
      <w:color w:val="000000"/>
      <w:spacing w:val="2"/>
      <w:w w:val="100"/>
      <w:position w:val="0"/>
      <w:sz w:val="16"/>
      <w:szCs w:val="16"/>
      <w:shd w:val="clear" w:color="auto" w:fill="FFFFFF"/>
    </w:rPr>
  </w:style>
  <w:style w:type="character" w:customStyle="1" w:styleId="215">
    <w:name w:val="正文文本 (9)_"/>
    <w:link w:val="216"/>
    <w:autoRedefine/>
    <w:qFormat/>
    <w:uiPriority w:val="0"/>
    <w:rPr>
      <w:rFonts w:ascii="Impact" w:hAnsi="Impact" w:eastAsia="Impact" w:cs="Impact"/>
      <w:spacing w:val="-11"/>
      <w:sz w:val="13"/>
      <w:szCs w:val="13"/>
      <w:shd w:val="clear" w:color="auto" w:fill="FFFFFF"/>
    </w:rPr>
  </w:style>
  <w:style w:type="paragraph" w:customStyle="1" w:styleId="216">
    <w:name w:val="正文文本 (9)"/>
    <w:basedOn w:val="1"/>
    <w:link w:val="215"/>
    <w:autoRedefine/>
    <w:qFormat/>
    <w:uiPriority w:val="0"/>
    <w:pPr>
      <w:shd w:val="clear" w:color="auto" w:fill="FFFFFF"/>
      <w:spacing w:line="0" w:lineRule="atLeast"/>
    </w:pPr>
    <w:rPr>
      <w:rFonts w:ascii="Impact" w:hAnsi="Impact" w:eastAsia="Impact"/>
      <w:spacing w:val="-11"/>
      <w:sz w:val="13"/>
      <w:szCs w:val="13"/>
      <w:lang w:val="zh-CN"/>
    </w:rPr>
  </w:style>
  <w:style w:type="character" w:customStyle="1" w:styleId="217">
    <w:name w:val="正文文本 (10)_"/>
    <w:link w:val="218"/>
    <w:autoRedefine/>
    <w:qFormat/>
    <w:uiPriority w:val="0"/>
    <w:rPr>
      <w:rFonts w:ascii="Franklin Gothic Heavy" w:hAnsi="Franklin Gothic Heavy" w:eastAsia="Franklin Gothic Heavy" w:cs="Franklin Gothic Heavy"/>
      <w:spacing w:val="6"/>
      <w:sz w:val="11"/>
      <w:szCs w:val="11"/>
      <w:shd w:val="clear" w:color="auto" w:fill="FFFFFF"/>
    </w:rPr>
  </w:style>
  <w:style w:type="paragraph" w:customStyle="1" w:styleId="218">
    <w:name w:val="正文文本 (10)"/>
    <w:basedOn w:val="1"/>
    <w:link w:val="217"/>
    <w:autoRedefine/>
    <w:qFormat/>
    <w:uiPriority w:val="0"/>
    <w:pPr>
      <w:shd w:val="clear" w:color="auto" w:fill="FFFFFF"/>
      <w:spacing w:line="350" w:lineRule="exact"/>
    </w:pPr>
    <w:rPr>
      <w:rFonts w:ascii="Franklin Gothic Heavy" w:hAnsi="Franklin Gothic Heavy" w:eastAsia="Franklin Gothic Heavy"/>
      <w:spacing w:val="6"/>
      <w:sz w:val="11"/>
      <w:szCs w:val="11"/>
      <w:lang w:val="zh-CN"/>
    </w:rPr>
  </w:style>
  <w:style w:type="character" w:customStyle="1" w:styleId="219">
    <w:name w:val="正文文本 + 间距 -1 pt"/>
    <w:autoRedefine/>
    <w:qFormat/>
    <w:uiPriority w:val="0"/>
    <w:rPr>
      <w:rFonts w:ascii="宋体" w:hAnsi="宋体" w:eastAsia="宋体" w:cs="宋体"/>
      <w:color w:val="000000"/>
      <w:spacing w:val="-21"/>
      <w:w w:val="100"/>
      <w:position w:val="0"/>
      <w:sz w:val="22"/>
      <w:szCs w:val="22"/>
      <w:u w:val="none"/>
      <w:shd w:val="clear" w:color="auto" w:fill="FFFFFF"/>
      <w:lang w:val="zh-TW"/>
    </w:rPr>
  </w:style>
  <w:style w:type="paragraph" w:customStyle="1" w:styleId="220">
    <w:name w:val="彩色列表 - 强调文字颜色 121"/>
    <w:basedOn w:val="1"/>
    <w:autoRedefine/>
    <w:qFormat/>
    <w:uiPriority w:val="34"/>
    <w:pPr>
      <w:ind w:firstLine="420" w:firstLineChars="200"/>
    </w:pPr>
  </w:style>
  <w:style w:type="character" w:customStyle="1" w:styleId="221">
    <w:name w:val="Body text_"/>
    <w:link w:val="222"/>
    <w:autoRedefine/>
    <w:qFormat/>
    <w:uiPriority w:val="0"/>
    <w:rPr>
      <w:rFonts w:ascii="黑体" w:hAnsi="黑体" w:eastAsia="黑体" w:cs="黑体"/>
      <w:sz w:val="22"/>
      <w:shd w:val="clear" w:color="auto" w:fill="FFFFFF"/>
    </w:rPr>
  </w:style>
  <w:style w:type="paragraph" w:customStyle="1" w:styleId="222">
    <w:name w:val="正文文本2"/>
    <w:basedOn w:val="1"/>
    <w:link w:val="221"/>
    <w:autoRedefine/>
    <w:qFormat/>
    <w:uiPriority w:val="0"/>
    <w:pPr>
      <w:shd w:val="clear" w:color="auto" w:fill="FFFFFF"/>
      <w:spacing w:after="240" w:line="0" w:lineRule="atLeast"/>
    </w:pPr>
    <w:rPr>
      <w:rFonts w:ascii="黑体" w:hAnsi="黑体" w:eastAsia="黑体"/>
      <w:sz w:val="22"/>
      <w:szCs w:val="20"/>
      <w:lang w:val="zh-CN"/>
    </w:rPr>
  </w:style>
  <w:style w:type="character" w:customStyle="1" w:styleId="223">
    <w:name w:val="Body text + 10.5 pt"/>
    <w:autoRedefine/>
    <w:qFormat/>
    <w:uiPriority w:val="0"/>
    <w:rPr>
      <w:rFonts w:ascii="黑体" w:hAnsi="黑体" w:eastAsia="黑体" w:cs="黑体"/>
      <w:color w:val="000000"/>
      <w:spacing w:val="0"/>
      <w:w w:val="100"/>
      <w:position w:val="0"/>
      <w:sz w:val="21"/>
      <w:szCs w:val="21"/>
      <w:shd w:val="clear" w:color="auto" w:fill="FFFFFF"/>
      <w:lang w:val="zh-TW"/>
    </w:rPr>
  </w:style>
  <w:style w:type="character" w:customStyle="1" w:styleId="224">
    <w:name w:val="Header or footer_"/>
    <w:autoRedefine/>
    <w:qFormat/>
    <w:uiPriority w:val="0"/>
    <w:rPr>
      <w:rFonts w:ascii="黑体" w:hAnsi="黑体" w:eastAsia="黑体" w:cs="黑体"/>
      <w:spacing w:val="20"/>
      <w:sz w:val="22"/>
      <w:szCs w:val="22"/>
      <w:u w:val="none"/>
    </w:rPr>
  </w:style>
  <w:style w:type="character" w:customStyle="1" w:styleId="225">
    <w:name w:val="Header or footer"/>
    <w:autoRedefine/>
    <w:qFormat/>
    <w:uiPriority w:val="0"/>
    <w:rPr>
      <w:rFonts w:ascii="黑体" w:hAnsi="黑体" w:eastAsia="黑体" w:cs="黑体"/>
      <w:color w:val="000000"/>
      <w:spacing w:val="20"/>
      <w:w w:val="100"/>
      <w:position w:val="0"/>
      <w:sz w:val="22"/>
      <w:szCs w:val="22"/>
      <w:u w:val="none"/>
      <w:lang w:val="zh-TW"/>
    </w:rPr>
  </w:style>
  <w:style w:type="character" w:customStyle="1" w:styleId="226">
    <w:name w:val="正文文本 + 间距 0 pt"/>
    <w:autoRedefine/>
    <w:qFormat/>
    <w:uiPriority w:val="0"/>
    <w:rPr>
      <w:rFonts w:ascii="宋体" w:hAnsi="宋体" w:eastAsia="宋体" w:cs="宋体"/>
      <w:color w:val="000000"/>
      <w:spacing w:val="8"/>
      <w:w w:val="100"/>
      <w:position w:val="0"/>
      <w:sz w:val="21"/>
      <w:szCs w:val="21"/>
      <w:shd w:val="clear" w:color="auto" w:fill="FFFFFF"/>
      <w:lang w:val="en-US"/>
    </w:rPr>
  </w:style>
  <w:style w:type="character" w:customStyle="1" w:styleId="227">
    <w:name w:val="正文文本 + 间距 1 pt"/>
    <w:autoRedefine/>
    <w:qFormat/>
    <w:uiPriority w:val="0"/>
    <w:rPr>
      <w:rFonts w:ascii="宋体" w:hAnsi="宋体" w:eastAsia="宋体" w:cs="宋体"/>
      <w:color w:val="000000"/>
      <w:spacing w:val="27"/>
      <w:w w:val="100"/>
      <w:position w:val="0"/>
      <w:sz w:val="21"/>
      <w:szCs w:val="21"/>
      <w:shd w:val="clear" w:color="auto" w:fill="FFFFFF"/>
      <w:lang w:val="zh-TW"/>
    </w:rPr>
  </w:style>
  <w:style w:type="character" w:customStyle="1" w:styleId="228">
    <w:name w:val="正文文本 (3)_"/>
    <w:link w:val="229"/>
    <w:autoRedefine/>
    <w:qFormat/>
    <w:uiPriority w:val="0"/>
    <w:rPr>
      <w:rFonts w:ascii="宋体" w:hAnsi="宋体" w:eastAsia="宋体" w:cs="宋体"/>
      <w:spacing w:val="35"/>
      <w:shd w:val="clear" w:color="auto" w:fill="FFFFFF"/>
    </w:rPr>
  </w:style>
  <w:style w:type="paragraph" w:customStyle="1" w:styleId="229">
    <w:name w:val="正文文本 (3)"/>
    <w:basedOn w:val="1"/>
    <w:link w:val="228"/>
    <w:autoRedefine/>
    <w:qFormat/>
    <w:uiPriority w:val="0"/>
    <w:pPr>
      <w:shd w:val="clear" w:color="auto" w:fill="FFFFFF"/>
      <w:spacing w:line="350" w:lineRule="exact"/>
      <w:ind w:firstLine="380"/>
      <w:jc w:val="distribute"/>
    </w:pPr>
    <w:rPr>
      <w:rFonts w:ascii="宋体" w:hAnsi="宋体"/>
      <w:spacing w:val="35"/>
      <w:sz w:val="20"/>
      <w:szCs w:val="20"/>
      <w:lang w:val="zh-CN"/>
    </w:rPr>
  </w:style>
  <w:style w:type="character" w:customStyle="1" w:styleId="230">
    <w:name w:val="标题 #1 + 间距 0 pt"/>
    <w:autoRedefine/>
    <w:qFormat/>
    <w:uiPriority w:val="0"/>
    <w:rPr>
      <w:rFonts w:ascii="宋体" w:hAnsi="宋体" w:eastAsia="宋体" w:cs="宋体"/>
      <w:color w:val="000000"/>
      <w:spacing w:val="-5"/>
      <w:w w:val="100"/>
      <w:position w:val="0"/>
      <w:sz w:val="26"/>
      <w:szCs w:val="26"/>
      <w:shd w:val="clear" w:color="auto" w:fill="FFFFFF"/>
      <w:lang w:val="zh-TW"/>
    </w:rPr>
  </w:style>
  <w:style w:type="character" w:customStyle="1" w:styleId="231">
    <w:name w:val="正文文本 (4)_"/>
    <w:link w:val="232"/>
    <w:autoRedefine/>
    <w:qFormat/>
    <w:uiPriority w:val="0"/>
    <w:rPr>
      <w:rFonts w:ascii="宋体" w:hAnsi="宋体" w:eastAsia="宋体" w:cs="宋体"/>
      <w:spacing w:val="5"/>
      <w:szCs w:val="21"/>
      <w:shd w:val="clear" w:color="auto" w:fill="FFFFFF"/>
    </w:rPr>
  </w:style>
  <w:style w:type="paragraph" w:customStyle="1" w:styleId="232">
    <w:name w:val="正文文本 (4)"/>
    <w:basedOn w:val="1"/>
    <w:link w:val="231"/>
    <w:autoRedefine/>
    <w:qFormat/>
    <w:uiPriority w:val="0"/>
    <w:pPr>
      <w:shd w:val="clear" w:color="auto" w:fill="FFFFFF"/>
      <w:spacing w:before="360" w:line="355" w:lineRule="exact"/>
      <w:ind w:firstLine="380"/>
      <w:jc w:val="distribute"/>
    </w:pPr>
    <w:rPr>
      <w:rFonts w:ascii="宋体" w:hAnsi="宋体"/>
      <w:spacing w:val="5"/>
      <w:sz w:val="20"/>
      <w:szCs w:val="21"/>
      <w:lang w:val="zh-CN"/>
    </w:rPr>
  </w:style>
  <w:style w:type="character" w:customStyle="1" w:styleId="233">
    <w:name w:val="正文文本 (4) + 间距 0 pt"/>
    <w:autoRedefine/>
    <w:qFormat/>
    <w:uiPriority w:val="0"/>
    <w:rPr>
      <w:rFonts w:ascii="宋体" w:hAnsi="宋体" w:eastAsia="宋体" w:cs="宋体"/>
      <w:color w:val="000000"/>
      <w:spacing w:val="2"/>
      <w:w w:val="100"/>
      <w:position w:val="0"/>
      <w:szCs w:val="21"/>
      <w:shd w:val="clear" w:color="auto" w:fill="FFFFFF"/>
      <w:lang w:val="zh-TW"/>
    </w:rPr>
  </w:style>
  <w:style w:type="character" w:customStyle="1" w:styleId="234">
    <w:name w:val="正文文本 (3) + 间距 0 pt"/>
    <w:autoRedefine/>
    <w:qFormat/>
    <w:uiPriority w:val="0"/>
    <w:rPr>
      <w:rFonts w:ascii="宋体" w:hAnsi="宋体" w:eastAsia="宋体" w:cs="宋体"/>
      <w:color w:val="000000"/>
      <w:spacing w:val="-2"/>
      <w:w w:val="100"/>
      <w:position w:val="0"/>
      <w:shd w:val="clear" w:color="auto" w:fill="FFFFFF"/>
      <w:lang w:val="zh-TW"/>
    </w:rPr>
  </w:style>
  <w:style w:type="paragraph" w:customStyle="1" w:styleId="235">
    <w:name w:val="正文文本3"/>
    <w:basedOn w:val="1"/>
    <w:autoRedefine/>
    <w:qFormat/>
    <w:uiPriority w:val="0"/>
    <w:pPr>
      <w:shd w:val="clear" w:color="auto" w:fill="FFFFFF"/>
      <w:spacing w:line="355" w:lineRule="exact"/>
    </w:pPr>
    <w:rPr>
      <w:rFonts w:ascii="宋体" w:hAnsi="宋体" w:cs="宋体"/>
      <w:spacing w:val="2"/>
      <w:szCs w:val="21"/>
    </w:rPr>
  </w:style>
  <w:style w:type="character" w:customStyle="1" w:styleId="236">
    <w:name w:val="标题 #2_"/>
    <w:link w:val="237"/>
    <w:autoRedefine/>
    <w:qFormat/>
    <w:uiPriority w:val="0"/>
    <w:rPr>
      <w:rFonts w:ascii="MingLiU" w:hAnsi="MingLiU" w:eastAsia="MingLiU" w:cs="MingLiU"/>
      <w:spacing w:val="24"/>
      <w:shd w:val="clear" w:color="auto" w:fill="FFFFFF"/>
    </w:rPr>
  </w:style>
  <w:style w:type="paragraph" w:customStyle="1" w:styleId="237">
    <w:name w:val="标题 #2"/>
    <w:basedOn w:val="1"/>
    <w:link w:val="236"/>
    <w:autoRedefine/>
    <w:qFormat/>
    <w:uiPriority w:val="0"/>
    <w:pPr>
      <w:shd w:val="clear" w:color="auto" w:fill="FFFFFF"/>
      <w:spacing w:before="300" w:after="480" w:line="0" w:lineRule="atLeast"/>
      <w:jc w:val="distribute"/>
      <w:outlineLvl w:val="1"/>
    </w:pPr>
    <w:rPr>
      <w:rFonts w:ascii="MingLiU" w:hAnsi="MingLiU" w:eastAsia="MingLiU"/>
      <w:spacing w:val="24"/>
      <w:sz w:val="20"/>
      <w:szCs w:val="20"/>
      <w:lang w:val="zh-CN"/>
    </w:rPr>
  </w:style>
  <w:style w:type="character" w:customStyle="1" w:styleId="238">
    <w:name w:val="表格标题 + 间距 -1 pt"/>
    <w:autoRedefine/>
    <w:qFormat/>
    <w:uiPriority w:val="0"/>
    <w:rPr>
      <w:rFonts w:ascii="MingLiU" w:hAnsi="MingLiU" w:eastAsia="MingLiU" w:cs="MingLiU"/>
      <w:color w:val="000000"/>
      <w:spacing w:val="-34"/>
      <w:w w:val="100"/>
      <w:position w:val="0"/>
      <w:sz w:val="17"/>
      <w:szCs w:val="17"/>
      <w:u w:val="none"/>
    </w:rPr>
  </w:style>
  <w:style w:type="character" w:customStyle="1" w:styleId="239">
    <w:name w:val="正文文本 (5) + 间距 -1 pt"/>
    <w:autoRedefine/>
    <w:qFormat/>
    <w:uiPriority w:val="0"/>
    <w:rPr>
      <w:rFonts w:ascii="MingLiU" w:hAnsi="MingLiU" w:eastAsia="MingLiU" w:cs="MingLiU"/>
      <w:color w:val="000000"/>
      <w:spacing w:val="-34"/>
      <w:w w:val="100"/>
      <w:position w:val="0"/>
      <w:sz w:val="17"/>
      <w:szCs w:val="17"/>
      <w:u w:val="none"/>
      <w:lang w:val="en-US"/>
    </w:rPr>
  </w:style>
  <w:style w:type="character" w:customStyle="1" w:styleId="240">
    <w:name w:val="正文文本 (5) + 间距 0 pt"/>
    <w:autoRedefine/>
    <w:qFormat/>
    <w:uiPriority w:val="0"/>
    <w:rPr>
      <w:rFonts w:ascii="MingLiU" w:hAnsi="MingLiU" w:eastAsia="MingLiU" w:cs="MingLiU"/>
      <w:color w:val="000000"/>
      <w:spacing w:val="-4"/>
      <w:w w:val="100"/>
      <w:position w:val="0"/>
      <w:sz w:val="17"/>
      <w:szCs w:val="17"/>
      <w:u w:val="none"/>
      <w:lang w:val="zh-TW"/>
    </w:rPr>
  </w:style>
  <w:style w:type="character" w:customStyle="1" w:styleId="241">
    <w:name w:val="正文文本 (14)_"/>
    <w:link w:val="242"/>
    <w:autoRedefine/>
    <w:qFormat/>
    <w:uiPriority w:val="0"/>
    <w:rPr>
      <w:rFonts w:ascii="MingLiU" w:hAnsi="MingLiU" w:eastAsia="MingLiU" w:cs="MingLiU"/>
      <w:i/>
      <w:iCs/>
      <w:spacing w:val="9"/>
      <w:szCs w:val="21"/>
      <w:shd w:val="clear" w:color="auto" w:fill="FFFFFF"/>
    </w:rPr>
  </w:style>
  <w:style w:type="paragraph" w:customStyle="1" w:styleId="242">
    <w:name w:val="正文文本 (14)"/>
    <w:basedOn w:val="1"/>
    <w:link w:val="241"/>
    <w:autoRedefine/>
    <w:qFormat/>
    <w:uiPriority w:val="0"/>
    <w:pPr>
      <w:shd w:val="clear" w:color="auto" w:fill="FFFFFF"/>
      <w:spacing w:before="300" w:line="346" w:lineRule="exact"/>
      <w:jc w:val="distribute"/>
    </w:pPr>
    <w:rPr>
      <w:rFonts w:ascii="MingLiU" w:hAnsi="MingLiU" w:eastAsia="MingLiU"/>
      <w:i/>
      <w:iCs/>
      <w:spacing w:val="9"/>
      <w:sz w:val="20"/>
      <w:szCs w:val="21"/>
      <w:lang w:val="zh-CN"/>
    </w:rPr>
  </w:style>
  <w:style w:type="paragraph" w:customStyle="1" w:styleId="243">
    <w:name w:val="表头"/>
    <w:basedOn w:val="1"/>
    <w:autoRedefine/>
    <w:qFormat/>
    <w:uiPriority w:val="0"/>
    <w:pPr>
      <w:adjustRightInd w:val="0"/>
      <w:spacing w:before="120" w:after="60" w:line="420" w:lineRule="atLeast"/>
      <w:textAlignment w:val="baseline"/>
    </w:pPr>
    <w:rPr>
      <w:rFonts w:ascii="黑体" w:eastAsia="黑体"/>
      <w:b/>
      <w:szCs w:val="20"/>
    </w:rPr>
  </w:style>
  <w:style w:type="paragraph" w:customStyle="1" w:styleId="244">
    <w:name w:val="样式1"/>
    <w:basedOn w:val="48"/>
    <w:link w:val="246"/>
    <w:autoRedefine/>
    <w:qFormat/>
    <w:uiPriority w:val="0"/>
    <w:pPr>
      <w:adjustRightInd w:val="0"/>
      <w:snapToGrid w:val="0"/>
      <w:spacing w:before="0" w:after="0" w:line="400" w:lineRule="atLeast"/>
      <w:jc w:val="left"/>
      <w:textAlignment w:val="baseline"/>
    </w:pPr>
    <w:rPr>
      <w:rFonts w:ascii="宋体" w:hAnsi="宋体"/>
      <w:sz w:val="24"/>
      <w:szCs w:val="24"/>
    </w:rPr>
  </w:style>
  <w:style w:type="paragraph" w:customStyle="1" w:styleId="245">
    <w:name w:val="样式2"/>
    <w:basedOn w:val="1"/>
    <w:link w:val="248"/>
    <w:autoRedefine/>
    <w:qFormat/>
    <w:uiPriority w:val="0"/>
    <w:pPr>
      <w:snapToGrid w:val="0"/>
      <w:spacing w:line="400" w:lineRule="atLeast"/>
    </w:pPr>
    <w:rPr>
      <w:rFonts w:ascii="黑体" w:hAnsi="黑体" w:eastAsia="黑体"/>
      <w:kern w:val="2"/>
      <w:sz w:val="30"/>
      <w:szCs w:val="30"/>
      <w:lang w:val="zh-CN"/>
    </w:rPr>
  </w:style>
  <w:style w:type="character" w:customStyle="1" w:styleId="246">
    <w:name w:val="样式1 Char"/>
    <w:link w:val="244"/>
    <w:autoRedefine/>
    <w:qFormat/>
    <w:uiPriority w:val="0"/>
    <w:rPr>
      <w:rFonts w:ascii="宋体" w:hAnsi="宋体" w:eastAsia="宋体" w:cs="Times New Roman"/>
      <w:b/>
      <w:bCs/>
      <w:kern w:val="2"/>
      <w:sz w:val="24"/>
      <w:szCs w:val="24"/>
    </w:rPr>
  </w:style>
  <w:style w:type="paragraph" w:customStyle="1" w:styleId="247">
    <w:name w:val="样式3"/>
    <w:basedOn w:val="1"/>
    <w:link w:val="250"/>
    <w:autoRedefine/>
    <w:qFormat/>
    <w:uiPriority w:val="0"/>
    <w:pPr>
      <w:snapToGrid w:val="0"/>
      <w:spacing w:beforeLines="100" w:afterLines="100" w:line="400" w:lineRule="atLeast"/>
      <w:jc w:val="center"/>
    </w:pPr>
    <w:rPr>
      <w:rFonts w:ascii="黑体" w:hAnsi="黑体" w:eastAsia="黑体"/>
      <w:kern w:val="2"/>
      <w:sz w:val="30"/>
      <w:szCs w:val="30"/>
      <w:lang w:val="zh-CN"/>
    </w:rPr>
  </w:style>
  <w:style w:type="character" w:customStyle="1" w:styleId="248">
    <w:name w:val="样式2 Char"/>
    <w:link w:val="245"/>
    <w:autoRedefine/>
    <w:qFormat/>
    <w:uiPriority w:val="0"/>
    <w:rPr>
      <w:rFonts w:ascii="黑体" w:hAnsi="黑体" w:eastAsia="黑体" w:cs="Times New Roman"/>
      <w:kern w:val="2"/>
      <w:sz w:val="30"/>
      <w:szCs w:val="30"/>
    </w:rPr>
  </w:style>
  <w:style w:type="paragraph" w:customStyle="1" w:styleId="249">
    <w:name w:val="样式4"/>
    <w:basedOn w:val="1"/>
    <w:link w:val="251"/>
    <w:autoRedefine/>
    <w:qFormat/>
    <w:uiPriority w:val="0"/>
    <w:pPr>
      <w:snapToGrid w:val="0"/>
      <w:spacing w:line="400" w:lineRule="atLeast"/>
    </w:pPr>
    <w:rPr>
      <w:rFonts w:ascii="Calibri" w:hAnsi="Calibri"/>
      <w:b/>
      <w:kern w:val="2"/>
      <w:lang w:val="zh-CN"/>
    </w:rPr>
  </w:style>
  <w:style w:type="character" w:customStyle="1" w:styleId="250">
    <w:name w:val="样式3 Char"/>
    <w:link w:val="247"/>
    <w:autoRedefine/>
    <w:qFormat/>
    <w:uiPriority w:val="0"/>
    <w:rPr>
      <w:rFonts w:ascii="黑体" w:hAnsi="黑体" w:eastAsia="黑体" w:cs="Times New Roman"/>
      <w:kern w:val="2"/>
      <w:sz w:val="30"/>
      <w:szCs w:val="30"/>
    </w:rPr>
  </w:style>
  <w:style w:type="character" w:customStyle="1" w:styleId="251">
    <w:name w:val="样式4 Char"/>
    <w:link w:val="249"/>
    <w:autoRedefine/>
    <w:qFormat/>
    <w:uiPriority w:val="0"/>
    <w:rPr>
      <w:rFonts w:ascii="Calibri" w:hAnsi="Calibri" w:eastAsia="宋体" w:cs="Times New Roman"/>
      <w:b/>
      <w:kern w:val="2"/>
      <w:sz w:val="24"/>
      <w:szCs w:val="24"/>
    </w:rPr>
  </w:style>
  <w:style w:type="paragraph" w:customStyle="1" w:styleId="252">
    <w:name w:val="样式5"/>
    <w:basedOn w:val="1"/>
    <w:link w:val="254"/>
    <w:autoRedefine/>
    <w:qFormat/>
    <w:uiPriority w:val="0"/>
    <w:pPr>
      <w:spacing w:line="400" w:lineRule="atLeast"/>
      <w:jc w:val="center"/>
      <w:outlineLvl w:val="0"/>
    </w:pPr>
    <w:rPr>
      <w:rFonts w:ascii="宋体" w:hAnsi="宋体"/>
      <w:spacing w:val="30"/>
      <w:kern w:val="2"/>
      <w:sz w:val="52"/>
      <w:szCs w:val="52"/>
      <w:lang w:val="zh-CN"/>
    </w:rPr>
  </w:style>
  <w:style w:type="paragraph" w:customStyle="1" w:styleId="253">
    <w:name w:val="样式6"/>
    <w:basedOn w:val="1"/>
    <w:link w:val="256"/>
    <w:autoRedefine/>
    <w:qFormat/>
    <w:uiPriority w:val="0"/>
    <w:pPr>
      <w:jc w:val="center"/>
    </w:pPr>
    <w:rPr>
      <w:rFonts w:ascii="宋体" w:hAnsi="宋体"/>
      <w:kern w:val="2"/>
      <w:lang w:val="zh-CN"/>
    </w:rPr>
  </w:style>
  <w:style w:type="character" w:customStyle="1" w:styleId="254">
    <w:name w:val="样式5 Char"/>
    <w:link w:val="252"/>
    <w:autoRedefine/>
    <w:qFormat/>
    <w:uiPriority w:val="0"/>
    <w:rPr>
      <w:rFonts w:ascii="宋体" w:hAnsi="宋体" w:eastAsia="宋体"/>
      <w:spacing w:val="30"/>
      <w:kern w:val="2"/>
      <w:sz w:val="52"/>
      <w:szCs w:val="52"/>
    </w:rPr>
  </w:style>
  <w:style w:type="paragraph" w:customStyle="1" w:styleId="255">
    <w:name w:val="样式7"/>
    <w:basedOn w:val="1"/>
    <w:link w:val="258"/>
    <w:autoRedefine/>
    <w:qFormat/>
    <w:uiPriority w:val="0"/>
    <w:rPr>
      <w:rFonts w:ascii="Calibri" w:hAnsi="Calibri"/>
      <w:kern w:val="2"/>
      <w:sz w:val="48"/>
      <w:szCs w:val="22"/>
      <w:lang w:val="zh-CN"/>
    </w:rPr>
  </w:style>
  <w:style w:type="character" w:customStyle="1" w:styleId="256">
    <w:name w:val="样式6 Char"/>
    <w:link w:val="253"/>
    <w:autoRedefine/>
    <w:qFormat/>
    <w:uiPriority w:val="0"/>
    <w:rPr>
      <w:rFonts w:ascii="宋体" w:hAnsi="宋体" w:eastAsia="宋体" w:cs="Times New Roman"/>
      <w:kern w:val="2"/>
      <w:sz w:val="24"/>
      <w:szCs w:val="24"/>
    </w:rPr>
  </w:style>
  <w:style w:type="paragraph" w:customStyle="1" w:styleId="257">
    <w:name w:val="样式8"/>
    <w:basedOn w:val="1"/>
    <w:link w:val="259"/>
    <w:autoRedefine/>
    <w:qFormat/>
    <w:uiPriority w:val="0"/>
    <w:pPr>
      <w:spacing w:line="400" w:lineRule="atLeast"/>
      <w:jc w:val="center"/>
      <w:outlineLvl w:val="0"/>
    </w:pPr>
    <w:rPr>
      <w:rFonts w:ascii="宋体" w:hAnsi="宋体"/>
      <w:spacing w:val="30"/>
      <w:kern w:val="2"/>
      <w:sz w:val="36"/>
      <w:lang w:val="zh-CN"/>
    </w:rPr>
  </w:style>
  <w:style w:type="character" w:customStyle="1" w:styleId="258">
    <w:name w:val="样式7 Char"/>
    <w:link w:val="255"/>
    <w:autoRedefine/>
    <w:qFormat/>
    <w:uiPriority w:val="0"/>
    <w:rPr>
      <w:rFonts w:ascii="Calibri" w:hAnsi="Calibri" w:eastAsia="宋体" w:cs="Times New Roman"/>
      <w:kern w:val="2"/>
      <w:sz w:val="48"/>
      <w:szCs w:val="22"/>
    </w:rPr>
  </w:style>
  <w:style w:type="character" w:customStyle="1" w:styleId="259">
    <w:name w:val="样式8 Char"/>
    <w:link w:val="257"/>
    <w:autoRedefine/>
    <w:qFormat/>
    <w:uiPriority w:val="0"/>
    <w:rPr>
      <w:rFonts w:ascii="宋体" w:hAnsi="宋体" w:eastAsia="宋体"/>
      <w:spacing w:val="30"/>
      <w:kern w:val="2"/>
      <w:sz w:val="36"/>
      <w:szCs w:val="24"/>
    </w:rPr>
  </w:style>
  <w:style w:type="paragraph" w:customStyle="1" w:styleId="260">
    <w:name w:val="样式9"/>
    <w:link w:val="261"/>
    <w:autoRedefine/>
    <w:qFormat/>
    <w:uiPriority w:val="0"/>
    <w:pPr>
      <w:jc w:val="center"/>
    </w:pPr>
    <w:rPr>
      <w:rFonts w:ascii="宋体" w:hAnsi="宋体" w:eastAsia="宋体" w:cs="Franklin Gothic Heavy"/>
      <w:spacing w:val="6"/>
      <w:kern w:val="2"/>
      <w:sz w:val="11"/>
      <w:szCs w:val="24"/>
      <w:lang w:val="en-US" w:eastAsia="zh-CN" w:bidi="ar-SA"/>
    </w:rPr>
  </w:style>
  <w:style w:type="character" w:customStyle="1" w:styleId="261">
    <w:name w:val="样式9 Char"/>
    <w:link w:val="260"/>
    <w:autoRedefine/>
    <w:qFormat/>
    <w:uiPriority w:val="0"/>
    <w:rPr>
      <w:rFonts w:ascii="宋体" w:hAnsi="宋体" w:cs="Franklin Gothic Heavy"/>
      <w:spacing w:val="6"/>
      <w:kern w:val="2"/>
      <w:sz w:val="11"/>
      <w:szCs w:val="24"/>
      <w:lang w:val="en-US" w:eastAsia="zh-CN" w:bidi="ar-SA"/>
    </w:rPr>
  </w:style>
  <w:style w:type="paragraph" w:customStyle="1" w:styleId="262">
    <w:name w:val="目录标题"/>
    <w:basedOn w:val="2"/>
    <w:next w:val="1"/>
    <w:autoRedefine/>
    <w:qFormat/>
    <w:uiPriority w:val="39"/>
    <w:pPr>
      <w:spacing w:before="480" w:after="0" w:line="276" w:lineRule="auto"/>
      <w:jc w:val="left"/>
      <w:outlineLvl w:val="9"/>
    </w:pPr>
    <w:rPr>
      <w:rFonts w:ascii="Cambria" w:hAnsi="Cambria" w:eastAsia="宋体"/>
      <w:b/>
      <w:color w:val="365F91"/>
      <w:kern w:val="0"/>
      <w:sz w:val="44"/>
      <w:szCs w:val="28"/>
    </w:rPr>
  </w:style>
  <w:style w:type="character" w:customStyle="1" w:styleId="263">
    <w:name w:val="中等深浅网格 11"/>
    <w:autoRedefine/>
    <w:semiHidden/>
    <w:qFormat/>
    <w:uiPriority w:val="99"/>
    <w:rPr>
      <w:color w:val="808080"/>
    </w:rPr>
  </w:style>
  <w:style w:type="paragraph" w:customStyle="1" w:styleId="264">
    <w:name w:val="彩色底纹 - 强调文字颜色 121"/>
    <w:autoRedefine/>
    <w:hidden/>
    <w:semiHidden/>
    <w:qFormat/>
    <w:uiPriority w:val="71"/>
    <w:rPr>
      <w:rFonts w:ascii="Times New Roman" w:hAnsi="Times New Roman" w:eastAsia="宋体" w:cs="Times New Roman"/>
      <w:kern w:val="2"/>
      <w:sz w:val="21"/>
      <w:szCs w:val="24"/>
      <w:lang w:val="en-US" w:eastAsia="zh-CN" w:bidi="ar-SA"/>
    </w:rPr>
  </w:style>
  <w:style w:type="character" w:customStyle="1" w:styleId="265">
    <w:name w:val="正文文本缩进 字符"/>
    <w:link w:val="22"/>
    <w:autoRedefine/>
    <w:qFormat/>
    <w:uiPriority w:val="99"/>
    <w:rPr>
      <w:rFonts w:ascii="宋体" w:cs="宋体"/>
      <w:color w:val="000000"/>
      <w:sz w:val="21"/>
      <w:szCs w:val="21"/>
    </w:rPr>
  </w:style>
  <w:style w:type="character" w:customStyle="1" w:styleId="266">
    <w:name w:val="副标题 Char1"/>
    <w:autoRedefine/>
    <w:qFormat/>
    <w:uiPriority w:val="11"/>
    <w:rPr>
      <w:rFonts w:ascii="Cambria" w:hAnsi="Cambria" w:eastAsia="宋体" w:cs="Times New Roman"/>
      <w:b/>
      <w:bCs/>
      <w:kern w:val="28"/>
      <w:sz w:val="32"/>
      <w:szCs w:val="32"/>
    </w:rPr>
  </w:style>
  <w:style w:type="paragraph" w:customStyle="1" w:styleId="267">
    <w:name w:val="目录标题1"/>
    <w:basedOn w:val="2"/>
    <w:next w:val="1"/>
    <w:autoRedefine/>
    <w:qFormat/>
    <w:uiPriority w:val="39"/>
    <w:pPr>
      <w:spacing w:before="480" w:after="0" w:line="276" w:lineRule="auto"/>
      <w:jc w:val="left"/>
      <w:outlineLvl w:val="9"/>
    </w:pPr>
    <w:rPr>
      <w:rFonts w:ascii="Cambria" w:hAnsi="Cambria" w:eastAsia="宋体"/>
      <w:b/>
      <w:color w:val="365F91"/>
      <w:kern w:val="0"/>
      <w:sz w:val="44"/>
      <w:szCs w:val="28"/>
    </w:rPr>
  </w:style>
  <w:style w:type="character" w:customStyle="1" w:styleId="268">
    <w:name w:val="占位符文本1"/>
    <w:autoRedefine/>
    <w:qFormat/>
    <w:uiPriority w:val="99"/>
    <w:rPr>
      <w:color w:val="808080"/>
    </w:rPr>
  </w:style>
  <w:style w:type="paragraph" w:customStyle="1" w:styleId="269">
    <w:name w:val="15表格"/>
    <w:basedOn w:val="1"/>
    <w:link w:val="270"/>
    <w:autoRedefine/>
    <w:qFormat/>
    <w:uiPriority w:val="0"/>
    <w:pPr>
      <w:spacing w:line="280" w:lineRule="atLeast"/>
      <w:jc w:val="center"/>
    </w:pPr>
    <w:rPr>
      <w:kern w:val="2"/>
      <w:sz w:val="18"/>
      <w:szCs w:val="20"/>
      <w:lang w:val="zh-CN"/>
    </w:rPr>
  </w:style>
  <w:style w:type="character" w:customStyle="1" w:styleId="270">
    <w:name w:val="15表格 Char"/>
    <w:link w:val="269"/>
    <w:autoRedefine/>
    <w:qFormat/>
    <w:uiPriority w:val="0"/>
    <w:rPr>
      <w:kern w:val="2"/>
      <w:sz w:val="18"/>
    </w:rPr>
  </w:style>
  <w:style w:type="paragraph" w:customStyle="1" w:styleId="271">
    <w:name w:val="表格"/>
    <w:basedOn w:val="1"/>
    <w:autoRedefine/>
    <w:qFormat/>
    <w:uiPriority w:val="0"/>
    <w:pPr>
      <w:spacing w:line="580" w:lineRule="exact"/>
    </w:pPr>
    <w:rPr>
      <w:szCs w:val="21"/>
    </w:rPr>
  </w:style>
  <w:style w:type="paragraph" w:customStyle="1" w:styleId="272">
    <w:name w:val="14表格名"/>
    <w:basedOn w:val="1"/>
    <w:link w:val="273"/>
    <w:autoRedefine/>
    <w:qFormat/>
    <w:uiPriority w:val="0"/>
    <w:pPr>
      <w:spacing w:before="80" w:line="560" w:lineRule="exact"/>
      <w:jc w:val="center"/>
    </w:pPr>
    <w:rPr>
      <w:rFonts w:ascii="Calibri" w:hAnsi="Calibri" w:eastAsia="黑体"/>
      <w:b/>
      <w:kern w:val="2"/>
      <w:sz w:val="28"/>
      <w:szCs w:val="20"/>
      <w:lang w:val="zh-CN"/>
    </w:rPr>
  </w:style>
  <w:style w:type="character" w:customStyle="1" w:styleId="273">
    <w:name w:val="14表格名 Char"/>
    <w:link w:val="272"/>
    <w:autoRedefine/>
    <w:qFormat/>
    <w:uiPriority w:val="0"/>
    <w:rPr>
      <w:rFonts w:ascii="Calibri" w:hAnsi="Calibri" w:eastAsia="黑体"/>
      <w:b/>
      <w:kern w:val="2"/>
      <w:sz w:val="28"/>
    </w:rPr>
  </w:style>
  <w:style w:type="paragraph" w:customStyle="1" w:styleId="274">
    <w:name w:val="正文强调"/>
    <w:basedOn w:val="1"/>
    <w:autoRedefine/>
    <w:qFormat/>
    <w:uiPriority w:val="0"/>
    <w:pPr>
      <w:spacing w:beforeLines="50" w:afterLines="50" w:line="360" w:lineRule="auto"/>
      <w:jc w:val="center"/>
    </w:pPr>
    <w:rPr>
      <w:rFonts w:eastAsia="黑体"/>
      <w:b/>
      <w:sz w:val="44"/>
      <w:szCs w:val="21"/>
    </w:rPr>
  </w:style>
  <w:style w:type="paragraph" w:customStyle="1" w:styleId="275">
    <w:name w:val="样式 正文1 + 加粗"/>
    <w:basedOn w:val="1"/>
    <w:link w:val="276"/>
    <w:autoRedefine/>
    <w:qFormat/>
    <w:uiPriority w:val="0"/>
    <w:pPr>
      <w:spacing w:line="360" w:lineRule="auto"/>
      <w:ind w:firstLine="200" w:firstLineChars="200"/>
    </w:pPr>
    <w:rPr>
      <w:b/>
      <w:bCs/>
      <w:kern w:val="2"/>
      <w:szCs w:val="32"/>
      <w:lang w:val="zh-CN"/>
    </w:rPr>
  </w:style>
  <w:style w:type="character" w:customStyle="1" w:styleId="276">
    <w:name w:val="样式 正文1 + 加粗 Char"/>
    <w:link w:val="275"/>
    <w:autoRedefine/>
    <w:qFormat/>
    <w:uiPriority w:val="0"/>
    <w:rPr>
      <w:rFonts w:cs="Arial"/>
      <w:b/>
      <w:bCs/>
      <w:kern w:val="2"/>
      <w:sz w:val="24"/>
      <w:szCs w:val="32"/>
    </w:rPr>
  </w:style>
  <w:style w:type="paragraph" w:customStyle="1" w:styleId="277">
    <w:name w:val="正文1"/>
    <w:basedOn w:val="1"/>
    <w:autoRedefine/>
    <w:qFormat/>
    <w:uiPriority w:val="99"/>
    <w:pPr>
      <w:spacing w:line="360" w:lineRule="auto"/>
      <w:ind w:firstLine="480" w:firstLineChars="200"/>
    </w:pPr>
    <w:rPr>
      <w:rFonts w:cs="宋体"/>
      <w:szCs w:val="20"/>
    </w:rPr>
  </w:style>
  <w:style w:type="paragraph" w:customStyle="1" w:styleId="278">
    <w:name w:val="样式 样式 样式 样式 样式 样式 标题 1 + (中文) 仿宋_GB2312 三号 段前: 0.5 行 段后: 0.5 行 行...1"/>
    <w:basedOn w:val="1"/>
    <w:autoRedefine/>
    <w:qFormat/>
    <w:uiPriority w:val="99"/>
    <w:pPr>
      <w:numPr>
        <w:ilvl w:val="0"/>
        <w:numId w:val="2"/>
      </w:numPr>
      <w:tabs>
        <w:tab w:val="left" w:pos="851"/>
        <w:tab w:val="left" w:pos="1276"/>
        <w:tab w:val="left" w:pos="3828"/>
        <w:tab w:val="left" w:pos="4253"/>
        <w:tab w:val="left" w:pos="4678"/>
      </w:tabs>
      <w:spacing w:beforeLines="50" w:afterLines="50" w:line="360" w:lineRule="auto"/>
      <w:jc w:val="center"/>
      <w:outlineLvl w:val="0"/>
    </w:pPr>
    <w:rPr>
      <w:rFonts w:ascii="仿宋_GB2312" w:hAnsi="宋体" w:eastAsia="仿宋_GB2312" w:cs="宋体"/>
      <w:b/>
      <w:bCs/>
      <w:caps/>
      <w:sz w:val="32"/>
      <w:szCs w:val="20"/>
      <w:lang w:val="en-GB"/>
    </w:rPr>
  </w:style>
  <w:style w:type="paragraph" w:customStyle="1" w:styleId="27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280">
    <w:name w:val="页眉 字符"/>
    <w:autoRedefine/>
    <w:qFormat/>
    <w:uiPriority w:val="99"/>
    <w:rPr>
      <w:sz w:val="18"/>
      <w:szCs w:val="18"/>
    </w:rPr>
  </w:style>
  <w:style w:type="character" w:customStyle="1" w:styleId="281">
    <w:name w:val="页脚 字符"/>
    <w:autoRedefine/>
    <w:qFormat/>
    <w:uiPriority w:val="99"/>
    <w:rPr>
      <w:sz w:val="18"/>
      <w:szCs w:val="18"/>
    </w:rPr>
  </w:style>
  <w:style w:type="character" w:customStyle="1" w:styleId="282">
    <w:name w:val="标题 1 字符"/>
    <w:autoRedefine/>
    <w:qFormat/>
    <w:uiPriority w:val="0"/>
    <w:rPr>
      <w:b/>
      <w:bCs/>
      <w:kern w:val="44"/>
      <w:sz w:val="44"/>
      <w:szCs w:val="44"/>
    </w:rPr>
  </w:style>
  <w:style w:type="character" w:customStyle="1" w:styleId="283">
    <w:name w:val="标题 2 字符"/>
    <w:autoRedefine/>
    <w:qFormat/>
    <w:uiPriority w:val="99"/>
    <w:rPr>
      <w:rFonts w:ascii="Cambria" w:hAnsi="Cambria" w:eastAsia="宋体" w:cs="Times New Roman"/>
      <w:b/>
      <w:bCs/>
      <w:kern w:val="2"/>
      <w:sz w:val="32"/>
      <w:szCs w:val="32"/>
    </w:rPr>
  </w:style>
  <w:style w:type="character" w:customStyle="1" w:styleId="284">
    <w:name w:val="标题 3 字符"/>
    <w:autoRedefine/>
    <w:qFormat/>
    <w:uiPriority w:val="9"/>
    <w:rPr>
      <w:b/>
      <w:bCs/>
      <w:kern w:val="2"/>
      <w:sz w:val="32"/>
      <w:szCs w:val="32"/>
    </w:rPr>
  </w:style>
  <w:style w:type="character" w:customStyle="1" w:styleId="285">
    <w:name w:val="标题 4 字符"/>
    <w:autoRedefine/>
    <w:qFormat/>
    <w:uiPriority w:val="9"/>
    <w:rPr>
      <w:rFonts w:ascii="Cambria" w:hAnsi="Cambria" w:eastAsia="宋体" w:cs="Times New Roman"/>
      <w:b/>
      <w:bCs/>
      <w:kern w:val="2"/>
      <w:sz w:val="28"/>
      <w:szCs w:val="28"/>
    </w:rPr>
  </w:style>
  <w:style w:type="paragraph" w:customStyle="1" w:styleId="286">
    <w:name w:val="TOC 标题2"/>
    <w:basedOn w:val="2"/>
    <w:next w:val="1"/>
    <w:autoRedefine/>
    <w:qFormat/>
    <w:uiPriority w:val="39"/>
    <w:pPr>
      <w:spacing w:before="480" w:after="0" w:line="276" w:lineRule="auto"/>
      <w:jc w:val="left"/>
      <w:outlineLvl w:val="9"/>
    </w:pPr>
    <w:rPr>
      <w:rFonts w:ascii="Cambria" w:hAnsi="Cambria" w:eastAsia="宋体"/>
      <w:b/>
      <w:color w:val="365F91"/>
      <w:kern w:val="0"/>
      <w:sz w:val="28"/>
      <w:szCs w:val="28"/>
      <w:lang w:val="en-US"/>
    </w:rPr>
  </w:style>
  <w:style w:type="character" w:customStyle="1" w:styleId="287">
    <w:name w:val="批注框文本 字符"/>
    <w:autoRedefine/>
    <w:qFormat/>
    <w:uiPriority w:val="99"/>
    <w:rPr>
      <w:kern w:val="2"/>
      <w:sz w:val="18"/>
      <w:szCs w:val="18"/>
    </w:rPr>
  </w:style>
  <w:style w:type="character" w:customStyle="1" w:styleId="288">
    <w:name w:val="日期 字符"/>
    <w:autoRedefine/>
    <w:qFormat/>
    <w:uiPriority w:val="99"/>
    <w:rPr>
      <w:kern w:val="2"/>
      <w:sz w:val="21"/>
      <w:szCs w:val="22"/>
    </w:rPr>
  </w:style>
  <w:style w:type="character" w:customStyle="1" w:styleId="289">
    <w:name w:val="批注文字 字符"/>
    <w:autoRedefine/>
    <w:qFormat/>
    <w:uiPriority w:val="0"/>
    <w:rPr>
      <w:kern w:val="2"/>
      <w:sz w:val="21"/>
      <w:szCs w:val="22"/>
    </w:rPr>
  </w:style>
  <w:style w:type="character" w:customStyle="1" w:styleId="290">
    <w:name w:val="批注主题 字符"/>
    <w:autoRedefine/>
    <w:qFormat/>
    <w:uiPriority w:val="99"/>
    <w:rPr>
      <w:b/>
      <w:bCs/>
      <w:kern w:val="2"/>
      <w:sz w:val="21"/>
      <w:szCs w:val="22"/>
    </w:rPr>
  </w:style>
  <w:style w:type="character" w:customStyle="1" w:styleId="291">
    <w:name w:val="未处理的提及1"/>
    <w:autoRedefine/>
    <w:unhideWhenUsed/>
    <w:qFormat/>
    <w:uiPriority w:val="99"/>
    <w:rPr>
      <w:color w:val="808080"/>
      <w:shd w:val="clear" w:color="auto" w:fill="E6E6E6"/>
    </w:rPr>
  </w:style>
  <w:style w:type="character" w:styleId="292">
    <w:name w:val="Placeholder Text"/>
    <w:autoRedefine/>
    <w:unhideWhenUsed/>
    <w:qFormat/>
    <w:uiPriority w:val="99"/>
    <w:rPr>
      <w:color w:val="808080"/>
    </w:rPr>
  </w:style>
  <w:style w:type="character" w:customStyle="1" w:styleId="293">
    <w:name w:val="标题 3 Char"/>
    <w:autoRedefine/>
    <w:qFormat/>
    <w:uiPriority w:val="0"/>
    <w:rPr>
      <w:rFonts w:eastAsia="黑体"/>
      <w:bCs/>
      <w:kern w:val="2"/>
      <w:sz w:val="24"/>
      <w:szCs w:val="32"/>
    </w:rPr>
  </w:style>
  <w:style w:type="paragraph" w:customStyle="1" w:styleId="294">
    <w:name w:val="标题111"/>
    <w:basedOn w:val="1"/>
    <w:autoRedefine/>
    <w:qFormat/>
    <w:uiPriority w:val="0"/>
    <w:pPr>
      <w:widowControl w:val="0"/>
      <w:spacing w:line="400" w:lineRule="exact"/>
      <w:ind w:firstLine="482"/>
      <w:jc w:val="center"/>
      <w:outlineLvl w:val="0"/>
    </w:pPr>
    <w:rPr>
      <w:rFonts w:ascii="宋体" w:hAnsi="宋体" w:cs="仿宋"/>
      <w:b/>
      <w:kern w:val="2"/>
    </w:rPr>
  </w:style>
  <w:style w:type="paragraph" w:customStyle="1" w:styleId="295">
    <w:name w:val="标题222"/>
    <w:basedOn w:val="1"/>
    <w:autoRedefine/>
    <w:qFormat/>
    <w:uiPriority w:val="0"/>
    <w:pPr>
      <w:widowControl w:val="0"/>
      <w:spacing w:line="400" w:lineRule="exact"/>
      <w:ind w:firstLine="200" w:firstLineChars="200"/>
      <w:jc w:val="both"/>
      <w:outlineLvl w:val="1"/>
    </w:pPr>
    <w:rPr>
      <w:rFonts w:ascii="宋体" w:hAnsi="宋体" w:cs="仿宋"/>
      <w:b/>
      <w:bCs/>
      <w:kern w:val="2"/>
    </w:rPr>
  </w:style>
  <w:style w:type="character" w:customStyle="1" w:styleId="296">
    <w:name w:val="标题 2 Char"/>
    <w:autoRedefine/>
    <w:qFormat/>
    <w:uiPriority w:val="0"/>
    <w:rPr>
      <w:rFonts w:ascii="Arial" w:hAnsi="Arial" w:eastAsia="黑体"/>
      <w:b/>
      <w:bCs/>
      <w:kern w:val="2"/>
      <w:sz w:val="32"/>
      <w:szCs w:val="32"/>
      <w:lang w:val="en-US" w:eastAsia="zh-CN" w:bidi="ar-SA"/>
    </w:rPr>
  </w:style>
  <w:style w:type="character" w:customStyle="1" w:styleId="297">
    <w:name w:val="文档结构图 Char"/>
    <w:autoRedefine/>
    <w:qFormat/>
    <w:uiPriority w:val="99"/>
    <w:rPr>
      <w:rFonts w:ascii="宋体"/>
      <w:kern w:val="2"/>
      <w:sz w:val="18"/>
      <w:szCs w:val="18"/>
    </w:rPr>
  </w:style>
  <w:style w:type="character" w:customStyle="1" w:styleId="298">
    <w:name w:val="页眉 Char"/>
    <w:autoRedefine/>
    <w:qFormat/>
    <w:uiPriority w:val="99"/>
    <w:rPr>
      <w:kern w:val="2"/>
      <w:sz w:val="18"/>
      <w:szCs w:val="18"/>
    </w:rPr>
  </w:style>
  <w:style w:type="character" w:customStyle="1" w:styleId="299">
    <w:name w:val="标题 4 Char"/>
    <w:autoRedefine/>
    <w:qFormat/>
    <w:uiPriority w:val="0"/>
    <w:rPr>
      <w:rFonts w:ascii="Cambria" w:hAnsi="Cambria" w:eastAsia="宋体" w:cs="Times New Roman"/>
      <w:b/>
      <w:bCs/>
      <w:kern w:val="2"/>
      <w:sz w:val="28"/>
      <w:szCs w:val="28"/>
    </w:rPr>
  </w:style>
  <w:style w:type="character" w:customStyle="1" w:styleId="300">
    <w:name w:val="标题 5 Char"/>
    <w:autoRedefine/>
    <w:qFormat/>
    <w:uiPriority w:val="0"/>
    <w:rPr>
      <w:b/>
      <w:bCs/>
      <w:kern w:val="2"/>
      <w:sz w:val="28"/>
      <w:szCs w:val="28"/>
    </w:rPr>
  </w:style>
  <w:style w:type="character" w:customStyle="1" w:styleId="301">
    <w:name w:val="标题 6 Char"/>
    <w:autoRedefine/>
    <w:qFormat/>
    <w:uiPriority w:val="0"/>
    <w:rPr>
      <w:rFonts w:ascii="Cambria" w:hAnsi="Cambria" w:eastAsia="宋体" w:cs="Times New Roman"/>
      <w:b/>
      <w:bCs/>
      <w:kern w:val="2"/>
      <w:sz w:val="24"/>
      <w:szCs w:val="24"/>
    </w:rPr>
  </w:style>
  <w:style w:type="character" w:customStyle="1" w:styleId="302">
    <w:name w:val="标题 7 Char"/>
    <w:autoRedefine/>
    <w:qFormat/>
    <w:uiPriority w:val="0"/>
    <w:rPr>
      <w:b/>
      <w:bCs/>
      <w:kern w:val="2"/>
      <w:sz w:val="24"/>
      <w:szCs w:val="24"/>
    </w:rPr>
  </w:style>
  <w:style w:type="character" w:customStyle="1" w:styleId="303">
    <w:name w:val="标题 8 Char"/>
    <w:autoRedefine/>
    <w:qFormat/>
    <w:uiPriority w:val="0"/>
    <w:rPr>
      <w:rFonts w:ascii="Cambria" w:hAnsi="Cambria" w:eastAsia="宋体" w:cs="Times New Roman"/>
      <w:kern w:val="2"/>
      <w:sz w:val="24"/>
      <w:szCs w:val="24"/>
    </w:rPr>
  </w:style>
  <w:style w:type="character" w:customStyle="1" w:styleId="304">
    <w:name w:val="标题 9 Char"/>
    <w:autoRedefine/>
    <w:qFormat/>
    <w:uiPriority w:val="0"/>
    <w:rPr>
      <w:rFonts w:ascii="Cambria" w:hAnsi="Cambria" w:eastAsia="宋体" w:cs="Times New Roman"/>
      <w:kern w:val="2"/>
      <w:sz w:val="21"/>
      <w:szCs w:val="21"/>
    </w:rPr>
  </w:style>
  <w:style w:type="character" w:customStyle="1" w:styleId="305">
    <w:name w:val="日期 Char"/>
    <w:autoRedefine/>
    <w:qFormat/>
    <w:uiPriority w:val="0"/>
    <w:rPr>
      <w:kern w:val="2"/>
      <w:sz w:val="21"/>
      <w:szCs w:val="24"/>
    </w:rPr>
  </w:style>
  <w:style w:type="character" w:customStyle="1" w:styleId="306">
    <w:name w:val="正文文本缩进 2 Char"/>
    <w:autoRedefine/>
    <w:qFormat/>
    <w:uiPriority w:val="99"/>
    <w:rPr>
      <w:kern w:val="2"/>
      <w:sz w:val="21"/>
      <w:szCs w:val="24"/>
    </w:rPr>
  </w:style>
  <w:style w:type="character" w:customStyle="1" w:styleId="307">
    <w:name w:val="正文文本缩进 3 Char"/>
    <w:autoRedefine/>
    <w:qFormat/>
    <w:uiPriority w:val="0"/>
    <w:rPr>
      <w:kern w:val="2"/>
      <w:sz w:val="16"/>
      <w:szCs w:val="16"/>
    </w:rPr>
  </w:style>
  <w:style w:type="character" w:customStyle="1" w:styleId="308">
    <w:name w:val="正文文本 Char"/>
    <w:autoRedefine/>
    <w:qFormat/>
    <w:uiPriority w:val="99"/>
    <w:rPr>
      <w:kern w:val="2"/>
      <w:sz w:val="21"/>
      <w:szCs w:val="24"/>
    </w:rPr>
  </w:style>
  <w:style w:type="character" w:customStyle="1" w:styleId="309">
    <w:name w:val="批注文字 Char"/>
    <w:autoRedefine/>
    <w:qFormat/>
    <w:uiPriority w:val="0"/>
    <w:rPr>
      <w:kern w:val="2"/>
      <w:sz w:val="21"/>
      <w:szCs w:val="24"/>
    </w:rPr>
  </w:style>
  <w:style w:type="character" w:customStyle="1" w:styleId="310">
    <w:name w:val="批注主题 Char"/>
    <w:autoRedefine/>
    <w:qFormat/>
    <w:uiPriority w:val="99"/>
  </w:style>
  <w:style w:type="character" w:customStyle="1" w:styleId="311">
    <w:name w:val="正文文本 3 Char"/>
    <w:autoRedefine/>
    <w:qFormat/>
    <w:uiPriority w:val="0"/>
    <w:rPr>
      <w:kern w:val="2"/>
      <w:sz w:val="16"/>
      <w:szCs w:val="16"/>
    </w:rPr>
  </w:style>
  <w:style w:type="character" w:customStyle="1" w:styleId="312">
    <w:name w:val="副标题 Char"/>
    <w:autoRedefine/>
    <w:qFormat/>
    <w:uiPriority w:val="0"/>
    <w:rPr>
      <w:rFonts w:ascii="Cambria" w:hAnsi="Cambria" w:cs="Times New Roman"/>
      <w:b/>
      <w:bCs/>
      <w:kern w:val="28"/>
      <w:sz w:val="32"/>
      <w:szCs w:val="32"/>
    </w:rPr>
  </w:style>
  <w:style w:type="character" w:customStyle="1" w:styleId="313">
    <w:name w:val="HTML 预设格式 Char"/>
    <w:autoRedefine/>
    <w:qFormat/>
    <w:uiPriority w:val="0"/>
    <w:rPr>
      <w:rFonts w:ascii="Courier New" w:hAnsi="Courier New" w:cs="Courier New"/>
      <w:kern w:val="2"/>
    </w:rPr>
  </w:style>
  <w:style w:type="character" w:customStyle="1" w:styleId="314">
    <w:name w:val="批注框文本 Char"/>
    <w:autoRedefine/>
    <w:qFormat/>
    <w:uiPriority w:val="99"/>
    <w:rPr>
      <w:rFonts w:ascii="Heiti SC Light" w:eastAsia="Heiti SC Light"/>
      <w:kern w:val="2"/>
      <w:sz w:val="18"/>
      <w:szCs w:val="18"/>
    </w:rPr>
  </w:style>
  <w:style w:type="character" w:customStyle="1" w:styleId="315">
    <w:name w:val="正文文本缩进 Char1"/>
    <w:autoRedefine/>
    <w:qFormat/>
    <w:uiPriority w:val="0"/>
    <w:rPr>
      <w:rFonts w:ascii="宋体" w:cs="宋体"/>
      <w:color w:val="000000"/>
      <w:sz w:val="21"/>
      <w:szCs w:val="21"/>
    </w:rPr>
  </w:style>
  <w:style w:type="character" w:customStyle="1" w:styleId="316">
    <w:name w:val="正文缩进 Char"/>
    <w:autoRedefine/>
    <w:qFormat/>
    <w:uiPriority w:val="0"/>
    <w:rPr>
      <w:kern w:val="2"/>
      <w:sz w:val="24"/>
    </w:rPr>
  </w:style>
  <w:style w:type="character" w:customStyle="1" w:styleId="317">
    <w:name w:val="页脚 Char"/>
    <w:autoRedefine/>
    <w:qFormat/>
    <w:uiPriority w:val="99"/>
    <w:rPr>
      <w:kern w:val="2"/>
      <w:sz w:val="18"/>
      <w:szCs w:val="18"/>
    </w:rPr>
  </w:style>
  <w:style w:type="character" w:customStyle="1" w:styleId="318">
    <w:name w:val="标题 Char1"/>
    <w:autoRedefine/>
    <w:qFormat/>
    <w:uiPriority w:val="0"/>
    <w:rPr>
      <w:rFonts w:ascii="Cambria" w:hAnsi="Cambria"/>
      <w:b/>
      <w:bCs/>
      <w:kern w:val="2"/>
      <w:sz w:val="32"/>
      <w:szCs w:val="32"/>
    </w:rPr>
  </w:style>
  <w:style w:type="character" w:customStyle="1" w:styleId="319">
    <w:name w:val="标题 1 Char1"/>
    <w:autoRedefine/>
    <w:qFormat/>
    <w:uiPriority w:val="99"/>
    <w:rPr>
      <w:rFonts w:eastAsia="黑体"/>
      <w:bCs/>
      <w:kern w:val="44"/>
      <w:sz w:val="48"/>
      <w:szCs w:val="44"/>
    </w:rPr>
  </w:style>
  <w:style w:type="paragraph" w:customStyle="1" w:styleId="320">
    <w:name w:val="彩色列表 - 着色 12"/>
    <w:basedOn w:val="1"/>
    <w:autoRedefine/>
    <w:qFormat/>
    <w:uiPriority w:val="0"/>
    <w:pPr>
      <w:ind w:firstLine="420" w:firstLineChars="200"/>
    </w:pPr>
    <w:rPr>
      <w:szCs w:val="20"/>
    </w:rPr>
  </w:style>
  <w:style w:type="paragraph" w:customStyle="1" w:styleId="321">
    <w:name w:val="Char Char Char Char1"/>
    <w:basedOn w:val="1"/>
    <w:autoRedefine/>
    <w:qFormat/>
    <w:uiPriority w:val="0"/>
    <w:pPr>
      <w:adjustRightInd w:val="0"/>
      <w:spacing w:line="360" w:lineRule="atLeast"/>
      <w:textAlignment w:val="baseline"/>
    </w:pPr>
  </w:style>
  <w:style w:type="paragraph" w:customStyle="1" w:styleId="322">
    <w:name w:val="彩色列表 - 强调文字颜色 12"/>
    <w:basedOn w:val="1"/>
    <w:autoRedefine/>
    <w:qFormat/>
    <w:uiPriority w:val="34"/>
    <w:pPr>
      <w:ind w:firstLine="420" w:firstLineChars="200"/>
    </w:pPr>
  </w:style>
  <w:style w:type="paragraph" w:customStyle="1" w:styleId="323">
    <w:name w:val="彩色底纹 - 强调文字颜色 12"/>
    <w:autoRedefine/>
    <w:semiHidden/>
    <w:qFormat/>
    <w:uiPriority w:val="71"/>
    <w:rPr>
      <w:rFonts w:ascii="Times New Roman" w:hAnsi="Times New Roman" w:eastAsia="宋体" w:cs="Times New Roman"/>
      <w:kern w:val="2"/>
      <w:sz w:val="21"/>
      <w:szCs w:val="24"/>
      <w:lang w:val="en-US" w:eastAsia="zh-CN" w:bidi="ar-SA"/>
    </w:rPr>
  </w:style>
  <w:style w:type="paragraph" w:customStyle="1" w:styleId="324">
    <w:name w:val="_Style 296"/>
    <w:autoRedefine/>
    <w:qFormat/>
    <w:uiPriority w:val="0"/>
    <w:rPr>
      <w:rFonts w:ascii="Times New Roman" w:hAnsi="Times New Roman" w:eastAsia="宋体" w:cs="Times New Roman"/>
      <w:sz w:val="24"/>
      <w:szCs w:val="24"/>
      <w:lang w:val="en-US" w:eastAsia="zh-CN" w:bidi="ar-SA"/>
    </w:rPr>
  </w:style>
  <w:style w:type="paragraph" w:customStyle="1" w:styleId="325">
    <w:name w:val="列出段落1"/>
    <w:basedOn w:val="1"/>
    <w:autoRedefine/>
    <w:qFormat/>
    <w:uiPriority w:val="34"/>
    <w:pPr>
      <w:widowControl w:val="0"/>
      <w:ind w:firstLine="420" w:firstLineChars="200"/>
      <w:jc w:val="both"/>
    </w:pPr>
    <w:rPr>
      <w:kern w:val="2"/>
      <w:sz w:val="21"/>
    </w:rPr>
  </w:style>
  <w:style w:type="paragraph" w:styleId="326">
    <w:name w:val="List Paragraph"/>
    <w:basedOn w:val="1"/>
    <w:autoRedefine/>
    <w:qFormat/>
    <w:uiPriority w:val="34"/>
    <w:pPr>
      <w:widowControl w:val="0"/>
      <w:ind w:firstLine="420" w:firstLineChars="200"/>
      <w:jc w:val="both"/>
    </w:pPr>
    <w:rPr>
      <w:rFonts w:eastAsia="仿宋_GB2312" w:cs="宋体"/>
      <w:kern w:val="2"/>
      <w:sz w:val="32"/>
      <w:szCs w:val="32"/>
      <w:lang w:val="sq-AL"/>
    </w:rPr>
  </w:style>
  <w:style w:type="character" w:customStyle="1" w:styleId="327">
    <w:name w:val="标题 1 Char Char"/>
    <w:autoRedefine/>
    <w:qFormat/>
    <w:uiPriority w:val="99"/>
    <w:rPr>
      <w:rFonts w:ascii="Calibri" w:hAnsi="Calibri"/>
      <w:b/>
      <w:kern w:val="1"/>
      <w:sz w:val="44"/>
      <w:szCs w:val="44"/>
    </w:rPr>
  </w:style>
  <w:style w:type="character" w:customStyle="1" w:styleId="328">
    <w:name w:val="标题 5 Char Char"/>
    <w:autoRedefine/>
    <w:qFormat/>
    <w:uiPriority w:val="99"/>
    <w:rPr>
      <w:b/>
      <w:kern w:val="1"/>
      <w:sz w:val="28"/>
      <w:szCs w:val="28"/>
    </w:rPr>
  </w:style>
  <w:style w:type="character" w:customStyle="1" w:styleId="329">
    <w:name w:val="页眉 Char Char"/>
    <w:autoRedefine/>
    <w:qFormat/>
    <w:uiPriority w:val="99"/>
    <w:rPr>
      <w:kern w:val="1"/>
      <w:sz w:val="18"/>
    </w:rPr>
  </w:style>
  <w:style w:type="character" w:customStyle="1" w:styleId="330">
    <w:name w:val="文档结构图 Char Char"/>
    <w:autoRedefine/>
    <w:qFormat/>
    <w:uiPriority w:val="99"/>
    <w:rPr>
      <w:kern w:val="1"/>
      <w:sz w:val="21"/>
      <w:shd w:val="clear" w:color="auto" w:fill="00007F"/>
    </w:rPr>
  </w:style>
  <w:style w:type="character" w:customStyle="1" w:styleId="331">
    <w:name w:val="ca-1"/>
    <w:autoRedefine/>
    <w:qFormat/>
    <w:uiPriority w:val="99"/>
  </w:style>
  <w:style w:type="character" w:customStyle="1" w:styleId="332">
    <w:name w:val="text1"/>
    <w:autoRedefine/>
    <w:qFormat/>
    <w:uiPriority w:val="99"/>
    <w:rPr>
      <w:sz w:val="24"/>
      <w:szCs w:val="24"/>
    </w:rPr>
  </w:style>
  <w:style w:type="character" w:customStyle="1" w:styleId="333">
    <w:name w:val="张伟正文 Char Char"/>
    <w:autoRedefine/>
    <w:qFormat/>
    <w:uiPriority w:val="99"/>
    <w:rPr>
      <w:rFonts w:eastAsia="宋体"/>
      <w:kern w:val="1"/>
      <w:sz w:val="18"/>
      <w:szCs w:val="18"/>
      <w:lang w:val="en-US" w:eastAsia="zh-CN" w:bidi="ar-SA"/>
    </w:rPr>
  </w:style>
  <w:style w:type="character" w:customStyle="1" w:styleId="334">
    <w:name w:val="总规--正文 Char Char"/>
    <w:autoRedefine/>
    <w:qFormat/>
    <w:uiPriority w:val="99"/>
    <w:rPr>
      <w:rFonts w:ascii="Times New Roman" w:hAnsi="Times New Roman" w:eastAsia="宋体" w:cs="宋体"/>
      <w:kern w:val="1"/>
      <w:sz w:val="24"/>
      <w:lang w:val="en-US" w:eastAsia="zh-CN" w:bidi="ar-SA"/>
    </w:rPr>
  </w:style>
  <w:style w:type="character" w:customStyle="1" w:styleId="335">
    <w:name w:val="标题 3 Char Char"/>
    <w:autoRedefine/>
    <w:qFormat/>
    <w:uiPriority w:val="99"/>
    <w:rPr>
      <w:rFonts w:ascii="Calibri" w:hAnsi="Calibri"/>
      <w:b/>
      <w:kern w:val="1"/>
      <w:sz w:val="32"/>
      <w:szCs w:val="32"/>
    </w:rPr>
  </w:style>
  <w:style w:type="character" w:customStyle="1" w:styleId="336">
    <w:name w:val="style11"/>
    <w:autoRedefine/>
    <w:qFormat/>
    <w:uiPriority w:val="99"/>
    <w:rPr>
      <w:b/>
      <w:color w:val="C21616"/>
      <w:sz w:val="36"/>
      <w:szCs w:val="36"/>
    </w:rPr>
  </w:style>
  <w:style w:type="character" w:customStyle="1" w:styleId="337">
    <w:name w:val="标题 2 Char Char"/>
    <w:autoRedefine/>
    <w:qFormat/>
    <w:uiPriority w:val="99"/>
    <w:rPr>
      <w:rFonts w:ascii="Cambria" w:hAnsi="Cambria" w:eastAsia="宋体" w:cs="Times New Roman"/>
      <w:b/>
      <w:kern w:val="1"/>
      <w:sz w:val="32"/>
      <w:szCs w:val="32"/>
    </w:rPr>
  </w:style>
  <w:style w:type="character" w:customStyle="1" w:styleId="338">
    <w:name w:val="样式 黑体 加粗"/>
    <w:autoRedefine/>
    <w:qFormat/>
    <w:uiPriority w:val="99"/>
    <w:rPr>
      <w:rFonts w:ascii="宋体" w:hAnsi="宋体" w:eastAsia="黑体"/>
      <w:sz w:val="28"/>
    </w:rPr>
  </w:style>
  <w:style w:type="character" w:customStyle="1" w:styleId="339">
    <w:name w:val="Char Char5"/>
    <w:autoRedefine/>
    <w:qFormat/>
    <w:uiPriority w:val="99"/>
    <w:rPr>
      <w:rFonts w:ascii="宋体" w:hAnsi="宋体" w:eastAsia="宋体"/>
      <w:kern w:val="1"/>
      <w:sz w:val="28"/>
      <w:lang w:val="en-US" w:eastAsia="zh-CN" w:bidi="ar-SA"/>
    </w:rPr>
  </w:style>
  <w:style w:type="character" w:customStyle="1" w:styleId="340">
    <w:name w:val="mark"/>
    <w:autoRedefine/>
    <w:qFormat/>
    <w:uiPriority w:val="99"/>
  </w:style>
  <w:style w:type="character" w:customStyle="1" w:styleId="341">
    <w:name w:val="正文文本 2 Char Char"/>
    <w:autoRedefine/>
    <w:qFormat/>
    <w:uiPriority w:val="99"/>
    <w:rPr>
      <w:rFonts w:ascii="宋体" w:hAnsi="宋体" w:eastAsia="宋体"/>
      <w:kern w:val="1"/>
      <w:sz w:val="28"/>
      <w:lang w:val="en-US" w:eastAsia="zh-CN" w:bidi="ar-SA"/>
    </w:rPr>
  </w:style>
  <w:style w:type="character" w:customStyle="1" w:styleId="342">
    <w:name w:val="样式 宋体 小四 粉红"/>
    <w:autoRedefine/>
    <w:qFormat/>
    <w:uiPriority w:val="99"/>
    <w:rPr>
      <w:rFonts w:ascii="宋体" w:hAnsi="宋体"/>
      <w:color w:val="000000"/>
      <w:sz w:val="24"/>
      <w:szCs w:val="24"/>
    </w:rPr>
  </w:style>
  <w:style w:type="character" w:customStyle="1" w:styleId="343">
    <w:name w:val="标题 2 Char Char Char"/>
    <w:autoRedefine/>
    <w:qFormat/>
    <w:uiPriority w:val="99"/>
    <w:rPr>
      <w:rFonts w:ascii="Cambria" w:hAnsi="Cambria"/>
      <w:b/>
      <w:kern w:val="1"/>
      <w:sz w:val="32"/>
      <w:szCs w:val="32"/>
    </w:rPr>
  </w:style>
  <w:style w:type="character" w:customStyle="1" w:styleId="344">
    <w:name w:val="Char Char2"/>
    <w:autoRedefine/>
    <w:qFormat/>
    <w:uiPriority w:val="99"/>
    <w:rPr>
      <w:rFonts w:ascii="宋体" w:hAnsi="宋体" w:eastAsia="宋体"/>
      <w:kern w:val="1"/>
      <w:sz w:val="28"/>
      <w:lang w:val="en-US" w:eastAsia="zh-CN" w:bidi="ar-SA"/>
    </w:rPr>
  </w:style>
  <w:style w:type="character" w:customStyle="1" w:styleId="345">
    <w:name w:val="页脚 Char Char"/>
    <w:autoRedefine/>
    <w:qFormat/>
    <w:uiPriority w:val="99"/>
    <w:rPr>
      <w:kern w:val="1"/>
      <w:sz w:val="18"/>
    </w:rPr>
  </w:style>
  <w:style w:type="character" w:customStyle="1" w:styleId="346">
    <w:name w:val="正文文本 Char Char"/>
    <w:autoRedefine/>
    <w:qFormat/>
    <w:uiPriority w:val="99"/>
    <w:rPr>
      <w:kern w:val="1"/>
      <w:sz w:val="21"/>
    </w:rPr>
  </w:style>
  <w:style w:type="character" w:customStyle="1" w:styleId="347">
    <w:name w:val="纯文本 Char Char"/>
    <w:autoRedefine/>
    <w:qFormat/>
    <w:uiPriority w:val="99"/>
    <w:rPr>
      <w:rFonts w:ascii="宋体" w:hAnsi="宋体" w:eastAsia="宋体"/>
      <w:kern w:val="1"/>
      <w:sz w:val="21"/>
      <w:lang w:val="en-US" w:eastAsia="zh-CN" w:bidi="ar-SA"/>
    </w:rPr>
  </w:style>
  <w:style w:type="paragraph" w:customStyle="1" w:styleId="348">
    <w:name w:val="7 Char Char Char Char"/>
    <w:basedOn w:val="1"/>
    <w:autoRedefine/>
    <w:qFormat/>
    <w:uiPriority w:val="99"/>
    <w:pPr>
      <w:widowControl w:val="0"/>
      <w:spacing w:line="360" w:lineRule="auto"/>
      <w:ind w:firstLine="200" w:firstLineChars="200"/>
      <w:jc w:val="both"/>
    </w:pPr>
    <w:rPr>
      <w:color w:val="000000"/>
      <w:kern w:val="1"/>
      <w:szCs w:val="20"/>
    </w:rPr>
  </w:style>
  <w:style w:type="paragraph" w:customStyle="1" w:styleId="349">
    <w:name w:val="Plain Text*"/>
    <w:basedOn w:val="1"/>
    <w:autoRedefine/>
    <w:qFormat/>
    <w:uiPriority w:val="99"/>
    <w:pPr>
      <w:widowControl w:val="0"/>
      <w:spacing w:line="360" w:lineRule="auto"/>
      <w:ind w:firstLine="200" w:firstLineChars="200"/>
      <w:jc w:val="both"/>
    </w:pPr>
    <w:rPr>
      <w:rFonts w:ascii="宋体" w:hAnsi="宋体" w:cs="Courier New"/>
      <w:color w:val="000000"/>
      <w:szCs w:val="20"/>
    </w:rPr>
  </w:style>
  <w:style w:type="paragraph" w:customStyle="1" w:styleId="350">
    <w:name w:val="总规--正文"/>
    <w:basedOn w:val="1"/>
    <w:autoRedefine/>
    <w:qFormat/>
    <w:uiPriority w:val="99"/>
    <w:pPr>
      <w:widowControl w:val="0"/>
      <w:spacing w:line="360" w:lineRule="auto"/>
      <w:ind w:firstLine="480" w:firstLineChars="200"/>
      <w:jc w:val="both"/>
    </w:pPr>
    <w:rPr>
      <w:rFonts w:cs="宋体"/>
      <w:color w:val="000000"/>
      <w:kern w:val="1"/>
      <w:szCs w:val="20"/>
    </w:rPr>
  </w:style>
  <w:style w:type="paragraph" w:customStyle="1" w:styleId="351">
    <w:name w:val="pa-1"/>
    <w:basedOn w:val="1"/>
    <w:autoRedefine/>
    <w:qFormat/>
    <w:uiPriority w:val="99"/>
    <w:pPr>
      <w:spacing w:before="150" w:after="150" w:line="360" w:lineRule="auto"/>
      <w:ind w:firstLine="200" w:firstLineChars="200"/>
    </w:pPr>
    <w:rPr>
      <w:rFonts w:ascii="宋体" w:hAnsi="宋体" w:cs="宋体"/>
      <w:color w:val="000000"/>
    </w:rPr>
  </w:style>
  <w:style w:type="paragraph" w:customStyle="1" w:styleId="352">
    <w:name w:val="3小节"/>
    <w:basedOn w:val="1"/>
    <w:autoRedefine/>
    <w:qFormat/>
    <w:uiPriority w:val="99"/>
    <w:pPr>
      <w:widowControl w:val="0"/>
      <w:spacing w:before="200" w:line="360" w:lineRule="auto"/>
      <w:ind w:firstLine="200" w:firstLineChars="200"/>
      <w:jc w:val="both"/>
      <w:outlineLvl w:val="2"/>
    </w:pPr>
    <w:rPr>
      <w:rFonts w:eastAsia="黑体"/>
      <w:color w:val="000000"/>
      <w:kern w:val="1"/>
      <w:sz w:val="28"/>
      <w:szCs w:val="20"/>
    </w:rPr>
  </w:style>
  <w:style w:type="paragraph" w:customStyle="1" w:styleId="353">
    <w:name w:val="p16"/>
    <w:basedOn w:val="1"/>
    <w:autoRedefine/>
    <w:qFormat/>
    <w:uiPriority w:val="99"/>
    <w:pPr>
      <w:spacing w:line="480" w:lineRule="atLeast"/>
      <w:ind w:firstLine="200" w:firstLineChars="200"/>
      <w:jc w:val="both"/>
    </w:pPr>
    <w:rPr>
      <w:rFonts w:ascii="宋体" w:hAnsi="宋体" w:cs="宋体"/>
      <w:color w:val="000000"/>
      <w:sz w:val="28"/>
      <w:szCs w:val="28"/>
    </w:rPr>
  </w:style>
  <w:style w:type="paragraph" w:customStyle="1" w:styleId="354">
    <w:name w:val="张伟正文"/>
    <w:basedOn w:val="1"/>
    <w:autoRedefine/>
    <w:qFormat/>
    <w:uiPriority w:val="99"/>
    <w:pPr>
      <w:widowControl w:val="0"/>
      <w:spacing w:line="280" w:lineRule="exact"/>
      <w:ind w:firstLine="420" w:firstLineChars="200"/>
      <w:jc w:val="both"/>
    </w:pPr>
    <w:rPr>
      <w:color w:val="000000"/>
      <w:kern w:val="1"/>
      <w:sz w:val="18"/>
      <w:szCs w:val="18"/>
    </w:rPr>
  </w:style>
  <w:style w:type="character" w:customStyle="1" w:styleId="355">
    <w:name w:val="普通文字 Char1"/>
    <w:autoRedefine/>
    <w:qFormat/>
    <w:uiPriority w:val="0"/>
    <w:rPr>
      <w:rFonts w:ascii="宋体" w:hAnsi="Courier New" w:eastAsia="宋体" w:cs="Courier New"/>
      <w:szCs w:val="21"/>
      <w:lang w:val="sq-AL"/>
    </w:rPr>
  </w:style>
  <w:style w:type="paragraph" w:customStyle="1" w:styleId="356">
    <w:name w:val="p0"/>
    <w:basedOn w:val="1"/>
    <w:autoRedefine/>
    <w:qFormat/>
    <w:uiPriority w:val="99"/>
    <w:pPr>
      <w:spacing w:line="360" w:lineRule="auto"/>
      <w:ind w:firstLine="200" w:firstLineChars="200"/>
      <w:jc w:val="both"/>
    </w:pPr>
    <w:rPr>
      <w:color w:val="000000"/>
      <w:szCs w:val="21"/>
    </w:rPr>
  </w:style>
  <w:style w:type="paragraph" w:customStyle="1" w:styleId="357">
    <w:name w:val="Normal Indent*"/>
    <w:basedOn w:val="1"/>
    <w:autoRedefine/>
    <w:qFormat/>
    <w:uiPriority w:val="99"/>
    <w:pPr>
      <w:widowControl w:val="0"/>
      <w:spacing w:line="360" w:lineRule="auto"/>
      <w:ind w:firstLine="420" w:firstLineChars="200"/>
      <w:jc w:val="both"/>
    </w:pPr>
    <w:rPr>
      <w:color w:val="000000"/>
      <w:kern w:val="1"/>
    </w:rPr>
  </w:style>
  <w:style w:type="paragraph" w:customStyle="1" w:styleId="358">
    <w:name w:val="9正文"/>
    <w:basedOn w:val="1"/>
    <w:autoRedefine/>
    <w:qFormat/>
    <w:uiPriority w:val="99"/>
    <w:pPr>
      <w:widowControl w:val="0"/>
      <w:spacing w:after="156" w:line="360" w:lineRule="auto"/>
      <w:ind w:firstLine="480" w:firstLineChars="200"/>
      <w:jc w:val="both"/>
    </w:pPr>
    <w:rPr>
      <w:color w:val="000000"/>
      <w:kern w:val="1"/>
    </w:rPr>
  </w:style>
  <w:style w:type="paragraph" w:customStyle="1" w:styleId="359">
    <w:name w:val="p17"/>
    <w:basedOn w:val="1"/>
    <w:autoRedefine/>
    <w:qFormat/>
    <w:uiPriority w:val="99"/>
    <w:pPr>
      <w:spacing w:after="120" w:line="360" w:lineRule="auto"/>
      <w:ind w:left="420" w:firstLine="200" w:firstLineChars="200"/>
      <w:jc w:val="both"/>
    </w:pPr>
    <w:rPr>
      <w:color w:val="000000"/>
      <w:szCs w:val="21"/>
    </w:rPr>
  </w:style>
  <w:style w:type="character" w:customStyle="1" w:styleId="360">
    <w:name w:val="正文文本 2 字符"/>
    <w:link w:val="44"/>
    <w:autoRedefine/>
    <w:qFormat/>
    <w:uiPriority w:val="99"/>
    <w:rPr>
      <w:rFonts w:ascii="宋体" w:hAnsi="宋体" w:cs="宋体"/>
      <w:color w:val="000000"/>
      <w:kern w:val="1"/>
      <w:sz w:val="28"/>
    </w:rPr>
  </w:style>
  <w:style w:type="paragraph" w:customStyle="1" w:styleId="361">
    <w:name w:val="p20"/>
    <w:basedOn w:val="1"/>
    <w:autoRedefine/>
    <w:qFormat/>
    <w:uiPriority w:val="99"/>
    <w:pPr>
      <w:spacing w:before="100" w:after="100" w:line="360" w:lineRule="auto"/>
      <w:ind w:firstLine="200" w:firstLineChars="200"/>
    </w:pPr>
    <w:rPr>
      <w:rFonts w:ascii="宋体" w:hAnsi="宋体" w:cs="宋体"/>
      <w:color w:val="000000"/>
    </w:rPr>
  </w:style>
  <w:style w:type="paragraph" w:customStyle="1" w:styleId="362">
    <w:name w:val="Char Char Char Char Char Char"/>
    <w:basedOn w:val="1"/>
    <w:autoRedefine/>
    <w:qFormat/>
    <w:uiPriority w:val="99"/>
    <w:pPr>
      <w:widowControl w:val="0"/>
      <w:spacing w:line="360" w:lineRule="auto"/>
      <w:ind w:firstLine="200" w:firstLineChars="200"/>
      <w:jc w:val="both"/>
    </w:pPr>
    <w:rPr>
      <w:color w:val="000000"/>
      <w:kern w:val="1"/>
    </w:rPr>
  </w:style>
  <w:style w:type="paragraph" w:customStyle="1" w:styleId="363">
    <w:name w:val="_Style 8"/>
    <w:basedOn w:val="1"/>
    <w:autoRedefine/>
    <w:qFormat/>
    <w:uiPriority w:val="99"/>
    <w:pPr>
      <w:spacing w:after="160" w:line="240" w:lineRule="exact"/>
      <w:ind w:firstLine="200" w:firstLineChars="200"/>
    </w:pPr>
    <w:rPr>
      <w:color w:val="000000"/>
      <w:kern w:val="1"/>
      <w:szCs w:val="20"/>
    </w:rPr>
  </w:style>
  <w:style w:type="paragraph" w:customStyle="1" w:styleId="364">
    <w:name w:val="Char Char Char1 Char8"/>
    <w:basedOn w:val="1"/>
    <w:autoRedefine/>
    <w:qFormat/>
    <w:uiPriority w:val="99"/>
    <w:pPr>
      <w:widowControl w:val="0"/>
      <w:spacing w:line="360" w:lineRule="auto"/>
      <w:ind w:firstLine="200" w:firstLineChars="200"/>
      <w:jc w:val="both"/>
    </w:pPr>
    <w:rPr>
      <w:rFonts w:ascii="宋体" w:hAnsi="宋体" w:cs="宋体"/>
      <w:color w:val="000000"/>
      <w:kern w:val="1"/>
      <w:szCs w:val="20"/>
    </w:rPr>
  </w:style>
  <w:style w:type="paragraph" w:customStyle="1" w:styleId="365">
    <w:name w:val="Body Text*"/>
    <w:basedOn w:val="1"/>
    <w:autoRedefine/>
    <w:qFormat/>
    <w:uiPriority w:val="99"/>
    <w:pPr>
      <w:widowControl w:val="0"/>
      <w:spacing w:after="120" w:line="360" w:lineRule="auto"/>
      <w:ind w:firstLine="200" w:firstLineChars="200"/>
      <w:jc w:val="both"/>
    </w:pPr>
    <w:rPr>
      <w:color w:val="000000"/>
      <w:kern w:val="1"/>
    </w:rPr>
  </w:style>
  <w:style w:type="paragraph" w:customStyle="1" w:styleId="366">
    <w:name w:val="Char1 Char Char Char"/>
    <w:basedOn w:val="1"/>
    <w:autoRedefine/>
    <w:qFormat/>
    <w:uiPriority w:val="99"/>
    <w:pPr>
      <w:widowControl w:val="0"/>
      <w:spacing w:line="360" w:lineRule="auto"/>
      <w:ind w:firstLine="200" w:firstLineChars="200"/>
      <w:jc w:val="both"/>
    </w:pPr>
    <w:rPr>
      <w:rFonts w:eastAsia="仿宋"/>
      <w:color w:val="000000"/>
      <w:kern w:val="1"/>
      <w:sz w:val="28"/>
    </w:rPr>
  </w:style>
  <w:style w:type="paragraph" w:customStyle="1" w:styleId="367">
    <w:name w:val="Char Char11"/>
    <w:basedOn w:val="1"/>
    <w:autoRedefine/>
    <w:qFormat/>
    <w:uiPriority w:val="99"/>
    <w:pPr>
      <w:spacing w:after="160" w:line="240" w:lineRule="exact"/>
      <w:ind w:firstLine="200" w:firstLineChars="200"/>
    </w:pPr>
    <w:rPr>
      <w:color w:val="000000"/>
      <w:kern w:val="1"/>
      <w:szCs w:val="20"/>
    </w:rPr>
  </w:style>
  <w:style w:type="paragraph" w:customStyle="1" w:styleId="368">
    <w:name w:val="List Paragraph1"/>
    <w:autoRedefine/>
    <w:qFormat/>
    <w:uiPriority w:val="99"/>
    <w:pPr>
      <w:ind w:firstLine="420"/>
    </w:pPr>
    <w:rPr>
      <w:rFonts w:ascii="Times New Roman" w:hAnsi="Times New Roman" w:eastAsia="宋体" w:cs="Times New Roman"/>
      <w:color w:val="000000"/>
      <w:lang w:val="en-US" w:eastAsia="zh-CN" w:bidi="ar-SA"/>
    </w:rPr>
  </w:style>
  <w:style w:type="paragraph" w:customStyle="1" w:styleId="369">
    <w:name w:val="List Paragraph*"/>
    <w:basedOn w:val="1"/>
    <w:autoRedefine/>
    <w:qFormat/>
    <w:uiPriority w:val="99"/>
    <w:pPr>
      <w:widowControl w:val="0"/>
      <w:spacing w:line="360" w:lineRule="auto"/>
      <w:ind w:firstLine="420" w:firstLineChars="200"/>
      <w:jc w:val="both"/>
    </w:pPr>
    <w:rPr>
      <w:rFonts w:ascii="Calibri" w:hAnsi="Calibri" w:cs="Calibri"/>
      <w:color w:val="000000"/>
      <w:kern w:val="1"/>
      <w:szCs w:val="22"/>
    </w:rPr>
  </w:style>
  <w:style w:type="paragraph" w:customStyle="1" w:styleId="370">
    <w:name w:val="Normal New New"/>
    <w:autoRedefine/>
    <w:qFormat/>
    <w:uiPriority w:val="99"/>
    <w:pPr>
      <w:widowControl w:val="0"/>
      <w:spacing w:line="312" w:lineRule="auto"/>
      <w:jc w:val="both"/>
    </w:pPr>
    <w:rPr>
      <w:rFonts w:ascii="Times New Roman" w:hAnsi="Times New Roman" w:eastAsia="宋体" w:cs="Times New Roman"/>
      <w:color w:val="000000"/>
      <w:kern w:val="1"/>
      <w:sz w:val="21"/>
      <w:lang w:val="en-US" w:eastAsia="zh-CN" w:bidi="ar-SA"/>
    </w:rPr>
  </w:style>
  <w:style w:type="paragraph" w:customStyle="1" w:styleId="371">
    <w:name w:val="Char Char Char1 Char Char Char Char Char Char Char Char Char Char Char Char Char"/>
    <w:basedOn w:val="1"/>
    <w:autoRedefine/>
    <w:qFormat/>
    <w:uiPriority w:val="99"/>
    <w:pPr>
      <w:widowControl w:val="0"/>
      <w:shd w:val="clear" w:color="000000" w:fill="00007F"/>
      <w:spacing w:line="360" w:lineRule="auto"/>
      <w:ind w:firstLine="200" w:firstLineChars="200"/>
      <w:jc w:val="both"/>
    </w:pPr>
    <w:rPr>
      <w:color w:val="000000"/>
      <w:kern w:val="1"/>
      <w:szCs w:val="20"/>
      <w:shd w:val="clear" w:color="auto" w:fill="00007F"/>
    </w:rPr>
  </w:style>
  <w:style w:type="paragraph" w:customStyle="1" w:styleId="372">
    <w:name w:val="默认段落字体 Para Char Char Char Char Char Char Char"/>
    <w:basedOn w:val="1"/>
    <w:autoRedefine/>
    <w:qFormat/>
    <w:uiPriority w:val="99"/>
    <w:pPr>
      <w:widowControl w:val="0"/>
      <w:spacing w:line="360" w:lineRule="auto"/>
      <w:ind w:firstLine="200" w:firstLineChars="200"/>
      <w:jc w:val="both"/>
    </w:pPr>
    <w:rPr>
      <w:rFonts w:ascii="Tahoma" w:hAnsi="Tahoma" w:cs="Tahoma"/>
      <w:color w:val="000000"/>
      <w:kern w:val="1"/>
      <w:szCs w:val="20"/>
    </w:rPr>
  </w:style>
  <w:style w:type="paragraph" w:customStyle="1" w:styleId="373">
    <w:name w:val="文档正文"/>
    <w:basedOn w:val="1"/>
    <w:autoRedefine/>
    <w:qFormat/>
    <w:uiPriority w:val="99"/>
    <w:pPr>
      <w:widowControl w:val="0"/>
      <w:spacing w:line="312" w:lineRule="atLeast"/>
      <w:ind w:firstLine="567" w:firstLineChars="200"/>
      <w:jc w:val="both"/>
    </w:pPr>
    <w:rPr>
      <w:rFonts w:ascii="长城仿宋" w:hAnsi="长城仿宋" w:eastAsia="黑体" w:cs="长城仿宋"/>
      <w:color w:val="000000"/>
      <w:sz w:val="28"/>
      <w:szCs w:val="20"/>
    </w:rPr>
  </w:style>
  <w:style w:type="paragraph" w:customStyle="1" w:styleId="374">
    <w:name w:val="Char3"/>
    <w:basedOn w:val="1"/>
    <w:autoRedefine/>
    <w:qFormat/>
    <w:uiPriority w:val="0"/>
    <w:pPr>
      <w:widowControl w:val="0"/>
      <w:spacing w:line="360" w:lineRule="auto"/>
      <w:ind w:firstLine="200" w:firstLineChars="200"/>
      <w:jc w:val="both"/>
    </w:pPr>
    <w:rPr>
      <w:rFonts w:ascii="Tahoma" w:hAnsi="Tahoma" w:cs="Tahoma"/>
      <w:color w:val="000000"/>
      <w:kern w:val="1"/>
      <w:szCs w:val="20"/>
    </w:rPr>
  </w:style>
  <w:style w:type="paragraph" w:customStyle="1" w:styleId="375">
    <w:name w:val="Char1 Char Char Char1"/>
    <w:basedOn w:val="1"/>
    <w:autoRedefine/>
    <w:qFormat/>
    <w:uiPriority w:val="99"/>
    <w:pPr>
      <w:widowControl w:val="0"/>
      <w:spacing w:line="360" w:lineRule="auto"/>
      <w:ind w:firstLine="200" w:firstLineChars="200"/>
      <w:jc w:val="both"/>
    </w:pPr>
    <w:rPr>
      <w:color w:val="000000"/>
      <w:kern w:val="1"/>
    </w:rPr>
  </w:style>
  <w:style w:type="paragraph" w:customStyle="1" w:styleId="376">
    <w:name w:val="正文空2格  1."/>
    <w:basedOn w:val="1"/>
    <w:autoRedefine/>
    <w:qFormat/>
    <w:uiPriority w:val="99"/>
    <w:pPr>
      <w:widowControl w:val="0"/>
      <w:adjustRightInd w:val="0"/>
      <w:spacing w:line="360" w:lineRule="auto"/>
      <w:ind w:firstLine="480" w:firstLineChars="200"/>
      <w:jc w:val="both"/>
      <w:textAlignment w:val="baseline"/>
    </w:pPr>
    <w:rPr>
      <w:rFonts w:ascii="宋体" w:eastAsia="仿宋" w:cs="宋体"/>
      <w:sz w:val="28"/>
      <w:szCs w:val="20"/>
    </w:rPr>
  </w:style>
  <w:style w:type="paragraph" w:customStyle="1" w:styleId="377">
    <w:name w:val="正文 第一章"/>
    <w:basedOn w:val="1"/>
    <w:next w:val="378"/>
    <w:autoRedefine/>
    <w:qFormat/>
    <w:uiPriority w:val="99"/>
    <w:pPr>
      <w:pageBreakBefore/>
      <w:widowControl w:val="0"/>
      <w:adjustRightInd w:val="0"/>
      <w:spacing w:before="240" w:after="240" w:line="480" w:lineRule="auto"/>
      <w:jc w:val="center"/>
      <w:textAlignment w:val="baseline"/>
      <w:outlineLvl w:val="0"/>
    </w:pPr>
    <w:rPr>
      <w:rFonts w:ascii="黑体" w:hAnsi="宋体" w:eastAsia="黑体"/>
      <w:sz w:val="36"/>
      <w:szCs w:val="21"/>
    </w:rPr>
  </w:style>
  <w:style w:type="paragraph" w:customStyle="1" w:styleId="378">
    <w:name w:val="正文 1.1"/>
    <w:basedOn w:val="1"/>
    <w:next w:val="379"/>
    <w:autoRedefine/>
    <w:qFormat/>
    <w:uiPriority w:val="99"/>
    <w:pPr>
      <w:widowControl w:val="0"/>
      <w:numPr>
        <w:ilvl w:val="1"/>
        <w:numId w:val="3"/>
      </w:numPr>
      <w:adjustRightInd w:val="0"/>
      <w:spacing w:line="360" w:lineRule="auto"/>
      <w:jc w:val="both"/>
      <w:textAlignment w:val="baseline"/>
      <w:outlineLvl w:val="1"/>
    </w:pPr>
    <w:rPr>
      <w:rFonts w:ascii="仿宋" w:hAnsi="仿宋" w:eastAsia="仿宋"/>
      <w:b/>
      <w:sz w:val="28"/>
      <w:szCs w:val="21"/>
    </w:rPr>
  </w:style>
  <w:style w:type="paragraph" w:customStyle="1" w:styleId="379">
    <w:name w:val="正文 1.1.1"/>
    <w:basedOn w:val="1"/>
    <w:next w:val="1"/>
    <w:autoRedefine/>
    <w:qFormat/>
    <w:uiPriority w:val="99"/>
    <w:pPr>
      <w:widowControl w:val="0"/>
      <w:adjustRightInd w:val="0"/>
      <w:spacing w:line="360" w:lineRule="auto"/>
      <w:ind w:firstLine="630" w:firstLineChars="196"/>
      <w:jc w:val="both"/>
      <w:textAlignment w:val="baseline"/>
      <w:outlineLvl w:val="1"/>
    </w:pPr>
    <w:rPr>
      <w:rFonts w:ascii="仿宋" w:hAnsi="仿宋" w:eastAsia="仿宋"/>
      <w:b/>
      <w:snapToGrid w:val="0"/>
      <w:color w:val="000000"/>
      <w:sz w:val="32"/>
      <w:szCs w:val="32"/>
    </w:rPr>
  </w:style>
  <w:style w:type="paragraph" w:customStyle="1" w:styleId="380">
    <w:name w:val="第四级"/>
    <w:basedOn w:val="1"/>
    <w:next w:val="376"/>
    <w:autoRedefine/>
    <w:qFormat/>
    <w:uiPriority w:val="99"/>
    <w:pPr>
      <w:widowControl w:val="0"/>
      <w:numPr>
        <w:ilvl w:val="3"/>
        <w:numId w:val="3"/>
      </w:numPr>
      <w:adjustRightInd w:val="0"/>
      <w:spacing w:line="360" w:lineRule="auto"/>
      <w:jc w:val="both"/>
      <w:textAlignment w:val="baseline"/>
    </w:pPr>
    <w:rPr>
      <w:rFonts w:ascii="宋体" w:hAnsi="宋体" w:eastAsia="仿宋"/>
      <w:sz w:val="28"/>
      <w:szCs w:val="21"/>
    </w:rPr>
  </w:style>
  <w:style w:type="paragraph" w:customStyle="1" w:styleId="381">
    <w:name w:val="正文空4格  1）"/>
    <w:basedOn w:val="1"/>
    <w:autoRedefine/>
    <w:qFormat/>
    <w:uiPriority w:val="99"/>
    <w:pPr>
      <w:widowControl w:val="0"/>
      <w:adjustRightInd w:val="0"/>
      <w:spacing w:line="360" w:lineRule="auto"/>
      <w:ind w:firstLine="1120" w:firstLineChars="400"/>
      <w:jc w:val="both"/>
      <w:textAlignment w:val="baseline"/>
    </w:pPr>
    <w:rPr>
      <w:rFonts w:ascii="宋体" w:eastAsia="仿宋" w:cs="宋体"/>
      <w:sz w:val="28"/>
      <w:szCs w:val="20"/>
    </w:rPr>
  </w:style>
  <w:style w:type="paragraph" w:customStyle="1" w:styleId="382">
    <w:name w:val="正文缩进2格"/>
    <w:basedOn w:val="1"/>
    <w:autoRedefine/>
    <w:qFormat/>
    <w:uiPriority w:val="99"/>
    <w:pPr>
      <w:widowControl w:val="0"/>
      <w:spacing w:line="600" w:lineRule="exact"/>
      <w:ind w:firstLine="639" w:firstLineChars="206"/>
      <w:jc w:val="both"/>
    </w:pPr>
    <w:rPr>
      <w:rFonts w:ascii="仿宋_GB2312" w:hAnsi="宋体" w:eastAsia="仿宋_GB2312"/>
      <w:kern w:val="2"/>
      <w:sz w:val="31"/>
      <w:szCs w:val="20"/>
    </w:rPr>
  </w:style>
  <w:style w:type="character" w:customStyle="1" w:styleId="383">
    <w:name w:val="批注文字 Char1"/>
    <w:autoRedefine/>
    <w:qFormat/>
    <w:uiPriority w:val="0"/>
    <w:rPr>
      <w:color w:val="000000"/>
      <w:sz w:val="24"/>
    </w:rPr>
  </w:style>
  <w:style w:type="paragraph" w:customStyle="1" w:styleId="384">
    <w:name w:val="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385">
    <w:name w:val="列出段落111"/>
    <w:basedOn w:val="1"/>
    <w:link w:val="530"/>
    <w:autoRedefine/>
    <w:qFormat/>
    <w:uiPriority w:val="34"/>
    <w:pPr>
      <w:widowControl w:val="0"/>
      <w:ind w:firstLine="420" w:firstLineChars="200"/>
      <w:jc w:val="both"/>
    </w:pPr>
    <w:rPr>
      <w:rFonts w:ascii="Calibri" w:hAnsi="Calibri"/>
      <w:kern w:val="2"/>
      <w:sz w:val="21"/>
      <w:szCs w:val="22"/>
      <w:lang w:val="sq-AL"/>
    </w:rPr>
  </w:style>
  <w:style w:type="paragraph" w:customStyle="1" w:styleId="386">
    <w:name w:val="表格文字"/>
    <w:basedOn w:val="1"/>
    <w:autoRedefine/>
    <w:qFormat/>
    <w:uiPriority w:val="99"/>
    <w:pPr>
      <w:widowControl w:val="0"/>
      <w:jc w:val="center"/>
    </w:pPr>
    <w:rPr>
      <w:rFonts w:cs="宋体"/>
      <w:bCs/>
      <w:kern w:val="2"/>
      <w:sz w:val="21"/>
      <w:szCs w:val="20"/>
    </w:rPr>
  </w:style>
  <w:style w:type="table" w:customStyle="1" w:styleId="387">
    <w:name w:val="网格型1"/>
    <w:basedOn w:val="51"/>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8">
    <w:name w:val="AOHead2"/>
    <w:basedOn w:val="1"/>
    <w:next w:val="1"/>
    <w:autoRedefine/>
    <w:qFormat/>
    <w:uiPriority w:val="99"/>
    <w:pPr>
      <w:keepNext/>
      <w:spacing w:line="360" w:lineRule="auto"/>
      <w:ind w:right="210" w:rightChars="100"/>
      <w:jc w:val="both"/>
      <w:outlineLvl w:val="0"/>
    </w:pPr>
    <w:rPr>
      <w:rFonts w:ascii="Arial" w:hAnsi="Arial" w:eastAsia="黑体" w:cs="Arial"/>
      <w:bCs/>
      <w:kern w:val="28"/>
      <w:lang w:val="en-GB"/>
    </w:rPr>
  </w:style>
  <w:style w:type="paragraph" w:customStyle="1" w:styleId="389">
    <w:name w:val="列出段落2"/>
    <w:basedOn w:val="1"/>
    <w:autoRedefine/>
    <w:qFormat/>
    <w:uiPriority w:val="99"/>
    <w:pPr>
      <w:widowControl w:val="0"/>
      <w:ind w:firstLine="420" w:firstLineChars="200"/>
      <w:jc w:val="both"/>
    </w:pPr>
    <w:rPr>
      <w:kern w:val="2"/>
      <w:sz w:val="21"/>
    </w:rPr>
  </w:style>
  <w:style w:type="character" w:customStyle="1" w:styleId="390">
    <w:name w:val="AOHidden"/>
    <w:autoRedefine/>
    <w:qFormat/>
    <w:uiPriority w:val="99"/>
    <w:rPr>
      <w:vanish/>
      <w:color w:val="auto"/>
    </w:rPr>
  </w:style>
  <w:style w:type="character" w:customStyle="1" w:styleId="391">
    <w:name w:val="FrutigerBold"/>
    <w:autoRedefine/>
    <w:qFormat/>
    <w:uiPriority w:val="99"/>
    <w:rPr>
      <w:rFonts w:ascii="Frutiger 45 Light" w:hAnsi="Frutiger 45 Light"/>
      <w:b/>
    </w:rPr>
  </w:style>
  <w:style w:type="character" w:customStyle="1" w:styleId="392">
    <w:name w:val="Char Char Char Char Char"/>
    <w:link w:val="393"/>
    <w:autoRedefine/>
    <w:qFormat/>
    <w:uiPriority w:val="99"/>
    <w:rPr>
      <w:szCs w:val="24"/>
    </w:rPr>
  </w:style>
  <w:style w:type="paragraph" w:customStyle="1" w:styleId="393">
    <w:name w:val="Char2"/>
    <w:basedOn w:val="1"/>
    <w:next w:val="1"/>
    <w:link w:val="392"/>
    <w:autoRedefine/>
    <w:qFormat/>
    <w:uiPriority w:val="0"/>
    <w:pPr>
      <w:widowControl w:val="0"/>
      <w:spacing w:after="120" w:line="480" w:lineRule="auto"/>
      <w:jc w:val="both"/>
    </w:pPr>
    <w:rPr>
      <w:sz w:val="20"/>
    </w:rPr>
  </w:style>
  <w:style w:type="paragraph" w:customStyle="1" w:styleId="394">
    <w:name w:val="AOGenNum1Para"/>
    <w:basedOn w:val="395"/>
    <w:next w:val="399"/>
    <w:autoRedefine/>
    <w:qFormat/>
    <w:uiPriority w:val="99"/>
  </w:style>
  <w:style w:type="paragraph" w:customStyle="1" w:styleId="395">
    <w:name w:val="AOGenNum1"/>
    <w:basedOn w:val="396"/>
    <w:next w:val="394"/>
    <w:autoRedefine/>
    <w:qFormat/>
    <w:uiPriority w:val="99"/>
    <w:pPr>
      <w:keepNext/>
      <w:spacing w:before="240"/>
      <w:ind w:left="720"/>
    </w:pPr>
    <w:rPr>
      <w:b/>
      <w:caps/>
    </w:rPr>
  </w:style>
  <w:style w:type="paragraph" w:customStyle="1" w:styleId="396">
    <w:name w:val="AOBodyTxt"/>
    <w:basedOn w:val="397"/>
    <w:next w:val="398"/>
    <w:autoRedefine/>
    <w:qFormat/>
    <w:uiPriority w:val="99"/>
  </w:style>
  <w:style w:type="paragraph" w:customStyle="1" w:styleId="397">
    <w:name w:val="AONormal"/>
    <w:autoRedefine/>
    <w:qFormat/>
    <w:uiPriority w:val="99"/>
    <w:pPr>
      <w:spacing w:line="260" w:lineRule="atLeast"/>
      <w:jc w:val="both"/>
    </w:pPr>
    <w:rPr>
      <w:rFonts w:ascii="Times New Roman" w:hAnsi="Times New Roman" w:eastAsia="宋体" w:cs="Times New Roman"/>
      <w:sz w:val="22"/>
      <w:lang w:val="en-GB" w:eastAsia="en-US" w:bidi="ar-SA"/>
    </w:rPr>
  </w:style>
  <w:style w:type="paragraph" w:customStyle="1" w:styleId="398">
    <w:name w:val="AODocTxt"/>
    <w:basedOn w:val="396"/>
    <w:autoRedefine/>
    <w:qFormat/>
    <w:uiPriority w:val="99"/>
    <w:pPr>
      <w:spacing w:before="240"/>
    </w:pPr>
  </w:style>
  <w:style w:type="paragraph" w:customStyle="1" w:styleId="399">
    <w:name w:val="AOGenNum1List"/>
    <w:basedOn w:val="395"/>
    <w:autoRedefine/>
    <w:qFormat/>
    <w:uiPriority w:val="99"/>
  </w:style>
  <w:style w:type="paragraph" w:customStyle="1" w:styleId="400">
    <w:name w:val="AOHeaderC"/>
    <w:basedOn w:val="401"/>
    <w:autoRedefine/>
    <w:qFormat/>
    <w:uiPriority w:val="99"/>
  </w:style>
  <w:style w:type="paragraph" w:customStyle="1" w:styleId="401">
    <w:name w:val="AOHeaderL"/>
    <w:basedOn w:val="397"/>
    <w:autoRedefine/>
    <w:qFormat/>
    <w:uiPriority w:val="99"/>
  </w:style>
  <w:style w:type="paragraph" w:customStyle="1" w:styleId="402">
    <w:name w:val="AOTOCs"/>
    <w:basedOn w:val="397"/>
    <w:next w:val="86"/>
    <w:autoRedefine/>
    <w:qFormat/>
    <w:uiPriority w:val="99"/>
  </w:style>
  <w:style w:type="paragraph" w:customStyle="1" w:styleId="403">
    <w:name w:val="AOBullet"/>
    <w:basedOn w:val="396"/>
    <w:autoRedefine/>
    <w:qFormat/>
    <w:uiPriority w:val="99"/>
    <w:pPr>
      <w:tabs>
        <w:tab w:val="left" w:pos="720"/>
      </w:tabs>
      <w:spacing w:before="240"/>
      <w:ind w:left="720" w:hanging="720"/>
    </w:pPr>
  </w:style>
  <w:style w:type="paragraph" w:customStyle="1" w:styleId="404">
    <w:name w:val="Level (i)fo"/>
    <w:basedOn w:val="1"/>
    <w:autoRedefine/>
    <w:qFormat/>
    <w:uiPriority w:val="99"/>
    <w:pPr>
      <w:spacing w:before="240"/>
      <w:ind w:left="2160"/>
    </w:pPr>
    <w:rPr>
      <w:rFonts w:ascii="Palatino" w:hAnsi="Palatino"/>
      <w:sz w:val="22"/>
      <w:szCs w:val="20"/>
      <w:lang w:val="en-AU"/>
    </w:rPr>
  </w:style>
  <w:style w:type="paragraph" w:customStyle="1" w:styleId="405">
    <w:name w:val="Level(A)"/>
    <w:basedOn w:val="1"/>
    <w:next w:val="406"/>
    <w:autoRedefine/>
    <w:qFormat/>
    <w:uiPriority w:val="99"/>
    <w:pPr>
      <w:tabs>
        <w:tab w:val="left" w:pos="2880"/>
      </w:tabs>
      <w:spacing w:before="240"/>
      <w:ind w:left="2880" w:hanging="720"/>
      <w:outlineLvl w:val="5"/>
    </w:pPr>
    <w:rPr>
      <w:rFonts w:ascii="Palatino" w:hAnsi="Palatino"/>
      <w:sz w:val="22"/>
      <w:szCs w:val="20"/>
      <w:lang w:val="en-AU"/>
    </w:rPr>
  </w:style>
  <w:style w:type="paragraph" w:customStyle="1" w:styleId="406">
    <w:name w:val="Level (A)fo"/>
    <w:basedOn w:val="1"/>
    <w:autoRedefine/>
    <w:qFormat/>
    <w:uiPriority w:val="99"/>
    <w:pPr>
      <w:spacing w:before="240"/>
      <w:ind w:left="2880"/>
    </w:pPr>
    <w:rPr>
      <w:rFonts w:ascii="Palatino" w:hAnsi="Palatino"/>
      <w:sz w:val="22"/>
      <w:szCs w:val="20"/>
      <w:lang w:val="en-AU"/>
    </w:rPr>
  </w:style>
  <w:style w:type="paragraph" w:customStyle="1" w:styleId="407">
    <w:name w:val="AODocTxtL1"/>
    <w:basedOn w:val="398"/>
    <w:autoRedefine/>
    <w:qFormat/>
    <w:uiPriority w:val="99"/>
  </w:style>
  <w:style w:type="paragraph" w:customStyle="1" w:styleId="408">
    <w:name w:val="AOAltHead5"/>
    <w:basedOn w:val="409"/>
    <w:next w:val="412"/>
    <w:autoRedefine/>
    <w:qFormat/>
    <w:uiPriority w:val="99"/>
  </w:style>
  <w:style w:type="paragraph" w:customStyle="1" w:styleId="409">
    <w:name w:val="AOHead5"/>
    <w:basedOn w:val="410"/>
    <w:next w:val="411"/>
    <w:autoRedefine/>
    <w:qFormat/>
    <w:uiPriority w:val="99"/>
    <w:pPr>
      <w:outlineLvl w:val="4"/>
    </w:pPr>
  </w:style>
  <w:style w:type="paragraph" w:customStyle="1" w:styleId="410">
    <w:name w:val="AOHeadings"/>
    <w:basedOn w:val="396"/>
    <w:next w:val="398"/>
    <w:autoRedefine/>
    <w:qFormat/>
    <w:uiPriority w:val="99"/>
    <w:pPr>
      <w:spacing w:before="240"/>
    </w:pPr>
  </w:style>
  <w:style w:type="paragraph" w:customStyle="1" w:styleId="411">
    <w:name w:val="AODocTxtL4"/>
    <w:basedOn w:val="398"/>
    <w:autoRedefine/>
    <w:qFormat/>
    <w:uiPriority w:val="99"/>
  </w:style>
  <w:style w:type="paragraph" w:customStyle="1" w:styleId="412">
    <w:name w:val="AODocTxtL3"/>
    <w:basedOn w:val="398"/>
    <w:autoRedefine/>
    <w:qFormat/>
    <w:uiPriority w:val="99"/>
  </w:style>
  <w:style w:type="paragraph" w:customStyle="1" w:styleId="413">
    <w:name w:val="AOPlainFooter"/>
    <w:basedOn w:val="1"/>
    <w:next w:val="1"/>
    <w:autoRedefine/>
    <w:qFormat/>
    <w:uiPriority w:val="99"/>
    <w:pPr>
      <w:jc w:val="right"/>
    </w:pPr>
    <w:rPr>
      <w:sz w:val="16"/>
      <w:szCs w:val="20"/>
      <w:lang w:val="en-GB" w:eastAsia="en-US"/>
    </w:rPr>
  </w:style>
  <w:style w:type="paragraph" w:customStyle="1" w:styleId="414">
    <w:name w:val="一层"/>
    <w:basedOn w:val="2"/>
    <w:autoRedefine/>
    <w:qFormat/>
    <w:uiPriority w:val="99"/>
    <w:pPr>
      <w:widowControl w:val="0"/>
      <w:tabs>
        <w:tab w:val="left" w:pos="540"/>
        <w:tab w:val="left" w:pos="720"/>
      </w:tabs>
      <w:spacing w:before="0" w:after="0" w:line="500" w:lineRule="exact"/>
    </w:pPr>
    <w:rPr>
      <w:rFonts w:ascii="楷体_GB2312" w:hAnsi="宋体" w:eastAsia="楷体_GB2312"/>
      <w:b/>
      <w:bCs w:val="0"/>
      <w:w w:val="80"/>
      <w:sz w:val="24"/>
      <w:szCs w:val="52"/>
      <w:lang w:val="en-US"/>
    </w:rPr>
  </w:style>
  <w:style w:type="paragraph" w:customStyle="1" w:styleId="415">
    <w:name w:val="Level 1.fo"/>
    <w:basedOn w:val="1"/>
    <w:autoRedefine/>
    <w:qFormat/>
    <w:uiPriority w:val="99"/>
    <w:pPr>
      <w:spacing w:before="240"/>
      <w:ind w:left="720"/>
    </w:pPr>
    <w:rPr>
      <w:rFonts w:ascii="Palatino" w:hAnsi="Palatino"/>
      <w:sz w:val="22"/>
      <w:szCs w:val="20"/>
      <w:lang w:val="en-AU"/>
    </w:rPr>
  </w:style>
  <w:style w:type="paragraph" w:customStyle="1" w:styleId="416">
    <w:name w:val="AODocTxtL6"/>
    <w:basedOn w:val="398"/>
    <w:autoRedefine/>
    <w:qFormat/>
    <w:uiPriority w:val="99"/>
  </w:style>
  <w:style w:type="paragraph" w:customStyle="1" w:styleId="417">
    <w:name w:val="AOFPTxt"/>
    <w:basedOn w:val="418"/>
    <w:autoRedefine/>
    <w:qFormat/>
    <w:uiPriority w:val="99"/>
  </w:style>
  <w:style w:type="paragraph" w:customStyle="1" w:styleId="418">
    <w:name w:val="AOFPBP"/>
    <w:basedOn w:val="397"/>
    <w:next w:val="417"/>
    <w:autoRedefine/>
    <w:qFormat/>
    <w:uiPriority w:val="99"/>
  </w:style>
  <w:style w:type="paragraph" w:customStyle="1" w:styleId="419">
    <w:name w:val="AOFPTitle"/>
    <w:basedOn w:val="417"/>
    <w:autoRedefine/>
    <w:qFormat/>
    <w:uiPriority w:val="99"/>
    <w:pPr>
      <w:jc w:val="center"/>
    </w:pPr>
    <w:rPr>
      <w:b/>
      <w:caps/>
      <w:sz w:val="32"/>
    </w:rPr>
  </w:style>
  <w:style w:type="paragraph" w:customStyle="1" w:styleId="420">
    <w:name w:val="AO(1)"/>
    <w:basedOn w:val="396"/>
    <w:next w:val="398"/>
    <w:autoRedefine/>
    <w:qFormat/>
    <w:uiPriority w:val="0"/>
    <w:pPr>
      <w:spacing w:before="240"/>
      <w:ind w:left="720"/>
    </w:pPr>
  </w:style>
  <w:style w:type="paragraph" w:customStyle="1" w:styleId="421">
    <w:name w:val="AODocTxtL2"/>
    <w:basedOn w:val="398"/>
    <w:autoRedefine/>
    <w:qFormat/>
    <w:uiPriority w:val="99"/>
  </w:style>
  <w:style w:type="paragraph" w:customStyle="1" w:styleId="422">
    <w:name w:val="Level 1.1"/>
    <w:basedOn w:val="1"/>
    <w:next w:val="423"/>
    <w:autoRedefine/>
    <w:qFormat/>
    <w:uiPriority w:val="99"/>
    <w:pPr>
      <w:tabs>
        <w:tab w:val="left" w:pos="720"/>
      </w:tabs>
      <w:spacing w:before="240"/>
      <w:ind w:left="720" w:hanging="706"/>
      <w:outlineLvl w:val="2"/>
    </w:pPr>
    <w:rPr>
      <w:rFonts w:ascii="Palatino" w:hAnsi="Palatino"/>
      <w:sz w:val="22"/>
      <w:szCs w:val="20"/>
      <w:lang w:val="en-AU"/>
    </w:rPr>
  </w:style>
  <w:style w:type="paragraph" w:customStyle="1" w:styleId="423">
    <w:name w:val="Level 1.1fo"/>
    <w:basedOn w:val="1"/>
    <w:autoRedefine/>
    <w:qFormat/>
    <w:uiPriority w:val="99"/>
    <w:pPr>
      <w:spacing w:before="240"/>
      <w:ind w:left="720"/>
    </w:pPr>
    <w:rPr>
      <w:rFonts w:ascii="Palatino" w:hAnsi="Palatino"/>
      <w:sz w:val="22"/>
      <w:szCs w:val="20"/>
      <w:lang w:val="en-AU"/>
    </w:rPr>
  </w:style>
  <w:style w:type="paragraph" w:customStyle="1" w:styleId="424">
    <w:name w:val="AOTOCTitle"/>
    <w:basedOn w:val="410"/>
    <w:next w:val="425"/>
    <w:autoRedefine/>
    <w:qFormat/>
    <w:uiPriority w:val="99"/>
    <w:pPr>
      <w:jc w:val="center"/>
    </w:pPr>
    <w:rPr>
      <w:b/>
      <w:caps/>
    </w:rPr>
  </w:style>
  <w:style w:type="paragraph" w:customStyle="1" w:styleId="425">
    <w:name w:val="AOTOCHeading"/>
    <w:basedOn w:val="410"/>
    <w:next w:val="398"/>
    <w:autoRedefine/>
    <w:qFormat/>
    <w:uiPriority w:val="99"/>
    <w:pPr>
      <w:tabs>
        <w:tab w:val="right" w:pos="9000"/>
      </w:tabs>
      <w:spacing w:after="240"/>
    </w:pPr>
    <w:rPr>
      <w:b/>
    </w:rPr>
  </w:style>
  <w:style w:type="paragraph" w:customStyle="1" w:styleId="426">
    <w:name w:val="段"/>
    <w:basedOn w:val="1"/>
    <w:autoRedefine/>
    <w:qFormat/>
    <w:uiPriority w:val="99"/>
    <w:pPr>
      <w:widowControl w:val="0"/>
      <w:adjustRightInd w:val="0"/>
      <w:snapToGrid w:val="0"/>
      <w:spacing w:line="360" w:lineRule="auto"/>
      <w:ind w:firstLine="410"/>
      <w:jc w:val="both"/>
    </w:pPr>
    <w:rPr>
      <w:kern w:val="2"/>
      <w:szCs w:val="20"/>
    </w:rPr>
  </w:style>
  <w:style w:type="paragraph" w:customStyle="1" w:styleId="427">
    <w:name w:val="AOAltHead6"/>
    <w:basedOn w:val="428"/>
    <w:next w:val="411"/>
    <w:autoRedefine/>
    <w:qFormat/>
    <w:uiPriority w:val="99"/>
    <w:pPr>
      <w:tabs>
        <w:tab w:val="left" w:pos="2160"/>
      </w:tabs>
      <w:ind w:left="0" w:firstLine="0"/>
    </w:pPr>
  </w:style>
  <w:style w:type="paragraph" w:customStyle="1" w:styleId="428">
    <w:name w:val="AOHead6"/>
    <w:basedOn w:val="410"/>
    <w:next w:val="429"/>
    <w:autoRedefine/>
    <w:qFormat/>
    <w:uiPriority w:val="99"/>
    <w:pPr>
      <w:tabs>
        <w:tab w:val="left" w:pos="2160"/>
      </w:tabs>
      <w:ind w:left="2160" w:hanging="720"/>
      <w:outlineLvl w:val="5"/>
    </w:pPr>
  </w:style>
  <w:style w:type="paragraph" w:customStyle="1" w:styleId="429">
    <w:name w:val="AODocTxtL5"/>
    <w:basedOn w:val="398"/>
    <w:autoRedefine/>
    <w:qFormat/>
    <w:uiPriority w:val="99"/>
  </w:style>
  <w:style w:type="paragraph" w:customStyle="1" w:styleId="430">
    <w:name w:val="AOListNumber"/>
    <w:basedOn w:val="396"/>
    <w:autoRedefine/>
    <w:qFormat/>
    <w:uiPriority w:val="99"/>
    <w:pPr>
      <w:spacing w:before="240"/>
    </w:pPr>
  </w:style>
  <w:style w:type="paragraph" w:customStyle="1" w:styleId="431">
    <w:name w:val="Level 1."/>
    <w:basedOn w:val="1"/>
    <w:next w:val="415"/>
    <w:autoRedefine/>
    <w:qFormat/>
    <w:uiPriority w:val="99"/>
    <w:pPr>
      <w:tabs>
        <w:tab w:val="left" w:pos="720"/>
      </w:tabs>
      <w:spacing w:before="240"/>
      <w:ind w:left="720" w:hanging="720"/>
      <w:outlineLvl w:val="1"/>
    </w:pPr>
    <w:rPr>
      <w:rFonts w:ascii="Palatino" w:hAnsi="Palatino"/>
      <w:sz w:val="22"/>
      <w:szCs w:val="20"/>
      <w:lang w:val="en-AU"/>
    </w:rPr>
  </w:style>
  <w:style w:type="paragraph" w:customStyle="1" w:styleId="432">
    <w:name w:val="Level (a)"/>
    <w:basedOn w:val="1"/>
    <w:next w:val="433"/>
    <w:autoRedefine/>
    <w:qFormat/>
    <w:uiPriority w:val="99"/>
    <w:pPr>
      <w:tabs>
        <w:tab w:val="left" w:pos="1440"/>
      </w:tabs>
      <w:spacing w:before="240"/>
      <w:ind w:left="1440" w:hanging="720"/>
      <w:outlineLvl w:val="3"/>
    </w:pPr>
    <w:rPr>
      <w:rFonts w:ascii="Palatino" w:hAnsi="Palatino"/>
      <w:sz w:val="22"/>
      <w:szCs w:val="20"/>
      <w:lang w:val="en-AU"/>
    </w:rPr>
  </w:style>
  <w:style w:type="paragraph" w:customStyle="1" w:styleId="433">
    <w:name w:val="Level (a)fo"/>
    <w:basedOn w:val="1"/>
    <w:autoRedefine/>
    <w:qFormat/>
    <w:uiPriority w:val="99"/>
    <w:pPr>
      <w:spacing w:before="240"/>
      <w:ind w:left="1440"/>
    </w:pPr>
    <w:rPr>
      <w:rFonts w:ascii="Palatino" w:hAnsi="Palatino"/>
      <w:sz w:val="22"/>
      <w:szCs w:val="20"/>
      <w:lang w:val="en-AU"/>
    </w:rPr>
  </w:style>
  <w:style w:type="paragraph" w:customStyle="1" w:styleId="434">
    <w:name w:val="Level (i)"/>
    <w:basedOn w:val="1"/>
    <w:next w:val="404"/>
    <w:autoRedefine/>
    <w:qFormat/>
    <w:uiPriority w:val="99"/>
    <w:pPr>
      <w:tabs>
        <w:tab w:val="left" w:pos="2160"/>
      </w:tabs>
      <w:spacing w:before="240"/>
      <w:ind w:left="2160" w:hanging="720"/>
      <w:outlineLvl w:val="4"/>
    </w:pPr>
    <w:rPr>
      <w:rFonts w:ascii="Palatino" w:hAnsi="Palatino"/>
      <w:sz w:val="22"/>
      <w:szCs w:val="20"/>
      <w:lang w:val="en-AU"/>
    </w:rPr>
  </w:style>
  <w:style w:type="paragraph" w:customStyle="1" w:styleId="435">
    <w:name w:val="AOBPTxtL"/>
    <w:basedOn w:val="418"/>
    <w:autoRedefine/>
    <w:qFormat/>
    <w:uiPriority w:val="99"/>
  </w:style>
  <w:style w:type="paragraph" w:customStyle="1" w:styleId="436">
    <w:name w:val="toc3"/>
    <w:basedOn w:val="1"/>
    <w:autoRedefine/>
    <w:qFormat/>
    <w:uiPriority w:val="99"/>
    <w:pPr>
      <w:tabs>
        <w:tab w:val="left" w:pos="720"/>
        <w:tab w:val="right" w:pos="9029"/>
      </w:tabs>
      <w:jc w:val="both"/>
    </w:pPr>
    <w:rPr>
      <w:rFonts w:eastAsia="LF Song"/>
      <w:szCs w:val="20"/>
    </w:rPr>
  </w:style>
  <w:style w:type="paragraph" w:customStyle="1" w:styleId="437">
    <w:name w:val="AOBPTxtC"/>
    <w:basedOn w:val="435"/>
    <w:autoRedefine/>
    <w:qFormat/>
    <w:uiPriority w:val="99"/>
  </w:style>
  <w:style w:type="paragraph" w:customStyle="1" w:styleId="438">
    <w:name w:val="AOHead1"/>
    <w:basedOn w:val="410"/>
    <w:next w:val="407"/>
    <w:autoRedefine/>
    <w:qFormat/>
    <w:uiPriority w:val="99"/>
    <w:pPr>
      <w:keepNext/>
      <w:spacing w:before="0" w:line="360" w:lineRule="auto"/>
      <w:ind w:left="420"/>
      <w:jc w:val="center"/>
    </w:pPr>
    <w:rPr>
      <w:rFonts w:ascii="黑体" w:hAnsi="宋体" w:eastAsia="黑体"/>
      <w:bCs/>
      <w:caps/>
      <w:color w:val="000000"/>
      <w:kern w:val="28"/>
      <w:sz w:val="30"/>
      <w:lang w:val="en-US" w:eastAsia="zh-CN"/>
    </w:rPr>
  </w:style>
  <w:style w:type="paragraph" w:customStyle="1" w:styleId="439">
    <w:name w:val="AOAttachments"/>
    <w:basedOn w:val="396"/>
    <w:next w:val="398"/>
    <w:autoRedefine/>
    <w:qFormat/>
    <w:uiPriority w:val="99"/>
    <w:pPr>
      <w:spacing w:before="240"/>
      <w:jc w:val="center"/>
    </w:pPr>
    <w:rPr>
      <w:caps/>
    </w:rPr>
  </w:style>
  <w:style w:type="paragraph" w:customStyle="1" w:styleId="440">
    <w:name w:val="AOFPCopyright"/>
    <w:basedOn w:val="417"/>
    <w:autoRedefine/>
    <w:qFormat/>
    <w:uiPriority w:val="99"/>
    <w:pPr>
      <w:jc w:val="left"/>
    </w:pPr>
    <w:rPr>
      <w:b/>
      <w:caps/>
    </w:rPr>
  </w:style>
  <w:style w:type="paragraph" w:customStyle="1" w:styleId="441">
    <w:name w:val="AOAnxPartHead"/>
    <w:basedOn w:val="442"/>
    <w:next w:val="444"/>
    <w:autoRedefine/>
    <w:qFormat/>
    <w:uiPriority w:val="99"/>
    <w:pPr>
      <w:pageBreakBefore w:val="0"/>
      <w:tabs>
        <w:tab w:val="left" w:pos="720"/>
        <w:tab w:val="left" w:pos="1492"/>
      </w:tabs>
      <w:ind w:left="1492" w:hanging="360"/>
    </w:pPr>
  </w:style>
  <w:style w:type="paragraph" w:customStyle="1" w:styleId="442">
    <w:name w:val="AOAnxHead"/>
    <w:basedOn w:val="439"/>
    <w:next w:val="443"/>
    <w:autoRedefine/>
    <w:qFormat/>
    <w:uiPriority w:val="99"/>
    <w:pPr>
      <w:pageBreakBefore/>
      <w:tabs>
        <w:tab w:val="left" w:pos="720"/>
      </w:tabs>
      <w:ind w:left="720" w:hanging="720"/>
      <w:outlineLvl w:val="0"/>
    </w:pPr>
  </w:style>
  <w:style w:type="paragraph" w:customStyle="1" w:styleId="443">
    <w:name w:val="AOAnxTitle"/>
    <w:basedOn w:val="439"/>
    <w:next w:val="398"/>
    <w:autoRedefine/>
    <w:qFormat/>
    <w:uiPriority w:val="99"/>
    <w:pPr>
      <w:outlineLvl w:val="1"/>
    </w:pPr>
    <w:rPr>
      <w:b/>
    </w:rPr>
  </w:style>
  <w:style w:type="paragraph" w:customStyle="1" w:styleId="444">
    <w:name w:val="AOAnxPartTitle"/>
    <w:basedOn w:val="443"/>
    <w:next w:val="398"/>
    <w:autoRedefine/>
    <w:qFormat/>
    <w:uiPriority w:val="99"/>
  </w:style>
  <w:style w:type="paragraph" w:customStyle="1" w:styleId="445">
    <w:name w:val="AOHead3"/>
    <w:basedOn w:val="410"/>
    <w:next w:val="421"/>
    <w:autoRedefine/>
    <w:qFormat/>
    <w:uiPriority w:val="99"/>
    <w:pPr>
      <w:spacing w:line="360" w:lineRule="auto"/>
      <w:ind w:left="420" w:leftChars="100" w:right="210" w:rightChars="100"/>
      <w:outlineLvl w:val="2"/>
    </w:pPr>
    <w:rPr>
      <w:rFonts w:ascii="宋体" w:hAnsi="宋体"/>
      <w:color w:val="000000"/>
      <w:sz w:val="24"/>
      <w:lang w:eastAsia="zh-CN"/>
    </w:rPr>
  </w:style>
  <w:style w:type="paragraph" w:customStyle="1" w:styleId="446">
    <w:name w:val="AOAppPartHead"/>
    <w:basedOn w:val="447"/>
    <w:next w:val="449"/>
    <w:autoRedefine/>
    <w:qFormat/>
    <w:uiPriority w:val="99"/>
    <w:pPr>
      <w:pageBreakBefore w:val="0"/>
      <w:tabs>
        <w:tab w:val="left" w:pos="360"/>
      </w:tabs>
      <w:ind w:left="360" w:hanging="360"/>
    </w:pPr>
  </w:style>
  <w:style w:type="paragraph" w:customStyle="1" w:styleId="447">
    <w:name w:val="AOAppHead"/>
    <w:basedOn w:val="439"/>
    <w:next w:val="448"/>
    <w:autoRedefine/>
    <w:qFormat/>
    <w:uiPriority w:val="99"/>
    <w:pPr>
      <w:pageBreakBefore/>
      <w:outlineLvl w:val="0"/>
    </w:pPr>
  </w:style>
  <w:style w:type="paragraph" w:customStyle="1" w:styleId="448">
    <w:name w:val="AOAppTitle"/>
    <w:basedOn w:val="439"/>
    <w:next w:val="398"/>
    <w:autoRedefine/>
    <w:qFormat/>
    <w:uiPriority w:val="99"/>
    <w:pPr>
      <w:outlineLvl w:val="1"/>
    </w:pPr>
    <w:rPr>
      <w:b/>
    </w:rPr>
  </w:style>
  <w:style w:type="paragraph" w:customStyle="1" w:styleId="449">
    <w:name w:val="AOAppPartTitle"/>
    <w:basedOn w:val="448"/>
    <w:next w:val="398"/>
    <w:autoRedefine/>
    <w:qFormat/>
    <w:uiPriority w:val="99"/>
  </w:style>
  <w:style w:type="paragraph" w:customStyle="1" w:styleId="450">
    <w:name w:val="AOAltHead3"/>
    <w:basedOn w:val="445"/>
    <w:next w:val="407"/>
    <w:autoRedefine/>
    <w:qFormat/>
    <w:uiPriority w:val="99"/>
    <w:pPr>
      <w:ind w:left="720"/>
    </w:pPr>
  </w:style>
  <w:style w:type="paragraph" w:customStyle="1" w:styleId="451">
    <w:name w:val="AOHead4"/>
    <w:basedOn w:val="410"/>
    <w:next w:val="412"/>
    <w:autoRedefine/>
    <w:qFormat/>
    <w:uiPriority w:val="99"/>
    <w:pPr>
      <w:outlineLvl w:val="3"/>
    </w:pPr>
  </w:style>
  <w:style w:type="paragraph" w:customStyle="1" w:styleId="452">
    <w:name w:val="条"/>
    <w:basedOn w:val="2"/>
    <w:autoRedefine/>
    <w:qFormat/>
    <w:uiPriority w:val="99"/>
    <w:pPr>
      <w:widowControl w:val="0"/>
      <w:tabs>
        <w:tab w:val="left" w:pos="1680"/>
      </w:tabs>
      <w:spacing w:before="200" w:after="180" w:line="240" w:lineRule="auto"/>
      <w:ind w:left="1680" w:hanging="1260"/>
    </w:pPr>
    <w:rPr>
      <w:rFonts w:ascii="Arial" w:hAnsi="宋体"/>
      <w:bCs w:val="0"/>
      <w:w w:val="80"/>
      <w:sz w:val="28"/>
      <w:szCs w:val="52"/>
      <w:lang w:val="en-US"/>
    </w:rPr>
  </w:style>
  <w:style w:type="paragraph" w:customStyle="1" w:styleId="453">
    <w:name w:val="Header 2"/>
    <w:basedOn w:val="454"/>
    <w:autoRedefine/>
    <w:qFormat/>
    <w:uiPriority w:val="99"/>
    <w:pPr>
      <w:pBdr>
        <w:bottom w:val="none" w:color="auto" w:sz="0" w:space="0"/>
      </w:pBdr>
      <w:tabs>
        <w:tab w:val="right" w:pos="9029"/>
      </w:tabs>
    </w:pPr>
  </w:style>
  <w:style w:type="paragraph" w:customStyle="1" w:styleId="454">
    <w:name w:val="Header 1"/>
    <w:basedOn w:val="1"/>
    <w:autoRedefine/>
    <w:qFormat/>
    <w:uiPriority w:val="99"/>
    <w:pPr>
      <w:pBdr>
        <w:bottom w:val="single" w:color="auto" w:sz="4" w:space="1"/>
      </w:pBdr>
      <w:tabs>
        <w:tab w:val="right" w:pos="9029"/>
      </w:tabs>
      <w:jc w:val="both"/>
    </w:pPr>
    <w:rPr>
      <w:sz w:val="16"/>
      <w:szCs w:val="20"/>
      <w:lang w:val="en-GB" w:eastAsia="en-US"/>
    </w:rPr>
  </w:style>
  <w:style w:type="paragraph" w:customStyle="1" w:styleId="455">
    <w:name w:val="aoBodyDocumentReference"/>
    <w:basedOn w:val="1"/>
    <w:autoRedefine/>
    <w:qFormat/>
    <w:uiPriority w:val="99"/>
    <w:pPr>
      <w:jc w:val="both"/>
    </w:pPr>
    <w:rPr>
      <w:caps/>
      <w:sz w:val="16"/>
      <w:szCs w:val="20"/>
      <w:lang w:val="en-GB" w:eastAsia="en-US"/>
    </w:rPr>
  </w:style>
  <w:style w:type="paragraph" w:customStyle="1" w:styleId="456">
    <w:name w:val="AOTitle"/>
    <w:basedOn w:val="410"/>
    <w:next w:val="425"/>
    <w:autoRedefine/>
    <w:qFormat/>
    <w:uiPriority w:val="99"/>
    <w:pPr>
      <w:jc w:val="center"/>
    </w:pPr>
    <w:rPr>
      <w:b/>
      <w:caps/>
    </w:rPr>
  </w:style>
  <w:style w:type="paragraph" w:customStyle="1" w:styleId="457">
    <w:name w:val="AODocTxtL7"/>
    <w:basedOn w:val="398"/>
    <w:autoRedefine/>
    <w:qFormat/>
    <w:uiPriority w:val="99"/>
  </w:style>
  <w:style w:type="paragraph" w:customStyle="1" w:styleId="458">
    <w:name w:val="AOLocation"/>
    <w:basedOn w:val="418"/>
    <w:autoRedefine/>
    <w:qFormat/>
    <w:uiPriority w:val="99"/>
  </w:style>
  <w:style w:type="paragraph" w:customStyle="1" w:styleId="459">
    <w:name w:val="aoSpecial"/>
    <w:basedOn w:val="1"/>
    <w:autoRedefine/>
    <w:qFormat/>
    <w:uiPriority w:val="99"/>
    <w:pPr>
      <w:spacing w:before="220" w:after="440"/>
      <w:jc w:val="both"/>
    </w:pPr>
    <w:rPr>
      <w:b/>
      <w:caps/>
      <w:sz w:val="22"/>
      <w:szCs w:val="20"/>
      <w:lang w:val="en-GB" w:eastAsia="en-US"/>
    </w:rPr>
  </w:style>
  <w:style w:type="paragraph" w:customStyle="1" w:styleId="460">
    <w:name w:val="Footer 1"/>
    <w:basedOn w:val="1"/>
    <w:next w:val="1"/>
    <w:autoRedefine/>
    <w:qFormat/>
    <w:uiPriority w:val="99"/>
    <w:pPr>
      <w:pBdr>
        <w:top w:val="single" w:color="auto" w:sz="4" w:space="1"/>
      </w:pBdr>
      <w:jc w:val="both"/>
    </w:pPr>
    <w:rPr>
      <w:sz w:val="16"/>
      <w:szCs w:val="20"/>
      <w:lang w:val="en-GB" w:eastAsia="en-US"/>
    </w:rPr>
  </w:style>
  <w:style w:type="paragraph" w:customStyle="1" w:styleId="461">
    <w:name w:val="AOSchTitle"/>
    <w:basedOn w:val="439"/>
    <w:next w:val="398"/>
    <w:autoRedefine/>
    <w:qFormat/>
    <w:uiPriority w:val="99"/>
    <w:pPr>
      <w:outlineLvl w:val="1"/>
    </w:pPr>
    <w:rPr>
      <w:b/>
    </w:rPr>
  </w:style>
  <w:style w:type="paragraph" w:customStyle="1" w:styleId="462">
    <w:name w:val="AOFPDate"/>
    <w:basedOn w:val="417"/>
    <w:autoRedefine/>
    <w:qFormat/>
    <w:uiPriority w:val="99"/>
    <w:pPr>
      <w:jc w:val="center"/>
    </w:pPr>
    <w:rPr>
      <w:b/>
    </w:rPr>
  </w:style>
  <w:style w:type="paragraph" w:customStyle="1" w:styleId="463">
    <w:name w:val="AOBPTxtR"/>
    <w:basedOn w:val="435"/>
    <w:autoRedefine/>
    <w:qFormat/>
    <w:uiPriority w:val="99"/>
  </w:style>
  <w:style w:type="paragraph" w:customStyle="1" w:styleId="464">
    <w:name w:val="AOSchHead"/>
    <w:basedOn w:val="439"/>
    <w:next w:val="461"/>
    <w:autoRedefine/>
    <w:qFormat/>
    <w:uiPriority w:val="99"/>
    <w:pPr>
      <w:pageBreakBefore/>
      <w:outlineLvl w:val="0"/>
    </w:pPr>
  </w:style>
  <w:style w:type="paragraph" w:customStyle="1" w:styleId="465">
    <w:name w:val="AOBPTitle"/>
    <w:basedOn w:val="435"/>
    <w:autoRedefine/>
    <w:qFormat/>
    <w:uiPriority w:val="99"/>
  </w:style>
  <w:style w:type="paragraph" w:customStyle="1" w:styleId="466">
    <w:name w:val="AOFPTxtCaps"/>
    <w:basedOn w:val="417"/>
    <w:autoRedefine/>
    <w:qFormat/>
    <w:uiPriority w:val="99"/>
    <w:pPr>
      <w:jc w:val="center"/>
    </w:pPr>
    <w:rPr>
      <w:b/>
      <w:caps/>
    </w:rPr>
  </w:style>
  <w:style w:type="paragraph" w:customStyle="1" w:styleId="467">
    <w:name w:val="AOFooterL"/>
    <w:basedOn w:val="397"/>
    <w:autoRedefine/>
    <w:qFormat/>
    <w:uiPriority w:val="99"/>
  </w:style>
  <w:style w:type="paragraph" w:customStyle="1" w:styleId="468">
    <w:name w:val="AOHeaderR"/>
    <w:basedOn w:val="401"/>
    <w:autoRedefine/>
    <w:qFormat/>
    <w:uiPriority w:val="99"/>
  </w:style>
  <w:style w:type="paragraph" w:customStyle="1" w:styleId="469">
    <w:name w:val="AOFooterC"/>
    <w:basedOn w:val="467"/>
    <w:autoRedefine/>
    <w:qFormat/>
    <w:uiPriority w:val="99"/>
    <w:pPr>
      <w:jc w:val="center"/>
    </w:pPr>
    <w:rPr>
      <w:sz w:val="16"/>
    </w:rPr>
  </w:style>
  <w:style w:type="paragraph" w:customStyle="1" w:styleId="470">
    <w:name w:val="AOFooterR"/>
    <w:basedOn w:val="467"/>
    <w:autoRedefine/>
    <w:qFormat/>
    <w:uiPriority w:val="99"/>
    <w:pPr>
      <w:jc w:val="right"/>
    </w:pPr>
    <w:rPr>
      <w:sz w:val="16"/>
    </w:rPr>
  </w:style>
  <w:style w:type="paragraph" w:customStyle="1" w:styleId="471">
    <w:name w:val="AOSchPartTitle"/>
    <w:basedOn w:val="461"/>
    <w:next w:val="398"/>
    <w:autoRedefine/>
    <w:qFormat/>
    <w:uiPriority w:val="99"/>
  </w:style>
  <w:style w:type="paragraph" w:customStyle="1" w:styleId="472">
    <w:name w:val="AOSignatory"/>
    <w:basedOn w:val="396"/>
    <w:next w:val="398"/>
    <w:autoRedefine/>
    <w:qFormat/>
    <w:uiPriority w:val="99"/>
    <w:pPr>
      <w:pageBreakBefore/>
      <w:spacing w:before="240" w:after="240"/>
      <w:jc w:val="center"/>
    </w:pPr>
    <w:rPr>
      <w:b/>
      <w:caps/>
    </w:rPr>
  </w:style>
  <w:style w:type="paragraph" w:customStyle="1" w:styleId="473">
    <w:name w:val="AODefHead"/>
    <w:basedOn w:val="396"/>
    <w:next w:val="474"/>
    <w:autoRedefine/>
    <w:qFormat/>
    <w:uiPriority w:val="99"/>
    <w:pPr>
      <w:tabs>
        <w:tab w:val="left" w:pos="720"/>
      </w:tabs>
      <w:spacing w:before="240"/>
      <w:ind w:left="720" w:hanging="720"/>
      <w:outlineLvl w:val="5"/>
    </w:pPr>
  </w:style>
  <w:style w:type="paragraph" w:customStyle="1" w:styleId="474">
    <w:name w:val="AODefPara"/>
    <w:basedOn w:val="473"/>
    <w:autoRedefine/>
    <w:qFormat/>
    <w:uiPriority w:val="99"/>
    <w:pPr>
      <w:tabs>
        <w:tab w:val="left" w:pos="360"/>
        <w:tab w:val="clear" w:pos="720"/>
      </w:tabs>
      <w:outlineLvl w:val="6"/>
    </w:pPr>
  </w:style>
  <w:style w:type="paragraph" w:customStyle="1" w:styleId="475">
    <w:name w:val="AODocTxtL8"/>
    <w:basedOn w:val="398"/>
    <w:autoRedefine/>
    <w:qFormat/>
    <w:uiPriority w:val="99"/>
  </w:style>
  <w:style w:type="paragraph" w:customStyle="1" w:styleId="476">
    <w:name w:val="AO(A)"/>
    <w:basedOn w:val="396"/>
    <w:next w:val="398"/>
    <w:autoRedefine/>
    <w:qFormat/>
    <w:uiPriority w:val="99"/>
    <w:pPr>
      <w:spacing w:before="240"/>
      <w:ind w:left="720" w:hanging="720"/>
    </w:pPr>
  </w:style>
  <w:style w:type="paragraph" w:customStyle="1" w:styleId="477">
    <w:name w:val="AOSchPartHead"/>
    <w:basedOn w:val="464"/>
    <w:next w:val="471"/>
    <w:autoRedefine/>
    <w:qFormat/>
    <w:uiPriority w:val="99"/>
    <w:pPr>
      <w:pageBreakBefore w:val="0"/>
      <w:tabs>
        <w:tab w:val="left" w:pos="360"/>
      </w:tabs>
    </w:pPr>
  </w:style>
  <w:style w:type="paragraph" w:customStyle="1" w:styleId="478">
    <w:name w:val="AOGenNum2"/>
    <w:basedOn w:val="396"/>
    <w:next w:val="479"/>
    <w:autoRedefine/>
    <w:qFormat/>
    <w:uiPriority w:val="99"/>
    <w:pPr>
      <w:keepNext/>
      <w:spacing w:before="240"/>
      <w:ind w:left="2880"/>
    </w:pPr>
    <w:rPr>
      <w:b/>
    </w:rPr>
  </w:style>
  <w:style w:type="paragraph" w:customStyle="1" w:styleId="479">
    <w:name w:val="AOGenNum2Para"/>
    <w:basedOn w:val="478"/>
    <w:next w:val="480"/>
    <w:autoRedefine/>
    <w:qFormat/>
    <w:uiPriority w:val="99"/>
    <w:pPr>
      <w:keepNext w:val="0"/>
      <w:tabs>
        <w:tab w:val="left" w:pos="360"/>
      </w:tabs>
      <w:ind w:left="0"/>
    </w:pPr>
    <w:rPr>
      <w:b w:val="0"/>
    </w:rPr>
  </w:style>
  <w:style w:type="paragraph" w:customStyle="1" w:styleId="480">
    <w:name w:val="AOGenNum2List"/>
    <w:basedOn w:val="478"/>
    <w:autoRedefine/>
    <w:qFormat/>
    <w:uiPriority w:val="99"/>
    <w:pPr>
      <w:keepNext w:val="0"/>
      <w:tabs>
        <w:tab w:val="left" w:pos="360"/>
      </w:tabs>
      <w:ind w:left="0"/>
    </w:pPr>
    <w:rPr>
      <w:b w:val="0"/>
    </w:rPr>
  </w:style>
  <w:style w:type="paragraph" w:customStyle="1" w:styleId="481">
    <w:name w:val="AOGenNum3"/>
    <w:basedOn w:val="396"/>
    <w:next w:val="482"/>
    <w:autoRedefine/>
    <w:qFormat/>
    <w:uiPriority w:val="99"/>
    <w:pPr>
      <w:spacing w:before="240"/>
      <w:ind w:left="5040"/>
    </w:pPr>
  </w:style>
  <w:style w:type="paragraph" w:customStyle="1" w:styleId="482">
    <w:name w:val="AOGenNum3List"/>
    <w:basedOn w:val="481"/>
    <w:autoRedefine/>
    <w:qFormat/>
    <w:uiPriority w:val="99"/>
  </w:style>
  <w:style w:type="paragraph" w:customStyle="1" w:styleId="483">
    <w:name w:val="AOAltHead1"/>
    <w:basedOn w:val="438"/>
    <w:next w:val="407"/>
    <w:autoRedefine/>
    <w:qFormat/>
    <w:uiPriority w:val="99"/>
    <w:pPr>
      <w:keepNext w:val="0"/>
    </w:pPr>
    <w:rPr>
      <w:b/>
      <w:caps w:val="0"/>
    </w:rPr>
  </w:style>
  <w:style w:type="paragraph" w:customStyle="1" w:styleId="484">
    <w:name w:val="AOAltHead2"/>
    <w:basedOn w:val="388"/>
    <w:next w:val="407"/>
    <w:autoRedefine/>
    <w:qFormat/>
    <w:uiPriority w:val="99"/>
  </w:style>
  <w:style w:type="paragraph" w:customStyle="1" w:styleId="485">
    <w:name w:val="AOAltHead4"/>
    <w:basedOn w:val="451"/>
    <w:next w:val="421"/>
    <w:autoRedefine/>
    <w:qFormat/>
    <w:uiPriority w:val="99"/>
    <w:pPr>
      <w:ind w:left="1440"/>
    </w:pPr>
  </w:style>
  <w:style w:type="paragraph" w:customStyle="1" w:styleId="486">
    <w:name w:val="AOHead"/>
    <w:basedOn w:val="410"/>
    <w:next w:val="438"/>
    <w:autoRedefine/>
    <w:qFormat/>
    <w:uiPriority w:val="99"/>
    <w:pPr>
      <w:keepNext/>
      <w:pageBreakBefore/>
      <w:tabs>
        <w:tab w:val="left" w:pos="3600"/>
      </w:tabs>
      <w:ind w:left="3600" w:hanging="720"/>
      <w:jc w:val="center"/>
      <w:outlineLvl w:val="0"/>
    </w:pPr>
    <w:rPr>
      <w:b/>
      <w:caps/>
      <w:kern w:val="28"/>
    </w:rPr>
  </w:style>
  <w:style w:type="paragraph" w:customStyle="1" w:styleId="487">
    <w:name w:val="ct"/>
    <w:basedOn w:val="1"/>
    <w:autoRedefine/>
    <w:qFormat/>
    <w:uiPriority w:val="99"/>
    <w:pPr>
      <w:widowControl w:val="0"/>
      <w:spacing w:before="240"/>
      <w:jc w:val="center"/>
    </w:pPr>
    <w:rPr>
      <w:rFonts w:ascii="Palatino" w:hAnsi="Palatino"/>
      <w:b/>
      <w:sz w:val="28"/>
      <w:szCs w:val="20"/>
    </w:rPr>
  </w:style>
  <w:style w:type="paragraph" w:customStyle="1" w:styleId="488">
    <w:name w:val="Level (I)fo"/>
    <w:basedOn w:val="1"/>
    <w:autoRedefine/>
    <w:qFormat/>
    <w:uiPriority w:val="99"/>
    <w:pPr>
      <w:spacing w:before="240"/>
      <w:ind w:left="3600"/>
    </w:pPr>
    <w:rPr>
      <w:rFonts w:ascii="Palatino" w:hAnsi="Palatino"/>
      <w:sz w:val="22"/>
      <w:szCs w:val="20"/>
      <w:lang w:val="en-AU"/>
    </w:rPr>
  </w:style>
  <w:style w:type="paragraph" w:customStyle="1" w:styleId="489">
    <w:name w:val="Style2"/>
    <w:basedOn w:val="1"/>
    <w:autoRedefine/>
    <w:qFormat/>
    <w:uiPriority w:val="99"/>
    <w:pPr>
      <w:keepNext/>
      <w:spacing w:after="240"/>
      <w:ind w:left="720"/>
      <w:jc w:val="both"/>
    </w:pPr>
    <w:rPr>
      <w:rFonts w:eastAsia="BatangChe"/>
      <w:b/>
      <w:sz w:val="22"/>
      <w:szCs w:val="20"/>
      <w:lang w:val="en-GB" w:eastAsia="ko-KR"/>
    </w:rPr>
  </w:style>
  <w:style w:type="paragraph" w:customStyle="1" w:styleId="490">
    <w:name w:val="Level(I)"/>
    <w:basedOn w:val="1"/>
    <w:next w:val="488"/>
    <w:autoRedefine/>
    <w:qFormat/>
    <w:uiPriority w:val="99"/>
    <w:pPr>
      <w:tabs>
        <w:tab w:val="left" w:pos="3600"/>
      </w:tabs>
      <w:spacing w:before="240"/>
      <w:ind w:left="3600" w:hanging="720"/>
      <w:outlineLvl w:val="6"/>
    </w:pPr>
    <w:rPr>
      <w:rFonts w:ascii="Palatino" w:hAnsi="Palatino"/>
      <w:sz w:val="22"/>
      <w:szCs w:val="20"/>
      <w:lang w:val="en-AU"/>
    </w:rPr>
  </w:style>
  <w:style w:type="paragraph" w:customStyle="1" w:styleId="491">
    <w:name w:val="Table of Contents"/>
    <w:basedOn w:val="48"/>
    <w:autoRedefine/>
    <w:qFormat/>
    <w:uiPriority w:val="99"/>
    <w:pPr>
      <w:spacing w:after="480"/>
    </w:pPr>
    <w:rPr>
      <w:rFonts w:ascii="B Frutiger Bold" w:hAnsi="B Frutiger Bold"/>
      <w:bCs w:val="0"/>
      <w:kern w:val="0"/>
      <w:sz w:val="24"/>
      <w:szCs w:val="20"/>
      <w:lang w:val="en-AU"/>
    </w:rPr>
  </w:style>
  <w:style w:type="paragraph" w:customStyle="1" w:styleId="492">
    <w:name w:val="yu"/>
    <w:basedOn w:val="1"/>
    <w:autoRedefine/>
    <w:qFormat/>
    <w:uiPriority w:val="99"/>
    <w:pPr>
      <w:widowControl w:val="0"/>
      <w:autoSpaceDE w:val="0"/>
      <w:autoSpaceDN w:val="0"/>
      <w:adjustRightInd w:val="0"/>
      <w:spacing w:before="120" w:after="120" w:line="360" w:lineRule="atLeast"/>
      <w:ind w:left="720" w:firstLine="533"/>
      <w:jc w:val="both"/>
    </w:pPr>
    <w:rPr>
      <w:rFonts w:ascii="宋体"/>
    </w:rPr>
  </w:style>
  <w:style w:type="paragraph" w:customStyle="1" w:styleId="493">
    <w:name w:val="Char Char Char1"/>
    <w:basedOn w:val="1"/>
    <w:autoRedefine/>
    <w:qFormat/>
    <w:uiPriority w:val="99"/>
    <w:pPr>
      <w:widowControl w:val="0"/>
      <w:jc w:val="both"/>
    </w:pPr>
    <w:rPr>
      <w:rFonts w:ascii="Tahoma" w:hAnsi="Tahoma"/>
      <w:kern w:val="2"/>
      <w:szCs w:val="20"/>
    </w:rPr>
  </w:style>
  <w:style w:type="paragraph" w:customStyle="1" w:styleId="494">
    <w:name w:val="CM122"/>
    <w:basedOn w:val="1"/>
    <w:next w:val="1"/>
    <w:autoRedefine/>
    <w:qFormat/>
    <w:uiPriority w:val="99"/>
    <w:pPr>
      <w:widowControl w:val="0"/>
      <w:autoSpaceDE w:val="0"/>
      <w:autoSpaceDN w:val="0"/>
      <w:adjustRightInd w:val="0"/>
      <w:spacing w:after="733"/>
    </w:pPr>
    <w:rPr>
      <w:rFonts w:ascii="隶书" w:eastAsia="隶书"/>
    </w:rPr>
  </w:style>
  <w:style w:type="paragraph" w:customStyle="1" w:styleId="495">
    <w:name w:val="OmniPage #77"/>
    <w:autoRedefine/>
    <w:qFormat/>
    <w:uiPriority w:val="99"/>
    <w:pPr>
      <w:widowControl w:val="0"/>
      <w:tabs>
        <w:tab w:val="left" w:pos="2352"/>
        <w:tab w:val="left" w:pos="2502"/>
        <w:tab w:val="left" w:pos="2746"/>
        <w:tab w:val="right" w:pos="8376"/>
      </w:tabs>
      <w:suppressAutoHyphens/>
      <w:spacing w:line="222" w:lineRule="exact"/>
    </w:pPr>
    <w:rPr>
      <w:rFonts w:ascii="Courier" w:hAnsi="Courier" w:eastAsia="宋体" w:cs="Times New Roman"/>
      <w:snapToGrid w:val="0"/>
      <w:sz w:val="24"/>
      <w:lang w:val="en-US" w:eastAsia="ko-KR" w:bidi="ar-SA"/>
    </w:rPr>
  </w:style>
  <w:style w:type="character" w:customStyle="1" w:styleId="496">
    <w:name w:val="脚注文本 字符"/>
    <w:link w:val="40"/>
    <w:autoRedefine/>
    <w:semiHidden/>
    <w:qFormat/>
    <w:uiPriority w:val="0"/>
    <w:rPr>
      <w:kern w:val="2"/>
      <w:sz w:val="18"/>
      <w:szCs w:val="18"/>
    </w:rPr>
  </w:style>
  <w:style w:type="paragraph" w:customStyle="1" w:styleId="497">
    <w:name w:val="font0"/>
    <w:basedOn w:val="1"/>
    <w:autoRedefine/>
    <w:qFormat/>
    <w:uiPriority w:val="99"/>
    <w:pPr>
      <w:spacing w:before="100" w:beforeAutospacing="1" w:after="100" w:afterAutospacing="1"/>
    </w:pPr>
    <w:rPr>
      <w:rFonts w:ascii="宋体" w:hAnsi="宋体" w:cs="宋体"/>
      <w:color w:val="000000"/>
      <w:sz w:val="22"/>
      <w:szCs w:val="22"/>
    </w:rPr>
  </w:style>
  <w:style w:type="paragraph" w:customStyle="1" w:styleId="498">
    <w:name w:val="font5"/>
    <w:basedOn w:val="1"/>
    <w:autoRedefine/>
    <w:qFormat/>
    <w:uiPriority w:val="99"/>
    <w:pPr>
      <w:spacing w:before="100" w:beforeAutospacing="1" w:after="100" w:afterAutospacing="1"/>
    </w:pPr>
    <w:rPr>
      <w:rFonts w:ascii="宋体" w:hAnsi="宋体" w:cs="宋体"/>
      <w:sz w:val="18"/>
      <w:szCs w:val="18"/>
    </w:rPr>
  </w:style>
  <w:style w:type="paragraph" w:customStyle="1" w:styleId="499">
    <w:name w:val="font6"/>
    <w:basedOn w:val="1"/>
    <w:autoRedefine/>
    <w:qFormat/>
    <w:uiPriority w:val="99"/>
    <w:pPr>
      <w:spacing w:before="100" w:beforeAutospacing="1" w:after="100" w:afterAutospacing="1"/>
    </w:pPr>
    <w:rPr>
      <w:rFonts w:ascii="宋体" w:hAnsi="宋体" w:cs="宋体"/>
      <w:color w:val="000000"/>
      <w:sz w:val="22"/>
      <w:szCs w:val="22"/>
    </w:rPr>
  </w:style>
  <w:style w:type="paragraph" w:customStyle="1" w:styleId="500">
    <w:name w:val="font7"/>
    <w:basedOn w:val="1"/>
    <w:autoRedefine/>
    <w:qFormat/>
    <w:uiPriority w:val="99"/>
    <w:pPr>
      <w:spacing w:before="100" w:beforeAutospacing="1" w:after="100" w:afterAutospacing="1"/>
    </w:pPr>
    <w:rPr>
      <w:rFonts w:ascii="宋体" w:hAnsi="宋体" w:cs="宋体"/>
      <w:color w:val="000000"/>
      <w:sz w:val="22"/>
      <w:szCs w:val="22"/>
    </w:rPr>
  </w:style>
  <w:style w:type="paragraph" w:customStyle="1" w:styleId="501">
    <w:name w:val="font8"/>
    <w:basedOn w:val="1"/>
    <w:autoRedefine/>
    <w:qFormat/>
    <w:uiPriority w:val="99"/>
    <w:pPr>
      <w:spacing w:before="100" w:beforeAutospacing="1" w:after="100" w:afterAutospacing="1"/>
    </w:pPr>
    <w:rPr>
      <w:rFonts w:ascii="宋体" w:hAnsi="宋体" w:cs="宋体"/>
      <w:color w:val="000000"/>
      <w:sz w:val="22"/>
      <w:szCs w:val="22"/>
    </w:rPr>
  </w:style>
  <w:style w:type="paragraph" w:customStyle="1" w:styleId="502">
    <w:name w:val="xl63"/>
    <w:basedOn w:val="1"/>
    <w:autoRedefine/>
    <w:qFormat/>
    <w:uiPriority w:val="99"/>
    <w:pPr>
      <w:spacing w:before="100" w:beforeAutospacing="1" w:after="100" w:afterAutospacing="1"/>
      <w:jc w:val="center"/>
    </w:pPr>
    <w:rPr>
      <w:rFonts w:ascii="宋体" w:hAnsi="宋体" w:cs="宋体"/>
    </w:rPr>
  </w:style>
  <w:style w:type="paragraph" w:customStyle="1" w:styleId="503">
    <w:name w:val="xl64"/>
    <w:basedOn w:val="1"/>
    <w:autoRedefine/>
    <w:qFormat/>
    <w:uiPriority w:val="99"/>
    <w:pPr>
      <w:spacing w:before="100" w:beforeAutospacing="1" w:after="100" w:afterAutospacing="1"/>
    </w:pPr>
    <w:rPr>
      <w:rFonts w:ascii="宋体" w:hAnsi="宋体" w:cs="宋体"/>
    </w:rPr>
  </w:style>
  <w:style w:type="paragraph" w:customStyle="1" w:styleId="504">
    <w:name w:val="xl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05">
    <w:name w:val="xl6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06">
    <w:name w:val="xl6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07">
    <w:name w:val="xl6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08">
    <w:name w:val="xl69"/>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09">
    <w:name w:val="xl7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0">
    <w:name w:val="xl71"/>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1">
    <w:name w:val="xl7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2">
    <w:name w:val="xl73"/>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3">
    <w:name w:val="xl74"/>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4">
    <w:name w:val="xl75"/>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5">
    <w:name w:val="xl76"/>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6">
    <w:name w:val="xl7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7">
    <w:name w:val="xl7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8">
    <w:name w:val="xl79"/>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9">
    <w:name w:val="xl8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character" w:customStyle="1" w:styleId="520">
    <w:name w:val="纯文本 Char2"/>
    <w:autoRedefine/>
    <w:semiHidden/>
    <w:qFormat/>
    <w:uiPriority w:val="99"/>
    <w:rPr>
      <w:rFonts w:ascii="宋体" w:hAnsi="Courier New" w:cs="Courier New"/>
      <w:kern w:val="2"/>
      <w:sz w:val="21"/>
      <w:szCs w:val="21"/>
    </w:rPr>
  </w:style>
  <w:style w:type="character" w:customStyle="1" w:styleId="521">
    <w:name w:val="页脚 Char1"/>
    <w:autoRedefine/>
    <w:semiHidden/>
    <w:qFormat/>
    <w:uiPriority w:val="99"/>
    <w:rPr>
      <w:kern w:val="2"/>
      <w:sz w:val="18"/>
      <w:szCs w:val="18"/>
    </w:rPr>
  </w:style>
  <w:style w:type="character" w:customStyle="1" w:styleId="522">
    <w:name w:val="正文文本缩进 2 Char1"/>
    <w:autoRedefine/>
    <w:semiHidden/>
    <w:qFormat/>
    <w:uiPriority w:val="99"/>
    <w:rPr>
      <w:kern w:val="2"/>
      <w:sz w:val="21"/>
      <w:szCs w:val="22"/>
    </w:rPr>
  </w:style>
  <w:style w:type="character" w:customStyle="1" w:styleId="523">
    <w:name w:val="页眉 Char1"/>
    <w:autoRedefine/>
    <w:semiHidden/>
    <w:qFormat/>
    <w:uiPriority w:val="99"/>
    <w:rPr>
      <w:kern w:val="2"/>
      <w:sz w:val="18"/>
      <w:szCs w:val="18"/>
    </w:rPr>
  </w:style>
  <w:style w:type="character" w:customStyle="1" w:styleId="524">
    <w:name w:val="正文文本缩进 Char2"/>
    <w:autoRedefine/>
    <w:semiHidden/>
    <w:qFormat/>
    <w:uiPriority w:val="99"/>
    <w:rPr>
      <w:kern w:val="2"/>
      <w:sz w:val="21"/>
      <w:szCs w:val="22"/>
    </w:rPr>
  </w:style>
  <w:style w:type="character" w:customStyle="1" w:styleId="525">
    <w:name w:val="_图片 Char"/>
    <w:link w:val="526"/>
    <w:autoRedefine/>
    <w:qFormat/>
    <w:uiPriority w:val="99"/>
    <w:rPr>
      <w:sz w:val="24"/>
    </w:rPr>
  </w:style>
  <w:style w:type="paragraph" w:customStyle="1" w:styleId="526">
    <w:name w:val="_图片"/>
    <w:basedOn w:val="1"/>
    <w:link w:val="525"/>
    <w:autoRedefine/>
    <w:qFormat/>
    <w:uiPriority w:val="99"/>
    <w:pPr>
      <w:widowControl w:val="0"/>
      <w:spacing w:afterLines="50"/>
      <w:jc w:val="center"/>
    </w:pPr>
    <w:rPr>
      <w:szCs w:val="20"/>
    </w:rPr>
  </w:style>
  <w:style w:type="paragraph" w:customStyle="1" w:styleId="527">
    <w:name w:val="修订1"/>
    <w:autoRedefine/>
    <w:hidden/>
    <w:unhideWhenUsed/>
    <w:qFormat/>
    <w:uiPriority w:val="99"/>
    <w:rPr>
      <w:rFonts w:ascii="Times New Roman" w:hAnsi="Times New Roman" w:eastAsia="宋体" w:cs="Times New Roman"/>
      <w:color w:val="000000"/>
      <w:sz w:val="24"/>
      <w:lang w:val="en-US" w:eastAsia="zh-CN" w:bidi="ar-SA"/>
    </w:rPr>
  </w:style>
  <w:style w:type="character" w:customStyle="1" w:styleId="528">
    <w:name w:val="正文 第五章 中间"/>
    <w:autoRedefine/>
    <w:qFormat/>
    <w:uiPriority w:val="99"/>
    <w:rPr>
      <w:b/>
      <w:bCs/>
      <w:color w:val="000000"/>
      <w:sz w:val="32"/>
    </w:rPr>
  </w:style>
  <w:style w:type="paragraph" w:customStyle="1" w:styleId="529">
    <w:name w:val="列出段落11"/>
    <w:basedOn w:val="1"/>
    <w:autoRedefine/>
    <w:qFormat/>
    <w:uiPriority w:val="99"/>
    <w:pPr>
      <w:widowControl w:val="0"/>
      <w:ind w:firstLine="420" w:firstLineChars="200"/>
      <w:jc w:val="both"/>
    </w:pPr>
    <w:rPr>
      <w:rFonts w:ascii="Calibri" w:hAnsi="Calibri" w:cs="Calibri"/>
      <w:kern w:val="2"/>
      <w:sz w:val="21"/>
      <w:szCs w:val="21"/>
    </w:rPr>
  </w:style>
  <w:style w:type="character" w:customStyle="1" w:styleId="530">
    <w:name w:val="列出段落 Char"/>
    <w:link w:val="385"/>
    <w:autoRedefine/>
    <w:qFormat/>
    <w:locked/>
    <w:uiPriority w:val="34"/>
    <w:rPr>
      <w:rFonts w:ascii="Calibri" w:hAnsi="Calibri"/>
      <w:kern w:val="2"/>
      <w:sz w:val="21"/>
      <w:szCs w:val="22"/>
      <w:lang w:val="sq-AL"/>
    </w:rPr>
  </w:style>
  <w:style w:type="character" w:customStyle="1" w:styleId="531">
    <w:name w:val="Footer Char"/>
    <w:autoRedefine/>
    <w:qFormat/>
    <w:locked/>
    <w:uiPriority w:val="0"/>
    <w:rPr>
      <w:rFonts w:ascii="Times New Roman" w:hAnsi="Times New Roman" w:eastAsia="仿宋_GB2312" w:cs="Times New Roman"/>
      <w:sz w:val="18"/>
      <w:szCs w:val="18"/>
      <w:lang w:val="sq-AL"/>
    </w:rPr>
  </w:style>
  <w:style w:type="character" w:customStyle="1" w:styleId="532">
    <w:name w:val="Header Char"/>
    <w:autoRedefine/>
    <w:qFormat/>
    <w:locked/>
    <w:uiPriority w:val="0"/>
    <w:rPr>
      <w:rFonts w:cs="Times New Roman"/>
      <w:sz w:val="18"/>
      <w:szCs w:val="18"/>
    </w:rPr>
  </w:style>
  <w:style w:type="paragraph" w:customStyle="1" w:styleId="533">
    <w:name w:val="列出段落12"/>
    <w:basedOn w:val="1"/>
    <w:autoRedefine/>
    <w:qFormat/>
    <w:uiPriority w:val="99"/>
    <w:pPr>
      <w:widowControl w:val="0"/>
      <w:ind w:firstLine="420" w:firstLineChars="200"/>
      <w:jc w:val="both"/>
    </w:pPr>
    <w:rPr>
      <w:rFonts w:ascii="Calibri" w:hAnsi="Calibri"/>
      <w:kern w:val="2"/>
      <w:sz w:val="22"/>
      <w:szCs w:val="22"/>
    </w:rPr>
  </w:style>
  <w:style w:type="paragraph" w:customStyle="1" w:styleId="534">
    <w:name w:val="修订11"/>
    <w:autoRedefine/>
    <w:qFormat/>
    <w:uiPriority w:val="99"/>
    <w:rPr>
      <w:rFonts w:ascii="Times New Roman" w:hAnsi="Times New Roman" w:eastAsia="宋体" w:cs="Times New Roman"/>
      <w:color w:val="000000"/>
      <w:sz w:val="24"/>
      <w:szCs w:val="24"/>
      <w:lang w:val="en-US" w:eastAsia="zh-CN" w:bidi="ar-SA"/>
    </w:rPr>
  </w:style>
  <w:style w:type="paragraph" w:customStyle="1" w:styleId="535">
    <w:name w:val="列出段落3"/>
    <w:basedOn w:val="1"/>
    <w:autoRedefine/>
    <w:qFormat/>
    <w:uiPriority w:val="0"/>
    <w:pPr>
      <w:widowControl w:val="0"/>
      <w:ind w:firstLine="420" w:firstLineChars="200"/>
      <w:jc w:val="both"/>
    </w:pPr>
    <w:rPr>
      <w:rFonts w:ascii="Calibri" w:hAnsi="Calibri" w:cs="Calibri"/>
      <w:kern w:val="2"/>
      <w:sz w:val="21"/>
      <w:szCs w:val="21"/>
    </w:rPr>
  </w:style>
  <w:style w:type="paragraph" w:customStyle="1" w:styleId="536">
    <w:name w:val="2"/>
    <w:basedOn w:val="1"/>
    <w:autoRedefine/>
    <w:semiHidden/>
    <w:qFormat/>
    <w:uiPriority w:val="0"/>
    <w:pPr>
      <w:widowControl w:val="0"/>
      <w:jc w:val="both"/>
    </w:pPr>
    <w:rPr>
      <w:kern w:val="2"/>
      <w:sz w:val="21"/>
      <w:szCs w:val="21"/>
    </w:rPr>
  </w:style>
  <w:style w:type="table" w:customStyle="1" w:styleId="537">
    <w:name w:val="网格型2"/>
    <w:basedOn w:val="5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8">
    <w:name w:val="Style1"/>
    <w:basedOn w:val="2"/>
    <w:autoRedefine/>
    <w:qFormat/>
    <w:uiPriority w:val="0"/>
    <w:pPr>
      <w:keepLines w:val="0"/>
      <w:tabs>
        <w:tab w:val="left" w:pos="360"/>
      </w:tabs>
      <w:autoSpaceDE w:val="0"/>
      <w:autoSpaceDN w:val="0"/>
      <w:adjustRightInd w:val="0"/>
      <w:spacing w:beforeLines="100" w:afterLines="50" w:line="360" w:lineRule="auto"/>
      <w:outlineLvl w:val="9"/>
    </w:pPr>
    <w:rPr>
      <w:rFonts w:ascii="宋体" w:hAnsi="CG Times" w:eastAsia="宋体"/>
      <w:b/>
      <w:bCs w:val="0"/>
      <w:kern w:val="0"/>
      <w:sz w:val="36"/>
      <w:szCs w:val="20"/>
      <w:lang w:val="en-US"/>
    </w:rPr>
  </w:style>
  <w:style w:type="paragraph" w:customStyle="1" w:styleId="539">
    <w:name w:val="正文一级"/>
    <w:basedOn w:val="1"/>
    <w:autoRedefine/>
    <w:qFormat/>
    <w:uiPriority w:val="0"/>
    <w:pPr>
      <w:autoSpaceDE w:val="0"/>
      <w:autoSpaceDN w:val="0"/>
      <w:adjustRightInd w:val="0"/>
      <w:spacing w:beforeLines="50" w:after="120" w:line="360" w:lineRule="auto"/>
      <w:ind w:left="567" w:right="-11"/>
      <w:jc w:val="both"/>
    </w:pPr>
    <w:rPr>
      <w:rFonts w:ascii="宋体" w:hAnsi="CG Times"/>
      <w:szCs w:val="20"/>
    </w:rPr>
  </w:style>
  <w:style w:type="paragraph" w:customStyle="1" w:styleId="540">
    <w:name w:val="s19qjli960sb120sa120sl36"/>
    <w:autoRedefine/>
    <w:qFormat/>
    <w:uiPriority w:val="0"/>
    <w:pPr>
      <w:widowControl w:val="0"/>
      <w:autoSpaceDE w:val="0"/>
      <w:autoSpaceDN w:val="0"/>
      <w:adjustRightInd w:val="0"/>
    </w:pPr>
    <w:rPr>
      <w:rFonts w:ascii="仿宋体" w:hAnsi="Times New Roman" w:eastAsia="仿宋体" w:cs="Times New Roman"/>
      <w:lang w:val="en-US" w:eastAsia="zh-CN" w:bidi="ar-SA"/>
    </w:rPr>
  </w:style>
  <w:style w:type="paragraph" w:customStyle="1" w:styleId="541">
    <w:name w:val="Body Text 21"/>
    <w:basedOn w:val="1"/>
    <w:autoRedefine/>
    <w:qFormat/>
    <w:uiPriority w:val="0"/>
    <w:pPr>
      <w:widowControl w:val="0"/>
      <w:spacing w:beforeLines="50" w:line="360" w:lineRule="auto"/>
      <w:jc w:val="both"/>
    </w:pPr>
    <w:rPr>
      <w:rFonts w:ascii="Arial" w:hAnsi="Arial"/>
      <w:szCs w:val="20"/>
    </w:rPr>
  </w:style>
  <w:style w:type="paragraph" w:customStyle="1" w:styleId="542">
    <w:name w:val="样式 左侧:  1.27 厘米 段前: 6 磅 段后: 7.8 磅"/>
    <w:basedOn w:val="1"/>
    <w:autoRedefine/>
    <w:qFormat/>
    <w:uiPriority w:val="0"/>
    <w:pPr>
      <w:widowControl w:val="0"/>
      <w:spacing w:before="120" w:after="156"/>
      <w:ind w:left="720"/>
      <w:jc w:val="both"/>
    </w:pPr>
    <w:rPr>
      <w:rFonts w:cs="宋体"/>
      <w:kern w:val="2"/>
      <w:szCs w:val="20"/>
    </w:rPr>
  </w:style>
  <w:style w:type="character" w:customStyle="1" w:styleId="543">
    <w:name w:val="未命名11"/>
    <w:autoRedefine/>
    <w:qFormat/>
    <w:uiPriority w:val="0"/>
    <w:rPr>
      <w:rFonts w:hint="eastAsia" w:ascii="宋体" w:hAnsi="宋体" w:eastAsia="宋体"/>
      <w:sz w:val="18"/>
      <w:szCs w:val="18"/>
    </w:rPr>
  </w:style>
  <w:style w:type="paragraph" w:customStyle="1" w:styleId="544">
    <w:name w:val="样式 标题2"/>
    <w:basedOn w:val="3"/>
    <w:next w:val="1"/>
    <w:autoRedefine/>
    <w:qFormat/>
    <w:uiPriority w:val="0"/>
    <w:pPr>
      <w:keepNext w:val="0"/>
      <w:keepLines w:val="0"/>
      <w:autoSpaceDE w:val="0"/>
      <w:autoSpaceDN w:val="0"/>
      <w:adjustRightInd w:val="0"/>
      <w:spacing w:after="260" w:afterLines="100" w:line="360" w:lineRule="auto"/>
      <w:jc w:val="both"/>
    </w:pPr>
    <w:rPr>
      <w:rFonts w:ascii="宋体" w:hAnsi="CG Times" w:eastAsia="宋体" w:cs="宋体"/>
      <w:b/>
      <w:bCs w:val="0"/>
      <w:kern w:val="0"/>
      <w:szCs w:val="20"/>
      <w:lang w:val="en-US"/>
    </w:rPr>
  </w:style>
  <w:style w:type="paragraph" w:customStyle="1" w:styleId="545">
    <w:name w:val="正文二级"/>
    <w:basedOn w:val="1"/>
    <w:autoRedefine/>
    <w:qFormat/>
    <w:uiPriority w:val="0"/>
    <w:pPr>
      <w:widowControl w:val="0"/>
      <w:spacing w:beforeLines="50" w:afterLines="50" w:line="360" w:lineRule="auto"/>
      <w:ind w:left="720" w:leftChars="300"/>
      <w:jc w:val="both"/>
    </w:pPr>
    <w:rPr>
      <w:rFonts w:ascii="CG Times" w:hAnsi="CG Times"/>
      <w:kern w:val="2"/>
      <w:szCs w:val="20"/>
    </w:rPr>
  </w:style>
  <w:style w:type="paragraph" w:customStyle="1" w:styleId="546">
    <w:name w:val="List ALPHA CAPS 1"/>
    <w:basedOn w:val="1"/>
    <w:autoRedefine/>
    <w:qFormat/>
    <w:uiPriority w:val="0"/>
    <w:pPr>
      <w:numPr>
        <w:ilvl w:val="0"/>
        <w:numId w:val="4"/>
      </w:numPr>
      <w:spacing w:after="240" w:line="288" w:lineRule="auto"/>
      <w:ind w:firstLine="0"/>
      <w:jc w:val="both"/>
    </w:pPr>
    <w:rPr>
      <w:rFonts w:ascii="CG Times" w:hAnsi="CG Times"/>
      <w:sz w:val="22"/>
      <w:szCs w:val="20"/>
      <w:lang w:eastAsia="en-US"/>
    </w:rPr>
  </w:style>
  <w:style w:type="paragraph" w:customStyle="1" w:styleId="547">
    <w:name w:val="List ALPHA CAPS 2"/>
    <w:basedOn w:val="1"/>
    <w:autoRedefine/>
    <w:qFormat/>
    <w:uiPriority w:val="0"/>
    <w:pPr>
      <w:numPr>
        <w:ilvl w:val="1"/>
        <w:numId w:val="4"/>
      </w:numPr>
      <w:spacing w:after="240" w:line="288" w:lineRule="auto"/>
      <w:ind w:firstLine="0"/>
      <w:jc w:val="both"/>
    </w:pPr>
    <w:rPr>
      <w:rFonts w:ascii="CG Times" w:hAnsi="CG Times"/>
      <w:sz w:val="22"/>
      <w:szCs w:val="20"/>
      <w:lang w:eastAsia="en-US"/>
    </w:rPr>
  </w:style>
  <w:style w:type="paragraph" w:customStyle="1" w:styleId="548">
    <w:name w:val="List ALPHA CAPS 3"/>
    <w:basedOn w:val="1"/>
    <w:autoRedefine/>
    <w:qFormat/>
    <w:uiPriority w:val="0"/>
    <w:pPr>
      <w:numPr>
        <w:ilvl w:val="2"/>
        <w:numId w:val="4"/>
      </w:numPr>
      <w:spacing w:after="240" w:line="288" w:lineRule="auto"/>
      <w:ind w:firstLine="0"/>
      <w:jc w:val="both"/>
    </w:pPr>
    <w:rPr>
      <w:rFonts w:ascii="CG Times" w:hAnsi="CG Times"/>
      <w:sz w:val="22"/>
      <w:szCs w:val="20"/>
      <w:lang w:eastAsia="en-US"/>
    </w:rPr>
  </w:style>
  <w:style w:type="character" w:customStyle="1" w:styleId="549">
    <w:name w:val="黑体强调"/>
    <w:autoRedefine/>
    <w:qFormat/>
    <w:uiPriority w:val="1"/>
    <w:rPr>
      <w:rFonts w:ascii="Times New Roman" w:hAnsi="Times New Roman" w:eastAsia="黑体"/>
    </w:rPr>
  </w:style>
  <w:style w:type="paragraph" w:customStyle="1" w:styleId="550">
    <w:name w:val="1级编号"/>
    <w:basedOn w:val="1"/>
    <w:autoRedefine/>
    <w:qFormat/>
    <w:uiPriority w:val="0"/>
    <w:pPr>
      <w:widowControl w:val="0"/>
      <w:numPr>
        <w:ilvl w:val="0"/>
        <w:numId w:val="5"/>
      </w:numPr>
      <w:shd w:val="clear" w:color="000000" w:fill="auto"/>
      <w:spacing w:beforeLines="150" w:afterLines="50"/>
      <w:ind w:firstLine="0"/>
      <w:jc w:val="center"/>
      <w:outlineLvl w:val="0"/>
    </w:pPr>
    <w:rPr>
      <w:rFonts w:eastAsia="黑体"/>
      <w:kern w:val="2"/>
      <w:sz w:val="28"/>
    </w:rPr>
  </w:style>
  <w:style w:type="paragraph" w:customStyle="1" w:styleId="551">
    <w:name w:val="2级编号"/>
    <w:basedOn w:val="1"/>
    <w:link w:val="553"/>
    <w:autoRedefine/>
    <w:qFormat/>
    <w:uiPriority w:val="0"/>
    <w:pPr>
      <w:widowControl w:val="0"/>
      <w:numPr>
        <w:ilvl w:val="1"/>
        <w:numId w:val="5"/>
      </w:numPr>
      <w:spacing w:afterLines="50" w:line="440" w:lineRule="exact"/>
      <w:ind w:firstLine="0"/>
      <w:jc w:val="both"/>
      <w:outlineLvl w:val="1"/>
    </w:pPr>
    <w:rPr>
      <w:rFonts w:eastAsia="仿宋_GB2312"/>
      <w:kern w:val="2"/>
      <w:lang w:val="sq-AL"/>
    </w:rPr>
  </w:style>
  <w:style w:type="paragraph" w:customStyle="1" w:styleId="552">
    <w:name w:val="3级编号"/>
    <w:basedOn w:val="1"/>
    <w:link w:val="555"/>
    <w:autoRedefine/>
    <w:qFormat/>
    <w:uiPriority w:val="0"/>
    <w:pPr>
      <w:widowControl w:val="0"/>
      <w:numPr>
        <w:ilvl w:val="2"/>
        <w:numId w:val="5"/>
      </w:numPr>
      <w:spacing w:afterLines="50"/>
      <w:ind w:firstLine="0"/>
      <w:jc w:val="both"/>
    </w:pPr>
    <w:rPr>
      <w:rFonts w:eastAsia="仿宋_GB2312"/>
      <w:kern w:val="2"/>
      <w:lang w:val="sq-AL"/>
    </w:rPr>
  </w:style>
  <w:style w:type="character" w:customStyle="1" w:styleId="553">
    <w:name w:val="2级编号 Char"/>
    <w:link w:val="551"/>
    <w:autoRedefine/>
    <w:qFormat/>
    <w:uiPriority w:val="0"/>
    <w:rPr>
      <w:rFonts w:eastAsia="仿宋_GB2312"/>
      <w:kern w:val="2"/>
      <w:sz w:val="24"/>
      <w:szCs w:val="24"/>
      <w:lang w:val="sq-AL"/>
    </w:rPr>
  </w:style>
  <w:style w:type="paragraph" w:customStyle="1" w:styleId="554">
    <w:name w:val="4级编号"/>
    <w:basedOn w:val="552"/>
    <w:link w:val="556"/>
    <w:autoRedefine/>
    <w:qFormat/>
    <w:uiPriority w:val="0"/>
    <w:pPr>
      <w:numPr>
        <w:ilvl w:val="3"/>
      </w:numPr>
    </w:pPr>
  </w:style>
  <w:style w:type="character" w:customStyle="1" w:styleId="555">
    <w:name w:val="3级编号 Char"/>
    <w:link w:val="552"/>
    <w:autoRedefine/>
    <w:qFormat/>
    <w:uiPriority w:val="0"/>
    <w:rPr>
      <w:rFonts w:eastAsia="仿宋_GB2312"/>
      <w:kern w:val="2"/>
      <w:sz w:val="24"/>
      <w:szCs w:val="24"/>
      <w:lang w:val="sq-AL"/>
    </w:rPr>
  </w:style>
  <w:style w:type="character" w:customStyle="1" w:styleId="556">
    <w:name w:val="4级编号 Char"/>
    <w:link w:val="554"/>
    <w:autoRedefine/>
    <w:qFormat/>
    <w:uiPriority w:val="0"/>
    <w:rPr>
      <w:rFonts w:eastAsia="仿宋_GB2312"/>
      <w:kern w:val="2"/>
      <w:sz w:val="24"/>
      <w:szCs w:val="24"/>
      <w:lang w:val="sq-AL"/>
    </w:rPr>
  </w:style>
  <w:style w:type="paragraph" w:customStyle="1" w:styleId="557">
    <w:name w:val="2级正文"/>
    <w:basedOn w:val="1"/>
    <w:link w:val="558"/>
    <w:autoRedefine/>
    <w:qFormat/>
    <w:uiPriority w:val="0"/>
    <w:pPr>
      <w:widowControl w:val="0"/>
      <w:spacing w:beforeLines="50" w:afterLines="50"/>
      <w:ind w:left="567"/>
      <w:jc w:val="both"/>
    </w:pPr>
    <w:rPr>
      <w:kern w:val="2"/>
      <w:lang w:val="sq-AL"/>
    </w:rPr>
  </w:style>
  <w:style w:type="character" w:customStyle="1" w:styleId="558">
    <w:name w:val="2级正文 Char"/>
    <w:link w:val="557"/>
    <w:autoRedefine/>
    <w:qFormat/>
    <w:uiPriority w:val="0"/>
    <w:rPr>
      <w:kern w:val="2"/>
      <w:sz w:val="24"/>
      <w:szCs w:val="24"/>
      <w:lang w:val="sq-AL"/>
    </w:rPr>
  </w:style>
  <w:style w:type="table" w:customStyle="1" w:styleId="559">
    <w:name w:val="网格型3"/>
    <w:basedOn w:val="5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网格型4"/>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1">
    <w:name w:val="闻政正文"/>
    <w:basedOn w:val="1"/>
    <w:autoRedefine/>
    <w:qFormat/>
    <w:uiPriority w:val="0"/>
    <w:pPr>
      <w:widowControl w:val="0"/>
      <w:spacing w:line="500" w:lineRule="exact"/>
      <w:ind w:firstLine="560" w:firstLineChars="200"/>
      <w:jc w:val="both"/>
    </w:pPr>
    <w:rPr>
      <w:rFonts w:ascii="方正仿宋_GBK" w:hAnsi="方正仿宋_GBK" w:eastAsia="方正仿宋_GBK" w:cs="方正仿宋_GBK"/>
      <w:sz w:val="28"/>
      <w:szCs w:val="28"/>
      <w:lang w:val="zh-CN"/>
    </w:rPr>
  </w:style>
  <w:style w:type="paragraph" w:customStyle="1" w:styleId="562">
    <w:name w:val="缩进内容"/>
    <w:basedOn w:val="1"/>
    <w:autoRedefine/>
    <w:qFormat/>
    <w:uiPriority w:val="0"/>
    <w:pPr>
      <w:widowControl w:val="0"/>
      <w:spacing w:line="360" w:lineRule="auto"/>
      <w:ind w:firstLine="200" w:firstLineChars="200"/>
      <w:jc w:val="both"/>
    </w:pPr>
    <w:rPr>
      <w:rFonts w:ascii="Calibri" w:hAnsi="Calibri" w:eastAsia="仿宋_GB2312" w:cs="仿宋"/>
      <w:kern w:val="2"/>
      <w:sz w:val="32"/>
      <w:szCs w:val="30"/>
    </w:rPr>
  </w:style>
  <w:style w:type="paragraph" w:customStyle="1" w:styleId="563">
    <w:name w:val="报告正文"/>
    <w:basedOn w:val="1"/>
    <w:autoRedefine/>
    <w:qFormat/>
    <w:uiPriority w:val="0"/>
    <w:pPr>
      <w:widowControl w:val="0"/>
      <w:adjustRightInd w:val="0"/>
      <w:snapToGrid w:val="0"/>
      <w:spacing w:line="288" w:lineRule="auto"/>
      <w:ind w:left="3060" w:leftChars="1700" w:firstLine="200" w:firstLineChars="200"/>
      <w:jc w:val="both"/>
    </w:pPr>
    <w:rPr>
      <w:rFonts w:ascii="华文细黑" w:hAnsi="华文细黑" w:eastAsia="华文细黑" w:cs="宋体"/>
      <w:kern w:val="2"/>
      <w:sz w:val="28"/>
      <w:szCs w:val="20"/>
    </w:rPr>
  </w:style>
  <w:style w:type="paragraph" w:customStyle="1" w:styleId="5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565">
    <w:name w:val="表格(左对齐小五)"/>
    <w:basedOn w:val="1"/>
    <w:next w:val="1"/>
    <w:autoRedefine/>
    <w:qFormat/>
    <w:uiPriority w:val="0"/>
    <w:pPr>
      <w:widowControl w:val="0"/>
      <w:adjustRightInd w:val="0"/>
      <w:snapToGrid w:val="0"/>
      <w:spacing w:line="204" w:lineRule="auto"/>
      <w:ind w:left="-28" w:leftChars="-10" w:right="-28" w:rightChars="-10" w:firstLine="200" w:firstLineChars="200"/>
      <w:jc w:val="center"/>
    </w:pPr>
    <w:rPr>
      <w:kern w:val="2"/>
      <w:sz w:val="18"/>
      <w:szCs w:val="18"/>
    </w:rPr>
  </w:style>
  <w:style w:type="paragraph" w:customStyle="1" w:styleId="566">
    <w:name w:val="表格(右对齐小四)"/>
    <w:basedOn w:val="1"/>
    <w:next w:val="1"/>
    <w:autoRedefine/>
    <w:qFormat/>
    <w:uiPriority w:val="0"/>
    <w:pPr>
      <w:widowControl w:val="0"/>
      <w:spacing w:line="280" w:lineRule="exact"/>
      <w:ind w:firstLine="200" w:firstLineChars="200"/>
      <w:jc w:val="right"/>
    </w:pPr>
    <w:rPr>
      <w:kern w:val="2"/>
    </w:rPr>
  </w:style>
  <w:style w:type="paragraph" w:styleId="567">
    <w:name w:val="No Spacing"/>
    <w:link w:val="568"/>
    <w:autoRedefine/>
    <w:qFormat/>
    <w:uiPriority w:val="1"/>
    <w:rPr>
      <w:rFonts w:ascii="Calibri" w:hAnsi="Calibri" w:eastAsia="宋体" w:cs="Times New Roman"/>
      <w:sz w:val="22"/>
      <w:szCs w:val="22"/>
      <w:lang w:val="en-US" w:eastAsia="zh-CN" w:bidi="ar-SA"/>
    </w:rPr>
  </w:style>
  <w:style w:type="character" w:customStyle="1" w:styleId="568">
    <w:name w:val="无间隔 字符"/>
    <w:link w:val="567"/>
    <w:autoRedefine/>
    <w:qFormat/>
    <w:uiPriority w:val="1"/>
    <w:rPr>
      <w:rFonts w:ascii="Calibri" w:hAnsi="Calibri"/>
      <w:sz w:val="22"/>
      <w:szCs w:val="22"/>
    </w:rPr>
  </w:style>
  <w:style w:type="paragraph" w:customStyle="1" w:styleId="569">
    <w:name w:val="左页眉"/>
    <w:basedOn w:val="1"/>
    <w:next w:val="1"/>
    <w:autoRedefine/>
    <w:qFormat/>
    <w:uiPriority w:val="0"/>
    <w:pPr>
      <w:widowControl w:val="0"/>
      <w:spacing w:line="360" w:lineRule="auto"/>
      <w:ind w:firstLine="200" w:firstLineChars="200"/>
    </w:pPr>
    <w:rPr>
      <w:rFonts w:ascii="楷体_GB2312" w:eastAsia="楷体_GB2312"/>
      <w:b/>
      <w:kern w:val="2"/>
      <w:sz w:val="18"/>
      <w:szCs w:val="28"/>
    </w:rPr>
  </w:style>
  <w:style w:type="character" w:customStyle="1" w:styleId="570">
    <w:name w:val="xdrichtextbox"/>
    <w:autoRedefine/>
    <w:qFormat/>
    <w:uiPriority w:val="0"/>
  </w:style>
  <w:style w:type="character" w:customStyle="1" w:styleId="571">
    <w:name w:val="下标"/>
    <w:autoRedefine/>
    <w:qFormat/>
    <w:uiPriority w:val="99"/>
    <w:rPr>
      <w:vertAlign w:val="subscript"/>
    </w:rPr>
  </w:style>
  <w:style w:type="table" w:customStyle="1" w:styleId="572">
    <w:name w:val="网格型5"/>
    <w:basedOn w:val="51"/>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3">
    <w:name w:val="脚注文本 Char"/>
    <w:autoRedefine/>
    <w:semiHidden/>
    <w:qFormat/>
    <w:uiPriority w:val="0"/>
    <w:rPr>
      <w:rFonts w:ascii="Times New Roman" w:hAnsi="Times New Roman"/>
      <w:kern w:val="2"/>
      <w:sz w:val="18"/>
      <w:szCs w:val="18"/>
    </w:rPr>
  </w:style>
  <w:style w:type="character" w:customStyle="1" w:styleId="574">
    <w:name w:val="正文文本 2 Char"/>
    <w:autoRedefine/>
    <w:qFormat/>
    <w:uiPriority w:val="0"/>
    <w:rPr>
      <w:rFonts w:ascii="Times New Roman" w:hAnsi="Times New Roman" w:eastAsia="黑体"/>
      <w:sz w:val="24"/>
      <w:lang w:val="en-GB" w:eastAsia="zh-CN"/>
    </w:rPr>
  </w:style>
  <w:style w:type="paragraph" w:customStyle="1" w:styleId="575">
    <w:name w:val="Table Paragraph"/>
    <w:basedOn w:val="1"/>
    <w:autoRedefine/>
    <w:qFormat/>
    <w:uiPriority w:val="1"/>
    <w:pPr>
      <w:widowControl w:val="0"/>
      <w:autoSpaceDE w:val="0"/>
      <w:autoSpaceDN w:val="0"/>
    </w:pPr>
    <w:rPr>
      <w:rFonts w:ascii="Arial Unicode MS" w:hAnsi="Arial Unicode MS" w:eastAsia="Arial Unicode MS" w:cs="Arial Unicode MS"/>
      <w:sz w:val="22"/>
      <w:szCs w:val="22"/>
      <w:lang w:val="zh-CN" w:bidi="zh-CN"/>
    </w:rPr>
  </w:style>
  <w:style w:type="character" w:customStyle="1" w:styleId="576">
    <w:name w:val="05正文 Char"/>
    <w:link w:val="577"/>
    <w:autoRedefine/>
    <w:qFormat/>
    <w:uiPriority w:val="0"/>
    <w:rPr>
      <w:rFonts w:ascii="宋体" w:hAnsi="宋体"/>
      <w:kern w:val="2"/>
      <w:sz w:val="24"/>
      <w:szCs w:val="21"/>
    </w:rPr>
  </w:style>
  <w:style w:type="paragraph" w:customStyle="1" w:styleId="577">
    <w:name w:val="05正文"/>
    <w:basedOn w:val="1"/>
    <w:link w:val="576"/>
    <w:autoRedefine/>
    <w:qFormat/>
    <w:uiPriority w:val="0"/>
    <w:pPr>
      <w:widowControl w:val="0"/>
      <w:spacing w:line="560" w:lineRule="exact"/>
      <w:ind w:firstLine="200" w:firstLineChars="200"/>
    </w:pPr>
    <w:rPr>
      <w:rFonts w:ascii="宋体" w:hAnsi="宋体"/>
      <w:kern w:val="2"/>
      <w:szCs w:val="21"/>
    </w:rPr>
  </w:style>
  <w:style w:type="character" w:customStyle="1" w:styleId="578">
    <w:name w:val="01标题1 Char"/>
    <w:link w:val="579"/>
    <w:autoRedefine/>
    <w:qFormat/>
    <w:uiPriority w:val="0"/>
    <w:rPr>
      <w:rFonts w:ascii="Calibri" w:hAnsi="Calibri" w:eastAsia="黑体"/>
      <w:b/>
      <w:bCs/>
      <w:kern w:val="44"/>
      <w:sz w:val="36"/>
      <w:szCs w:val="44"/>
    </w:rPr>
  </w:style>
  <w:style w:type="paragraph" w:customStyle="1" w:styleId="579">
    <w:name w:val="01标题1"/>
    <w:next w:val="577"/>
    <w:link w:val="578"/>
    <w:autoRedefine/>
    <w:qFormat/>
    <w:uiPriority w:val="0"/>
    <w:pPr>
      <w:spacing w:before="100" w:beforeAutospacing="1" w:after="100" w:afterAutospacing="1" w:line="360" w:lineRule="auto"/>
      <w:jc w:val="center"/>
      <w:outlineLvl w:val="0"/>
    </w:pPr>
    <w:rPr>
      <w:rFonts w:ascii="Calibri" w:hAnsi="Calibri" w:eastAsia="黑体" w:cs="Times New Roman"/>
      <w:b/>
      <w:bCs/>
      <w:kern w:val="44"/>
      <w:sz w:val="36"/>
      <w:szCs w:val="44"/>
      <w:lang w:val="en-US" w:eastAsia="zh-CN" w:bidi="ar-SA"/>
    </w:rPr>
  </w:style>
  <w:style w:type="character" w:customStyle="1" w:styleId="580">
    <w:name w:val="02标题2 Char"/>
    <w:link w:val="581"/>
    <w:autoRedefine/>
    <w:qFormat/>
    <w:uiPriority w:val="0"/>
    <w:rPr>
      <w:rFonts w:ascii="黑体" w:hAnsi="黑体" w:eastAsia="黑体"/>
      <w:b/>
      <w:kern w:val="44"/>
      <w:sz w:val="24"/>
      <w:szCs w:val="21"/>
    </w:rPr>
  </w:style>
  <w:style w:type="paragraph" w:customStyle="1" w:styleId="581">
    <w:name w:val="02标题2"/>
    <w:next w:val="577"/>
    <w:link w:val="580"/>
    <w:autoRedefine/>
    <w:qFormat/>
    <w:uiPriority w:val="0"/>
    <w:pPr>
      <w:spacing w:line="560" w:lineRule="exact"/>
      <w:ind w:firstLine="200" w:firstLineChars="200"/>
      <w:outlineLvl w:val="1"/>
    </w:pPr>
    <w:rPr>
      <w:rFonts w:ascii="黑体" w:hAnsi="黑体" w:eastAsia="黑体" w:cs="Times New Roman"/>
      <w:b/>
      <w:kern w:val="44"/>
      <w:sz w:val="24"/>
      <w:szCs w:val="21"/>
      <w:lang w:val="en-US" w:eastAsia="zh-CN" w:bidi="ar-SA"/>
    </w:rPr>
  </w:style>
  <w:style w:type="character" w:customStyle="1" w:styleId="582">
    <w:name w:val="07表格 Char"/>
    <w:link w:val="583"/>
    <w:autoRedefine/>
    <w:qFormat/>
    <w:uiPriority w:val="0"/>
    <w:rPr>
      <w:rFonts w:ascii="宋体" w:hAnsi="宋体" w:eastAsia="黑体"/>
      <w:kern w:val="2"/>
      <w:sz w:val="21"/>
    </w:rPr>
  </w:style>
  <w:style w:type="paragraph" w:customStyle="1" w:styleId="583">
    <w:name w:val="07表格"/>
    <w:basedOn w:val="1"/>
    <w:link w:val="582"/>
    <w:autoRedefine/>
    <w:qFormat/>
    <w:uiPriority w:val="0"/>
    <w:pPr>
      <w:widowControl w:val="0"/>
      <w:spacing w:line="240" w:lineRule="atLeast"/>
      <w:jc w:val="center"/>
    </w:pPr>
    <w:rPr>
      <w:rFonts w:ascii="宋体" w:hAnsi="宋体" w:eastAsia="黑体"/>
      <w:kern w:val="2"/>
      <w:sz w:val="21"/>
      <w:szCs w:val="20"/>
    </w:rPr>
  </w:style>
  <w:style w:type="paragraph" w:customStyle="1" w:styleId="584">
    <w:name w:val="备注"/>
    <w:basedOn w:val="1"/>
    <w:autoRedefine/>
    <w:qFormat/>
    <w:uiPriority w:val="0"/>
    <w:rPr>
      <w:rFonts w:ascii="楷体" w:hAnsi="楷体" w:eastAsia="楷体"/>
      <w:b/>
      <w:bCs/>
      <w:kern w:val="2"/>
      <w:sz w:val="18"/>
      <w:szCs w:val="18"/>
    </w:rPr>
  </w:style>
  <w:style w:type="paragraph" w:customStyle="1" w:styleId="585">
    <w:name w:val="修订2"/>
    <w:autoRedefine/>
    <w:hidden/>
    <w:semiHidden/>
    <w:qFormat/>
    <w:uiPriority w:val="99"/>
    <w:rPr>
      <w:rFonts w:ascii="Times New Roman" w:hAnsi="Times New Roman" w:eastAsia="宋体" w:cs="Times New Roman"/>
      <w:sz w:val="24"/>
      <w:szCs w:val="24"/>
      <w:lang w:val="en-US" w:eastAsia="zh-CN" w:bidi="ar-SA"/>
    </w:rPr>
  </w:style>
  <w:style w:type="paragraph" w:customStyle="1" w:styleId="586">
    <w:name w:val="表"/>
    <w:basedOn w:val="1"/>
    <w:autoRedefine/>
    <w:qFormat/>
    <w:uiPriority w:val="0"/>
    <w:pPr>
      <w:widowControl w:val="0"/>
      <w:spacing w:before="312" w:beforeLines="100" w:after="156" w:afterLines="50" w:line="360" w:lineRule="auto"/>
      <w:jc w:val="center"/>
    </w:pPr>
    <w:rPr>
      <w:rFonts w:eastAsia="黑体" w:cstheme="minorBidi"/>
      <w:b/>
      <w:kern w:val="2"/>
      <w:szCs w:val="22"/>
    </w:rPr>
  </w:style>
  <w:style w:type="paragraph" w:customStyle="1" w:styleId="587">
    <w:name w:val="修订3"/>
    <w:autoRedefine/>
    <w:hidden/>
    <w:unhideWhenUsed/>
    <w:qFormat/>
    <w:uiPriority w:val="99"/>
    <w:rPr>
      <w:rFonts w:ascii="Times New Roman" w:hAnsi="Times New Roman" w:eastAsia="宋体" w:cs="Times New Roman"/>
      <w:sz w:val="24"/>
      <w:szCs w:val="24"/>
      <w:lang w:val="en-US" w:eastAsia="zh-CN" w:bidi="ar-SA"/>
    </w:rPr>
  </w:style>
  <w:style w:type="paragraph" w:customStyle="1" w:styleId="588">
    <w:name w:val="修订4"/>
    <w:autoRedefine/>
    <w:hidden/>
    <w:semiHidden/>
    <w:qFormat/>
    <w:uiPriority w:val="99"/>
    <w:rPr>
      <w:rFonts w:ascii="Times New Roman" w:hAnsi="Times New Roman" w:eastAsia="宋体" w:cs="Times New Roman"/>
      <w:sz w:val="24"/>
      <w:szCs w:val="24"/>
      <w:lang w:val="en-US" w:eastAsia="zh-CN" w:bidi="ar-SA"/>
    </w:rPr>
  </w:style>
  <w:style w:type="paragraph" w:customStyle="1" w:styleId="589">
    <w:name w:val="修订5"/>
    <w:autoRedefine/>
    <w:hidden/>
    <w:semiHidden/>
    <w:qFormat/>
    <w:uiPriority w:val="99"/>
    <w:rPr>
      <w:rFonts w:ascii="Times New Roman" w:hAnsi="Times New Roman" w:eastAsia="宋体" w:cs="Times New Roman"/>
      <w:sz w:val="24"/>
      <w:szCs w:val="24"/>
      <w:lang w:val="en-US" w:eastAsia="zh-CN" w:bidi="ar-SA"/>
    </w:rPr>
  </w:style>
  <w:style w:type="paragraph" w:customStyle="1" w:styleId="590">
    <w:name w:val="修订6"/>
    <w:autoRedefine/>
    <w:hidden/>
    <w:semiHidden/>
    <w:qFormat/>
    <w:uiPriority w:val="99"/>
    <w:rPr>
      <w:rFonts w:ascii="Times New Roman" w:hAnsi="Times New Roman" w:eastAsia="宋体" w:cs="Times New Roman"/>
      <w:sz w:val="24"/>
      <w:szCs w:val="24"/>
      <w:lang w:val="en-US" w:eastAsia="zh-CN" w:bidi="ar-SA"/>
    </w:rPr>
  </w:style>
  <w:style w:type="character" w:customStyle="1" w:styleId="591">
    <w:name w:val="标题 3 Char2"/>
    <w:autoRedefine/>
    <w:qFormat/>
    <w:uiPriority w:val="0"/>
    <w:rPr>
      <w:rFonts w:eastAsia="Arial Unicode MS"/>
      <w:b/>
      <w:kern w:val="0"/>
      <w:sz w:val="32"/>
      <w:szCs w:val="28"/>
    </w:rPr>
  </w:style>
  <w:style w:type="paragraph" w:customStyle="1" w:styleId="592">
    <w:name w:val="正文（自定义）"/>
    <w:basedOn w:val="1"/>
    <w:autoRedefine/>
    <w:qFormat/>
    <w:uiPriority w:val="0"/>
    <w:pPr>
      <w:ind w:firstLine="200" w:firstLineChars="200"/>
    </w:pPr>
    <w:rPr>
      <w:rFonts w:ascii="仿宋_GB2312" w:hAnsi="仿宋_GB2312" w:eastAsia="仿宋_GB2312"/>
      <w:sz w:val="32"/>
    </w:rPr>
  </w:style>
  <w:style w:type="paragraph" w:customStyle="1" w:styleId="593">
    <w:name w:val="图表目录1"/>
    <w:basedOn w:val="594"/>
    <w:next w:val="594"/>
    <w:autoRedefine/>
    <w:qFormat/>
    <w:uiPriority w:val="0"/>
    <w:pPr>
      <w:spacing w:before="100" w:beforeAutospacing="1" w:after="100" w:afterAutospacing="1"/>
      <w:ind w:left="200" w:leftChars="200" w:hanging="200" w:hangingChars="200"/>
    </w:pPr>
    <w:rPr>
      <w:rFonts w:cs="黑体"/>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93"/>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7030</Words>
  <Characters>7862</Characters>
  <Lines>600</Lines>
  <Paragraphs>169</Paragraphs>
  <TotalTime>16</TotalTime>
  <ScaleCrop>false</ScaleCrop>
  <LinksUpToDate>false</LinksUpToDate>
  <CharactersWithSpaces>7959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2024-03-31T09:21:00Z</dcterms:created>
  <dc:creator>Administrator</dc:creator>
  <cp:lastModifiedBy>*丶  奶爸 °</cp:lastModifiedBy>
  <cp:lastPrinted>2025-08-11T07:02:00Z</cp:lastPrinted>
  <dcterms:modified xsi:type="dcterms:W3CDTF">2025-08-12T07:14:10Z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248953077_btnclosed</vt:lpwstr>
  </property>
  <property fmtid="{D5CDD505-2E9C-101B-9397-08002B2CF9AE}" pid="4" name="ICV">
    <vt:lpwstr>5C0DAAF44517422BA749F30AC88A3DC3_13</vt:lpwstr>
  </property>
  <property fmtid="{D5CDD505-2E9C-101B-9397-08002B2CF9AE}" pid="5" name="KSOTemplateDocerSaveRecord">
    <vt:lpwstr>eyJoZGlkIjoiYzBhOTE2ODNjMjRlZjBlMmFhZWI5MjcxZTdmMDIzYTYiLCJ1c2VySWQiOiI5MTE2Mzg1NzkifQ==</vt:lpwstr>
  </property>
</Properties>
</file>