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pStyle w:val="NormalWeb"/>
        <w:spacing w:line="360" w:lineRule="auto"/>
        <w:jc w:val="center"/>
        <w:outlineLvl w:val="1"/>
        <w:rPr>
          <w:rFonts w:ascii="宋体" w:eastAsia="宋体" w:hAnsi="宋体" w:hint="eastAsia"/>
          <w:sz w:val="40"/>
          <w:szCs w:val="40"/>
        </w:rPr>
      </w:pPr>
    </w:p>
    <w:p>
      <w:pPr>
        <w:spacing w:line="360" w:lineRule="auto"/>
        <w:jc w:val="center"/>
        <w:rPr>
          <w:rFonts w:ascii="宋体" w:eastAsia="宋体" w:hAnsi="宋体"/>
          <w:b/>
          <w:sz w:val="120"/>
          <w:szCs w:val="120"/>
        </w:rPr>
      </w:pPr>
      <w:r>
        <w:rPr>
          <w:rFonts w:ascii="宋体" w:eastAsia="宋体" w:hAnsi="宋体" w:hint="eastAsia"/>
          <w:b/>
          <w:sz w:val="120"/>
          <w:szCs w:val="120"/>
        </w:rPr>
        <w:t>政府采购</w:t>
      </w:r>
    </w:p>
    <w:p>
      <w:pPr>
        <w:spacing w:line="360" w:lineRule="auto"/>
        <w:jc w:val="center"/>
        <w:rPr>
          <w:rFonts w:ascii="宋体" w:eastAsia="宋体" w:hAnsi="宋体"/>
          <w:b/>
          <w:sz w:val="120"/>
          <w:szCs w:val="120"/>
        </w:rPr>
      </w:pPr>
      <w:r>
        <w:rPr>
          <w:rFonts w:ascii="宋体" w:eastAsia="宋体" w:hAnsi="宋体" w:hint="eastAsia"/>
          <w:b/>
          <w:sz w:val="120"/>
          <w:szCs w:val="120"/>
        </w:rPr>
        <w:t>招标文件</w:t>
      </w:r>
    </w:p>
    <w:p>
      <w:pPr>
        <w:spacing w:line="360" w:lineRule="auto"/>
        <w:jc w:val="center"/>
        <w:rPr>
          <w:rFonts w:ascii="宋体" w:eastAsia="宋体" w:hAnsi="宋体"/>
          <w:b/>
          <w:sz w:val="52"/>
          <w:szCs w:val="52"/>
        </w:rPr>
      </w:pPr>
      <w:r>
        <w:rPr>
          <w:rFonts w:ascii="宋体" w:eastAsia="宋体" w:hAnsi="宋体" w:hint="eastAsia"/>
          <w:b/>
          <w:sz w:val="52"/>
          <w:szCs w:val="52"/>
        </w:rPr>
        <w:t>（服务类）</w:t>
      </w:r>
    </w:p>
    <w:p>
      <w:pPr>
        <w:spacing w:line="360" w:lineRule="auto"/>
        <w:rPr>
          <w:rFonts w:ascii="宋体" w:eastAsia="宋体" w:hAnsi="宋体"/>
        </w:rPr>
      </w:pPr>
    </w:p>
    <w:p>
      <w:pPr>
        <w:spacing w:line="360" w:lineRule="auto"/>
        <w:rPr>
          <w:rFonts w:ascii="宋体" w:eastAsia="宋体" w:hAnsi="宋体"/>
        </w:rPr>
      </w:pPr>
    </w:p>
    <w:p>
      <w:pPr>
        <w:pStyle w:val="BodyText"/>
        <w:spacing w:line="360" w:lineRule="auto"/>
        <w:rPr>
          <w:lang w:val="en-US" w:bidi="ar-SA"/>
        </w:rPr>
      </w:pPr>
    </w:p>
    <w:p>
      <w:pPr>
        <w:spacing w:line="360" w:lineRule="auto"/>
        <w:rPr>
          <w:rFonts w:ascii="宋体" w:eastAsia="宋体" w:hAnsi="宋体"/>
        </w:rPr>
      </w:pPr>
    </w:p>
    <w:p>
      <w:pPr>
        <w:spacing w:line="360" w:lineRule="auto"/>
        <w:jc w:val="center"/>
        <w:rPr>
          <w:rFonts w:ascii="宋体" w:eastAsia="宋体" w:hAnsi="宋体" w:hint="default"/>
          <w:b/>
          <w:sz w:val="44"/>
          <w:szCs w:val="44"/>
          <w:lang w:val="en-US" w:eastAsia="zh-CN"/>
        </w:rPr>
      </w:pPr>
      <w:bookmarkStart w:id="0" w:name="_Hlk71465316"/>
      <w:r>
        <w:rPr>
          <w:rFonts w:ascii="宋体" w:eastAsia="宋体" w:hAnsi="宋体" w:hint="eastAsia"/>
          <w:b/>
          <w:sz w:val="44"/>
          <w:szCs w:val="44"/>
          <w:lang w:val="en-US" w:eastAsia="zh-CN"/>
        </w:rPr>
        <w:t>立讯招标（深圳）有限公司</w:t>
      </w:r>
    </w:p>
    <w:p>
      <w:pPr>
        <w:spacing w:line="360" w:lineRule="auto"/>
        <w:jc w:val="center"/>
        <w:rPr>
          <w:rFonts w:ascii="宋体" w:eastAsia="宋体" w:hAnsi="宋体"/>
          <w:b/>
          <w:bCs/>
          <w:kern w:val="44"/>
        </w:rPr>
      </w:pPr>
      <w:r>
        <w:rPr>
          <w:rFonts w:ascii="宋体" w:eastAsia="宋体" w:hAnsi="宋体" w:hint="eastAsia"/>
          <w:b/>
          <w:sz w:val="28"/>
          <w:szCs w:val="28"/>
        </w:rPr>
        <w:t>（202</w:t>
      </w:r>
      <w:r>
        <w:rPr>
          <w:rFonts w:asciiTheme="minorEastAsia" w:hAnsiTheme="minorEastAsia" w:hint="eastAsia"/>
          <w:b/>
          <w:sz w:val="28"/>
          <w:szCs w:val="28"/>
        </w:rPr>
        <w:t>5</w:t>
      </w:r>
      <w:r>
        <w:rPr>
          <w:rFonts w:ascii="宋体" w:eastAsia="宋体" w:hAnsi="宋体" w:hint="eastAsia"/>
          <w:b/>
          <w:sz w:val="28"/>
          <w:szCs w:val="28"/>
        </w:rPr>
        <w:t>）</w:t>
      </w:r>
      <w:bookmarkEnd w:id="0"/>
      <w:r>
        <w:rPr>
          <w:rFonts w:ascii="宋体" w:eastAsia="宋体" w:hAnsi="宋体" w:hint="eastAsia"/>
        </w:rPr>
        <w:br w:type="page"/>
      </w:r>
      <w:r>
        <w:rPr>
          <w:rFonts w:ascii="宋体" w:eastAsia="宋体" w:hAnsi="宋体" w:hint="eastAsia"/>
          <w:b/>
          <w:bCs/>
          <w:kern w:val="44"/>
        </w:rPr>
        <w:t>特别警示条款</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参与</w:t>
      </w:r>
      <w:r>
        <w:rPr>
          <w:rFonts w:ascii="宋体" w:eastAsia="宋体" w:hAnsi="宋体" w:cs="仿宋_GB2312" w:hint="eastAsia"/>
          <w:b/>
          <w:bCs/>
          <w:kern w:val="2"/>
        </w:rPr>
        <w:t>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1"/>
        <w:gridCol w:w="771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0"/>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序号</w:t>
            </w:r>
          </w:p>
        </w:tc>
        <w:tc>
          <w:tcPr>
            <w:tcW w:w="77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b/>
                <w:bCs/>
                <w:kern w:val="2"/>
              </w:rPr>
              <w:t>供应商参与投标禁止情形</w:t>
            </w:r>
          </w:p>
        </w:tc>
      </w:tr>
      <w:tr>
        <w:tblPrEx>
          <w:tblW w:w="0" w:type="auto"/>
          <w:jc w:val="center"/>
          <w:tblCellMar>
            <w:top w:w="0" w:type="dxa"/>
            <w:left w:w="108" w:type="dxa"/>
            <w:bottom w:w="0" w:type="dxa"/>
            <w:right w:w="108" w:type="dxa"/>
          </w:tblCellMar>
        </w:tblPrEx>
        <w:trPr>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1</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与其他投标供应商的法定代表人、主要经营负责人、投标授权代表人、项目负责人、主要技术人员为</w:t>
            </w:r>
            <w:r>
              <w:rPr>
                <w:rFonts w:ascii="宋体" w:eastAsia="宋体" w:hAnsi="宋体" w:cs="仿宋_GB2312" w:hint="eastAsia"/>
                <w:b/>
                <w:bCs/>
                <w:kern w:val="2"/>
              </w:rPr>
              <w:t>同一人、属同一单位或者在同一单位缴纳社会保险</w:t>
            </w:r>
            <w:r>
              <w:rPr>
                <w:rFonts w:ascii="宋体" w:eastAsia="宋体" w:hAnsi="宋体" w:cs="仿宋_GB2312" w:hint="eastAsia"/>
                <w:kern w:val="2"/>
              </w:rPr>
              <w:t>。</w:t>
            </w:r>
          </w:p>
        </w:tc>
      </w:tr>
      <w:tr>
        <w:tblPrEx>
          <w:tblW w:w="0" w:type="auto"/>
          <w:jc w:val="center"/>
          <w:tblCellMar>
            <w:top w:w="0" w:type="dxa"/>
            <w:left w:w="108" w:type="dxa"/>
            <w:bottom w:w="0" w:type="dxa"/>
            <w:right w:w="108" w:type="dxa"/>
          </w:tblCellMar>
        </w:tblPrEx>
        <w:trPr>
          <w:trHeight w:val="90"/>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2</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参与本项目政府采购活动时，与其他投标供应商存在单位负责人为</w:t>
            </w:r>
            <w:r>
              <w:rPr>
                <w:rFonts w:ascii="宋体" w:eastAsia="宋体" w:hAnsi="宋体" w:cs="仿宋_GB2312" w:hint="eastAsia"/>
                <w:b/>
                <w:bCs/>
                <w:kern w:val="2"/>
              </w:rPr>
              <w:t>同一人或直接控股、管理关系</w:t>
            </w:r>
            <w:r>
              <w:rPr>
                <w:rFonts w:ascii="宋体" w:eastAsia="宋体" w:hAnsi="宋体" w:cs="仿宋_GB2312" w:hint="eastAsia"/>
                <w:kern w:val="2"/>
              </w:rPr>
              <w:t>。</w:t>
            </w:r>
          </w:p>
        </w:tc>
      </w:tr>
      <w:tr>
        <w:tblPrEx>
          <w:tblW w:w="0" w:type="auto"/>
          <w:jc w:val="center"/>
          <w:tblCellMar>
            <w:top w:w="0" w:type="dxa"/>
            <w:left w:w="108" w:type="dxa"/>
            <w:bottom w:w="0" w:type="dxa"/>
            <w:right w:w="108" w:type="dxa"/>
          </w:tblCellMar>
        </w:tblPrEx>
        <w:trPr>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3</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与其他投标供应商的投标文件或部分投标文件</w:t>
            </w:r>
            <w:r>
              <w:rPr>
                <w:rFonts w:ascii="宋体" w:eastAsia="宋体" w:hAnsi="宋体" w:cs="仿宋_GB2312" w:hint="eastAsia"/>
                <w:b/>
                <w:bCs/>
                <w:kern w:val="2"/>
              </w:rPr>
              <w:t>相互混装或存在非正常一致</w:t>
            </w:r>
            <w:r>
              <w:rPr>
                <w:rFonts w:ascii="宋体" w:eastAsia="宋体" w:hAnsi="宋体" w:cs="仿宋_GB2312" w:hint="eastAsia"/>
                <w:kern w:val="2"/>
              </w:rPr>
              <w:t>。</w:t>
            </w:r>
          </w:p>
        </w:tc>
      </w:tr>
      <w:tr>
        <w:tblPrEx>
          <w:tblW w:w="0" w:type="auto"/>
          <w:jc w:val="center"/>
          <w:tblCellMar>
            <w:top w:w="0" w:type="dxa"/>
            <w:left w:w="108" w:type="dxa"/>
            <w:bottom w:w="0" w:type="dxa"/>
            <w:right w:w="108" w:type="dxa"/>
          </w:tblCellMar>
        </w:tblPrEx>
        <w:trPr>
          <w:trHeight w:val="1325"/>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4</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与其他投标供应商的投标文件由</w:t>
            </w:r>
            <w:r>
              <w:rPr>
                <w:rFonts w:ascii="宋体" w:eastAsia="宋体" w:hAnsi="宋体" w:cs="仿宋_GB2312" w:hint="eastAsia"/>
                <w:b/>
                <w:bCs/>
                <w:kern w:val="2"/>
              </w:rPr>
              <w:t>同一单位或者同一人编制</w:t>
            </w:r>
            <w:r>
              <w:rPr>
                <w:rFonts w:ascii="宋体" w:eastAsia="宋体" w:hAnsi="宋体" w:cs="仿宋_GB2312" w:hint="eastAsia"/>
                <w:kern w:val="2"/>
              </w:rPr>
              <w:t>，或者使用</w:t>
            </w:r>
            <w:r>
              <w:rPr>
                <w:rFonts w:ascii="宋体" w:eastAsia="宋体" w:hAnsi="宋体" w:cs="仿宋_GB2312" w:hint="eastAsia"/>
                <w:b/>
                <w:bCs/>
                <w:kern w:val="2"/>
              </w:rPr>
              <w:t>同一设备编制</w:t>
            </w:r>
            <w:r>
              <w:rPr>
                <w:rFonts w:ascii="宋体" w:eastAsia="宋体" w:hAnsi="宋体" w:cs="仿宋_GB2312" w:hint="eastAsia"/>
                <w:kern w:val="2"/>
              </w:rPr>
              <w:t>（“文件制作机器码”“文件创建标识码”一致）。</w:t>
            </w:r>
          </w:p>
        </w:tc>
      </w:tr>
      <w:tr>
        <w:tblPrEx>
          <w:tblW w:w="0" w:type="auto"/>
          <w:jc w:val="center"/>
          <w:tblCellMar>
            <w:top w:w="0" w:type="dxa"/>
            <w:left w:w="108" w:type="dxa"/>
            <w:bottom w:w="0" w:type="dxa"/>
            <w:right w:w="108" w:type="dxa"/>
          </w:tblCellMar>
        </w:tblPrEx>
        <w:trPr>
          <w:trHeight w:val="985"/>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5</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提供</w:t>
            </w:r>
            <w:r>
              <w:rPr>
                <w:rFonts w:ascii="宋体" w:eastAsia="宋体" w:hAnsi="宋体" w:cs="仿宋_GB2312" w:hint="eastAsia"/>
                <w:b/>
                <w:bCs/>
                <w:kern w:val="2"/>
              </w:rPr>
              <w:t>未经出具机构核实</w:t>
            </w:r>
            <w:r>
              <w:rPr>
                <w:rFonts w:ascii="宋体" w:eastAsia="宋体" w:hAnsi="宋体" w:cs="仿宋_GB2312" w:hint="eastAsia"/>
                <w:kern w:val="2"/>
              </w:rPr>
              <w:t>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trHeight w:val="588"/>
          <w:jc w:val="center"/>
        </w:trPr>
        <w:tc>
          <w:tcPr>
            <w:tcW w:w="811" w:type="dxa"/>
            <w:vAlign w:val="center"/>
          </w:tcPr>
          <w:p>
            <w:pPr>
              <w:widowControl w:val="0"/>
              <w:spacing w:line="360" w:lineRule="auto"/>
              <w:jc w:val="center"/>
              <w:rPr>
                <w:rFonts w:ascii="宋体" w:eastAsia="宋体" w:hAnsi="宋体" w:cs="仿宋_GB2312"/>
                <w:kern w:val="2"/>
              </w:rPr>
            </w:pPr>
            <w:r>
              <w:rPr>
                <w:rFonts w:ascii="宋体" w:eastAsia="宋体" w:hAnsi="宋体" w:cs="仿宋_GB2312" w:hint="eastAsia"/>
                <w:kern w:val="2"/>
              </w:rPr>
              <w:t>6</w:t>
            </w:r>
          </w:p>
        </w:tc>
        <w:tc>
          <w:tcPr>
            <w:tcW w:w="7711" w:type="dxa"/>
            <w:vAlign w:val="center"/>
          </w:tcPr>
          <w:p>
            <w:pPr>
              <w:widowControl w:val="0"/>
              <w:spacing w:line="360" w:lineRule="auto"/>
              <w:jc w:val="both"/>
              <w:rPr>
                <w:rFonts w:ascii="宋体" w:eastAsia="宋体" w:hAnsi="宋体" w:cs="仿宋_GB2312"/>
                <w:kern w:val="2"/>
              </w:rPr>
            </w:pPr>
            <w:r>
              <w:rPr>
                <w:rFonts w:ascii="宋体" w:eastAsia="宋体" w:hAnsi="宋体" w:cs="仿宋_GB2312" w:hint="eastAsia"/>
                <w:kern w:val="2"/>
              </w:rPr>
              <w:t>擅自将投标密钥或电子营业执照出借他人使用或未妥善保管。</w:t>
            </w:r>
          </w:p>
        </w:tc>
      </w:tr>
    </w:tbl>
    <w:p>
      <w:pPr>
        <w:tabs>
          <w:tab w:val="center" w:pos="4153"/>
          <w:tab w:val="right" w:pos="8306"/>
        </w:tabs>
        <w:snapToGrid w:val="0"/>
        <w:spacing w:line="360" w:lineRule="auto"/>
        <w:jc w:val="center"/>
        <w:rPr>
          <w:rFonts w:ascii="宋体" w:eastAsia="宋体" w:hAnsi="宋体"/>
          <w:b/>
        </w:rPr>
      </w:pPr>
    </w:p>
    <w:p>
      <w:pPr>
        <w:keepNext/>
        <w:keepLines/>
        <w:widowControl w:val="0"/>
        <w:spacing w:before="260" w:after="260" w:line="360" w:lineRule="auto"/>
        <w:jc w:val="center"/>
        <w:outlineLvl w:val="1"/>
        <w:rPr>
          <w:rFonts w:ascii="宋体" w:eastAsia="宋体" w:hAnsi="宋体"/>
          <w:b/>
          <w:bCs/>
          <w:kern w:val="44"/>
        </w:rPr>
      </w:pPr>
      <w:r>
        <w:rPr>
          <w:rFonts w:ascii="宋体" w:eastAsia="宋体" w:hAnsi="宋体" w:cstheme="majorBidi"/>
          <w:b/>
          <w:bCs/>
        </w:rPr>
        <w:br w:type="page"/>
      </w:r>
      <w:bookmarkStart w:id="1" w:name="_Toc190353492"/>
      <w:r>
        <w:rPr>
          <w:rFonts w:ascii="宋体" w:eastAsia="宋体" w:hAnsi="宋体" w:hint="eastAsia"/>
          <w:b/>
          <w:bCs/>
          <w:kern w:val="44"/>
        </w:rPr>
        <w:t>其他警示条款</w:t>
      </w:r>
      <w:bookmarkEnd w:id="1"/>
    </w:p>
    <w:p>
      <w:pPr>
        <w:tabs>
          <w:tab w:val="center" w:pos="4153"/>
          <w:tab w:val="right" w:pos="8306"/>
        </w:tabs>
        <w:snapToGrid w:val="0"/>
        <w:spacing w:line="360" w:lineRule="auto"/>
        <w:rPr>
          <w:rFonts w:ascii="宋体" w:eastAsia="宋体" w:hAnsi="宋体"/>
        </w:rPr>
      </w:pP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一、</w:t>
      </w:r>
      <w:r>
        <w:rPr>
          <w:rFonts w:ascii="宋体" w:eastAsia="宋体" w:hAnsi="宋体" w:hint="eastAsia"/>
          <w:b/>
          <w:bCs/>
          <w:kern w:val="2"/>
        </w:rPr>
        <w:t>《深圳经济特区政府采购条例》第五十七条</w:t>
      </w:r>
      <w:r>
        <w:rPr>
          <w:rFonts w:ascii="宋体" w:eastAsia="宋体" w:hAnsi="宋体"/>
          <w:kern w:val="2"/>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（一）在采购活动中应当回避而未回避的；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（二）未按本条例规定签订、履行采购合同，造成严重后果的；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（三）隐瞒真实情况，提供虚假资料的；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（四）以非法手段排斥其他供应商参与竞争的；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（五）与其他采购参加人串通投标的；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（六）恶意投诉的；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（七）向采购项目相关人行贿或者提供其他不当利益的；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（八）阻碍、抗拒主管部门监督检查的；</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（九）其他违反本条例规定的行为。</w:t>
      </w:r>
    </w:p>
    <w:p>
      <w:pPr>
        <w:widowControl w:val="0"/>
        <w:spacing w:line="360" w:lineRule="auto"/>
        <w:ind w:firstLine="480" w:firstLineChars="200"/>
        <w:jc w:val="both"/>
        <w:rPr>
          <w:rFonts w:ascii="宋体" w:eastAsia="宋体" w:hAnsi="宋体"/>
          <w:kern w:val="2"/>
        </w:rPr>
      </w:pPr>
      <w:r>
        <w:rPr>
          <w:rFonts w:ascii="宋体" w:eastAsia="宋体" w:hAnsi="宋体" w:hint="eastAsia"/>
          <w:b/>
          <w:bCs/>
          <w:kern w:val="2"/>
        </w:rPr>
        <w:t>二、《深圳经济特区政府采购条例实施细则》第七十五条 </w:t>
      </w:r>
      <w:r>
        <w:rPr>
          <w:rFonts w:ascii="宋体" w:eastAsia="宋体" w:hAnsi="宋体" w:hint="eastAsia"/>
          <w:kern w:val="2"/>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spacing w:line="360" w:lineRule="auto"/>
        <w:ind w:firstLine="480" w:firstLineChars="200"/>
        <w:jc w:val="both"/>
        <w:rPr>
          <w:rFonts w:ascii="宋体" w:eastAsia="宋体" w:hAnsi="宋体"/>
          <w:kern w:val="2"/>
        </w:rPr>
      </w:pPr>
      <w:r>
        <w:rPr>
          <w:rFonts w:ascii="宋体" w:eastAsia="宋体" w:hAnsi="宋体" w:hint="eastAsia"/>
          <w:b/>
          <w:bCs/>
          <w:kern w:val="2"/>
        </w:rPr>
        <w:t>三、《深圳经济特区政府采购条例实施细则》第七十七条 </w:t>
      </w:r>
      <w:r>
        <w:rPr>
          <w:rFonts w:ascii="宋体" w:eastAsia="宋体" w:hAnsi="宋体" w:hint="eastAsia"/>
          <w:kern w:val="2"/>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投标供应商不能提供项目负责人或者主要技术人员的劳动合同、社会保险等劳动关系证明材料的，视为存在前款第（三）项规定的情形。</w:t>
      </w:r>
    </w:p>
    <w:p>
      <w:pPr>
        <w:widowControl w:val="0"/>
        <w:spacing w:line="360" w:lineRule="auto"/>
        <w:ind w:firstLine="480" w:firstLineChars="200"/>
        <w:jc w:val="both"/>
        <w:rPr>
          <w:rFonts w:ascii="宋体" w:eastAsia="宋体" w:hAnsi="宋体"/>
          <w:kern w:val="2"/>
        </w:rPr>
      </w:pPr>
      <w:r>
        <w:rPr>
          <w:rFonts w:ascii="宋体" w:eastAsia="宋体" w:hAnsi="宋体" w:hint="eastAsia"/>
          <w:kern w:val="2"/>
        </w:rPr>
        <w:t>四、请投标供应商阅读《政府采购违法行为风险知悉确认书》（内容详见招标文件），并经各投标供应商负责人或投标授权代表签字并加盖单位公章后，扫描上传至投标文件一并提交。</w:t>
      </w:r>
    </w:p>
    <w:p>
      <w:pPr>
        <w:spacing w:line="360" w:lineRule="auto"/>
        <w:jc w:val="center"/>
        <w:rPr>
          <w:rFonts w:ascii="宋体" w:eastAsia="宋体" w:hAnsi="宋体"/>
          <w:kern w:val="2"/>
        </w:rPr>
      </w:pPr>
      <w:r>
        <w:rPr>
          <w:rFonts w:ascii="宋体" w:eastAsia="宋体" w:hAnsi="宋体" w:hint="eastAsia"/>
          <w:kern w:val="2"/>
        </w:rPr>
        <w:t>注：该风险知悉确认书用于对供应商违法行为的警示，不作为供应商资格性审查及符合性审查条件。</w:t>
      </w:r>
      <w:r>
        <w:rPr>
          <w:rFonts w:ascii="宋体" w:eastAsia="宋体" w:hAnsi="宋体"/>
          <w:kern w:val="2"/>
        </w:rPr>
        <w:t xml:space="preserve"> </w:t>
      </w:r>
    </w:p>
    <w:p>
      <w:pPr>
        <w:spacing w:line="360" w:lineRule="auto"/>
        <w:ind w:firstLine="480" w:firstLineChars="200"/>
        <w:rPr>
          <w:rFonts w:ascii="宋体" w:eastAsia="宋体" w:hAnsi="宋体"/>
          <w:kern w:val="2"/>
        </w:rPr>
      </w:pPr>
    </w:p>
    <w:p>
      <w:pPr>
        <w:pStyle w:val="NormalWeb"/>
        <w:spacing w:line="360" w:lineRule="auto"/>
        <w:jc w:val="center"/>
        <w:outlineLvl w:val="1"/>
        <w:rPr>
          <w:rFonts w:ascii="宋体" w:eastAsia="宋体" w:hAnsi="宋体"/>
          <w:sz w:val="40"/>
          <w:szCs w:val="40"/>
        </w:rPr>
      </w:pPr>
    </w:p>
    <w:p>
      <w:pPr>
        <w:rPr>
          <w:rFonts w:ascii="宋体" w:eastAsia="宋体" w:hAnsi="宋体"/>
          <w:sz w:val="40"/>
          <w:szCs w:val="40"/>
        </w:rPr>
      </w:pPr>
      <w:r>
        <w:rPr>
          <w:rFonts w:ascii="宋体" w:eastAsia="宋体" w:hAnsi="宋体"/>
          <w:sz w:val="40"/>
          <w:szCs w:val="40"/>
        </w:rPr>
        <w:br w:type="page"/>
      </w:r>
    </w:p>
    <w:p>
      <w:pPr>
        <w:pStyle w:val="NormalWeb"/>
        <w:spacing w:line="360" w:lineRule="auto"/>
        <w:jc w:val="center"/>
        <w:outlineLvl w:val="1"/>
        <w:rPr>
          <w:rFonts w:ascii="宋体" w:eastAsia="宋体" w:hAnsi="宋体"/>
          <w:sz w:val="40"/>
          <w:szCs w:val="40"/>
        </w:rPr>
      </w:pPr>
      <w:r>
        <w:rPr>
          <w:rFonts w:ascii="宋体" w:eastAsia="宋体" w:hAnsi="宋体" w:cs="宋体" w:hint="eastAsia"/>
          <w:sz w:val="40"/>
          <w:szCs w:val="40"/>
        </w:rPr>
        <w:t>马峦街道病媒生物四害消杀项目</w:t>
      </w:r>
    </w:p>
    <w:p>
      <w:pPr>
        <w:pStyle w:val="NormalWeb"/>
        <w:spacing w:line="360" w:lineRule="auto"/>
        <w:jc w:val="center"/>
        <w:outlineLvl w:val="1"/>
        <w:rPr>
          <w:rFonts w:ascii="宋体" w:eastAsia="宋体" w:hAnsi="宋体"/>
          <w:sz w:val="40"/>
          <w:szCs w:val="40"/>
        </w:rPr>
      </w:pPr>
      <w:r>
        <w:rPr>
          <w:rFonts w:ascii="宋体" w:eastAsia="宋体" w:hAnsi="宋体" w:hint="eastAsia"/>
          <w:sz w:val="40"/>
          <w:szCs w:val="40"/>
        </w:rPr>
        <w:t>招标文件信息</w:t>
      </w:r>
    </w:p>
    <w:tbl>
      <w:tblPr>
        <w:tblStyle w:val="TableNormal"/>
        <w:tblW w:w="7938" w:type="dxa"/>
        <w:jc w:val="center"/>
        <w:tblCellSpacing w:w="0" w:type="dxa"/>
        <w:tblLayout w:type="fixed"/>
        <w:tblCellMar>
          <w:top w:w="36" w:type="dxa"/>
          <w:left w:w="36" w:type="dxa"/>
          <w:bottom w:w="36" w:type="dxa"/>
          <w:right w:w="36" w:type="dxa"/>
        </w:tblCellMar>
      </w:tblPr>
      <w:tblGrid>
        <w:gridCol w:w="2723"/>
        <w:gridCol w:w="5215"/>
      </w:tblGrid>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项目编号：</w:t>
            </w:r>
          </w:p>
        </w:tc>
        <w:tc>
          <w:tcPr>
            <w:tcW w:w="5215" w:type="dxa"/>
            <w:vAlign w:val="center"/>
          </w:tcPr>
          <w:p>
            <w:pPr>
              <w:spacing w:line="360" w:lineRule="auto"/>
              <w:jc w:val="left"/>
              <w:rPr>
                <w:rFonts w:ascii="宋体" w:eastAsia="宋体" w:hAnsi="宋体" w:cs="Times New Roman"/>
                <w:sz w:val="30"/>
                <w:szCs w:val="30"/>
              </w:rPr>
            </w:pPr>
            <w:r>
              <w:rPr>
                <w:rStyle w:val="DefaultParagraphFont"/>
                <w:rFonts w:ascii="宋体" w:eastAsia="宋体" w:hAnsi="宋体" w:cs="Times New Roman" w:hint="default"/>
                <w:color w:val="auto"/>
                <w:sz w:val="30"/>
                <w:szCs w:val="30"/>
                <w:shd w:val="clear" w:color="auto" w:fill="auto"/>
                <w:lang w:val="en-US" w:eastAsia="zh-CN"/>
              </w:rPr>
              <w:t>PSDL2025000030</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项目名称：</w:t>
            </w:r>
          </w:p>
        </w:tc>
        <w:tc>
          <w:tcPr>
            <w:tcW w:w="5215" w:type="dxa"/>
            <w:vAlign w:val="center"/>
          </w:tcPr>
          <w:p>
            <w:pPr>
              <w:jc w:val="left"/>
              <w:rPr>
                <w:rFonts w:ascii="宋体" w:eastAsia="宋体" w:hAnsi="宋体" w:cs="Times New Roman"/>
                <w:sz w:val="30"/>
                <w:szCs w:val="30"/>
              </w:rPr>
            </w:pPr>
            <w:r>
              <w:rPr>
                <w:rFonts w:ascii="宋体" w:eastAsia="宋体" w:hAnsi="宋体" w:hint="default"/>
                <w:sz w:val="30"/>
                <w:szCs w:val="30"/>
              </w:rPr>
              <w:t>马峦街道病媒生物四害消杀项目</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包 号：</w:t>
            </w:r>
          </w:p>
        </w:tc>
        <w:tc>
          <w:tcPr>
            <w:tcW w:w="5215" w:type="dxa"/>
            <w:vAlign w:val="center"/>
          </w:tcPr>
          <w:p>
            <w:pPr>
              <w:spacing w:line="360" w:lineRule="auto"/>
              <w:rPr>
                <w:rFonts w:ascii="宋体" w:eastAsia="宋体" w:hAnsi="宋体" w:cs="宋体"/>
                <w:sz w:val="30"/>
                <w:szCs w:val="30"/>
              </w:rPr>
            </w:pPr>
            <w:r>
              <w:rPr>
                <w:rFonts w:ascii="宋体" w:eastAsia="宋体" w:hAnsi="宋体"/>
                <w:sz w:val="30"/>
                <w:szCs w:val="30"/>
              </w:rPr>
              <w:t>A</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项目类型：</w:t>
            </w:r>
          </w:p>
        </w:tc>
        <w:tc>
          <w:tcPr>
            <w:tcW w:w="5215" w:type="dxa"/>
            <w:vAlign w:val="center"/>
          </w:tcPr>
          <w:p>
            <w:pPr>
              <w:spacing w:line="360" w:lineRule="auto"/>
              <w:rPr>
                <w:rFonts w:ascii="宋体" w:eastAsia="宋体" w:hAnsi="宋体" w:cs="宋体"/>
                <w:sz w:val="30"/>
                <w:szCs w:val="30"/>
              </w:rPr>
            </w:pPr>
            <w:r>
              <w:rPr>
                <w:rFonts w:ascii="宋体" w:eastAsia="宋体" w:hAnsi="宋体"/>
                <w:sz w:val="30"/>
                <w:szCs w:val="30"/>
              </w:rPr>
              <w:t>服务类</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采购方式：</w:t>
            </w:r>
          </w:p>
        </w:tc>
        <w:tc>
          <w:tcPr>
            <w:tcW w:w="5215" w:type="dxa"/>
            <w:vAlign w:val="center"/>
          </w:tcPr>
          <w:p>
            <w:pPr>
              <w:spacing w:line="360" w:lineRule="auto"/>
              <w:rPr>
                <w:rFonts w:ascii="宋体" w:eastAsia="宋体" w:hAnsi="宋体" w:cs="宋体"/>
                <w:sz w:val="30"/>
                <w:szCs w:val="30"/>
              </w:rPr>
            </w:pPr>
            <w:r>
              <w:rPr>
                <w:rFonts w:ascii="宋体" w:eastAsia="宋体" w:hAnsi="宋体"/>
                <w:sz w:val="30"/>
                <w:szCs w:val="30"/>
              </w:rPr>
              <w:t>公开招标</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货币类型：</w:t>
            </w:r>
          </w:p>
        </w:tc>
        <w:tc>
          <w:tcPr>
            <w:tcW w:w="5215" w:type="dxa"/>
            <w:vAlign w:val="center"/>
          </w:tcPr>
          <w:p>
            <w:pPr>
              <w:spacing w:line="360" w:lineRule="auto"/>
              <w:rPr>
                <w:rFonts w:ascii="宋体" w:eastAsia="宋体" w:hAnsi="宋体" w:cs="宋体"/>
                <w:sz w:val="30"/>
                <w:szCs w:val="30"/>
              </w:rPr>
            </w:pPr>
            <w:r>
              <w:rPr>
                <w:rFonts w:ascii="宋体" w:eastAsia="宋体" w:hAnsi="宋体"/>
                <w:sz w:val="30"/>
                <w:szCs w:val="30"/>
              </w:rPr>
              <w:t>人民币</w:t>
            </w:r>
          </w:p>
        </w:tc>
      </w:tr>
      <w:tr>
        <w:tblPrEx>
          <w:tblW w:w="7938" w:type="dxa"/>
          <w:jc w:val="center"/>
          <w:tblCellSpacing w:w="0" w:type="dxa"/>
          <w:tblLayout w:type="fixed"/>
          <w:tblCellMar>
            <w:top w:w="36" w:type="dxa"/>
            <w:left w:w="36" w:type="dxa"/>
            <w:bottom w:w="36" w:type="dxa"/>
            <w:right w:w="36" w:type="dxa"/>
          </w:tblCellMar>
        </w:tblPrEx>
        <w:trPr>
          <w:trHeight w:val="737"/>
          <w:tblCellSpacing w:w="0" w:type="dxa"/>
          <w:jc w:val="center"/>
        </w:trPr>
        <w:tc>
          <w:tcPr>
            <w:tcW w:w="2723" w:type="dxa"/>
            <w:vAlign w:val="center"/>
          </w:tcPr>
          <w:p>
            <w:pPr>
              <w:spacing w:line="360" w:lineRule="auto"/>
              <w:jc w:val="right"/>
              <w:rPr>
                <w:rFonts w:ascii="宋体" w:eastAsia="宋体" w:hAnsi="宋体" w:cs="宋体"/>
                <w:sz w:val="30"/>
                <w:szCs w:val="30"/>
              </w:rPr>
            </w:pPr>
            <w:r>
              <w:rPr>
                <w:rFonts w:ascii="宋体" w:eastAsia="宋体" w:hAnsi="宋体"/>
                <w:sz w:val="30"/>
                <w:szCs w:val="30"/>
              </w:rPr>
              <w:t>评标方法：</w:t>
            </w:r>
          </w:p>
        </w:tc>
        <w:tc>
          <w:tcPr>
            <w:tcW w:w="5215" w:type="dxa"/>
            <w:vAlign w:val="center"/>
          </w:tcPr>
          <w:p>
            <w:pPr>
              <w:spacing w:line="360" w:lineRule="auto"/>
              <w:rPr>
                <w:rFonts w:ascii="宋体" w:eastAsia="宋体" w:hAnsi="宋体" w:cs="宋体"/>
                <w:sz w:val="30"/>
                <w:szCs w:val="30"/>
              </w:rPr>
            </w:pPr>
            <w:r>
              <w:rPr>
                <w:rFonts w:ascii="宋体" w:eastAsia="宋体" w:hAnsi="宋体"/>
                <w:sz w:val="30"/>
                <w:szCs w:val="30"/>
              </w:rPr>
              <w:t>综合评分法（新价格分算法）</w:t>
            </w:r>
          </w:p>
        </w:tc>
      </w:tr>
    </w:tbl>
    <w:p>
      <w:pPr>
        <w:jc w:val="center"/>
        <w:outlineLvl w:val="1"/>
        <w:rPr>
          <w:rFonts w:ascii="宋体" w:eastAsia="宋体" w:hAnsi="宋体" w:hint="eastAsia"/>
          <w:sz w:val="40"/>
          <w:szCs w:val="40"/>
        </w:rPr>
      </w:pPr>
      <w:r>
        <w:rPr>
          <w:rFonts w:ascii="宋体" w:eastAsia="宋体" w:hAnsi="宋体" w:hint="eastAsia"/>
          <w:sz w:val="40"/>
          <w:szCs w:val="40"/>
        </w:rPr>
        <w:br w:type="page"/>
      </w:r>
    </w:p>
    <w:p>
      <w:pPr>
        <w:pStyle w:val="NormalWeb"/>
        <w:spacing w:line="360" w:lineRule="auto"/>
        <w:jc w:val="center"/>
        <w:outlineLvl w:val="1"/>
        <w:rPr>
          <w:rFonts w:ascii="宋体" w:eastAsia="宋体" w:hAnsi="宋体"/>
          <w:sz w:val="40"/>
          <w:szCs w:val="40"/>
        </w:rPr>
      </w:pPr>
      <w:r>
        <w:rPr>
          <w:rFonts w:ascii="宋体" w:eastAsia="宋体" w:hAnsi="宋体" w:hint="eastAsia"/>
          <w:sz w:val="40"/>
          <w:szCs w:val="40"/>
        </w:rPr>
        <w:t>资格性审查表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60" w:lineRule="auto"/>
              <w:jc w:val="center"/>
              <w:rPr>
                <w:rFonts w:ascii="宋体" w:eastAsia="宋体" w:hAnsi="宋体" w:cs="宋体"/>
              </w:rPr>
            </w:pPr>
            <w:r>
              <w:rPr>
                <w:rFonts w:ascii="宋体" w:eastAsia="宋体" w:hAnsi="宋体"/>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60" w:lineRule="auto"/>
              <w:jc w:val="center"/>
              <w:rPr>
                <w:rFonts w:ascii="宋体" w:eastAsia="宋体" w:hAnsi="宋体" w:cs="宋体"/>
              </w:rPr>
            </w:pPr>
            <w:r>
              <w:rPr>
                <w:rFonts w:ascii="宋体" w:eastAsia="宋体" w:hAnsi="宋体"/>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rPr>
              <w:t>1</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rPr>
              <w:t>投标人不符合资格要求，或未提交相应的资格证明资料（详见招标公告投标人资格要求，即申请人的资格要求）</w:t>
            </w:r>
          </w:p>
        </w:tc>
      </w:tr>
    </w:tbl>
    <w:p>
      <w:pPr>
        <w:pStyle w:val="NormalWeb"/>
        <w:spacing w:before="280" w:line="360" w:lineRule="auto"/>
        <w:jc w:val="center"/>
        <w:outlineLvl w:val="1"/>
        <w:rPr>
          <w:rFonts w:ascii="宋体" w:eastAsia="宋体" w:hAnsi="宋体"/>
          <w:sz w:val="40"/>
          <w:szCs w:val="40"/>
        </w:rPr>
      </w:pPr>
      <w:r>
        <w:rPr>
          <w:rFonts w:ascii="宋体" w:eastAsia="宋体" w:hAnsi="宋体" w:hint="eastAsia"/>
          <w:sz w:val="40"/>
          <w:szCs w:val="40"/>
        </w:rPr>
        <w:t>符合性审查表</w:t>
      </w:r>
    </w:p>
    <w:tbl>
      <w:tblPr>
        <w:tblStyle w:val="TableNormal"/>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60" w:lineRule="auto"/>
              <w:jc w:val="center"/>
              <w:rPr>
                <w:rFonts w:ascii="宋体" w:eastAsia="宋体" w:hAnsi="宋体" w:cs="宋体"/>
              </w:rPr>
            </w:pPr>
            <w:r>
              <w:rPr>
                <w:rFonts w:ascii="宋体" w:eastAsia="宋体" w:hAnsi="宋体" w:cs="宋体" w:hint="eastAsia"/>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60" w:lineRule="auto"/>
              <w:jc w:val="center"/>
              <w:rPr>
                <w:rFonts w:ascii="宋体" w:eastAsia="宋体" w:hAnsi="宋体" w:cs="宋体"/>
              </w:rPr>
            </w:pPr>
            <w:r>
              <w:rPr>
                <w:rFonts w:ascii="宋体" w:eastAsia="宋体" w:hAnsi="宋体" w:cs="宋体" w:hint="eastAsia"/>
              </w:rPr>
              <w:t>内容</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1</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将一个包或一个标段的内容拆开投标；</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2</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对同一项目投标时，提供两套以上的投标方案（招标文件另有规定的除外）；</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3</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投标总价高于预算金额（最高投标限价）的；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4</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5</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投标文件列明的项目服务期限不符合招标文件规定的期限；</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6</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对招标文件中带★号条款的响应有负偏离；</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7</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未按招标文件所提供的样式填写《投标函》；未按招标文件所提供的《政府采购投标及履约承诺函》进行承诺；未按招标文件对投标文件组成的要求提供投标文件；</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8</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投标文件存在列放位置错误，导致属于信息公开情形的没有被公开；</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9</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投标文件电子文档带病毒；</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10</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投标文件用不属于本公司的电子密钥进行加密的；</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11</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误选了非本项目的最新加密规则文件，导致投标文件不能在开标时解密；</w:t>
            </w:r>
          </w:p>
        </w:tc>
      </w:tr>
      <w:tr>
        <w:tblPrEx>
          <w:tblW w:w="9072"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spacing w:line="360" w:lineRule="auto"/>
              <w:jc w:val="center"/>
              <w:rPr>
                <w:rFonts w:ascii="宋体" w:eastAsia="宋体" w:hAnsi="宋体" w:cs="宋体"/>
              </w:rPr>
            </w:pPr>
            <w:r>
              <w:rPr>
                <w:rFonts w:ascii="宋体" w:eastAsia="宋体" w:hAnsi="宋体" w:cs="宋体" w:hint="eastAsia"/>
              </w:rPr>
              <w:t>12</w:t>
            </w:r>
          </w:p>
        </w:tc>
        <w:tc>
          <w:tcPr>
            <w:tcW w:w="8278" w:type="dxa"/>
            <w:tcBorders>
              <w:top w:val="single" w:sz="8" w:space="0" w:color="000000"/>
              <w:left w:val="single" w:sz="8" w:space="0" w:color="000000"/>
              <w:bottom w:val="single" w:sz="8" w:space="0" w:color="000000"/>
              <w:right w:val="single" w:sz="8" w:space="0" w:color="000000"/>
            </w:tcBorders>
          </w:tcPr>
          <w:p>
            <w:pPr>
              <w:spacing w:line="360" w:lineRule="auto"/>
              <w:rPr>
                <w:rFonts w:ascii="宋体" w:eastAsia="宋体" w:hAnsi="宋体" w:cs="宋体"/>
              </w:rPr>
            </w:pPr>
            <w:r>
              <w:rPr>
                <w:rFonts w:ascii="宋体" w:eastAsia="宋体" w:hAnsi="宋体" w:cs="宋体" w:hint="eastAsia"/>
              </w:rPr>
              <w:t>法律、法规、规章、规范性文件规定的其他情形。</w:t>
            </w:r>
          </w:p>
        </w:tc>
      </w:tr>
    </w:tbl>
    <w:p>
      <w:pPr>
        <w:spacing w:line="360" w:lineRule="auto"/>
        <w:rPr>
          <w:rFonts w:ascii="宋体" w:eastAsia="宋体" w:hAnsi="宋体"/>
          <w:b/>
        </w:rPr>
      </w:pPr>
      <w:r>
        <w:rPr>
          <w:rFonts w:ascii="宋体" w:eastAsia="宋体" w:hAnsi="宋体" w:hint="eastAsia"/>
          <w:b/>
        </w:rPr>
        <w:t>注：</w:t>
      </w:r>
    </w:p>
    <w:p>
      <w:pPr>
        <w:rPr>
          <w:rFonts w:ascii="宋体" w:eastAsia="宋体" w:hAnsi="宋体" w:cs="宋体"/>
          <w:b/>
          <w:bCs/>
        </w:rPr>
      </w:pPr>
      <w:bookmarkStart w:id="2" w:name="_Toc47703781"/>
      <w:bookmarkStart w:id="3" w:name="_Toc11620410"/>
      <w:r>
        <w:rPr>
          <w:rFonts w:ascii="宋体" w:eastAsia="宋体" w:hAnsi="宋体" w:cs="宋体" w:hint="eastAsia"/>
          <w:b/>
          <w:bCs/>
        </w:rPr>
        <w:t>1、《资格性审查表》和《符合性审查表》初审不通过，按投标无效处理。</w:t>
      </w:r>
      <w:bookmarkEnd w:id="2"/>
      <w:bookmarkEnd w:id="3"/>
    </w:p>
    <w:p>
      <w:pPr>
        <w:rPr>
          <w:rFonts w:ascii="宋体" w:eastAsia="宋体" w:hAnsi="宋体" w:cs="宋体"/>
          <w:b/>
          <w:bCs/>
        </w:rPr>
      </w:pPr>
      <w:r>
        <w:rPr>
          <w:rFonts w:ascii="宋体" w:eastAsia="宋体" w:hAnsi="宋体" w:cs="宋体" w:hint="eastAsia"/>
          <w:b/>
          <w:bCs/>
        </w:rPr>
        <w:t>2、评标委员会在资格性审查和符合性审查之前，将查看并比对各投标供应商标书的文件特征码、文件制作机器码、文本内容相似度等标书雷同性情况。</w:t>
      </w:r>
    </w:p>
    <w:p>
      <w:pPr>
        <w:pStyle w:val="Footer"/>
        <w:rPr>
          <w:rFonts w:ascii="宋体" w:eastAsia="宋体" w:hAnsi="宋体" w:cs="宋体"/>
          <w:b/>
          <w:bCs/>
          <w:sz w:val="21"/>
          <w:szCs w:val="21"/>
        </w:rPr>
      </w:pPr>
    </w:p>
    <w:p>
      <w:pPr>
        <w:rPr>
          <w:rFonts w:ascii="宋体" w:eastAsia="宋体" w:hAnsi="宋体"/>
        </w:rPr>
      </w:pPr>
      <w:r>
        <w:rPr>
          <w:rFonts w:ascii="宋体" w:eastAsia="宋体" w:hAnsi="宋体"/>
        </w:rPr>
        <w:br w:type="page"/>
      </w:r>
    </w:p>
    <w:p>
      <w:pPr>
        <w:pStyle w:val="NormalWeb"/>
        <w:spacing w:line="360" w:lineRule="auto"/>
        <w:jc w:val="center"/>
        <w:outlineLvl w:val="1"/>
        <w:rPr>
          <w:rFonts w:ascii="宋体" w:eastAsia="宋体" w:hAnsi="宋体"/>
          <w:sz w:val="40"/>
          <w:szCs w:val="40"/>
        </w:rPr>
      </w:pPr>
      <w:r>
        <w:rPr>
          <w:rFonts w:ascii="宋体" w:eastAsia="宋体" w:hAnsi="宋体" w:hint="eastAsia"/>
          <w:sz w:val="40"/>
          <w:szCs w:val="40"/>
        </w:rPr>
        <w:t>评标信息</w:t>
      </w:r>
    </w:p>
    <w:p>
      <w:pPr>
        <w:spacing w:line="360" w:lineRule="auto"/>
        <w:rPr>
          <w:rFonts w:ascii="宋体" w:eastAsia="宋体" w:hAnsi="宋体"/>
          <w:vanish/>
        </w:rPr>
      </w:pPr>
    </w:p>
    <w:tbl>
      <w:tblPr>
        <w:tblStyle w:val="TableNormal"/>
        <w:tblW w:w="9688" w:type="dxa"/>
        <w:jc w:val="center"/>
        <w:tblCellSpacing w:w="0" w:type="dxa"/>
        <w:tblLayout w:type="fixed"/>
        <w:tblCellMar>
          <w:top w:w="36" w:type="dxa"/>
          <w:left w:w="36" w:type="dxa"/>
          <w:bottom w:w="36" w:type="dxa"/>
          <w:right w:w="36" w:type="dxa"/>
        </w:tblCellMar>
      </w:tblPr>
      <w:tblGrid>
        <w:gridCol w:w="72"/>
        <w:gridCol w:w="608"/>
        <w:gridCol w:w="680"/>
        <w:gridCol w:w="1568"/>
        <w:gridCol w:w="1109"/>
        <w:gridCol w:w="5462"/>
        <w:gridCol w:w="114"/>
        <w:gridCol w:w="65"/>
      </w:tblGrid>
      <w:tr>
        <w:tblPrEx>
          <w:tblW w:w="9688" w:type="dxa"/>
          <w:jc w:val="center"/>
          <w:tblCellSpacing w:w="0" w:type="dxa"/>
          <w:tblLayout w:type="fixed"/>
          <w:tblCellMar>
            <w:top w:w="36" w:type="dxa"/>
            <w:left w:w="36" w:type="dxa"/>
            <w:bottom w:w="36" w:type="dxa"/>
            <w:right w:w="36" w:type="dxa"/>
          </w:tblCellMar>
        </w:tblPrEx>
        <w:trPr>
          <w:gridBefore w:val="1"/>
          <w:wBefore w:w="72" w:type="dxa"/>
          <w:tblCellSpacing w:w="0" w:type="dxa"/>
          <w:jc w:val="center"/>
        </w:trPr>
        <w:tc>
          <w:tcPr>
            <w:tcW w:w="9427" w:type="dxa"/>
            <w:gridSpan w:val="5"/>
            <w:tcBorders>
              <w:top w:val="nil"/>
              <w:left w:val="nil"/>
              <w:bottom w:val="nil"/>
              <w:right w:val="nil"/>
            </w:tcBorders>
            <w:vAlign w:val="center"/>
          </w:tcPr>
          <w:p>
            <w:pPr>
              <w:spacing w:line="360" w:lineRule="auto"/>
              <w:rPr>
                <w:rFonts w:ascii="宋体" w:eastAsia="宋体" w:hAnsi="宋体" w:cs="宋体"/>
                <w:b/>
                <w:bCs/>
              </w:rPr>
            </w:pPr>
            <w:r>
              <w:rPr>
                <w:rFonts w:ascii="宋体" w:eastAsia="宋体" w:hAnsi="宋体"/>
                <w:b/>
                <w:bCs/>
              </w:rPr>
              <w:t>评标方法：综合评分法（新价格分算法）</w:t>
            </w:r>
          </w:p>
        </w:tc>
        <w:tc>
          <w:tcPr>
            <w:tcW w:w="179" w:type="dxa"/>
            <w:gridSpan w:val="2"/>
            <w:tcBorders>
              <w:top w:val="nil"/>
              <w:left w:val="nil"/>
              <w:bottom w:val="nil"/>
              <w:right w:val="nil"/>
            </w:tcBorders>
            <w:vAlign w:val="center"/>
          </w:tcPr>
          <w:p>
            <w:pPr>
              <w:spacing w:line="360" w:lineRule="auto"/>
              <w:jc w:val="right"/>
              <w:rPr>
                <w:rFonts w:ascii="宋体" w:eastAsia="宋体" w:hAnsi="宋体" w:cs="宋体"/>
                <w:b/>
                <w:bCs/>
                <w:sz w:val="21"/>
                <w:szCs w:val="21"/>
              </w:rPr>
            </w:pPr>
          </w:p>
        </w:tc>
      </w:tr>
      <w:tr>
        <w:tblPrEx>
          <w:tblW w:w="9688" w:type="dxa"/>
          <w:jc w:val="center"/>
          <w:tblCellSpacing w:w="0" w:type="dxa"/>
          <w:tblLayout w:type="fixed"/>
          <w:tblCellMar>
            <w:top w:w="36" w:type="dxa"/>
            <w:left w:w="36" w:type="dxa"/>
            <w:bottom w:w="36" w:type="dxa"/>
            <w:right w:w="36" w:type="dxa"/>
          </w:tblCellMar>
        </w:tblPrEx>
        <w:trPr>
          <w:gridBefore w:val="1"/>
          <w:wBefore w:w="72" w:type="dxa"/>
          <w:tblCellSpacing w:w="0" w:type="dxa"/>
          <w:jc w:val="center"/>
        </w:trPr>
        <w:tc>
          <w:tcPr>
            <w:tcW w:w="9606" w:type="dxa"/>
            <w:gridSpan w:val="7"/>
            <w:tcBorders>
              <w:top w:val="nil"/>
              <w:left w:val="nil"/>
              <w:bottom w:val="nil"/>
              <w:right w:val="nil"/>
            </w:tcBorders>
            <w:vAlign w:val="center"/>
          </w:tcPr>
          <w:p>
            <w:pPr>
              <w:pStyle w:val="NormalWeb"/>
              <w:spacing w:line="360" w:lineRule="auto"/>
              <w:ind w:firstLine="420"/>
              <w:rPr>
                <w:rFonts w:ascii="宋体" w:eastAsia="宋体" w:hAnsi="宋体"/>
                <w:kern w:val="2"/>
              </w:rPr>
            </w:pPr>
            <w:r>
              <w:rPr>
                <w:rFonts w:ascii="宋体" w:eastAsia="宋体" w:hAnsi="宋体"/>
                <w:kern w:val="2"/>
              </w:rPr>
              <w:t xml:space="preserve">综合评分法，是指投标文件满足招标文件全部实质性要求，且按照评审因素的量化指标评审得分最高的投标人为中标候选人的评标方法。 </w:t>
            </w:r>
          </w:p>
          <w:p>
            <w:pPr>
              <w:pStyle w:val="NormalWeb"/>
              <w:spacing w:line="360" w:lineRule="auto"/>
              <w:ind w:firstLine="420"/>
              <w:rPr>
                <w:rFonts w:ascii="宋体" w:eastAsia="宋体" w:hAnsi="宋体"/>
                <w:kern w:val="2"/>
              </w:rPr>
            </w:pPr>
            <w:r>
              <w:rPr>
                <w:rFonts w:ascii="宋体" w:eastAsia="宋体" w:hAnsi="宋体"/>
                <w:kern w:val="2"/>
              </w:rPr>
              <w:t>价格分计算方法：</w:t>
            </w:r>
          </w:p>
          <w:p>
            <w:pPr>
              <w:pStyle w:val="NormalWeb"/>
              <w:spacing w:line="360" w:lineRule="auto"/>
              <w:ind w:left="420"/>
              <w:rPr>
                <w:rFonts w:ascii="宋体" w:eastAsia="宋体" w:hAnsi="宋体"/>
                <w:kern w:val="2"/>
              </w:rPr>
            </w:pPr>
            <w:r>
              <w:rPr>
                <w:rFonts w:ascii="宋体" w:eastAsia="宋体" w:hAnsi="宋体"/>
                <w:kern w:val="2"/>
              </w:rPr>
              <w:t xml:space="preserve">采用低价优先法计算，即满足招标文件要求且投标价格最低的投标报价为评标基准价，其价格分为满分。其他投标人的价格分统一按照下列公式计算： </w:t>
            </w:r>
          </w:p>
          <w:p>
            <w:pPr>
              <w:pStyle w:val="NormalWeb"/>
              <w:spacing w:line="360" w:lineRule="auto"/>
              <w:ind w:left="420"/>
              <w:rPr>
                <w:rFonts w:ascii="宋体" w:eastAsia="宋体" w:hAnsi="宋体"/>
                <w:kern w:val="2"/>
              </w:rPr>
            </w:pPr>
            <w:r>
              <w:rPr>
                <w:rFonts w:ascii="宋体" w:eastAsia="宋体" w:hAnsi="宋体"/>
                <w:kern w:val="2"/>
              </w:rPr>
              <w:t xml:space="preserve">投标报价得分=(评标基准价／投标报价)×100 </w:t>
            </w:r>
          </w:p>
          <w:p>
            <w:pPr>
              <w:pStyle w:val="NormalWeb"/>
              <w:spacing w:line="360" w:lineRule="auto"/>
              <w:ind w:left="420"/>
              <w:rPr>
                <w:rFonts w:ascii="宋体" w:eastAsia="宋体" w:hAnsi="宋体"/>
                <w:kern w:val="2"/>
              </w:rPr>
            </w:pPr>
            <w:r>
              <w:rPr>
                <w:rFonts w:ascii="宋体" w:eastAsia="宋体" w:hAnsi="宋体"/>
                <w:kern w:val="2"/>
              </w:rPr>
              <w:t xml:space="preserve">评标总得分＝F1×A1＋F2×A2＋……＋Fn×An </w:t>
            </w:r>
          </w:p>
          <w:p>
            <w:pPr>
              <w:pStyle w:val="NormalWeb"/>
              <w:spacing w:line="360" w:lineRule="auto"/>
              <w:ind w:left="420"/>
              <w:rPr>
                <w:rFonts w:ascii="宋体" w:eastAsia="宋体" w:hAnsi="宋体"/>
                <w:kern w:val="2"/>
              </w:rPr>
            </w:pPr>
            <w:r>
              <w:rPr>
                <w:rFonts w:ascii="宋体" w:eastAsia="宋体" w:hAnsi="宋体"/>
                <w:kern w:val="2"/>
              </w:rPr>
              <w:t xml:space="preserve">F1、F2……Fn分别为各项评审因素的得分； </w:t>
            </w:r>
          </w:p>
          <w:p>
            <w:pPr>
              <w:pStyle w:val="NormalWeb"/>
              <w:spacing w:line="360" w:lineRule="auto"/>
              <w:ind w:left="420"/>
              <w:rPr>
                <w:rFonts w:ascii="宋体" w:eastAsia="宋体" w:hAnsi="宋体"/>
                <w:kern w:val="2"/>
              </w:rPr>
            </w:pPr>
            <w:r>
              <w:rPr>
                <w:rFonts w:ascii="宋体" w:eastAsia="宋体" w:hAnsi="宋体"/>
                <w:kern w:val="2"/>
              </w:rPr>
              <w:t xml:space="preserve">A1、A2、……An 分别为各项评审因素所占的权重(A1＋A2＋……＋An＝1)。 </w:t>
            </w:r>
          </w:p>
          <w:p>
            <w:pPr>
              <w:pStyle w:val="NormalWeb"/>
              <w:spacing w:line="360" w:lineRule="auto"/>
              <w:ind w:left="420"/>
              <w:rPr>
                <w:rFonts w:ascii="宋体" w:eastAsia="宋体" w:hAnsi="宋体"/>
                <w:kern w:val="2"/>
              </w:rPr>
            </w:pPr>
            <w:r>
              <w:rPr>
                <w:rFonts w:ascii="宋体" w:eastAsia="宋体" w:hAnsi="宋体"/>
                <w:kern w:val="2"/>
              </w:rPr>
              <w:t xml:space="preserve">评标过程中，不得去掉报价中的最高报价和最低报价。 </w:t>
            </w:r>
          </w:p>
          <w:p>
            <w:pPr>
              <w:pStyle w:val="NormalWeb"/>
              <w:spacing w:line="360" w:lineRule="auto"/>
              <w:ind w:left="420"/>
              <w:rPr>
                <w:rFonts w:ascii="宋体" w:eastAsia="宋体" w:hAnsi="宋体"/>
                <w:kern w:val="2"/>
              </w:rPr>
            </w:pPr>
            <w:r>
              <w:rPr>
                <w:rFonts w:ascii="宋体" w:eastAsia="宋体" w:hAnsi="宋体"/>
                <w:kern w:val="2"/>
              </w:rPr>
              <w:t xml:space="preserve">此方法适用于货物类、服务类、工程类项目。 </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rFonts w:ascii="宋体" w:hAnsi="宋体" w:cs="宋体"/>
                <w:b/>
                <w:bCs/>
                <w:sz w:val="24"/>
              </w:rPr>
            </w:pPr>
            <w:r>
              <w:rPr>
                <w:b/>
                <w:bCs/>
              </w:rPr>
              <w:t>序号</w:t>
            </w:r>
          </w:p>
        </w:tc>
        <w:tc>
          <w:tcPr>
            <w:tcW w:w="3357"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rFonts w:ascii="宋体" w:hAnsi="宋体" w:cs="宋体"/>
                <w:b/>
                <w:bCs/>
                <w:sz w:val="24"/>
              </w:rPr>
            </w:pPr>
            <w:r>
              <w:rPr>
                <w:b/>
                <w:bCs/>
              </w:rPr>
              <w:t>评分项</w:t>
            </w:r>
          </w:p>
        </w:tc>
        <w:tc>
          <w:tcPr>
            <w:tcW w:w="5576"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rFonts w:ascii="宋体" w:hAnsi="宋体" w:cs="宋体"/>
                <w:b/>
                <w:bCs/>
                <w:sz w:val="24"/>
              </w:rPr>
            </w:pPr>
            <w:r>
              <w:rPr>
                <w:b/>
                <w:bCs/>
              </w:rPr>
              <w:t>权重(%)</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rHeight w:val="253"/>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1</w:t>
            </w:r>
          </w:p>
        </w:tc>
        <w:tc>
          <w:tcPr>
            <w:tcW w:w="3357" w:type="dxa"/>
            <w:gridSpan w:val="3"/>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价格</w:t>
            </w:r>
          </w:p>
        </w:tc>
        <w:tc>
          <w:tcPr>
            <w:tcW w:w="5576" w:type="dxa"/>
            <w:gridSpan w:val="2"/>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rFonts w:hint="eastAsia"/>
                <w:b/>
                <w:bCs/>
                <w:color w:val="0000FF"/>
              </w:rPr>
              <w:t>10</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8933" w:type="dxa"/>
            <w:gridSpan w:val="5"/>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2</w:t>
            </w:r>
          </w:p>
        </w:tc>
        <w:tc>
          <w:tcPr>
            <w:tcW w:w="3357" w:type="dxa"/>
            <w:gridSpan w:val="3"/>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576" w:type="dxa"/>
            <w:gridSpan w:val="2"/>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rFonts w:ascii="宋体" w:hAnsi="宋体" w:cs="宋体" w:hint="eastAsia"/>
                <w:b/>
                <w:bCs/>
                <w:color w:val="0000FF"/>
                <w:sz w:val="24"/>
              </w:rPr>
              <w:t>57</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8933" w:type="dxa"/>
            <w:gridSpan w:val="5"/>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序号</w:t>
            </w:r>
          </w:p>
        </w:tc>
        <w:tc>
          <w:tcPr>
            <w:tcW w:w="156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评分因素</w:t>
            </w:r>
          </w:p>
        </w:tc>
        <w:tc>
          <w:tcPr>
            <w:tcW w:w="1109"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权重(%)</w:t>
            </w:r>
          </w:p>
        </w:tc>
        <w:tc>
          <w:tcPr>
            <w:tcW w:w="557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评分准则</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1</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hint="eastAsia"/>
                <w:kern w:val="0"/>
              </w:rPr>
              <w:t>实施方案</w:t>
            </w:r>
          </w:p>
        </w:tc>
        <w:tc>
          <w:tcPr>
            <w:tcW w:w="1109" w:type="dxa"/>
            <w:tcBorders>
              <w:top w:val="single" w:sz="8" w:space="0" w:color="000000"/>
              <w:left w:val="single" w:sz="8" w:space="0" w:color="000000"/>
              <w:bottom w:val="single" w:sz="8" w:space="0" w:color="000000"/>
              <w:right w:val="single" w:sz="8" w:space="0" w:color="000000"/>
            </w:tcBorders>
          </w:tcPr>
          <w:p>
            <w:pPr>
              <w:widowControl/>
              <w:jc w:val="left"/>
              <w:rPr>
                <w:rFonts w:ascii="宋体" w:hAnsi="宋体" w:cs="宋体"/>
                <w:szCs w:val="21"/>
              </w:rPr>
            </w:pPr>
            <w:r>
              <w:rPr>
                <w:rFonts w:ascii="Calibri" w:hAnsi="Calibri" w:cs="宋体"/>
                <w:szCs w:val="22"/>
              </w:rPr>
              <w:t>10</w:t>
            </w:r>
          </w:p>
        </w:tc>
        <w:tc>
          <w:tcPr>
            <w:tcW w:w="5576" w:type="dxa"/>
            <w:gridSpan w:val="2"/>
            <w:tcBorders>
              <w:top w:val="single" w:sz="8" w:space="0" w:color="000000"/>
              <w:left w:val="single" w:sz="8" w:space="0" w:color="000000"/>
              <w:bottom w:val="single" w:sz="8" w:space="0" w:color="000000"/>
              <w:right w:val="single" w:sz="8" w:space="0" w:color="000000"/>
            </w:tcBorders>
          </w:tcPr>
          <w:p>
            <w:pPr>
              <w:rPr>
                <w:b/>
              </w:rPr>
            </w:pPr>
            <w:r>
              <w:rPr>
                <w:rFonts w:hint="eastAsia"/>
                <w:b/>
              </w:rPr>
              <w:t>（一）评分内容：</w:t>
            </w:r>
          </w:p>
          <w:p>
            <w:pPr>
              <w:jc w:val="left"/>
              <w:rPr>
                <w:rFonts w:ascii="宋体" w:hAnsi="宋体"/>
                <w:szCs w:val="21"/>
              </w:rPr>
            </w:pPr>
            <w:r>
              <w:rPr>
                <w:rFonts w:ascii="宋体" w:hAnsi="宋体" w:hint="eastAsia"/>
                <w:szCs w:val="21"/>
              </w:rPr>
              <w:t>评审委员会根据投标单位的项目实施方案进行评审，包括但不限于以下方案：</w:t>
            </w:r>
          </w:p>
          <w:p>
            <w:pPr>
              <w:rPr>
                <w:rFonts w:ascii="宋体" w:hAnsi="宋体" w:cs="宋体"/>
                <w:bCs/>
                <w:szCs w:val="21"/>
              </w:rPr>
            </w:pPr>
            <w:r>
              <w:rPr>
                <w:rFonts w:ascii="宋体" w:hAnsi="宋体" w:cs="宋体" w:hint="eastAsia"/>
                <w:bCs/>
                <w:szCs w:val="21"/>
              </w:rPr>
              <w:t>1、整体管理设想；</w:t>
            </w:r>
          </w:p>
          <w:p>
            <w:pPr>
              <w:rPr>
                <w:rFonts w:ascii="宋体" w:hAnsi="宋体" w:cs="宋体"/>
                <w:bCs/>
                <w:szCs w:val="21"/>
              </w:rPr>
            </w:pPr>
            <w:r>
              <w:rPr>
                <w:rFonts w:ascii="宋体" w:hAnsi="宋体" w:cs="宋体" w:hint="eastAsia"/>
                <w:bCs/>
                <w:szCs w:val="21"/>
              </w:rPr>
              <w:t>2、整体运作规划；</w:t>
            </w:r>
          </w:p>
          <w:p>
            <w:pPr>
              <w:rPr>
                <w:rFonts w:ascii="宋体" w:hAnsi="宋体" w:cs="宋体"/>
                <w:bCs/>
                <w:szCs w:val="21"/>
              </w:rPr>
            </w:pPr>
            <w:r>
              <w:rPr>
                <w:rFonts w:ascii="宋体" w:hAnsi="宋体" w:cs="宋体" w:hint="eastAsia"/>
                <w:bCs/>
                <w:szCs w:val="21"/>
              </w:rPr>
              <w:t>3、组织机构；</w:t>
            </w:r>
          </w:p>
          <w:p>
            <w:pPr>
              <w:rPr>
                <w:rFonts w:ascii="宋体" w:hAnsi="宋体" w:cs="宋体"/>
                <w:bCs/>
                <w:szCs w:val="21"/>
              </w:rPr>
            </w:pPr>
            <w:r>
              <w:rPr>
                <w:rFonts w:ascii="宋体" w:hAnsi="宋体" w:cs="宋体" w:hint="eastAsia"/>
                <w:bCs/>
                <w:szCs w:val="21"/>
              </w:rPr>
              <w:t>4、服务团队配置；</w:t>
            </w:r>
          </w:p>
          <w:p>
            <w:pPr>
              <w:rPr>
                <w:rFonts w:ascii="宋体" w:hAnsi="宋体" w:cs="宋体"/>
                <w:bCs/>
                <w:szCs w:val="21"/>
              </w:rPr>
            </w:pPr>
            <w:r>
              <w:rPr>
                <w:rFonts w:ascii="宋体" w:hAnsi="宋体" w:cs="宋体" w:hint="eastAsia"/>
                <w:bCs/>
                <w:szCs w:val="21"/>
              </w:rPr>
              <w:t>5、人员培训计划；</w:t>
            </w:r>
          </w:p>
          <w:p>
            <w:pPr>
              <w:rPr>
                <w:rFonts w:ascii="宋体" w:hAnsi="宋体" w:cs="宋体"/>
                <w:bCs/>
                <w:szCs w:val="21"/>
              </w:rPr>
            </w:pPr>
            <w:r>
              <w:rPr>
                <w:rFonts w:ascii="宋体" w:hAnsi="宋体" w:cs="宋体" w:hint="eastAsia"/>
                <w:bCs/>
                <w:szCs w:val="21"/>
              </w:rPr>
              <w:t>6、管理措施等。</w:t>
            </w:r>
          </w:p>
          <w:p>
            <w:pPr>
              <w:rPr>
                <w:b/>
              </w:rPr>
            </w:pPr>
            <w:r>
              <w:rPr>
                <w:rFonts w:hint="eastAsia"/>
                <w:b/>
              </w:rPr>
              <w:t>（二）评分依据：</w:t>
            </w:r>
          </w:p>
          <w:p>
            <w:pPr>
              <w:jc w:val="left"/>
              <w:rPr>
                <w:rFonts w:ascii="宋体" w:hAnsi="宋体"/>
                <w:szCs w:val="21"/>
              </w:rPr>
            </w:pPr>
            <w:r>
              <w:rPr>
                <w:rFonts w:ascii="宋体" w:hAnsi="宋体" w:hint="eastAsia"/>
                <w:szCs w:val="21"/>
              </w:rPr>
              <w:t>提供以上</w:t>
            </w:r>
            <w:r>
              <w:rPr>
                <w:rFonts w:ascii="宋体" w:hAnsi="宋体"/>
                <w:szCs w:val="21"/>
              </w:rPr>
              <w:t>6</w:t>
            </w:r>
            <w:r>
              <w:rPr>
                <w:rFonts w:ascii="宋体" w:hAnsi="宋体" w:hint="eastAsia"/>
                <w:szCs w:val="21"/>
              </w:rPr>
              <w:t>点内容得</w:t>
            </w:r>
            <w:r>
              <w:rPr>
                <w:rFonts w:ascii="宋体" w:hAnsi="宋体"/>
                <w:szCs w:val="21"/>
              </w:rPr>
              <w:t>7</w:t>
            </w:r>
            <w:r>
              <w:rPr>
                <w:rFonts w:ascii="宋体" w:hAnsi="宋体" w:hint="eastAsia"/>
                <w:szCs w:val="21"/>
              </w:rPr>
              <w:t>0分，缺项不得分。 在此基础上，专家根据内容的合理性进行评分:</w:t>
            </w:r>
          </w:p>
          <w:p>
            <w:pPr>
              <w:jc w:val="left"/>
              <w:rPr>
                <w:rFonts w:ascii="宋体" w:hAnsi="宋体"/>
                <w:szCs w:val="21"/>
              </w:rPr>
            </w:pPr>
            <w:r>
              <w:rPr>
                <w:rFonts w:ascii="宋体" w:hAnsi="宋体" w:hint="eastAsia"/>
                <w:szCs w:val="21"/>
              </w:rPr>
              <w:t>优评分标准:</w:t>
            </w:r>
            <w:r>
              <w:rPr>
                <w:rFonts w:ascii="宋体" w:hAnsi="宋体" w:cs="宋体" w:hint="eastAsia"/>
                <w:bCs/>
                <w:szCs w:val="21"/>
              </w:rPr>
              <w:t xml:space="preserve"> 实施方案全面、具体详实、理解准确、透彻</w:t>
            </w:r>
            <w:r>
              <w:rPr>
                <w:rFonts w:ascii="宋体" w:hAnsi="宋体" w:hint="eastAsia"/>
                <w:szCs w:val="21"/>
              </w:rPr>
              <w:t>，加</w:t>
            </w:r>
            <w:r>
              <w:rPr>
                <w:rFonts w:ascii="宋体" w:hAnsi="宋体"/>
                <w:szCs w:val="21"/>
              </w:rPr>
              <w:t>3</w:t>
            </w:r>
            <w:r>
              <w:rPr>
                <w:rFonts w:ascii="宋体" w:hAnsi="宋体" w:hint="eastAsia"/>
                <w:szCs w:val="21"/>
              </w:rPr>
              <w:t>0分;</w:t>
            </w:r>
          </w:p>
          <w:p>
            <w:pPr>
              <w:jc w:val="left"/>
              <w:rPr>
                <w:rFonts w:ascii="宋体" w:hAnsi="宋体"/>
                <w:szCs w:val="21"/>
              </w:rPr>
            </w:pPr>
            <w:r>
              <w:rPr>
                <w:rFonts w:ascii="宋体" w:hAnsi="宋体" w:hint="eastAsia"/>
                <w:szCs w:val="21"/>
              </w:rPr>
              <w:t>良评分标准:</w:t>
            </w:r>
            <w:r>
              <w:rPr>
                <w:rFonts w:ascii="宋体" w:hAnsi="宋体" w:cs="宋体" w:hint="eastAsia"/>
                <w:bCs/>
                <w:szCs w:val="21"/>
              </w:rPr>
              <w:t xml:space="preserve"> 实施方案具体较详实、理解较准确、较透彻，</w:t>
            </w:r>
            <w:r>
              <w:rPr>
                <w:rFonts w:ascii="宋体" w:hAnsi="宋体" w:hint="eastAsia"/>
                <w:szCs w:val="21"/>
              </w:rPr>
              <w:t>加2</w:t>
            </w:r>
            <w:r>
              <w:rPr>
                <w:rFonts w:ascii="宋体" w:hAnsi="宋体"/>
                <w:szCs w:val="21"/>
              </w:rPr>
              <w:t>0</w:t>
            </w:r>
            <w:r>
              <w:rPr>
                <w:rFonts w:ascii="宋体" w:hAnsi="宋体" w:hint="eastAsia"/>
                <w:szCs w:val="21"/>
              </w:rPr>
              <w:t>分;</w:t>
            </w:r>
          </w:p>
          <w:p>
            <w:pPr>
              <w:jc w:val="left"/>
              <w:rPr>
                <w:rFonts w:ascii="宋体" w:hAnsi="宋体"/>
                <w:szCs w:val="21"/>
              </w:rPr>
            </w:pPr>
            <w:r>
              <w:rPr>
                <w:rFonts w:ascii="宋体" w:hAnsi="宋体" w:hint="eastAsia"/>
                <w:szCs w:val="21"/>
              </w:rPr>
              <w:t>中评分标准:</w:t>
            </w:r>
            <w:r>
              <w:rPr>
                <w:rFonts w:ascii="宋体" w:hAnsi="宋体" w:cs="宋体" w:hint="eastAsia"/>
                <w:bCs/>
                <w:szCs w:val="21"/>
              </w:rPr>
              <w:t xml:space="preserve"> 实施方案理解较准确、较透彻</w:t>
            </w:r>
            <w:r>
              <w:rPr>
                <w:rFonts w:ascii="宋体" w:hAnsi="宋体" w:hint="eastAsia"/>
                <w:szCs w:val="21"/>
              </w:rPr>
              <w:t>，加10分;</w:t>
            </w:r>
          </w:p>
          <w:p>
            <w:pPr>
              <w:jc w:val="left"/>
              <w:rPr>
                <w:rFonts w:ascii="宋体" w:hAnsi="宋体"/>
                <w:szCs w:val="21"/>
              </w:rPr>
            </w:pPr>
            <w:r>
              <w:rPr>
                <w:rFonts w:ascii="宋体" w:hAnsi="宋体" w:hint="eastAsia"/>
                <w:szCs w:val="21"/>
              </w:rPr>
              <w:t>差评分标准：</w:t>
            </w:r>
            <w:r>
              <w:rPr>
                <w:rFonts w:ascii="宋体" w:hAnsi="宋体" w:cs="宋体" w:hint="eastAsia"/>
                <w:bCs/>
                <w:szCs w:val="21"/>
              </w:rPr>
              <w:t>实施方案理解不透彻</w:t>
            </w:r>
            <w:r>
              <w:rPr>
                <w:rFonts w:ascii="宋体" w:hAnsi="宋体" w:hint="eastAsia"/>
                <w:szCs w:val="21"/>
              </w:rPr>
              <w:t>，不得分。</w:t>
            </w:r>
          </w:p>
          <w:p>
            <w:pPr>
              <w:jc w:val="left"/>
              <w:rPr>
                <w:rFonts w:ascii="宋体" w:hAnsi="宋体" w:cs="宋体"/>
                <w:szCs w:val="21"/>
              </w:rPr>
            </w:pPr>
            <w:r>
              <w:rPr>
                <w:rFonts w:ascii="宋体" w:hAnsi="宋体" w:hint="eastAsia"/>
                <w:szCs w:val="21"/>
              </w:rPr>
              <w:t>如评审为差，评审专家须书面说明理由，并记录在档。</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2</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hint="eastAsia"/>
              </w:rPr>
              <w:t>质量保障措施及应急方案</w:t>
            </w:r>
          </w:p>
        </w:tc>
        <w:tc>
          <w:tcPr>
            <w:tcW w:w="1109"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6</w:t>
            </w:r>
          </w:p>
        </w:tc>
        <w:tc>
          <w:tcPr>
            <w:tcW w:w="5576" w:type="dxa"/>
            <w:gridSpan w:val="2"/>
            <w:tcBorders>
              <w:top w:val="single" w:sz="8" w:space="0" w:color="000000"/>
              <w:left w:val="single" w:sz="8" w:space="0" w:color="000000"/>
              <w:bottom w:val="single" w:sz="8" w:space="0" w:color="000000"/>
              <w:right w:val="single" w:sz="8" w:space="0" w:color="000000"/>
            </w:tcBorders>
          </w:tcPr>
          <w:p>
            <w:pPr>
              <w:rPr>
                <w:b/>
              </w:rPr>
            </w:pPr>
            <w:r>
              <w:rPr>
                <w:rFonts w:hint="eastAsia"/>
                <w:b/>
              </w:rPr>
              <w:t>（一）评分内容：</w:t>
            </w:r>
          </w:p>
          <w:p>
            <w:pPr>
              <w:wordWrap w:val="0"/>
              <w:rPr>
                <w:rFonts w:ascii="宋体" w:hAnsi="宋体" w:cs="宋体"/>
                <w:szCs w:val="21"/>
              </w:rPr>
            </w:pPr>
            <w:r>
              <w:rPr>
                <w:rFonts w:ascii="宋体" w:hAnsi="宋体" w:cs="宋体" w:hint="eastAsia"/>
                <w:szCs w:val="21"/>
              </w:rPr>
              <w:t>考察针对本项目的质量保障措施及应急方案，方案内容包括以下内容:</w:t>
            </w:r>
          </w:p>
          <w:p>
            <w:pPr>
              <w:rPr>
                <w:rFonts w:ascii="宋体" w:hAnsi="宋体" w:cs="宋体"/>
                <w:bCs/>
                <w:szCs w:val="21"/>
              </w:rPr>
            </w:pPr>
            <w:r>
              <w:rPr>
                <w:rFonts w:ascii="宋体" w:hAnsi="宋体" w:cs="宋体" w:hint="eastAsia"/>
                <w:bCs/>
                <w:szCs w:val="21"/>
              </w:rPr>
              <w:t>1、规章制度；</w:t>
            </w:r>
          </w:p>
          <w:p>
            <w:pPr>
              <w:rPr>
                <w:rFonts w:ascii="宋体" w:hAnsi="宋体" w:cs="宋体"/>
                <w:bCs/>
                <w:szCs w:val="21"/>
              </w:rPr>
            </w:pPr>
            <w:r>
              <w:rPr>
                <w:rFonts w:ascii="宋体" w:hAnsi="宋体" w:cs="宋体" w:hint="eastAsia"/>
                <w:bCs/>
                <w:szCs w:val="21"/>
              </w:rPr>
              <w:t>2、档案管理制度；</w:t>
            </w:r>
          </w:p>
          <w:p>
            <w:pPr>
              <w:rPr>
                <w:rFonts w:ascii="宋体" w:hAnsi="宋体" w:cs="宋体"/>
                <w:bCs/>
                <w:szCs w:val="21"/>
              </w:rPr>
            </w:pPr>
            <w:r>
              <w:rPr>
                <w:rFonts w:ascii="宋体" w:hAnsi="宋体" w:cs="宋体" w:hint="eastAsia"/>
                <w:bCs/>
                <w:szCs w:val="21"/>
              </w:rPr>
              <w:t>3、相应的质量保障措施；</w:t>
            </w:r>
          </w:p>
          <w:p>
            <w:pPr>
              <w:rPr>
                <w:rFonts w:ascii="宋体" w:hAnsi="宋体" w:cs="宋体"/>
                <w:bCs/>
                <w:szCs w:val="21"/>
              </w:rPr>
            </w:pPr>
            <w:r>
              <w:rPr>
                <w:rFonts w:ascii="宋体" w:hAnsi="宋体" w:cs="宋体" w:hint="eastAsia"/>
                <w:bCs/>
                <w:szCs w:val="21"/>
              </w:rPr>
              <w:t>4、应急突发事件处理应对预案(如登革热、突发疫情等）。</w:t>
            </w:r>
          </w:p>
          <w:p>
            <w:pPr>
              <w:rPr>
                <w:b/>
              </w:rPr>
            </w:pPr>
            <w:r>
              <w:rPr>
                <w:rFonts w:hint="eastAsia"/>
                <w:b/>
              </w:rPr>
              <w:t>（二）评分依据：</w:t>
            </w:r>
          </w:p>
          <w:p>
            <w:pPr>
              <w:jc w:val="left"/>
              <w:rPr>
                <w:rFonts w:ascii="宋体" w:hAnsi="宋体"/>
                <w:szCs w:val="21"/>
              </w:rPr>
            </w:pPr>
            <w:r>
              <w:rPr>
                <w:rFonts w:ascii="宋体" w:hAnsi="宋体" w:cs="宋体" w:hint="eastAsia"/>
                <w:szCs w:val="21"/>
              </w:rPr>
              <w:t>提供以上</w:t>
            </w:r>
            <w:r>
              <w:rPr>
                <w:rFonts w:ascii="宋体" w:hAnsi="宋体" w:cs="宋体"/>
                <w:szCs w:val="21"/>
              </w:rPr>
              <w:t>4</w:t>
            </w:r>
            <w:r>
              <w:rPr>
                <w:rFonts w:ascii="宋体" w:hAnsi="宋体" w:cs="宋体" w:hint="eastAsia"/>
                <w:szCs w:val="21"/>
              </w:rPr>
              <w:t>点内容得</w:t>
            </w:r>
            <w:r>
              <w:rPr>
                <w:rFonts w:ascii="宋体" w:hAnsi="宋体" w:cs="宋体"/>
                <w:szCs w:val="21"/>
              </w:rPr>
              <w:t>7</w:t>
            </w:r>
            <w:r>
              <w:rPr>
                <w:rFonts w:ascii="宋体" w:hAnsi="宋体" w:cs="宋体" w:hint="eastAsia"/>
                <w:szCs w:val="21"/>
              </w:rPr>
              <w:t>0分，</w:t>
            </w:r>
            <w:r>
              <w:rPr>
                <w:rFonts w:ascii="宋体" w:hAnsi="宋体" w:hint="eastAsia"/>
                <w:szCs w:val="21"/>
              </w:rPr>
              <w:t>缺项不得分。在此基础上，专家根据内容的合理性进行评分:</w:t>
            </w:r>
          </w:p>
          <w:p>
            <w:pPr>
              <w:jc w:val="left"/>
              <w:rPr>
                <w:rFonts w:ascii="宋体" w:hAnsi="宋体"/>
                <w:szCs w:val="21"/>
              </w:rPr>
            </w:pPr>
            <w:r>
              <w:rPr>
                <w:rFonts w:ascii="宋体" w:hAnsi="宋体" w:cs="宋体" w:hint="eastAsia"/>
                <w:szCs w:val="21"/>
              </w:rPr>
              <w:t>优评分标准:</w:t>
            </w:r>
            <w:r>
              <w:rPr>
                <w:rFonts w:ascii="宋体" w:hAnsi="宋体" w:cs="宋体" w:hint="eastAsia"/>
                <w:bCs/>
                <w:szCs w:val="21"/>
              </w:rPr>
              <w:t xml:space="preserve"> 内容全面、针对性强、可操作性强</w:t>
            </w:r>
            <w:r>
              <w:rPr>
                <w:rFonts w:ascii="宋体" w:hAnsi="宋体" w:hint="eastAsia"/>
                <w:szCs w:val="21"/>
              </w:rPr>
              <w:t>，得</w:t>
            </w:r>
            <w:r>
              <w:rPr>
                <w:rFonts w:ascii="宋体" w:hAnsi="宋体"/>
                <w:szCs w:val="21"/>
              </w:rPr>
              <w:t>3</w:t>
            </w:r>
            <w:r>
              <w:rPr>
                <w:rFonts w:ascii="宋体" w:hAnsi="宋体" w:hint="eastAsia"/>
                <w:szCs w:val="21"/>
              </w:rPr>
              <w:t>0分;</w:t>
            </w:r>
          </w:p>
          <w:p>
            <w:pPr>
              <w:jc w:val="left"/>
              <w:rPr>
                <w:rFonts w:ascii="宋体" w:hAnsi="宋体"/>
                <w:szCs w:val="21"/>
              </w:rPr>
            </w:pPr>
            <w:r>
              <w:rPr>
                <w:rFonts w:ascii="宋体" w:hAnsi="宋体" w:cs="宋体" w:hint="eastAsia"/>
                <w:szCs w:val="21"/>
              </w:rPr>
              <w:t>良评分标准:</w:t>
            </w:r>
            <w:r>
              <w:rPr>
                <w:rFonts w:ascii="宋体" w:hAnsi="宋体" w:cs="宋体" w:hint="eastAsia"/>
                <w:bCs/>
                <w:szCs w:val="21"/>
              </w:rPr>
              <w:t xml:space="preserve"> 内容较全面、针对性较强、可操作性较强</w:t>
            </w:r>
            <w:r>
              <w:rPr>
                <w:rFonts w:ascii="宋体" w:hAnsi="宋体" w:hint="eastAsia"/>
                <w:szCs w:val="21"/>
              </w:rPr>
              <w:t>，得</w:t>
            </w:r>
            <w:r>
              <w:rPr>
                <w:rFonts w:ascii="宋体" w:hAnsi="宋体"/>
                <w:szCs w:val="21"/>
              </w:rPr>
              <w:t>20</w:t>
            </w:r>
            <w:r>
              <w:rPr>
                <w:rFonts w:ascii="宋体" w:hAnsi="宋体" w:hint="eastAsia"/>
                <w:szCs w:val="21"/>
              </w:rPr>
              <w:t>分;</w:t>
            </w:r>
          </w:p>
          <w:p>
            <w:pPr>
              <w:jc w:val="left"/>
              <w:rPr>
                <w:rFonts w:ascii="宋体" w:hAnsi="宋体"/>
                <w:szCs w:val="21"/>
              </w:rPr>
            </w:pPr>
            <w:r>
              <w:rPr>
                <w:rFonts w:ascii="宋体" w:hAnsi="宋体" w:cs="宋体" w:hint="eastAsia"/>
                <w:szCs w:val="21"/>
              </w:rPr>
              <w:t>中评分标准：内容完整性、针对性、可操作性均一般</w:t>
            </w:r>
            <w:r>
              <w:rPr>
                <w:rFonts w:ascii="宋体" w:hAnsi="宋体" w:hint="eastAsia"/>
                <w:szCs w:val="21"/>
              </w:rPr>
              <w:t>，得10分;</w:t>
            </w:r>
          </w:p>
          <w:p>
            <w:pPr>
              <w:wordWrap w:val="0"/>
              <w:rPr>
                <w:rFonts w:ascii="宋体" w:hAnsi="宋体"/>
                <w:szCs w:val="21"/>
              </w:rPr>
            </w:pPr>
            <w:r>
              <w:rPr>
                <w:rFonts w:ascii="宋体" w:hAnsi="宋体" w:cs="宋体" w:hint="eastAsia"/>
                <w:szCs w:val="21"/>
              </w:rPr>
              <w:t>差评分标准:</w:t>
            </w:r>
            <w:r>
              <w:rPr>
                <w:rFonts w:ascii="宋体" w:hAnsi="宋体" w:cs="宋体" w:hint="eastAsia"/>
                <w:bCs/>
                <w:szCs w:val="21"/>
              </w:rPr>
              <w:t>内容不完善、针对性较弱、可操作性不强</w:t>
            </w:r>
            <w:r>
              <w:rPr>
                <w:rFonts w:ascii="宋体" w:hAnsi="宋体" w:cs="宋体" w:hint="eastAsia"/>
                <w:szCs w:val="21"/>
              </w:rPr>
              <w:t>，</w:t>
            </w:r>
            <w:r>
              <w:rPr>
                <w:rFonts w:ascii="宋体" w:hAnsi="宋体" w:hint="eastAsia"/>
                <w:szCs w:val="21"/>
              </w:rPr>
              <w:t>不得分。</w:t>
            </w:r>
          </w:p>
          <w:p>
            <w:pPr>
              <w:wordWrap w:val="0"/>
              <w:rPr>
                <w:rFonts w:ascii="宋体" w:hAnsi="宋体" w:cs="宋体"/>
                <w:szCs w:val="21"/>
              </w:rPr>
            </w:pPr>
            <w:r>
              <w:rPr>
                <w:rFonts w:ascii="宋体" w:hAnsi="宋体" w:hint="eastAsia"/>
                <w:szCs w:val="21"/>
              </w:rPr>
              <w:t>如评审为差，评审专家须书面说明理由，并记录在档。</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3</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项目重点难点分析、应对措施及相关的合理化建议</w:t>
            </w:r>
          </w:p>
        </w:tc>
        <w:tc>
          <w:tcPr>
            <w:tcW w:w="1109"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6</w:t>
            </w:r>
          </w:p>
        </w:tc>
        <w:tc>
          <w:tcPr>
            <w:tcW w:w="5576" w:type="dxa"/>
            <w:gridSpan w:val="2"/>
            <w:tcBorders>
              <w:top w:val="single" w:sz="8" w:space="0" w:color="000000"/>
              <w:left w:val="single" w:sz="8" w:space="0" w:color="000000"/>
              <w:bottom w:val="single" w:sz="8" w:space="0" w:color="000000"/>
              <w:right w:val="single" w:sz="8" w:space="0" w:color="000000"/>
            </w:tcBorders>
          </w:tcPr>
          <w:p>
            <w:pPr>
              <w:rPr>
                <w:b/>
              </w:rPr>
            </w:pPr>
            <w:r>
              <w:rPr>
                <w:rFonts w:hint="eastAsia"/>
                <w:b/>
              </w:rPr>
              <w:t>（一）评分内容：</w:t>
            </w:r>
          </w:p>
          <w:p>
            <w:pPr>
              <w:wordWrap w:val="0"/>
              <w:rPr>
                <w:rFonts w:ascii="宋体" w:hAnsi="宋体" w:cs="宋体"/>
                <w:szCs w:val="21"/>
              </w:rPr>
            </w:pPr>
            <w:r>
              <w:rPr>
                <w:rFonts w:ascii="宋体" w:hAnsi="宋体" w:cs="宋体" w:hint="eastAsia"/>
                <w:szCs w:val="21"/>
              </w:rPr>
              <w:t>考察针对本项目的项目重点难点分析、应对措施及相关的合理化建议，方案内容包括以下内容:</w:t>
            </w:r>
          </w:p>
          <w:p>
            <w:pPr>
              <w:wordWrap w:val="0"/>
              <w:rPr>
                <w:rFonts w:ascii="宋体" w:hAnsi="宋体" w:cs="宋体"/>
                <w:szCs w:val="21"/>
              </w:rPr>
            </w:pPr>
            <w:r>
              <w:rPr>
                <w:rFonts w:ascii="宋体" w:hAnsi="宋体" w:cs="宋体" w:hint="eastAsia"/>
                <w:szCs w:val="21"/>
              </w:rPr>
              <w:t>1、</w:t>
            </w:r>
            <w:r>
              <w:rPr>
                <w:rFonts w:ascii="宋体" w:hAnsi="宋体" w:cs="宋体" w:hint="eastAsia"/>
                <w:bCs/>
                <w:szCs w:val="21"/>
              </w:rPr>
              <w:t>项目重点、难点的分析</w:t>
            </w:r>
            <w:r>
              <w:rPr>
                <w:rFonts w:ascii="宋体" w:hAnsi="宋体" w:cs="宋体" w:hint="eastAsia"/>
                <w:szCs w:val="21"/>
              </w:rPr>
              <w:t>。</w:t>
            </w:r>
          </w:p>
          <w:p>
            <w:pPr>
              <w:wordWrap w:val="0"/>
              <w:rPr>
                <w:rFonts w:ascii="宋体" w:hAnsi="宋体" w:cs="宋体"/>
                <w:szCs w:val="21"/>
              </w:rPr>
            </w:pPr>
            <w:r>
              <w:rPr>
                <w:rFonts w:ascii="宋体" w:hAnsi="宋体" w:cs="宋体" w:hint="eastAsia"/>
                <w:szCs w:val="21"/>
              </w:rPr>
              <w:t>2、</w:t>
            </w:r>
            <w:r>
              <w:rPr>
                <w:rFonts w:ascii="宋体" w:hAnsi="宋体" w:cs="宋体" w:hint="eastAsia"/>
                <w:bCs/>
                <w:szCs w:val="21"/>
              </w:rPr>
              <w:t>项目重点、难点的应对措施分析</w:t>
            </w:r>
            <w:r>
              <w:rPr>
                <w:rFonts w:ascii="宋体" w:hAnsi="宋体" w:cs="宋体" w:hint="eastAsia"/>
                <w:szCs w:val="21"/>
              </w:rPr>
              <w:t>。</w:t>
            </w:r>
          </w:p>
          <w:p>
            <w:pPr>
              <w:wordWrap w:val="0"/>
              <w:rPr>
                <w:rFonts w:ascii="宋体" w:hAnsi="宋体" w:cs="宋体"/>
                <w:szCs w:val="21"/>
              </w:rPr>
            </w:pPr>
            <w:r>
              <w:rPr>
                <w:rFonts w:ascii="宋体" w:hAnsi="宋体" w:cs="宋体" w:hint="eastAsia"/>
                <w:szCs w:val="21"/>
              </w:rPr>
              <w:t>3、</w:t>
            </w:r>
            <w:r>
              <w:rPr>
                <w:rFonts w:ascii="宋体" w:hAnsi="宋体" w:cs="宋体" w:hint="eastAsia"/>
                <w:bCs/>
                <w:szCs w:val="21"/>
              </w:rPr>
              <w:t>项目实施提出的相关合理化建议</w:t>
            </w:r>
            <w:r>
              <w:rPr>
                <w:rFonts w:ascii="宋体" w:hAnsi="宋体" w:cs="宋体" w:hint="eastAsia"/>
                <w:szCs w:val="21"/>
              </w:rPr>
              <w:t>。</w:t>
            </w:r>
          </w:p>
          <w:p>
            <w:pPr>
              <w:rPr>
                <w:b/>
              </w:rPr>
            </w:pPr>
            <w:r>
              <w:rPr>
                <w:rFonts w:hint="eastAsia"/>
                <w:b/>
              </w:rPr>
              <w:t>（二）评分依据：</w:t>
            </w:r>
          </w:p>
          <w:p>
            <w:pPr>
              <w:jc w:val="left"/>
              <w:rPr>
                <w:rFonts w:ascii="宋体" w:hAnsi="宋体"/>
                <w:szCs w:val="21"/>
              </w:rPr>
            </w:pPr>
            <w:r>
              <w:rPr>
                <w:rFonts w:ascii="宋体" w:hAnsi="宋体" w:cs="宋体" w:hint="eastAsia"/>
                <w:szCs w:val="21"/>
              </w:rPr>
              <w:t>提供以上 3点内容得</w:t>
            </w:r>
            <w:r>
              <w:rPr>
                <w:rFonts w:ascii="宋体" w:hAnsi="宋体" w:cs="宋体"/>
                <w:szCs w:val="21"/>
              </w:rPr>
              <w:t>7</w:t>
            </w:r>
            <w:r>
              <w:rPr>
                <w:rFonts w:ascii="宋体" w:hAnsi="宋体" w:cs="宋体" w:hint="eastAsia"/>
                <w:szCs w:val="21"/>
              </w:rPr>
              <w:t>0分，</w:t>
            </w:r>
            <w:r>
              <w:rPr>
                <w:rFonts w:ascii="宋体" w:hAnsi="宋体" w:hint="eastAsia"/>
                <w:szCs w:val="21"/>
              </w:rPr>
              <w:t>缺项不得分。在此基础上，专家根据内容的合理性进行评分:</w:t>
            </w:r>
          </w:p>
          <w:p>
            <w:pPr>
              <w:jc w:val="left"/>
              <w:rPr>
                <w:rFonts w:ascii="宋体" w:hAnsi="宋体"/>
                <w:szCs w:val="21"/>
              </w:rPr>
            </w:pPr>
            <w:r>
              <w:rPr>
                <w:rFonts w:ascii="宋体" w:hAnsi="宋体" w:cs="宋体" w:hint="eastAsia"/>
                <w:szCs w:val="21"/>
              </w:rPr>
              <w:t>优评分标准:</w:t>
            </w:r>
            <w:r>
              <w:rPr>
                <w:rFonts w:ascii="宋体" w:hAnsi="宋体" w:cs="宋体" w:hint="eastAsia"/>
                <w:bCs/>
                <w:szCs w:val="21"/>
              </w:rPr>
              <w:t xml:space="preserve"> 对重难点理解准确全面，有针对性详细分析，且能提出符合实际且可行性强的应对措施</w:t>
            </w:r>
            <w:r>
              <w:rPr>
                <w:rFonts w:ascii="宋体" w:hAnsi="宋体" w:hint="eastAsia"/>
                <w:szCs w:val="21"/>
              </w:rPr>
              <w:t>，得</w:t>
            </w:r>
            <w:r>
              <w:rPr>
                <w:rFonts w:ascii="宋体" w:hAnsi="宋体"/>
                <w:szCs w:val="21"/>
              </w:rPr>
              <w:t>3</w:t>
            </w:r>
            <w:r>
              <w:rPr>
                <w:rFonts w:ascii="宋体" w:hAnsi="宋体" w:hint="eastAsia"/>
                <w:szCs w:val="21"/>
              </w:rPr>
              <w:t>0分;</w:t>
            </w:r>
          </w:p>
          <w:p>
            <w:pPr>
              <w:jc w:val="left"/>
              <w:rPr>
                <w:rFonts w:ascii="宋体" w:hAnsi="宋体"/>
                <w:szCs w:val="21"/>
              </w:rPr>
            </w:pPr>
            <w:r>
              <w:rPr>
                <w:rFonts w:ascii="宋体" w:hAnsi="宋体" w:cs="宋体" w:hint="eastAsia"/>
                <w:szCs w:val="21"/>
              </w:rPr>
              <w:t>良评分标准:</w:t>
            </w:r>
            <w:r>
              <w:rPr>
                <w:rFonts w:ascii="宋体" w:hAnsi="宋体" w:cs="宋体" w:hint="eastAsia"/>
                <w:bCs/>
                <w:szCs w:val="21"/>
              </w:rPr>
              <w:t xml:space="preserve"> 对重难点理解不准确但进行了针对性详细分析或对重难点理解准确但对重难点分析不全面，应对措施详细但不能完全贴合实际或可行性不强</w:t>
            </w:r>
            <w:r>
              <w:rPr>
                <w:rFonts w:ascii="宋体" w:hAnsi="宋体" w:hint="eastAsia"/>
                <w:szCs w:val="21"/>
              </w:rPr>
              <w:t>，得</w:t>
            </w:r>
            <w:r>
              <w:rPr>
                <w:rFonts w:ascii="宋体" w:hAnsi="宋体"/>
                <w:szCs w:val="21"/>
              </w:rPr>
              <w:t>20</w:t>
            </w:r>
            <w:r>
              <w:rPr>
                <w:rFonts w:ascii="宋体" w:hAnsi="宋体" w:hint="eastAsia"/>
                <w:szCs w:val="21"/>
              </w:rPr>
              <w:t>分;</w:t>
            </w:r>
          </w:p>
          <w:p>
            <w:pPr>
              <w:jc w:val="left"/>
              <w:rPr>
                <w:rFonts w:ascii="宋体" w:hAnsi="宋体"/>
                <w:szCs w:val="21"/>
              </w:rPr>
            </w:pPr>
            <w:r>
              <w:rPr>
                <w:rFonts w:ascii="宋体" w:hAnsi="宋体" w:cs="宋体" w:hint="eastAsia"/>
                <w:szCs w:val="21"/>
              </w:rPr>
              <w:t>中评分标准：</w:t>
            </w:r>
            <w:r>
              <w:rPr>
                <w:rFonts w:ascii="宋体" w:hAnsi="宋体" w:cs="宋体" w:hint="eastAsia"/>
                <w:bCs/>
                <w:szCs w:val="21"/>
              </w:rPr>
              <w:t>对重难点理解不准确且重难点分析不全面，应对措施简要且不能贴合实际的</w:t>
            </w:r>
            <w:r>
              <w:rPr>
                <w:rFonts w:ascii="宋体" w:hAnsi="宋体" w:hint="eastAsia"/>
                <w:szCs w:val="21"/>
              </w:rPr>
              <w:t>，得10分;</w:t>
            </w:r>
          </w:p>
          <w:p>
            <w:pPr>
              <w:wordWrap w:val="0"/>
              <w:rPr>
                <w:rFonts w:ascii="宋体" w:hAnsi="宋体" w:cs="宋体"/>
                <w:szCs w:val="21"/>
              </w:rPr>
            </w:pPr>
            <w:r>
              <w:rPr>
                <w:rFonts w:ascii="宋体" w:hAnsi="宋体" w:cs="宋体" w:hint="eastAsia"/>
                <w:szCs w:val="21"/>
              </w:rPr>
              <w:t>差评分标准:</w:t>
            </w:r>
            <w:r>
              <w:rPr>
                <w:rFonts w:ascii="宋体" w:hAnsi="宋体" w:cs="宋体" w:hint="eastAsia"/>
                <w:bCs/>
                <w:szCs w:val="21"/>
              </w:rPr>
              <w:t xml:space="preserve"> 没有正确理解重难点且没有详细分析，应对措施不符合实际的</w:t>
            </w:r>
            <w:r>
              <w:rPr>
                <w:rFonts w:ascii="宋体" w:hAnsi="宋体" w:cs="宋体" w:hint="eastAsia"/>
                <w:szCs w:val="21"/>
              </w:rPr>
              <w:t>，</w:t>
            </w:r>
            <w:r>
              <w:rPr>
                <w:rFonts w:ascii="宋体" w:hAnsi="宋体" w:hint="eastAsia"/>
                <w:szCs w:val="21"/>
              </w:rPr>
              <w:t>不得分。如评审为差，评审专家须书面说明理由，并记录在档。</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4</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拟安排本项目负责人情况（仅限1人）</w:t>
            </w:r>
          </w:p>
        </w:tc>
        <w:tc>
          <w:tcPr>
            <w:tcW w:w="1109"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15</w:t>
            </w:r>
          </w:p>
        </w:tc>
        <w:tc>
          <w:tcPr>
            <w:tcW w:w="5576" w:type="dxa"/>
            <w:gridSpan w:val="2"/>
            <w:tcBorders>
              <w:top w:val="single" w:sz="8" w:space="0" w:color="000000"/>
              <w:left w:val="single" w:sz="8" w:space="0" w:color="000000"/>
              <w:bottom w:val="single" w:sz="8" w:space="0" w:color="000000"/>
              <w:right w:val="single" w:sz="8" w:space="0" w:color="000000"/>
            </w:tcBorders>
          </w:tcPr>
          <w:p>
            <w:pPr>
              <w:spacing w:after="78" w:afterLines="25" w:line="276" w:lineRule="auto"/>
              <w:rPr>
                <w:rFonts w:ascii="宋体" w:hAnsi="宋体" w:cs="宋体"/>
                <w:szCs w:val="21"/>
              </w:rPr>
            </w:pPr>
            <w:r>
              <w:rPr>
                <w:rFonts w:ascii="宋体" w:hAnsi="宋体" w:cs="宋体" w:hint="eastAsia"/>
                <w:szCs w:val="21"/>
              </w:rPr>
              <w:t>一、评审标准</w:t>
            </w:r>
          </w:p>
          <w:p>
            <w:pPr>
              <w:pStyle w:val="CommentText"/>
              <w:rPr>
                <w:rFonts w:hAnsi="宋体" w:cs="宋体"/>
                <w:sz w:val="21"/>
                <w:szCs w:val="21"/>
              </w:rPr>
            </w:pPr>
            <w:r>
              <w:rPr>
                <w:rFonts w:hAnsi="宋体" w:cs="宋体" w:hint="eastAsia"/>
                <w:sz w:val="21"/>
                <w:szCs w:val="21"/>
              </w:rPr>
              <w:t>拟安排项目负责人必须为投标人自有员工</w:t>
            </w:r>
            <w:r>
              <w:rPr>
                <w:rFonts w:hAnsi="宋体" w:hint="eastAsia"/>
                <w:sz w:val="21"/>
                <w:szCs w:val="21"/>
              </w:rPr>
              <w:t>（以社保为准）。</w:t>
            </w:r>
          </w:p>
          <w:p>
            <w:pPr>
              <w:spacing w:after="78" w:afterLines="25" w:line="276" w:lineRule="auto"/>
              <w:rPr>
                <w:rFonts w:ascii="宋体" w:hAnsi="宋体" w:cs="宋体"/>
                <w:szCs w:val="21"/>
              </w:rPr>
            </w:pPr>
            <w:r>
              <w:rPr>
                <w:rFonts w:ascii="宋体" w:hAnsi="宋体" w:cs="宋体" w:hint="eastAsia"/>
                <w:szCs w:val="21"/>
              </w:rPr>
              <w:t>1、具有人力资源和社会保障部门、职业技能鉴定中心或相关行业协会颁发的高级（三级）或以上有害生物防制(治)员职业（资格、技能、能力）证书的得30分，其他不得分，本项最高30分。</w:t>
            </w:r>
          </w:p>
          <w:p>
            <w:pPr>
              <w:spacing w:after="78" w:afterLines="25" w:line="276" w:lineRule="auto"/>
              <w:rPr>
                <w:rFonts w:ascii="宋体" w:hAnsi="宋体" w:cs="宋体"/>
                <w:szCs w:val="21"/>
              </w:rPr>
            </w:pPr>
            <w:r>
              <w:rPr>
                <w:rFonts w:ascii="宋体" w:hAnsi="宋体" w:cs="宋体" w:hint="eastAsia"/>
                <w:szCs w:val="21"/>
              </w:rPr>
              <w:t>2、在有害生物防治职业技能竞赛中获得副省级（或以上）政府部门颁发的一等奖荣誉证书的得20分，二等奖得10分，三等奖得5分，其他不得分，证书得分不累加，按最高得分核计。</w:t>
            </w:r>
          </w:p>
          <w:p>
            <w:pPr>
              <w:spacing w:after="78" w:afterLines="25" w:line="276" w:lineRule="auto"/>
              <w:rPr>
                <w:rFonts w:ascii="宋体" w:hAnsi="宋体" w:cs="宋体"/>
                <w:szCs w:val="21"/>
              </w:rPr>
            </w:pPr>
            <w:r>
              <w:rPr>
                <w:rFonts w:ascii="宋体" w:hAnsi="宋体" w:cs="宋体" w:hint="eastAsia"/>
                <w:szCs w:val="21"/>
              </w:rPr>
              <w:t>3、具有国家级卫生健康相关政府部门或事业单位颁发的卫生城镇创建工作相关培训结业证书的得30分，具有省级城市卫生健康相关政府部门或事业单位颁发的卫生城镇创建工作相关培训结业证书的得15分，具有副省级城市卫生健康相关政府部门或事业单位颁发的卫生城镇创建工作相关培训结业证书的得5分。本项得分不累计，以最高级别证书记一次分，本项最高得30分。</w:t>
            </w:r>
          </w:p>
          <w:p>
            <w:pPr>
              <w:spacing w:after="78" w:afterLines="25" w:line="276" w:lineRule="auto"/>
              <w:rPr>
                <w:rFonts w:ascii="宋体" w:hAnsi="宋体" w:cs="宋体"/>
                <w:szCs w:val="21"/>
              </w:rPr>
            </w:pPr>
            <w:r>
              <w:rPr>
                <w:rFonts w:ascii="宋体" w:hAnsi="宋体" w:cs="宋体" w:hint="eastAsia"/>
                <w:szCs w:val="21"/>
              </w:rPr>
              <w:t>4、具有国家级卫生健康相关政府部门或事业单位颁发的登革热或者出血热</w:t>
            </w:r>
            <w:r>
              <w:rPr>
                <w:rFonts w:ascii="宋体" w:hAnsi="宋体" w:hint="eastAsia"/>
              </w:rPr>
              <w:t>处置培训证书的</w:t>
            </w:r>
            <w:r>
              <w:rPr>
                <w:rFonts w:ascii="宋体" w:hAnsi="宋体" w:cs="宋体" w:hint="eastAsia"/>
                <w:szCs w:val="21"/>
              </w:rPr>
              <w:t>得20分，具有省级城市卫生健康相关政府部门或事业单位颁发的登革热或者出血热</w:t>
            </w:r>
            <w:r>
              <w:rPr>
                <w:rFonts w:ascii="宋体" w:hAnsi="宋体" w:hint="eastAsia"/>
              </w:rPr>
              <w:t>处置培训证书的</w:t>
            </w:r>
            <w:r>
              <w:rPr>
                <w:rFonts w:ascii="宋体" w:hAnsi="宋体" w:cs="宋体" w:hint="eastAsia"/>
                <w:szCs w:val="21"/>
              </w:rPr>
              <w:t>得10分，具有副省级城市卫生健康相关政府部门或事业单位颁发的登革热或者出血热</w:t>
            </w:r>
            <w:r>
              <w:rPr>
                <w:rFonts w:ascii="宋体" w:hAnsi="宋体" w:hint="eastAsia"/>
              </w:rPr>
              <w:t>处置培训证书的</w:t>
            </w:r>
            <w:r>
              <w:rPr>
                <w:rFonts w:ascii="宋体" w:hAnsi="宋体" w:cs="宋体" w:hint="eastAsia"/>
                <w:szCs w:val="21"/>
              </w:rPr>
              <w:t>得5分，本项得分不累计，以最高级别证书记一次分，本项最高得20分。</w:t>
            </w:r>
          </w:p>
          <w:p>
            <w:pPr>
              <w:spacing w:after="78" w:afterLines="25" w:line="276" w:lineRule="auto"/>
              <w:rPr>
                <w:rFonts w:ascii="宋体" w:hAnsi="宋体" w:cs="宋体"/>
                <w:szCs w:val="21"/>
              </w:rPr>
            </w:pPr>
            <w:r>
              <w:rPr>
                <w:rFonts w:ascii="宋体" w:hAnsi="宋体" w:cs="宋体" w:hint="eastAsia"/>
                <w:szCs w:val="21"/>
              </w:rPr>
              <w:t>二、证明材料</w:t>
            </w:r>
          </w:p>
          <w:p>
            <w:pPr>
              <w:rPr>
                <w:rFonts w:ascii="宋体" w:hAnsi="宋体" w:cs="宋体"/>
                <w:szCs w:val="21"/>
              </w:rPr>
            </w:pPr>
            <w:r>
              <w:rPr>
                <w:rFonts w:ascii="宋体" w:hAnsi="宋体" w:cs="宋体" w:hint="eastAsia"/>
                <w:szCs w:val="21"/>
              </w:rPr>
              <w:t>1、①</w:t>
            </w:r>
            <w:r>
              <w:rPr>
                <w:rFonts w:ascii="宋体" w:hAnsi="宋体" w:hint="eastAsia"/>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如因社会保险信息系统暂停社保服务不能正常提供社保证明材料，则提供劳动合同证明材料，或提供承诺函（格式自拟），中标后向采购人补充相关材料。</w:t>
            </w:r>
          </w:p>
          <w:p>
            <w:r>
              <w:rPr>
                <w:rFonts w:ascii="宋体" w:hAnsi="宋体" w:cs="宋体"/>
                <w:szCs w:val="21"/>
              </w:rPr>
              <w:t>2</w:t>
            </w:r>
            <w:r>
              <w:rPr>
                <w:rFonts w:ascii="宋体" w:hAnsi="宋体" w:cs="宋体" w:hint="eastAsia"/>
                <w:szCs w:val="21"/>
              </w:rPr>
              <w:t>、提供相关证书扫描件；</w:t>
            </w:r>
            <w:r>
              <w:rPr>
                <w:rFonts w:hint="eastAsia"/>
              </w:rPr>
              <w:t>由行业协会</w:t>
            </w:r>
            <w:r>
              <w:rPr>
                <w:rFonts w:hint="eastAsia"/>
                <w:bCs/>
              </w:rPr>
              <w:t>/社会组织</w:t>
            </w:r>
            <w:r>
              <w:rPr>
                <w:rFonts w:hint="eastAsia"/>
              </w:rPr>
              <w:t>发证的，还需提供该行业协会</w:t>
            </w:r>
            <w:r>
              <w:rPr>
                <w:rFonts w:hint="eastAsia"/>
                <w:bCs/>
              </w:rPr>
              <w:t>/社会组织</w:t>
            </w:r>
            <w:r>
              <w:rPr>
                <w:rFonts w:hint="eastAsia"/>
              </w:rPr>
              <w:t>在中国社会组织政务服务平台查询正常截图</w:t>
            </w:r>
            <w:r>
              <w:rPr>
                <w:rFonts w:ascii="宋体" w:hAnsi="宋体" w:cs="宋体" w:hint="eastAsia"/>
              </w:rPr>
              <w:t>（https://chinanpo.mca.gov.cn）</w:t>
            </w:r>
            <w:r>
              <w:rPr>
                <w:rFonts w:hint="eastAsia"/>
              </w:rPr>
              <w:t>，</w:t>
            </w:r>
            <w:r>
              <w:rPr>
                <w:rFonts w:hint="eastAsia"/>
                <w:szCs w:val="21"/>
              </w:rPr>
              <w:t>《有害生物防制(治)员》还需提供技能人才评价证书全国联网查询网页截图(</w:t>
            </w:r>
            <w:r>
              <w:fldChar w:fldCharType="begin"/>
            </w:r>
            <w:r>
              <w:instrText xml:space="preserve"> HYPERLINK "http://jndj.osta.org.cn/" </w:instrText>
            </w:r>
            <w:r>
              <w:fldChar w:fldCharType="separate"/>
            </w:r>
            <w:r>
              <w:rPr>
                <w:rStyle w:val="FollowedHyperlink"/>
                <w:rFonts w:hint="eastAsia"/>
                <w:szCs w:val="21"/>
              </w:rPr>
              <w:t>http://jndj.osta.org.cn/</w:t>
            </w:r>
            <w:r>
              <w:rPr>
                <w:rStyle w:val="FollowedHyperlink"/>
                <w:rFonts w:hint="eastAsia"/>
                <w:szCs w:val="21"/>
              </w:rPr>
              <w:fldChar w:fldCharType="end"/>
            </w:r>
            <w:r>
              <w:rPr>
                <w:rFonts w:hint="eastAsia"/>
                <w:szCs w:val="21"/>
              </w:rPr>
              <w:t>)，</w:t>
            </w:r>
            <w:r>
              <w:rPr>
                <w:rFonts w:hint="eastAsia"/>
              </w:rPr>
              <w:t>原件备查。</w:t>
            </w:r>
          </w:p>
          <w:p>
            <w:pPr>
              <w:rPr>
                <w:rFonts w:ascii="宋体" w:hAnsi="宋体"/>
                <w:bCs/>
                <w:szCs w:val="21"/>
              </w:rPr>
            </w:pPr>
            <w:r>
              <w:rPr>
                <w:rFonts w:hint="eastAsia"/>
              </w:rPr>
              <w:t>3、相关证书在公开渠道无法查询的，需提供颁发部门或者监管机构的证明材料，</w:t>
            </w:r>
            <w:r>
              <w:rPr>
                <w:rFonts w:ascii="宋体" w:hAnsi="宋体" w:hint="eastAsia"/>
              </w:rPr>
              <w:t>以及颁发机构为合法机构的网页截图</w:t>
            </w:r>
            <w:r>
              <w:rPr>
                <w:rFonts w:hint="eastAsia"/>
              </w:rPr>
              <w:t>。荣誉证书可提供颁发部门的公布或通报红头文件作为证明材料。</w:t>
            </w:r>
          </w:p>
          <w:p>
            <w:pPr>
              <w:wordWrap w:val="0"/>
              <w:rPr>
                <w:rFonts w:ascii="宋体" w:hAnsi="宋体" w:cs="宋体"/>
                <w:szCs w:val="21"/>
              </w:rPr>
            </w:pPr>
            <w:r>
              <w:rPr>
                <w:rFonts w:ascii="宋体" w:hAnsi="宋体" w:cs="宋体" w:hint="eastAsia"/>
                <w:szCs w:val="21"/>
              </w:rPr>
              <w:t>备注：以上资料均要求提供扫描件，原件备查，评分中出现无证明资料或证书过期或专家无法凭所提供资料判断是否得分的情况，一律作不得分处理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5</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项目团队人员（</w:t>
            </w:r>
            <w:r>
              <w:rPr>
                <w:rFonts w:ascii="宋体" w:hAnsi="宋体" w:cs="宋体" w:hint="eastAsia"/>
                <w:szCs w:val="21"/>
                <w:lang w:val="en-US" w:eastAsia="zh-CN"/>
              </w:rPr>
              <w:t>除</w:t>
            </w:r>
            <w:r>
              <w:rPr>
                <w:rFonts w:ascii="宋体" w:hAnsi="宋体" w:cs="宋体" w:hint="eastAsia"/>
                <w:szCs w:val="21"/>
              </w:rPr>
              <w:t>项目负责人</w:t>
            </w:r>
            <w:r>
              <w:rPr>
                <w:rFonts w:ascii="宋体" w:hAnsi="宋体" w:cs="宋体" w:hint="eastAsia"/>
                <w:szCs w:val="21"/>
                <w:lang w:val="en-US" w:eastAsia="zh-CN"/>
              </w:rPr>
              <w:t>以外</w:t>
            </w:r>
            <w:r>
              <w:rPr>
                <w:rFonts w:ascii="宋体" w:hAnsi="宋体" w:cs="宋体" w:hint="eastAsia"/>
                <w:szCs w:val="21"/>
              </w:rPr>
              <w:t>）</w:t>
            </w:r>
          </w:p>
        </w:tc>
        <w:tc>
          <w:tcPr>
            <w:tcW w:w="1109"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20</w:t>
            </w:r>
          </w:p>
        </w:tc>
        <w:tc>
          <w:tcPr>
            <w:tcW w:w="5576" w:type="dxa"/>
            <w:gridSpan w:val="2"/>
            <w:tcBorders>
              <w:top w:val="single" w:sz="8" w:space="0" w:color="000000"/>
              <w:left w:val="single" w:sz="8" w:space="0" w:color="000000"/>
              <w:bottom w:val="single" w:sz="8" w:space="0" w:color="000000"/>
              <w:right w:val="single" w:sz="8" w:space="0" w:color="000000"/>
            </w:tcBorders>
          </w:tcPr>
          <w:p>
            <w:pPr>
              <w:wordWrap w:val="0"/>
              <w:spacing w:line="276" w:lineRule="auto"/>
              <w:rPr>
                <w:rFonts w:ascii="宋体" w:hAnsi="宋体"/>
              </w:rPr>
            </w:pPr>
            <w:r>
              <w:rPr>
                <w:rFonts w:ascii="宋体" w:hAnsi="宋体" w:hint="eastAsia"/>
              </w:rPr>
              <w:t>一、评审标准</w:t>
            </w:r>
          </w:p>
          <w:p>
            <w:pPr>
              <w:wordWrap w:val="0"/>
              <w:spacing w:line="276" w:lineRule="auto"/>
              <w:rPr>
                <w:rFonts w:ascii="宋体" w:hAnsi="宋体"/>
              </w:rPr>
            </w:pPr>
            <w:r>
              <w:rPr>
                <w:rFonts w:ascii="宋体" w:hAnsi="宋体" w:hint="eastAsia"/>
              </w:rPr>
              <w:t>拟安排的项目团队人员必须为投标人自有员工（以社保为准），否则此项不得分。</w:t>
            </w:r>
          </w:p>
          <w:p>
            <w:pPr>
              <w:wordWrap w:val="0"/>
              <w:spacing w:line="276" w:lineRule="auto"/>
              <w:rPr>
                <w:rFonts w:ascii="宋体" w:hAnsi="宋体"/>
              </w:rPr>
            </w:pPr>
            <w:r>
              <w:rPr>
                <w:rFonts w:ascii="宋体" w:hAnsi="宋体" w:hint="eastAsia"/>
              </w:rPr>
              <w:t>在此基础上：</w:t>
            </w:r>
          </w:p>
          <w:p>
            <w:pPr>
              <w:wordWrap w:val="0"/>
              <w:spacing w:line="276" w:lineRule="auto"/>
              <w:rPr>
                <w:rFonts w:ascii="宋体" w:hAnsi="宋体"/>
                <w:b/>
                <w:bCs/>
                <w:szCs w:val="21"/>
              </w:rPr>
            </w:pPr>
            <w:r>
              <w:rPr>
                <w:rFonts w:ascii="宋体" w:hAnsi="宋体" w:hint="eastAsia"/>
                <w:b/>
                <w:bCs/>
                <w:szCs w:val="21"/>
              </w:rPr>
              <w:t>1、</w:t>
            </w:r>
            <w:bookmarkStart w:id="4" w:name="OLE_LINK8"/>
            <w:r>
              <w:rPr>
                <w:rFonts w:ascii="宋体" w:hAnsi="宋体" w:hint="eastAsia"/>
                <w:b/>
                <w:bCs/>
                <w:szCs w:val="21"/>
              </w:rPr>
              <w:t>病媒生物防治主管</w:t>
            </w:r>
            <w:bookmarkEnd w:id="4"/>
          </w:p>
          <w:p>
            <w:pPr>
              <w:wordWrap w:val="0"/>
              <w:spacing w:line="276" w:lineRule="auto"/>
              <w:ind w:firstLine="240" w:firstLineChars="100"/>
              <w:rPr>
                <w:rFonts w:ascii="宋体" w:hAnsi="宋体"/>
                <w:szCs w:val="21"/>
              </w:rPr>
            </w:pPr>
            <w:r>
              <w:rPr>
                <w:rFonts w:ascii="宋体" w:hAnsi="宋体" w:hint="eastAsia"/>
                <w:szCs w:val="21"/>
              </w:rPr>
              <w:t>（1）</w:t>
            </w:r>
            <w:r>
              <w:rPr>
                <w:rFonts w:ascii="宋体" w:hAnsi="宋体" w:cs="宋体" w:hint="eastAsia"/>
                <w:szCs w:val="21"/>
              </w:rPr>
              <w:t>具有</w:t>
            </w:r>
            <w:r>
              <w:rPr>
                <w:rFonts w:ascii="宋体" w:hAnsi="宋体" w:hint="eastAsia"/>
                <w:szCs w:val="21"/>
              </w:rPr>
              <w:t>人力资源和社会保障部门、职业技能鉴定中心或相关行业协会颁发的高级（三级）或以上有害生物防制（治）员职业（资格、技能、能力）证书的得15分，本项最高得15分；</w:t>
            </w:r>
          </w:p>
          <w:p>
            <w:pPr>
              <w:spacing w:line="276" w:lineRule="auto"/>
              <w:ind w:firstLine="240" w:firstLineChars="100"/>
              <w:rPr>
                <w:rFonts w:ascii="宋体" w:hAnsi="宋体"/>
                <w:szCs w:val="21"/>
              </w:rPr>
            </w:pPr>
            <w:r>
              <w:rPr>
                <w:rFonts w:ascii="宋体" w:hAnsi="宋体" w:hint="eastAsia"/>
                <w:szCs w:val="21"/>
              </w:rPr>
              <w:t>（2）</w:t>
            </w:r>
            <w:r>
              <w:rPr>
                <w:rFonts w:ascii="宋体" w:hAnsi="宋体" w:cs="宋体" w:hint="eastAsia"/>
                <w:szCs w:val="21"/>
              </w:rPr>
              <w:t>具有</w:t>
            </w:r>
            <w:r>
              <w:rPr>
                <w:rFonts w:ascii="宋体" w:hAnsi="宋体" w:cs="宋体"/>
                <w:szCs w:val="21"/>
              </w:rPr>
              <w:t>人力资源和社会保障部</w:t>
            </w:r>
            <w:r>
              <w:rPr>
                <w:rFonts w:ascii="宋体" w:hAnsi="宋体" w:cs="宋体" w:hint="eastAsia"/>
                <w:szCs w:val="21"/>
              </w:rPr>
              <w:t>门或职业技能鉴定中心或职称改革工作领导小组颁发的专业为植物保护（植保）或公共卫生或预防医学或农业昆虫与害虫防治等相关专业的副高级及以上职称证书或专业技术职务资格证书的得10分，本项最高10分</w:t>
            </w:r>
            <w:r>
              <w:rPr>
                <w:rFonts w:ascii="宋体" w:hAnsi="宋体" w:hint="eastAsia"/>
                <w:szCs w:val="21"/>
              </w:rPr>
              <w:t>；</w:t>
            </w:r>
          </w:p>
          <w:p>
            <w:pPr>
              <w:spacing w:line="276" w:lineRule="auto"/>
              <w:rPr>
                <w:rFonts w:ascii="宋体" w:hAnsi="宋体" w:cs="宋体"/>
                <w:szCs w:val="21"/>
              </w:rPr>
            </w:pPr>
            <w:r>
              <w:rPr>
                <w:rFonts w:ascii="宋体" w:hAnsi="宋体" w:cs="宋体" w:hint="eastAsia"/>
                <w:szCs w:val="21"/>
              </w:rPr>
              <w:t xml:space="preserve">  （3）</w:t>
            </w:r>
            <w:r>
              <w:rPr>
                <w:rFonts w:hint="eastAsia"/>
                <w:szCs w:val="21"/>
              </w:rPr>
              <w:t>具有国家级卫生健康相关政府部门或事业单位颁发的卫生城镇创建工作相关培训结业证书的</w:t>
            </w:r>
            <w:r>
              <w:rPr>
                <w:szCs w:val="21"/>
              </w:rPr>
              <w:t>得</w:t>
            </w:r>
            <w:r>
              <w:rPr>
                <w:rFonts w:hint="eastAsia"/>
                <w:szCs w:val="21"/>
              </w:rPr>
              <w:t>15</w:t>
            </w:r>
            <w:r>
              <w:rPr>
                <w:szCs w:val="21"/>
              </w:rPr>
              <w:t>分，</w:t>
            </w:r>
            <w:r>
              <w:rPr>
                <w:rFonts w:hint="eastAsia"/>
                <w:szCs w:val="21"/>
              </w:rPr>
              <w:t>具有省级城市卫生健康</w:t>
            </w:r>
            <w:r>
              <w:rPr>
                <w:rFonts w:hint="eastAsia"/>
              </w:rPr>
              <w:t>相关政府部门或事业单位</w:t>
            </w:r>
            <w:r>
              <w:rPr>
                <w:rFonts w:hint="eastAsia"/>
                <w:szCs w:val="21"/>
              </w:rPr>
              <w:t>颁发的卫生城镇创建工作相关培训结业证书的</w:t>
            </w:r>
            <w:r>
              <w:rPr>
                <w:szCs w:val="21"/>
              </w:rPr>
              <w:t>得</w:t>
            </w:r>
            <w:r>
              <w:rPr>
                <w:rFonts w:hint="eastAsia"/>
                <w:szCs w:val="21"/>
                <w:lang w:val="en-US" w:eastAsia="zh-CN"/>
              </w:rPr>
              <w:t>8</w:t>
            </w:r>
            <w:r>
              <w:rPr>
                <w:rFonts w:hint="eastAsia"/>
                <w:szCs w:val="21"/>
              </w:rPr>
              <w:t>分，具有副省级城市卫生健康</w:t>
            </w:r>
            <w:r>
              <w:rPr>
                <w:rFonts w:hint="eastAsia"/>
              </w:rPr>
              <w:t>相关政府部门或事业单位</w:t>
            </w:r>
            <w:r>
              <w:rPr>
                <w:rFonts w:hint="eastAsia"/>
                <w:szCs w:val="21"/>
              </w:rPr>
              <w:t>颁发的卫生城镇创建工作相关培训结业证书的</w:t>
            </w:r>
            <w:r>
              <w:rPr>
                <w:szCs w:val="21"/>
              </w:rPr>
              <w:t>得</w:t>
            </w:r>
            <w:r>
              <w:rPr>
                <w:rFonts w:hint="eastAsia"/>
                <w:szCs w:val="21"/>
              </w:rPr>
              <w:t>5</w:t>
            </w:r>
            <w:r>
              <w:rPr>
                <w:szCs w:val="21"/>
              </w:rPr>
              <w:t>分</w:t>
            </w:r>
            <w:r>
              <w:rPr>
                <w:rFonts w:hint="eastAsia"/>
                <w:szCs w:val="21"/>
              </w:rPr>
              <w:t>。</w:t>
            </w:r>
            <w:r>
              <w:rPr>
                <w:rFonts w:ascii="宋体" w:hAnsi="宋体" w:cs="宋体" w:hint="eastAsia"/>
                <w:szCs w:val="21"/>
              </w:rPr>
              <w:t>本项</w:t>
            </w:r>
            <w:r>
              <w:rPr>
                <w:rFonts w:hint="eastAsia"/>
                <w:szCs w:val="21"/>
              </w:rPr>
              <w:t>得分不累计，以最高级别证书记一次分，本项最高得15分；</w:t>
            </w:r>
          </w:p>
          <w:p>
            <w:pPr>
              <w:spacing w:line="276" w:lineRule="auto"/>
              <w:ind w:firstLine="240" w:firstLineChars="100"/>
              <w:rPr>
                <w:szCs w:val="21"/>
              </w:rPr>
            </w:pPr>
            <w:r>
              <w:rPr>
                <w:rFonts w:ascii="宋体" w:hAnsi="宋体" w:cs="宋体" w:hint="eastAsia"/>
                <w:szCs w:val="21"/>
              </w:rPr>
              <w:t>（4）具有国家级卫生健康相关政府部门或事业单位颁发的登革热或者出血热</w:t>
            </w:r>
            <w:r>
              <w:rPr>
                <w:rFonts w:ascii="宋体" w:hAnsi="宋体" w:hint="eastAsia"/>
              </w:rPr>
              <w:t>处置培训证书的</w:t>
            </w:r>
            <w:r>
              <w:rPr>
                <w:rFonts w:ascii="宋体" w:hAnsi="宋体" w:cs="宋体" w:hint="eastAsia"/>
                <w:szCs w:val="21"/>
              </w:rPr>
              <w:t>得10分，具有省级城市卫生健康相关政府部门或事业单位颁发的登革热或者出血热</w:t>
            </w:r>
            <w:r>
              <w:rPr>
                <w:rFonts w:ascii="宋体" w:hAnsi="宋体" w:hint="eastAsia"/>
              </w:rPr>
              <w:t>处置培训证书的</w:t>
            </w:r>
            <w:r>
              <w:rPr>
                <w:rFonts w:ascii="宋体" w:hAnsi="宋体" w:cs="宋体" w:hint="eastAsia"/>
                <w:szCs w:val="21"/>
              </w:rPr>
              <w:t>得</w:t>
            </w:r>
            <w:r>
              <w:rPr>
                <w:rFonts w:ascii="宋体" w:hAnsi="宋体" w:cs="宋体" w:hint="eastAsia"/>
                <w:szCs w:val="21"/>
                <w:lang w:val="en-US" w:eastAsia="zh-CN"/>
              </w:rPr>
              <w:t>5</w:t>
            </w:r>
            <w:r>
              <w:rPr>
                <w:rFonts w:ascii="宋体" w:hAnsi="宋体" w:cs="宋体" w:hint="eastAsia"/>
                <w:szCs w:val="21"/>
              </w:rPr>
              <w:t>分，具有副省级城市卫生健康相关政府部门或事业单位颁发的登革热或者出血热</w:t>
            </w:r>
            <w:r>
              <w:rPr>
                <w:rFonts w:ascii="宋体" w:hAnsi="宋体" w:hint="eastAsia"/>
              </w:rPr>
              <w:t>处置培训证书的</w:t>
            </w:r>
            <w:r>
              <w:rPr>
                <w:rFonts w:ascii="宋体" w:hAnsi="宋体" w:cs="宋体" w:hint="eastAsia"/>
                <w:szCs w:val="21"/>
              </w:rPr>
              <w:t>得2分，本项得分不累计，以最高级别证书记一次分，本项最高得10分</w:t>
            </w:r>
            <w:r>
              <w:rPr>
                <w:rFonts w:hint="eastAsia"/>
                <w:szCs w:val="21"/>
              </w:rPr>
              <w:t>。</w:t>
            </w:r>
          </w:p>
          <w:p>
            <w:pPr>
              <w:spacing w:line="276" w:lineRule="auto"/>
              <w:ind w:firstLine="240" w:firstLineChars="100"/>
              <w:rPr>
                <w:szCs w:val="21"/>
              </w:rPr>
            </w:pPr>
            <w:r>
              <w:rPr>
                <w:rFonts w:hint="eastAsia"/>
                <w:szCs w:val="21"/>
              </w:rPr>
              <w:t>（5）以上（1）-（4）项累计得分，最高得50分。</w:t>
            </w:r>
          </w:p>
          <w:p>
            <w:pPr>
              <w:wordWrap w:val="0"/>
              <w:spacing w:line="276" w:lineRule="auto"/>
              <w:rPr>
                <w:rFonts w:ascii="宋体" w:hAnsi="宋体"/>
                <w:b/>
                <w:bCs/>
                <w:szCs w:val="21"/>
              </w:rPr>
            </w:pPr>
            <w:r>
              <w:rPr>
                <w:rFonts w:ascii="宋体" w:hAnsi="宋体" w:hint="eastAsia"/>
                <w:b/>
                <w:bCs/>
                <w:szCs w:val="21"/>
              </w:rPr>
              <w:t>2、病媒生物防治员</w:t>
            </w:r>
          </w:p>
          <w:p>
            <w:pPr>
              <w:wordWrap w:val="0"/>
              <w:spacing w:line="276" w:lineRule="auto"/>
              <w:ind w:firstLine="240" w:firstLineChars="100"/>
              <w:rPr>
                <w:rFonts w:ascii="宋体" w:hAnsi="宋体"/>
              </w:rPr>
            </w:pPr>
            <w:r>
              <w:rPr>
                <w:rFonts w:ascii="宋体" w:hAnsi="宋体" w:hint="eastAsia"/>
              </w:rPr>
              <w:t>（1）具有人力资源和社会保障部门、职业技能鉴定中心或相关行业协会颁发的高级（三级）或以上有害生物防制（治）员职业（资格、技能、能力）证书，每提供一人得</w:t>
            </w:r>
            <w:r>
              <w:rPr>
                <w:rFonts w:ascii="宋体" w:hAnsi="宋体" w:hint="eastAsia"/>
                <w:lang w:val="en-US" w:eastAsia="zh-CN"/>
              </w:rPr>
              <w:t>5</w:t>
            </w:r>
            <w:r>
              <w:rPr>
                <w:rFonts w:ascii="宋体" w:hAnsi="宋体" w:hint="eastAsia"/>
              </w:rPr>
              <w:t>分；中级（四级）有害生物防制（治）员职业（资格、技能、能力）证书，每提供一人得5分，此项最高得15分；</w:t>
            </w:r>
          </w:p>
          <w:p>
            <w:pPr>
              <w:wordWrap w:val="0"/>
              <w:spacing w:line="276" w:lineRule="auto"/>
              <w:ind w:firstLine="240" w:firstLineChars="100"/>
              <w:rPr>
                <w:rFonts w:ascii="宋体" w:hAnsi="宋体"/>
              </w:rPr>
            </w:pPr>
            <w:r>
              <w:rPr>
                <w:rFonts w:ascii="宋体" w:hAnsi="宋体" w:hint="eastAsia"/>
              </w:rPr>
              <w:t>（2）具有国家级卫生健康相关政府部门或事业单位颁发的卫生城镇创建工作相关培训结业证书的得5分/人，具有省级卫生健康相关政府部门或事业单位颁发的卫生城镇创建工作相关培训结业证书的得2.5分/人，具有副省级卫生健康相关政府部门或事业单位颁发的卫生城镇创建工作相关培训结业证书的得0.5分/人。同一人持有多个证书的得分不累计，以最高级别证书记一次分，本项最高得15分；</w:t>
            </w:r>
          </w:p>
          <w:p>
            <w:pPr>
              <w:wordWrap w:val="0"/>
              <w:spacing w:line="276" w:lineRule="auto"/>
              <w:ind w:firstLine="240" w:firstLineChars="100"/>
              <w:rPr>
                <w:rFonts w:ascii="宋体" w:hAnsi="宋体"/>
              </w:rPr>
            </w:pPr>
            <w:r>
              <w:rPr>
                <w:rFonts w:ascii="宋体" w:hAnsi="宋体" w:hint="eastAsia"/>
              </w:rPr>
              <w:t>（3）</w:t>
            </w:r>
            <w:r>
              <w:rPr>
                <w:rFonts w:ascii="宋体" w:hAnsi="宋体" w:cs="宋体" w:hint="eastAsia"/>
                <w:szCs w:val="21"/>
              </w:rPr>
              <w:t>具有国家级卫生健康相关政府部门或事业单位颁发的登革热或者出血热</w:t>
            </w:r>
            <w:r>
              <w:rPr>
                <w:rFonts w:ascii="宋体" w:hAnsi="宋体" w:hint="eastAsia"/>
              </w:rPr>
              <w:t>处置培训证书的</w:t>
            </w:r>
            <w:r>
              <w:rPr>
                <w:rFonts w:ascii="宋体" w:hAnsi="宋体" w:cs="宋体" w:hint="eastAsia"/>
                <w:szCs w:val="21"/>
              </w:rPr>
              <w:t>得5分，具有省级城市卫生健康相关政府部门或事业单位颁发的登革热或者出血热</w:t>
            </w:r>
            <w:r>
              <w:rPr>
                <w:rFonts w:ascii="宋体" w:hAnsi="宋体" w:hint="eastAsia"/>
              </w:rPr>
              <w:t>处置培训证书的</w:t>
            </w:r>
            <w:r>
              <w:rPr>
                <w:rFonts w:ascii="宋体" w:hAnsi="宋体" w:cs="宋体" w:hint="eastAsia"/>
                <w:szCs w:val="21"/>
              </w:rPr>
              <w:t>得2.5分，具有副省级城市卫生健康相关政府部门或事业单位颁发的登革热或者出血热</w:t>
            </w:r>
            <w:r>
              <w:rPr>
                <w:rFonts w:ascii="宋体" w:hAnsi="宋体" w:hint="eastAsia"/>
              </w:rPr>
              <w:t>处置培训证书的</w:t>
            </w:r>
            <w:r>
              <w:rPr>
                <w:rFonts w:ascii="宋体" w:hAnsi="宋体" w:cs="宋体" w:hint="eastAsia"/>
                <w:szCs w:val="21"/>
              </w:rPr>
              <w:t>得1分，本项得分不累计，以最高级别证书记一次分，本项最高得10分。</w:t>
            </w:r>
          </w:p>
          <w:p>
            <w:pPr>
              <w:wordWrap w:val="0"/>
              <w:spacing w:line="276" w:lineRule="auto"/>
              <w:ind w:firstLine="240" w:firstLineChars="100"/>
              <w:rPr>
                <w:rFonts w:ascii="宋体" w:hAnsi="宋体"/>
              </w:rPr>
            </w:pPr>
            <w:r>
              <w:rPr>
                <w:rFonts w:ascii="宋体" w:hAnsi="宋体" w:hint="eastAsia"/>
              </w:rPr>
              <w:t>（4）</w:t>
            </w:r>
            <w:r>
              <w:rPr>
                <w:rFonts w:hint="eastAsia"/>
                <w:szCs w:val="21"/>
              </w:rPr>
              <w:t>在本项目截标前，拟投入人员的年龄（以身份证为准）为50岁以下的</w:t>
            </w:r>
            <w:r>
              <w:rPr>
                <w:rFonts w:ascii="宋体" w:hAnsi="宋体" w:hint="eastAsia"/>
              </w:rPr>
              <w:t>每提供一人，得2.5分，本项最高得10分。</w:t>
            </w:r>
          </w:p>
          <w:p>
            <w:pPr>
              <w:wordWrap w:val="0"/>
              <w:spacing w:line="276" w:lineRule="auto"/>
              <w:ind w:firstLine="240" w:firstLineChars="100"/>
              <w:rPr>
                <w:rFonts w:ascii="宋体" w:hAnsi="宋体"/>
              </w:rPr>
            </w:pPr>
            <w:r>
              <w:rPr>
                <w:rFonts w:ascii="宋体" w:hAnsi="宋体" w:hint="eastAsia"/>
              </w:rPr>
              <w:t>（5）以上（1）-（3）项同一人持有多个证书，不重复得分，以最高级别证书记一次分，第（4）项可与前（3）项重复得分，本项（1）-（4）条最高得50分。</w:t>
            </w:r>
          </w:p>
          <w:p>
            <w:pPr>
              <w:wordWrap w:val="0"/>
              <w:spacing w:line="276" w:lineRule="auto"/>
              <w:rPr>
                <w:rFonts w:ascii="宋体" w:hAnsi="宋体"/>
                <w:b/>
                <w:bCs/>
              </w:rPr>
            </w:pPr>
            <w:r>
              <w:rPr>
                <w:rFonts w:ascii="宋体" w:hAnsi="宋体" w:hint="eastAsia"/>
                <w:b/>
                <w:bCs/>
              </w:rPr>
              <w:t>3、本项1-2条，满分为100分。</w:t>
            </w:r>
          </w:p>
          <w:p>
            <w:pPr>
              <w:wordWrap w:val="0"/>
              <w:spacing w:line="276" w:lineRule="auto"/>
              <w:rPr>
                <w:rFonts w:ascii="宋体" w:hAnsi="宋体"/>
              </w:rPr>
            </w:pPr>
            <w:r>
              <w:rPr>
                <w:rFonts w:ascii="宋体" w:hAnsi="宋体" w:hint="eastAsia"/>
              </w:rPr>
              <w:t>二、证明材料</w:t>
            </w:r>
          </w:p>
          <w:p>
            <w:pPr>
              <w:wordWrap w:val="0"/>
              <w:spacing w:line="276" w:lineRule="auto"/>
              <w:rPr>
                <w:rFonts w:ascii="宋体" w:hAnsi="宋体"/>
              </w:rPr>
            </w:pPr>
            <w:r>
              <w:rPr>
                <w:rFonts w:ascii="宋体" w:hAnsi="宋体" w:hint="eastAsia"/>
              </w:rPr>
              <w:t>1、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如因社会保险信息系统暂停社保服务不能正常提供社保证明材料，则提供劳动合同证明材料，或提供承诺函（格式自拟），中标后向采购人补充相关材料。</w:t>
            </w:r>
          </w:p>
          <w:p>
            <w:pPr>
              <w:wordWrap w:val="0"/>
              <w:spacing w:line="276" w:lineRule="auto"/>
              <w:rPr>
                <w:rFonts w:ascii="宋体" w:hAnsi="宋体"/>
              </w:rPr>
            </w:pPr>
            <w:r>
              <w:rPr>
                <w:rFonts w:ascii="宋体" w:hAnsi="宋体" w:hint="eastAsia"/>
              </w:rPr>
              <w:t>2、提供证书扫描件。若由行业协会/社会组织发证的，还需提供该行业协会/社会组织在中国社会组织政务服务平台查询正常截图（https://chinanpo.mca.gov.cn），</w:t>
            </w:r>
            <w:r>
              <w:rPr>
                <w:rFonts w:hint="eastAsia"/>
                <w:szCs w:val="21"/>
              </w:rPr>
              <w:t>《有害生物防制(治)员》还需提供技能人才评价证书全国联网查询网页截图(</w:t>
            </w:r>
            <w:r>
              <w:fldChar w:fldCharType="begin"/>
            </w:r>
            <w:r>
              <w:instrText xml:space="preserve"> HYPERLINK "http://jndj.osta.org.cn/" </w:instrText>
            </w:r>
            <w:r>
              <w:fldChar w:fldCharType="separate"/>
            </w:r>
            <w:r>
              <w:rPr>
                <w:rStyle w:val="FollowedHyperlink"/>
                <w:rFonts w:hint="eastAsia"/>
                <w:szCs w:val="21"/>
              </w:rPr>
              <w:t>http://jndj.osta.org.cn/</w:t>
            </w:r>
            <w:r>
              <w:rPr>
                <w:rStyle w:val="FollowedHyperlink"/>
                <w:rFonts w:hint="eastAsia"/>
                <w:szCs w:val="21"/>
              </w:rPr>
              <w:fldChar w:fldCharType="end"/>
            </w:r>
            <w:r>
              <w:rPr>
                <w:rFonts w:hint="eastAsia"/>
                <w:szCs w:val="21"/>
              </w:rPr>
              <w:t>)，</w:t>
            </w:r>
            <w:r>
              <w:rPr>
                <w:rFonts w:ascii="宋体" w:hAnsi="宋体" w:hint="eastAsia"/>
              </w:rPr>
              <w:t>原件备查。</w:t>
            </w:r>
          </w:p>
          <w:p>
            <w:pPr>
              <w:wordWrap w:val="0"/>
              <w:spacing w:line="276" w:lineRule="auto"/>
              <w:rPr>
                <w:rFonts w:ascii="宋体" w:hAnsi="宋体"/>
              </w:rPr>
            </w:pPr>
            <w:r>
              <w:rPr>
                <w:rFonts w:ascii="宋体" w:hAnsi="宋体" w:hint="eastAsia"/>
              </w:rPr>
              <w:t>3、相关证书在公开渠道无法查询的，需提供颁发部门或者监管机构的证明材料，以及颁发机构为合法机构的网页截图。</w:t>
            </w:r>
          </w:p>
          <w:p>
            <w:pPr>
              <w:wordWrap w:val="0"/>
              <w:spacing w:line="276" w:lineRule="auto"/>
              <w:rPr>
                <w:rFonts w:ascii="宋体" w:hAnsi="宋体"/>
              </w:rPr>
            </w:pPr>
            <w:r>
              <w:rPr>
                <w:rFonts w:ascii="宋体" w:hAnsi="宋体" w:hint="eastAsia"/>
              </w:rPr>
              <w:t>4、提供身份证扫描件。</w:t>
            </w:r>
          </w:p>
          <w:p>
            <w:pPr>
              <w:wordWrap w:val="0"/>
              <w:spacing w:line="276" w:lineRule="auto"/>
              <w:rPr>
                <w:rFonts w:ascii="宋体" w:hAnsi="宋体" w:cs="宋体"/>
                <w:szCs w:val="21"/>
              </w:rPr>
            </w:pPr>
            <w:r>
              <w:rPr>
                <w:rFonts w:ascii="宋体" w:hAnsi="宋体" w:hint="eastAsia"/>
              </w:rPr>
              <w:t>备注：以上资料均要求提供扫描件，原件备查，评分中出现无证明资料或证书过期或专家无法凭所提供资料判断是否得分的情况，一律作不得分处理。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3</w:t>
            </w:r>
          </w:p>
        </w:tc>
        <w:tc>
          <w:tcPr>
            <w:tcW w:w="3357" w:type="dxa"/>
            <w:gridSpan w:val="3"/>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综合实力</w:t>
            </w:r>
            <w:r>
              <w:rPr>
                <w:rFonts w:hint="eastAsia"/>
                <w:b/>
                <w:bCs/>
                <w:color w:val="0000FF"/>
              </w:rPr>
              <w:t>（商务）</w:t>
            </w:r>
          </w:p>
        </w:tc>
        <w:tc>
          <w:tcPr>
            <w:tcW w:w="5576" w:type="dxa"/>
            <w:gridSpan w:val="2"/>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rFonts w:ascii="宋体" w:hAnsi="宋体" w:cs="宋体" w:hint="eastAsia"/>
                <w:b/>
                <w:bCs/>
                <w:color w:val="0000FF"/>
                <w:sz w:val="24"/>
              </w:rPr>
              <w:t>28</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序号</w:t>
            </w:r>
          </w:p>
        </w:tc>
        <w:tc>
          <w:tcPr>
            <w:tcW w:w="156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评分因素</w:t>
            </w:r>
          </w:p>
        </w:tc>
        <w:tc>
          <w:tcPr>
            <w:tcW w:w="1109"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权重(%)</w:t>
            </w:r>
          </w:p>
        </w:tc>
        <w:tc>
          <w:tcPr>
            <w:tcW w:w="557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评分准则</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1</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投标人荣誉情况</w:t>
            </w:r>
          </w:p>
        </w:tc>
        <w:tc>
          <w:tcPr>
            <w:tcW w:w="1109" w:type="dxa"/>
            <w:tcBorders>
              <w:top w:val="single" w:sz="8" w:space="0" w:color="000000"/>
              <w:left w:val="single" w:sz="8" w:space="0" w:color="000000"/>
              <w:bottom w:val="single" w:sz="8" w:space="0" w:color="000000"/>
              <w:right w:val="single" w:sz="8" w:space="0" w:color="000000"/>
            </w:tcBorders>
          </w:tcPr>
          <w:p>
            <w:pPr>
              <w:widowControl/>
              <w:jc w:val="center"/>
              <w:rPr>
                <w:rFonts w:ascii="宋体" w:hAnsi="宋体" w:cs="宋体"/>
                <w:szCs w:val="21"/>
              </w:rPr>
            </w:pPr>
            <w:r>
              <w:rPr>
                <w:rFonts w:ascii="宋体" w:hAnsi="宋体" w:cs="宋体" w:hint="eastAsia"/>
                <w:szCs w:val="21"/>
              </w:rPr>
              <w:t>8</w:t>
            </w:r>
          </w:p>
        </w:tc>
        <w:tc>
          <w:tcPr>
            <w:tcW w:w="5576" w:type="dxa"/>
            <w:gridSpan w:val="2"/>
            <w:tcBorders>
              <w:top w:val="single" w:sz="8" w:space="0" w:color="000000"/>
              <w:left w:val="single" w:sz="8" w:space="0" w:color="000000"/>
              <w:bottom w:val="single" w:sz="8" w:space="0" w:color="000000"/>
              <w:right w:val="single" w:sz="8" w:space="0" w:color="000000"/>
            </w:tcBorders>
          </w:tcPr>
          <w:p>
            <w:pPr>
              <w:spacing w:after="78" w:afterLines="25" w:line="276" w:lineRule="auto"/>
              <w:rPr>
                <w:rFonts w:ascii="宋体" w:hAnsi="宋体" w:cs="宋体"/>
                <w:b/>
                <w:szCs w:val="21"/>
              </w:rPr>
            </w:pPr>
            <w:r>
              <w:rPr>
                <w:rFonts w:ascii="宋体" w:hAnsi="宋体" w:cs="宋体" w:hint="eastAsia"/>
                <w:b/>
                <w:szCs w:val="21"/>
              </w:rPr>
              <w:t>一、评审标准</w:t>
            </w:r>
          </w:p>
          <w:p>
            <w:pPr>
              <w:spacing w:line="276" w:lineRule="auto"/>
              <w:rPr>
                <w:rFonts w:ascii="宋体" w:hAnsi="宋体" w:cs="宋体"/>
                <w:szCs w:val="21"/>
              </w:rPr>
            </w:pPr>
            <w:r>
              <w:rPr>
                <w:rFonts w:ascii="宋体" w:hAnsi="宋体" w:cs="宋体" w:hint="eastAsia"/>
                <w:szCs w:val="21"/>
              </w:rPr>
              <w:t>1、投标人获得</w:t>
            </w:r>
            <w:r>
              <w:rPr>
                <w:rFonts w:ascii="宋体" w:hAnsi="宋体" w:cs="宋体" w:hint="eastAsia"/>
                <w:bCs/>
                <w:szCs w:val="21"/>
              </w:rPr>
              <w:t>副省级（或以上）城市的区级</w:t>
            </w:r>
            <w:r>
              <w:rPr>
                <w:rFonts w:ascii="宋体" w:hAnsi="宋体" w:cs="宋体" w:hint="eastAsia"/>
                <w:szCs w:val="21"/>
              </w:rPr>
              <w:t>爱卫部门颁发的病媒生物防制（治）相关荣誉或表彰通报，每提供一个20分；获得市级爱卫部门颁发的病媒生物防制（治）相关荣誉或表彰通报，每提供一个30分；获得省级（或以上）爱卫部门颁发的病媒生物防制（治）相关荣誉或表彰通报，每提供一个40分，此项最高得60分，</w:t>
            </w:r>
            <w:r>
              <w:rPr>
                <w:rFonts w:hint="eastAsia"/>
              </w:rPr>
              <w:t>同一颁发单位</w:t>
            </w:r>
            <w:r>
              <w:rPr>
                <w:rFonts w:ascii="宋体" w:hAnsi="宋体" w:cs="宋体" w:hint="eastAsia"/>
                <w:szCs w:val="21"/>
              </w:rPr>
              <w:t>不重复计算。</w:t>
            </w:r>
          </w:p>
          <w:p>
            <w:pPr>
              <w:spacing w:line="276" w:lineRule="auto"/>
              <w:rPr>
                <w:rFonts w:ascii="宋体" w:hAnsi="宋体" w:cs="宋体"/>
                <w:szCs w:val="21"/>
              </w:rPr>
            </w:pPr>
            <w:r>
              <w:rPr>
                <w:rFonts w:ascii="宋体" w:hAnsi="宋体" w:cs="宋体" w:hint="eastAsia"/>
                <w:szCs w:val="21"/>
              </w:rPr>
              <w:t>2、投标人参与病媒生物防制应急处置工作（登革热、出血热）：</w:t>
            </w:r>
          </w:p>
          <w:p>
            <w:pPr>
              <w:spacing w:line="276" w:lineRule="auto"/>
              <w:rPr>
                <w:rFonts w:ascii="宋体" w:hAnsi="宋体" w:cs="宋体"/>
                <w:szCs w:val="21"/>
              </w:rPr>
            </w:pPr>
            <w:r>
              <w:rPr>
                <w:rFonts w:ascii="宋体" w:hAnsi="宋体" w:cs="宋体" w:hint="eastAsia"/>
                <w:szCs w:val="21"/>
              </w:rPr>
              <w:t>①获得</w:t>
            </w:r>
            <w:r>
              <w:rPr>
                <w:rFonts w:ascii="宋体" w:hAnsi="宋体" w:cs="宋体" w:hint="eastAsia"/>
                <w:bCs/>
                <w:szCs w:val="21"/>
              </w:rPr>
              <w:t>副省级（或以上）城市的区级</w:t>
            </w:r>
            <w:r>
              <w:rPr>
                <w:rFonts w:ascii="宋体" w:hAnsi="宋体" w:cs="宋体" w:hint="eastAsia"/>
                <w:szCs w:val="21"/>
              </w:rPr>
              <w:t>爱卫部门颁发的相关荣誉或表彰通报每提供一个得20分，</w:t>
            </w:r>
          </w:p>
          <w:p>
            <w:pPr>
              <w:spacing w:line="276" w:lineRule="auto"/>
              <w:rPr>
                <w:rFonts w:ascii="宋体" w:hAnsi="宋体" w:cs="宋体"/>
                <w:szCs w:val="21"/>
              </w:rPr>
            </w:pPr>
            <w:r>
              <w:rPr>
                <w:rFonts w:ascii="宋体" w:hAnsi="宋体" w:cs="宋体" w:hint="eastAsia"/>
                <w:szCs w:val="21"/>
              </w:rPr>
              <w:t>②市级爱卫部门颁发的相关荣誉或表彰通报每提供一个得30分，</w:t>
            </w:r>
          </w:p>
          <w:p>
            <w:pPr>
              <w:spacing w:line="276" w:lineRule="auto"/>
              <w:rPr>
                <w:rFonts w:ascii="宋体" w:hAnsi="宋体" w:cs="宋体"/>
                <w:szCs w:val="21"/>
              </w:rPr>
            </w:pPr>
            <w:r>
              <w:rPr>
                <w:rFonts w:ascii="宋体" w:hAnsi="宋体" w:cs="宋体" w:hint="eastAsia"/>
                <w:szCs w:val="21"/>
              </w:rPr>
              <w:t>③省级（或以上）爱卫部门颁发的相关荣誉或表彰通报的每提供一个得40分，此项最高得40分，</w:t>
            </w:r>
            <w:r>
              <w:rPr>
                <w:rFonts w:hint="eastAsia"/>
              </w:rPr>
              <w:t>同一颁发单位</w:t>
            </w:r>
            <w:r>
              <w:rPr>
                <w:rFonts w:ascii="宋体" w:hAnsi="宋体" w:cs="宋体" w:hint="eastAsia"/>
                <w:szCs w:val="21"/>
              </w:rPr>
              <w:t>不重复计算。</w:t>
            </w:r>
          </w:p>
          <w:p>
            <w:pPr>
              <w:spacing w:line="276" w:lineRule="auto"/>
              <w:rPr>
                <w:rFonts w:ascii="宋体" w:hAnsi="宋体" w:cs="宋体"/>
                <w:szCs w:val="21"/>
              </w:rPr>
            </w:pPr>
            <w:r>
              <w:rPr>
                <w:rFonts w:ascii="宋体" w:hAnsi="宋体" w:cs="宋体" w:hint="eastAsia"/>
                <w:szCs w:val="21"/>
              </w:rPr>
              <w:t>以上荣誉获得时限为2020年1月1日至本项目投标截止日止，累计最高得100分。</w:t>
            </w:r>
          </w:p>
          <w:p>
            <w:pPr>
              <w:spacing w:after="78" w:afterLines="25" w:line="276" w:lineRule="auto"/>
              <w:rPr>
                <w:rFonts w:ascii="宋体" w:hAnsi="宋体" w:cs="宋体"/>
                <w:b/>
                <w:szCs w:val="21"/>
              </w:rPr>
            </w:pPr>
            <w:r>
              <w:rPr>
                <w:rFonts w:ascii="宋体" w:hAnsi="宋体" w:cs="宋体" w:hint="eastAsia"/>
                <w:b/>
                <w:szCs w:val="21"/>
              </w:rPr>
              <w:t>二、证明材料</w:t>
            </w:r>
          </w:p>
          <w:p>
            <w:pPr>
              <w:spacing w:after="78" w:afterLines="25" w:line="276" w:lineRule="auto"/>
              <w:rPr>
                <w:rFonts w:ascii="宋体" w:hAnsi="宋体" w:cs="宋体"/>
                <w:szCs w:val="21"/>
              </w:rPr>
            </w:pPr>
            <w:r>
              <w:rPr>
                <w:rFonts w:ascii="宋体" w:hAnsi="宋体" w:cs="宋体" w:hint="eastAsia"/>
                <w:szCs w:val="21"/>
              </w:rPr>
              <w:t>提供相关荣誉证书或表彰证明文件扫描件。</w:t>
            </w:r>
          </w:p>
          <w:p>
            <w:pPr>
              <w:wordWrap w:val="0"/>
              <w:rPr>
                <w:rFonts w:ascii="宋体" w:hAnsi="宋体" w:cs="宋体"/>
                <w:szCs w:val="21"/>
              </w:rPr>
            </w:pPr>
            <w:r>
              <w:rPr>
                <w:rFonts w:hint="eastAsia"/>
              </w:rPr>
              <w:t>备注：以上资料均要求提供扫描件，原件备查，评分中出现无证明资料或证书过期或专家无法凭所提供资料判断是否得分的情况，一律作不得分处理。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2</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同类项目业绩情况</w:t>
            </w:r>
          </w:p>
        </w:tc>
        <w:tc>
          <w:tcPr>
            <w:tcW w:w="1109" w:type="dxa"/>
            <w:tcBorders>
              <w:top w:val="single" w:sz="8" w:space="0" w:color="000000"/>
              <w:left w:val="single" w:sz="8" w:space="0" w:color="000000"/>
              <w:bottom w:val="single" w:sz="8" w:space="0" w:color="000000"/>
              <w:right w:val="single" w:sz="8" w:space="0" w:color="000000"/>
            </w:tcBorders>
          </w:tcPr>
          <w:p>
            <w:pPr>
              <w:widowControl/>
              <w:jc w:val="center"/>
              <w:rPr>
                <w:rFonts w:ascii="宋体" w:hAnsi="宋体" w:cs="宋体"/>
                <w:szCs w:val="21"/>
              </w:rPr>
            </w:pPr>
            <w:r>
              <w:rPr>
                <w:rFonts w:ascii="宋体" w:hAnsi="宋体" w:cs="宋体" w:hint="eastAsia"/>
                <w:szCs w:val="21"/>
              </w:rPr>
              <w:t>8</w:t>
            </w:r>
          </w:p>
        </w:tc>
        <w:tc>
          <w:tcPr>
            <w:tcW w:w="5576" w:type="dxa"/>
            <w:gridSpan w:val="2"/>
            <w:tcBorders>
              <w:top w:val="single" w:sz="8" w:space="0" w:color="000000"/>
              <w:left w:val="single" w:sz="8" w:space="0" w:color="000000"/>
              <w:bottom w:val="single" w:sz="8" w:space="0" w:color="000000"/>
              <w:right w:val="single" w:sz="8" w:space="0" w:color="000000"/>
            </w:tcBorders>
          </w:tcPr>
          <w:p>
            <w:pPr>
              <w:spacing w:after="78" w:afterLines="25" w:line="276" w:lineRule="auto"/>
              <w:rPr>
                <w:rFonts w:ascii="宋体" w:hAnsi="宋体" w:cs="宋体"/>
                <w:b/>
                <w:szCs w:val="21"/>
              </w:rPr>
            </w:pPr>
            <w:r>
              <w:rPr>
                <w:rFonts w:ascii="宋体" w:hAnsi="宋体" w:cs="宋体" w:hint="eastAsia"/>
                <w:b/>
                <w:szCs w:val="21"/>
              </w:rPr>
              <w:t>一、评审标准</w:t>
            </w:r>
          </w:p>
          <w:p>
            <w:pPr>
              <w:jc w:val="left"/>
              <w:rPr>
                <w:lang w:val="zh-CN"/>
              </w:rPr>
            </w:pPr>
            <w:r>
              <w:rPr>
                <w:rFonts w:hint="eastAsia"/>
                <w:lang w:val="zh-CN"/>
              </w:rPr>
              <w:t>投标人自202</w:t>
            </w:r>
            <w:r>
              <w:rPr>
                <w:rFonts w:hint="eastAsia"/>
              </w:rPr>
              <w:t>2</w:t>
            </w:r>
            <w:r>
              <w:rPr>
                <w:rFonts w:hint="eastAsia"/>
                <w:lang w:val="zh-CN"/>
              </w:rPr>
              <w:t>年1月1日至本项目投标截止时间（以合同签订日期为准）：</w:t>
            </w:r>
          </w:p>
          <w:p>
            <w:pPr>
              <w:jc w:val="left"/>
              <w:rPr>
                <w:lang w:val="zh-CN"/>
              </w:rPr>
            </w:pPr>
            <w:r>
              <w:rPr>
                <w:rFonts w:hint="eastAsia"/>
                <w:lang w:val="zh-CN"/>
              </w:rPr>
              <w:t>具有政府部门或事业单位</w:t>
            </w:r>
            <w:r>
              <w:rPr>
                <w:rFonts w:hint="eastAsia"/>
              </w:rPr>
              <w:t>委托的</w:t>
            </w:r>
            <w:r>
              <w:rPr>
                <w:rFonts w:ascii="宋体" w:hAnsi="宋体" w:cs="宋体" w:hint="eastAsia"/>
                <w:color w:val="000000"/>
                <w:szCs w:val="21"/>
              </w:rPr>
              <w:t>有害（病媒）生物防治（制）或除“四害”消杀等同类服务项目</w:t>
            </w:r>
            <w:r>
              <w:rPr>
                <w:rFonts w:hint="eastAsia"/>
                <w:lang w:val="zh-CN"/>
              </w:rPr>
              <w:t>，且经服务单位履约评价结果为“优”或“满意”或“合格”的（即该评价体系的最高评价等级），每提供一项业绩得</w:t>
            </w:r>
            <w:r>
              <w:rPr>
                <w:rFonts w:hint="eastAsia"/>
              </w:rPr>
              <w:t>20</w:t>
            </w:r>
            <w:r>
              <w:rPr>
                <w:rFonts w:hint="eastAsia"/>
                <w:lang w:val="zh-CN"/>
              </w:rPr>
              <w:t>分，最高得100分。</w:t>
            </w:r>
          </w:p>
          <w:p>
            <w:pPr>
              <w:jc w:val="left"/>
              <w:rPr>
                <w:b/>
                <w:bCs/>
                <w:lang w:val="zh-CN"/>
              </w:rPr>
            </w:pPr>
            <w:r>
              <w:rPr>
                <w:rFonts w:hint="eastAsia"/>
                <w:b/>
                <w:bCs/>
              </w:rPr>
              <w:t>二、证明材料</w:t>
            </w:r>
            <w:r>
              <w:rPr>
                <w:rFonts w:hint="eastAsia"/>
                <w:b/>
                <w:bCs/>
                <w:lang w:val="zh-CN"/>
              </w:rPr>
              <w:t>：</w:t>
            </w:r>
          </w:p>
          <w:p>
            <w:pPr>
              <w:jc w:val="left"/>
              <w:rPr>
                <w:lang w:val="zh-CN"/>
              </w:rPr>
            </w:pPr>
            <w:r>
              <w:rPr>
                <w:rFonts w:hint="eastAsia"/>
                <w:lang w:val="zh-CN"/>
              </w:rPr>
              <w:t>1、投标人提供的每项业绩须按以下要求提供完整准确的证明文件，如未按以下要求提供完整证明文件的业绩不计分，长期续签合同只计算一个业绩：</w:t>
            </w:r>
          </w:p>
          <w:p>
            <w:pPr>
              <w:jc w:val="left"/>
              <w:rPr>
                <w:lang w:val="zh-CN"/>
              </w:rPr>
            </w:pPr>
            <w:r>
              <w:rPr>
                <w:rFonts w:hint="eastAsia"/>
                <w:lang w:val="zh-CN"/>
              </w:rPr>
              <w:t>①中标通知书；</w:t>
            </w:r>
          </w:p>
          <w:p>
            <w:pPr>
              <w:jc w:val="left"/>
              <w:rPr>
                <w:lang w:val="zh-CN"/>
              </w:rPr>
            </w:pPr>
            <w:r>
              <w:rPr>
                <w:rFonts w:hint="eastAsia"/>
                <w:lang w:val="zh-CN"/>
              </w:rPr>
              <w:t>②提供合同关键页</w:t>
            </w:r>
            <w:r>
              <w:rPr>
                <w:rFonts w:hint="eastAsia"/>
              </w:rPr>
              <w:t>【</w:t>
            </w:r>
            <w:r>
              <w:rPr>
                <w:rFonts w:hint="eastAsia"/>
                <w:lang w:val="zh-CN"/>
              </w:rPr>
              <w:t>应包含但不限于合同签约主体名称、项目（合同）名称、涉及业绩评分的内容、签订合同时间、签约主体公章等关键信息</w:t>
            </w:r>
            <w:r>
              <w:rPr>
                <w:rFonts w:hint="eastAsia"/>
              </w:rPr>
              <w:t>】</w:t>
            </w:r>
            <w:r>
              <w:rPr>
                <w:rFonts w:hint="eastAsia"/>
                <w:lang w:val="zh-CN"/>
              </w:rPr>
              <w:t>；</w:t>
            </w:r>
          </w:p>
          <w:p>
            <w:pPr>
              <w:jc w:val="left"/>
              <w:rPr>
                <w:lang w:val="zh-CN"/>
              </w:rPr>
            </w:pPr>
            <w:r>
              <w:rPr>
                <w:rFonts w:hint="eastAsia"/>
                <w:lang w:val="zh-CN"/>
              </w:rPr>
              <w:t>③提供项目采购单位或被服务单位出具的履约评价证明，需加盖合同甲方公章（或甲方业务章）；证明文件的内容必须包括但不限于项目（合同）名称、履约评价结果、出具证明的签署日期等相关内容；如提交的证明材料其评价结果没有结论而仅是打分的（比如打100分、98分、95分、85分等的）不计分；</w:t>
            </w:r>
          </w:p>
          <w:p>
            <w:pPr>
              <w:rPr>
                <w:rFonts w:ascii="宋体" w:hAnsi="宋体" w:cs="宋体"/>
                <w:szCs w:val="21"/>
              </w:rPr>
            </w:pPr>
            <w:r>
              <w:rPr>
                <w:rFonts w:hint="eastAsia"/>
                <w:lang w:val="zh-CN"/>
              </w:rPr>
              <w:t>2、</w:t>
            </w:r>
            <w:r>
              <w:rPr>
                <w:rFonts w:hint="eastAsia"/>
              </w:rPr>
              <w:t>以上资料均要求提供扫描件，原件备查，评分中出现无证明资料或证书过期或专家无法凭所提供资料判断是否得分的情况，一律作不得分处理。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auto"/>
          </w:tcPr>
          <w:p>
            <w:pPr>
              <w:pStyle w:val="TableText"/>
              <w:spacing w:before="47"/>
              <w:ind w:left="106" w:right="196" w:hanging="3"/>
              <w:rPr>
                <w:szCs w:val="21"/>
              </w:rPr>
            </w:pPr>
            <w:r>
              <w:rPr>
                <w:rFonts w:hint="eastAsia"/>
                <w:sz w:val="21"/>
                <w:szCs w:val="21"/>
              </w:rPr>
              <w:t>投标人资质情况</w:t>
            </w:r>
          </w:p>
        </w:tc>
        <w:tc>
          <w:tcPr>
            <w:tcW w:w="1109" w:type="dxa"/>
            <w:tcBorders>
              <w:top w:val="single" w:sz="8" w:space="0" w:color="000000"/>
              <w:left w:val="single" w:sz="8" w:space="0" w:color="000000"/>
              <w:bottom w:val="single" w:sz="8" w:space="0" w:color="000000"/>
              <w:right w:val="single" w:sz="8" w:space="0" w:color="000000"/>
            </w:tcBorders>
            <w:shd w:val="clear" w:color="auto" w:fill="auto"/>
          </w:tcPr>
          <w:p>
            <w:pPr>
              <w:spacing w:before="68"/>
              <w:jc w:val="center"/>
              <w:rPr>
                <w:rFonts w:ascii="宋体" w:hAnsi="宋体" w:cs="宋体"/>
                <w:szCs w:val="21"/>
              </w:rPr>
            </w:pPr>
            <w:r>
              <w:rPr>
                <w:rFonts w:ascii="宋体" w:hAnsi="宋体" w:cs="宋体" w:hint="eastAsia"/>
              </w:rPr>
              <w:t>5</w:t>
            </w:r>
          </w:p>
        </w:tc>
        <w:tc>
          <w:tcPr>
            <w:tcW w:w="5576" w:type="dxa"/>
            <w:gridSpan w:val="2"/>
            <w:tcBorders>
              <w:top w:val="single" w:sz="8" w:space="0" w:color="000000"/>
              <w:left w:val="single" w:sz="8" w:space="0" w:color="000000"/>
              <w:bottom w:val="single" w:sz="8" w:space="0" w:color="000000"/>
              <w:right w:val="single" w:sz="8" w:space="0" w:color="000000"/>
            </w:tcBorders>
            <w:shd w:val="clear" w:color="auto" w:fill="auto"/>
          </w:tcPr>
          <w:p>
            <w:pPr>
              <w:wordWrap w:val="0"/>
              <w:rPr>
                <w:rFonts w:ascii="宋体" w:hAnsi="宋体" w:cs="宋体"/>
                <w:b/>
                <w:bCs/>
                <w:szCs w:val="21"/>
              </w:rPr>
            </w:pPr>
            <w:r>
              <w:rPr>
                <w:rFonts w:ascii="宋体" w:hAnsi="宋体" w:cs="宋体" w:hint="eastAsia"/>
                <w:b/>
                <w:szCs w:val="21"/>
              </w:rPr>
              <w:t>一、评审标准</w:t>
            </w:r>
          </w:p>
          <w:p>
            <w:pPr>
              <w:wordWrap w:val="0"/>
              <w:rPr>
                <w:rFonts w:ascii="宋体" w:hAnsi="宋体" w:cs="宋体"/>
                <w:szCs w:val="21"/>
              </w:rPr>
            </w:pPr>
            <w:r>
              <w:rPr>
                <w:rFonts w:ascii="宋体" w:hAnsi="宋体" w:cs="宋体" w:hint="eastAsia"/>
                <w:szCs w:val="21"/>
              </w:rPr>
              <w:t>1.投标人具有质量管理体系认证证书得33分；</w:t>
            </w:r>
          </w:p>
          <w:p>
            <w:pPr>
              <w:wordWrap w:val="0"/>
              <w:rPr>
                <w:rFonts w:ascii="宋体" w:hAnsi="宋体" w:cs="宋体"/>
                <w:szCs w:val="21"/>
              </w:rPr>
            </w:pPr>
            <w:r>
              <w:rPr>
                <w:rFonts w:ascii="宋体" w:hAnsi="宋体" w:cs="宋体" w:hint="eastAsia"/>
                <w:szCs w:val="21"/>
              </w:rPr>
              <w:t>2.投标人具有环境管理体系认证证书得33分；</w:t>
            </w:r>
          </w:p>
          <w:p>
            <w:pPr>
              <w:wordWrap w:val="0"/>
              <w:rPr>
                <w:rFonts w:ascii="宋体" w:hAnsi="宋体" w:cs="宋体"/>
                <w:szCs w:val="21"/>
              </w:rPr>
            </w:pPr>
            <w:r>
              <w:rPr>
                <w:rFonts w:ascii="宋体" w:hAnsi="宋体" w:cs="宋体" w:hint="eastAsia"/>
                <w:szCs w:val="21"/>
              </w:rPr>
              <w:t xml:space="preserve">3.投标人具有职业健康安全管理体系认证证书得34分； </w:t>
            </w:r>
          </w:p>
          <w:p>
            <w:pPr>
              <w:wordWrap w:val="0"/>
              <w:rPr>
                <w:rFonts w:ascii="宋体" w:hAnsi="宋体" w:cs="宋体"/>
                <w:szCs w:val="21"/>
              </w:rPr>
            </w:pPr>
            <w:r>
              <w:rPr>
                <w:rFonts w:ascii="宋体" w:hAnsi="宋体" w:cs="宋体" w:hint="eastAsia"/>
                <w:szCs w:val="21"/>
              </w:rPr>
              <w:t>以上3项累计得分，本项最高得100分。</w:t>
            </w:r>
          </w:p>
          <w:p>
            <w:pPr>
              <w:jc w:val="left"/>
              <w:rPr>
                <w:b/>
                <w:bCs/>
              </w:rPr>
            </w:pPr>
            <w:r>
              <w:rPr>
                <w:rFonts w:hint="eastAsia"/>
                <w:b/>
                <w:bCs/>
              </w:rPr>
              <w:t>二、证明材料：</w:t>
            </w:r>
          </w:p>
          <w:p>
            <w:pPr>
              <w:wordWrap w:val="0"/>
              <w:rPr>
                <w:rFonts w:ascii="宋体" w:hAnsi="宋体" w:cs="宋体"/>
                <w:szCs w:val="21"/>
              </w:rPr>
            </w:pPr>
            <w:r>
              <w:rPr>
                <w:rFonts w:ascii="宋体" w:hAnsi="宋体" w:cs="宋体" w:hint="eastAsia"/>
                <w:szCs w:val="21"/>
              </w:rPr>
              <w:t>须同时提供有效的认证证书扫描件，及认证证书在全国认证认可信息公共服务平台（认e云）查询有效的截图（http://cx.cnca.cn）。</w:t>
            </w:r>
          </w:p>
          <w:p>
            <w:pPr>
              <w:wordWrap w:val="0"/>
              <w:rPr>
                <w:rFonts w:ascii="宋体" w:hAnsi="宋体" w:cs="宋体"/>
                <w:szCs w:val="21"/>
                <w:lang w:val="zh-CN"/>
              </w:rPr>
            </w:pPr>
            <w:r>
              <w:rPr>
                <w:rFonts w:ascii="宋体" w:hAnsi="宋体" w:cs="宋体" w:hint="eastAsia"/>
                <w:szCs w:val="21"/>
              </w:rPr>
              <w:t>备注：以上资料均要求提供扫描件，评分中出现无证明资料或证书过期或专家无法凭所提供资料判断是否得分的情况，一律作不得分处理。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4</w:t>
            </w:r>
          </w:p>
        </w:tc>
        <w:tc>
          <w:tcPr>
            <w:tcW w:w="1568" w:type="dxa"/>
            <w:tcBorders>
              <w:top w:val="single" w:sz="8" w:space="0" w:color="000000"/>
              <w:left w:val="single" w:sz="8" w:space="0" w:color="000000"/>
              <w:bottom w:val="single" w:sz="8" w:space="0" w:color="000000"/>
              <w:right w:val="single" w:sz="8" w:space="0" w:color="000000"/>
            </w:tcBorders>
            <w:vAlign w:val="center"/>
          </w:tcPr>
          <w:p>
            <w:pPr>
              <w:jc w:val="center"/>
              <w:rPr>
                <w:rFonts w:ascii="宋体" w:hAnsi="宋体" w:cs="宋体"/>
                <w:szCs w:val="21"/>
              </w:rPr>
            </w:pPr>
            <w:r>
              <w:rPr>
                <w:rFonts w:ascii="宋体" w:hAnsi="宋体" w:cs="宋体" w:hint="eastAsia"/>
                <w:kern w:val="0"/>
                <w:szCs w:val="21"/>
              </w:rPr>
              <w:t>知识产权产品（创新、设计）情况</w:t>
            </w:r>
          </w:p>
        </w:tc>
        <w:tc>
          <w:tcPr>
            <w:tcW w:w="1109" w:type="dxa"/>
            <w:tcBorders>
              <w:top w:val="single" w:sz="8" w:space="0" w:color="000000"/>
              <w:left w:val="single" w:sz="8" w:space="0" w:color="000000"/>
              <w:bottom w:val="single" w:sz="8" w:space="0" w:color="000000"/>
              <w:right w:val="single" w:sz="8" w:space="0" w:color="000000"/>
            </w:tcBorders>
            <w:vAlign w:val="center"/>
          </w:tcPr>
          <w:p>
            <w:pPr>
              <w:jc w:val="center"/>
              <w:rPr>
                <w:rFonts w:ascii="宋体" w:hAnsi="宋体" w:cs="宋体"/>
                <w:szCs w:val="21"/>
              </w:rPr>
            </w:pPr>
            <w:r>
              <w:rPr>
                <w:rFonts w:ascii="宋体" w:hAnsi="宋体" w:cs="宋体" w:hint="eastAsia"/>
                <w:color w:val="000000"/>
                <w:kern w:val="0"/>
                <w:szCs w:val="21"/>
              </w:rPr>
              <w:t>5</w:t>
            </w:r>
          </w:p>
        </w:tc>
        <w:tc>
          <w:tcPr>
            <w:tcW w:w="5576" w:type="dxa"/>
            <w:gridSpan w:val="2"/>
            <w:tcBorders>
              <w:top w:val="single" w:sz="8" w:space="0" w:color="000000"/>
              <w:left w:val="single" w:sz="8" w:space="0" w:color="000000"/>
              <w:bottom w:val="single" w:sz="8" w:space="0" w:color="000000"/>
              <w:right w:val="single" w:sz="8" w:space="0" w:color="000000"/>
            </w:tcBorders>
            <w:vAlign w:val="center"/>
          </w:tcPr>
          <w:p>
            <w:pPr>
              <w:wordWrap w:val="0"/>
              <w:rPr>
                <w:rFonts w:ascii="宋体" w:hAnsi="宋体" w:cs="宋体"/>
                <w:b/>
                <w:bCs/>
                <w:szCs w:val="21"/>
              </w:rPr>
            </w:pPr>
            <w:r>
              <w:rPr>
                <w:rFonts w:ascii="宋体" w:hAnsi="宋体" w:cs="宋体" w:hint="eastAsia"/>
                <w:b/>
                <w:szCs w:val="21"/>
              </w:rPr>
              <w:t>一、评审标准</w:t>
            </w:r>
          </w:p>
          <w:p>
            <w:pPr>
              <w:rPr>
                <w:rFonts w:ascii="宋体" w:hAnsi="宋体" w:cs="宋体"/>
                <w:color w:val="000000"/>
                <w:szCs w:val="21"/>
              </w:rPr>
            </w:pPr>
            <w:r>
              <w:rPr>
                <w:rFonts w:ascii="宋体" w:hAnsi="宋体" w:cs="宋体" w:hint="eastAsia"/>
                <w:color w:val="000000"/>
                <w:szCs w:val="21"/>
              </w:rPr>
              <w:t>1、投标人具有国家版权局颁发的有害（病媒）生物防治（制）相关的计算机软件著作权登记证的，每提供一个得10分，本小项最高得50分；</w:t>
            </w:r>
          </w:p>
          <w:p>
            <w:r>
              <w:rPr>
                <w:rFonts w:ascii="宋体" w:hAnsi="宋体" w:cs="宋体" w:hint="eastAsia"/>
                <w:color w:val="000000"/>
                <w:szCs w:val="21"/>
              </w:rPr>
              <w:t>2、投标人具有国家知识产权局颁发的有害（病媒）生物防治（制）相关的发明专利证书或实用新型专利证书的，每提供一个得10分，本小项最高得50分。</w:t>
            </w:r>
          </w:p>
          <w:p>
            <w:pPr>
              <w:snapToGrid w:val="0"/>
              <w:rPr>
                <w:rFonts w:ascii="宋体" w:hAnsi="宋体" w:cs="宋体"/>
                <w:b/>
                <w:bCs/>
                <w:color w:val="000000"/>
                <w:kern w:val="0"/>
                <w:szCs w:val="21"/>
              </w:rPr>
            </w:pPr>
            <w:r>
              <w:rPr>
                <w:rFonts w:ascii="宋体" w:hAnsi="宋体" w:cs="宋体" w:hint="eastAsia"/>
                <w:b/>
                <w:bCs/>
                <w:color w:val="000000"/>
                <w:kern w:val="0"/>
                <w:szCs w:val="21"/>
              </w:rPr>
              <w:t>二、证明材料：</w:t>
            </w:r>
          </w:p>
          <w:p>
            <w:pPr>
              <w:rPr>
                <w:rFonts w:ascii="宋体" w:hAnsi="宋体" w:cs="宋体"/>
                <w:b/>
                <w:bCs/>
                <w:color w:val="000000"/>
                <w:szCs w:val="21"/>
              </w:rPr>
            </w:pPr>
            <w:r>
              <w:rPr>
                <w:rFonts w:ascii="宋体" w:hAnsi="宋体" w:cs="宋体" w:hint="eastAsia"/>
                <w:color w:val="000000"/>
                <w:szCs w:val="21"/>
              </w:rPr>
              <w:t>1、</w:t>
            </w:r>
            <w:r>
              <w:rPr>
                <w:rFonts w:ascii="宋体" w:hAnsi="宋体" w:cs="宋体" w:hint="eastAsia"/>
                <w:b/>
                <w:bCs/>
                <w:color w:val="000000"/>
                <w:szCs w:val="21"/>
              </w:rPr>
              <w:t>评分内容1、2：</w:t>
            </w:r>
          </w:p>
          <w:p>
            <w:pPr>
              <w:rPr>
                <w:rFonts w:ascii="宋体" w:hAnsi="宋体" w:cs="宋体"/>
                <w:color w:val="000000"/>
                <w:szCs w:val="21"/>
              </w:rPr>
            </w:pPr>
            <w:r>
              <w:rPr>
                <w:rFonts w:ascii="宋体" w:hAnsi="宋体" w:cs="宋体" w:hint="eastAsia"/>
                <w:color w:val="000000"/>
                <w:szCs w:val="21"/>
              </w:rPr>
              <w:t>①自主开发的，提供自主开发计算机软件著作权证书或专利证书，著作权人或专利权人需为投标人。</w:t>
            </w:r>
          </w:p>
          <w:p>
            <w:pPr>
              <w:rPr>
                <w:rFonts w:ascii="宋体" w:hAnsi="宋体" w:cs="宋体"/>
                <w:color w:val="000000"/>
                <w:szCs w:val="21"/>
              </w:rPr>
            </w:pPr>
            <w:r>
              <w:rPr>
                <w:rFonts w:ascii="宋体" w:hAnsi="宋体" w:cs="宋体" w:hint="eastAsia"/>
                <w:color w:val="000000"/>
                <w:szCs w:val="21"/>
              </w:rPr>
              <w:t>②购买的，同时提供软件著作权证书或专利证书、购买合同及发票，证书著作权人或专利权人和合同出售方及发票上的名称需一致。</w:t>
            </w:r>
          </w:p>
          <w:p>
            <w:r>
              <w:rPr>
                <w:rFonts w:ascii="宋体" w:hAnsi="宋体" w:cs="宋体" w:hint="eastAsia"/>
                <w:color w:val="000000"/>
                <w:szCs w:val="21"/>
              </w:rPr>
              <w:t>③租赁的，提供软件著作权证书或专利证书、租赁合同及发票，证书著作权人或专利权人和合同出租方及发票上的名称需一致。</w:t>
            </w:r>
          </w:p>
          <w:p>
            <w:pPr>
              <w:rPr>
                <w:rFonts w:ascii="宋体" w:hAnsi="宋体" w:cs="宋体"/>
                <w:szCs w:val="21"/>
              </w:rPr>
            </w:pPr>
            <w:r>
              <w:rPr>
                <w:rFonts w:ascii="宋体" w:hAnsi="宋体" w:cs="宋体" w:hint="eastAsia"/>
                <w:color w:val="000000"/>
                <w:szCs w:val="21"/>
              </w:rPr>
              <w:t>2、</w:t>
            </w:r>
            <w:r>
              <w:rPr>
                <w:rFonts w:ascii="宋体" w:hAnsi="宋体" w:cs="宋体" w:hint="eastAsia"/>
                <w:color w:val="000000"/>
                <w:kern w:val="0"/>
                <w:szCs w:val="21"/>
              </w:rPr>
              <w:t>以上资料原件备查。评分中出现无证明资料或专家无法凭所提供资料判断是否得分的情况，一律作不得分处理。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5</w:t>
            </w:r>
          </w:p>
        </w:tc>
        <w:tc>
          <w:tcPr>
            <w:tcW w:w="1568" w:type="dxa"/>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r>
              <w:rPr>
                <w:rFonts w:ascii="宋体" w:hAnsi="宋体" w:cs="宋体" w:hint="eastAsia"/>
                <w:szCs w:val="21"/>
              </w:rPr>
              <w:t>环境保护</w:t>
            </w:r>
          </w:p>
        </w:tc>
        <w:tc>
          <w:tcPr>
            <w:tcW w:w="1109" w:type="dxa"/>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szCs w:val="21"/>
              </w:rPr>
            </w:pPr>
            <w:r>
              <w:rPr>
                <w:rFonts w:ascii="宋体" w:hAnsi="宋体" w:cs="宋体" w:hint="eastAsia"/>
                <w:szCs w:val="21"/>
              </w:rPr>
              <w:t>2</w:t>
            </w:r>
          </w:p>
        </w:tc>
        <w:tc>
          <w:tcPr>
            <w:tcW w:w="5576" w:type="dxa"/>
            <w:gridSpan w:val="2"/>
            <w:tcBorders>
              <w:top w:val="single" w:sz="8" w:space="0" w:color="000000"/>
              <w:left w:val="single" w:sz="8" w:space="0" w:color="000000"/>
              <w:bottom w:val="single" w:sz="8" w:space="0" w:color="000000"/>
              <w:right w:val="single" w:sz="8" w:space="0" w:color="000000"/>
            </w:tcBorders>
          </w:tcPr>
          <w:p>
            <w:pPr>
              <w:spacing w:after="78" w:afterLines="25" w:line="276" w:lineRule="auto"/>
              <w:rPr>
                <w:rFonts w:ascii="宋体" w:hAnsi="宋体" w:cs="宋体"/>
                <w:b/>
                <w:szCs w:val="21"/>
              </w:rPr>
            </w:pPr>
            <w:r>
              <w:rPr>
                <w:rFonts w:ascii="宋体" w:hAnsi="宋体" w:cs="宋体" w:hint="eastAsia"/>
                <w:b/>
                <w:szCs w:val="21"/>
              </w:rPr>
              <w:t>一、评审标准</w:t>
            </w:r>
          </w:p>
          <w:p>
            <w:pPr>
              <w:spacing w:line="276" w:lineRule="auto"/>
              <w:rPr>
                <w:rFonts w:ascii="宋体" w:hAnsi="宋体" w:cs="宋体"/>
                <w:szCs w:val="21"/>
              </w:rPr>
            </w:pPr>
            <w:r>
              <w:rPr>
                <w:szCs w:val="21"/>
              </w:rPr>
              <w:t>投标人就是否受过环保主管部门行政处罚作为得分依据。投标人提供承诺书，承诺至今未受过环保主管部门行政处罚</w:t>
            </w:r>
            <w:r>
              <w:rPr>
                <w:rFonts w:hint="eastAsia"/>
                <w:szCs w:val="21"/>
              </w:rPr>
              <w:t>的得100分</w:t>
            </w:r>
            <w:r>
              <w:rPr>
                <w:szCs w:val="21"/>
              </w:rPr>
              <w:t xml:space="preserve">。 </w:t>
            </w:r>
          </w:p>
          <w:p>
            <w:pPr>
              <w:spacing w:after="78" w:afterLines="25" w:line="276" w:lineRule="auto"/>
              <w:rPr>
                <w:rFonts w:ascii="宋体" w:hAnsi="宋体" w:cs="宋体"/>
                <w:b/>
                <w:szCs w:val="21"/>
              </w:rPr>
            </w:pPr>
            <w:r>
              <w:rPr>
                <w:rFonts w:ascii="宋体" w:hAnsi="宋体" w:cs="宋体" w:hint="eastAsia"/>
                <w:b/>
                <w:szCs w:val="21"/>
              </w:rPr>
              <w:t>二、证明材料</w:t>
            </w:r>
          </w:p>
          <w:p>
            <w:pPr>
              <w:tabs>
                <w:tab w:val="left" w:pos="426"/>
              </w:tabs>
              <w:spacing w:line="276" w:lineRule="auto"/>
              <w:rPr>
                <w:rFonts w:ascii="宋体" w:hAnsi="宋体" w:cs="宋体"/>
                <w:szCs w:val="21"/>
              </w:rPr>
            </w:pPr>
            <w:r>
              <w:rPr>
                <w:rFonts w:ascii="宋体" w:hAnsi="宋体" w:cs="宋体" w:hint="eastAsia"/>
                <w:szCs w:val="21"/>
              </w:rPr>
              <w:t>提供加盖公章的承诺函（格式自拟）扫描件。</w:t>
            </w:r>
          </w:p>
          <w:p>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val="restart"/>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4</w:t>
            </w:r>
          </w:p>
        </w:tc>
        <w:tc>
          <w:tcPr>
            <w:tcW w:w="3357" w:type="dxa"/>
            <w:gridSpan w:val="3"/>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诚信情况</w:t>
            </w:r>
          </w:p>
        </w:tc>
        <w:tc>
          <w:tcPr>
            <w:tcW w:w="5576" w:type="dxa"/>
            <w:gridSpan w:val="2"/>
            <w:tcBorders>
              <w:top w:val="single" w:sz="8" w:space="0" w:color="000000"/>
              <w:left w:val="single" w:sz="8" w:space="0" w:color="000000"/>
              <w:bottom w:val="single" w:sz="8" w:space="0" w:color="000000"/>
              <w:right w:val="single" w:sz="8" w:space="0" w:color="000000"/>
            </w:tcBorders>
          </w:tcPr>
          <w:p>
            <w:pPr>
              <w:wordWrap w:val="0"/>
              <w:jc w:val="center"/>
              <w:rPr>
                <w:rFonts w:ascii="宋体" w:hAnsi="宋体" w:cs="宋体"/>
                <w:b/>
                <w:bCs/>
                <w:color w:val="0000FF"/>
                <w:sz w:val="24"/>
              </w:rPr>
            </w:pPr>
            <w:r>
              <w:rPr>
                <w:b/>
                <w:bCs/>
                <w:color w:val="0000FF"/>
              </w:rPr>
              <w:t>5</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8933" w:type="dxa"/>
            <w:gridSpan w:val="5"/>
            <w:tcBorders>
              <w:top w:val="single" w:sz="8" w:space="0" w:color="000000"/>
              <w:left w:val="single" w:sz="8" w:space="0" w:color="000000"/>
              <w:bottom w:val="single" w:sz="8" w:space="0" w:color="000000"/>
              <w:right w:val="single" w:sz="8" w:space="0" w:color="000000"/>
            </w:tcBorders>
          </w:tcPr>
          <w:p>
            <w:pPr>
              <w:wordWrap w:val="0"/>
              <w:rPr>
                <w:rFonts w:ascii="宋体" w:hAnsi="宋体" w:cs="宋体"/>
                <w:szCs w:val="21"/>
              </w:rPr>
            </w:pP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序号</w:t>
            </w:r>
          </w:p>
        </w:tc>
        <w:tc>
          <w:tcPr>
            <w:tcW w:w="1568"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评分因素</w:t>
            </w:r>
          </w:p>
        </w:tc>
        <w:tc>
          <w:tcPr>
            <w:tcW w:w="1109"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权重(%)</w:t>
            </w:r>
          </w:p>
        </w:tc>
        <w:tc>
          <w:tcPr>
            <w:tcW w:w="5576"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rFonts w:ascii="宋体" w:hAnsi="宋体" w:cs="宋体"/>
                <w:szCs w:val="21"/>
              </w:rPr>
            </w:pPr>
            <w:r>
              <w:rPr>
                <w:szCs w:val="21"/>
              </w:rPr>
              <w:t>评分准则</w:t>
            </w:r>
          </w:p>
        </w:tc>
      </w:tr>
      <w:tr>
        <w:tblPrEx>
          <w:tblW w:w="9688" w:type="dxa"/>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wAfter w:w="45" w:type="dxa"/>
          <w:tblCellSpacing w:w="0" w:type="dxa"/>
          <w:jc w:val="center"/>
        </w:trPr>
        <w:tc>
          <w:tcPr>
            <w:tcW w:w="680" w:type="dxa"/>
            <w:gridSpan w:val="2"/>
            <w:vMerge/>
            <w:tcBorders>
              <w:top w:val="single" w:sz="8" w:space="0" w:color="000000"/>
              <w:left w:val="single" w:sz="8" w:space="0" w:color="000000"/>
              <w:bottom w:val="single" w:sz="8" w:space="0" w:color="000000"/>
              <w:right w:val="single" w:sz="8" w:space="0" w:color="000000"/>
            </w:tcBorders>
            <w:vAlign w:val="center"/>
          </w:tcPr>
          <w:p>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pPr>
              <w:wordWrap w:val="0"/>
              <w:jc w:val="center"/>
              <w:rPr>
                <w:rFonts w:ascii="宋体" w:hAnsi="宋体" w:cs="宋体"/>
                <w:szCs w:val="21"/>
              </w:rPr>
            </w:pPr>
            <w:r>
              <w:rPr>
                <w:szCs w:val="21"/>
              </w:rPr>
              <w:t>1</w:t>
            </w:r>
          </w:p>
        </w:tc>
        <w:tc>
          <w:tcPr>
            <w:tcW w:w="1568" w:type="dxa"/>
            <w:tcBorders>
              <w:top w:val="single" w:sz="8" w:space="0" w:color="000000"/>
              <w:left w:val="single" w:sz="8" w:space="0" w:color="000000"/>
              <w:bottom w:val="single" w:sz="8" w:space="0" w:color="000000"/>
              <w:right w:val="single" w:sz="8" w:space="0" w:color="000000"/>
            </w:tcBorders>
            <w:vAlign w:val="center"/>
          </w:tcPr>
          <w:p>
            <w:pPr>
              <w:wordWrap w:val="0"/>
              <w:jc w:val="center"/>
              <w:rPr>
                <w:rFonts w:ascii="宋体" w:hAnsi="宋体" w:cs="宋体"/>
                <w:szCs w:val="21"/>
              </w:rPr>
            </w:pPr>
            <w:r>
              <w:rPr>
                <w:szCs w:val="21"/>
              </w:rPr>
              <w:t>诚信情况</w:t>
            </w:r>
          </w:p>
        </w:tc>
        <w:tc>
          <w:tcPr>
            <w:tcW w:w="1109" w:type="dxa"/>
            <w:tcBorders>
              <w:top w:val="single" w:sz="8" w:space="0" w:color="000000"/>
              <w:left w:val="single" w:sz="8" w:space="0" w:color="000000"/>
              <w:bottom w:val="single" w:sz="8" w:space="0" w:color="000000"/>
              <w:right w:val="single" w:sz="8" w:space="0" w:color="000000"/>
            </w:tcBorders>
            <w:vAlign w:val="center"/>
          </w:tcPr>
          <w:p>
            <w:pPr>
              <w:widowControl/>
              <w:wordWrap w:val="0"/>
              <w:jc w:val="center"/>
              <w:textAlignment w:val="top"/>
              <w:rPr>
                <w:rFonts w:ascii="宋体" w:hAnsi="宋体" w:cs="宋体"/>
                <w:szCs w:val="21"/>
              </w:rPr>
            </w:pPr>
            <w:r>
              <w:rPr>
                <w:rFonts w:hint="eastAsia"/>
              </w:rPr>
              <w:t>5</w:t>
            </w:r>
          </w:p>
        </w:tc>
        <w:tc>
          <w:tcPr>
            <w:tcW w:w="5576" w:type="dxa"/>
            <w:gridSpan w:val="2"/>
            <w:tcBorders>
              <w:top w:val="single" w:sz="8" w:space="0" w:color="000000"/>
              <w:left w:val="single" w:sz="8" w:space="0" w:color="000000"/>
              <w:bottom w:val="single" w:sz="8" w:space="0" w:color="000000"/>
              <w:right w:val="single" w:sz="8" w:space="0" w:color="000000"/>
            </w:tcBorders>
          </w:tcPr>
          <w:p>
            <w:pPr>
              <w:pStyle w:val="BodyText"/>
              <w:wordWrap w:val="0"/>
              <w:spacing w:line="240" w:lineRule="auto"/>
              <w:ind w:firstLine="480" w:firstLineChars="20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BodyText"/>
              <w:wordWrap w:val="0"/>
              <w:spacing w:line="240" w:lineRule="auto"/>
              <w:ind w:firstLine="480" w:firstLineChars="200"/>
              <w:rPr>
                <w:rFonts w:ascii="宋体" w:hAnsi="宋体" w:cs="宋体"/>
                <w:szCs w:val="21"/>
              </w:rPr>
            </w:pPr>
            <w:r>
              <w:rPr>
                <w:rFonts w:asciiTheme="minorEastAsia" w:eastAsiaTheme="minorEastAsia" w:hAnsiTheme="minorEastAsia" w:cstheme="minorEastAsia" w:hint="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pPr>
        <w:pStyle w:val="NormalIndent"/>
      </w:pPr>
    </w:p>
    <w:p>
      <w:pPr>
        <w:pStyle w:val="NormalIndent"/>
      </w:pPr>
    </w:p>
    <w:p>
      <w:pPr>
        <w:pStyle w:val="NormalIndent"/>
      </w:pPr>
    </w:p>
    <w:p>
      <w:pPr>
        <w:pStyle w:val="NormalIndent"/>
      </w:pPr>
    </w:p>
    <w:p>
      <w:pPr>
        <w:pStyle w:val="NormalIndent"/>
      </w:pPr>
    </w:p>
    <w:p>
      <w:pPr>
        <w:rPr>
          <w:rFonts w:ascii="宋体" w:eastAsia="宋体" w:hAnsi="宋体"/>
          <w:kern w:val="44"/>
          <w:szCs w:val="44"/>
        </w:rPr>
      </w:pPr>
      <w:r>
        <w:rPr>
          <w:rFonts w:eastAsia="宋体"/>
        </w:rPr>
        <w:br w:type="page"/>
      </w:r>
    </w:p>
    <w:p>
      <w:pPr>
        <w:pStyle w:val="Heading1"/>
        <w:rPr>
          <w:rFonts w:eastAsia="宋体"/>
        </w:rPr>
      </w:pPr>
      <w:r>
        <w:rPr>
          <w:rFonts w:eastAsia="宋体" w:hint="eastAsia"/>
        </w:rPr>
        <w:t>目   录</w:t>
      </w:r>
    </w:p>
    <w:p>
      <w:pPr>
        <w:spacing w:line="360" w:lineRule="auto"/>
        <w:outlineLvl w:val="0"/>
        <w:rPr>
          <w:rFonts w:ascii="宋体" w:eastAsia="宋体" w:hAnsi="宋体"/>
          <w:b/>
        </w:rPr>
      </w:pPr>
      <w:r>
        <w:rPr>
          <w:rFonts w:ascii="宋体" w:eastAsia="宋体" w:hAnsi="宋体" w:hint="eastAsia"/>
          <w:b/>
        </w:rPr>
        <w:t>第一册  专用条款</w:t>
      </w:r>
    </w:p>
    <w:p>
      <w:pPr>
        <w:spacing w:line="360" w:lineRule="auto"/>
        <w:rPr>
          <w:rFonts w:ascii="宋体" w:eastAsia="宋体" w:hAnsi="宋体"/>
        </w:rPr>
      </w:pPr>
      <w:r>
        <w:rPr>
          <w:rFonts w:ascii="宋体" w:eastAsia="宋体" w:hAnsi="宋体" w:hint="eastAsia"/>
        </w:rPr>
        <w:t xml:space="preserve">          关键信息</w:t>
      </w:r>
    </w:p>
    <w:p>
      <w:pPr>
        <w:spacing w:line="360" w:lineRule="auto"/>
        <w:ind w:firstLine="1200" w:firstLineChars="500"/>
        <w:rPr>
          <w:rFonts w:ascii="宋体" w:eastAsia="宋体" w:hAnsi="宋体"/>
          <w:szCs w:val="21"/>
        </w:rPr>
      </w:pPr>
      <w:r>
        <w:rPr>
          <w:rFonts w:ascii="宋体" w:eastAsia="宋体" w:hAnsi="宋体" w:hint="eastAsia"/>
          <w:szCs w:val="21"/>
        </w:rPr>
        <w:t>第一章  招标公告</w:t>
      </w:r>
    </w:p>
    <w:p>
      <w:pPr>
        <w:spacing w:line="360" w:lineRule="auto"/>
        <w:ind w:firstLine="1200" w:firstLineChars="500"/>
        <w:rPr>
          <w:rFonts w:ascii="宋体" w:eastAsia="宋体" w:hAnsi="宋体"/>
          <w:szCs w:val="21"/>
        </w:rPr>
      </w:pPr>
      <w:r>
        <w:rPr>
          <w:rFonts w:ascii="宋体" w:eastAsia="宋体" w:hAnsi="宋体" w:hint="eastAsia"/>
          <w:szCs w:val="21"/>
        </w:rPr>
        <w:t xml:space="preserve">第二章  </w:t>
      </w:r>
      <w:bookmarkStart w:id="5" w:name="_Hlk71994379"/>
      <w:r>
        <w:rPr>
          <w:rFonts w:ascii="宋体" w:eastAsia="宋体" w:hAnsi="宋体" w:hint="eastAsia"/>
          <w:szCs w:val="21"/>
        </w:rPr>
        <w:t>对通用条款的补充内容及其他关键信息</w:t>
      </w:r>
      <w:bookmarkEnd w:id="5"/>
    </w:p>
    <w:p>
      <w:pPr>
        <w:spacing w:line="360" w:lineRule="auto"/>
        <w:ind w:firstLine="1200" w:firstLineChars="500"/>
        <w:rPr>
          <w:rFonts w:ascii="宋体" w:eastAsia="宋体" w:hAnsi="宋体"/>
          <w:szCs w:val="21"/>
        </w:rPr>
      </w:pPr>
      <w:r>
        <w:rPr>
          <w:rFonts w:ascii="宋体" w:eastAsia="宋体" w:hAnsi="宋体" w:hint="eastAsia"/>
          <w:szCs w:val="21"/>
        </w:rPr>
        <w:t>第三章  用户需求书</w:t>
      </w:r>
    </w:p>
    <w:p>
      <w:pPr>
        <w:spacing w:line="360" w:lineRule="auto"/>
        <w:ind w:firstLine="1200" w:firstLineChars="500"/>
        <w:rPr>
          <w:rFonts w:ascii="宋体" w:eastAsia="宋体" w:hAnsi="宋体"/>
          <w:szCs w:val="21"/>
        </w:rPr>
      </w:pPr>
      <w:r>
        <w:rPr>
          <w:rFonts w:ascii="宋体" w:eastAsia="宋体" w:hAnsi="宋体" w:hint="eastAsia"/>
          <w:szCs w:val="21"/>
        </w:rPr>
        <w:t>第四章  投标文件组成要求及格式</w:t>
      </w:r>
    </w:p>
    <w:p>
      <w:pPr>
        <w:spacing w:line="360" w:lineRule="auto"/>
        <w:ind w:firstLine="1200" w:firstLineChars="500"/>
        <w:rPr>
          <w:rFonts w:ascii="宋体" w:eastAsia="宋体" w:hAnsi="宋体"/>
          <w:szCs w:val="21"/>
        </w:rPr>
      </w:pPr>
      <w:r>
        <w:rPr>
          <w:rFonts w:ascii="宋体" w:eastAsia="宋体" w:hAnsi="宋体" w:hint="eastAsia"/>
          <w:szCs w:val="21"/>
        </w:rPr>
        <w:t>第五章  合同条款及格式</w:t>
      </w:r>
    </w:p>
    <w:p>
      <w:pPr>
        <w:spacing w:line="360" w:lineRule="auto"/>
        <w:rPr>
          <w:rFonts w:ascii="宋体" w:eastAsia="宋体" w:hAnsi="宋体"/>
          <w:b/>
        </w:rPr>
      </w:pPr>
    </w:p>
    <w:p>
      <w:pPr>
        <w:spacing w:line="360" w:lineRule="auto"/>
        <w:outlineLvl w:val="0"/>
        <w:rPr>
          <w:rFonts w:ascii="宋体" w:eastAsia="宋体" w:hAnsi="宋体"/>
          <w:b/>
        </w:rPr>
      </w:pPr>
      <w:r>
        <w:rPr>
          <w:rFonts w:ascii="宋体" w:eastAsia="宋体" w:hAnsi="宋体" w:hint="eastAsia"/>
          <w:b/>
        </w:rPr>
        <w:t>第二册  通用条款</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第一章  总则</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第二章  招标文件</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第三章  投标文件的编制</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第四章  投标文件的递交</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第五章  开标</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第六章  评审要求</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第七章  评审程序及评审方法</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第八章  定标及公示</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第九章  公开招标失败的后续处理</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第十章  合同的授予与备案</w:t>
      </w:r>
    </w:p>
    <w:p>
      <w:pPr>
        <w:spacing w:line="360" w:lineRule="auto"/>
        <w:ind w:left="720" w:firstLine="470" w:leftChars="300" w:firstLineChars="196"/>
        <w:rPr>
          <w:rFonts w:ascii="宋体" w:eastAsia="宋体" w:hAnsi="宋体"/>
          <w:szCs w:val="21"/>
        </w:rPr>
      </w:pPr>
      <w:r>
        <w:rPr>
          <w:rFonts w:ascii="宋体" w:eastAsia="宋体" w:hAnsi="宋体" w:hint="eastAsia"/>
          <w:szCs w:val="21"/>
        </w:rPr>
        <w:t>第十一章  质疑处理</w:t>
      </w:r>
    </w:p>
    <w:p>
      <w:pPr>
        <w:spacing w:line="360" w:lineRule="auto"/>
        <w:ind w:firstLine="480" w:firstLineChars="200"/>
        <w:rPr>
          <w:rFonts w:ascii="宋体" w:eastAsia="宋体" w:hAnsi="宋体"/>
          <w:szCs w:val="21"/>
        </w:rPr>
      </w:pPr>
    </w:p>
    <w:p>
      <w:pPr>
        <w:pStyle w:val="Heading1"/>
        <w:rPr>
          <w:rFonts w:eastAsia="宋体"/>
        </w:rPr>
      </w:pPr>
      <w:r>
        <w:rPr>
          <w:rFonts w:eastAsia="宋体"/>
        </w:rPr>
        <w:br w:type="page"/>
      </w:r>
      <w:bookmarkStart w:id="6" w:name="bt合同条款"/>
      <w:bookmarkEnd w:id="6"/>
      <w:bookmarkStart w:id="7" w:name="bt说明"/>
      <w:bookmarkEnd w:id="7"/>
      <w:bookmarkStart w:id="8" w:name="bt其他资料2"/>
      <w:bookmarkEnd w:id="8"/>
      <w:bookmarkStart w:id="9" w:name="bt投标函"/>
      <w:bookmarkEnd w:id="9"/>
      <w:bookmarkStart w:id="10" w:name="bt投标人情况介绍"/>
      <w:bookmarkEnd w:id="10"/>
      <w:bookmarkStart w:id="11" w:name="bt商务标投标文件格式"/>
      <w:bookmarkEnd w:id="11"/>
      <w:bookmarkStart w:id="12" w:name="bt投标文件签署授权委托书"/>
      <w:bookmarkEnd w:id="12"/>
      <w:bookmarkStart w:id="13" w:name="bt投标人须知"/>
      <w:bookmarkEnd w:id="13"/>
      <w:bookmarkStart w:id="14" w:name="bt合同条款及格式"/>
      <w:bookmarkEnd w:id="14"/>
      <w:bookmarkStart w:id="15" w:name="bt本工程承诺书"/>
      <w:bookmarkEnd w:id="15"/>
      <w:bookmarkStart w:id="16" w:name="bt投标报价汇总表"/>
      <w:bookmarkEnd w:id="16"/>
      <w:bookmarkStart w:id="17" w:name="bt其他资料由投标人自定"/>
      <w:bookmarkEnd w:id="17"/>
      <w:bookmarkStart w:id="18" w:name="合同格式"/>
      <w:bookmarkEnd w:id="18"/>
      <w:bookmarkStart w:id="19" w:name="bt项目管理班子配备情况"/>
      <w:bookmarkEnd w:id="19"/>
      <w:bookmarkStart w:id="20" w:name="bt技术标投标文件格式"/>
      <w:bookmarkEnd w:id="20"/>
      <w:bookmarkStart w:id="21" w:name="bt开标一览表"/>
      <w:bookmarkEnd w:id="21"/>
      <w:bookmarkStart w:id="22" w:name="bt合同格式"/>
      <w:bookmarkEnd w:id="22"/>
      <w:r>
        <w:rPr>
          <w:rFonts w:eastAsia="宋体" w:hint="eastAsia"/>
        </w:rPr>
        <w:t>第一册专用条款</w:t>
      </w:r>
    </w:p>
    <w:p>
      <w:pPr>
        <w:pStyle w:val="Heading2"/>
        <w:spacing w:line="360" w:lineRule="auto"/>
        <w:rPr>
          <w:szCs w:val="21"/>
        </w:rPr>
      </w:pPr>
      <w:r>
        <w:rPr>
          <w:rFonts w:hint="eastAsia"/>
        </w:rPr>
        <w:t>第一章  招标公告</w:t>
      </w:r>
      <w:bookmarkStart w:id="23" w:name="OLE_LINK1"/>
      <w:bookmarkStart w:id="24" w:name="OLE_LINK3"/>
      <w:bookmarkStart w:id="25" w:name="OLE_LINK2"/>
    </w:p>
    <w:p>
      <w:pPr>
        <w:spacing w:line="360" w:lineRule="auto"/>
        <w:rPr>
          <w:rFonts w:ascii="宋体" w:eastAsia="宋体" w:hAnsi="宋体"/>
          <w:b/>
          <w:szCs w:val="21"/>
        </w:rPr>
      </w:pPr>
      <w:r>
        <w:rPr>
          <w:rFonts w:ascii="宋体" w:eastAsia="宋体" w:hAnsi="宋体" w:hint="eastAsia"/>
          <w:b/>
          <w:szCs w:val="21"/>
        </w:rPr>
        <w:t>一、申请人的资格要求</w:t>
      </w:r>
    </w:p>
    <w:p>
      <w:pPr>
        <w:spacing w:after="78" w:line="360" w:lineRule="auto"/>
        <w:ind w:firstLine="480" w:firstLineChars="200"/>
        <w:rPr>
          <w:rFonts w:asciiTheme="minorEastAsia" w:hAnsiTheme="minorEastAsia" w:cstheme="minorEastAsia"/>
          <w:b/>
          <w:bCs/>
        </w:rPr>
      </w:pPr>
      <w:bookmarkStart w:id="26" w:name="OLE_LINK79"/>
      <w:bookmarkStart w:id="27" w:name="OLE_LINK80"/>
      <w:bookmarkStart w:id="28" w:name="OLE_LINK106"/>
      <w:bookmarkStart w:id="29" w:name="OLE_LINK107"/>
      <w:r>
        <w:rPr>
          <w:rFonts w:ascii="宋体" w:eastAsia="宋体" w:hAnsi="宋体" w:hint="eastAsia"/>
        </w:rPr>
        <w:t>1）</w:t>
      </w:r>
      <w:bookmarkStart w:id="30" w:name="OLE_LINK84"/>
      <w:bookmarkStart w:id="31" w:name="OLE_LINK83"/>
      <w:r>
        <w:rPr>
          <w:rFonts w:ascii="宋体" w:hAnsi="宋体" w:cs="宋体" w:hint="eastAsia"/>
          <w:szCs w:val="21"/>
        </w:rPr>
        <w:t>投标人必须具有独立法人资格或是具有独立承担民事责任能力的其它组织，或者是经总公司（分支机构所属的独立法人）出具愿为其参与投标以及履约等行为承担民事责任承诺书（或授权书）的分支机构（同一家总公司只能授权一家分支机构参与投标，且总公司不能与下属的分支机构同时参与投标）【提供营业执照或事业单位法人证书等证明资料扫描件；若投标人为分支机构的，提供总、分公司营业执照以及总公司出具的承诺书（或授权书）扫描件】</w:t>
      </w:r>
      <w:r>
        <w:rPr>
          <w:rFonts w:ascii="宋体" w:hAnsi="宋体" w:hint="eastAsia"/>
        </w:rPr>
        <w:t>。</w:t>
      </w:r>
    </w:p>
    <w:p>
      <w:pPr>
        <w:spacing w:line="360" w:lineRule="auto"/>
        <w:ind w:firstLine="480" w:firstLineChars="200"/>
        <w:jc w:val="both"/>
        <w:rPr>
          <w:rFonts w:ascii="宋体" w:eastAsia="宋体" w:hAnsi="宋体"/>
        </w:rPr>
      </w:pPr>
      <w:bookmarkEnd w:id="26"/>
      <w:bookmarkEnd w:id="27"/>
      <w:bookmarkEnd w:id="30"/>
      <w:bookmarkEnd w:id="31"/>
      <w:bookmarkStart w:id="32" w:name="OLE_LINK82"/>
      <w:bookmarkStart w:id="33" w:name="OLE_LINK81"/>
      <w:r>
        <w:rPr>
          <w:rFonts w:ascii="宋体" w:eastAsia="宋体" w:hAnsi="宋体" w:hint="eastAsia"/>
        </w:rPr>
        <w:t>2）</w:t>
      </w:r>
      <w:bookmarkStart w:id="34" w:name="OLE_LINK85"/>
      <w:bookmarkStart w:id="35" w:name="OLE_LINK86"/>
      <w:r>
        <w:rPr>
          <w:rFonts w:ascii="宋体" w:eastAsia="宋体" w:hAnsi="宋体" w:hint="eastAsia"/>
        </w:rPr>
        <w:t>满足《中华人民共和国政府采购法》第二十二条第一款的条件（在《政府采购投标及履约承诺函》中作出声明）。</w:t>
      </w:r>
    </w:p>
    <w:p>
      <w:pPr>
        <w:spacing w:line="360" w:lineRule="auto"/>
        <w:ind w:firstLine="480" w:firstLineChars="200"/>
        <w:jc w:val="both"/>
        <w:rPr>
          <w:rFonts w:ascii="宋体" w:eastAsia="宋体" w:hAnsi="宋体"/>
        </w:rPr>
      </w:pPr>
      <w:bookmarkEnd w:id="32"/>
      <w:bookmarkEnd w:id="33"/>
      <w:bookmarkEnd w:id="34"/>
      <w:bookmarkEnd w:id="35"/>
      <w:r>
        <w:rPr>
          <w:rFonts w:ascii="宋体" w:eastAsia="宋体" w:hAnsi="宋体" w:hint="eastAsia"/>
        </w:rPr>
        <w:t>3）</w:t>
      </w:r>
      <w:bookmarkStart w:id="36" w:name="OLE_LINK87"/>
      <w:bookmarkStart w:id="37" w:name="OLE_LINK88"/>
      <w:r>
        <w:rPr>
          <w:rFonts w:ascii="宋体" w:eastAsia="宋体" w:hAnsi="宋体" w:hint="eastAsia"/>
        </w:rPr>
        <w:t>参与本项目政府采购活动时不存在被有关部门禁止参与政府采购活动且在有效期内的情况（在《政府采购投标及履约承诺函》中作出声明）。</w:t>
      </w:r>
    </w:p>
    <w:p>
      <w:pPr>
        <w:spacing w:line="360" w:lineRule="auto"/>
        <w:ind w:firstLine="480" w:firstLineChars="200"/>
        <w:jc w:val="both"/>
        <w:rPr>
          <w:rFonts w:ascii="宋体" w:eastAsia="宋体" w:hAnsi="宋体"/>
        </w:rPr>
      </w:pPr>
      <w:bookmarkEnd w:id="36"/>
      <w:bookmarkEnd w:id="37"/>
      <w:r>
        <w:rPr>
          <w:rFonts w:ascii="宋体" w:eastAsia="宋体" w:hAnsi="宋体"/>
        </w:rPr>
        <w:t>4</w:t>
      </w:r>
      <w:r>
        <w:rPr>
          <w:rFonts w:ascii="宋体" w:eastAsia="宋体" w:hAnsi="宋体" w:hint="eastAsia"/>
        </w:rPr>
        <w:t>）</w:t>
      </w:r>
      <w:bookmarkStart w:id="38" w:name="OLE_LINK90"/>
      <w:bookmarkStart w:id="39" w:name="OLE_LINK89"/>
      <w:r>
        <w:rPr>
          <w:rFonts w:ascii="宋体" w:eastAsia="宋体" w:hAnsi="宋体" w:hint="eastAsia"/>
        </w:rPr>
        <w:t>未被列入失信被执行人、重大税收违法案件当事人名单、政府采购严重违法失信行为记录名单（在《政府采购投标及履约承诺函》中作出声明。注：“信用中国”、“中国政府采购网”以及“深圳市政府采购监管网”为信息查询渠道，相关信息以开标当日的查询结果为准）。</w:t>
      </w:r>
    </w:p>
    <w:p>
      <w:pPr>
        <w:spacing w:line="360" w:lineRule="auto"/>
        <w:ind w:firstLine="480" w:firstLineChars="200"/>
        <w:jc w:val="both"/>
        <w:rPr>
          <w:rFonts w:ascii="宋体" w:eastAsia="宋体" w:hAnsi="宋体"/>
        </w:rPr>
      </w:pPr>
      <w:bookmarkEnd w:id="38"/>
      <w:bookmarkEnd w:id="39"/>
      <w:r>
        <w:rPr>
          <w:rFonts w:ascii="宋体" w:eastAsia="宋体" w:hAnsi="宋体"/>
        </w:rPr>
        <w:t>5</w:t>
      </w:r>
      <w:r>
        <w:rPr>
          <w:rFonts w:ascii="宋体" w:eastAsia="宋体" w:hAnsi="宋体" w:hint="eastAsia"/>
        </w:rPr>
        <w:t>）</w:t>
      </w:r>
      <w:bookmarkStart w:id="40" w:name="OLE_LINK92"/>
      <w:bookmarkStart w:id="41" w:name="OLE_LINK91"/>
      <w:r>
        <w:rPr>
          <w:rFonts w:ascii="宋体" w:eastAsia="宋体" w:hAnsi="宋体" w:cs="仿宋_GB2312" w:hint="eastAsia"/>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r>
        <w:rPr>
          <w:rFonts w:ascii="宋体" w:eastAsia="宋体" w:hAnsi="宋体" w:hint="eastAsia"/>
        </w:rPr>
        <w:t>。</w:t>
      </w:r>
    </w:p>
    <w:p>
      <w:pPr>
        <w:spacing w:line="360" w:lineRule="auto"/>
        <w:ind w:firstLine="480" w:firstLineChars="200"/>
        <w:jc w:val="both"/>
        <w:rPr>
          <w:rFonts w:ascii="宋体" w:eastAsia="宋体" w:hAnsi="宋体"/>
        </w:rPr>
      </w:pPr>
      <w:bookmarkEnd w:id="40"/>
      <w:bookmarkEnd w:id="41"/>
      <w:r>
        <w:rPr>
          <w:rFonts w:ascii="宋体" w:eastAsia="宋体" w:hAnsi="宋体"/>
        </w:rPr>
        <w:t>6</w:t>
      </w:r>
      <w:r>
        <w:rPr>
          <w:rFonts w:ascii="宋体" w:eastAsia="宋体" w:hAnsi="宋体" w:hint="eastAsia"/>
        </w:rPr>
        <w:t>）</w:t>
      </w:r>
      <w:bookmarkStart w:id="42" w:name="OLE_LINK93"/>
      <w:bookmarkStart w:id="43" w:name="OLE_LINK94"/>
      <w:r>
        <w:rPr>
          <w:rFonts w:ascii="宋体" w:eastAsia="宋体" w:hAnsi="宋体" w:cs="仿宋_GB2312" w:hint="eastAsia"/>
          <w:szCs w:val="21"/>
        </w:rPr>
        <w:t>单位负责人为同一人或者存在直接控股、管理关系的不同供应商，不得参加本项目政府采购活动；</w:t>
      </w:r>
      <w:r>
        <w:rPr>
          <w:rFonts w:ascii="宋体" w:eastAsia="宋体" w:hAnsi="宋体" w:hint="eastAsia"/>
        </w:rPr>
        <w:t xml:space="preserve">为采购项目提供整体设计、规范编制或者项目管理、监理、检测等服务的供应商，不得再参加该采购项目的其他采购活动（在《政府采购投标及履约承诺函》中作出声明）。 </w:t>
      </w:r>
    </w:p>
    <w:p>
      <w:pPr>
        <w:spacing w:line="360" w:lineRule="auto"/>
        <w:ind w:firstLine="480" w:firstLineChars="200"/>
        <w:jc w:val="both"/>
        <w:rPr>
          <w:rFonts w:ascii="宋体" w:eastAsia="宋体" w:hAnsi="宋体"/>
        </w:rPr>
      </w:pPr>
      <w:bookmarkEnd w:id="42"/>
      <w:bookmarkEnd w:id="43"/>
      <w:r>
        <w:rPr>
          <w:rFonts w:ascii="宋体" w:eastAsia="宋体" w:hAnsi="宋体"/>
        </w:rPr>
        <w:t>7</w:t>
      </w:r>
      <w:r>
        <w:rPr>
          <w:rFonts w:ascii="宋体" w:eastAsia="宋体" w:hAnsi="宋体" w:hint="eastAsia"/>
        </w:rPr>
        <w:t>）</w:t>
      </w:r>
      <w:bookmarkStart w:id="44" w:name="OLE_LINK95"/>
      <w:bookmarkStart w:id="45" w:name="OLE_LINK96"/>
      <w:r>
        <w:rPr>
          <w:rFonts w:ascii="宋体" w:eastAsia="宋体" w:hAnsi="宋体" w:hint="eastAsia"/>
        </w:rPr>
        <w:t>投标人承诺“本单位（公司）不存在《深圳市财政局政府采购供应商信用信息管理办法》（深财规〔2023〕3号）列明的严重违法失信行为” （由供应商在《政府采购投标及履约承诺函》中作出承诺）。</w:t>
      </w:r>
    </w:p>
    <w:p>
      <w:pPr>
        <w:spacing w:line="360" w:lineRule="auto"/>
        <w:ind w:firstLine="480" w:firstLineChars="200"/>
        <w:jc w:val="both"/>
        <w:rPr>
          <w:rFonts w:ascii="宋体" w:eastAsia="宋体" w:hAnsi="宋体" w:hint="eastAsia"/>
        </w:rPr>
      </w:pPr>
      <w:bookmarkEnd w:id="44"/>
      <w:bookmarkEnd w:id="45"/>
      <w:r>
        <w:rPr>
          <w:rFonts w:ascii="宋体" w:eastAsia="宋体" w:hAnsi="宋体"/>
        </w:rPr>
        <w:t>8</w:t>
      </w:r>
      <w:r>
        <w:rPr>
          <w:rFonts w:ascii="宋体" w:eastAsia="宋体" w:hAnsi="宋体" w:hint="eastAsia"/>
        </w:rPr>
        <w:t>）</w:t>
      </w:r>
      <w:bookmarkStart w:id="46" w:name="OLE_LINK98"/>
      <w:bookmarkStart w:id="47" w:name="OLE_LINK97"/>
      <w:r>
        <w:rPr>
          <w:rFonts w:ascii="宋体" w:eastAsia="宋体" w:hAnsi="宋体" w:hint="eastAsia"/>
        </w:rPr>
        <w:t>本项目是否专门面向中小微企业采购：否。</w:t>
      </w:r>
      <w:bookmarkEnd w:id="46"/>
      <w:bookmarkEnd w:id="47"/>
    </w:p>
    <w:p>
      <w:pPr>
        <w:spacing w:line="360" w:lineRule="auto"/>
        <w:ind w:firstLine="480" w:firstLineChars="200"/>
        <w:jc w:val="both"/>
        <w:rPr>
          <w:rFonts w:ascii="宋体" w:eastAsia="宋体" w:hAnsi="宋体"/>
        </w:rPr>
      </w:pPr>
      <w:r>
        <w:rPr>
          <w:rFonts w:ascii="宋体" w:eastAsia="宋体" w:hAnsi="宋体"/>
        </w:rPr>
        <w:t>9</w:t>
      </w:r>
      <w:r>
        <w:rPr>
          <w:rFonts w:ascii="宋体" w:eastAsia="宋体" w:hAnsi="宋体" w:hint="eastAsia"/>
        </w:rPr>
        <w:t>）</w:t>
      </w:r>
      <w:r>
        <w:rPr>
          <w:rFonts w:asciiTheme="minorEastAsia" w:hAnsiTheme="minorEastAsia" w:cstheme="minorEastAsia" w:hint="eastAsia"/>
        </w:rPr>
        <w:t>本项目不接受联合体投标，不接受分包转包。</w:t>
      </w:r>
    </w:p>
    <w:p>
      <w:pPr>
        <w:spacing w:line="360" w:lineRule="auto"/>
        <w:jc w:val="center"/>
        <w:rPr>
          <w:rFonts w:ascii="宋体" w:eastAsia="宋体" w:hAnsi="宋体"/>
        </w:rPr>
      </w:pPr>
      <w:bookmarkEnd w:id="23"/>
      <w:bookmarkEnd w:id="28"/>
      <w:bookmarkEnd w:id="29"/>
      <w:r>
        <w:rPr>
          <w:rFonts w:hint="eastAsia"/>
          <w:b/>
          <w:szCs w:val="18"/>
        </w:rPr>
        <w:t>完整公告内容详见：深圳公共资源交易网（</w:t>
      </w:r>
      <w:r>
        <w:rPr>
          <w:b/>
          <w:szCs w:val="18"/>
        </w:rPr>
        <w:t>https://www.szggzy.com</w:t>
      </w:r>
      <w:r>
        <w:rPr>
          <w:rFonts w:hint="eastAsia"/>
          <w:b/>
          <w:szCs w:val="18"/>
        </w:rPr>
        <w:t>）</w:t>
      </w:r>
      <w:r>
        <w:rPr>
          <w:rFonts w:ascii="宋体" w:eastAsia="宋体" w:hAnsi="宋体" w:hint="eastAsia"/>
        </w:rPr>
        <w:br w:type="page"/>
      </w:r>
      <w:bookmarkEnd w:id="24"/>
    </w:p>
    <w:p>
      <w:pPr>
        <w:pStyle w:val="Heading2"/>
        <w:spacing w:line="360" w:lineRule="auto"/>
        <w:rPr>
          <w:szCs w:val="24"/>
        </w:rPr>
      </w:pPr>
      <w:bookmarkEnd w:id="25"/>
      <w:r>
        <w:rPr>
          <w:rFonts w:hint="eastAsia"/>
          <w:szCs w:val="24"/>
        </w:rPr>
        <w:t>第二章 对通用条款的补充内容及其他关键信息</w:t>
      </w:r>
    </w:p>
    <w:p>
      <w:pPr>
        <w:keepNext/>
        <w:keepLines/>
        <w:spacing w:before="260" w:after="260" w:line="360" w:lineRule="auto"/>
        <w:jc w:val="center"/>
        <w:outlineLvl w:val="2"/>
        <w:rPr>
          <w:rFonts w:ascii="宋体" w:eastAsia="宋体" w:hAnsi="宋体"/>
          <w:bCs/>
          <w:szCs w:val="32"/>
        </w:rPr>
      </w:pPr>
      <w:bookmarkStart w:id="48" w:name="_Toc73518117"/>
      <w:bookmarkStart w:id="49" w:name="_Toc60631620"/>
      <w:bookmarkStart w:id="50" w:name="_Toc73521547"/>
      <w:bookmarkStart w:id="51" w:name="_Toc100052364"/>
      <w:bookmarkStart w:id="52" w:name="_Toc60560625"/>
      <w:bookmarkStart w:id="53" w:name="_Toc73521635"/>
      <w:bookmarkStart w:id="54" w:name="_Toc101074876"/>
      <w:bookmarkStart w:id="55" w:name="_Toc73517639"/>
      <w:r>
        <w:rPr>
          <w:rFonts w:ascii="宋体" w:eastAsia="宋体" w:hAnsi="宋体" w:hint="eastAsia"/>
          <w:bCs/>
          <w:szCs w:val="32"/>
        </w:rPr>
        <w:t>一、对通用条款的补充内容</w:t>
      </w:r>
    </w:p>
    <w:tbl>
      <w:tblPr>
        <w:tblStyle w:val="TableNormal"/>
        <w:tblW w:w="84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78"/>
        <w:gridCol w:w="2409"/>
        <w:gridCol w:w="5103"/>
      </w:tblGrid>
      <w:tr>
        <w:tblPrEx>
          <w:tblW w:w="84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b/>
                <w:bCs/>
              </w:rPr>
            </w:pPr>
            <w:bookmarkEnd w:id="48"/>
            <w:bookmarkEnd w:id="49"/>
            <w:bookmarkEnd w:id="50"/>
            <w:bookmarkEnd w:id="51"/>
            <w:bookmarkEnd w:id="52"/>
            <w:bookmarkEnd w:id="53"/>
            <w:bookmarkEnd w:id="54"/>
            <w:bookmarkEnd w:id="55"/>
            <w:r>
              <w:rPr>
                <w:rFonts w:ascii="宋体" w:eastAsia="宋体" w:hAnsi="宋体" w:hint="eastAsia"/>
                <w:b/>
                <w:bCs/>
              </w:rPr>
              <w:t>通用条款</w:t>
            </w:r>
          </w:p>
        </w:tc>
        <w:tc>
          <w:tcPr>
            <w:tcW w:w="2409" w:type="dxa"/>
            <w:vAlign w:val="center"/>
          </w:tcPr>
          <w:p>
            <w:pPr>
              <w:spacing w:line="360" w:lineRule="auto"/>
              <w:jc w:val="center"/>
              <w:rPr>
                <w:rFonts w:ascii="宋体" w:eastAsia="宋体" w:hAnsi="宋体"/>
                <w:b/>
                <w:bCs/>
              </w:rPr>
            </w:pPr>
            <w:r>
              <w:rPr>
                <w:rFonts w:ascii="宋体" w:eastAsia="宋体" w:hAnsi="宋体" w:hint="eastAsia"/>
                <w:b/>
                <w:bCs/>
              </w:rPr>
              <w:t>涉及事项</w:t>
            </w:r>
          </w:p>
        </w:tc>
        <w:tc>
          <w:tcPr>
            <w:tcW w:w="5103" w:type="dxa"/>
            <w:vAlign w:val="center"/>
          </w:tcPr>
          <w:p>
            <w:pPr>
              <w:spacing w:line="360" w:lineRule="auto"/>
              <w:jc w:val="center"/>
              <w:rPr>
                <w:rFonts w:ascii="宋体" w:eastAsia="宋体" w:hAnsi="宋体"/>
                <w:b/>
                <w:bCs/>
              </w:rPr>
            </w:pPr>
            <w:r>
              <w:rPr>
                <w:rFonts w:ascii="宋体" w:eastAsia="宋体" w:hAnsi="宋体" w:hint="eastAsia"/>
                <w:b/>
                <w:bCs/>
              </w:rPr>
              <w:t>具 体 补 充 内 容</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3</w:t>
            </w:r>
            <w:r>
              <w:rPr>
                <w:rFonts w:ascii="宋体" w:eastAsia="宋体" w:hAnsi="宋体"/>
              </w:rPr>
              <w:t>.1</w:t>
            </w:r>
          </w:p>
        </w:tc>
        <w:tc>
          <w:tcPr>
            <w:tcW w:w="2409" w:type="dxa"/>
            <w:vAlign w:val="center"/>
          </w:tcPr>
          <w:p>
            <w:pPr>
              <w:spacing w:line="360" w:lineRule="auto"/>
              <w:jc w:val="center"/>
              <w:rPr>
                <w:rFonts w:ascii="宋体" w:eastAsia="宋体" w:hAnsi="宋体"/>
              </w:rPr>
            </w:pPr>
            <w:r>
              <w:rPr>
                <w:rFonts w:ascii="宋体" w:eastAsia="宋体" w:hAnsi="宋体" w:hint="eastAsia"/>
              </w:rPr>
              <w:t>采购人</w:t>
            </w:r>
          </w:p>
        </w:tc>
        <w:tc>
          <w:tcPr>
            <w:tcW w:w="5103" w:type="dxa"/>
            <w:vAlign w:val="center"/>
          </w:tcPr>
          <w:p>
            <w:pPr>
              <w:spacing w:line="360" w:lineRule="auto"/>
              <w:jc w:val="center"/>
              <w:rPr>
                <w:rFonts w:ascii="宋体" w:eastAsia="宋体" w:hAnsi="宋体"/>
              </w:rPr>
            </w:pPr>
            <w:r>
              <w:rPr>
                <w:rFonts w:ascii="宋体" w:eastAsia="宋体" w:hAnsi="宋体" w:cs="宋体" w:hint="eastAsia"/>
                <w:szCs w:val="21"/>
              </w:rPr>
              <w:t>深圳市坪山区马峦街道公共事务中心</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3</w:t>
            </w:r>
            <w:r>
              <w:rPr>
                <w:rFonts w:ascii="宋体" w:eastAsia="宋体" w:hAnsi="宋体"/>
              </w:rPr>
              <w:t>.2</w:t>
            </w:r>
          </w:p>
        </w:tc>
        <w:tc>
          <w:tcPr>
            <w:tcW w:w="2409" w:type="dxa"/>
            <w:vAlign w:val="center"/>
          </w:tcPr>
          <w:p>
            <w:pPr>
              <w:spacing w:line="360" w:lineRule="auto"/>
              <w:jc w:val="center"/>
              <w:rPr>
                <w:rFonts w:ascii="宋体" w:eastAsia="宋体" w:hAnsi="宋体"/>
              </w:rPr>
            </w:pPr>
            <w:r>
              <w:rPr>
                <w:rFonts w:ascii="宋体" w:eastAsia="宋体" w:hAnsi="宋体" w:hint="eastAsia"/>
              </w:rPr>
              <w:t>采购代理机构</w:t>
            </w:r>
          </w:p>
        </w:tc>
        <w:tc>
          <w:tcPr>
            <w:tcW w:w="5103" w:type="dxa"/>
            <w:vAlign w:val="center"/>
          </w:tcPr>
          <w:p>
            <w:pPr>
              <w:spacing w:line="360" w:lineRule="auto"/>
              <w:jc w:val="center"/>
              <w:rPr>
                <w:rFonts w:ascii="宋体" w:eastAsia="宋体" w:hAnsi="宋体"/>
              </w:rPr>
            </w:pPr>
            <w:r>
              <w:rPr>
                <w:rFonts w:ascii="宋体" w:eastAsia="宋体" w:hAnsi="宋体" w:hint="eastAsia"/>
                <w:lang w:val="en-US" w:eastAsia="zh-CN"/>
              </w:rPr>
              <w:t>立讯招标（深圳）有限公司</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5</w:t>
            </w:r>
            <w:r>
              <w:rPr>
                <w:rFonts w:ascii="宋体" w:eastAsia="宋体" w:hAnsi="宋体"/>
              </w:rPr>
              <w:t>.3</w:t>
            </w:r>
          </w:p>
        </w:tc>
        <w:tc>
          <w:tcPr>
            <w:tcW w:w="2409" w:type="dxa"/>
            <w:vAlign w:val="center"/>
          </w:tcPr>
          <w:p>
            <w:pPr>
              <w:spacing w:line="360" w:lineRule="auto"/>
              <w:jc w:val="center"/>
              <w:rPr>
                <w:rFonts w:ascii="宋体" w:eastAsia="宋体" w:hAnsi="宋体"/>
              </w:rPr>
            </w:pPr>
            <w:r>
              <w:rPr>
                <w:rFonts w:ascii="宋体" w:eastAsia="宋体" w:hAnsi="宋体" w:hint="eastAsia"/>
              </w:rPr>
              <w:t>联合体投标</w:t>
            </w:r>
          </w:p>
        </w:tc>
        <w:tc>
          <w:tcPr>
            <w:tcW w:w="5103" w:type="dxa"/>
            <w:vAlign w:val="center"/>
          </w:tcPr>
          <w:p>
            <w:pPr>
              <w:spacing w:line="360" w:lineRule="auto"/>
              <w:jc w:val="center"/>
              <w:rPr>
                <w:rFonts w:ascii="宋体" w:eastAsia="宋体" w:hAnsi="宋体"/>
              </w:rPr>
            </w:pPr>
            <w:r>
              <w:rPr>
                <w:rFonts w:ascii="宋体" w:eastAsia="宋体" w:hAnsi="宋体" w:hint="eastAsia"/>
              </w:rPr>
              <w:t>详见“申请人的资格要求”</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9</w:t>
            </w:r>
          </w:p>
        </w:tc>
        <w:tc>
          <w:tcPr>
            <w:tcW w:w="2409" w:type="dxa"/>
            <w:vAlign w:val="center"/>
          </w:tcPr>
          <w:p>
            <w:pPr>
              <w:spacing w:line="360" w:lineRule="auto"/>
              <w:jc w:val="center"/>
              <w:rPr>
                <w:rFonts w:ascii="宋体" w:eastAsia="宋体" w:hAnsi="宋体"/>
              </w:rPr>
            </w:pPr>
            <w:r>
              <w:rPr>
                <w:rFonts w:ascii="宋体" w:eastAsia="宋体" w:hAnsi="宋体" w:hint="eastAsia"/>
              </w:rPr>
              <w:t>踏勘现场</w:t>
            </w:r>
          </w:p>
        </w:tc>
        <w:tc>
          <w:tcPr>
            <w:tcW w:w="5103" w:type="dxa"/>
            <w:vAlign w:val="center"/>
          </w:tcPr>
          <w:p>
            <w:pPr>
              <w:spacing w:line="360" w:lineRule="auto"/>
              <w:jc w:val="center"/>
              <w:rPr>
                <w:rFonts w:ascii="宋体" w:eastAsia="宋体" w:hAnsi="宋体"/>
              </w:rPr>
            </w:pPr>
            <w:r>
              <w:rPr>
                <w:rFonts w:ascii="宋体" w:eastAsia="宋体" w:hAnsi="宋体" w:hint="eastAsia"/>
              </w:rPr>
              <w:t>不组织</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1</w:t>
            </w:r>
            <w:r>
              <w:rPr>
                <w:rFonts w:ascii="宋体" w:eastAsia="宋体" w:hAnsi="宋体"/>
              </w:rPr>
              <w:t>0</w:t>
            </w:r>
          </w:p>
        </w:tc>
        <w:tc>
          <w:tcPr>
            <w:tcW w:w="2409" w:type="dxa"/>
            <w:vAlign w:val="center"/>
          </w:tcPr>
          <w:p>
            <w:pPr>
              <w:spacing w:line="360" w:lineRule="auto"/>
              <w:jc w:val="center"/>
              <w:rPr>
                <w:rFonts w:ascii="宋体" w:eastAsia="宋体" w:hAnsi="宋体"/>
              </w:rPr>
            </w:pPr>
            <w:r>
              <w:rPr>
                <w:rFonts w:ascii="宋体" w:eastAsia="宋体" w:hAnsi="宋体" w:hint="eastAsia"/>
              </w:rPr>
              <w:t>标前会议</w:t>
            </w:r>
          </w:p>
        </w:tc>
        <w:tc>
          <w:tcPr>
            <w:tcW w:w="5103" w:type="dxa"/>
            <w:vAlign w:val="center"/>
          </w:tcPr>
          <w:p>
            <w:pPr>
              <w:spacing w:line="360" w:lineRule="auto"/>
              <w:jc w:val="center"/>
              <w:rPr>
                <w:rFonts w:ascii="宋体" w:eastAsia="宋体" w:hAnsi="宋体"/>
              </w:rPr>
            </w:pPr>
            <w:r>
              <w:rPr>
                <w:rFonts w:ascii="宋体" w:eastAsia="宋体" w:hAnsi="宋体" w:hint="eastAsia"/>
              </w:rPr>
              <w:t>不组织</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/1</w:t>
            </w:r>
            <w:r>
              <w:rPr>
                <w:rFonts w:ascii="宋体" w:eastAsia="宋体" w:hAnsi="宋体"/>
              </w:rPr>
              <w:t>3</w:t>
            </w:r>
          </w:p>
        </w:tc>
        <w:tc>
          <w:tcPr>
            <w:tcW w:w="2409" w:type="dxa"/>
            <w:vAlign w:val="center"/>
          </w:tcPr>
          <w:p>
            <w:pPr>
              <w:spacing w:line="360" w:lineRule="auto"/>
              <w:jc w:val="center"/>
              <w:rPr>
                <w:rFonts w:ascii="宋体" w:eastAsia="宋体" w:hAnsi="宋体"/>
              </w:rPr>
            </w:pPr>
            <w:r>
              <w:rPr>
                <w:rFonts w:ascii="宋体" w:eastAsia="宋体" w:hAnsi="宋体" w:hint="eastAsia"/>
              </w:rPr>
              <w:t>招标文件的澄清和修改</w:t>
            </w:r>
          </w:p>
        </w:tc>
        <w:tc>
          <w:tcPr>
            <w:tcW w:w="5103" w:type="dxa"/>
            <w:vAlign w:val="center"/>
          </w:tcPr>
          <w:p>
            <w:pPr>
              <w:spacing w:line="360" w:lineRule="auto"/>
              <w:jc w:val="center"/>
              <w:rPr>
                <w:rFonts w:ascii="宋体" w:eastAsia="宋体" w:hAnsi="宋体"/>
              </w:rPr>
            </w:pPr>
            <w:r>
              <w:rPr>
                <w:rFonts w:ascii="宋体" w:eastAsia="宋体" w:hAnsi="宋体" w:hint="eastAsia"/>
              </w:rPr>
              <w:t>不晚于投标截止日三日前，投标人有义务在招标期间在政府采购代理机构网站浏览与本项目有关的澄清和修改信息</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2</w:t>
            </w:r>
            <w:r>
              <w:rPr>
                <w:rFonts w:ascii="宋体" w:eastAsia="宋体" w:hAnsi="宋体"/>
              </w:rPr>
              <w:t>0</w:t>
            </w:r>
          </w:p>
        </w:tc>
        <w:tc>
          <w:tcPr>
            <w:tcW w:w="2409" w:type="dxa"/>
            <w:vAlign w:val="center"/>
          </w:tcPr>
          <w:p>
            <w:pPr>
              <w:spacing w:line="360" w:lineRule="auto"/>
              <w:jc w:val="center"/>
              <w:rPr>
                <w:rFonts w:ascii="宋体" w:eastAsia="宋体" w:hAnsi="宋体"/>
              </w:rPr>
            </w:pPr>
            <w:r>
              <w:rPr>
                <w:rFonts w:ascii="宋体" w:eastAsia="宋体" w:hAnsi="宋体" w:hint="eastAsia"/>
              </w:rPr>
              <w:t>投标有效期</w:t>
            </w:r>
          </w:p>
        </w:tc>
        <w:tc>
          <w:tcPr>
            <w:tcW w:w="5103" w:type="dxa"/>
            <w:vAlign w:val="center"/>
          </w:tcPr>
          <w:p>
            <w:pPr>
              <w:spacing w:line="360" w:lineRule="auto"/>
              <w:jc w:val="center"/>
              <w:rPr>
                <w:rFonts w:ascii="宋体" w:eastAsia="宋体" w:hAnsi="宋体"/>
              </w:rPr>
            </w:pPr>
            <w:r>
              <w:rPr>
                <w:rFonts w:ascii="宋体" w:eastAsia="宋体" w:hAnsi="宋体"/>
              </w:rPr>
              <w:t>120</w:t>
            </w:r>
            <w:r>
              <w:rPr>
                <w:rFonts w:ascii="宋体" w:eastAsia="宋体" w:hAnsi="宋体" w:hint="eastAsia"/>
              </w:rPr>
              <w:t>日历天（从投标截止之日算起）</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2</w:t>
            </w:r>
            <w:r>
              <w:rPr>
                <w:rFonts w:ascii="宋体" w:eastAsia="宋体" w:hAnsi="宋体"/>
              </w:rPr>
              <w:t>2</w:t>
            </w:r>
          </w:p>
        </w:tc>
        <w:tc>
          <w:tcPr>
            <w:tcW w:w="2409" w:type="dxa"/>
            <w:vAlign w:val="center"/>
          </w:tcPr>
          <w:p>
            <w:pPr>
              <w:spacing w:line="360" w:lineRule="auto"/>
              <w:jc w:val="center"/>
              <w:rPr>
                <w:rFonts w:ascii="宋体" w:eastAsia="宋体" w:hAnsi="宋体"/>
              </w:rPr>
            </w:pPr>
            <w:r>
              <w:rPr>
                <w:rFonts w:ascii="宋体" w:eastAsia="宋体" w:hAnsi="宋体" w:hint="eastAsia"/>
              </w:rPr>
              <w:t>投标人的替代方案</w:t>
            </w:r>
          </w:p>
        </w:tc>
        <w:tc>
          <w:tcPr>
            <w:tcW w:w="5103" w:type="dxa"/>
            <w:vAlign w:val="center"/>
          </w:tcPr>
          <w:p>
            <w:pPr>
              <w:spacing w:line="360" w:lineRule="auto"/>
              <w:jc w:val="center"/>
              <w:rPr>
                <w:rFonts w:ascii="宋体" w:eastAsia="宋体" w:hAnsi="宋体"/>
              </w:rPr>
            </w:pPr>
            <w:r>
              <w:rPr>
                <w:rFonts w:ascii="宋体" w:eastAsia="宋体" w:hAnsi="宋体" w:hint="eastAsia"/>
              </w:rPr>
              <w:t>不接受</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2</w:t>
            </w:r>
            <w:r>
              <w:rPr>
                <w:rFonts w:ascii="宋体" w:eastAsia="宋体" w:hAnsi="宋体"/>
              </w:rPr>
              <w:t>5</w:t>
            </w:r>
          </w:p>
        </w:tc>
        <w:tc>
          <w:tcPr>
            <w:tcW w:w="2409" w:type="dxa"/>
            <w:vAlign w:val="center"/>
          </w:tcPr>
          <w:p>
            <w:pPr>
              <w:spacing w:line="360" w:lineRule="auto"/>
              <w:jc w:val="center"/>
              <w:rPr>
                <w:rFonts w:ascii="宋体" w:eastAsia="宋体" w:hAnsi="宋体"/>
              </w:rPr>
            </w:pPr>
            <w:r>
              <w:rPr>
                <w:rFonts w:ascii="宋体" w:eastAsia="宋体" w:hAnsi="宋体" w:hint="eastAsia"/>
              </w:rPr>
              <w:t>投标文件的大小</w:t>
            </w:r>
          </w:p>
        </w:tc>
        <w:tc>
          <w:tcPr>
            <w:tcW w:w="5103" w:type="dxa"/>
            <w:vAlign w:val="center"/>
          </w:tcPr>
          <w:p>
            <w:pPr>
              <w:spacing w:line="360" w:lineRule="auto"/>
              <w:jc w:val="center"/>
              <w:rPr>
                <w:rFonts w:ascii="宋体" w:eastAsia="宋体" w:hAnsi="宋体"/>
              </w:rPr>
            </w:pPr>
            <w:r>
              <w:rPr>
                <w:rFonts w:ascii="宋体" w:eastAsia="宋体" w:hAnsi="宋体" w:hint="eastAsia"/>
              </w:rPr>
              <w:t>投标文件大小不得超过1</w:t>
            </w:r>
            <w:r>
              <w:rPr>
                <w:rFonts w:ascii="宋体" w:eastAsia="宋体" w:hAnsi="宋体"/>
              </w:rPr>
              <w:t>00MB</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2</w:t>
            </w:r>
            <w:r>
              <w:rPr>
                <w:rFonts w:ascii="宋体" w:eastAsia="宋体" w:hAnsi="宋体"/>
              </w:rPr>
              <w:t>6</w:t>
            </w:r>
          </w:p>
        </w:tc>
        <w:tc>
          <w:tcPr>
            <w:tcW w:w="2409" w:type="dxa"/>
            <w:vAlign w:val="center"/>
          </w:tcPr>
          <w:p>
            <w:pPr>
              <w:spacing w:line="360" w:lineRule="auto"/>
              <w:jc w:val="center"/>
              <w:rPr>
                <w:rFonts w:ascii="宋体" w:eastAsia="宋体" w:hAnsi="宋体"/>
              </w:rPr>
            </w:pPr>
            <w:bookmarkStart w:id="56" w:name="_Hlk71664860"/>
            <w:r>
              <w:rPr>
                <w:rFonts w:ascii="宋体" w:eastAsia="宋体" w:hAnsi="宋体" w:hint="eastAsia"/>
              </w:rPr>
              <w:t>样品、现场演示、方案讲解</w:t>
            </w:r>
            <w:bookmarkEnd w:id="56"/>
          </w:p>
        </w:tc>
        <w:tc>
          <w:tcPr>
            <w:tcW w:w="5103" w:type="dxa"/>
            <w:vAlign w:val="center"/>
          </w:tcPr>
          <w:p>
            <w:pPr>
              <w:spacing w:line="360" w:lineRule="auto"/>
              <w:jc w:val="center"/>
              <w:rPr>
                <w:rFonts w:ascii="宋体" w:eastAsia="宋体" w:hAnsi="宋体"/>
              </w:rPr>
            </w:pPr>
            <w:r>
              <w:rPr>
                <w:rFonts w:ascii="宋体" w:eastAsia="宋体" w:hAnsi="宋体" w:hint="eastAsia"/>
              </w:rPr>
              <w:t>无</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3</w:t>
            </w:r>
            <w:r>
              <w:rPr>
                <w:rFonts w:ascii="宋体" w:eastAsia="宋体" w:hAnsi="宋体"/>
              </w:rPr>
              <w:t>7</w:t>
            </w:r>
          </w:p>
        </w:tc>
        <w:tc>
          <w:tcPr>
            <w:tcW w:w="2409" w:type="dxa"/>
            <w:vAlign w:val="center"/>
          </w:tcPr>
          <w:p>
            <w:pPr>
              <w:spacing w:line="360" w:lineRule="auto"/>
              <w:jc w:val="center"/>
              <w:rPr>
                <w:rFonts w:ascii="宋体" w:eastAsia="宋体" w:hAnsi="宋体"/>
              </w:rPr>
            </w:pPr>
            <w:r>
              <w:rPr>
                <w:rFonts w:ascii="宋体" w:eastAsia="宋体" w:hAnsi="宋体" w:hint="eastAsia"/>
              </w:rPr>
              <w:t>评审方法</w:t>
            </w:r>
          </w:p>
        </w:tc>
        <w:tc>
          <w:tcPr>
            <w:tcW w:w="5103" w:type="dxa"/>
            <w:vAlign w:val="center"/>
          </w:tcPr>
          <w:p>
            <w:pPr>
              <w:spacing w:line="360" w:lineRule="auto"/>
              <w:jc w:val="center"/>
              <w:rPr>
                <w:rFonts w:ascii="宋体" w:eastAsia="宋体" w:hAnsi="宋体"/>
              </w:rPr>
            </w:pPr>
            <w:r>
              <w:rPr>
                <w:rFonts w:ascii="宋体" w:eastAsia="宋体" w:hAnsi="宋体" w:hint="eastAsia"/>
              </w:rPr>
              <w:t>综合评分法</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3</w:t>
            </w:r>
            <w:r>
              <w:rPr>
                <w:rFonts w:ascii="宋体" w:eastAsia="宋体" w:hAnsi="宋体"/>
              </w:rPr>
              <w:t>8</w:t>
            </w:r>
          </w:p>
        </w:tc>
        <w:tc>
          <w:tcPr>
            <w:tcW w:w="2409" w:type="dxa"/>
            <w:vAlign w:val="center"/>
          </w:tcPr>
          <w:p>
            <w:pPr>
              <w:spacing w:line="360" w:lineRule="auto"/>
              <w:jc w:val="center"/>
              <w:rPr>
                <w:rFonts w:ascii="宋体" w:eastAsia="宋体" w:hAnsi="宋体"/>
              </w:rPr>
            </w:pPr>
            <w:bookmarkStart w:id="57" w:name="_Hlk93925568"/>
            <w:r>
              <w:rPr>
                <w:rFonts w:ascii="宋体" w:eastAsia="宋体" w:hAnsi="宋体" w:hint="eastAsia"/>
              </w:rPr>
              <w:t>定标方法</w:t>
            </w:r>
            <w:bookmarkEnd w:id="57"/>
          </w:p>
        </w:tc>
        <w:tc>
          <w:tcPr>
            <w:tcW w:w="5103" w:type="dxa"/>
            <w:vAlign w:val="center"/>
          </w:tcPr>
          <w:p>
            <w:pPr>
              <w:spacing w:line="360" w:lineRule="auto"/>
              <w:jc w:val="center"/>
              <w:rPr>
                <w:rFonts w:ascii="宋体" w:eastAsia="宋体" w:hAnsi="宋体"/>
              </w:rPr>
            </w:pPr>
            <w:r>
              <w:rPr>
                <w:rFonts w:ascii="宋体" w:eastAsia="宋体" w:hAnsi="宋体" w:hint="eastAsia"/>
              </w:rPr>
              <w:t>非评定分离</w:t>
            </w:r>
          </w:p>
        </w:tc>
      </w:tr>
      <w:tr>
        <w:tblPrEx>
          <w:tblW w:w="8490"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spacing w:line="360" w:lineRule="auto"/>
              <w:jc w:val="center"/>
              <w:rPr>
                <w:rFonts w:ascii="宋体" w:eastAsia="宋体" w:hAnsi="宋体"/>
              </w:rPr>
            </w:pPr>
            <w:r>
              <w:rPr>
                <w:rFonts w:ascii="宋体" w:eastAsia="宋体" w:hAnsi="宋体" w:hint="eastAsia"/>
              </w:rPr>
              <w:t>4</w:t>
            </w:r>
            <w:r>
              <w:rPr>
                <w:rFonts w:ascii="宋体" w:eastAsia="宋体" w:hAnsi="宋体"/>
              </w:rPr>
              <w:t>6</w:t>
            </w:r>
          </w:p>
        </w:tc>
        <w:tc>
          <w:tcPr>
            <w:tcW w:w="2409" w:type="dxa"/>
            <w:vAlign w:val="center"/>
          </w:tcPr>
          <w:p>
            <w:pPr>
              <w:spacing w:line="360" w:lineRule="auto"/>
              <w:jc w:val="center"/>
              <w:rPr>
                <w:rFonts w:ascii="宋体" w:eastAsia="宋体" w:hAnsi="宋体"/>
              </w:rPr>
            </w:pPr>
            <w:r>
              <w:rPr>
                <w:rFonts w:ascii="宋体" w:eastAsia="宋体" w:hAnsi="宋体" w:hint="eastAsia"/>
              </w:rPr>
              <w:t>履约担保</w:t>
            </w:r>
          </w:p>
        </w:tc>
        <w:tc>
          <w:tcPr>
            <w:tcW w:w="5103" w:type="dxa"/>
            <w:vAlign w:val="center"/>
          </w:tcPr>
          <w:p>
            <w:pPr>
              <w:spacing w:line="360" w:lineRule="auto"/>
              <w:jc w:val="center"/>
              <w:rPr>
                <w:rFonts w:ascii="宋体" w:eastAsia="宋体" w:hAnsi="宋体"/>
              </w:rPr>
            </w:pPr>
            <w:r>
              <w:rPr>
                <w:rFonts w:ascii="宋体" w:eastAsia="宋体" w:hAnsi="宋体" w:hint="eastAsia"/>
              </w:rPr>
              <w:t>详见用户需求书</w:t>
            </w:r>
          </w:p>
        </w:tc>
      </w:tr>
    </w:tbl>
    <w:p>
      <w:pPr>
        <w:spacing w:line="360" w:lineRule="auto"/>
        <w:rPr>
          <w:rFonts w:ascii="宋体" w:eastAsia="宋体" w:hAnsi="宋体"/>
          <w:b/>
        </w:rPr>
      </w:pPr>
      <w:r>
        <w:rPr>
          <w:rFonts w:ascii="宋体" w:eastAsia="宋体" w:hAnsi="宋体" w:hint="eastAsia"/>
          <w:szCs w:val="21"/>
        </w:rPr>
        <w:t>备注：本表是通用条款相关条款的补充和明确，如与通用条款内容相冲突的，以本表为准。</w:t>
      </w:r>
    </w:p>
    <w:p>
      <w:pPr>
        <w:spacing w:line="360" w:lineRule="auto"/>
        <w:rPr>
          <w:rFonts w:ascii="宋体" w:eastAsia="宋体" w:hAnsi="宋体"/>
          <w:b/>
        </w:rPr>
      </w:pPr>
    </w:p>
    <w:p>
      <w:pPr>
        <w:rPr>
          <w:rFonts w:ascii="宋体" w:eastAsia="宋体" w:hAnsi="宋体"/>
          <w:bCs/>
          <w:szCs w:val="32"/>
        </w:rPr>
      </w:pPr>
    </w:p>
    <w:p>
      <w:pPr>
        <w:pStyle w:val="a"/>
      </w:pPr>
    </w:p>
    <w:p>
      <w:pPr>
        <w:pStyle w:val="a"/>
      </w:pPr>
    </w:p>
    <w:p>
      <w:pPr>
        <w:pStyle w:val="a"/>
      </w:pPr>
    </w:p>
    <w:p>
      <w:pPr>
        <w:keepNext/>
        <w:keepLines/>
        <w:spacing w:before="260" w:after="260" w:line="360" w:lineRule="auto"/>
        <w:jc w:val="center"/>
        <w:outlineLvl w:val="2"/>
        <w:rPr>
          <w:rFonts w:ascii="宋体" w:eastAsia="宋体" w:hAnsi="宋体"/>
          <w:bCs/>
          <w:szCs w:val="32"/>
        </w:rPr>
      </w:pPr>
      <w:r>
        <w:rPr>
          <w:rFonts w:ascii="宋体" w:eastAsia="宋体" w:hAnsi="宋体" w:hint="eastAsia"/>
          <w:bCs/>
          <w:szCs w:val="32"/>
        </w:rPr>
        <w:t>二、其他关键信息</w:t>
      </w:r>
    </w:p>
    <w:p>
      <w:pPr>
        <w:spacing w:line="360" w:lineRule="auto"/>
        <w:ind w:firstLine="480" w:firstLineChars="200"/>
        <w:rPr>
          <w:rFonts w:ascii="宋体" w:eastAsia="宋体" w:hAnsi="宋体"/>
          <w:b/>
          <w:bCs/>
        </w:rPr>
      </w:pPr>
      <w:r>
        <w:rPr>
          <w:rFonts w:ascii="宋体" w:eastAsia="宋体" w:hAnsi="宋体" w:hint="eastAsia"/>
          <w:b/>
          <w:bCs/>
        </w:rPr>
        <w:t>（一）与“对通用条款的补充内容”章节相关的事项</w:t>
      </w:r>
    </w:p>
    <w:p>
      <w:pPr>
        <w:pStyle w:val="ListBullet5"/>
        <w:numPr>
          <w:ilvl w:val="0"/>
          <w:numId w:val="0"/>
        </w:numPr>
        <w:ind w:left="420"/>
        <w:rPr>
          <w:sz w:val="24"/>
          <w:szCs w:val="21"/>
        </w:rPr>
      </w:pPr>
      <w:r>
        <w:rPr>
          <w:rFonts w:hint="eastAsia"/>
          <w:sz w:val="24"/>
          <w:szCs w:val="21"/>
        </w:rPr>
        <w:t>非评定分离项目</w:t>
      </w:r>
    </w:p>
    <w:tbl>
      <w:tblPr>
        <w:tblStyle w:val="TableGrid"/>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07"/>
        <w:gridCol w:w="4206"/>
      </w:tblGrid>
      <w:tr>
        <w:tblPrEx>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0"/>
          <w:jc w:val="center"/>
        </w:trPr>
        <w:tc>
          <w:tcPr>
            <w:tcW w:w="4407" w:type="dxa"/>
            <w:vAlign w:val="center"/>
          </w:tcPr>
          <w:p>
            <w:pPr>
              <w:widowControl w:val="0"/>
              <w:spacing w:after="60" w:line="360" w:lineRule="auto"/>
              <w:jc w:val="center"/>
              <w:rPr>
                <w:rFonts w:ascii="宋体" w:eastAsia="宋体" w:hAnsi="宋体"/>
                <w:szCs w:val="21"/>
              </w:rPr>
            </w:pPr>
            <w:r>
              <w:rPr>
                <w:rFonts w:ascii="宋体" w:eastAsia="宋体" w:hAnsi="宋体" w:hint="eastAsia"/>
                <w:szCs w:val="21"/>
              </w:rPr>
              <w:t>评标方法</w:t>
            </w:r>
          </w:p>
        </w:tc>
        <w:tc>
          <w:tcPr>
            <w:tcW w:w="4206" w:type="dxa"/>
            <w:vAlign w:val="center"/>
          </w:tcPr>
          <w:p>
            <w:pPr>
              <w:widowControl w:val="0"/>
              <w:spacing w:after="60" w:line="360" w:lineRule="auto"/>
              <w:jc w:val="center"/>
              <w:rPr>
                <w:rFonts w:ascii="宋体" w:eastAsia="宋体" w:hAnsi="宋体"/>
                <w:szCs w:val="21"/>
              </w:rPr>
            </w:pPr>
            <w:r>
              <w:rPr>
                <w:rFonts w:ascii="宋体" w:eastAsia="宋体" w:hAnsi="宋体" w:hint="eastAsia"/>
                <w:szCs w:val="21"/>
              </w:rPr>
              <w:t>综合评分法</w:t>
            </w:r>
          </w:p>
        </w:tc>
      </w:tr>
      <w:tr>
        <w:tblPrEx>
          <w:tblW w:w="8613" w:type="dxa"/>
          <w:jc w:val="center"/>
          <w:tblLayout w:type="fixed"/>
          <w:tblCellMar>
            <w:top w:w="0" w:type="dxa"/>
            <w:left w:w="108" w:type="dxa"/>
            <w:bottom w:w="0" w:type="dxa"/>
            <w:right w:w="108" w:type="dxa"/>
          </w:tblCellMar>
        </w:tblPrEx>
        <w:trPr>
          <w:trHeight w:val="70"/>
          <w:jc w:val="center"/>
        </w:trPr>
        <w:tc>
          <w:tcPr>
            <w:tcW w:w="4407" w:type="dxa"/>
            <w:vAlign w:val="center"/>
          </w:tcPr>
          <w:p>
            <w:pPr>
              <w:widowControl w:val="0"/>
              <w:spacing w:after="60" w:line="360" w:lineRule="auto"/>
              <w:jc w:val="center"/>
              <w:rPr>
                <w:rFonts w:ascii="宋体" w:eastAsia="宋体" w:hAnsi="宋体"/>
                <w:szCs w:val="21"/>
              </w:rPr>
            </w:pPr>
            <w:r>
              <w:rPr>
                <w:rFonts w:ascii="宋体" w:eastAsia="宋体" w:hAnsi="宋体" w:hint="eastAsia"/>
                <w:szCs w:val="21"/>
              </w:rPr>
              <w:t>中标供应商数量</w:t>
            </w:r>
          </w:p>
        </w:tc>
        <w:tc>
          <w:tcPr>
            <w:tcW w:w="4206" w:type="dxa"/>
            <w:vAlign w:val="center"/>
          </w:tcPr>
          <w:p>
            <w:pPr>
              <w:widowControl w:val="0"/>
              <w:spacing w:after="60" w:line="360" w:lineRule="auto"/>
              <w:jc w:val="center"/>
              <w:rPr>
                <w:rFonts w:ascii="宋体" w:eastAsia="宋体" w:hAnsi="宋体"/>
                <w:szCs w:val="21"/>
              </w:rPr>
            </w:pPr>
            <w:r>
              <w:rPr>
                <w:rFonts w:ascii="宋体" w:eastAsia="宋体" w:hAnsi="宋体" w:hint="eastAsia"/>
                <w:szCs w:val="21"/>
              </w:rPr>
              <w:t>1</w:t>
            </w:r>
          </w:p>
        </w:tc>
      </w:tr>
      <w:tr>
        <w:tblPrEx>
          <w:tblW w:w="8613" w:type="dxa"/>
          <w:jc w:val="center"/>
          <w:tblLayout w:type="fixed"/>
          <w:tblCellMar>
            <w:top w:w="0" w:type="dxa"/>
            <w:left w:w="108" w:type="dxa"/>
            <w:bottom w:w="0" w:type="dxa"/>
            <w:right w:w="108" w:type="dxa"/>
          </w:tblCellMar>
        </w:tblPrEx>
        <w:trPr>
          <w:trHeight w:val="70"/>
          <w:jc w:val="center"/>
        </w:trPr>
        <w:tc>
          <w:tcPr>
            <w:tcW w:w="4407" w:type="dxa"/>
            <w:vAlign w:val="center"/>
          </w:tcPr>
          <w:p>
            <w:pPr>
              <w:widowControl w:val="0"/>
              <w:spacing w:after="60" w:line="360" w:lineRule="auto"/>
              <w:jc w:val="center"/>
              <w:rPr>
                <w:rFonts w:ascii="宋体" w:eastAsia="宋体" w:hAnsi="宋体"/>
                <w:szCs w:val="21"/>
              </w:rPr>
            </w:pPr>
            <w:r>
              <w:rPr>
                <w:rFonts w:ascii="宋体" w:eastAsia="宋体" w:hAnsi="宋体" w:hint="eastAsia"/>
                <w:szCs w:val="21"/>
              </w:rPr>
              <w:t>候选中标供应商数量</w:t>
            </w:r>
          </w:p>
        </w:tc>
        <w:tc>
          <w:tcPr>
            <w:tcW w:w="4206" w:type="dxa"/>
            <w:vAlign w:val="center"/>
          </w:tcPr>
          <w:p>
            <w:pPr>
              <w:widowControl w:val="0"/>
              <w:spacing w:after="60" w:line="360" w:lineRule="auto"/>
              <w:jc w:val="center"/>
              <w:rPr>
                <w:rFonts w:ascii="宋体" w:eastAsia="宋体" w:hAnsi="宋体" w:hint="eastAsia"/>
                <w:szCs w:val="21"/>
                <w:lang w:eastAsia="zh-CN"/>
              </w:rPr>
            </w:pPr>
            <w:r>
              <w:rPr>
                <w:rFonts w:ascii="宋体" w:eastAsia="宋体" w:hAnsi="宋体" w:hint="eastAsia"/>
                <w:szCs w:val="21"/>
                <w:lang w:val="en-US" w:eastAsia="zh-CN"/>
              </w:rPr>
              <w:t>1</w:t>
            </w:r>
          </w:p>
        </w:tc>
      </w:tr>
    </w:tbl>
    <w:p>
      <w:pPr>
        <w:spacing w:line="360" w:lineRule="auto"/>
        <w:ind w:firstLine="480" w:firstLineChars="200"/>
        <w:jc w:val="both"/>
        <w:rPr>
          <w:rFonts w:ascii="宋体" w:eastAsia="宋体" w:hAnsi="宋体"/>
          <w:bCs/>
        </w:rPr>
      </w:pPr>
      <w:r>
        <w:rPr>
          <w:rFonts w:ascii="宋体" w:eastAsia="宋体" w:hAnsi="宋体" w:hint="eastAsia"/>
        </w:rPr>
        <w:t>1、其他事项</w:t>
      </w:r>
    </w:p>
    <w:p>
      <w:pPr>
        <w:spacing w:line="360" w:lineRule="auto"/>
        <w:ind w:firstLine="480" w:firstLineChars="200"/>
        <w:jc w:val="both"/>
        <w:rPr>
          <w:rFonts w:ascii="宋体" w:eastAsia="宋体" w:hAnsi="宋体"/>
        </w:rPr>
      </w:pPr>
      <w:r>
        <w:rPr>
          <w:rFonts w:ascii="宋体" w:eastAsia="宋体" w:hAnsi="宋体" w:hint="eastAsia"/>
        </w:rPr>
        <w:t>（一）本项目所属行业为</w:t>
      </w:r>
      <w:r>
        <w:rPr>
          <w:rFonts w:ascii="宋体" w:eastAsia="宋体" w:hAnsi="宋体" w:hint="eastAsia"/>
          <w:b/>
          <w:u w:val="single"/>
        </w:rPr>
        <w:t>其他未列明行业</w:t>
      </w:r>
      <w:r>
        <w:rPr>
          <w:rFonts w:ascii="宋体" w:eastAsia="宋体" w:hAnsi="宋体" w:hint="eastAsia"/>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80" w:firstLineChars="200"/>
        <w:jc w:val="both"/>
        <w:rPr>
          <w:rFonts w:ascii="宋体" w:eastAsia="宋体" w:hAnsi="宋体"/>
        </w:rPr>
      </w:pPr>
      <w:r>
        <w:rPr>
          <w:rFonts w:ascii="宋体" w:eastAsia="宋体" w:hAnsi="宋体" w:hint="eastAsia"/>
        </w:rPr>
        <w:t>（二）价格评审优惠</w:t>
      </w:r>
    </w:p>
    <w:p>
      <w:pPr>
        <w:spacing w:line="360" w:lineRule="auto"/>
        <w:ind w:firstLine="480" w:firstLineChars="200"/>
        <w:jc w:val="both"/>
        <w:rPr>
          <w:rFonts w:ascii="宋体" w:eastAsia="宋体" w:hAnsi="宋体"/>
        </w:rPr>
      </w:pPr>
      <w:r>
        <w:rPr>
          <w:rFonts w:ascii="宋体" w:eastAsia="宋体" w:hAnsi="宋体" w:hint="eastAsia"/>
          <w:lang w:eastAsia="zh-CN"/>
        </w:rPr>
        <w:t>□</w:t>
      </w:r>
      <w:r>
        <w:rPr>
          <w:rFonts w:ascii="宋体" w:eastAsia="宋体" w:hAnsi="宋体" w:hint="eastAsia"/>
        </w:rPr>
        <w:t>预留份额专门面向中小微企业采购的采购项目或采购包：不执行价格评审优惠的扶持政策。</w:t>
      </w:r>
    </w:p>
    <w:p>
      <w:pPr>
        <w:spacing w:line="360" w:lineRule="auto"/>
        <w:ind w:firstLine="480" w:firstLineChars="200"/>
        <w:jc w:val="both"/>
        <w:rPr>
          <w:rFonts w:ascii="宋体" w:eastAsia="宋体" w:hAnsi="宋体"/>
        </w:rPr>
      </w:pPr>
      <w:r>
        <w:rPr>
          <w:rFonts w:ascii="MS Mincho" w:eastAsia="MS Mincho" w:hAnsi="MS Mincho" w:cs="MS Mincho" w:hint="eastAsia"/>
        </w:rPr>
        <w:t>☑</w:t>
      </w:r>
      <w:r>
        <w:rPr>
          <w:rFonts w:ascii="宋体" w:eastAsia="宋体" w:hAnsi="宋体" w:hint="eastAsia"/>
        </w:rPr>
        <w:t>未预留份额专门面向中小企业采购的采购项目或采购包：</w:t>
      </w:r>
    </w:p>
    <w:p>
      <w:pPr>
        <w:spacing w:line="360" w:lineRule="auto"/>
        <w:ind w:firstLine="480" w:firstLineChars="200"/>
        <w:jc w:val="both"/>
        <w:rPr>
          <w:rFonts w:ascii="宋体" w:eastAsia="宋体" w:hAnsi="宋体"/>
        </w:rPr>
      </w:pPr>
      <w:r>
        <w:rPr>
          <w:rFonts w:ascii="宋体" w:eastAsia="宋体" w:hAnsi="宋体" w:hint="eastAsia"/>
        </w:rPr>
        <w:t>（1）根据《财政部 工业和信息化部关于印发《政府采购促进中小企业发展管理办法》的通知》(财库〔2020〕46号)、《财政部 司法部关于政府采购支持监狱企业发展有关问题的通知》（财</w:t>
      </w:r>
      <w:bookmarkStart w:id="58" w:name="_GoBack"/>
      <w:bookmarkEnd w:id="58"/>
      <w:r>
        <w:rPr>
          <w:rFonts w:ascii="宋体" w:eastAsia="宋体" w:hAnsi="宋体" w:hint="eastAsia"/>
        </w:rPr>
        <w:t>库〔2014〕68号）和《三部门联合发布关于促进残疾人就业政府采购政策的通知》（财库〔2017〕141号）的规定，对满足价格扣除条件且在投标文件中提交了符合政府采购扶持政策的证明材料的投标人，其投标报价扣除 10 %后参与评审。</w:t>
      </w:r>
    </w:p>
    <w:p>
      <w:pPr>
        <w:spacing w:line="360" w:lineRule="auto"/>
        <w:ind w:firstLine="480" w:firstLineChars="200"/>
        <w:jc w:val="both"/>
        <w:rPr>
          <w:rFonts w:ascii="宋体" w:eastAsia="宋体" w:hAnsi="宋体"/>
        </w:rPr>
      </w:pPr>
      <w:r>
        <w:rPr>
          <w:rFonts w:ascii="宋体" w:eastAsia="宋体" w:hAnsi="宋体" w:hint="eastAsia"/>
        </w:rPr>
        <w:t>（2）如供应商为监狱企业或残疾人福利性单位，视同小型、微型企业，享受以上预留份额、评审中价格扣除等政府采购促进中小企业发展的政府采购政策；对于同时属于小型、微型企业、监狱企业或残疾人福利性单位的供应商，不重复享受政策。</w:t>
      </w:r>
    </w:p>
    <w:p>
      <w:pPr>
        <w:spacing w:line="360" w:lineRule="auto"/>
        <w:ind w:firstLine="480" w:firstLineChars="200"/>
        <w:jc w:val="both"/>
        <w:rPr>
          <w:rFonts w:ascii="宋体" w:eastAsia="宋体" w:hAnsi="宋体"/>
        </w:rPr>
      </w:pPr>
      <w:r>
        <w:rPr>
          <w:rFonts w:ascii="宋体" w:eastAsia="宋体" w:hAnsi="宋体" w:hint="eastAsia"/>
        </w:rPr>
        <w:t>（3）优惠主体资格的认定资料为《中小企业声明函》、《残疾人福利性单位声明函》以及《监狱企业声明函》等承诺性质的资料（格式详见招标文件）；监狱企业或者代理提供监狱企业货物的供应商如需享受优惠政策，除上述资料外，还须提供省级以上监狱管理局、戒毒管理局出具的监狱企业证明文件。</w:t>
      </w:r>
    </w:p>
    <w:p>
      <w:pPr>
        <w:spacing w:line="360" w:lineRule="auto"/>
        <w:ind w:firstLine="480" w:firstLineChars="200"/>
        <w:jc w:val="both"/>
        <w:rPr>
          <w:rFonts w:ascii="宋体" w:eastAsia="宋体" w:hAnsi="宋体"/>
          <w:b/>
          <w:bCs/>
          <w:szCs w:val="21"/>
        </w:rPr>
      </w:pPr>
      <w:r>
        <w:rPr>
          <w:rFonts w:ascii="宋体" w:eastAsia="宋体" w:hAnsi="宋体" w:hint="eastAsia"/>
          <w:b/>
          <w:bCs/>
          <w:szCs w:val="21"/>
        </w:rPr>
        <w:t>2、如本项目为长期服务项目，则合同履行期限最长不超过三十六个月；甲方如对履约情况不满意，甲方不再续约。</w:t>
      </w:r>
    </w:p>
    <w:p>
      <w:pPr>
        <w:spacing w:line="540" w:lineRule="exact"/>
        <w:ind w:firstLine="480" w:firstLineChars="200"/>
        <w:rPr>
          <w:rFonts w:ascii="宋体" w:eastAsia="宋体" w:hAnsi="宋体" w:cs="仿宋_GB2312"/>
          <w:szCs w:val="21"/>
        </w:rPr>
      </w:pPr>
      <w:r>
        <w:rPr>
          <w:rFonts w:ascii="宋体" w:eastAsia="宋体" w:hAnsi="宋体" w:cs="仿宋_GB2312" w:hint="eastAsia"/>
          <w:szCs w:val="21"/>
        </w:rPr>
        <w:t>3、“中标供应商在领取《中标通知书》之前须向</w:t>
      </w:r>
      <w:r>
        <w:rPr>
          <w:rFonts w:ascii="宋体" w:eastAsia="宋体" w:hAnsi="宋体" w:cs="仿宋_GB2312" w:hint="eastAsia"/>
          <w:szCs w:val="21"/>
          <w:lang w:val="en-US" w:eastAsia="zh-CN"/>
        </w:rPr>
        <w:t>立讯招标（深圳）有限公司</w:t>
      </w:r>
      <w:r>
        <w:rPr>
          <w:rFonts w:ascii="宋体" w:eastAsia="宋体" w:hAnsi="宋体" w:cs="仿宋_GB2312" w:hint="eastAsia"/>
          <w:szCs w:val="21"/>
        </w:rPr>
        <w:t>交纳代理服务费。若因中标供应商交纳代理服务费所产生的时间影响到合同签订的，由中标供应商自行承担责任。代理服务费标准参照深财购〔</w:t>
      </w:r>
      <w:r>
        <w:rPr>
          <w:rFonts w:ascii="宋体" w:eastAsia="宋体" w:hAnsi="宋体" w:cs="仿宋_GB2312"/>
          <w:szCs w:val="21"/>
        </w:rPr>
        <w:t>2018〕27号文</w:t>
      </w:r>
      <w:r>
        <w:rPr>
          <w:rFonts w:ascii="宋体" w:eastAsia="宋体" w:hAnsi="宋体" w:cs="仿宋_GB2312" w:hint="eastAsia"/>
          <w:b/>
          <w:bCs/>
          <w:szCs w:val="21"/>
        </w:rPr>
        <w:t>所列标准</w:t>
      </w:r>
      <w:r>
        <w:rPr>
          <w:rFonts w:ascii="宋体" w:eastAsia="宋体" w:hAnsi="宋体" w:cs="仿宋_GB2312" w:hint="eastAsia"/>
          <w:szCs w:val="21"/>
        </w:rPr>
        <w:t>收取。本项目类型为</w:t>
      </w:r>
      <w:r>
        <w:rPr>
          <w:rFonts w:ascii="宋体" w:eastAsia="宋体" w:hAnsi="宋体" w:cs="仿宋_GB2312" w:hint="eastAsia"/>
          <w:b/>
          <w:bCs/>
          <w:szCs w:val="21"/>
          <w:u w:val="single"/>
        </w:rPr>
        <w:t>服务类</w:t>
      </w:r>
      <w:r>
        <w:rPr>
          <w:rFonts w:ascii="宋体" w:eastAsia="宋体" w:hAnsi="宋体" w:cs="仿宋_GB2312" w:hint="eastAsia"/>
          <w:szCs w:val="21"/>
        </w:rPr>
        <w:t>：</w:t>
      </w:r>
    </w:p>
    <w:p>
      <w:pPr>
        <w:spacing w:line="540" w:lineRule="exact"/>
        <w:ind w:firstLine="480" w:firstLineChars="200"/>
        <w:rPr>
          <w:rFonts w:ascii="宋体" w:eastAsia="宋体" w:hAnsi="宋体" w:cs="楷体_GB2312"/>
          <w:szCs w:val="21"/>
        </w:rPr>
      </w:pPr>
      <w:r>
        <w:rPr>
          <w:rFonts w:ascii="宋体" w:eastAsia="宋体" w:hAnsi="宋体" w:cs="楷体_GB2312" w:hint="eastAsia"/>
          <w:szCs w:val="21"/>
        </w:rPr>
        <w:t>（一）代理服务费以《中标通知书》确定的中标金额作为计算基数，按差额定率累进法计算。</w:t>
      </w:r>
    </w:p>
    <w:p>
      <w:pPr>
        <w:spacing w:line="540" w:lineRule="exact"/>
        <w:ind w:firstLine="480" w:firstLineChars="200"/>
        <w:rPr>
          <w:rFonts w:ascii="宋体" w:eastAsia="宋体" w:hAnsi="宋体" w:cs="楷体_GB2312"/>
          <w:szCs w:val="21"/>
        </w:rPr>
      </w:pPr>
      <w:r>
        <w:rPr>
          <w:rFonts w:ascii="宋体" w:eastAsia="宋体" w:hAnsi="宋体" w:cs="楷体_GB2312" w:hint="eastAsia"/>
          <w:szCs w:val="21"/>
        </w:rPr>
        <w:t>（二）中标金额的各部分费率如下表：</w:t>
      </w:r>
    </w:p>
    <w:tbl>
      <w:tblPr>
        <w:tblStyle w:val="TableNormal"/>
        <w:tblW w:w="8346" w:type="dxa"/>
        <w:jc w:val="center"/>
        <w:tblLayout w:type="fixed"/>
        <w:tblCellMar>
          <w:top w:w="15" w:type="dxa"/>
          <w:left w:w="15" w:type="dxa"/>
          <w:bottom w:w="15" w:type="dxa"/>
          <w:right w:w="15" w:type="dxa"/>
        </w:tblCellMar>
      </w:tblPr>
      <w:tblGrid>
        <w:gridCol w:w="3527"/>
        <w:gridCol w:w="1559"/>
        <w:gridCol w:w="1701"/>
        <w:gridCol w:w="1559"/>
      </w:tblGrid>
      <w:tr>
        <w:tblPrEx>
          <w:tblW w:w="8346" w:type="dxa"/>
          <w:jc w:val="center"/>
          <w:tblLayout w:type="fixed"/>
          <w:tblCellMar>
            <w:top w:w="15" w:type="dxa"/>
            <w:left w:w="15" w:type="dxa"/>
            <w:bottom w:w="15" w:type="dxa"/>
            <w:right w:w="15" w:type="dxa"/>
          </w:tblCellMar>
        </w:tblPrEx>
        <w:trPr>
          <w:trHeight w:val="75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hint="eastAsia"/>
                <w:szCs w:val="21"/>
              </w:rPr>
              <w:t>中标金额</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hint="eastAsia"/>
                <w:szCs w:val="21"/>
              </w:rPr>
              <w:t>货物</w:t>
            </w:r>
          </w:p>
          <w:p>
            <w:pPr>
              <w:wordWrap w:val="0"/>
              <w:spacing w:line="300" w:lineRule="exact"/>
              <w:jc w:val="center"/>
              <w:textAlignment w:val="baseline"/>
              <w:rPr>
                <w:rFonts w:ascii="宋体" w:eastAsia="宋体" w:hAnsi="宋体"/>
                <w:szCs w:val="21"/>
              </w:rPr>
            </w:pPr>
            <w:r>
              <w:rPr>
                <w:rFonts w:ascii="宋体" w:eastAsia="宋体" w:hAnsi="宋体" w:hint="eastAsia"/>
                <w:szCs w:val="21"/>
              </w:rPr>
              <w:t>采购</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hint="eastAsia"/>
                <w:szCs w:val="21"/>
              </w:rPr>
              <w:t>服务</w:t>
            </w:r>
          </w:p>
          <w:p>
            <w:pPr>
              <w:wordWrap w:val="0"/>
              <w:spacing w:line="300" w:lineRule="exact"/>
              <w:jc w:val="center"/>
              <w:textAlignment w:val="baseline"/>
              <w:rPr>
                <w:rFonts w:ascii="宋体" w:eastAsia="宋体" w:hAnsi="宋体"/>
                <w:szCs w:val="21"/>
              </w:rPr>
            </w:pPr>
            <w:r>
              <w:rPr>
                <w:rFonts w:ascii="宋体" w:eastAsia="宋体" w:hAnsi="宋体" w:hint="eastAsia"/>
                <w:szCs w:val="21"/>
              </w:rPr>
              <w:t>采购</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hint="eastAsia"/>
                <w:szCs w:val="21"/>
              </w:rPr>
              <w:t>工程</w:t>
            </w:r>
          </w:p>
          <w:p>
            <w:pPr>
              <w:wordWrap w:val="0"/>
              <w:spacing w:line="300" w:lineRule="exact"/>
              <w:jc w:val="center"/>
              <w:textAlignment w:val="baseline"/>
              <w:rPr>
                <w:rFonts w:ascii="宋体" w:eastAsia="宋体" w:hAnsi="宋体"/>
                <w:szCs w:val="21"/>
              </w:rPr>
            </w:pPr>
            <w:r>
              <w:rPr>
                <w:rFonts w:ascii="宋体" w:eastAsia="宋体" w:hAnsi="宋体" w:hint="eastAsia"/>
                <w:szCs w:val="21"/>
              </w:rPr>
              <w:t>采购</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100</w:t>
            </w:r>
            <w:r>
              <w:rPr>
                <w:rFonts w:ascii="宋体" w:eastAsia="宋体" w:hAnsi="宋体" w:hint="eastAsia"/>
                <w:szCs w:val="21"/>
              </w:rPr>
              <w:t>万元以下</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1.5%</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1.5%</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1.0%</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100</w:t>
            </w:r>
            <w:r>
              <w:rPr>
                <w:rFonts w:ascii="宋体" w:eastAsia="宋体" w:hAnsi="宋体" w:hint="eastAsia"/>
                <w:szCs w:val="21"/>
              </w:rPr>
              <w:t>万元（含）</w:t>
            </w:r>
            <w:r>
              <w:rPr>
                <w:rFonts w:ascii="宋体" w:eastAsia="宋体" w:hAnsi="宋体"/>
                <w:szCs w:val="21"/>
              </w:rPr>
              <w:t>-500</w:t>
            </w:r>
            <w:r>
              <w:rPr>
                <w:rFonts w:ascii="宋体" w:eastAsia="宋体" w:hAnsi="宋体" w:hint="eastAsia"/>
                <w:szCs w:val="21"/>
              </w:rPr>
              <w:t>万元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1.1%</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0.8%</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0.7%</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500</w:t>
            </w:r>
            <w:r>
              <w:rPr>
                <w:rFonts w:ascii="宋体" w:eastAsia="宋体" w:hAnsi="宋体" w:hint="eastAsia"/>
                <w:szCs w:val="21"/>
              </w:rPr>
              <w:t>万元（含）</w:t>
            </w:r>
            <w:r>
              <w:rPr>
                <w:rFonts w:ascii="宋体" w:eastAsia="宋体" w:hAnsi="宋体"/>
                <w:szCs w:val="21"/>
              </w:rPr>
              <w:t>-1000</w:t>
            </w:r>
            <w:r>
              <w:rPr>
                <w:rFonts w:ascii="宋体" w:eastAsia="宋体" w:hAnsi="宋体" w:hint="eastAsia"/>
                <w:szCs w:val="21"/>
              </w:rPr>
              <w:t>万元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0.8%</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0.45%</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0.55%</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1000</w:t>
            </w:r>
            <w:r>
              <w:rPr>
                <w:rFonts w:ascii="宋体" w:eastAsia="宋体" w:hAnsi="宋体" w:hint="eastAsia"/>
                <w:szCs w:val="21"/>
              </w:rPr>
              <w:t>万元（含）</w:t>
            </w:r>
            <w:r>
              <w:rPr>
                <w:rFonts w:ascii="宋体" w:eastAsia="宋体" w:hAnsi="宋体"/>
                <w:szCs w:val="21"/>
              </w:rPr>
              <w:t>-5000</w:t>
            </w:r>
            <w:r>
              <w:rPr>
                <w:rFonts w:ascii="宋体" w:eastAsia="宋体" w:hAnsi="宋体" w:hint="eastAsia"/>
                <w:szCs w:val="21"/>
              </w:rPr>
              <w:t>万元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0.5%</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0.25%</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0.35%</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5000</w:t>
            </w:r>
            <w:r>
              <w:rPr>
                <w:rFonts w:ascii="宋体" w:eastAsia="宋体" w:hAnsi="宋体" w:hint="eastAsia"/>
                <w:szCs w:val="21"/>
              </w:rPr>
              <w:t>万元（含）</w:t>
            </w:r>
            <w:r>
              <w:rPr>
                <w:rFonts w:ascii="宋体" w:eastAsia="宋体" w:hAnsi="宋体"/>
                <w:szCs w:val="21"/>
              </w:rPr>
              <w:t>-1</w:t>
            </w:r>
            <w:r>
              <w:rPr>
                <w:rFonts w:ascii="宋体" w:eastAsia="宋体" w:hAnsi="宋体" w:hint="eastAsia"/>
                <w:szCs w:val="21"/>
              </w:rPr>
              <w:t>亿元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0.25%</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0.1%</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0.2%</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w:t>
            </w:r>
            <w:r>
              <w:rPr>
                <w:rFonts w:ascii="宋体" w:eastAsia="宋体" w:hAnsi="宋体" w:hint="eastAsia"/>
                <w:szCs w:val="21"/>
              </w:rPr>
              <w:t>亿元（含）</w:t>
            </w:r>
            <w:r>
              <w:rPr>
                <w:rFonts w:ascii="宋体" w:eastAsia="宋体" w:hAnsi="宋体"/>
                <w:szCs w:val="21"/>
              </w:rPr>
              <w:t>-5</w:t>
            </w:r>
            <w:r>
              <w:rPr>
                <w:rFonts w:ascii="宋体" w:eastAsia="宋体" w:hAnsi="宋体" w:hint="eastAsia"/>
                <w:szCs w:val="21"/>
              </w:rPr>
              <w:t>亿元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0.05%</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0.05%</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0.05%</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5</w:t>
            </w:r>
            <w:r>
              <w:rPr>
                <w:rFonts w:ascii="宋体" w:eastAsia="宋体" w:hAnsi="宋体" w:hint="eastAsia"/>
                <w:szCs w:val="21"/>
              </w:rPr>
              <w:t>亿元（含）</w:t>
            </w:r>
            <w:r>
              <w:rPr>
                <w:rFonts w:ascii="宋体" w:eastAsia="宋体" w:hAnsi="宋体"/>
                <w:szCs w:val="21"/>
              </w:rPr>
              <w:t>-10</w:t>
            </w:r>
            <w:r>
              <w:rPr>
                <w:rFonts w:ascii="宋体" w:eastAsia="宋体" w:hAnsi="宋体" w:hint="eastAsia"/>
                <w:szCs w:val="21"/>
              </w:rPr>
              <w:t>亿元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0.035%</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0.035%</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0.035%</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10</w:t>
            </w:r>
            <w:r>
              <w:rPr>
                <w:rFonts w:ascii="宋体" w:eastAsia="宋体" w:hAnsi="宋体" w:hint="eastAsia"/>
                <w:szCs w:val="21"/>
              </w:rPr>
              <w:t>亿元（含）</w:t>
            </w:r>
            <w:r>
              <w:rPr>
                <w:rFonts w:ascii="宋体" w:eastAsia="宋体" w:hAnsi="宋体"/>
                <w:szCs w:val="21"/>
              </w:rPr>
              <w:t>-50</w:t>
            </w:r>
            <w:r>
              <w:rPr>
                <w:rFonts w:ascii="宋体" w:eastAsia="宋体" w:hAnsi="宋体" w:hint="eastAsia"/>
                <w:szCs w:val="21"/>
              </w:rPr>
              <w:t>亿元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0.008%</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0.008%</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0.008%</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50</w:t>
            </w:r>
            <w:r>
              <w:rPr>
                <w:rFonts w:ascii="宋体" w:eastAsia="宋体" w:hAnsi="宋体" w:hint="eastAsia"/>
                <w:szCs w:val="21"/>
              </w:rPr>
              <w:t>亿元（含）</w:t>
            </w:r>
            <w:r>
              <w:rPr>
                <w:rFonts w:ascii="宋体" w:eastAsia="宋体" w:hAnsi="宋体"/>
                <w:szCs w:val="21"/>
              </w:rPr>
              <w:t>-100</w:t>
            </w:r>
            <w:r>
              <w:rPr>
                <w:rFonts w:ascii="宋体" w:eastAsia="宋体" w:hAnsi="宋体" w:hint="eastAsia"/>
                <w:szCs w:val="21"/>
              </w:rPr>
              <w:t>亿元</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0.006%</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0.006%</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0.006%</w:t>
            </w:r>
          </w:p>
        </w:tc>
      </w:tr>
      <w:tr>
        <w:tblPrEx>
          <w:tblW w:w="8346" w:type="dxa"/>
          <w:jc w:val="center"/>
          <w:tblLayout w:type="fixed"/>
          <w:tblCellMar>
            <w:top w:w="15" w:type="dxa"/>
            <w:left w:w="15" w:type="dxa"/>
            <w:bottom w:w="15" w:type="dxa"/>
            <w:right w:w="15" w:type="dxa"/>
          </w:tblCellMar>
        </w:tblPrEx>
        <w:trPr>
          <w:trHeight w:val="469"/>
          <w:jc w:val="center"/>
        </w:trPr>
        <w:tc>
          <w:tcPr>
            <w:tcW w:w="3527"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szCs w:val="21"/>
              </w:rPr>
              <w:t>100</w:t>
            </w:r>
            <w:r>
              <w:rPr>
                <w:rFonts w:ascii="宋体" w:eastAsia="宋体" w:hAnsi="宋体" w:hint="eastAsia"/>
                <w:szCs w:val="21"/>
              </w:rPr>
              <w:t>亿元（含）以上</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0.004%</w:t>
            </w:r>
          </w:p>
        </w:tc>
        <w:tc>
          <w:tcPr>
            <w:tcW w:w="1701"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0.004%</w:t>
            </w:r>
          </w:p>
        </w:tc>
        <w:tc>
          <w:tcPr>
            <w:tcW w:w="1559" w:type="dxa"/>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jc w:val="center"/>
              <w:textAlignment w:val="baseline"/>
              <w:rPr>
                <w:rFonts w:ascii="宋体" w:eastAsia="宋体" w:hAnsi="宋体"/>
                <w:szCs w:val="21"/>
              </w:rPr>
            </w:pPr>
            <w:r>
              <w:rPr>
                <w:rFonts w:ascii="宋体" w:eastAsia="宋体" w:hAnsi="宋体"/>
                <w:szCs w:val="21"/>
              </w:rPr>
              <w:t>0.004%</w:t>
            </w:r>
          </w:p>
        </w:tc>
      </w:tr>
      <w:tr>
        <w:tblPrEx>
          <w:tblW w:w="8346" w:type="dxa"/>
          <w:jc w:val="center"/>
          <w:tblLayout w:type="fixed"/>
          <w:tblCellMar>
            <w:top w:w="15" w:type="dxa"/>
            <w:left w:w="15" w:type="dxa"/>
            <w:bottom w:w="15" w:type="dxa"/>
            <w:right w:w="15" w:type="dxa"/>
          </w:tblCellMar>
        </w:tblPrEx>
        <w:trPr>
          <w:trHeight w:val="531"/>
          <w:jc w:val="center"/>
        </w:trPr>
        <w:tc>
          <w:tcPr>
            <w:tcW w:w="8346" w:type="dxa"/>
            <w:gridSpan w:val="4"/>
            <w:tcBorders>
              <w:top w:val="single" w:sz="4" w:space="0" w:color="auto"/>
              <w:left w:val="single" w:sz="4" w:space="0" w:color="auto"/>
              <w:bottom w:val="single" w:sz="4" w:space="0" w:color="auto"/>
              <w:right w:val="single" w:sz="4" w:space="0" w:color="auto"/>
            </w:tcBorders>
            <w:tcMar>
              <w:top w:w="27" w:type="dxa"/>
              <w:left w:w="136" w:type="dxa"/>
              <w:bottom w:w="27" w:type="dxa"/>
              <w:right w:w="136" w:type="dxa"/>
            </w:tcMar>
            <w:vAlign w:val="center"/>
          </w:tcPr>
          <w:p>
            <w:pPr>
              <w:wordWrap w:val="0"/>
              <w:spacing w:line="300" w:lineRule="exact"/>
              <w:textAlignment w:val="baseline"/>
              <w:rPr>
                <w:rFonts w:ascii="宋体" w:eastAsia="宋体" w:hAnsi="宋体"/>
                <w:szCs w:val="21"/>
              </w:rPr>
            </w:pPr>
            <w:r>
              <w:rPr>
                <w:rFonts w:ascii="宋体" w:eastAsia="宋体" w:hAnsi="宋体" w:hint="eastAsia"/>
                <w:szCs w:val="21"/>
              </w:rPr>
              <w:t>备注：</w:t>
            </w:r>
          </w:p>
          <w:p>
            <w:pPr>
              <w:wordWrap w:val="0"/>
              <w:spacing w:line="300" w:lineRule="exact"/>
              <w:textAlignment w:val="baseline"/>
              <w:rPr>
                <w:rFonts w:ascii="宋体" w:eastAsia="宋体" w:hAnsi="宋体"/>
                <w:b/>
                <w:szCs w:val="21"/>
              </w:rPr>
            </w:pPr>
            <w:r>
              <w:rPr>
                <w:rFonts w:ascii="宋体" w:eastAsia="宋体" w:hAnsi="宋体"/>
                <w:b/>
                <w:szCs w:val="21"/>
              </w:rPr>
              <w:t>1.</w:t>
            </w:r>
            <w:r>
              <w:rPr>
                <w:rFonts w:ascii="宋体" w:eastAsia="宋体" w:hAnsi="宋体" w:hint="eastAsia"/>
                <w:b/>
                <w:szCs w:val="21"/>
              </w:rPr>
              <w:t>每宗交易代理服务费不低于7</w:t>
            </w:r>
            <w:r>
              <w:rPr>
                <w:rFonts w:ascii="宋体" w:eastAsia="宋体" w:hAnsi="宋体" w:hint="eastAsia"/>
                <w:b/>
                <w:szCs w:val="21"/>
                <w:lang w:val="en-US" w:eastAsia="zh-CN"/>
              </w:rPr>
              <w:t>0</w:t>
            </w:r>
            <w:r>
              <w:rPr>
                <w:rFonts w:ascii="宋体" w:eastAsia="宋体" w:hAnsi="宋体" w:hint="eastAsia"/>
                <w:b/>
                <w:szCs w:val="21"/>
              </w:rPr>
              <w:t>00元；</w:t>
            </w:r>
          </w:p>
          <w:p>
            <w:pPr>
              <w:adjustRightInd w:val="0"/>
              <w:snapToGrid w:val="0"/>
              <w:spacing w:line="300" w:lineRule="exact"/>
              <w:rPr>
                <w:rFonts w:ascii="宋体" w:eastAsia="宋体" w:hAnsi="宋体"/>
                <w:szCs w:val="21"/>
              </w:rPr>
            </w:pPr>
            <w:r>
              <w:rPr>
                <w:rFonts w:ascii="宋体" w:eastAsia="宋体" w:hAnsi="宋体"/>
                <w:szCs w:val="21"/>
              </w:rPr>
              <w:t>2.</w:t>
            </w:r>
            <w:r>
              <w:rPr>
                <w:rFonts w:ascii="宋体" w:eastAsia="宋体" w:hAnsi="宋体" w:hint="eastAsia"/>
                <w:szCs w:val="21"/>
              </w:rPr>
              <w:t>对于报总价的采购类项目，中标价为中标（成交）金额；对于报单价或折扣或费率的采购类项目，中标价为预算上限金额或经委托方与代理方确定的支付上限金额；</w:t>
            </w:r>
          </w:p>
          <w:p>
            <w:pPr>
              <w:wordWrap w:val="0"/>
              <w:spacing w:line="300" w:lineRule="exact"/>
              <w:textAlignment w:val="baseline"/>
              <w:rPr>
                <w:rFonts w:ascii="宋体" w:eastAsia="宋体" w:hAnsi="宋体"/>
                <w:szCs w:val="21"/>
              </w:rPr>
            </w:pPr>
            <w:r>
              <w:rPr>
                <w:rFonts w:ascii="宋体" w:eastAsia="宋体" w:hAnsi="宋体"/>
                <w:szCs w:val="21"/>
              </w:rPr>
              <w:t>3.</w:t>
            </w:r>
            <w:r>
              <w:rPr>
                <w:rFonts w:ascii="宋体" w:eastAsia="宋体" w:hAnsi="宋体" w:hint="eastAsia"/>
                <w:szCs w:val="21"/>
              </w:rPr>
              <w:t>承接代理服务（附加服务）的项目，免收平台交易服务费。</w:t>
            </w:r>
          </w:p>
        </w:tc>
      </w:tr>
    </w:tbl>
    <w:p>
      <w:pPr>
        <w:spacing w:line="540" w:lineRule="exact"/>
        <w:rPr>
          <w:rFonts w:ascii="宋体" w:eastAsia="宋体" w:hAnsi="宋体" w:cs="仿宋_GB2312"/>
          <w:szCs w:val="21"/>
        </w:rPr>
      </w:pPr>
    </w:p>
    <w:p>
      <w:pPr>
        <w:spacing w:line="540" w:lineRule="exact"/>
        <w:ind w:firstLine="480" w:firstLineChars="200"/>
        <w:rPr>
          <w:rFonts w:ascii="宋体" w:eastAsia="宋体" w:hAnsi="宋体" w:cs="仿宋_GB2312"/>
          <w:szCs w:val="21"/>
        </w:rPr>
      </w:pPr>
      <w:r>
        <w:rPr>
          <w:rFonts w:ascii="宋体" w:eastAsia="宋体" w:hAnsi="宋体" w:cs="仿宋_GB2312" w:hint="eastAsia"/>
          <w:szCs w:val="21"/>
        </w:rPr>
        <w:t>如某货物</w:t>
      </w:r>
      <w:r>
        <w:rPr>
          <w:rFonts w:ascii="宋体" w:eastAsia="宋体" w:hAnsi="宋体" w:cs="仿宋_GB2312" w:hint="eastAsia"/>
          <w:b/>
          <w:bCs/>
          <w:szCs w:val="21"/>
        </w:rPr>
        <w:t>采购</w:t>
      </w:r>
      <w:r>
        <w:rPr>
          <w:rFonts w:ascii="宋体" w:eastAsia="宋体" w:hAnsi="宋体" w:cs="仿宋_GB2312" w:hint="eastAsia"/>
          <w:szCs w:val="21"/>
        </w:rPr>
        <w:t>项目，中标金额为</w:t>
      </w:r>
      <w:r>
        <w:rPr>
          <w:rFonts w:ascii="宋体" w:eastAsia="宋体" w:hAnsi="宋体" w:cs="仿宋_GB2312"/>
          <w:szCs w:val="21"/>
        </w:rPr>
        <w:t>600万元，总共交纳的代理服务费的具体计算过程如下：</w:t>
      </w:r>
    </w:p>
    <w:p>
      <w:pPr>
        <w:spacing w:line="540" w:lineRule="exact"/>
        <w:ind w:firstLine="480" w:firstLineChars="200"/>
        <w:rPr>
          <w:rFonts w:ascii="宋体" w:eastAsia="宋体" w:hAnsi="宋体" w:cs="仿宋_GB2312"/>
          <w:szCs w:val="21"/>
        </w:rPr>
      </w:pPr>
      <w:r>
        <w:rPr>
          <w:rFonts w:ascii="宋体" w:eastAsia="宋体" w:hAnsi="宋体" w:cs="仿宋_GB2312" w:hint="eastAsia"/>
          <w:szCs w:val="21"/>
        </w:rPr>
        <w:t>标准代理服务费＝（</w:t>
      </w:r>
      <w:r>
        <w:rPr>
          <w:rFonts w:ascii="宋体" w:eastAsia="宋体" w:hAnsi="宋体" w:cs="仿宋_GB2312"/>
          <w:szCs w:val="21"/>
        </w:rPr>
        <w:t>100万以下部分的代理服务费）+（100万～500万部分的代理服务费）+（500万～600万部分的代理服务费）＝100万元×1.5%+（500-100）万元×1.1%+（600-500）万元×0.8%=1.5万元+4.4万元+0.8万元＝6.7万元</w:t>
      </w:r>
    </w:p>
    <w:p>
      <w:pPr>
        <w:spacing w:line="540" w:lineRule="exact"/>
        <w:ind w:firstLine="480" w:firstLineChars="200"/>
        <w:rPr>
          <w:rFonts w:ascii="宋体" w:eastAsia="宋体" w:hAnsi="宋体" w:cs="仿宋_GB2312"/>
          <w:b/>
          <w:bCs/>
          <w:szCs w:val="21"/>
        </w:rPr>
      </w:pPr>
      <w:r>
        <w:rPr>
          <w:rFonts w:ascii="宋体" w:eastAsia="宋体" w:hAnsi="宋体" w:cs="仿宋_GB2312" w:hint="eastAsia"/>
          <w:b/>
          <w:bCs/>
          <w:szCs w:val="21"/>
        </w:rPr>
        <w:t>经营性账户信息如下：</w:t>
      </w:r>
    </w:p>
    <w:p>
      <w:pPr>
        <w:spacing w:line="540" w:lineRule="exact"/>
        <w:ind w:firstLine="480" w:firstLineChars="200"/>
        <w:rPr>
          <w:rFonts w:ascii="宋体" w:eastAsia="宋体" w:hAnsi="宋体" w:cs="仿宋_GB2312" w:hint="default"/>
          <w:szCs w:val="21"/>
          <w:lang w:val="en-US" w:eastAsia="zh-CN"/>
        </w:rPr>
      </w:pPr>
      <w:r>
        <w:rPr>
          <w:rFonts w:ascii="宋体" w:eastAsia="宋体" w:hAnsi="宋体" w:cs="仿宋_GB2312" w:hint="eastAsia"/>
          <w:szCs w:val="21"/>
        </w:rPr>
        <w:t>收款单位：</w:t>
      </w:r>
      <w:r>
        <w:rPr>
          <w:rFonts w:ascii="宋体" w:eastAsia="宋体" w:hAnsi="宋体" w:cs="仿宋_GB2312" w:hint="eastAsia"/>
          <w:szCs w:val="21"/>
          <w:lang w:val="en-US" w:eastAsia="zh-CN"/>
        </w:rPr>
        <w:t>立讯招标（深圳）有限公司</w:t>
      </w:r>
    </w:p>
    <w:p>
      <w:pPr>
        <w:spacing w:line="540" w:lineRule="exact"/>
        <w:ind w:firstLine="480" w:firstLineChars="200"/>
        <w:rPr>
          <w:rFonts w:ascii="宋体" w:eastAsia="宋体" w:hAnsi="宋体" w:cs="仿宋_GB2312" w:hint="eastAsia"/>
          <w:szCs w:val="21"/>
        </w:rPr>
      </w:pPr>
      <w:r>
        <w:rPr>
          <w:rFonts w:ascii="宋体" w:eastAsia="宋体" w:hAnsi="宋体" w:cs="仿宋_GB2312" w:hint="eastAsia"/>
          <w:szCs w:val="21"/>
        </w:rPr>
        <w:t>开户银行：</w:t>
      </w:r>
      <w:r>
        <w:rPr>
          <w:rFonts w:ascii="宋体" w:eastAsia="宋体" w:hAnsi="宋体" w:cs="仿宋_GB2312" w:hint="eastAsia"/>
          <w:color w:val="auto"/>
          <w:kern w:val="0"/>
          <w:szCs w:val="21"/>
        </w:rPr>
        <w:t>中国农业银行股份有限公司深圳坪山新区支行</w:t>
      </w:r>
    </w:p>
    <w:p>
      <w:pPr>
        <w:spacing w:line="540" w:lineRule="exact"/>
        <w:ind w:firstLine="480" w:firstLineChars="200"/>
        <w:rPr>
          <w:rFonts w:ascii="宋体" w:eastAsia="宋体" w:hAnsi="宋体" w:cs="仿宋_GB2312"/>
          <w:szCs w:val="21"/>
        </w:rPr>
      </w:pPr>
      <w:r>
        <w:rPr>
          <w:rFonts w:ascii="宋体" w:eastAsia="宋体" w:hAnsi="宋体" w:cs="仿宋_GB2312" w:hint="eastAsia"/>
          <w:szCs w:val="21"/>
        </w:rPr>
        <w:t>帐号（人民币）：</w:t>
      </w:r>
      <w:r>
        <w:rPr>
          <w:rFonts w:ascii="宋体" w:eastAsia="宋体" w:hAnsi="宋体" w:cs="仿宋_GB2312" w:hint="eastAsia"/>
          <w:color w:val="auto"/>
          <w:kern w:val="0"/>
          <w:szCs w:val="21"/>
        </w:rPr>
        <w:t>41018300040012530</w:t>
      </w:r>
    </w:p>
    <w:p>
      <w:pPr>
        <w:spacing w:line="360" w:lineRule="auto"/>
        <w:ind w:firstLine="480" w:firstLineChars="200"/>
        <w:rPr>
          <w:rFonts w:ascii="宋体" w:eastAsia="宋体" w:hAnsi="宋体"/>
          <w:b/>
          <w:bCs/>
          <w:szCs w:val="21"/>
        </w:rPr>
      </w:pPr>
    </w:p>
    <w:p>
      <w:pPr>
        <w:spacing w:line="360" w:lineRule="auto"/>
        <w:rPr>
          <w:rFonts w:ascii="宋体" w:eastAsia="宋体" w:hAnsi="宋体"/>
          <w:b/>
        </w:rPr>
      </w:pPr>
    </w:p>
    <w:p>
      <w:pPr>
        <w:pStyle w:val="BodyText"/>
        <w:spacing w:line="360" w:lineRule="auto"/>
        <w:rPr>
          <w:lang w:val="en-US" w:bidi="ar-SA"/>
        </w:rPr>
      </w:pPr>
    </w:p>
    <w:p>
      <w:pPr>
        <w:spacing w:line="360" w:lineRule="auto"/>
        <w:rPr>
          <w:rFonts w:ascii="宋体" w:eastAsia="宋体" w:hAnsi="宋体"/>
        </w:rPr>
      </w:pPr>
    </w:p>
    <w:p>
      <w:pPr>
        <w:pStyle w:val="Footer"/>
        <w:spacing w:line="360" w:lineRule="auto"/>
        <w:rPr>
          <w:rFonts w:ascii="宋体" w:eastAsia="宋体" w:hAnsi="宋体"/>
        </w:rPr>
      </w:pPr>
    </w:p>
    <w:p>
      <w:pPr>
        <w:spacing w:line="360" w:lineRule="auto"/>
        <w:rPr>
          <w:rFonts w:ascii="宋体" w:eastAsia="宋体" w:hAnsi="宋体"/>
        </w:rPr>
      </w:pPr>
    </w:p>
    <w:p>
      <w:pPr>
        <w:pStyle w:val="Footer"/>
        <w:spacing w:line="360" w:lineRule="auto"/>
        <w:rPr>
          <w:rFonts w:ascii="宋体" w:eastAsia="宋体" w:hAnsi="宋体"/>
        </w:rPr>
      </w:pPr>
    </w:p>
    <w:p>
      <w:pPr>
        <w:spacing w:line="360" w:lineRule="auto"/>
        <w:rPr>
          <w:rFonts w:ascii="宋体" w:eastAsia="宋体" w:hAnsi="宋体"/>
        </w:rPr>
      </w:pPr>
    </w:p>
    <w:p>
      <w:pPr>
        <w:rPr>
          <w:rFonts w:ascii="宋体" w:eastAsia="宋体" w:hAnsi="宋体"/>
          <w:b/>
        </w:rPr>
      </w:pPr>
      <w:bookmarkStart w:id="59" w:name="_Toc128884461"/>
      <w:r>
        <w:rPr>
          <w:rFonts w:ascii="宋体" w:eastAsia="宋体" w:hAnsi="宋体" w:hint="eastAsia"/>
          <w:b/>
        </w:rPr>
        <w:br w:type="page"/>
      </w:r>
    </w:p>
    <w:p>
      <w:pPr>
        <w:pStyle w:val="Heading2"/>
        <w:spacing w:line="360" w:lineRule="auto"/>
        <w:rPr>
          <w:b/>
          <w:szCs w:val="24"/>
        </w:rPr>
      </w:pPr>
      <w:r>
        <w:rPr>
          <w:rFonts w:hint="eastAsia"/>
          <w:b/>
          <w:szCs w:val="24"/>
        </w:rPr>
        <w:t>第三章用户需求书</w:t>
      </w:r>
      <w:bookmarkEnd w:id="59"/>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Ansi="宋体"/>
        </w:rPr>
        <w:br w:type="page"/>
      </w: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
        <w:gridCol w:w="2603"/>
        <w:gridCol w:w="3158"/>
        <w:gridCol w:w="235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13" w:type="dxa"/>
            <w:vAlign w:val="center"/>
          </w:tcPr>
          <w:p>
            <w:pPr>
              <w:jc w:val="center"/>
              <w:rPr>
                <w:bCs/>
                <w:szCs w:val="21"/>
              </w:rPr>
            </w:pPr>
            <w:r>
              <w:rPr>
                <w:rFonts w:hint="eastAsia"/>
                <w:bCs/>
                <w:szCs w:val="21"/>
              </w:rPr>
              <w:t>序号</w:t>
            </w:r>
          </w:p>
        </w:tc>
        <w:tc>
          <w:tcPr>
            <w:tcW w:w="2603" w:type="dxa"/>
            <w:vAlign w:val="center"/>
          </w:tcPr>
          <w:p>
            <w:pPr>
              <w:jc w:val="center"/>
              <w:rPr>
                <w:bCs/>
                <w:szCs w:val="21"/>
              </w:rPr>
            </w:pPr>
            <w:r>
              <w:rPr>
                <w:rFonts w:hint="eastAsia"/>
                <w:szCs w:val="21"/>
              </w:rPr>
              <w:t>采购</w:t>
            </w:r>
            <w:r>
              <w:rPr>
                <w:rFonts w:hint="eastAsia"/>
                <w:szCs w:val="21"/>
                <w:lang w:val="en-US" w:eastAsia="zh-CN"/>
              </w:rPr>
              <w:t>项目</w:t>
            </w:r>
            <w:r>
              <w:rPr>
                <w:rFonts w:hint="eastAsia"/>
                <w:szCs w:val="21"/>
              </w:rPr>
              <w:t>编号</w:t>
            </w:r>
          </w:p>
        </w:tc>
        <w:tc>
          <w:tcPr>
            <w:tcW w:w="3158" w:type="dxa"/>
            <w:vAlign w:val="center"/>
          </w:tcPr>
          <w:p>
            <w:pPr>
              <w:jc w:val="center"/>
              <w:rPr>
                <w:bCs/>
                <w:szCs w:val="21"/>
              </w:rPr>
            </w:pPr>
            <w:r>
              <w:rPr>
                <w:rFonts w:hint="eastAsia"/>
                <w:bCs/>
                <w:szCs w:val="21"/>
              </w:rPr>
              <w:t>采购项目名称</w:t>
            </w:r>
          </w:p>
        </w:tc>
        <w:tc>
          <w:tcPr>
            <w:tcW w:w="2355" w:type="dxa"/>
            <w:vAlign w:val="center"/>
          </w:tcPr>
          <w:p>
            <w:pPr>
              <w:jc w:val="center"/>
              <w:rPr>
                <w:b/>
                <w:bCs/>
                <w:szCs w:val="21"/>
              </w:rPr>
            </w:pPr>
            <w:r>
              <w:rPr>
                <w:rFonts w:hint="eastAsia"/>
                <w:szCs w:val="21"/>
              </w:rPr>
              <w:t>预算金额（元/年）</w:t>
            </w:r>
          </w:p>
        </w:tc>
      </w:tr>
      <w:tr>
        <w:tblPrEx>
          <w:tblW w:w="8529" w:type="dxa"/>
          <w:tblInd w:w="0" w:type="dxa"/>
          <w:tblLayout w:type="fixed"/>
          <w:tblCellMar>
            <w:top w:w="0" w:type="dxa"/>
            <w:left w:w="108" w:type="dxa"/>
            <w:bottom w:w="0" w:type="dxa"/>
            <w:right w:w="108" w:type="dxa"/>
          </w:tblCellMar>
        </w:tblPrEx>
        <w:trPr>
          <w:trHeight w:val="290"/>
        </w:trPr>
        <w:tc>
          <w:tcPr>
            <w:tcW w:w="413" w:type="dxa"/>
            <w:vAlign w:val="center"/>
          </w:tcPr>
          <w:p>
            <w:pPr>
              <w:jc w:val="center"/>
              <w:rPr>
                <w:bCs/>
                <w:szCs w:val="21"/>
              </w:rPr>
            </w:pPr>
            <w:r>
              <w:rPr>
                <w:rFonts w:hint="eastAsia"/>
                <w:bCs/>
                <w:szCs w:val="21"/>
              </w:rPr>
              <w:t>1</w:t>
            </w:r>
          </w:p>
        </w:tc>
        <w:tc>
          <w:tcPr>
            <w:tcW w:w="2603" w:type="dxa"/>
            <w:vAlign w:val="center"/>
          </w:tcPr>
          <w:p>
            <w:pPr>
              <w:jc w:val="center"/>
              <w:rPr>
                <w:rFonts w:hint="eastAsia"/>
                <w:bCs w:val="0"/>
                <w:szCs w:val="21"/>
              </w:rPr>
            </w:pPr>
            <w:r>
              <w:rPr>
                <w:rStyle w:val="DefaultParagraphFont"/>
                <w:rFonts w:ascii="Times New Roman" w:hAnsi="Times New Roman" w:eastAsiaTheme="minorEastAsia" w:cs="Times New Roman" w:hint="eastAsia"/>
                <w:color w:val="auto"/>
                <w:sz w:val="24"/>
                <w:szCs w:val="21"/>
                <w:shd w:val="clear" w:color="auto" w:fill="auto"/>
                <w:lang w:val="en-US" w:eastAsia="zh-CN"/>
              </w:rPr>
              <w:t>PSDL2025000030</w:t>
            </w:r>
          </w:p>
        </w:tc>
        <w:tc>
          <w:tcPr>
            <w:tcW w:w="3158" w:type="dxa"/>
            <w:vAlign w:val="center"/>
          </w:tcPr>
          <w:p>
            <w:pPr>
              <w:jc w:val="center"/>
              <w:rPr>
                <w:szCs w:val="21"/>
              </w:rPr>
            </w:pPr>
            <w:r>
              <w:rPr>
                <w:rFonts w:hint="eastAsia"/>
                <w:szCs w:val="21"/>
              </w:rPr>
              <w:t>马峦街道病媒生物四害消杀项目</w:t>
            </w:r>
          </w:p>
        </w:tc>
        <w:tc>
          <w:tcPr>
            <w:tcW w:w="2355" w:type="dxa"/>
            <w:vAlign w:val="center"/>
          </w:tcPr>
          <w:p>
            <w:pPr>
              <w:jc w:val="center"/>
              <w:rPr>
                <w:szCs w:val="21"/>
              </w:rPr>
            </w:pPr>
            <w:r>
              <w:rPr>
                <w:rFonts w:hint="eastAsia"/>
                <w:szCs w:val="21"/>
              </w:rPr>
              <w:t>1,469,669.760</w:t>
            </w:r>
          </w:p>
        </w:tc>
      </w:tr>
    </w:tbl>
    <w:p>
      <w:pPr>
        <w:rPr>
          <w:rFonts w:ascii="宋体" w:hAnsi="宋体"/>
          <w:b/>
          <w:color w:val="FF0000"/>
          <w:szCs w:val="21"/>
        </w:rPr>
      </w:pP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int="eastAsia"/>
          <w:szCs w:val="24"/>
        </w:rPr>
        <w:t>★二、项目概况</w:t>
      </w:r>
    </w:p>
    <w:p>
      <w:pPr>
        <w:ind w:firstLine="480" w:firstLineChars="200"/>
        <w:rPr>
          <w:rFonts w:ascii="宋体" w:hAnsi="宋体"/>
          <w:b/>
          <w:bCs/>
          <w:szCs w:val="21"/>
        </w:rPr>
      </w:pPr>
      <w:r>
        <w:rPr>
          <w:rFonts w:ascii="宋体" w:hAnsi="宋体" w:hint="eastAsia"/>
          <w:b/>
          <w:bCs/>
          <w:szCs w:val="21"/>
        </w:rPr>
        <w:t>（一）介绍项目的背景及项目整体情况</w:t>
      </w:r>
    </w:p>
    <w:p>
      <w:pPr>
        <w:ind w:firstLine="480" w:firstLineChars="200"/>
        <w:rPr>
          <w:highlight w:val="none"/>
        </w:rPr>
      </w:pPr>
      <w:r>
        <w:rPr>
          <w:rFonts w:hint="eastAsia"/>
        </w:rPr>
        <w:t>深圳市坪山区马峦街道办事处管辖的城中村（包含城中村内的道路、巷道、绿化带和待建地等）的病媒生物防治“四害”消杀服务，辖区城中村总面积为</w:t>
      </w:r>
      <w:r>
        <w:rPr>
          <w:rFonts w:ascii="宋体" w:hAnsi="宋体" w:cs="宋体" w:hint="eastAsia"/>
          <w:color w:val="000000"/>
          <w:kern w:val="0"/>
          <w:szCs w:val="21"/>
        </w:rPr>
        <w:t>1884192</w:t>
      </w:r>
      <w:r>
        <w:rPr>
          <w:rFonts w:hint="eastAsia"/>
        </w:rPr>
        <w:t>平方米，具体参见附</w:t>
      </w:r>
      <w:r>
        <w:rPr>
          <w:rFonts w:hint="eastAsia"/>
          <w:highlight w:val="none"/>
        </w:rPr>
        <w:t>件《2025年公共消杀（病媒生物防治）服务项目面积统计表》。</w:t>
      </w:r>
    </w:p>
    <w:p>
      <w:pPr>
        <w:ind w:firstLine="480" w:firstLineChars="200"/>
        <w:jc w:val="left"/>
      </w:pPr>
      <w:r>
        <w:rPr>
          <w:rFonts w:hint="eastAsia"/>
          <w:highlight w:val="none"/>
        </w:rPr>
        <w:t>说明：实际最终的管养面积以招标方</w:t>
      </w:r>
      <w:r>
        <w:rPr>
          <w:rFonts w:hint="eastAsia"/>
        </w:rPr>
        <w:t>及中标方现场核实为准。承包期内，如采购方因其他政策调整致使“四害”面积增减，中标方应无条件接受，不得拒绝。根据《深圳经济特区政府采购条例》第四十条：政府采购合同履行中，采购人增加采购与合同标的相同的货物、工程或者服务的，经主管部门批准，可以与供应商协商签订补充采购合同，补充采购合同的金额不得超过原合同金额的百分之十，但合同总金额不得超过原计划数额。</w:t>
      </w:r>
    </w:p>
    <w:p>
      <w:pPr>
        <w:ind w:firstLine="480" w:firstLineChars="200"/>
        <w:jc w:val="left"/>
        <w:rPr>
          <w:rFonts w:ascii="宋体" w:hAnsi="宋体"/>
          <w:b/>
          <w:bCs/>
          <w:szCs w:val="21"/>
        </w:rPr>
      </w:pPr>
      <w:r>
        <w:rPr>
          <w:rFonts w:ascii="宋体" w:hAnsi="宋体" w:hint="eastAsia"/>
          <w:b/>
          <w:bCs/>
          <w:szCs w:val="21"/>
        </w:rPr>
        <w:t>（二）项目目的及建设目标</w:t>
      </w:r>
    </w:p>
    <w:p>
      <w:pPr>
        <w:ind w:firstLine="480" w:firstLineChars="200"/>
        <w:rPr>
          <w:rFonts w:ascii="宋体" w:hAnsi="宋体"/>
          <w:szCs w:val="21"/>
        </w:rPr>
      </w:pPr>
      <w:r>
        <w:rPr>
          <w:rFonts w:ascii="宋体" w:hAnsi="宋体" w:hint="eastAsia"/>
          <w:szCs w:val="21"/>
        </w:rPr>
        <w:t>1、项目目的</w:t>
      </w:r>
    </w:p>
    <w:p>
      <w:pPr>
        <w:spacing w:line="276" w:lineRule="auto"/>
        <w:ind w:firstLine="480" w:firstLineChars="200"/>
      </w:pPr>
      <w:r>
        <w:rPr>
          <w:rFonts w:hint="eastAsia"/>
        </w:rPr>
        <w:t>本项目旨在通过科学、系统的防控措施，降低“四害”传播疾病的风险（如鼠疫、登革热、痢疾等），保护居民健康，保障公共卫生安全；减少“四害”对居民生活、工作和公共空间的侵扰，提升社区环境质量，改善人居环境；通过源头控制（如清楚孳生地）和通过物理或化学消杀手段，阻断“四害”繁殖与扩散，切断传播链；响应国家卫生城市、健康城市的政策要求，提升区域卫生治理水平，履行社会责任。</w:t>
      </w:r>
    </w:p>
    <w:p>
      <w:pPr>
        <w:ind w:firstLine="480" w:firstLineChars="200"/>
        <w:rPr>
          <w:rFonts w:ascii="宋体" w:hAnsi="宋体"/>
          <w:szCs w:val="21"/>
        </w:rPr>
      </w:pPr>
      <w:r>
        <w:rPr>
          <w:rFonts w:ascii="宋体" w:hAnsi="宋体" w:hint="eastAsia"/>
          <w:szCs w:val="21"/>
        </w:rPr>
        <w:t>2、建设目标</w:t>
      </w:r>
    </w:p>
    <w:p>
      <w:pPr>
        <w:ind w:firstLine="480" w:firstLineChars="200"/>
        <w:rPr>
          <w:rFonts w:ascii="宋体" w:hAnsi="宋体"/>
          <w:szCs w:val="21"/>
        </w:rPr>
      </w:pPr>
      <w:r>
        <w:rPr>
          <w:rFonts w:ascii="宋体" w:hAnsi="宋体" w:hint="eastAsia"/>
          <w:szCs w:val="21"/>
        </w:rPr>
        <w:t>本项目通过消杀服务，保持马峦街道辖区内“四害”密度达到</w:t>
      </w:r>
      <w:r>
        <w:rPr>
          <w:rFonts w:hint="eastAsia"/>
        </w:rPr>
        <w:t>控制水平根据病媒生物密度控制水平（中华人民共和国国家标准）C级及以上标准</w:t>
      </w:r>
      <w:r>
        <w:rPr>
          <w:rFonts w:ascii="宋体" w:hAnsi="宋体" w:hint="eastAsia"/>
          <w:szCs w:val="21"/>
        </w:rPr>
        <w:t>，完成城中村的全面消杀，形成政府主导、专业机构实施、居民参与的联防联控体系，改造易孳生“四害”的环境，完善基础设施，改善居民的居住环境，提升居民的生活满意度。</w:t>
      </w:r>
    </w:p>
    <w:p>
      <w:pPr>
        <w:ind w:firstLine="480" w:firstLineChars="200"/>
        <w:rPr>
          <w:rFonts w:ascii="宋体" w:hAnsi="宋体"/>
          <w:b/>
          <w:bCs/>
          <w:szCs w:val="21"/>
        </w:rPr>
      </w:pPr>
      <w:r>
        <w:rPr>
          <w:rFonts w:ascii="宋体" w:hAnsi="宋体" w:hint="eastAsia"/>
          <w:b/>
          <w:bCs/>
          <w:szCs w:val="21"/>
        </w:rPr>
        <w:t>（三）项目所依据及参考的标准</w:t>
      </w:r>
    </w:p>
    <w:p>
      <w:pPr>
        <w:ind w:firstLine="480" w:firstLineChars="200"/>
        <w:rPr>
          <w:rFonts w:ascii="宋体" w:hAnsi="宋体"/>
          <w:szCs w:val="21"/>
        </w:rPr>
      </w:pPr>
      <w:r>
        <w:rPr>
          <w:rFonts w:ascii="宋体" w:hAnsi="宋体" w:hint="eastAsia"/>
          <w:szCs w:val="21"/>
        </w:rPr>
        <w:t>1、广东省病媒生物预防控制管理规定</w:t>
      </w:r>
    </w:p>
    <w:p>
      <w:pPr>
        <w:ind w:firstLine="480" w:firstLineChars="200"/>
        <w:rPr>
          <w:rFonts w:ascii="宋体" w:hAnsi="宋体"/>
          <w:szCs w:val="21"/>
        </w:rPr>
      </w:pPr>
      <w:r>
        <w:rPr>
          <w:rFonts w:ascii="宋体" w:hAnsi="宋体" w:hint="eastAsia"/>
          <w:szCs w:val="21"/>
        </w:rPr>
        <w:t>2、国家卫生乡镇标准</w:t>
      </w:r>
    </w:p>
    <w:p>
      <w:pPr>
        <w:ind w:firstLine="480" w:firstLineChars="200"/>
        <w:rPr>
          <w:rFonts w:ascii="宋体" w:hAnsi="宋体"/>
          <w:szCs w:val="21"/>
        </w:rPr>
      </w:pPr>
      <w:r>
        <w:rPr>
          <w:rFonts w:ascii="宋体" w:hAnsi="宋体" w:hint="eastAsia"/>
          <w:szCs w:val="21"/>
        </w:rPr>
        <w:t>3、国家卫生城市和国家卫生县标准</w:t>
      </w:r>
    </w:p>
    <w:p>
      <w:pPr>
        <w:ind w:firstLine="480" w:firstLineChars="200"/>
        <w:rPr>
          <w:rFonts w:ascii="宋体" w:hAnsi="宋体"/>
          <w:b/>
          <w:bCs/>
          <w:szCs w:val="21"/>
        </w:rPr>
      </w:pPr>
      <w:r>
        <w:rPr>
          <w:rFonts w:ascii="宋体" w:hAnsi="宋体" w:hint="eastAsia"/>
          <w:b/>
          <w:bCs/>
          <w:szCs w:val="21"/>
        </w:rPr>
        <w:t>（四）项目采购范围</w:t>
      </w:r>
    </w:p>
    <w:p>
      <w:pPr>
        <w:ind w:firstLine="480" w:firstLineChars="200"/>
      </w:pPr>
      <w:r>
        <w:rPr>
          <w:rFonts w:hint="eastAsia"/>
        </w:rPr>
        <w:t>深圳市坪山区马峦街道办事处管辖的城中村（包含城中村内的道路、巷道、绿化带和待建地灯）的病媒生物防治，辖区城中村总面积为</w:t>
      </w:r>
      <w:r>
        <w:rPr>
          <w:rFonts w:ascii="宋体" w:hAnsi="宋体" w:cs="宋体" w:hint="eastAsia"/>
          <w:color w:val="000000"/>
          <w:kern w:val="0"/>
          <w:szCs w:val="21"/>
        </w:rPr>
        <w:t>1884192</w:t>
      </w:r>
      <w:r>
        <w:rPr>
          <w:rFonts w:hint="eastAsia"/>
        </w:rPr>
        <w:t>平方米，该项目的病媒生物防治主要指鼠类、蚊类、蝇类和蜚蠊等主体四害。</w:t>
      </w:r>
    </w:p>
    <w:p>
      <w:pPr>
        <w:ind w:firstLine="480" w:firstLineChars="200"/>
        <w:rPr>
          <w:rFonts w:ascii="宋体" w:hAnsi="宋体"/>
          <w:b/>
          <w:bCs/>
          <w:szCs w:val="21"/>
        </w:rPr>
      </w:pPr>
      <w:r>
        <w:rPr>
          <w:rFonts w:ascii="宋体" w:hAnsi="宋体" w:hint="eastAsia"/>
          <w:b/>
          <w:bCs/>
          <w:szCs w:val="21"/>
        </w:rPr>
        <w:t>（五）服务要求</w:t>
      </w:r>
    </w:p>
    <w:p>
      <w:pPr>
        <w:ind w:firstLine="480" w:firstLineChars="200"/>
        <w:jc w:val="left"/>
        <w:rPr>
          <w:rFonts w:ascii="宋体" w:hAnsi="宋体"/>
          <w:szCs w:val="21"/>
        </w:rPr>
      </w:pPr>
      <w:r>
        <w:rPr>
          <w:rFonts w:ascii="宋体" w:hAnsi="宋体" w:hint="eastAsia"/>
          <w:szCs w:val="21"/>
        </w:rPr>
        <w:t>1、采购范围内日常病媒生物的巡查和防制作业。</w:t>
      </w:r>
    </w:p>
    <w:p>
      <w:pPr>
        <w:ind w:firstLine="480" w:firstLineChars="200"/>
        <w:jc w:val="left"/>
        <w:rPr>
          <w:rFonts w:ascii="宋体" w:hAnsi="宋体"/>
          <w:szCs w:val="21"/>
        </w:rPr>
      </w:pPr>
      <w:r>
        <w:rPr>
          <w:rFonts w:ascii="宋体" w:hAnsi="宋体" w:hint="eastAsia"/>
          <w:szCs w:val="21"/>
        </w:rPr>
        <w:t>2、采购范围内病媒生物防治基础设施维护更新。</w:t>
      </w:r>
    </w:p>
    <w:p>
      <w:pPr>
        <w:ind w:firstLine="480" w:firstLineChars="200"/>
        <w:jc w:val="left"/>
        <w:rPr>
          <w:rFonts w:ascii="宋体" w:hAnsi="宋体"/>
          <w:szCs w:val="21"/>
        </w:rPr>
      </w:pPr>
      <w:r>
        <w:rPr>
          <w:rFonts w:ascii="宋体" w:hAnsi="宋体" w:hint="eastAsia"/>
          <w:szCs w:val="21"/>
        </w:rPr>
        <w:t>3、马峦街道辖区范围内应急消杀作业。</w:t>
      </w:r>
    </w:p>
    <w:p>
      <w:pPr>
        <w:ind w:firstLine="480" w:firstLineChars="200"/>
        <w:jc w:val="left"/>
        <w:rPr>
          <w:rFonts w:ascii="宋体" w:hAnsi="宋体"/>
          <w:szCs w:val="21"/>
        </w:rPr>
      </w:pPr>
      <w:r>
        <w:rPr>
          <w:rFonts w:ascii="宋体" w:hAnsi="宋体" w:hint="eastAsia"/>
          <w:szCs w:val="21"/>
        </w:rPr>
        <w:t>4、配合街道进行病媒生物防治基础知识宣传教育，每季度不少于2 次。</w:t>
      </w:r>
    </w:p>
    <w:p>
      <w:pPr>
        <w:ind w:firstLine="480" w:firstLineChars="200"/>
        <w:jc w:val="left"/>
        <w:rPr>
          <w:rFonts w:ascii="宋体" w:hAnsi="宋体"/>
          <w:szCs w:val="21"/>
        </w:rPr>
      </w:pPr>
      <w:r>
        <w:rPr>
          <w:rFonts w:ascii="宋体" w:hAnsi="宋体" w:hint="eastAsia"/>
          <w:szCs w:val="21"/>
        </w:rPr>
        <w:t>5、配合采购方要求，进行臭虫、跳蚤、蜱虫、恙虫、蠓虫等其他病媒生物应急处置。</w:t>
      </w:r>
    </w:p>
    <w:p>
      <w:pPr>
        <w:ind w:firstLine="480" w:firstLineChars="200"/>
        <w:jc w:val="left"/>
        <w:rPr>
          <w:rFonts w:ascii="宋体" w:hAnsi="宋体"/>
          <w:szCs w:val="21"/>
        </w:rPr>
      </w:pPr>
      <w:r>
        <w:rPr>
          <w:rFonts w:ascii="宋体" w:hAnsi="宋体" w:hint="eastAsia"/>
          <w:szCs w:val="21"/>
        </w:rPr>
        <w:t>6、在重大节假日及上级检查活动时，无条件配合采购方安排的临时消杀工作安排。</w:t>
      </w:r>
    </w:p>
    <w:p>
      <w:pPr>
        <w:ind w:firstLine="480" w:firstLineChars="200"/>
        <w:jc w:val="left"/>
        <w:rPr>
          <w:rFonts w:ascii="宋体" w:hAnsi="宋体"/>
          <w:szCs w:val="21"/>
        </w:rPr>
      </w:pPr>
      <w:r>
        <w:rPr>
          <w:rFonts w:ascii="宋体" w:hAnsi="宋体" w:hint="eastAsia"/>
          <w:szCs w:val="21"/>
        </w:rPr>
        <w:t>7、履行采购方指定街道辖区范围内的区块消杀加强作业。</w:t>
      </w:r>
    </w:p>
    <w:p>
      <w:pPr>
        <w:pStyle w:val="BodyText"/>
        <w:jc w:val="center"/>
        <w:rPr>
          <w:rFonts w:ascii="宋体" w:hAnsi="宋体"/>
          <w:kern w:val="0"/>
        </w:rPr>
      </w:pP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int="eastAsia"/>
        </w:rPr>
        <w:t>三、</w:t>
      </w:r>
      <w:bookmarkStart w:id="60" w:name="_Hlk72073432"/>
      <w:r>
        <w:rPr>
          <w:rFonts w:hint="eastAsia"/>
          <w:szCs w:val="24"/>
        </w:rPr>
        <w:t>服务需求明细</w:t>
      </w:r>
      <w:bookmarkEnd w:id="60"/>
    </w:p>
    <w:tbl>
      <w:tblPr>
        <w:tblStyle w:val="TableNormal"/>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
        <w:gridCol w:w="2609"/>
        <w:gridCol w:w="2741"/>
        <w:gridCol w:w="494"/>
        <w:gridCol w:w="426"/>
        <w:gridCol w:w="990"/>
        <w:gridCol w:w="839"/>
      </w:tblGrid>
      <w:tr>
        <w:tblPrEx>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jc w:val="center"/>
        </w:trPr>
        <w:tc>
          <w:tcPr>
            <w:tcW w:w="425" w:type="dxa"/>
            <w:vAlign w:val="center"/>
          </w:tcPr>
          <w:p>
            <w:pPr>
              <w:jc w:val="center"/>
              <w:rPr>
                <w:bCs/>
                <w:szCs w:val="21"/>
              </w:rPr>
            </w:pPr>
            <w:r>
              <w:rPr>
                <w:rFonts w:hint="eastAsia"/>
                <w:bCs/>
                <w:szCs w:val="21"/>
              </w:rPr>
              <w:t>序号</w:t>
            </w:r>
          </w:p>
        </w:tc>
        <w:tc>
          <w:tcPr>
            <w:tcW w:w="2609" w:type="dxa"/>
            <w:vAlign w:val="center"/>
          </w:tcPr>
          <w:p>
            <w:pPr>
              <w:jc w:val="center"/>
              <w:rPr>
                <w:szCs w:val="21"/>
              </w:rPr>
            </w:pPr>
            <w:r>
              <w:rPr>
                <w:rFonts w:hint="eastAsia"/>
                <w:szCs w:val="21"/>
              </w:rPr>
              <w:t>采购</w:t>
            </w:r>
            <w:r>
              <w:rPr>
                <w:rFonts w:hint="eastAsia"/>
                <w:szCs w:val="21"/>
                <w:lang w:val="en-US" w:eastAsia="zh-CN"/>
              </w:rPr>
              <w:t>项目</w:t>
            </w:r>
            <w:r>
              <w:rPr>
                <w:rFonts w:hint="eastAsia"/>
                <w:szCs w:val="21"/>
              </w:rPr>
              <w:t>编号</w:t>
            </w:r>
          </w:p>
        </w:tc>
        <w:tc>
          <w:tcPr>
            <w:tcW w:w="2741" w:type="dxa"/>
            <w:vAlign w:val="center"/>
          </w:tcPr>
          <w:p>
            <w:pPr>
              <w:jc w:val="center"/>
              <w:rPr>
                <w:szCs w:val="21"/>
              </w:rPr>
            </w:pPr>
            <w:r>
              <w:rPr>
                <w:rFonts w:hint="eastAsia"/>
                <w:szCs w:val="21"/>
              </w:rPr>
              <w:t>服务需求名称</w:t>
            </w:r>
          </w:p>
          <w:p>
            <w:pPr>
              <w:jc w:val="center"/>
              <w:rPr>
                <w:szCs w:val="21"/>
              </w:rPr>
            </w:pPr>
            <w:r>
              <w:rPr>
                <w:rFonts w:hint="eastAsia"/>
                <w:szCs w:val="21"/>
              </w:rPr>
              <w:t>（标的名称）</w:t>
            </w:r>
          </w:p>
        </w:tc>
        <w:tc>
          <w:tcPr>
            <w:tcW w:w="494" w:type="dxa"/>
            <w:vAlign w:val="center"/>
          </w:tcPr>
          <w:p>
            <w:pPr>
              <w:jc w:val="center"/>
              <w:rPr>
                <w:szCs w:val="21"/>
              </w:rPr>
            </w:pPr>
            <w:r>
              <w:rPr>
                <w:rFonts w:hint="eastAsia"/>
                <w:szCs w:val="21"/>
              </w:rPr>
              <w:t>数量</w:t>
            </w:r>
          </w:p>
        </w:tc>
        <w:tc>
          <w:tcPr>
            <w:tcW w:w="426" w:type="dxa"/>
            <w:vAlign w:val="center"/>
          </w:tcPr>
          <w:p>
            <w:pPr>
              <w:jc w:val="center"/>
              <w:rPr>
                <w:szCs w:val="21"/>
              </w:rPr>
            </w:pPr>
            <w:r>
              <w:rPr>
                <w:rFonts w:hint="eastAsia"/>
                <w:szCs w:val="21"/>
              </w:rPr>
              <w:t>单位</w:t>
            </w:r>
          </w:p>
        </w:tc>
        <w:tc>
          <w:tcPr>
            <w:tcW w:w="990" w:type="dxa"/>
            <w:vAlign w:val="center"/>
          </w:tcPr>
          <w:p>
            <w:pPr>
              <w:jc w:val="center"/>
              <w:rPr>
                <w:szCs w:val="21"/>
              </w:rPr>
            </w:pPr>
            <w:r>
              <w:rPr>
                <w:rFonts w:hint="eastAsia"/>
                <w:szCs w:val="21"/>
              </w:rPr>
              <w:t>是否专门面向中小企业</w:t>
            </w:r>
          </w:p>
        </w:tc>
        <w:tc>
          <w:tcPr>
            <w:tcW w:w="839" w:type="dxa"/>
            <w:vAlign w:val="center"/>
          </w:tcPr>
          <w:p>
            <w:pPr>
              <w:jc w:val="center"/>
              <w:rPr>
                <w:szCs w:val="21"/>
              </w:rPr>
            </w:pPr>
            <w:r>
              <w:rPr>
                <w:rFonts w:hint="eastAsia"/>
                <w:szCs w:val="21"/>
              </w:rPr>
              <w:t>标的所属行业</w:t>
            </w:r>
          </w:p>
        </w:tc>
      </w:tr>
      <w:tr>
        <w:tblPrEx>
          <w:tblW w:w="8524" w:type="dxa"/>
          <w:jc w:val="center"/>
          <w:tblLayout w:type="fixed"/>
          <w:tblCellMar>
            <w:top w:w="0" w:type="dxa"/>
            <w:left w:w="108" w:type="dxa"/>
            <w:bottom w:w="0" w:type="dxa"/>
            <w:right w:w="108" w:type="dxa"/>
          </w:tblCellMar>
        </w:tblPrEx>
        <w:trPr>
          <w:trHeight w:val="442"/>
          <w:jc w:val="center"/>
        </w:trPr>
        <w:tc>
          <w:tcPr>
            <w:tcW w:w="425" w:type="dxa"/>
            <w:vAlign w:val="center"/>
          </w:tcPr>
          <w:p>
            <w:pPr>
              <w:jc w:val="center"/>
              <w:rPr>
                <w:bCs/>
                <w:szCs w:val="21"/>
              </w:rPr>
            </w:pPr>
            <w:r>
              <w:rPr>
                <w:rFonts w:hint="eastAsia"/>
                <w:bCs/>
                <w:szCs w:val="21"/>
              </w:rPr>
              <w:t>1</w:t>
            </w:r>
          </w:p>
        </w:tc>
        <w:tc>
          <w:tcPr>
            <w:tcW w:w="2609" w:type="dxa"/>
            <w:vAlign w:val="center"/>
          </w:tcPr>
          <w:p>
            <w:pPr>
              <w:pBdr>
                <w:top w:val="nil"/>
                <w:left w:val="nil"/>
                <w:bottom w:val="nil"/>
                <w:right w:val="nil"/>
              </w:pBdr>
              <w:jc w:val="center"/>
              <w:rPr>
                <w:szCs w:val="21"/>
              </w:rPr>
            </w:pPr>
            <w:r>
              <w:rPr>
                <w:rFonts w:ascii="Times New Roman" w:hAnsi="Times New Roman" w:eastAsiaTheme="minorEastAsia" w:cs="Times New Roman" w:hint="eastAsia"/>
                <w:sz w:val="24"/>
                <w:szCs w:val="21"/>
                <w:shd w:val="clear" w:color="auto" w:fill="auto"/>
                <w:lang w:val="en-US" w:eastAsia="zh-CN"/>
              </w:rPr>
              <w:t>PSDL2025000030</w:t>
            </w:r>
          </w:p>
        </w:tc>
        <w:tc>
          <w:tcPr>
            <w:tcW w:w="2741" w:type="dxa"/>
            <w:vAlign w:val="center"/>
          </w:tcPr>
          <w:p>
            <w:pPr>
              <w:jc w:val="center"/>
              <w:rPr>
                <w:szCs w:val="21"/>
              </w:rPr>
            </w:pPr>
            <w:r>
              <w:rPr>
                <w:rFonts w:hint="eastAsia"/>
                <w:szCs w:val="21"/>
              </w:rPr>
              <w:t>马峦街道病媒生物四害消杀项目</w:t>
            </w:r>
          </w:p>
        </w:tc>
        <w:tc>
          <w:tcPr>
            <w:tcW w:w="494" w:type="dxa"/>
            <w:vAlign w:val="center"/>
          </w:tcPr>
          <w:p>
            <w:pPr>
              <w:jc w:val="center"/>
              <w:rPr>
                <w:szCs w:val="21"/>
              </w:rPr>
            </w:pPr>
            <w:r>
              <w:rPr>
                <w:rFonts w:hint="eastAsia"/>
              </w:rPr>
              <w:t>1</w:t>
            </w:r>
          </w:p>
        </w:tc>
        <w:tc>
          <w:tcPr>
            <w:tcW w:w="426" w:type="dxa"/>
            <w:vAlign w:val="center"/>
          </w:tcPr>
          <w:p>
            <w:pPr>
              <w:jc w:val="center"/>
              <w:rPr>
                <w:szCs w:val="21"/>
              </w:rPr>
            </w:pPr>
            <w:r>
              <w:rPr>
                <w:rFonts w:hint="eastAsia"/>
                <w:szCs w:val="21"/>
              </w:rPr>
              <w:t>项</w:t>
            </w:r>
          </w:p>
        </w:tc>
        <w:tc>
          <w:tcPr>
            <w:tcW w:w="990" w:type="dxa"/>
            <w:vAlign w:val="center"/>
          </w:tcPr>
          <w:p>
            <w:pPr>
              <w:jc w:val="center"/>
              <w:rPr>
                <w:szCs w:val="21"/>
              </w:rPr>
            </w:pPr>
            <w:r>
              <w:rPr>
                <w:rFonts w:ascii="宋体" w:hAnsi="宋体" w:cs="宋体" w:hint="eastAsia"/>
                <w:kern w:val="0"/>
                <w:szCs w:val="21"/>
              </w:rPr>
              <w:t>否</w:t>
            </w:r>
          </w:p>
        </w:tc>
        <w:tc>
          <w:tcPr>
            <w:tcW w:w="839" w:type="dxa"/>
            <w:vAlign w:val="center"/>
          </w:tcPr>
          <w:p>
            <w:pPr>
              <w:jc w:val="center"/>
              <w:rPr>
                <w:szCs w:val="21"/>
              </w:rPr>
            </w:pPr>
            <w:r>
              <w:rPr>
                <w:rFonts w:hint="eastAsia"/>
                <w:szCs w:val="21"/>
              </w:rPr>
              <w:t>其他未列明行业</w:t>
            </w:r>
          </w:p>
        </w:tc>
      </w:tr>
    </w:tbl>
    <w:p>
      <w:pPr>
        <w:rPr>
          <w:rFonts w:ascii="宋体" w:hAnsi="宋体"/>
          <w:b/>
          <w:color w:val="FF0000"/>
          <w:szCs w:val="21"/>
        </w:rPr>
      </w:pP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int="eastAsia"/>
          <w:szCs w:val="24"/>
        </w:rPr>
        <w:t>四、实质性条款</w:t>
      </w:r>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4"/>
        <w:gridCol w:w="779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34"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795" w:type="dxa"/>
            <w:vAlign w:val="center"/>
          </w:tcPr>
          <w:p>
            <w:pPr>
              <w:adjustRightInd w:val="0"/>
              <w:snapToGrid w:val="0"/>
              <w:spacing w:line="360" w:lineRule="auto"/>
              <w:jc w:val="center"/>
              <w:rPr>
                <w:rFonts w:ascii="宋体" w:hAnsi="宋体"/>
                <w:kern w:val="0"/>
                <w:szCs w:val="21"/>
                <w:highlight w:val="none"/>
              </w:rPr>
            </w:pPr>
            <w:r>
              <w:rPr>
                <w:rFonts w:ascii="宋体" w:hAnsi="宋体" w:hint="eastAsia"/>
                <w:kern w:val="0"/>
                <w:szCs w:val="21"/>
                <w:highlight w:val="none"/>
              </w:rPr>
              <w:t>实质性条款具体内容</w:t>
            </w:r>
          </w:p>
        </w:tc>
      </w:tr>
      <w:tr>
        <w:tblPrEx>
          <w:tblW w:w="8529" w:type="dxa"/>
          <w:tblInd w:w="0" w:type="dxa"/>
          <w:tblLayout w:type="fixed"/>
          <w:tblCellMar>
            <w:top w:w="0" w:type="dxa"/>
            <w:left w:w="108" w:type="dxa"/>
            <w:bottom w:w="0" w:type="dxa"/>
            <w:right w:w="108" w:type="dxa"/>
          </w:tblCellMar>
        </w:tblPrEx>
        <w:trPr>
          <w:trHeight w:val="90"/>
        </w:trPr>
        <w:tc>
          <w:tcPr>
            <w:tcW w:w="734"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795" w:type="dxa"/>
            <w:vAlign w:val="center"/>
          </w:tcPr>
          <w:p>
            <w:pPr>
              <w:pStyle w:val="NormalIndent"/>
              <w:rPr>
                <w:highlight w:val="none"/>
              </w:rPr>
            </w:pPr>
            <w:r>
              <w:rPr>
                <w:rFonts w:ascii="宋体" w:eastAsia="宋体" w:hAnsi="宋体" w:hint="eastAsia"/>
                <w:b/>
                <w:szCs w:val="21"/>
              </w:rPr>
              <w:t>招标文件-</w:t>
            </w:r>
            <w:r>
              <w:rPr>
                <w:rFonts w:ascii="宋体" w:eastAsia="宋体" w:hAnsi="宋体" w:hint="eastAsia"/>
                <w:b/>
              </w:rPr>
              <w:t>第三章用户需求书</w:t>
            </w:r>
            <w:r>
              <w:rPr>
                <w:rFonts w:ascii="宋体" w:eastAsia="宋体" w:hAnsi="宋体" w:hint="eastAsia"/>
                <w:b/>
                <w:lang w:val="en-US" w:eastAsia="zh-CN"/>
              </w:rPr>
              <w:t>中带“★”号</w:t>
            </w:r>
            <w:r>
              <w:rPr>
                <w:rFonts w:ascii="宋体" w:eastAsia="宋体" w:hAnsi="宋体"/>
                <w:b/>
              </w:rPr>
              <w:t>的</w:t>
            </w:r>
            <w:r>
              <w:rPr>
                <w:rFonts w:ascii="宋体" w:eastAsia="宋体" w:hAnsi="宋体" w:hint="eastAsia"/>
                <w:b/>
                <w:szCs w:val="21"/>
              </w:rPr>
              <w:t>全部内容</w:t>
            </w:r>
          </w:p>
        </w:tc>
      </w:tr>
    </w:tbl>
    <w:p>
      <w:pPr>
        <w:pStyle w:val="Heading4"/>
        <w:tabs>
          <w:tab w:val="left" w:pos="765"/>
        </w:tabs>
        <w:spacing w:line="240" w:lineRule="auto"/>
        <w:rPr>
          <w:rFonts w:ascii="Times New Roman" w:eastAsia="宋体" w:hAnsi="Times New Roman"/>
          <w:b w:val="0"/>
          <w:bCs w:val="0"/>
          <w:sz w:val="21"/>
          <w:szCs w:val="21"/>
        </w:rPr>
      </w:pPr>
      <w:r>
        <w:rPr>
          <w:rFonts w:ascii="Times New Roman" w:eastAsia="宋体" w:hAnsi="Times New Roman" w:hint="eastAsia"/>
          <w:b w:val="0"/>
          <w:bCs w:val="0"/>
          <w:sz w:val="21"/>
          <w:szCs w:val="21"/>
        </w:rPr>
        <w:t>注：上表所列内容为不可负偏离条款，负偏离将视为未实质性满足招标文件要求作投标无效处理。</w:t>
      </w: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pPr>
      <w:r>
        <w:rPr>
          <w:rFonts w:hint="eastAsia"/>
          <w:szCs w:val="24"/>
        </w:rPr>
        <w:t>★五、技术要求</w:t>
      </w:r>
    </w:p>
    <w:p>
      <w:pPr>
        <w:ind w:firstLine="480" w:firstLineChars="200"/>
        <w:rPr>
          <w:b/>
          <w:bCs/>
        </w:rPr>
      </w:pPr>
      <w:r>
        <w:rPr>
          <w:rFonts w:hint="eastAsia"/>
          <w:b/>
          <w:bCs/>
        </w:rPr>
        <w:t>（一）服务标准及要求</w:t>
      </w:r>
    </w:p>
    <w:p>
      <w:pPr>
        <w:ind w:firstLine="480" w:firstLineChars="200"/>
      </w:pPr>
      <w:r>
        <w:rPr>
          <w:rFonts w:hint="eastAsia"/>
        </w:rPr>
        <w:t>1、服务标准</w:t>
      </w:r>
    </w:p>
    <w:p>
      <w:pPr>
        <w:ind w:firstLine="480" w:firstLineChars="200"/>
      </w:pPr>
      <w:r>
        <w:rPr>
          <w:rFonts w:hint="eastAsia"/>
        </w:rPr>
        <w:t>1.1、病媒生物综合管理技术规范 城镇（GB/T27775-2011)</w:t>
      </w:r>
    </w:p>
    <w:p>
      <w:pPr>
        <w:ind w:firstLine="480" w:firstLineChars="200"/>
      </w:pPr>
      <w:r>
        <w:rPr>
          <w:rFonts w:hint="eastAsia"/>
        </w:rPr>
        <w:t>1.2、病媒生物防制操作规程 居民区（WS/T687-2020）</w:t>
      </w:r>
    </w:p>
    <w:p>
      <w:pPr>
        <w:ind w:firstLine="480" w:firstLineChars="200"/>
      </w:pPr>
      <w:r>
        <w:rPr>
          <w:rFonts w:hint="eastAsia"/>
        </w:rPr>
        <w:t>1.3、病媒生物密度控制水平 鼠类（GB/T 27770-2011）</w:t>
      </w:r>
    </w:p>
    <w:p>
      <w:pPr>
        <w:ind w:firstLine="480" w:firstLineChars="200"/>
      </w:pPr>
      <w:r>
        <w:rPr>
          <w:rFonts w:hint="eastAsia"/>
        </w:rPr>
        <w:t xml:space="preserve">1.4、病媒生物预防控制技术规范 鼠类（SZDB 2/207.1-2016) </w:t>
      </w:r>
    </w:p>
    <w:p>
      <w:pPr>
        <w:ind w:firstLine="480" w:firstLineChars="200"/>
      </w:pPr>
      <w:r>
        <w:rPr>
          <w:rFonts w:hint="eastAsia"/>
        </w:rPr>
        <w:t>1.5、病媒生物密度监测方法 鼠类（GB/T 23798-2009）</w:t>
      </w:r>
    </w:p>
    <w:p>
      <w:pPr>
        <w:ind w:firstLine="480" w:firstLineChars="200"/>
      </w:pPr>
      <w:r>
        <w:rPr>
          <w:rFonts w:hint="eastAsia"/>
        </w:rPr>
        <w:t>1.6、病媒生物密度控制水平 蚊虫（GB/T 27771-2011）</w:t>
      </w:r>
    </w:p>
    <w:p>
      <w:pPr>
        <w:ind w:firstLine="480" w:firstLineChars="200"/>
      </w:pPr>
      <w:r>
        <w:rPr>
          <w:rFonts w:hint="eastAsia"/>
        </w:rPr>
        <w:t>1.7、病媒生物预防控制技术规范 蚊虫（SZDB 2/207.2-2016)</w:t>
      </w:r>
    </w:p>
    <w:p>
      <w:pPr>
        <w:ind w:firstLine="480" w:firstLineChars="200"/>
      </w:pPr>
      <w:r>
        <w:rPr>
          <w:rFonts w:hint="eastAsia"/>
        </w:rPr>
        <w:t>1.8、病媒生物密度监测方法 蚊虫（GB/T 23797-2020）</w:t>
      </w:r>
    </w:p>
    <w:p>
      <w:pPr>
        <w:ind w:firstLine="480" w:firstLineChars="200"/>
      </w:pPr>
      <w:r>
        <w:rPr>
          <w:rFonts w:hint="eastAsia"/>
        </w:rPr>
        <w:t>1.9、病媒生物密度控制水平 蝇类（GB/T 27772-2011）</w:t>
      </w:r>
    </w:p>
    <w:p>
      <w:pPr>
        <w:ind w:firstLine="480" w:firstLineChars="200"/>
      </w:pPr>
      <w:r>
        <w:rPr>
          <w:rFonts w:hint="eastAsia"/>
        </w:rPr>
        <w:t>1.10、病媒生物预防控制技术规范 蝇类（SZDB 2/207.3-2016)</w:t>
      </w:r>
    </w:p>
    <w:p>
      <w:pPr>
        <w:ind w:firstLine="480" w:firstLineChars="200"/>
      </w:pPr>
      <w:r>
        <w:rPr>
          <w:rFonts w:hint="eastAsia"/>
        </w:rPr>
        <w:t>1.11、病媒生物密度监测方法 蝇类（GB/T 23796-2009）</w:t>
      </w:r>
    </w:p>
    <w:p>
      <w:pPr>
        <w:ind w:firstLine="480" w:firstLineChars="200"/>
      </w:pPr>
      <w:r>
        <w:rPr>
          <w:rFonts w:hint="eastAsia"/>
        </w:rPr>
        <w:t>1.12、病媒生物密度控制水平 蜚蠊（GB/T 27773-2011）</w:t>
      </w:r>
    </w:p>
    <w:p>
      <w:pPr>
        <w:ind w:firstLine="480" w:firstLineChars="200"/>
      </w:pPr>
      <w:r>
        <w:rPr>
          <w:rFonts w:hint="eastAsia"/>
        </w:rPr>
        <w:t>1.13、病媒生物预防控制技术规范 蜚蠊（SZDB 2/207.4-2016)</w:t>
      </w:r>
    </w:p>
    <w:p>
      <w:pPr>
        <w:ind w:firstLine="480" w:firstLineChars="200"/>
      </w:pPr>
      <w:r>
        <w:rPr>
          <w:rFonts w:hint="eastAsia"/>
        </w:rPr>
        <w:t>1.14、病媒生物密度监测方法 蜚蠊（GB/T 23795-2009）</w:t>
      </w:r>
    </w:p>
    <w:p>
      <w:pPr>
        <w:ind w:firstLine="480" w:firstLineChars="200"/>
      </w:pPr>
      <w:r>
        <w:rPr>
          <w:rFonts w:hint="eastAsia"/>
        </w:rPr>
        <w:t>1.15《深圳市病媒生物应急响应预案》（深卫疾控〔2023〕15号）</w:t>
      </w:r>
    </w:p>
    <w:p>
      <w:pPr>
        <w:ind w:firstLine="480" w:firstLineChars="200"/>
      </w:pPr>
      <w:r>
        <w:rPr>
          <w:rFonts w:hint="eastAsia"/>
        </w:rPr>
        <w:t>1.16</w:t>
      </w:r>
      <w:r>
        <w:t>《坪山区城中村病媒生物防制技术指引》（2024版）</w:t>
      </w:r>
    </w:p>
    <w:p>
      <w:pPr>
        <w:ind w:firstLine="480" w:firstLineChars="200"/>
      </w:pPr>
      <w:r>
        <w:rPr>
          <w:rFonts w:hint="eastAsia"/>
        </w:rPr>
        <w:t>以上未尽之处或标准、规程、规范发生变化时，以国家和地方最新颁布的法律、法规以及规程、规范、标准执行。</w:t>
      </w:r>
    </w:p>
    <w:p>
      <w:pPr>
        <w:ind w:firstLine="480" w:firstLineChars="200"/>
      </w:pPr>
      <w:r>
        <w:rPr>
          <w:rFonts w:hint="eastAsia"/>
        </w:rPr>
        <w:t>2、服务要求</w:t>
      </w:r>
    </w:p>
    <w:p>
      <w:pPr>
        <w:ind w:firstLine="480" w:firstLineChars="200"/>
      </w:pPr>
      <w:r>
        <w:rPr>
          <w:rFonts w:hint="eastAsia"/>
        </w:rPr>
        <w:t>2.1、该项目中，“四害”的防控技术根据病媒生物预防控制技术规范（深圳市标准化指导性技术文件）实施；监测方法根据病媒生物密度监测方法（中华人民共和国国家标准）进行检测；控制水平根据病媒生物密度控制水平（中华人民共和国国家标准）C级及以上。</w:t>
      </w:r>
    </w:p>
    <w:p>
      <w:pPr>
        <w:ind w:firstLine="480" w:firstLineChars="200"/>
      </w:pPr>
      <w:r>
        <w:rPr>
          <w:rFonts w:hint="eastAsia"/>
        </w:rPr>
        <w:t>2.2、其他病媒生物，如蚤类、蜱、螨、虱、蜢、蚋等，根据中华人民共和国国家健康委员会、深圳卫生健康委员会或深圳市坪山区卫生健康委员会（以下简称：卫健委）交办任务要求执行。</w:t>
      </w:r>
    </w:p>
    <w:p>
      <w:pPr>
        <w:ind w:firstLine="480" w:firstLineChars="200"/>
        <w:rPr>
          <w:highlight w:val="none"/>
        </w:rPr>
      </w:pPr>
      <w:r>
        <w:rPr>
          <w:rFonts w:hint="eastAsia"/>
        </w:rPr>
        <w:t>2.3、中标方实施消杀作业前，先到现场调查服务范围的“四害”本地情况，应对“四害”种类、栖息部位、密度状况及孳生环境等情况有全面的了解，因地制宜制订合理的病媒生物防制工作方案，合同签订之日起三个月内，将本地调查资料汇总，报送采购方。对项目服务区域全方位覆盖消杀</w:t>
      </w:r>
      <w:r>
        <w:rPr>
          <w:rFonts w:hint="eastAsia"/>
          <w:highlight w:val="none"/>
        </w:rPr>
        <w:t>，每月至少消杀二次，每年5、6、7、8这四个月每月至少消杀四次。</w:t>
      </w:r>
    </w:p>
    <w:p>
      <w:pPr>
        <w:ind w:firstLine="480" w:firstLineChars="200"/>
      </w:pPr>
      <w:r>
        <w:rPr>
          <w:rFonts w:hint="eastAsia"/>
          <w:highlight w:val="none"/>
        </w:rPr>
        <w:t>2.4.灭鼠作业：根据病媒生物预防控制技术规范 鼠类</w:t>
      </w:r>
      <w:r>
        <w:rPr>
          <w:rFonts w:hint="eastAsia"/>
        </w:rPr>
        <w:t>（SZDB 2/207.1-2016) 实施，日常灭鼠不得用塑料袋等材料包裹饵料后投放。市政城中村更换杀鼠剂每月1次，应定期检查，如发现杀虫剂消耗完，需立即补充。发生鼠疫和流行性出血热等疫情应急灭鼠有关技术规范。</w:t>
      </w:r>
    </w:p>
    <w:p>
      <w:pPr>
        <w:ind w:firstLine="480" w:firstLineChars="200"/>
      </w:pPr>
      <w:r>
        <w:rPr>
          <w:rFonts w:hint="eastAsia"/>
        </w:rPr>
        <w:t>2.5.灭蚊作业：根据病媒生物预防控制技术规范 蚊虫（SZDB 2/207.2-2016)实施，或根据广东省登革热防控工作指引（若有）和深圳市预防登革热防蚊灭蚊工作指引（若有）的要求，实施防蚊、灭蚊、消灭孳生地作业，其中作业频次不低于以下规定：</w:t>
      </w:r>
    </w:p>
    <w:p>
      <w:pPr>
        <w:ind w:firstLine="480" w:firstLineChars="200"/>
      </w:pPr>
      <w:r>
        <w:rPr>
          <w:rFonts w:hint="eastAsia"/>
        </w:rPr>
        <w:t>2.5.1全面清理孳生地，翻盆倒罐，指导物业管理处填平坑洼防积水，每周1次。</w:t>
      </w:r>
    </w:p>
    <w:p>
      <w:pPr>
        <w:ind w:firstLine="480" w:firstLineChars="200"/>
      </w:pPr>
      <w:r>
        <w:rPr>
          <w:rFonts w:hint="eastAsia"/>
        </w:rPr>
        <w:t>2.5.2积水容器、沟渠、水管渗漏等地表积水应投放杀蚊蚴剂处理，每周1次。</w:t>
      </w:r>
    </w:p>
    <w:p>
      <w:pPr>
        <w:ind w:firstLine="480" w:firstLineChars="200"/>
      </w:pPr>
      <w:r>
        <w:rPr>
          <w:rFonts w:hint="eastAsia"/>
        </w:rPr>
        <w:t>2.5.3采用滞留喷洒杀虫剂在成蚊活动路径附近的墙面，每1～2月1次。</w:t>
      </w:r>
    </w:p>
    <w:p>
      <w:pPr>
        <w:ind w:firstLine="480" w:firstLineChars="200"/>
      </w:pPr>
      <w:r>
        <w:rPr>
          <w:rFonts w:hint="eastAsia"/>
        </w:rPr>
        <w:t>2.5.4热烟雾适用沟渠、管道杀虫；公共地下车库、施工工地和有人停留的场所，禁用热烟雾；应采取孳生地投药或滞留喷洒方法防制。</w:t>
      </w:r>
    </w:p>
    <w:p>
      <w:pPr>
        <w:ind w:firstLine="480" w:firstLineChars="200"/>
      </w:pPr>
      <w:r>
        <w:rPr>
          <w:rFonts w:hint="eastAsia"/>
        </w:rPr>
        <w:t>2.6.灭蝇作业：根据病媒生物预防控制技术规范 蝇类（SZDB 2/207.3-2016)实施，</w:t>
      </w:r>
    </w:p>
    <w:p>
      <w:pPr>
        <w:ind w:firstLine="480" w:firstLineChars="200"/>
      </w:pPr>
      <w:r>
        <w:rPr>
          <w:rFonts w:hint="eastAsia"/>
        </w:rPr>
        <w:t>用药遵循低毒、高效、针对性强的杀虫剂，作业频次每周1次或按深圳市或区卫生健康委员会的指导意见实施。在公厕、垃圾点、肥料堆场等孳生地滞留喷洒有机磷杀虫剂防治，其它防制方法、作业频率同灭蚊。</w:t>
      </w:r>
    </w:p>
    <w:p>
      <w:pPr>
        <w:ind w:firstLine="480" w:firstLineChars="200"/>
        <w:rPr>
          <w:highlight w:val="none"/>
        </w:rPr>
      </w:pPr>
      <w:r>
        <w:rPr>
          <w:rFonts w:hint="eastAsia"/>
        </w:rPr>
        <w:t>2.7.灭蟑作业：根据病媒生物预防控制技术规范 蜚蠊（SZDB 2/207.4-2016)实施，项目范</w:t>
      </w:r>
      <w:r>
        <w:rPr>
          <w:rFonts w:hint="eastAsia"/>
          <w:highlight w:val="none"/>
        </w:rPr>
        <w:t>围内所有市政排水管道、沟渠以及可能孳生蟑螂的场所，每月烟炮喷杀至少2次以上，烟炮作业前应在市政管道井盖内壁和井盖内面滞留灭蟑药物。</w:t>
      </w:r>
    </w:p>
    <w:p>
      <w:pPr>
        <w:ind w:firstLine="480" w:firstLineChars="200"/>
        <w:rPr>
          <w:highlight w:val="none"/>
        </w:rPr>
      </w:pPr>
      <w:r>
        <w:rPr>
          <w:rFonts w:hint="eastAsia"/>
          <w:highlight w:val="none"/>
        </w:rPr>
        <w:t>2.8.一般场所病媒生物防治作业时间，采购方可根据自身实际情况进行安排，采购方应尽量避开人群密集的时间段进行消杀。</w:t>
      </w:r>
    </w:p>
    <w:p>
      <w:pPr>
        <w:ind w:firstLine="480" w:firstLineChars="200"/>
        <w:rPr>
          <w:highlight w:val="none"/>
        </w:rPr>
      </w:pPr>
      <w:r>
        <w:rPr>
          <w:rFonts w:hint="eastAsia"/>
          <w:highlight w:val="none"/>
        </w:rPr>
        <w:t>2.9.其它有害生物防治，按深圳市、区卫健委有关要求执行。</w:t>
      </w:r>
    </w:p>
    <w:p>
      <w:pPr>
        <w:ind w:firstLine="480" w:firstLineChars="200"/>
      </w:pPr>
      <w:r>
        <w:rPr>
          <w:rFonts w:hint="eastAsia"/>
          <w:highlight w:val="none"/>
        </w:rPr>
        <w:t>2.10.中标方负责对中标服务范围内的防蚊闸、毒鼠屋等“四害”设施进行检查,每月排查频率至少</w:t>
      </w:r>
      <w:r>
        <w:rPr>
          <w:rFonts w:hint="eastAsia"/>
        </w:rPr>
        <w:t xml:space="preserve">1次以上。 </w:t>
      </w:r>
    </w:p>
    <w:p>
      <w:pPr>
        <w:ind w:firstLine="480" w:firstLineChars="200"/>
      </w:pPr>
      <w:r>
        <w:rPr>
          <w:rFonts w:hint="eastAsia"/>
        </w:rPr>
        <w:t>2.11、应急消杀作业</w:t>
      </w:r>
    </w:p>
    <w:p>
      <w:pPr>
        <w:ind w:firstLine="480" w:firstLineChars="200"/>
      </w:pPr>
      <w:r>
        <w:rPr>
          <w:rFonts w:hint="eastAsia"/>
        </w:rPr>
        <w:t>2.11.1中标方应编制病媒生物防制服务应急预案，并按要求组织演练，参与各级爱卫办组织的病媒生物防制应急演练。</w:t>
      </w:r>
    </w:p>
    <w:p>
      <w:pPr>
        <w:ind w:firstLine="480" w:firstLineChars="200"/>
      </w:pPr>
      <w:r>
        <w:rPr>
          <w:rFonts w:hint="eastAsia"/>
        </w:rPr>
        <w:t>2.11.2合同期内服务范围出现因“四害”引起传染病发生，中标方必须服从采购方的安排进行应急处置。</w:t>
      </w:r>
    </w:p>
    <w:p>
      <w:pPr>
        <w:ind w:firstLine="480" w:firstLineChars="200"/>
      </w:pPr>
      <w:r>
        <w:rPr>
          <w:rFonts w:hint="eastAsia"/>
        </w:rPr>
        <w:t>2.11.3合同期内如遇到卫健委及国家卫生城市复查、文明城市创建、城中村综合整治等重大事件，必须服从采购方安排。</w:t>
      </w:r>
    </w:p>
    <w:p>
      <w:pPr>
        <w:ind w:firstLine="480" w:firstLineChars="200"/>
      </w:pPr>
      <w:r>
        <w:rPr>
          <w:rFonts w:hint="eastAsia"/>
        </w:rPr>
        <w:t>2.11.4合同期内出现洪涝灾害以及其他需要应急抢险的突发事件，必须接受采购方的应急工作安排。</w:t>
      </w:r>
    </w:p>
    <w:p>
      <w:pPr>
        <w:ind w:firstLine="480" w:firstLineChars="200"/>
      </w:pPr>
      <w:r>
        <w:rPr>
          <w:rFonts w:hint="eastAsia"/>
        </w:rPr>
        <w:t>2.11.5中标方必须有熟悉掌握药物中毒应急处置知识的人员，在合同期内因消杀药物投放或保管不当引起的人畜中毒事件发生，必须主动进行施治，并承担相应责任。</w:t>
      </w:r>
    </w:p>
    <w:p>
      <w:pPr>
        <w:ind w:firstLine="480" w:firstLineChars="200"/>
      </w:pPr>
      <w:r>
        <w:rPr>
          <w:rFonts w:hint="eastAsia"/>
        </w:rPr>
        <w:t>2.11.6在重大节日、公共活动、迎接检查或临时清理突发性环境卫生、疫情等，中标方必须积极配合采购方认真做好相关作业服务，不留卫生死角、设备故障和安全隐患。</w:t>
      </w:r>
    </w:p>
    <w:p>
      <w:pPr>
        <w:ind w:firstLine="480" w:firstLineChars="200"/>
      </w:pPr>
      <w:r>
        <w:rPr>
          <w:rFonts w:hint="eastAsia"/>
        </w:rPr>
        <w:t>2.11.7中标方应承诺在发现突发事故或接到采购方紧急或重大任务通知后1个小时内启动应急工作方案和作业计划，组织充足的作业人员和作业工具，提前或延长服务时间，确保作业服务质量达到规定标准和上级检查验收要求。</w:t>
      </w:r>
    </w:p>
    <w:p>
      <w:pPr>
        <w:ind w:firstLine="480" w:firstLineChars="200"/>
      </w:pPr>
      <w:r>
        <w:rPr>
          <w:rFonts w:hint="eastAsia"/>
        </w:rPr>
        <w:t>2.11.8在突发登革热、痢疾或病毒感染形成疫情传播，需要中标方进行相关应急处置时，中标方必须无条件配合采购方做好疫情防控工作，本项工作包含但不限于对疫情灾区的消杀、消毒、协助隔离封锁等工作。</w:t>
      </w:r>
    </w:p>
    <w:p>
      <w:pPr>
        <w:ind w:firstLine="480" w:firstLineChars="200"/>
      </w:pPr>
      <w:r>
        <w:rPr>
          <w:rFonts w:hint="eastAsia"/>
        </w:rPr>
        <w:t>2.11.9.作业结束后做好作业台账并经采购方签署服务意见。</w:t>
      </w:r>
    </w:p>
    <w:p>
      <w:pPr>
        <w:ind w:firstLine="480" w:firstLineChars="200"/>
        <w:rPr>
          <w:b/>
          <w:bCs/>
        </w:rPr>
      </w:pPr>
      <w:r>
        <w:rPr>
          <w:rFonts w:hint="eastAsia"/>
          <w:b/>
          <w:bCs/>
        </w:rPr>
        <w:t>（二）组织实施要求</w:t>
      </w:r>
    </w:p>
    <w:p>
      <w:pPr>
        <w:ind w:firstLine="480" w:firstLineChars="200"/>
      </w:pPr>
      <w:r>
        <w:rPr>
          <w:rFonts w:hint="eastAsia"/>
        </w:rPr>
        <w:t>1、采购方的权利义务</w:t>
      </w:r>
    </w:p>
    <w:p>
      <w:pPr>
        <w:ind w:firstLine="480" w:firstLineChars="200"/>
      </w:pPr>
      <w:r>
        <w:rPr>
          <w:rFonts w:hint="eastAsia"/>
        </w:rPr>
        <w:t>1.1、对中标方管理实施监督检查。有权要求中标方对违反服务承诺的事项进行限期整改；有权要求采纳采购方提出的合理要求；有权对中标方不称职的人员提出撤换的建议；有权对中标方人员进行技术能力考核；有权要求中标方因管理不善或操作失误造成的经济损失作出赔偿；有权审核中标方外包项目单位及驻场工程技术人员的资质。每年对中标方管理及服务全面进行一次考核评定，如因中标方管理不善，造成重大经济损失或严重社会影响，或遭多次投诉且整改不力，采购方有权终止合同。由此给采购方带来的损失，中标方应予以赔偿。</w:t>
      </w:r>
    </w:p>
    <w:p>
      <w:pPr>
        <w:ind w:firstLine="480" w:firstLineChars="200"/>
      </w:pPr>
      <w:r>
        <w:rPr>
          <w:rFonts w:hint="eastAsia"/>
        </w:rPr>
        <w:t>1.2、如果采购方对中标方所提供的服务质量有问题或不满意时，采购方有义务对中标方反馈，并提出整改意见，同时中标方应采取有效措施给予纠正、预防，并改进。对采购方提出的情节较严重的管理问题，若中标方在合理的时间内仍不能改进的，采购方有权利延付相应部分的服务费用而不承担任何责任，直至解决；同时，采购方有权利邀请第三方解决，所发生的费用从当月服务费中直接扣除。</w:t>
      </w:r>
    </w:p>
    <w:p>
      <w:pPr>
        <w:ind w:firstLine="480" w:firstLineChars="200"/>
      </w:pPr>
      <w:r>
        <w:rPr>
          <w:rFonts w:hint="eastAsia"/>
        </w:rPr>
        <w:t>1.3、法规政策规定由采购方承担的其它责任。</w:t>
      </w:r>
    </w:p>
    <w:p>
      <w:pPr>
        <w:ind w:firstLine="480" w:firstLineChars="200"/>
      </w:pPr>
      <w:r>
        <w:rPr>
          <w:rFonts w:hint="eastAsia"/>
        </w:rPr>
        <w:t>1.4、中标方按合同完成工作，采购方必须按时付款。</w:t>
      </w:r>
    </w:p>
    <w:p>
      <w:pPr>
        <w:ind w:firstLine="480" w:firstLineChars="200"/>
      </w:pPr>
      <w:r>
        <w:rPr>
          <w:rFonts w:hint="eastAsia"/>
        </w:rPr>
        <w:t>2、中标方的权利义务</w:t>
      </w:r>
    </w:p>
    <w:p>
      <w:pPr>
        <w:ind w:firstLine="480" w:firstLineChars="200"/>
      </w:pPr>
      <w:r>
        <w:rPr>
          <w:rFonts w:hint="eastAsia"/>
        </w:rPr>
        <w:t>2.1、根据法律、法规的有关规定和本合同的约定，自主消杀、消毒等各项管理服务活动，但不得侵害采购方的合法权益，不得利用提供管理服务的便利获取不当利益。</w:t>
      </w:r>
    </w:p>
    <w:p>
      <w:pPr>
        <w:ind w:firstLine="480" w:firstLineChars="200"/>
      </w:pPr>
      <w:r>
        <w:rPr>
          <w:rFonts w:hint="eastAsia"/>
        </w:rPr>
        <w:t>2.2、按照马峦街道办事处主管部门及有关政府部门的要求，组织管理工作，接受采购方的监督，并接受有关部门的监督、指导。</w:t>
      </w:r>
    </w:p>
    <w:p>
      <w:pPr>
        <w:ind w:firstLine="480" w:firstLineChars="200"/>
      </w:pPr>
      <w:r>
        <w:rPr>
          <w:rFonts w:hint="eastAsia"/>
        </w:rPr>
        <w:t>2.3、建立服务管理台账，及时记载变更情况。</w:t>
      </w:r>
    </w:p>
    <w:p>
      <w:pPr>
        <w:ind w:firstLine="480" w:firstLineChars="200"/>
      </w:pPr>
      <w:r>
        <w:rPr>
          <w:rFonts w:hint="eastAsia"/>
        </w:rPr>
        <w:t>2.4、根据服务情况向采购方提出合理化改进建议及相关项目管理要求，以书面形式呈报采购方，经双方议定后实施。</w:t>
      </w:r>
    </w:p>
    <w:p>
      <w:pPr>
        <w:ind w:firstLine="480" w:firstLineChars="200"/>
      </w:pPr>
      <w:r>
        <w:rPr>
          <w:rFonts w:hint="eastAsia"/>
        </w:rPr>
        <w:t>2.5、加强中标方员工职业道德和法制教育，做好保密工作。</w:t>
      </w:r>
    </w:p>
    <w:p>
      <w:pPr>
        <w:ind w:firstLine="480" w:firstLineChars="200"/>
      </w:pPr>
      <w:r>
        <w:rPr>
          <w:rFonts w:hint="eastAsia"/>
        </w:rPr>
        <w:t>2.6、必须对安全、消防的突发事件进行应急处理（如水灾、火灾等），并及时报告采购方有关人员。</w:t>
      </w:r>
    </w:p>
    <w:p>
      <w:pPr>
        <w:ind w:firstLine="480" w:firstLineChars="200"/>
      </w:pPr>
      <w:r>
        <w:rPr>
          <w:rFonts w:hint="eastAsia"/>
        </w:rPr>
        <w:t>2.7、对公用设施不得擅自占用和改变使用功能，如需改变其使用功能，须报采购方和有关部门批准后方可实施，如擅自占用和改变使用功能，责令其恢复原状。</w:t>
      </w:r>
    </w:p>
    <w:p>
      <w:pPr>
        <w:ind w:firstLine="480" w:firstLineChars="200"/>
      </w:pPr>
      <w:r>
        <w:rPr>
          <w:rFonts w:hint="eastAsia"/>
        </w:rPr>
        <w:t>2.8、及时向采购方提交各类重大和突发事件处理的报告。</w:t>
      </w:r>
    </w:p>
    <w:p>
      <w:pPr>
        <w:ind w:firstLine="480" w:firstLineChars="200"/>
      </w:pPr>
      <w:r>
        <w:rPr>
          <w:rFonts w:hint="eastAsia"/>
        </w:rPr>
        <w:t>2.9、中标方（及其作业人员）应严格遵守各项法律、法规，抓好劳务、计生、治安、维稳等内部工作，保证不发生聚众闹事、员工上访等事件。</w:t>
      </w:r>
    </w:p>
    <w:p>
      <w:pPr>
        <w:ind w:firstLine="480" w:firstLineChars="200"/>
      </w:pPr>
      <w:r>
        <w:rPr>
          <w:rFonts w:hint="eastAsia"/>
        </w:rPr>
        <w:t>2.10、中标方不得将本项目转包或分包给任何单位或个人。</w:t>
      </w:r>
    </w:p>
    <w:p>
      <w:pPr>
        <w:ind w:firstLine="480" w:firstLineChars="200"/>
      </w:pPr>
      <w:r>
        <w:rPr>
          <w:rFonts w:hint="eastAsia"/>
        </w:rPr>
        <w:t>3、违约责任</w:t>
      </w:r>
    </w:p>
    <w:p>
      <w:pPr>
        <w:ind w:firstLine="480" w:firstLineChars="200"/>
      </w:pPr>
      <w:r>
        <w:rPr>
          <w:rFonts w:hint="eastAsia"/>
        </w:rPr>
        <w:t>3.1、服务期间，有下列情形之一的，采购方向区财政主管部门申请解除合同而无须向中标方支付任何费用，也无须承担任何责任，由此产生的全部责任与费用均由中标方承担：</w:t>
      </w:r>
    </w:p>
    <w:p>
      <w:pPr>
        <w:ind w:firstLine="480" w:firstLineChars="200"/>
      </w:pPr>
      <w:r>
        <w:rPr>
          <w:rFonts w:hint="eastAsia"/>
        </w:rPr>
        <w:t>3.1.1作业范围、作业次数不按合同约定；</w:t>
      </w:r>
    </w:p>
    <w:p>
      <w:pPr>
        <w:ind w:firstLine="480" w:firstLineChars="200"/>
      </w:pPr>
      <w:r>
        <w:rPr>
          <w:rFonts w:hint="eastAsia"/>
        </w:rPr>
        <w:t>3.1.2偷工减料，作业记录弄虚作假；</w:t>
      </w:r>
    </w:p>
    <w:p>
      <w:pPr>
        <w:ind w:firstLine="480" w:firstLineChars="200"/>
      </w:pPr>
      <w:r>
        <w:rPr>
          <w:rFonts w:hint="eastAsia"/>
        </w:rPr>
        <w:t>3.1.3服务质量不达标，不配合整改，不听从采购方指挥的；</w:t>
      </w:r>
    </w:p>
    <w:p>
      <w:pPr>
        <w:ind w:firstLine="480" w:firstLineChars="200"/>
      </w:pPr>
      <w:r>
        <w:rPr>
          <w:rFonts w:hint="eastAsia"/>
        </w:rPr>
        <w:t>3.1.4发生严重罢工事件或安全生产责任事故的；</w:t>
      </w:r>
    </w:p>
    <w:p>
      <w:pPr>
        <w:ind w:firstLine="480" w:firstLineChars="200"/>
      </w:pPr>
      <w:r>
        <w:rPr>
          <w:rFonts w:hint="eastAsia"/>
        </w:rPr>
        <w:t>3.1.5法律法规规定的解除事由。</w:t>
      </w:r>
    </w:p>
    <w:p>
      <w:pPr>
        <w:ind w:firstLine="480" w:firstLineChars="200"/>
      </w:pPr>
      <w:r>
        <w:rPr>
          <w:rFonts w:hint="eastAsia"/>
        </w:rPr>
        <w:t>3.2中标方在合同执行期间，出现以下行为情况之一者，经查属实，报区财政局复核，复核通过将视情节轻重给予通报、警告、取消中标供应商资格、解除合同等处理，由此产生的全部责任与费用均由中标方承担：</w:t>
      </w:r>
    </w:p>
    <w:p>
      <w:pPr>
        <w:ind w:firstLine="480" w:firstLineChars="200"/>
      </w:pPr>
      <w:r>
        <w:rPr>
          <w:rFonts w:hint="eastAsia"/>
        </w:rPr>
        <w:t>3.2.1弄虚作假、隐瞒真实情况的；</w:t>
      </w:r>
    </w:p>
    <w:p>
      <w:pPr>
        <w:ind w:firstLine="480" w:firstLineChars="200"/>
      </w:pPr>
      <w:r>
        <w:rPr>
          <w:rFonts w:hint="eastAsia"/>
        </w:rPr>
        <w:t>3.2.2因行贿、受贿、串通投标、转包、分包、挂靠受到有关政府部门处罚的；</w:t>
      </w:r>
    </w:p>
    <w:p>
      <w:pPr>
        <w:ind w:firstLine="480" w:firstLineChars="200"/>
      </w:pPr>
      <w:r>
        <w:rPr>
          <w:rFonts w:hint="eastAsia"/>
        </w:rPr>
        <w:t>3.2.3拖欠工人工资，经劳动或其他政府部门催告或通报仍不清偿的，或发生严重罢工事件或工伤事故的；</w:t>
      </w:r>
    </w:p>
    <w:p>
      <w:pPr>
        <w:ind w:firstLine="480" w:firstLineChars="200"/>
      </w:pPr>
      <w:r>
        <w:rPr>
          <w:rFonts w:hint="eastAsia"/>
        </w:rPr>
        <w:t>3.2.4拒绝有关部门检查或者不如实反映情况、提供材料的；</w:t>
      </w:r>
    </w:p>
    <w:p>
      <w:pPr>
        <w:ind w:firstLine="480" w:firstLineChars="200"/>
      </w:pPr>
      <w:r>
        <w:rPr>
          <w:rFonts w:hint="eastAsia"/>
        </w:rPr>
        <w:t>3.2.5因其备案资质被取消或被行业主管部门责令停业的；</w:t>
      </w:r>
    </w:p>
    <w:p>
      <w:pPr>
        <w:ind w:firstLine="480" w:firstLineChars="200"/>
      </w:pPr>
      <w:r>
        <w:rPr>
          <w:rFonts w:hint="eastAsia"/>
        </w:rPr>
        <w:t>3.2.6考核检查发现街道服务不达标，被市区卫生行政部门通报批评二次以上的；或在街道服务区内爆发法定甲、乙类传染病流行，被“一票否决”终止合同的；</w:t>
      </w:r>
    </w:p>
    <w:p>
      <w:pPr>
        <w:ind w:firstLine="480" w:firstLineChars="200"/>
      </w:pPr>
      <w:r>
        <w:rPr>
          <w:rFonts w:hint="eastAsia"/>
        </w:rPr>
        <w:t>3.2.7经深圳市、区卫健委专项检查，街道办日常检查和第三方监测数据，累计扣分高于40分时，采购方根据合同要求对中标方进行复核，复核不通过的；</w:t>
      </w:r>
    </w:p>
    <w:p>
      <w:pPr>
        <w:ind w:firstLine="480" w:firstLineChars="200"/>
      </w:pPr>
      <w:r>
        <w:rPr>
          <w:rFonts w:hint="eastAsia"/>
        </w:rPr>
        <w:t>3.2.8如采购方或区级部门要求整改的，中标方无故不配合；</w:t>
      </w:r>
    </w:p>
    <w:p>
      <w:pPr>
        <w:ind w:firstLine="480" w:firstLineChars="200"/>
      </w:pPr>
      <w:r>
        <w:rPr>
          <w:rFonts w:hint="eastAsia"/>
        </w:rPr>
        <w:t>3.2.9无合理原因，不按照采购方要求开展临时任务的；</w:t>
      </w:r>
    </w:p>
    <w:p>
      <w:pPr>
        <w:ind w:firstLine="480" w:firstLineChars="200"/>
      </w:pPr>
      <w:r>
        <w:rPr>
          <w:rFonts w:hint="eastAsia"/>
        </w:rPr>
        <w:t>3.2.10发生重大生产生产事故的；</w:t>
      </w:r>
    </w:p>
    <w:p>
      <w:pPr>
        <w:ind w:firstLine="480" w:firstLineChars="200"/>
      </w:pPr>
      <w:r>
        <w:rPr>
          <w:rFonts w:hint="eastAsia"/>
        </w:rPr>
        <w:t>3.2.11采购相关法律法规规定的其他情形。</w:t>
      </w:r>
    </w:p>
    <w:p>
      <w:pPr>
        <w:ind w:firstLine="480" w:firstLineChars="200"/>
      </w:pPr>
      <w:r>
        <w:rPr>
          <w:rFonts w:hint="eastAsia"/>
        </w:rPr>
        <w:t>3.3、中标方不履行义务以及因中标方的原因导致所签订合同不能履行或终止的，中标方应向采购方支付相当于签订合同总价款的10%的违约金。</w:t>
      </w:r>
    </w:p>
    <w:p>
      <w:pPr>
        <w:ind w:firstLine="480" w:firstLineChars="200"/>
      </w:pPr>
      <w:r>
        <w:rPr>
          <w:rFonts w:hint="eastAsia"/>
        </w:rPr>
        <w:t>3.4、中标方未按照投标文件承诺配备人员和设备的（包括数量和资质等），应按签订合同总价款的10%采购方支付违约金，5天内不能补齐相关人员和设备或再次发现上述情况的，采购方有权向区财政主管部门申请同意后解除合同，而不承担任何责任和费用。</w:t>
      </w:r>
    </w:p>
    <w:p>
      <w:pPr>
        <w:ind w:firstLine="480" w:firstLineChars="200"/>
      </w:pPr>
      <w:r>
        <w:rPr>
          <w:rFonts w:hint="eastAsia"/>
        </w:rPr>
        <w:t>3.5、中标方未能按照安全生产要求进行消杀防治作业的，一切责任和损失由中标方承担，并应按合同总价款的10%向采购方支付违约金。</w:t>
      </w:r>
    </w:p>
    <w:p>
      <w:pPr>
        <w:ind w:firstLine="480" w:firstLineChars="200"/>
      </w:pPr>
      <w:r>
        <w:rPr>
          <w:rFonts w:hint="eastAsia"/>
        </w:rPr>
        <w:t>3.6、中标方未能履行合同义务或义务履行不全面的其他事项，每发生一次，应按合同总价款的10%向采购方支付违约金，合同期内累计发生3次，采购方有权向区财政主管部门申请同意后解除合同，而不承担任何责任和费用。</w:t>
      </w:r>
    </w:p>
    <w:p>
      <w:pPr>
        <w:ind w:firstLine="480" w:firstLineChars="200"/>
      </w:pPr>
      <w:r>
        <w:rPr>
          <w:rFonts w:hint="eastAsia"/>
        </w:rPr>
        <w:t>3.7、采购方负责对中标方提供的服务进行考核和履约评价，采用项目跟单反馈方式严格考核中标方履约情况，并将其作为考核的重要依据。每个项目由中标方向区财政局反馈中标方的履约情况。</w:t>
      </w:r>
    </w:p>
    <w:p>
      <w:pPr>
        <w:ind w:firstLine="480" w:firstLineChars="200"/>
      </w:pPr>
      <w:r>
        <w:rPr>
          <w:rFonts w:hint="eastAsia"/>
        </w:rPr>
        <w:t>3.8、中标方须在合同签订之日起15天内按合同要求开展人员培训、配备作业器械及作业服务交接工作，并在合同终止前做好作业服务移交工作。</w:t>
      </w:r>
    </w:p>
    <w:p>
      <w:pPr>
        <w:ind w:firstLine="480" w:firstLineChars="200"/>
      </w:pPr>
      <w:r>
        <w:rPr>
          <w:rFonts w:hint="eastAsia"/>
        </w:rPr>
        <w:t>3.9、中标方应在坪山区设立项目管理人员办公场所及药品器械仓库，有单独的鼠药仓库，药品器械仓库能满足本项目使用要求且符合消防规定、有排气设施。中标方项目部须在中标通知书发出之日起15个自然日内设立运作，相关费用列入投标报价（管理费用项目支出）由中标方承担。</w:t>
      </w:r>
    </w:p>
    <w:p>
      <w:pPr>
        <w:ind w:firstLine="480" w:firstLineChars="200"/>
      </w:pPr>
      <w:r>
        <w:rPr>
          <w:rFonts w:hint="eastAsia"/>
        </w:rPr>
        <w:t>3.10、中标后，采购方将对中标方进行资格复核，中标方在规定时间内向采购方提供本项目相关后审资料（包括人员名单、车辆器械清单及相关证明材料），不符合要求或未提供的，取消中标资格。</w:t>
      </w:r>
    </w:p>
    <w:p>
      <w:pPr>
        <w:ind w:firstLine="480" w:firstLineChars="200"/>
      </w:pPr>
      <w:r>
        <w:rPr>
          <w:rFonts w:hint="eastAsia"/>
        </w:rPr>
        <w:t>4.特别约定</w:t>
      </w:r>
    </w:p>
    <w:p>
      <w:pPr>
        <w:ind w:firstLine="480" w:firstLineChars="200"/>
      </w:pPr>
      <w:r>
        <w:rPr>
          <w:rFonts w:hint="eastAsia"/>
        </w:rPr>
        <w:t>4.1中标方保证：自己及自己的工作人员、合作单位均会遵守有关保密的法律法规和行业规定，并对采购方提供的资料负有保密义务。未经采购方同意，不得将因在本合同履约期间及前后所获得的政府、公民个人等各种信息和资料提供给其他单位和个人。如发生以上情况，采购方有权索赔直至解除本合同。</w:t>
      </w:r>
    </w:p>
    <w:p>
      <w:pPr>
        <w:ind w:firstLine="480" w:firstLineChars="200"/>
      </w:pPr>
      <w:r>
        <w:rPr>
          <w:rFonts w:hint="eastAsia"/>
        </w:rPr>
        <w:t>4.2、采购方基于维护公共利益需要或维护法定权益需要，有权单方变更、终止本合同。</w:t>
      </w:r>
    </w:p>
    <w:p>
      <w:pPr>
        <w:ind w:firstLine="480" w:firstLineChars="200"/>
      </w:pPr>
      <w:r>
        <w:rPr>
          <w:rFonts w:hint="eastAsia"/>
        </w:rPr>
        <w:t>4.3、因中标方履约能力大幅度降低或丧失，致使采购方认为中标方已无能力继续正常履行本合同的，采购方有权单方解除合同。</w:t>
      </w:r>
    </w:p>
    <w:p>
      <w:pPr>
        <w:ind w:firstLine="480" w:firstLineChars="200"/>
      </w:pPr>
      <w:r>
        <w:rPr>
          <w:rFonts w:hint="eastAsia"/>
        </w:rPr>
        <w:t>4.4、在履行合同过程中，采购方发现中标方不具备或丧失履行合同的相关资质或存在其他不符合承接本合同标的之主体应具备的条件的，采购方有权单方解除合同。</w:t>
      </w:r>
    </w:p>
    <w:p>
      <w:pPr>
        <w:ind w:firstLine="480" w:firstLineChars="200"/>
      </w:pPr>
      <w:r>
        <w:rPr>
          <w:rFonts w:hint="eastAsia"/>
        </w:rPr>
        <w:t>4.5、采购方基于法律规定或本合同约定行使合同变更权或合同解除权的，由此给中标方造成的损失，采购方不承担任何赔偿或补偿责任；因中标方过错导致采购方行使合同变更权或合同解除权的，由此致采购方的损失，中标方应承担全部赔偿责任。</w:t>
      </w:r>
    </w:p>
    <w:p>
      <w:pPr>
        <w:ind w:firstLine="480" w:firstLineChars="200"/>
        <w:rPr>
          <w:b/>
          <w:bCs/>
        </w:rPr>
      </w:pPr>
      <w:r>
        <w:rPr>
          <w:rFonts w:hint="eastAsia"/>
          <w:b/>
          <w:bCs/>
        </w:rPr>
        <w:t>（三）项目人员、车辆、设备安排要求</w:t>
      </w:r>
    </w:p>
    <w:p>
      <w:pPr>
        <w:ind w:firstLine="480" w:firstLineChars="200"/>
      </w:pPr>
      <w:r>
        <w:rPr>
          <w:rFonts w:hint="eastAsia"/>
        </w:rPr>
        <w:t>1、人员要求：中标方必须健全本项目实施的组织机构，派出不少于12人组成专职实施团队，该团队人员均需常驻本项目办公地专门为本项目服务，人员列表及要求如下：</w:t>
      </w:r>
    </w:p>
    <w:tbl>
      <w:tblPr>
        <w:tblStyle w:val="TableNormal"/>
        <w:tblW w:w="838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5"/>
        <w:gridCol w:w="1275"/>
        <w:gridCol w:w="775"/>
        <w:gridCol w:w="5678"/>
      </w:tblGrid>
      <w:tr>
        <w:tblPrEx>
          <w:tblW w:w="838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655" w:type="dxa"/>
            <w:shd w:val="clear" w:color="auto" w:fill="auto"/>
            <w:vAlign w:val="center"/>
          </w:tcPr>
          <w:p>
            <w:pPr>
              <w:widowControl/>
              <w:jc w:val="center"/>
              <w:rPr>
                <w:b/>
                <w:bCs/>
              </w:rPr>
            </w:pPr>
            <w:r>
              <w:rPr>
                <w:rFonts w:hint="eastAsia"/>
                <w:b/>
                <w:bCs/>
              </w:rPr>
              <w:t>序号</w:t>
            </w:r>
          </w:p>
        </w:tc>
        <w:tc>
          <w:tcPr>
            <w:tcW w:w="1275" w:type="dxa"/>
            <w:shd w:val="clear" w:color="auto" w:fill="auto"/>
            <w:vAlign w:val="center"/>
          </w:tcPr>
          <w:p>
            <w:pPr>
              <w:widowControl/>
              <w:jc w:val="center"/>
              <w:rPr>
                <w:b/>
                <w:bCs/>
              </w:rPr>
            </w:pPr>
            <w:r>
              <w:rPr>
                <w:rFonts w:hint="eastAsia"/>
                <w:b/>
                <w:bCs/>
              </w:rPr>
              <w:t>人员类别</w:t>
            </w:r>
          </w:p>
        </w:tc>
        <w:tc>
          <w:tcPr>
            <w:tcW w:w="775" w:type="dxa"/>
            <w:shd w:val="clear" w:color="auto" w:fill="auto"/>
            <w:vAlign w:val="center"/>
          </w:tcPr>
          <w:p>
            <w:pPr>
              <w:widowControl/>
              <w:jc w:val="center"/>
              <w:rPr>
                <w:b/>
                <w:bCs/>
              </w:rPr>
            </w:pPr>
            <w:r>
              <w:rPr>
                <w:rFonts w:hint="eastAsia"/>
                <w:b/>
                <w:bCs/>
              </w:rPr>
              <w:t>人员数量</w:t>
            </w:r>
          </w:p>
        </w:tc>
        <w:tc>
          <w:tcPr>
            <w:tcW w:w="5678" w:type="dxa"/>
            <w:shd w:val="clear" w:color="auto" w:fill="auto"/>
            <w:vAlign w:val="center"/>
          </w:tcPr>
          <w:p>
            <w:pPr>
              <w:widowControl/>
              <w:jc w:val="center"/>
              <w:rPr>
                <w:b/>
                <w:bCs/>
              </w:rPr>
            </w:pPr>
            <w:r>
              <w:rPr>
                <w:rFonts w:hint="eastAsia"/>
                <w:b/>
                <w:bCs/>
              </w:rPr>
              <w:t>工作职责</w:t>
            </w:r>
          </w:p>
        </w:tc>
      </w:tr>
      <w:tr>
        <w:tblPrEx>
          <w:tblW w:w="8383" w:type="dxa"/>
          <w:tblInd w:w="0" w:type="dxa"/>
          <w:tblLayout w:type="fixed"/>
          <w:tblCellMar>
            <w:top w:w="0" w:type="dxa"/>
            <w:left w:w="108" w:type="dxa"/>
            <w:bottom w:w="0" w:type="dxa"/>
            <w:right w:w="108" w:type="dxa"/>
          </w:tblCellMar>
        </w:tblPrEx>
        <w:tc>
          <w:tcPr>
            <w:tcW w:w="655" w:type="dxa"/>
            <w:shd w:val="clear" w:color="auto" w:fill="auto"/>
            <w:vAlign w:val="center"/>
          </w:tcPr>
          <w:p>
            <w:pPr>
              <w:widowControl/>
              <w:jc w:val="center"/>
            </w:pPr>
            <w:r>
              <w:rPr>
                <w:rFonts w:hint="eastAsia"/>
              </w:rPr>
              <w:t>1.1</w:t>
            </w:r>
          </w:p>
        </w:tc>
        <w:tc>
          <w:tcPr>
            <w:tcW w:w="1275" w:type="dxa"/>
            <w:shd w:val="clear" w:color="auto" w:fill="auto"/>
            <w:vAlign w:val="center"/>
          </w:tcPr>
          <w:p>
            <w:pPr>
              <w:widowControl/>
              <w:jc w:val="center"/>
            </w:pPr>
            <w:r>
              <w:rPr>
                <w:rFonts w:hint="eastAsia"/>
              </w:rPr>
              <w:t>项目经理兼安全员</w:t>
            </w:r>
          </w:p>
        </w:tc>
        <w:tc>
          <w:tcPr>
            <w:tcW w:w="775" w:type="dxa"/>
            <w:shd w:val="clear" w:color="auto" w:fill="auto"/>
            <w:vAlign w:val="center"/>
          </w:tcPr>
          <w:p>
            <w:pPr>
              <w:widowControl/>
              <w:jc w:val="center"/>
              <w:rPr>
                <w:highlight w:val="none"/>
              </w:rPr>
            </w:pPr>
            <w:r>
              <w:rPr>
                <w:rFonts w:hint="eastAsia"/>
                <w:highlight w:val="none"/>
              </w:rPr>
              <w:t>1</w:t>
            </w:r>
          </w:p>
        </w:tc>
        <w:tc>
          <w:tcPr>
            <w:tcW w:w="5678" w:type="dxa"/>
            <w:shd w:val="clear" w:color="auto" w:fill="auto"/>
            <w:vAlign w:val="center"/>
          </w:tcPr>
          <w:p>
            <w:pPr>
              <w:widowControl/>
            </w:pPr>
            <w:bookmarkStart w:id="61" w:name="OLE_LINK14"/>
            <w:r>
              <w:rPr>
                <w:rFonts w:hint="eastAsia"/>
              </w:rPr>
              <w:t>1.负责该项目团队人员管理工作，落实、安排、调动人员，管理人员日常工作；负责为该项目的整体实施方案及应急预案等制定指导性运行方案，处理日常工作发现的问题，应急突发状况等，并整根据实际情况改项目实施方案；对团队人员或新入职人员进行有害生物防治入职培训和项目长期定期培训。</w:t>
            </w:r>
          </w:p>
          <w:p>
            <w:pPr>
              <w:widowControl/>
            </w:pPr>
            <w:r>
              <w:rPr>
                <w:rFonts w:hint="eastAsia"/>
              </w:rPr>
              <w:t>2.保障该项目在实施操作过程中及消杀后处理操作过程中的专业技术工作、安全工作；负责为该项目制定消杀管理方案；熟悉市容环境卫生要求及病媒生物防控技术。</w:t>
            </w:r>
          </w:p>
          <w:p>
            <w:pPr>
              <w:widowControl/>
            </w:pPr>
            <w:bookmarkEnd w:id="61"/>
            <w:r>
              <w:rPr>
                <w:rFonts w:hint="eastAsia"/>
              </w:rPr>
              <w:t>3.熟悉病媒生物防控技术、熟悉计算机系统硬件应用，并熟练操作计算机各种软件、负责该项目日常服务台账、图片处理、项目人员信息等资料的收集和整理。</w:t>
            </w:r>
          </w:p>
        </w:tc>
      </w:tr>
      <w:tr>
        <w:tblPrEx>
          <w:tblW w:w="8383" w:type="dxa"/>
          <w:tblInd w:w="0" w:type="dxa"/>
          <w:tblLayout w:type="fixed"/>
          <w:tblCellMar>
            <w:top w:w="0" w:type="dxa"/>
            <w:left w:w="108" w:type="dxa"/>
            <w:bottom w:w="0" w:type="dxa"/>
            <w:right w:w="108" w:type="dxa"/>
          </w:tblCellMar>
        </w:tblPrEx>
        <w:tc>
          <w:tcPr>
            <w:tcW w:w="655" w:type="dxa"/>
            <w:shd w:val="clear" w:color="auto" w:fill="auto"/>
            <w:vAlign w:val="center"/>
          </w:tcPr>
          <w:p>
            <w:pPr>
              <w:widowControl/>
              <w:jc w:val="center"/>
              <w:rPr>
                <w:rFonts w:hint="eastAsia"/>
              </w:rPr>
            </w:pPr>
            <w:r>
              <w:rPr>
                <w:rFonts w:hint="eastAsia"/>
              </w:rPr>
              <w:t>1.2</w:t>
            </w:r>
          </w:p>
        </w:tc>
        <w:tc>
          <w:tcPr>
            <w:tcW w:w="1275" w:type="dxa"/>
            <w:shd w:val="clear" w:color="auto" w:fill="auto"/>
            <w:vAlign w:val="center"/>
          </w:tcPr>
          <w:p>
            <w:pPr>
              <w:widowControl/>
              <w:jc w:val="center"/>
              <w:rPr>
                <w:rFonts w:hint="eastAsia"/>
              </w:rPr>
            </w:pPr>
            <w:r>
              <w:rPr>
                <w:rFonts w:ascii="宋体" w:hAnsi="宋体" w:hint="eastAsia"/>
                <w:b/>
                <w:bCs/>
                <w:szCs w:val="21"/>
              </w:rPr>
              <w:t>病媒生物防治主管</w:t>
            </w:r>
          </w:p>
        </w:tc>
        <w:tc>
          <w:tcPr>
            <w:tcW w:w="775" w:type="dxa"/>
            <w:shd w:val="clear" w:color="auto" w:fill="auto"/>
            <w:vAlign w:val="center"/>
          </w:tcPr>
          <w:p>
            <w:pPr>
              <w:widowControl/>
              <w:jc w:val="center"/>
              <w:rPr>
                <w:rFonts w:hint="eastAsia"/>
                <w:highlight w:val="none"/>
              </w:rPr>
            </w:pPr>
            <w:r>
              <w:rPr>
                <w:rFonts w:hint="eastAsia"/>
                <w:highlight w:val="none"/>
              </w:rPr>
              <w:t>1</w:t>
            </w:r>
          </w:p>
        </w:tc>
        <w:tc>
          <w:tcPr>
            <w:tcW w:w="5678" w:type="dxa"/>
            <w:shd w:val="clear" w:color="auto" w:fill="auto"/>
            <w:vAlign w:val="center"/>
          </w:tcPr>
          <w:p>
            <w:pPr>
              <w:widowControl/>
            </w:pPr>
            <w:r>
              <w:rPr>
                <w:rFonts w:hint="eastAsia"/>
              </w:rPr>
              <w:t>1.负责协助项目经理开展该项目团队人员管理工作，落实、安排、调动人员，管理人员日常工作；负责协助项目经理为该项目的整体实施方案及应急预案等制定指导性运行方案，处理日常工作发现的问题，应急突发状况等，并整根据实际情况改项目实施方案；协助项目经理对团队人员或新入职人员进行有害生物防治入职培训和项目长期定期培训。</w:t>
            </w:r>
          </w:p>
          <w:p>
            <w:pPr>
              <w:widowControl/>
              <w:rPr>
                <w:rFonts w:hint="eastAsia"/>
              </w:rPr>
            </w:pPr>
            <w:r>
              <w:rPr>
                <w:rFonts w:hint="eastAsia"/>
              </w:rPr>
              <w:t>2.保障该项目在实施操作过程中及消杀后处理操作过程中的专业技术工作、安全工作；负责为该项目制定消杀管理方案；熟悉市容环境卫生要求及病媒生物防控技术。</w:t>
            </w:r>
          </w:p>
        </w:tc>
      </w:tr>
      <w:tr>
        <w:tblPrEx>
          <w:tblW w:w="8383" w:type="dxa"/>
          <w:tblInd w:w="0" w:type="dxa"/>
          <w:tblLayout w:type="fixed"/>
          <w:tblCellMar>
            <w:top w:w="0" w:type="dxa"/>
            <w:left w:w="108" w:type="dxa"/>
            <w:bottom w:w="0" w:type="dxa"/>
            <w:right w:w="108" w:type="dxa"/>
          </w:tblCellMar>
        </w:tblPrEx>
        <w:tc>
          <w:tcPr>
            <w:tcW w:w="655" w:type="dxa"/>
            <w:shd w:val="clear" w:color="auto" w:fill="auto"/>
            <w:vAlign w:val="center"/>
          </w:tcPr>
          <w:p>
            <w:pPr>
              <w:widowControl/>
              <w:jc w:val="center"/>
              <w:rPr>
                <w:rFonts w:ascii="宋体" w:eastAsia="宋体" w:hAnsi="宋体" w:cs="宋体" w:hint="eastAsia"/>
                <w:sz w:val="24"/>
                <w:szCs w:val="24"/>
                <w:highlight w:val="none"/>
              </w:rPr>
            </w:pPr>
            <w:r>
              <w:rPr>
                <w:rFonts w:ascii="宋体" w:eastAsia="宋体" w:hAnsi="宋体" w:cs="宋体" w:hint="eastAsia"/>
                <w:sz w:val="24"/>
                <w:szCs w:val="24"/>
                <w:highlight w:val="none"/>
              </w:rPr>
              <w:t>1.3</w:t>
            </w:r>
          </w:p>
        </w:tc>
        <w:tc>
          <w:tcPr>
            <w:tcW w:w="1275" w:type="dxa"/>
            <w:shd w:val="clear" w:color="auto" w:fill="auto"/>
            <w:vAlign w:val="center"/>
          </w:tcPr>
          <w:p>
            <w:pPr>
              <w:widowControl/>
              <w:rPr>
                <w:rFonts w:ascii="宋体" w:eastAsia="宋体" w:hAnsi="宋体" w:cs="宋体" w:hint="eastAsia"/>
                <w:sz w:val="24"/>
                <w:szCs w:val="24"/>
                <w:highlight w:val="none"/>
              </w:rPr>
            </w:pPr>
            <w:r>
              <w:rPr>
                <w:rFonts w:ascii="宋体" w:eastAsia="宋体" w:hAnsi="宋体" w:cs="宋体" w:hint="eastAsia"/>
                <w:sz w:val="24"/>
                <w:szCs w:val="24"/>
                <w:highlight w:val="none"/>
              </w:rPr>
              <w:t>病媒生物防制员</w:t>
            </w:r>
          </w:p>
        </w:tc>
        <w:tc>
          <w:tcPr>
            <w:tcW w:w="775" w:type="dxa"/>
            <w:shd w:val="clear" w:color="auto" w:fill="auto"/>
            <w:vAlign w:val="center"/>
          </w:tcPr>
          <w:p>
            <w:pPr>
              <w:widowControl/>
              <w:jc w:val="center"/>
              <w:rPr>
                <w:rFonts w:ascii="宋体" w:eastAsia="宋体" w:hAnsi="宋体" w:cs="宋体" w:hint="eastAsia"/>
                <w:sz w:val="24"/>
                <w:szCs w:val="24"/>
                <w:highlight w:val="none"/>
              </w:rPr>
            </w:pPr>
            <w:r>
              <w:rPr>
                <w:rFonts w:ascii="宋体" w:eastAsia="宋体" w:hAnsi="宋体" w:cs="宋体" w:hint="eastAsia"/>
                <w:sz w:val="24"/>
                <w:szCs w:val="24"/>
                <w:highlight w:val="none"/>
              </w:rPr>
              <w:t>11</w:t>
            </w:r>
          </w:p>
        </w:tc>
        <w:tc>
          <w:tcPr>
            <w:tcW w:w="5678" w:type="dxa"/>
            <w:shd w:val="clear" w:color="auto" w:fill="auto"/>
            <w:vAlign w:val="center"/>
          </w:tcPr>
          <w:p>
            <w:pPr>
              <w:widowControl/>
              <w:numPr>
                <w:ilvl w:val="0"/>
                <w:numId w:val="2"/>
              </w:numPr>
              <w:rPr>
                <w:rFonts w:ascii="宋体" w:eastAsia="宋体" w:hAnsi="宋体" w:cs="宋体" w:hint="eastAsia"/>
                <w:sz w:val="24"/>
                <w:szCs w:val="24"/>
                <w:highlight w:val="none"/>
              </w:rPr>
            </w:pPr>
            <w:bookmarkStart w:id="62" w:name="OLE_LINK13"/>
            <w:r>
              <w:rPr>
                <w:rFonts w:ascii="宋体" w:eastAsia="宋体" w:hAnsi="宋体" w:cs="宋体" w:hint="eastAsia"/>
                <w:sz w:val="24"/>
                <w:szCs w:val="24"/>
                <w:highlight w:val="none"/>
              </w:rPr>
              <w:t>熟悉病媒生物防控技术，完成日常巡查及病媒消杀工作，发现并解决巡查过程中发现的问题，懂得应急救援知识，能在消杀过程中预防消杀药品对消杀人员与周边群众的影响，并能解决消杀药品影响到人时紧急救援等突发性事故，或其他应急事件。</w:t>
            </w:r>
          </w:p>
          <w:p>
            <w:pPr>
              <w:widowControl/>
              <w:numPr>
                <w:ilvl w:val="0"/>
                <w:numId w:val="2"/>
              </w:numPr>
              <w:rPr>
                <w:rFonts w:ascii="宋体" w:eastAsia="宋体" w:hAnsi="宋体" w:cs="宋体" w:hint="eastAsia"/>
                <w:sz w:val="24"/>
                <w:szCs w:val="24"/>
                <w:highlight w:val="none"/>
              </w:rPr>
            </w:pPr>
            <w:bookmarkEnd w:id="62"/>
            <w:r>
              <w:rPr>
                <w:rFonts w:ascii="宋体" w:eastAsia="宋体" w:hAnsi="宋体" w:cs="宋体" w:hint="eastAsia"/>
                <w:sz w:val="24"/>
                <w:szCs w:val="24"/>
                <w:highlight w:val="none"/>
              </w:rPr>
              <w:t>其中至少2人（含）以上具备C1以上机动车驾驶证，能够驾驶本项目设备及车辆。</w:t>
            </w:r>
          </w:p>
        </w:tc>
      </w:tr>
      <w:tr>
        <w:tblPrEx>
          <w:tblW w:w="8383" w:type="dxa"/>
          <w:tblInd w:w="0" w:type="dxa"/>
          <w:tblLayout w:type="fixed"/>
          <w:tblCellMar>
            <w:top w:w="0" w:type="dxa"/>
            <w:left w:w="108" w:type="dxa"/>
            <w:bottom w:w="0" w:type="dxa"/>
            <w:right w:w="108" w:type="dxa"/>
          </w:tblCellMar>
        </w:tblPrEx>
        <w:tc>
          <w:tcPr>
            <w:tcW w:w="1930" w:type="dxa"/>
            <w:gridSpan w:val="2"/>
            <w:shd w:val="clear" w:color="auto" w:fill="auto"/>
            <w:vAlign w:val="center"/>
          </w:tcPr>
          <w:p>
            <w:pPr>
              <w:widowControl/>
              <w:jc w:val="center"/>
              <w:rPr>
                <w:rFonts w:ascii="宋体" w:eastAsia="宋体" w:hAnsi="宋体" w:cs="宋体" w:hint="eastAsia"/>
                <w:sz w:val="24"/>
                <w:szCs w:val="24"/>
                <w:highlight w:val="none"/>
              </w:rPr>
            </w:pPr>
            <w:r>
              <w:rPr>
                <w:rFonts w:ascii="宋体" w:eastAsia="宋体" w:hAnsi="宋体" w:cs="宋体" w:hint="eastAsia"/>
                <w:sz w:val="24"/>
                <w:szCs w:val="24"/>
                <w:highlight w:val="none"/>
              </w:rPr>
              <w:t>合计</w:t>
            </w:r>
          </w:p>
        </w:tc>
        <w:tc>
          <w:tcPr>
            <w:tcW w:w="775" w:type="dxa"/>
            <w:shd w:val="clear" w:color="auto" w:fill="auto"/>
            <w:vAlign w:val="center"/>
          </w:tcPr>
          <w:p>
            <w:pPr>
              <w:widowControl/>
              <w:jc w:val="center"/>
              <w:rPr>
                <w:rFonts w:ascii="宋体" w:eastAsia="宋体" w:hAnsi="宋体" w:cs="宋体" w:hint="eastAsia"/>
                <w:sz w:val="24"/>
                <w:szCs w:val="24"/>
                <w:highlight w:val="none"/>
              </w:rPr>
            </w:pPr>
            <w:r>
              <w:rPr>
                <w:rFonts w:ascii="宋体" w:eastAsia="宋体" w:hAnsi="宋体" w:cs="宋体" w:hint="eastAsia"/>
                <w:sz w:val="24"/>
                <w:szCs w:val="24"/>
                <w:highlight w:val="none"/>
              </w:rPr>
              <w:t>13</w:t>
            </w:r>
          </w:p>
        </w:tc>
        <w:tc>
          <w:tcPr>
            <w:tcW w:w="5678" w:type="dxa"/>
            <w:shd w:val="clear" w:color="auto" w:fill="auto"/>
            <w:vAlign w:val="center"/>
          </w:tcPr>
          <w:p>
            <w:pPr>
              <w:widowControl/>
              <w:rPr>
                <w:rFonts w:ascii="宋体" w:eastAsia="宋体" w:hAnsi="宋体" w:cs="宋体" w:hint="eastAsia"/>
                <w:sz w:val="24"/>
                <w:szCs w:val="24"/>
                <w:highlight w:val="none"/>
              </w:rPr>
            </w:pPr>
          </w:p>
        </w:tc>
      </w:tr>
    </w:tbl>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4</w:t>
      </w:r>
      <w:r>
        <w:rPr>
          <w:rFonts w:ascii="宋体" w:eastAsia="宋体" w:hAnsi="宋体" w:cs="宋体" w:hint="eastAsia"/>
          <w:sz w:val="24"/>
          <w:szCs w:val="24"/>
          <w:highlight w:val="none"/>
        </w:rPr>
        <w:t>作业人员必须持证上岗，中标方须保持作业人员岗位稳定（人员流动率低于20%）。</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5</w:t>
      </w:r>
      <w:r>
        <w:rPr>
          <w:rFonts w:ascii="宋体" w:eastAsia="宋体" w:hAnsi="宋体" w:cs="宋体" w:hint="eastAsia"/>
          <w:sz w:val="24"/>
          <w:szCs w:val="24"/>
          <w:highlight w:val="none"/>
        </w:rPr>
        <w:t>采购方定期对项目经理、作业人员等进行考核，中标方需更换不合格且经过1次补考仍不通过的人员。</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6</w:t>
      </w:r>
      <w:r>
        <w:rPr>
          <w:rFonts w:ascii="宋体" w:eastAsia="宋体" w:hAnsi="宋体" w:cs="宋体" w:hint="eastAsia"/>
          <w:sz w:val="24"/>
          <w:szCs w:val="24"/>
          <w:highlight w:val="none"/>
        </w:rPr>
        <w:t>中标方须承诺无法保证保质保量的完成作业任务时，应根据采购方要求无条件的增加作业人员配置。</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7</w:t>
      </w:r>
      <w:r>
        <w:rPr>
          <w:rFonts w:ascii="宋体" w:eastAsia="宋体" w:hAnsi="宋体" w:cs="宋体" w:hint="eastAsia"/>
          <w:sz w:val="24"/>
          <w:szCs w:val="24"/>
          <w:highlight w:val="none"/>
        </w:rPr>
        <w:t>中标方的作业人员不足以处理应急任务是，需无条件增加作业人员配合采购方处理应急任务。</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8</w:t>
      </w:r>
      <w:r>
        <w:rPr>
          <w:rFonts w:ascii="宋体" w:eastAsia="宋体" w:hAnsi="宋体" w:cs="宋体" w:hint="eastAsia"/>
          <w:sz w:val="24"/>
          <w:szCs w:val="24"/>
          <w:highlight w:val="none"/>
        </w:rPr>
        <w:t>作业人员素质要求：</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①责任心强；身体健康。</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②中标方须在合同签订之日起15天内完成作业人员的体检、入职手续（或与现有人员转接劳动关系）和上岗培训，并做好作业服务交接。作业人员必须经专业培训才能上岗，并不得兼第二职业。</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③采购方有权对中标方招聘的人员和培训情况进行考察，如发现有不符合工作要求的人员，有权要求中标方更换人员或重新培训。相关培训费用由中标方承担。</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④采购方不定期的对中标方人员数量、质量等进行履约考评考核，中标方需配合，并提供相关资料。</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w:t>
      </w:r>
      <w:r>
        <w:rPr>
          <w:rFonts w:ascii="宋体" w:eastAsia="宋体" w:hAnsi="宋体" w:cs="宋体" w:hint="eastAsia"/>
          <w:sz w:val="24"/>
          <w:szCs w:val="24"/>
          <w:highlight w:val="none"/>
          <w:lang w:val="en-US" w:eastAsia="zh-CN"/>
        </w:rPr>
        <w:t>9</w:t>
      </w:r>
      <w:r>
        <w:rPr>
          <w:rFonts w:ascii="宋体" w:eastAsia="宋体" w:hAnsi="宋体" w:cs="宋体" w:hint="eastAsia"/>
          <w:sz w:val="24"/>
          <w:szCs w:val="24"/>
          <w:highlight w:val="none"/>
        </w:rPr>
        <w:t>人员待遇：中标方应确实按投标承诺、投标报价等内容切实保障工人待遇等合法权益，严格执行《中国人民共和国民法典》中劳动工人待遇保障的有关规定，必须与员工签订书面劳动合同，合同内容应该包括工资执行标准有关条款，不得拖欠员工工资（含加班工资）。</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2、车辆要求：满足于本项目作业的作业车辆2台。</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3、设备要求：烟雾机3台、手动喷雾器13台、背负式动力喷雾机3台、手推式机动喷雾器1台、车载超低容量喷雾机1台、背负式超低容量喷雾器1台等设备。</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4、投入本项目使用的消杀车辆、设备要求性能良好，符合安全标准。服务期间有损坏的设备及时维修或更换到位。若因应急、迎检、公共活动、突发事故、设备维修、政策（标准）变化和其它不可抗力等原因导致原有设备不足以保质保量的完成作业任务时，应按实际需求，无条件的自行调配增加性能良好的作业设备，采购方不提供任何补贴。</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 xml:space="preserve">5、中标方需派专人巡查跟踪舆情监测、飞行检查、区级及以上政府部门通报、国家卫生城市复审、群众投诉等所有“四害”问题，并及时处理和维持正常病媒生物密度控制水平，报告处理结果。 </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6、突发疫情防控服务：对突发性病毒爆发感染等疫情发生，中标方需配合采购方施工疫情防控工作，对突发疫情区域进行消杀、消毒服务，协助阻断疫情传播途径。</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7、其他与本项目相关的工作。</w:t>
      </w:r>
    </w:p>
    <w:p>
      <w:pPr>
        <w:pStyle w:val="NormalIndent"/>
        <w:rPr>
          <w:rFonts w:ascii="宋体" w:eastAsia="宋体" w:hAnsi="宋体" w:cs="宋体" w:hint="eastAsia"/>
          <w:b/>
          <w:bCs/>
          <w:sz w:val="24"/>
          <w:szCs w:val="24"/>
          <w:highlight w:val="none"/>
        </w:rPr>
      </w:pPr>
      <w:r>
        <w:rPr>
          <w:rFonts w:ascii="宋体" w:eastAsia="宋体" w:hAnsi="宋体" w:cs="宋体" w:hint="eastAsia"/>
          <w:b/>
          <w:bCs/>
          <w:sz w:val="24"/>
          <w:szCs w:val="24"/>
          <w:highlight w:val="none"/>
        </w:rPr>
        <w:t>（四）项目的质量要求和安全要求</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1、质量要求：根据病媒生物密度控制水平（中华人民共和国国家标准）C级及以上。</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1.1、鼠类控制水平：防鼠设施合格率大于或等于95%；鼠迹阳性率小于或等于3%（城中村/餐饮区鼠迹阳性率小于或等于2%），外环境鼠迹路径指数小于等于3处/千米。</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1.2、蚊类控制水平：小型积水路径指数小于或等于0.5处/千米；大中型水体采样勺指数小于或等于3%，平均每阳性勺少于5只蚊虫幼虫和蛹；外环境停落指数小于1.0/人次（登革热高风险区外环境停落指数小于等于0.5/人次）。</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1.3、蝇类控制水平：室内有蝇房间阳性率小于等于6%（食品加工场所的室内有蝇房间阳性率小于等于3%），阳性间蝇密度小于或等于3只/间；室外蝇类孳生地阳性率小于或等于3%。</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1.4、蜚蠊类控制水平：蜚蠊成若虫侵害率小于或等于3%（下水道系统的蜚蠊成若虫侵害率小于或等于1%），平均每阳性间（处）成若虫数小蠊小于或等于10只，大蠊小于或等于5只；蜚蠊卵鞘查获率小于或等于2%，平均每阳性间（处）卵鞘数小于或等于4只；蟑迹查获率小于或等于5%。</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2、安全要求</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2.1、中标方应制定并执行全面、完善、针对各个岗位的安全生产责任制度、劳动保障体系、自查自纠和风险防控措施，做到安全第一、责任到人、严密防控，规范实施各项作业程序和作业方式，并指定项目经理以外的专职人员，负责安全生产工作，每日巡查作业人员劳动保护工具和作业机械装备、使用及保养情况，主动排除安全隐患、发现问题及时解决，出现事故全力控制，举一反三、严防死守，确保人身财产安全保障到位。</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2.2、卫生杀虫剂、杀鼠剂要求“三证”（农药登记证号、生产批准证号、执行标准号）齐全，严禁违规用药；科学合理用药，不同作业场所选用合适的药物，根据相关技术规范采用相匹配得器械作业，合理安排作业时间，须在项目方案中做详细说明，达到“安全、环保、有效”。</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2.3、中标方应注意各种作业安全、交通安全，由此引发的各类事故，中标方承担全部责任。</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2.4、作业前张贴公告；作业时设置安全警戒，有专职安全员阻拦无关人等靠近作业现场；作业人员穿戴反光衣；发生药物污染皮肤、衣物时有专人指导清洗处理。</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2.5、中标方编制安全生产管理年度工作计划，计划应包括办公场所、仓库、员工宿舍、药物器械使用安全管理及作业人员作业安全管理内容。</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2.6、中标方应根据安全生产法及病媒生物防制相关工作要求，加强安全生产管理，编制安全生产制度、每一年度安全教育培训计划及安全经费投入使用计划，改善安全生产条件，推进安全生产标准化建设，提高安全生产水平，确保安全生产。</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2.7、中标方应编制安全生产应急预案，并每半年开展一次演练。安全生产预案至少包含“四害”防制作业过程中发生突发事件应急预案及办公场所、仓库发生安全事故（如火灾）应急预案。</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2.8、做好安全教育培训记录（包括培训内容、签到表、照片、定期考核记录）、安全生产责任书、安全生产检查记录等形成台账，并于每月请款是交于采购方。</w:t>
      </w:r>
    </w:p>
    <w:p>
      <w:pPr>
        <w:pStyle w:val="NormalIndent"/>
        <w:rPr>
          <w:rFonts w:ascii="宋体" w:eastAsia="宋体" w:hAnsi="宋体" w:cs="宋体" w:hint="eastAsia"/>
          <w:b/>
          <w:bCs/>
          <w:sz w:val="24"/>
          <w:szCs w:val="24"/>
          <w:highlight w:val="none"/>
        </w:rPr>
      </w:pPr>
      <w:r>
        <w:rPr>
          <w:rFonts w:ascii="宋体" w:eastAsia="宋体" w:hAnsi="宋体" w:cs="宋体" w:hint="eastAsia"/>
          <w:b/>
          <w:bCs/>
          <w:sz w:val="24"/>
          <w:szCs w:val="24"/>
          <w:highlight w:val="none"/>
        </w:rPr>
        <w:t>（五）技术培训等要求</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1、中标方全体员工必须每月接受不少于一次集中安全生产培训，填写教育培训记录，并定期对教育培训效果进行考核。</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2、中标方需自行组织每半年自行进行一次应急演练，相关记录报采购方。</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3、中标方需自行组织员工对采购方或深圳市、区卫健委提出整改意见要求的作业培训，改善该项目的服务效力和质量。</w:t>
      </w:r>
    </w:p>
    <w:p>
      <w:pPr>
        <w:pStyle w:val="NormalIndent"/>
        <w:rPr>
          <w:rFonts w:ascii="宋体" w:eastAsia="宋体" w:hAnsi="宋体" w:cs="宋体" w:hint="eastAsia"/>
          <w:b/>
          <w:bCs/>
          <w:sz w:val="24"/>
          <w:szCs w:val="24"/>
          <w:highlight w:val="none"/>
        </w:rPr>
      </w:pPr>
      <w:r>
        <w:rPr>
          <w:rFonts w:ascii="宋体" w:eastAsia="宋体" w:hAnsi="宋体" w:cs="宋体" w:hint="eastAsia"/>
          <w:b/>
          <w:bCs/>
          <w:sz w:val="24"/>
          <w:szCs w:val="24"/>
          <w:highlight w:val="none"/>
        </w:rPr>
        <w:t>（六）考核要求</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1、考核依据:本项目根据《马峦街道病媒生物四害消杀项目考核细则》进行考核。该考核评分表并非固定模式，可根据以下方式调整：</w:t>
      </w:r>
    </w:p>
    <w:p>
      <w:pPr>
        <w:pStyle w:val="NormalIndent"/>
        <w:rPr>
          <w:rFonts w:ascii="宋体" w:eastAsia="宋体" w:hAnsi="宋体" w:cs="宋体" w:hint="eastAsia"/>
          <w:sz w:val="24"/>
          <w:szCs w:val="24"/>
          <w:highlight w:val="none"/>
        </w:rPr>
      </w:pPr>
      <w:r>
        <w:rPr>
          <w:rFonts w:ascii="宋体" w:eastAsia="宋体" w:hAnsi="宋体" w:cs="宋体" w:hint="eastAsia"/>
          <w:sz w:val="24"/>
          <w:szCs w:val="24"/>
          <w:highlight w:val="none"/>
        </w:rPr>
        <w:t>1.1采购方根据法律、法规、规章和其他规范性文件的规定或政策变化或根据实际工作需要拟定相关的考核办法或考核方案时，按拟定的考核办法或考核方案对中标方进行考核，中标方应无条件接受新的考核评分标准。</w:t>
      </w:r>
    </w:p>
    <w:p>
      <w:pPr>
        <w:pStyle w:val="NormalIndent"/>
      </w:pPr>
      <w:r>
        <w:rPr>
          <w:rFonts w:ascii="宋体" w:eastAsia="宋体" w:hAnsi="宋体" w:cs="宋体" w:hint="eastAsia"/>
          <w:sz w:val="24"/>
          <w:szCs w:val="24"/>
          <w:highlight w:val="none"/>
        </w:rPr>
        <w:t>1.2若深圳市、区卫健委发布病媒生物防治的新标准、新要求、新的防制实施方案，或者采购方在项目实施过程中发现对项目服务内容和要求需要整改，且有必要将整改内容进行考核，可更改《马峦街道病媒生物四害消杀项目考核细则》的评分内容。当评分内容有调整变动时，以调整后的考核评分表作为该项目的考核依据执行该项目的考核。</w:t>
      </w:r>
    </w:p>
    <w:p>
      <w:r>
        <w:br w:type="page"/>
      </w: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int="eastAsia"/>
          <w:szCs w:val="24"/>
        </w:rPr>
        <w:t>★六、商务要求</w:t>
      </w:r>
    </w:p>
    <w:p>
      <w:pPr>
        <w:ind w:firstLine="480" w:firstLineChars="200"/>
        <w:rPr>
          <w:b/>
          <w:bCs/>
        </w:rPr>
      </w:pPr>
      <w:r>
        <w:rPr>
          <w:rFonts w:hint="eastAsia"/>
          <w:b/>
          <w:bCs/>
        </w:rPr>
        <w:t>（一）服务的时间/周期、服务地点：</w:t>
      </w:r>
    </w:p>
    <w:p>
      <w:pPr>
        <w:ind w:firstLine="480" w:firstLineChars="200"/>
      </w:pPr>
      <w:r>
        <w:rPr>
          <w:rFonts w:hint="eastAsia"/>
        </w:rPr>
        <w:t>1、服务周期：本项目服务期限为：壹年。本项目属于长期服务项目，长期服务政府采购合同履行期限最长不得超过三十六个月。如采购方对履约情况不满意，采购方不再续约。</w:t>
      </w:r>
    </w:p>
    <w:p>
      <w:pPr>
        <w:ind w:firstLine="480" w:firstLineChars="200"/>
      </w:pPr>
      <w:r>
        <w:rPr>
          <w:rFonts w:hint="eastAsia"/>
        </w:rPr>
        <w:t>2、服务地点：深圳市坪山区马峦街道办事处辖区内</w:t>
      </w:r>
    </w:p>
    <w:p>
      <w:pPr>
        <w:ind w:firstLine="480" w:firstLineChars="200"/>
      </w:pPr>
      <w:r>
        <w:rPr>
          <w:rFonts w:hint="eastAsia"/>
        </w:rPr>
        <w:t>3、风险提示：</w:t>
      </w:r>
    </w:p>
    <w:p>
      <w:pPr>
        <w:ind w:firstLine="480" w:firstLineChars="200"/>
      </w:pPr>
      <w:r>
        <w:rPr>
          <w:rFonts w:hint="eastAsia"/>
        </w:rPr>
        <w:t>3.1、在合同期内，如因财政预算等因素导致本项目无法继续履行的，中标方对此理解并由同意变更、终止或解除合同，且不得追究采购方的责任。</w:t>
      </w:r>
    </w:p>
    <w:p>
      <w:pPr>
        <w:ind w:firstLine="480" w:firstLineChars="200"/>
      </w:pPr>
      <w:r>
        <w:rPr>
          <w:rFonts w:hint="eastAsia"/>
        </w:rPr>
        <w:t>3.2、在合同期内，如因国家建设需要征用或由于政府交接或政策变化需求变更等原因，需要大幅减少中标方管养地段或提前结束合同期的，中标方须无条件接受，且维护费用将按照中标方实际完成并经采购方验收合格的实际结算数据进行服务费用的结算（按照中标报价相应减少合同费用），因此造成的全部损失，采购方不负赔偿或补偿责任，中标方对此理解并由同意变更、终止或解除合同，且不得追究采购方的责任。</w:t>
      </w:r>
    </w:p>
    <w:p>
      <w:pPr>
        <w:ind w:firstLine="480" w:firstLineChars="200"/>
        <w:rPr>
          <w:b/>
          <w:bCs/>
        </w:rPr>
      </w:pPr>
      <w:r>
        <w:rPr>
          <w:rFonts w:hint="eastAsia"/>
          <w:b/>
          <w:bCs/>
        </w:rPr>
        <w:t>（二）付款条件与付款方式</w:t>
      </w:r>
    </w:p>
    <w:p>
      <w:pPr>
        <w:ind w:firstLine="480" w:firstLineChars="200"/>
      </w:pPr>
      <w:r>
        <w:rPr>
          <w:rFonts w:hint="eastAsia"/>
        </w:rPr>
        <w:t>1、该项目按月结算，每月服务费＝合同总价款÷合同总月份数-每月应扣款额。</w:t>
      </w:r>
    </w:p>
    <w:p>
      <w:pPr>
        <w:ind w:firstLine="480" w:firstLineChars="200"/>
      </w:pPr>
      <w:r>
        <w:rPr>
          <w:rFonts w:hint="eastAsia"/>
        </w:rPr>
        <w:t>2、合同总价及每月服务费支付标准非固定不变价，如若发生增加或减少，按以下方式计算服务费：</w:t>
      </w:r>
    </w:p>
    <w:p>
      <w:pPr>
        <w:ind w:firstLine="480" w:firstLineChars="200"/>
      </w:pPr>
      <w:r>
        <w:rPr>
          <w:rFonts w:hint="eastAsia"/>
        </w:rPr>
        <w:t>2.1、本项目消杀面积发生减少时，服务费相应减少，当月服务费应减除面积减少的服务费，计算公式为：当月服务费=合同总价款÷合同总月份数-当月应扣款额-消杀减少面积量×中标单价÷12个月（或者当消杀面积减少且服务时间不足1个月时，12个月替换为365天×天数）；</w:t>
      </w:r>
    </w:p>
    <w:p>
      <w:pPr>
        <w:ind w:firstLine="480" w:firstLineChars="200"/>
      </w:pPr>
      <w:r>
        <w:rPr>
          <w:rFonts w:hint="eastAsia"/>
        </w:rPr>
        <w:t>2.2、本项目消杀面积发生增加时，但增加面积的比例在该项目总面积的10%（含）以内，当月费服务费不做增加调整，计算方式参照本条款第1点方式计算服务费。</w:t>
      </w:r>
    </w:p>
    <w:p>
      <w:pPr>
        <w:ind w:firstLine="480" w:firstLineChars="200"/>
      </w:pPr>
      <w:r>
        <w:rPr>
          <w:rFonts w:hint="eastAsia"/>
        </w:rPr>
        <w:t>2.3、本项目消杀面积发生增加时，且增加面积的比例在该项目总面积的10%以上，经采购方及坪山区财政局同意后予以增加服务费，增加后合同总价限定于本项目预算价内。确认增加消杀面积后，当月应增加的面积增加的服务费，计算公式为：当月服务费=合同总价款÷合同总月份数-当月应扣款额+消杀增加面积量×中标单价÷12个月（或者当消杀面积增加且服务时间不足1个月时，12个月替换为365天×天数）；</w:t>
      </w:r>
    </w:p>
    <w:p>
      <w:pPr>
        <w:ind w:firstLine="480" w:firstLineChars="200"/>
      </w:pPr>
      <w:r>
        <w:rPr>
          <w:rFonts w:hint="eastAsia"/>
        </w:rPr>
        <w:t>3、涉及扣除的服务费由采购方扣减当月的服务费支付或者开具非税缴款通知书通知，中标方通过非税缴款上缴财政非税收缴系统，具体罚款方式按深圳市坪山区财政局有关规定执行。</w:t>
      </w:r>
    </w:p>
    <w:p>
      <w:pPr>
        <w:ind w:firstLine="480" w:firstLineChars="200"/>
      </w:pPr>
      <w:r>
        <w:rPr>
          <w:rFonts w:hint="eastAsia"/>
        </w:rPr>
        <w:t>5、具体付款方式按深圳市坪山区财政局有关规定执行。</w:t>
      </w:r>
    </w:p>
    <w:p>
      <w:pPr>
        <w:ind w:firstLine="480" w:firstLineChars="200"/>
        <w:rPr>
          <w:b/>
          <w:bCs/>
        </w:rPr>
      </w:pPr>
      <w:r>
        <w:rPr>
          <w:rFonts w:hint="eastAsia"/>
          <w:b/>
          <w:bCs/>
        </w:rPr>
        <w:t>（三）合同签订</w:t>
      </w:r>
    </w:p>
    <w:p>
      <w:pPr>
        <w:ind w:firstLine="480" w:firstLineChars="200"/>
      </w:pPr>
      <w:r>
        <w:rPr>
          <w:rFonts w:hint="eastAsia"/>
        </w:rPr>
        <w:t>采购人根据采购文件的约定及投标（响应）文件的响应内容与中标（成交）供应商签订合同。</w:t>
      </w:r>
    </w:p>
    <w:p>
      <w:pPr>
        <w:ind w:firstLine="480" w:firstLineChars="200"/>
        <w:rPr>
          <w:b/>
          <w:bCs/>
        </w:rPr>
      </w:pPr>
      <w:r>
        <w:rPr>
          <w:rFonts w:hint="eastAsia"/>
          <w:b/>
          <w:bCs/>
        </w:rPr>
        <w:t>（四）履约保证金</w:t>
      </w:r>
    </w:p>
    <w:p>
      <w:pPr>
        <w:ind w:firstLine="480" w:firstLineChars="200"/>
      </w:pPr>
      <w:r>
        <w:rPr>
          <w:rFonts w:hint="eastAsia"/>
        </w:rPr>
        <w:t>1、中标方在合同签订后的一个月内，以保函等方式向采购人支付当前合同总金额的5%作为履约保证金。合同履约结束后，中标方按照合同约定的时间和质量要求完成工作交接并经采购方认可后，如为保函，采购方于本合同终止后70个工作日后通知中标方，中标方可自行解除该保函；如为其他方式，采购方在60个工作日内予以退回。如为保函，履约期内，中标方自行保管保函原件，每三个月提供复印件加盖公章，验原件审查，合同期结束后第70天，提供复印件加盖公章，验原件审查。</w:t>
      </w:r>
    </w:p>
    <w:p>
      <w:pPr>
        <w:ind w:firstLine="480" w:firstLineChars="200"/>
      </w:pPr>
      <w:r>
        <w:rPr>
          <w:rFonts w:hint="eastAsia"/>
        </w:rPr>
        <w:t>2、中标方在本项目合同履行过程中，发生本合同所述对履约保证金的使用情况时，采购方有权就招标文件及合同中履约保证金的约定情况对履约保证金进行没收或全额没收。同时，亦有权在发生人员伤亡、损害劳工权益等问题引发生群体事件或新闻事件等严重事故事件中单方面无条件解除合约。</w:t>
      </w:r>
    </w:p>
    <w:p>
      <w:pPr>
        <w:ind w:firstLine="480" w:firstLineChars="200"/>
      </w:pPr>
      <w:r>
        <w:rPr>
          <w:rFonts w:hint="eastAsia"/>
        </w:rPr>
        <w:t>3、如提供履约保函，在本项目合同的履约过程中，中标不能单独解除履约保证函，若中标方单独解除履约保证函，视为违约，中标方需赔付全额违约金于采购方。</w:t>
      </w:r>
    </w:p>
    <w:p>
      <w:pPr>
        <w:ind w:firstLine="480" w:firstLineChars="200"/>
      </w:pPr>
      <w:r>
        <w:rPr>
          <w:rFonts w:hint="eastAsia"/>
        </w:rPr>
        <w:t>4、中标方承诺并接受，如中标方在合同履行过程中存在前述履约风险情况，但相关危害未被采购方及时发现，则即使在本项目合同履行完毕，履约保证函已全额解除或履约保证金已退回的情况下，采购方仍然可就相关责任向中标方进行追索履约保证金，包括相关履约保证金以及履约保证金支付前述责任款项的不足部分，向中标方进行全额追偿。</w:t>
      </w:r>
    </w:p>
    <w:p>
      <w:pPr>
        <w:pStyle w:val="NormalIndent"/>
      </w:pPr>
    </w:p>
    <w:p>
      <w:pPr>
        <w:pStyle w:val="Heading3"/>
        <w:keepNext/>
        <w:keepLines/>
        <w:pageBreakBefore w:val="0"/>
        <w:widowControl/>
        <w:kinsoku/>
        <w:wordWrap/>
        <w:overflowPunct/>
        <w:topLinePunct w:val="0"/>
        <w:autoSpaceDE/>
        <w:autoSpaceDN/>
        <w:bidi w:val="0"/>
        <w:adjustRightInd w:val="0"/>
        <w:snapToGrid/>
        <w:spacing w:before="156" w:beforeLines="50" w:after="156" w:afterLines="50" w:line="377" w:lineRule="auto"/>
        <w:jc w:val="center"/>
        <w:textAlignment w:val="baseline"/>
        <w:outlineLvl w:val="2"/>
        <w:rPr>
          <w:szCs w:val="24"/>
        </w:rPr>
      </w:pPr>
      <w:r>
        <w:rPr>
          <w:rFonts w:hint="eastAsia"/>
          <w:szCs w:val="24"/>
        </w:rPr>
        <w:t>七、其他重要条款</w:t>
      </w:r>
    </w:p>
    <w:p>
      <w:pPr>
        <w:ind w:firstLine="48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78" w:beforeLines="25" w:after="78"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8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80" w:firstLineChars="200"/>
        <w:rPr>
          <w:bCs/>
          <w:szCs w:val="21"/>
        </w:rPr>
      </w:pPr>
      <w:r>
        <w:rPr>
          <w:rFonts w:hint="eastAsia"/>
          <w:bCs/>
          <w:szCs w:val="21"/>
        </w:rPr>
        <w:t>4.除政府采购合同继续履行将损害国家利益和社会公共利益外，双方当事人不得擅自变更、中止或者终止合同。</w:t>
      </w:r>
    </w:p>
    <w:p>
      <w:pPr>
        <w:ind w:firstLine="48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ascii="宋体" w:hAnsi="宋体"/>
          <w:szCs w:val="21"/>
        </w:rPr>
      </w:pPr>
    </w:p>
    <w:p>
      <w:pPr>
        <w:rPr>
          <w:rFonts w:hAnsi="宋体"/>
        </w:rPr>
      </w:pPr>
      <w:r>
        <w:rPr>
          <w:rFonts w:hAnsi="宋体"/>
        </w:rPr>
        <w:br w:type="page"/>
      </w:r>
    </w:p>
    <w:p>
      <w:pPr>
        <w:pStyle w:val="Heading2"/>
        <w:spacing w:line="360" w:lineRule="auto"/>
        <w:rPr>
          <w:kern w:val="2"/>
        </w:rPr>
      </w:pPr>
      <w:r>
        <w:rPr>
          <w:rFonts w:hint="eastAsia"/>
          <w:kern w:val="2"/>
        </w:rPr>
        <w:t>第四章 投标文件组成要求及格式</w:t>
      </w:r>
    </w:p>
    <w:p>
      <w:pPr>
        <w:spacing w:line="360" w:lineRule="auto"/>
        <w:rPr>
          <w:rFonts w:ascii="宋体" w:eastAsia="宋体" w:hAnsi="宋体"/>
          <w:b/>
          <w:bCs/>
          <w:szCs w:val="32"/>
        </w:rPr>
      </w:pPr>
      <w:r>
        <w:rPr>
          <w:rFonts w:ascii="宋体" w:eastAsia="宋体" w:hAnsi="宋体" w:hint="eastAsia"/>
          <w:b/>
          <w:bCs/>
          <w:szCs w:val="32"/>
        </w:rPr>
        <w:t>特别提醒：</w:t>
      </w:r>
    </w:p>
    <w:p>
      <w:pPr>
        <w:spacing w:line="360" w:lineRule="auto"/>
        <w:ind w:firstLine="480" w:firstLineChars="200"/>
        <w:rPr>
          <w:rFonts w:ascii="宋体" w:eastAsia="宋体" w:hAnsi="宋体"/>
        </w:rPr>
      </w:pPr>
      <w:r>
        <w:rPr>
          <w:rFonts w:ascii="宋体" w:eastAsia="宋体" w:hAnsi="宋体" w:hint="eastAsia"/>
        </w:rPr>
        <w:t>根据《深圳经济特区政府采购条例实施细则》：“第四十四条 招标机构应当在发出中标通知书之前，将中标结果通过政府采购指定网站进行公示，涉及国家秘密和商业秘密的内容除外。公示时间不少于三日，公示应当包括以下内容：</w:t>
      </w:r>
    </w:p>
    <w:p>
      <w:pPr>
        <w:spacing w:line="360" w:lineRule="auto"/>
        <w:ind w:firstLine="480" w:firstLineChars="200"/>
        <w:rPr>
          <w:rFonts w:ascii="宋体" w:eastAsia="宋体" w:hAnsi="宋体"/>
        </w:rPr>
      </w:pPr>
      <w:r>
        <w:rPr>
          <w:rFonts w:ascii="宋体" w:eastAsia="宋体" w:hAnsi="宋体" w:hint="eastAsia"/>
        </w:rPr>
        <w:t xml:space="preserve">（一）投标供应商名称、资格响应文件和报价； </w:t>
      </w:r>
    </w:p>
    <w:p>
      <w:pPr>
        <w:spacing w:line="360" w:lineRule="auto"/>
        <w:ind w:firstLine="480" w:firstLineChars="200"/>
        <w:rPr>
          <w:rFonts w:ascii="宋体" w:eastAsia="宋体" w:hAnsi="宋体"/>
        </w:rPr>
      </w:pPr>
      <w:r>
        <w:rPr>
          <w:rFonts w:ascii="宋体" w:eastAsia="宋体" w:hAnsi="宋体" w:hint="eastAsia"/>
        </w:rPr>
        <w:t xml:space="preserve">（二）项目评审专家名单以及候选中标供应商名单； </w:t>
      </w:r>
    </w:p>
    <w:p>
      <w:pPr>
        <w:spacing w:line="360" w:lineRule="auto"/>
        <w:ind w:firstLine="480" w:firstLineChars="200"/>
        <w:rPr>
          <w:rFonts w:ascii="宋体" w:eastAsia="宋体" w:hAnsi="宋体"/>
        </w:rPr>
      </w:pPr>
      <w:r>
        <w:rPr>
          <w:rFonts w:ascii="宋体" w:eastAsia="宋体" w:hAnsi="宋体" w:hint="eastAsia"/>
        </w:rPr>
        <w:t xml:space="preserve">（三）确定的中标供应商的名单； </w:t>
      </w:r>
    </w:p>
    <w:p>
      <w:pPr>
        <w:spacing w:line="360" w:lineRule="auto"/>
        <w:ind w:firstLine="480" w:firstLineChars="200"/>
        <w:rPr>
          <w:rFonts w:ascii="宋体" w:eastAsia="宋体" w:hAnsi="宋体"/>
        </w:rPr>
      </w:pPr>
      <w:r>
        <w:rPr>
          <w:rFonts w:ascii="宋体" w:eastAsia="宋体" w:hAnsi="宋体" w:hint="eastAsia"/>
        </w:rPr>
        <w:t>（四）法律、法规和规章规定的其他内容。”</w:t>
      </w:r>
    </w:p>
    <w:p>
      <w:pPr>
        <w:spacing w:line="360" w:lineRule="auto"/>
        <w:ind w:firstLine="480" w:firstLineChars="200"/>
        <w:rPr>
          <w:rFonts w:ascii="宋体" w:eastAsia="宋体" w:hAnsi="宋体"/>
        </w:rPr>
      </w:pPr>
      <w:r>
        <w:rPr>
          <w:rFonts w:ascii="宋体" w:eastAsia="宋体" w:hAnsi="宋体" w:hint="eastAsia"/>
        </w:rPr>
        <w:t>项目开标评审开始后，所有投标供应商的</w:t>
      </w:r>
      <w:r>
        <w:rPr>
          <w:rFonts w:ascii="宋体" w:eastAsia="宋体" w:hAnsi="宋体" w:hint="eastAsia"/>
          <w:b/>
        </w:rPr>
        <w:t>资格响应文件</w:t>
      </w:r>
      <w:r>
        <w:rPr>
          <w:rFonts w:ascii="宋体" w:eastAsia="宋体" w:hAnsi="宋体" w:hint="eastAsia"/>
        </w:rPr>
        <w:t>将随开标一览表向所有参与的投标供应商进行公开，详见</w:t>
      </w:r>
      <w:r>
        <w:rPr>
          <w:rFonts w:ascii="宋体" w:eastAsia="宋体" w:hAnsi="宋体" w:hint="eastAsia"/>
          <w:b/>
        </w:rPr>
        <w:t>投标文件（信息公开部分）</w:t>
      </w:r>
      <w:r>
        <w:rPr>
          <w:rFonts w:ascii="宋体" w:eastAsia="宋体" w:hAnsi="宋体" w:hint="eastAsia"/>
        </w:rPr>
        <w:t>。</w:t>
      </w:r>
    </w:p>
    <w:p>
      <w:pPr>
        <w:spacing w:line="360" w:lineRule="auto"/>
        <w:ind w:firstLine="480" w:firstLineChars="200"/>
        <w:rPr>
          <w:rFonts w:ascii="宋体" w:eastAsia="宋体" w:hAnsi="宋体"/>
        </w:rPr>
      </w:pPr>
    </w:p>
    <w:p>
      <w:pPr>
        <w:spacing w:line="360" w:lineRule="auto"/>
        <w:ind w:firstLine="480" w:firstLineChars="200"/>
        <w:rPr>
          <w:rFonts w:ascii="宋体" w:eastAsia="宋体" w:hAnsi="宋体"/>
        </w:rPr>
      </w:pPr>
      <w:r>
        <w:rPr>
          <w:rFonts w:ascii="宋体" w:eastAsia="宋体" w:hAnsi="宋体" w:hint="eastAsia"/>
        </w:rPr>
        <w:t>投标人在编辑投标文件时，在投标文件目录中属于本节点内容的必须在本节点中填写，</w:t>
      </w:r>
      <w:r>
        <w:rPr>
          <w:rFonts w:ascii="宋体" w:eastAsia="宋体" w:hAnsi="宋体" w:hint="eastAsia"/>
          <w:b/>
        </w:rPr>
        <w:t>如未在规定节点上传相应证明文件的，评审委员会有权对投标人的该项评审因素作相应扣分处理或按照招标文件规定作出相应投标无效处理。</w:t>
      </w:r>
      <w:r>
        <w:rPr>
          <w:rFonts w:ascii="宋体" w:eastAsia="宋体" w:hAnsi="宋体" w:hint="eastAsia"/>
        </w:rPr>
        <w:t>一切后果由投标人自行承担</w:t>
      </w:r>
      <w:r>
        <w:rPr>
          <w:rFonts w:ascii="宋体" w:eastAsia="宋体" w:hAnsi="宋体" w:hint="eastAsia"/>
          <w:szCs w:val="21"/>
        </w:rPr>
        <w:t>。</w:t>
      </w:r>
    </w:p>
    <w:p>
      <w:pPr>
        <w:spacing w:line="360" w:lineRule="auto"/>
        <w:ind w:firstLine="480" w:firstLineChars="200"/>
        <w:rPr>
          <w:rFonts w:ascii="宋体" w:eastAsia="宋体" w:hAnsi="宋体"/>
        </w:rPr>
      </w:pPr>
    </w:p>
    <w:p>
      <w:pPr>
        <w:spacing w:line="360" w:lineRule="auto"/>
        <w:rPr>
          <w:rFonts w:ascii="宋体" w:eastAsia="宋体" w:hAnsi="宋体"/>
        </w:rPr>
      </w:pPr>
      <w:r>
        <w:rPr>
          <w:rFonts w:ascii="宋体" w:eastAsia="宋体" w:hAnsi="宋体" w:hint="eastAsia"/>
        </w:rPr>
        <w:t>投标文件组成：</w:t>
      </w:r>
    </w:p>
    <w:p>
      <w:pPr>
        <w:spacing w:line="360" w:lineRule="auto"/>
        <w:rPr>
          <w:rFonts w:ascii="宋体" w:eastAsia="宋体" w:hAnsi="宋体"/>
        </w:rPr>
      </w:pPr>
      <w:r>
        <w:rPr>
          <w:rFonts w:ascii="宋体" w:eastAsia="宋体" w:hAnsi="宋体" w:hint="eastAsia"/>
        </w:rPr>
        <w:t>1.投标文件正文（信息公开部分），主要包括以下内容：</w:t>
      </w:r>
    </w:p>
    <w:p>
      <w:pPr>
        <w:spacing w:line="360" w:lineRule="auto"/>
        <w:ind w:left="821" w:firstLine="1620" w:leftChars="342" w:firstLineChars="675"/>
        <w:rPr>
          <w:rFonts w:ascii="宋体" w:eastAsia="宋体" w:hAnsi="宋体"/>
          <w:szCs w:val="21"/>
        </w:rPr>
      </w:pPr>
      <w:r>
        <w:rPr>
          <w:rFonts w:ascii="宋体" w:eastAsia="宋体" w:hAnsi="宋体" w:hint="eastAsia"/>
          <w:szCs w:val="21"/>
        </w:rPr>
        <w:t>（1）</w:t>
      </w:r>
      <w:bookmarkStart w:id="63" w:name="OLE_LINK4"/>
      <w:bookmarkStart w:id="64" w:name="_Hlk72070784"/>
      <w:r>
        <w:rPr>
          <w:rFonts w:ascii="宋体" w:eastAsia="宋体" w:hAnsi="宋体" w:hint="eastAsia"/>
          <w:szCs w:val="21"/>
        </w:rPr>
        <w:t>投标函</w:t>
      </w:r>
      <w:bookmarkEnd w:id="63"/>
      <w:bookmarkEnd w:id="64"/>
    </w:p>
    <w:p>
      <w:pPr>
        <w:spacing w:line="360" w:lineRule="auto"/>
        <w:ind w:left="821" w:firstLine="1620" w:leftChars="342" w:firstLineChars="675"/>
        <w:rPr>
          <w:rFonts w:ascii="宋体" w:eastAsia="宋体" w:hAnsi="宋体"/>
          <w:szCs w:val="21"/>
        </w:rPr>
      </w:pPr>
      <w:r>
        <w:rPr>
          <w:rFonts w:ascii="宋体" w:eastAsia="宋体" w:hAnsi="宋体" w:hint="eastAsia"/>
          <w:szCs w:val="21"/>
        </w:rPr>
        <w:t>（2）</w:t>
      </w:r>
      <w:bookmarkStart w:id="65" w:name="_Hlk72062521"/>
      <w:r>
        <w:rPr>
          <w:rFonts w:ascii="宋体" w:eastAsia="宋体" w:hAnsi="宋体" w:hint="eastAsia"/>
          <w:szCs w:val="21"/>
        </w:rPr>
        <w:t>政府采购投标及履约承诺函</w:t>
      </w:r>
      <w:bookmarkEnd w:id="65"/>
    </w:p>
    <w:p>
      <w:pPr>
        <w:spacing w:line="360" w:lineRule="auto"/>
        <w:ind w:left="821" w:firstLine="1620" w:leftChars="342" w:firstLineChars="675"/>
        <w:rPr>
          <w:rFonts w:ascii="宋体" w:eastAsia="宋体" w:hAnsi="宋体"/>
          <w:szCs w:val="21"/>
        </w:rPr>
      </w:pPr>
      <w:r>
        <w:rPr>
          <w:rFonts w:ascii="宋体" w:eastAsia="宋体" w:hAnsi="宋体" w:hint="eastAsia"/>
          <w:szCs w:val="21"/>
        </w:rPr>
        <w:t>（3）投标人情况及资格证明文件</w:t>
      </w:r>
    </w:p>
    <w:p>
      <w:pPr>
        <w:spacing w:line="360" w:lineRule="auto"/>
        <w:ind w:left="821" w:firstLine="1620" w:leftChars="342" w:firstLineChars="675"/>
        <w:rPr>
          <w:rFonts w:ascii="宋体" w:eastAsia="宋体" w:hAnsi="宋体" w:hint="eastAsia"/>
          <w:szCs w:val="21"/>
        </w:rPr>
      </w:pPr>
      <w:bookmarkStart w:id="66" w:name="_Hlk72257201"/>
      <w:r>
        <w:rPr>
          <w:rFonts w:ascii="宋体" w:eastAsia="宋体" w:hAnsi="宋体" w:hint="eastAsia"/>
          <w:szCs w:val="21"/>
        </w:rPr>
        <w:t>（4）项目投标分项报价表</w:t>
      </w:r>
    </w:p>
    <w:p>
      <w:pPr>
        <w:spacing w:line="360" w:lineRule="auto"/>
        <w:ind w:left="821" w:firstLine="1620" w:leftChars="342" w:firstLineChars="675"/>
        <w:rPr>
          <w:rFonts w:ascii="宋体" w:hAnsi="宋体"/>
          <w:szCs w:val="21"/>
        </w:rPr>
      </w:pPr>
      <w:bookmarkEnd w:id="66"/>
      <w:r>
        <w:rPr>
          <w:rFonts w:ascii="宋体" w:eastAsia="宋体" w:hAnsi="宋体" w:hint="eastAsia"/>
          <w:szCs w:val="21"/>
        </w:rPr>
        <w:t>（</w:t>
      </w:r>
      <w:r>
        <w:rPr>
          <w:rFonts w:ascii="宋体" w:eastAsia="宋体" w:hAnsi="宋体" w:hint="eastAsia"/>
          <w:szCs w:val="21"/>
          <w:lang w:val="en-US" w:eastAsia="zh-CN"/>
        </w:rPr>
        <w:t>5</w:t>
      </w:r>
      <w:r>
        <w:rPr>
          <w:rFonts w:ascii="宋体" w:eastAsia="宋体" w:hAnsi="宋体" w:hint="eastAsia"/>
          <w:szCs w:val="21"/>
        </w:rPr>
        <w:t>）政府采购违法行为风险知悉确认书</w:t>
      </w:r>
    </w:p>
    <w:p>
      <w:pPr>
        <w:spacing w:line="360" w:lineRule="auto"/>
        <w:ind w:left="821" w:firstLine="1620" w:leftChars="342" w:firstLineChars="675"/>
        <w:rPr>
          <w:rFonts w:ascii="宋体" w:eastAsia="宋体" w:hAnsi="宋体"/>
          <w:szCs w:val="21"/>
        </w:rPr>
      </w:pPr>
    </w:p>
    <w:p>
      <w:pPr>
        <w:spacing w:line="360" w:lineRule="auto"/>
        <w:ind w:left="821" w:firstLine="1620" w:leftChars="342" w:firstLineChars="675"/>
        <w:rPr>
          <w:rFonts w:ascii="宋体" w:eastAsia="宋体" w:hAnsi="宋体"/>
          <w:szCs w:val="21"/>
        </w:rPr>
      </w:pPr>
    </w:p>
    <w:p>
      <w:pPr>
        <w:spacing w:line="360" w:lineRule="auto"/>
        <w:rPr>
          <w:rFonts w:ascii="宋体" w:eastAsia="宋体" w:hAnsi="宋体"/>
        </w:rPr>
      </w:pPr>
      <w:r>
        <w:rPr>
          <w:rFonts w:ascii="宋体" w:eastAsia="宋体" w:hAnsi="宋体" w:hint="eastAsia"/>
        </w:rPr>
        <w:t>2.投标文件附件（信息不公开部分）：主要包括以下内容：</w:t>
      </w:r>
    </w:p>
    <w:p>
      <w:pPr>
        <w:spacing w:line="360" w:lineRule="auto"/>
        <w:ind w:firstLine="2400" w:firstLineChars="1000"/>
        <w:rPr>
          <w:rFonts w:ascii="宋体" w:eastAsia="宋体" w:hAnsi="宋体"/>
          <w:szCs w:val="21"/>
        </w:rPr>
      </w:pPr>
      <w:r>
        <w:rPr>
          <w:rFonts w:ascii="宋体" w:eastAsia="宋体" w:hAnsi="宋体" w:hint="eastAsia"/>
          <w:szCs w:val="21"/>
        </w:rPr>
        <w:t>（1）供应商</w:t>
      </w:r>
      <w:r>
        <w:rPr>
          <w:rFonts w:ascii="宋体" w:eastAsia="宋体" w:hAnsi="宋体"/>
          <w:szCs w:val="21"/>
        </w:rPr>
        <w:t>基本情况</w:t>
      </w:r>
    </w:p>
    <w:p>
      <w:pPr>
        <w:spacing w:line="360" w:lineRule="auto"/>
        <w:ind w:firstLine="2400" w:firstLineChars="1000"/>
        <w:rPr>
          <w:rFonts w:ascii="宋体" w:eastAsia="宋体" w:hAnsi="宋体"/>
          <w:szCs w:val="21"/>
        </w:rPr>
      </w:pPr>
      <w:r>
        <w:rPr>
          <w:rFonts w:ascii="宋体" w:eastAsia="宋体" w:hAnsi="宋体" w:hint="eastAsia"/>
          <w:szCs w:val="21"/>
        </w:rPr>
        <w:t>（2）法定代表人（负责人）证明书</w:t>
      </w:r>
    </w:p>
    <w:p>
      <w:pPr>
        <w:spacing w:line="360" w:lineRule="auto"/>
        <w:ind w:left="821" w:firstLine="1620" w:leftChars="342" w:firstLineChars="675"/>
        <w:rPr>
          <w:rFonts w:ascii="宋体" w:eastAsia="宋体" w:hAnsi="宋体" w:hint="eastAsia"/>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）投标文件签署授权委托书</w:t>
      </w:r>
    </w:p>
    <w:p>
      <w:pPr>
        <w:spacing w:line="360" w:lineRule="auto"/>
        <w:ind w:left="821" w:firstLine="1620" w:leftChars="342" w:firstLineChars="675"/>
        <w:rPr>
          <w:rFonts w:ascii="宋体" w:eastAsia="宋体" w:hAnsi="宋体" w:hint="eastAsia"/>
          <w:szCs w:val="21"/>
        </w:rPr>
      </w:pPr>
      <w:r>
        <w:rPr>
          <w:rFonts w:ascii="宋体" w:eastAsia="宋体" w:hAnsi="宋体" w:hint="eastAsia"/>
          <w:szCs w:val="21"/>
        </w:rPr>
        <w:t>（</w:t>
      </w:r>
      <w:r>
        <w:rPr>
          <w:rFonts w:ascii="宋体" w:eastAsia="宋体" w:hAnsi="宋体" w:hint="eastAsia"/>
          <w:szCs w:val="21"/>
          <w:lang w:val="en-US" w:eastAsia="zh-CN"/>
        </w:rPr>
        <w:t>4</w:t>
      </w:r>
      <w:r>
        <w:rPr>
          <w:rFonts w:ascii="宋体" w:eastAsia="宋体" w:hAnsi="宋体" w:hint="eastAsia"/>
          <w:szCs w:val="21"/>
        </w:rPr>
        <w:t>）实质性条款响应情况表</w:t>
      </w:r>
    </w:p>
    <w:p>
      <w:pPr>
        <w:spacing w:line="360" w:lineRule="auto"/>
        <w:ind w:left="821" w:firstLine="1620" w:leftChars="342" w:firstLineChars="675"/>
        <w:rPr>
          <w:rFonts w:ascii="宋体" w:eastAsia="宋体" w:hAnsi="宋体"/>
          <w:szCs w:val="21"/>
        </w:rPr>
      </w:pPr>
      <w:r>
        <w:rPr>
          <w:rFonts w:ascii="宋体" w:eastAsia="宋体" w:hAnsi="宋体" w:hint="eastAsia"/>
          <w:szCs w:val="21"/>
        </w:rPr>
        <w:t>（</w:t>
      </w:r>
      <w:r>
        <w:rPr>
          <w:rFonts w:ascii="宋体" w:eastAsia="宋体" w:hAnsi="宋体" w:hint="eastAsia"/>
          <w:szCs w:val="21"/>
          <w:lang w:val="en-US" w:eastAsia="zh-CN"/>
        </w:rPr>
        <w:t>5</w:t>
      </w:r>
      <w:r>
        <w:rPr>
          <w:rFonts w:ascii="宋体" w:eastAsia="宋体" w:hAnsi="宋体" w:hint="eastAsia"/>
          <w:szCs w:val="21"/>
        </w:rPr>
        <w:t>）</w:t>
      </w:r>
      <w:r>
        <w:rPr>
          <w:rFonts w:ascii="宋体" w:eastAsia="宋体" w:hAnsi="宋体" w:cs="仿宋" w:hint="eastAsia"/>
          <w:bCs/>
        </w:rPr>
        <w:t>实施方案</w:t>
      </w:r>
    </w:p>
    <w:p>
      <w:pPr>
        <w:spacing w:line="360" w:lineRule="auto"/>
        <w:ind w:left="821" w:firstLine="1620" w:leftChars="342" w:firstLineChars="675"/>
        <w:rPr>
          <w:rFonts w:ascii="宋体" w:eastAsia="宋体" w:hAnsi="宋体" w:hint="default"/>
          <w:szCs w:val="21"/>
          <w:lang w:val="en-US" w:eastAsia="zh-CN"/>
        </w:rPr>
      </w:pPr>
      <w:r>
        <w:rPr>
          <w:rFonts w:ascii="宋体" w:eastAsia="宋体" w:hAnsi="宋体" w:hint="eastAsia"/>
          <w:szCs w:val="21"/>
        </w:rPr>
        <w:t>（</w:t>
      </w:r>
      <w:r>
        <w:rPr>
          <w:rFonts w:ascii="宋体" w:eastAsia="宋体" w:hAnsi="宋体" w:hint="eastAsia"/>
          <w:szCs w:val="21"/>
          <w:lang w:val="en-US" w:eastAsia="zh-CN"/>
        </w:rPr>
        <w:t>6</w:t>
      </w:r>
      <w:r>
        <w:rPr>
          <w:rFonts w:ascii="宋体" w:eastAsia="宋体" w:hAnsi="宋体" w:hint="eastAsia"/>
          <w:szCs w:val="21"/>
        </w:rPr>
        <w:t>）</w:t>
      </w:r>
      <w:r>
        <w:rPr>
          <w:rFonts w:ascii="宋体" w:eastAsia="宋体" w:hAnsi="宋体" w:cs="仿宋" w:hint="eastAsia"/>
        </w:rPr>
        <w:t>质量保障措施</w:t>
      </w:r>
      <w:r>
        <w:rPr>
          <w:rFonts w:ascii="宋体" w:eastAsia="宋体" w:hAnsi="宋体" w:cs="仿宋" w:hint="eastAsia"/>
          <w:lang w:val="en-US" w:eastAsia="zh-CN"/>
        </w:rPr>
        <w:t>及应急方案</w:t>
      </w:r>
    </w:p>
    <w:p>
      <w:pPr>
        <w:spacing w:line="360" w:lineRule="auto"/>
        <w:ind w:left="821" w:firstLine="1620" w:leftChars="342" w:firstLineChars="675"/>
        <w:rPr>
          <w:rFonts w:ascii="宋体" w:eastAsia="宋体" w:hAnsi="宋体" w:cs="宋体"/>
        </w:rPr>
      </w:pPr>
      <w:r>
        <w:rPr>
          <w:rFonts w:ascii="宋体" w:eastAsia="宋体" w:hAnsi="宋体" w:hint="eastAsia"/>
          <w:szCs w:val="21"/>
        </w:rPr>
        <w:t>（</w:t>
      </w:r>
      <w:r>
        <w:rPr>
          <w:rFonts w:ascii="宋体" w:eastAsia="宋体" w:hAnsi="宋体" w:hint="eastAsia"/>
          <w:szCs w:val="21"/>
          <w:lang w:val="en-US" w:eastAsia="zh-CN"/>
        </w:rPr>
        <w:t>7</w:t>
      </w:r>
      <w:r>
        <w:rPr>
          <w:rFonts w:ascii="宋体" w:eastAsia="宋体" w:hAnsi="宋体" w:hint="eastAsia"/>
          <w:szCs w:val="21"/>
        </w:rPr>
        <w:t>）</w:t>
      </w:r>
      <w:r>
        <w:rPr>
          <w:rFonts w:ascii="宋体" w:eastAsia="宋体" w:hAnsi="宋体" w:cs="仿宋" w:hint="eastAsia"/>
          <w:bCs/>
          <w:kern w:val="44"/>
        </w:rPr>
        <w:t>项目重点难点分析、应对措施及相关的合理化建议</w:t>
      </w:r>
    </w:p>
    <w:p>
      <w:pPr>
        <w:spacing w:line="360" w:lineRule="auto"/>
        <w:ind w:left="821" w:firstLine="1620" w:leftChars="342" w:firstLineChars="675"/>
        <w:rPr>
          <w:rFonts w:ascii="宋体" w:eastAsia="宋体" w:hAnsi="宋体"/>
          <w:szCs w:val="21"/>
        </w:rPr>
      </w:pPr>
      <w:r>
        <w:rPr>
          <w:rFonts w:ascii="宋体" w:eastAsia="宋体" w:hAnsi="宋体" w:hint="eastAsia"/>
          <w:szCs w:val="21"/>
        </w:rPr>
        <w:t>（</w:t>
      </w:r>
      <w:r>
        <w:rPr>
          <w:rFonts w:ascii="宋体" w:eastAsia="宋体" w:hAnsi="宋体" w:hint="eastAsia"/>
          <w:szCs w:val="21"/>
          <w:lang w:val="en-US" w:eastAsia="zh-CN"/>
        </w:rPr>
        <w:t>8</w:t>
      </w:r>
      <w:r>
        <w:rPr>
          <w:rFonts w:ascii="宋体" w:eastAsia="宋体" w:hAnsi="宋体" w:hint="eastAsia"/>
          <w:szCs w:val="21"/>
        </w:rPr>
        <w:t>）</w:t>
      </w:r>
      <w:r>
        <w:rPr>
          <w:rFonts w:ascii="宋体" w:hAnsi="宋体" w:cs="宋体" w:hint="eastAsia"/>
          <w:szCs w:val="21"/>
        </w:rPr>
        <w:t>拟安排本项目负责人情况（仅限1人）</w:t>
      </w:r>
    </w:p>
    <w:p>
      <w:pPr>
        <w:spacing w:line="360" w:lineRule="auto"/>
        <w:ind w:left="821" w:firstLine="1620" w:leftChars="342" w:firstLineChars="675"/>
        <w:rPr>
          <w:rFonts w:ascii="宋体" w:hAnsi="宋体" w:cs="宋体" w:hint="eastAsia"/>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w:t>
      </w:r>
      <w:r>
        <w:rPr>
          <w:rFonts w:ascii="宋体" w:hAnsi="宋体" w:cs="宋体" w:hint="eastAsia"/>
          <w:szCs w:val="21"/>
        </w:rPr>
        <w:t>项目团队人员（</w:t>
      </w:r>
      <w:r>
        <w:rPr>
          <w:rFonts w:ascii="宋体" w:hAnsi="宋体" w:cs="宋体" w:hint="eastAsia"/>
          <w:szCs w:val="21"/>
          <w:lang w:val="en-US" w:eastAsia="zh-CN"/>
        </w:rPr>
        <w:t>除</w:t>
      </w:r>
      <w:r>
        <w:rPr>
          <w:rFonts w:ascii="宋体" w:hAnsi="宋体" w:cs="宋体" w:hint="eastAsia"/>
          <w:szCs w:val="21"/>
        </w:rPr>
        <w:t>项目负责人</w:t>
      </w:r>
      <w:r>
        <w:rPr>
          <w:rFonts w:ascii="宋体" w:hAnsi="宋体" w:cs="宋体" w:hint="eastAsia"/>
          <w:szCs w:val="21"/>
          <w:lang w:val="en-US" w:eastAsia="zh-CN"/>
        </w:rPr>
        <w:t>以外</w:t>
      </w:r>
      <w:r>
        <w:rPr>
          <w:rFonts w:ascii="宋体" w:hAnsi="宋体" w:cs="宋体" w:hint="eastAsia"/>
          <w:szCs w:val="21"/>
        </w:rPr>
        <w:t>）</w:t>
      </w:r>
    </w:p>
    <w:p>
      <w:pPr>
        <w:spacing w:line="360" w:lineRule="auto"/>
        <w:ind w:left="821" w:firstLine="1620" w:leftChars="342" w:firstLineChars="675"/>
        <w:rPr>
          <w:rFonts w:ascii="宋体" w:hAnsi="宋体" w:cs="宋体" w:hint="eastAsia"/>
          <w:szCs w:val="21"/>
        </w:rPr>
      </w:pPr>
      <w:r>
        <w:rPr>
          <w:rFonts w:ascii="宋体" w:eastAsia="宋体" w:hAnsi="宋体" w:hint="eastAsia"/>
          <w:szCs w:val="21"/>
        </w:rPr>
        <w:t>（</w:t>
      </w:r>
      <w:r>
        <w:rPr>
          <w:rFonts w:ascii="宋体" w:eastAsia="宋体" w:hAnsi="宋体" w:hint="eastAsia"/>
          <w:szCs w:val="21"/>
          <w:lang w:val="en-US" w:eastAsia="zh-CN"/>
        </w:rPr>
        <w:t>10</w:t>
      </w:r>
      <w:r>
        <w:rPr>
          <w:rFonts w:ascii="宋体" w:eastAsia="宋体" w:hAnsi="宋体" w:hint="eastAsia"/>
          <w:szCs w:val="21"/>
        </w:rPr>
        <w:t>）</w:t>
      </w:r>
      <w:r>
        <w:rPr>
          <w:rFonts w:ascii="宋体" w:hAnsi="宋体" w:cs="宋体" w:hint="eastAsia"/>
          <w:szCs w:val="21"/>
        </w:rPr>
        <w:t>投标人荣誉情况</w:t>
      </w:r>
    </w:p>
    <w:p>
      <w:pPr>
        <w:spacing w:line="360" w:lineRule="auto"/>
        <w:ind w:left="821" w:firstLine="1620" w:leftChars="342" w:firstLineChars="675"/>
        <w:rPr>
          <w:rFonts w:ascii="宋体" w:hAnsi="宋体" w:cs="宋体" w:hint="eastAsia"/>
          <w:szCs w:val="21"/>
        </w:rPr>
      </w:pPr>
      <w:r>
        <w:rPr>
          <w:rFonts w:ascii="宋体" w:eastAsia="宋体" w:hAnsi="宋体" w:hint="eastAsia"/>
          <w:szCs w:val="21"/>
        </w:rPr>
        <w:t>（</w:t>
      </w:r>
      <w:r>
        <w:rPr>
          <w:rFonts w:ascii="宋体" w:eastAsia="宋体" w:hAnsi="宋体" w:hint="eastAsia"/>
          <w:szCs w:val="21"/>
          <w:lang w:val="en-US" w:eastAsia="zh-CN"/>
        </w:rPr>
        <w:t>11</w:t>
      </w:r>
      <w:r>
        <w:rPr>
          <w:rFonts w:ascii="宋体" w:eastAsia="宋体" w:hAnsi="宋体" w:hint="eastAsia"/>
          <w:szCs w:val="21"/>
        </w:rPr>
        <w:t>）</w:t>
      </w:r>
      <w:r>
        <w:rPr>
          <w:rFonts w:ascii="宋体" w:hAnsi="宋体" w:cs="宋体" w:hint="eastAsia"/>
          <w:szCs w:val="21"/>
        </w:rPr>
        <w:t>同类项目业绩情况</w:t>
      </w:r>
    </w:p>
    <w:p>
      <w:pPr>
        <w:spacing w:line="360" w:lineRule="auto"/>
        <w:ind w:left="821" w:firstLine="1620" w:leftChars="342" w:firstLineChars="675"/>
        <w:rPr>
          <w:rFonts w:ascii="宋体" w:hAnsi="宋体" w:eastAsiaTheme="minorEastAsia" w:cs="宋体" w:hint="eastAsia"/>
          <w:szCs w:val="21"/>
          <w:lang w:val="en-US" w:eastAsia="zh-CN"/>
        </w:rPr>
      </w:pPr>
      <w:r>
        <w:rPr>
          <w:rFonts w:ascii="宋体" w:eastAsia="宋体" w:hAnsi="宋体" w:hint="eastAsia"/>
          <w:szCs w:val="21"/>
        </w:rPr>
        <w:t>（</w:t>
      </w:r>
      <w:r>
        <w:rPr>
          <w:rFonts w:ascii="宋体" w:eastAsia="宋体" w:hAnsi="宋体" w:hint="eastAsia"/>
          <w:szCs w:val="21"/>
          <w:lang w:val="en-US" w:eastAsia="zh-CN"/>
        </w:rPr>
        <w:t>12</w:t>
      </w:r>
      <w:r>
        <w:rPr>
          <w:rFonts w:ascii="宋体" w:eastAsia="宋体" w:hAnsi="宋体" w:hint="eastAsia"/>
          <w:szCs w:val="21"/>
        </w:rPr>
        <w:t>）投标人资质情况</w:t>
      </w:r>
    </w:p>
    <w:p>
      <w:pPr>
        <w:spacing w:line="360" w:lineRule="auto"/>
        <w:ind w:left="821" w:firstLine="1620" w:leftChars="342" w:firstLineChars="675"/>
        <w:rPr>
          <w:rFonts w:ascii="宋体" w:hAnsi="宋体" w:cs="宋体" w:hint="eastAsia"/>
          <w:kern w:val="0"/>
          <w:szCs w:val="21"/>
        </w:rPr>
      </w:pPr>
      <w:r>
        <w:rPr>
          <w:rFonts w:ascii="宋体" w:eastAsia="宋体" w:hAnsi="宋体" w:hint="eastAsia"/>
          <w:szCs w:val="21"/>
        </w:rPr>
        <w:t>（</w:t>
      </w:r>
      <w:r>
        <w:rPr>
          <w:rFonts w:ascii="宋体" w:eastAsia="宋体" w:hAnsi="宋体" w:hint="eastAsia"/>
          <w:szCs w:val="21"/>
          <w:lang w:val="en-US" w:eastAsia="zh-CN"/>
        </w:rPr>
        <w:t>13</w:t>
      </w:r>
      <w:r>
        <w:rPr>
          <w:rFonts w:ascii="宋体" w:eastAsia="宋体" w:hAnsi="宋体" w:hint="eastAsia"/>
          <w:szCs w:val="21"/>
        </w:rPr>
        <w:t>）</w:t>
      </w:r>
      <w:r>
        <w:rPr>
          <w:rFonts w:ascii="宋体" w:hAnsi="宋体" w:cs="宋体" w:hint="eastAsia"/>
          <w:kern w:val="0"/>
          <w:szCs w:val="21"/>
        </w:rPr>
        <w:t>知识产权产品（创新、设计）情况</w:t>
      </w:r>
    </w:p>
    <w:p>
      <w:pPr>
        <w:spacing w:line="360" w:lineRule="auto"/>
        <w:ind w:left="821" w:firstLine="1620" w:leftChars="342" w:firstLineChars="675"/>
        <w:rPr>
          <w:rFonts w:ascii="宋体" w:hAnsi="宋体" w:cs="宋体" w:hint="eastAsia"/>
          <w:kern w:val="0"/>
          <w:szCs w:val="21"/>
        </w:rPr>
      </w:pPr>
      <w:r>
        <w:rPr>
          <w:rFonts w:ascii="宋体" w:eastAsia="宋体" w:hAnsi="宋体" w:hint="eastAsia"/>
          <w:szCs w:val="21"/>
        </w:rPr>
        <w:t>（</w:t>
      </w:r>
      <w:r>
        <w:rPr>
          <w:rFonts w:ascii="宋体" w:eastAsia="宋体" w:hAnsi="宋体" w:hint="eastAsia"/>
          <w:szCs w:val="21"/>
          <w:lang w:val="en-US" w:eastAsia="zh-CN"/>
        </w:rPr>
        <w:t>14</w:t>
      </w:r>
      <w:r>
        <w:rPr>
          <w:rFonts w:ascii="宋体" w:eastAsia="宋体" w:hAnsi="宋体" w:hint="eastAsia"/>
          <w:szCs w:val="21"/>
        </w:rPr>
        <w:t>）</w:t>
      </w:r>
      <w:r>
        <w:rPr>
          <w:rFonts w:ascii="宋体" w:hAnsi="宋体" w:cs="宋体" w:hint="eastAsia"/>
          <w:szCs w:val="21"/>
        </w:rPr>
        <w:t>环境保护</w:t>
      </w:r>
    </w:p>
    <w:p>
      <w:pPr>
        <w:spacing w:line="360" w:lineRule="auto"/>
        <w:ind w:left="821" w:firstLine="1620" w:leftChars="342" w:firstLineChars="675"/>
        <w:rPr>
          <w:rFonts w:ascii="宋体" w:eastAsia="宋体" w:hAnsi="宋体"/>
        </w:rPr>
      </w:pPr>
      <w:r>
        <w:rPr>
          <w:rFonts w:ascii="宋体" w:eastAsia="宋体" w:hAnsi="宋体" w:hint="eastAsia"/>
          <w:szCs w:val="21"/>
        </w:rPr>
        <w:t>（1</w:t>
      </w:r>
      <w:r>
        <w:rPr>
          <w:rFonts w:ascii="宋体" w:eastAsia="宋体" w:hAnsi="宋体" w:hint="eastAsia"/>
          <w:szCs w:val="21"/>
          <w:lang w:val="en-US" w:eastAsia="zh-CN"/>
        </w:rPr>
        <w:t>5</w:t>
      </w:r>
      <w:r>
        <w:rPr>
          <w:rFonts w:ascii="宋体" w:eastAsia="宋体" w:hAnsi="宋体" w:hint="eastAsia"/>
          <w:szCs w:val="21"/>
        </w:rPr>
        <w:t>）投标人认为需要加以说明的其他内容</w:t>
      </w:r>
    </w:p>
    <w:p>
      <w:pPr>
        <w:spacing w:line="360" w:lineRule="auto"/>
        <w:ind w:firstLine="485" w:firstLineChars="202"/>
        <w:rPr>
          <w:rFonts w:ascii="宋体" w:eastAsia="宋体" w:hAnsi="宋体"/>
          <w:b/>
          <w:szCs w:val="21"/>
        </w:rPr>
      </w:pPr>
      <w:r>
        <w:rPr>
          <w:rFonts w:ascii="宋体" w:eastAsia="宋体" w:hAnsi="宋体" w:hint="eastAsia"/>
          <w:b/>
          <w:szCs w:val="21"/>
        </w:rPr>
        <w:t>备注：</w:t>
      </w:r>
    </w:p>
    <w:p>
      <w:pPr>
        <w:spacing w:line="360" w:lineRule="auto"/>
        <w:ind w:firstLine="485" w:firstLineChars="202"/>
        <w:rPr>
          <w:rFonts w:ascii="宋体" w:eastAsia="宋体" w:hAnsi="宋体"/>
          <w:b/>
          <w:szCs w:val="21"/>
        </w:rPr>
      </w:pPr>
      <w:r>
        <w:rPr>
          <w:rFonts w:ascii="宋体" w:eastAsia="宋体" w:hAnsi="宋体" w:hint="eastAsia"/>
          <w:b/>
          <w:szCs w:val="21"/>
        </w:rPr>
        <w:t>1.本项目为网上电子投标项目，投标文件不需法人或授权委托人另行签字，无需加盖单位公章，招标文件专用条款另有规定的除外。</w:t>
      </w:r>
    </w:p>
    <w:p>
      <w:pPr>
        <w:spacing w:line="360" w:lineRule="auto"/>
        <w:ind w:firstLine="485" w:firstLineChars="202"/>
        <w:rPr>
          <w:rFonts w:ascii="宋体" w:eastAsia="宋体" w:hAnsi="宋体"/>
          <w:b/>
          <w:szCs w:val="21"/>
        </w:rPr>
      </w:pPr>
      <w:r>
        <w:rPr>
          <w:rFonts w:ascii="宋体" w:eastAsia="宋体" w:hAnsi="宋体" w:hint="eastAsia"/>
          <w:b/>
          <w:szCs w:val="21"/>
        </w:rPr>
        <w:t>2.关于填写“开标一览表”的说明：“开标一览表”中除“投标总价”外，其他信息不作评审依据。</w:t>
      </w:r>
    </w:p>
    <w:p>
      <w:pPr>
        <w:spacing w:line="360" w:lineRule="auto"/>
        <w:rPr>
          <w:rFonts w:ascii="宋体" w:eastAsia="宋体" w:hAnsi="宋体"/>
        </w:rPr>
      </w:pPr>
    </w:p>
    <w:p>
      <w:pPr>
        <w:spacing w:line="360" w:lineRule="auto"/>
        <w:ind w:firstLine="485" w:firstLineChars="202"/>
        <w:rPr>
          <w:rFonts w:ascii="宋体" w:eastAsia="宋体" w:hAnsi="宋体"/>
          <w:b/>
          <w:szCs w:val="21"/>
        </w:rPr>
      </w:pPr>
    </w:p>
    <w:p>
      <w:pPr>
        <w:spacing w:line="360" w:lineRule="auto"/>
        <w:ind w:firstLine="485" w:firstLineChars="202"/>
        <w:rPr>
          <w:rFonts w:ascii="宋体" w:eastAsia="宋体" w:hAnsi="宋体"/>
          <w:b/>
          <w:szCs w:val="21"/>
        </w:rPr>
      </w:pPr>
    </w:p>
    <w:p>
      <w:pPr>
        <w:spacing w:line="360" w:lineRule="auto"/>
        <w:rPr>
          <w:rFonts w:ascii="宋体" w:eastAsia="宋体" w:hAnsi="宋体"/>
          <w:b/>
          <w:sz w:val="36"/>
          <w:szCs w:val="36"/>
        </w:rPr>
      </w:pPr>
    </w:p>
    <w:p>
      <w:pPr>
        <w:rPr>
          <w:rFonts w:ascii="宋体" w:eastAsia="宋体" w:hAnsi="宋体"/>
          <w:b/>
          <w:sz w:val="28"/>
          <w:szCs w:val="28"/>
        </w:rPr>
      </w:pPr>
      <w:r>
        <w:rPr>
          <w:rFonts w:ascii="宋体" w:eastAsia="宋体" w:hAnsi="宋体" w:hint="eastAsia"/>
          <w:b/>
          <w:sz w:val="28"/>
          <w:szCs w:val="28"/>
        </w:rPr>
        <w:br w:type="page"/>
      </w:r>
    </w:p>
    <w:p>
      <w:pPr>
        <w:spacing w:line="360" w:lineRule="auto"/>
        <w:outlineLvl w:val="1"/>
        <w:rPr>
          <w:rFonts w:ascii="宋体" w:eastAsia="宋体" w:hAnsi="宋体"/>
          <w:b/>
          <w:sz w:val="28"/>
          <w:szCs w:val="28"/>
        </w:rPr>
      </w:pPr>
      <w:r>
        <w:rPr>
          <w:rFonts w:ascii="宋体" w:eastAsia="宋体" w:hAnsi="宋体" w:hint="eastAsia"/>
          <w:b/>
          <w:sz w:val="28"/>
          <w:szCs w:val="28"/>
        </w:rPr>
        <w:t>投标文件正文（信息公开部分）</w:t>
      </w:r>
    </w:p>
    <w:p>
      <w:pPr>
        <w:keepNext/>
        <w:keepLines/>
        <w:spacing w:before="260" w:after="260" w:line="360" w:lineRule="auto"/>
        <w:jc w:val="center"/>
        <w:outlineLvl w:val="2"/>
        <w:rPr>
          <w:rFonts w:ascii="宋体" w:eastAsia="宋体" w:hAnsi="宋体"/>
          <w:bCs/>
          <w:szCs w:val="32"/>
        </w:rPr>
      </w:pPr>
      <w:r>
        <w:rPr>
          <w:rFonts w:ascii="宋体" w:eastAsia="宋体" w:hAnsi="宋体" w:hint="eastAsia"/>
          <w:bCs/>
          <w:szCs w:val="32"/>
        </w:rPr>
        <w:t>一、投标函</w:t>
      </w:r>
    </w:p>
    <w:p>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lang w:val="en-US" w:eastAsia="zh-CN"/>
        </w:rPr>
        <w:t>立讯招标（深圳）有限</w:t>
      </w:r>
      <w:r>
        <w:rPr>
          <w:rFonts w:ascii="宋体" w:eastAsia="宋体" w:hAnsi="宋体" w:hint="eastAsia"/>
          <w:szCs w:val="21"/>
          <w:u w:val="single"/>
        </w:rPr>
        <w:t>公司</w:t>
      </w:r>
    </w:p>
    <w:p>
      <w:pPr>
        <w:spacing w:line="360" w:lineRule="auto"/>
        <w:ind w:firstLine="480" w:firstLineChars="200"/>
        <w:rPr>
          <w:rFonts w:ascii="宋体" w:eastAsia="宋体" w:hAnsi="宋体"/>
          <w:szCs w:val="21"/>
        </w:rPr>
      </w:pPr>
      <w:bookmarkStart w:id="67" w:name="_Hlk73818812"/>
      <w:r>
        <w:rPr>
          <w:rFonts w:ascii="宋体" w:eastAsia="宋体" w:hAnsi="宋体" w:hint="eastAsia"/>
          <w:szCs w:val="21"/>
        </w:rPr>
        <w:t>1、根据已收到贵单位的项目编号为</w:t>
      </w:r>
      <w:r>
        <w:rPr>
          <w:rFonts w:ascii="宋体" w:eastAsia="宋体" w:hAnsi="宋体" w:hint="eastAsia"/>
          <w:szCs w:val="21"/>
          <w:u w:val="single"/>
          <w:lang w:val="en-US" w:eastAsia="zh-CN"/>
        </w:rPr>
        <w:t xml:space="preserve">              </w:t>
      </w:r>
      <w:r>
        <w:rPr>
          <w:rFonts w:ascii="宋体" w:eastAsia="宋体" w:hAnsi="宋体" w:hint="eastAsia"/>
          <w:szCs w:val="21"/>
        </w:rPr>
        <w:t>的</w:t>
      </w:r>
      <w:r>
        <w:rPr>
          <w:rFonts w:ascii="宋体" w:eastAsia="宋体" w:hAnsi="宋体" w:hint="eastAsia"/>
          <w:szCs w:val="21"/>
          <w:u w:val="single"/>
          <w:lang w:val="en-US" w:eastAsia="zh-CN"/>
        </w:rPr>
        <w:t xml:space="preserve">              </w:t>
      </w:r>
      <w:r>
        <w:rPr>
          <w:rFonts w:ascii="宋体" w:eastAsia="宋体" w:hAnsi="宋体" w:hint="eastAsia"/>
          <w:szCs w:val="21"/>
        </w:rPr>
        <w:t>项目的招标文件，遵照《深圳经济特区政府采购条例》和《深圳网上政府采购管理暂行办法》等有关规定，我单位经研究上述招标文件的专用条款及通用条款后，</w:t>
      </w:r>
      <w:bookmarkStart w:id="68" w:name="_Hlk72263588"/>
      <w:r>
        <w:rPr>
          <w:rFonts w:ascii="宋体" w:eastAsia="宋体" w:hAnsi="宋体" w:hint="eastAsia"/>
          <w:szCs w:val="21"/>
        </w:rPr>
        <w:t>愿意按照招标文件要求承包上述项目并修补其任何缺陷。</w:t>
      </w:r>
      <w:bookmarkEnd w:id="68"/>
    </w:p>
    <w:p>
      <w:pPr>
        <w:spacing w:line="360" w:lineRule="auto"/>
        <w:ind w:firstLine="480" w:firstLineChars="200"/>
        <w:rPr>
          <w:rFonts w:ascii="宋体" w:eastAsia="宋体" w:hAnsi="宋体"/>
          <w:szCs w:val="21"/>
        </w:rPr>
      </w:pPr>
      <w:r>
        <w:rPr>
          <w:rFonts w:ascii="宋体" w:eastAsia="宋体" w:hAnsi="宋体"/>
          <w:szCs w:val="21"/>
        </w:rPr>
        <w:t>2</w:t>
      </w:r>
      <w:r>
        <w:rPr>
          <w:rFonts w:ascii="宋体" w:eastAsia="宋体" w:hAnsi="宋体" w:hint="eastAsia"/>
          <w:szCs w:val="21"/>
        </w:rPr>
        <w:t>、投标价格见投标书编制软件中《开标一览表》中填写的投标总价。</w:t>
      </w:r>
    </w:p>
    <w:p>
      <w:pPr>
        <w:spacing w:line="360" w:lineRule="auto"/>
        <w:ind w:firstLine="480" w:firstLineChars="200"/>
        <w:rPr>
          <w:rFonts w:ascii="宋体" w:eastAsia="宋体" w:hAnsi="宋体"/>
          <w:szCs w:val="21"/>
        </w:rPr>
      </w:pPr>
      <w:r>
        <w:rPr>
          <w:rFonts w:ascii="宋体" w:eastAsia="宋体" w:hAnsi="宋体" w:hint="eastAsia"/>
          <w:szCs w:val="21"/>
        </w:rPr>
        <w:t>3、我单位同意所递交的投标文件在“对通用条款的补充内容”中明确的投标有效期内有效，在此期间内我单位的投标有可能中标，我方将受此约束。</w:t>
      </w:r>
    </w:p>
    <w:p>
      <w:pPr>
        <w:spacing w:line="360" w:lineRule="auto"/>
        <w:ind w:firstLine="480" w:firstLineChars="200"/>
        <w:rPr>
          <w:rFonts w:ascii="宋体" w:eastAsia="宋体" w:hAnsi="宋体"/>
          <w:szCs w:val="21"/>
        </w:rPr>
      </w:pPr>
      <w:r>
        <w:rPr>
          <w:rFonts w:ascii="宋体" w:eastAsia="宋体" w:hAnsi="宋体" w:hint="eastAsia"/>
          <w:szCs w:val="21"/>
        </w:rPr>
        <w:t>4、除非另外达成协议并生效，贵单位的中标通知书和本投标文件将构成合同的重要内容。</w:t>
      </w:r>
    </w:p>
    <w:p>
      <w:pPr>
        <w:spacing w:line="360" w:lineRule="auto"/>
        <w:ind w:firstLine="480" w:firstLineChars="200"/>
        <w:rPr>
          <w:rFonts w:ascii="宋体" w:eastAsia="宋体" w:hAnsi="宋体"/>
          <w:szCs w:val="21"/>
        </w:rPr>
      </w:pPr>
      <w:r>
        <w:rPr>
          <w:rFonts w:ascii="宋体" w:eastAsia="宋体" w:hAnsi="宋体" w:hint="eastAsia"/>
          <w:szCs w:val="21"/>
        </w:rPr>
        <w:t>5、我单位理解贵单位将不受必须接受所收到的最低报价或其它任何投标文件的约束。</w:t>
      </w:r>
      <w:bookmarkEnd w:id="67"/>
    </w:p>
    <w:p>
      <w:pPr>
        <w:spacing w:line="360" w:lineRule="auto"/>
        <w:ind w:firstLine="720" w:firstLineChars="300"/>
        <w:rPr>
          <w:rFonts w:ascii="宋体" w:eastAsia="宋体" w:hAnsi="宋体"/>
          <w:szCs w:val="21"/>
          <w:u w:val="single"/>
        </w:rPr>
      </w:pPr>
      <w:r>
        <w:rPr>
          <w:rFonts w:ascii="宋体" w:eastAsia="宋体" w:hAnsi="宋体" w:hint="eastAsia"/>
          <w:szCs w:val="21"/>
        </w:rPr>
        <w:t>投标人：                             单位地址：</w:t>
      </w:r>
    </w:p>
    <w:p>
      <w:pPr>
        <w:spacing w:line="360" w:lineRule="auto"/>
        <w:ind w:left="617" w:leftChars="257"/>
        <w:rPr>
          <w:rFonts w:ascii="宋体" w:eastAsia="宋体" w:hAnsi="宋体"/>
          <w:szCs w:val="21"/>
          <w:u w:val="single"/>
        </w:rPr>
      </w:pPr>
      <w:r>
        <w:rPr>
          <w:rFonts w:ascii="宋体" w:eastAsia="宋体" w:hAnsi="宋体" w:hint="eastAsia"/>
          <w:szCs w:val="21"/>
        </w:rPr>
        <w:t>法定代表人（负责人）或其委托代理人：</w:t>
      </w:r>
    </w:p>
    <w:p>
      <w:pPr>
        <w:spacing w:line="360" w:lineRule="auto"/>
        <w:ind w:left="617" w:leftChars="257"/>
        <w:rPr>
          <w:rFonts w:ascii="宋体" w:eastAsia="宋体" w:hAnsi="宋体"/>
          <w:szCs w:val="21"/>
          <w:u w:val="single"/>
        </w:rPr>
      </w:pPr>
      <w:r>
        <w:rPr>
          <w:rFonts w:ascii="宋体" w:eastAsia="宋体" w:hAnsi="宋体" w:hint="eastAsia"/>
          <w:szCs w:val="21"/>
        </w:rPr>
        <w:t>邮政编码：               电话：               传真：</w:t>
      </w:r>
    </w:p>
    <w:p>
      <w:pPr>
        <w:spacing w:line="360" w:lineRule="auto"/>
        <w:ind w:left="617" w:leftChars="257"/>
        <w:rPr>
          <w:rFonts w:ascii="宋体" w:eastAsia="宋体" w:hAnsi="宋体"/>
          <w:szCs w:val="21"/>
        </w:rPr>
      </w:pPr>
      <w:r>
        <w:rPr>
          <w:rFonts w:ascii="宋体" w:eastAsia="宋体" w:hAnsi="宋体" w:hint="eastAsia"/>
          <w:szCs w:val="21"/>
        </w:rPr>
        <w:t>开户银行名称：</w:t>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rPr>
        <w:t xml:space="preserve">  开户银行账号：</w:t>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u w:val="single"/>
        </w:rPr>
        <w:tab/>
      </w:r>
    </w:p>
    <w:p>
      <w:pPr>
        <w:spacing w:line="360" w:lineRule="auto"/>
        <w:ind w:left="617" w:leftChars="257"/>
        <w:rPr>
          <w:rFonts w:ascii="宋体" w:eastAsia="宋体" w:hAnsi="宋体"/>
          <w:szCs w:val="21"/>
        </w:rPr>
      </w:pPr>
      <w:r>
        <w:rPr>
          <w:rFonts w:ascii="宋体" w:eastAsia="宋体" w:hAnsi="宋体" w:hint="eastAsia"/>
          <w:szCs w:val="21"/>
        </w:rPr>
        <w:t>开户银行地址：</w:t>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rPr>
        <w:t xml:space="preserve">  开户银行电话：</w:t>
      </w:r>
      <w:r>
        <w:rPr>
          <w:rFonts w:ascii="宋体" w:eastAsia="宋体" w:hAnsi="宋体" w:hint="eastAsia"/>
          <w:szCs w:val="21"/>
          <w:u w:val="single"/>
        </w:rPr>
        <w:tab/>
      </w:r>
      <w:r>
        <w:rPr>
          <w:rFonts w:ascii="宋体" w:eastAsia="宋体" w:hAnsi="宋体" w:hint="eastAsia"/>
          <w:szCs w:val="21"/>
          <w:u w:val="single"/>
        </w:rPr>
        <w:tab/>
      </w:r>
      <w:r>
        <w:rPr>
          <w:rFonts w:ascii="宋体" w:eastAsia="宋体" w:hAnsi="宋体" w:hint="eastAsia"/>
          <w:szCs w:val="21"/>
          <w:u w:val="single"/>
        </w:rPr>
        <w:tab/>
      </w:r>
    </w:p>
    <w:p>
      <w:pPr>
        <w:spacing w:line="360" w:lineRule="auto"/>
        <w:ind w:firstLine="617" w:firstLineChars="257"/>
        <w:rPr>
          <w:rFonts w:ascii="宋体" w:eastAsia="宋体" w:hAnsi="宋体"/>
        </w:rPr>
      </w:pPr>
      <w:r>
        <w:rPr>
          <w:rFonts w:ascii="宋体" w:eastAsia="宋体" w:hAnsi="宋体" w:hint="eastAsia"/>
          <w:szCs w:val="21"/>
        </w:rPr>
        <w:t>日期：年月日</w:t>
      </w:r>
    </w:p>
    <w:p>
      <w:pPr>
        <w:spacing w:line="360" w:lineRule="auto"/>
        <w:rPr>
          <w:rFonts w:ascii="宋体" w:eastAsia="宋体" w:hAnsi="宋体"/>
        </w:rPr>
      </w:pPr>
    </w:p>
    <w:p>
      <w:pPr>
        <w:spacing w:line="360" w:lineRule="auto"/>
        <w:rPr>
          <w:rFonts w:ascii="宋体" w:eastAsia="宋体" w:hAnsi="宋体"/>
          <w:szCs w:val="21"/>
        </w:rPr>
      </w:pPr>
    </w:p>
    <w:p>
      <w:pPr>
        <w:spacing w:line="360" w:lineRule="auto"/>
        <w:rPr>
          <w:rFonts w:ascii="宋体" w:eastAsia="宋体" w:hAnsi="宋体"/>
        </w:rPr>
      </w:pPr>
    </w:p>
    <w:p>
      <w:pPr>
        <w:rPr>
          <w:rFonts w:ascii="宋体" w:eastAsia="宋体" w:hAnsi="宋体"/>
          <w:bCs/>
          <w:szCs w:val="32"/>
        </w:rPr>
      </w:pPr>
    </w:p>
    <w:p>
      <w:pPr>
        <w:pStyle w:val="BodyText"/>
        <w:rPr>
          <w:lang w:val="en-US" w:bidi="ar-SA"/>
        </w:rPr>
      </w:pPr>
    </w:p>
    <w:p>
      <w:pPr>
        <w:pStyle w:val="BodyText2"/>
        <w:rPr>
          <w:rFonts w:ascii="宋体" w:eastAsia="宋体" w:hAnsi="宋体"/>
        </w:rPr>
      </w:pPr>
    </w:p>
    <w:p>
      <w:pPr>
        <w:rPr>
          <w:rFonts w:ascii="宋体" w:eastAsia="宋体" w:hAnsi="宋体"/>
        </w:rPr>
      </w:pPr>
      <w:r>
        <w:rPr>
          <w:rFonts w:ascii="宋体" w:eastAsia="宋体" w:hAnsi="宋体"/>
        </w:rPr>
        <w:br w:type="page"/>
      </w:r>
    </w:p>
    <w:p>
      <w:pPr>
        <w:keepNext/>
        <w:keepLines/>
        <w:spacing w:before="260" w:after="260" w:line="360" w:lineRule="auto"/>
        <w:jc w:val="center"/>
        <w:outlineLvl w:val="2"/>
        <w:rPr>
          <w:rFonts w:ascii="宋体" w:eastAsia="宋体" w:hAnsi="宋体"/>
          <w:bCs/>
          <w:szCs w:val="32"/>
        </w:rPr>
      </w:pPr>
      <w:r>
        <w:rPr>
          <w:rFonts w:ascii="宋体" w:eastAsia="宋体" w:hAnsi="宋体" w:hint="eastAsia"/>
          <w:bCs/>
          <w:szCs w:val="32"/>
        </w:rPr>
        <w:t>二、政府采购投标及履约承诺函</w:t>
      </w:r>
    </w:p>
    <w:p>
      <w:pPr>
        <w:spacing w:line="360" w:lineRule="auto"/>
        <w:rPr>
          <w:rFonts w:ascii="宋体" w:eastAsia="宋体" w:hAnsi="宋体" w:hint="default"/>
          <w:szCs w:val="21"/>
          <w:lang w:val="en-US" w:eastAsia="zh-CN"/>
        </w:rPr>
      </w:pPr>
      <w:r>
        <w:rPr>
          <w:rFonts w:ascii="宋体" w:eastAsia="宋体" w:hAnsi="宋体" w:hint="eastAsia"/>
          <w:szCs w:val="21"/>
        </w:rPr>
        <w:t>致：</w:t>
      </w:r>
      <w:r>
        <w:rPr>
          <w:rFonts w:ascii="宋体" w:eastAsia="宋体" w:hAnsi="宋体" w:hint="eastAsia"/>
          <w:szCs w:val="21"/>
          <w:u w:val="single"/>
          <w:lang w:val="en-US" w:eastAsia="zh-CN"/>
        </w:rPr>
        <w:t>立讯招标（深圳）有限公司</w:t>
      </w:r>
    </w:p>
    <w:p>
      <w:pPr>
        <w:spacing w:line="420" w:lineRule="exact"/>
        <w:ind w:firstLine="480" w:firstLineChars="200"/>
        <w:rPr>
          <w:rFonts w:ascii="宋体" w:eastAsia="宋体" w:hAnsi="宋体" w:cs="Arial"/>
        </w:rPr>
      </w:pPr>
      <w:r>
        <w:rPr>
          <w:rFonts w:ascii="宋体" w:eastAsia="宋体" w:hAnsi="宋体" w:cs="Arial"/>
        </w:rPr>
        <w:t>我单位承诺：</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1.我单位参与本项目所投标（响应）的货物、工程或服务，不存在侵犯知识产权的情况。</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2.我单位参与本项目政府采购活动时不存在被有关部门禁止参与政府采购活动且在有效期内的情况。符合招标文件关于联合体及进口产品的相关资格要求。</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3.我单位具备《中华人民共和国政府采购法》第二十二条第一款的条件。</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4.我单位未被列入失信被执行人、重大税收违法案件当事人名单、政府采购严重违法失信行为记录名单。</w:t>
      </w:r>
    </w:p>
    <w:p>
      <w:pPr>
        <w:spacing w:line="420" w:lineRule="exact"/>
        <w:ind w:firstLine="480" w:firstLineChars="200"/>
        <w:rPr>
          <w:rFonts w:ascii="宋体" w:eastAsia="宋体" w:hAnsi="宋体" w:cs="Arial"/>
          <w:color w:val="FF0000"/>
        </w:rPr>
      </w:pPr>
      <w:r>
        <w:rPr>
          <w:rFonts w:ascii="宋体" w:eastAsia="宋体" w:hAnsi="宋体" w:cs="Arial" w:hint="eastAsia"/>
          <w:color w:val="FF0000"/>
        </w:rPr>
        <w:t>5.我单位不存在《深圳市财政局政府采购供应商信用信息管理办法》（深财规〔2023〕3号）列明的严重违法失信行为。</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9.我单位承诺中标后项目不转包，未经采购人同意不进行分包。</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12.我单位已知悉并同意中标（成交）结果信息公示（公开）的内容。</w:t>
      </w:r>
    </w:p>
    <w:p>
      <w:pPr>
        <w:spacing w:line="420" w:lineRule="exact"/>
        <w:ind w:firstLine="480" w:firstLineChars="200"/>
        <w:rPr>
          <w:rFonts w:ascii="宋体" w:eastAsia="宋体" w:hAnsi="宋体" w:cs="Arial"/>
          <w:color w:val="FF0000"/>
        </w:rPr>
      </w:pPr>
      <w:r>
        <w:rPr>
          <w:rFonts w:ascii="宋体" w:eastAsia="宋体" w:hAnsi="宋体" w:cs="Arial" w:hint="eastAsia"/>
          <w:color w:val="000000" w:themeColor="text1"/>
          <w14:textFill>
            <w14:solidFill>
              <w14:schemeClr w14:val="tx1"/>
            </w14:solidFill>
          </w14:textFill>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cs="Arial" w:hint="eastAsia"/>
          <w:color w:val="FF0000"/>
        </w:rPr>
        <w:t>若存在“不同供应商的董事、股东或其他高级管理人员为同一人的”情形的，我单位保证不存在串通投标、恶意串通或者视为串通投标的情形。</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14.我单位清楚，如存在违反投标承诺行为情节严重的，将根据《深圳市财政局关于印发&lt;深圳市财政局政府采购供应商信用信息管理办法&gt;的通知》，依法被列入失信信息。</w:t>
      </w:r>
    </w:p>
    <w:p>
      <w:pPr>
        <w:spacing w:line="420" w:lineRule="exact"/>
        <w:ind w:firstLine="480" w:firstLineChars="200"/>
        <w:rPr>
          <w:rFonts w:ascii="宋体" w:eastAsia="宋体" w:hAnsi="宋体" w:cs="Arial"/>
          <w:color w:val="000000" w:themeColor="text1"/>
          <w14:textFill>
            <w14:solidFill>
              <w14:schemeClr w14:val="tx1"/>
            </w14:solidFill>
          </w14:textFill>
        </w:rPr>
      </w:pPr>
      <w:r>
        <w:rPr>
          <w:rFonts w:ascii="宋体" w:eastAsia="宋体" w:hAnsi="宋体" w:cs="Arial" w:hint="eastAsia"/>
          <w:color w:val="000000" w:themeColor="text1"/>
          <w14:textFill>
            <w14:solidFill>
              <w14:schemeClr w14:val="tx1"/>
            </w14:solidFill>
          </w14:textFill>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20" w:lineRule="exact"/>
        <w:ind w:firstLine="480" w:firstLineChars="200"/>
        <w:rPr>
          <w:rFonts w:ascii="宋体" w:eastAsia="宋体" w:hAnsi="宋体" w:cs="Arial"/>
        </w:rPr>
      </w:pPr>
      <w:r>
        <w:rPr>
          <w:rFonts w:ascii="宋体" w:eastAsia="宋体" w:hAnsi="宋体" w:cs="Arial"/>
          <w:color w:val="FF0000"/>
        </w:rPr>
        <w:t>1</w:t>
      </w:r>
      <w:r>
        <w:rPr>
          <w:rFonts w:ascii="宋体" w:eastAsia="宋体" w:hAnsi="宋体" w:cs="Arial" w:hint="eastAsia"/>
          <w:color w:val="FF0000"/>
        </w:rPr>
        <w:t>6</w:t>
      </w:r>
      <w:r>
        <w:rPr>
          <w:rFonts w:ascii="宋体" w:eastAsia="宋体" w:hAnsi="宋体" w:cs="Arial"/>
          <w:color w:val="FF0000"/>
        </w:rPr>
        <w:t>.如果我单位中标，将依照本项目招标文件要求，在接到</w:t>
      </w:r>
      <w:r>
        <w:rPr>
          <w:rFonts w:ascii="宋体" w:eastAsia="宋体" w:hAnsi="宋体" w:cs="Arial" w:hint="eastAsia"/>
          <w:color w:val="FF0000"/>
          <w:lang w:val="en-US" w:eastAsia="zh-CN"/>
        </w:rPr>
        <w:t>立讯招标（深圳）有限</w:t>
      </w:r>
      <w:r>
        <w:rPr>
          <w:rFonts w:ascii="宋体" w:eastAsia="宋体" w:hAnsi="宋体" w:cs="Arial"/>
          <w:color w:val="FF0000"/>
        </w:rPr>
        <w:t>公司通知（包括但不限于电话、短信通知）后3个工作日内，缴纳招标代理服务费。</w:t>
      </w:r>
    </w:p>
    <w:p>
      <w:pPr>
        <w:spacing w:line="360" w:lineRule="auto"/>
        <w:ind w:firstLine="480" w:firstLineChars="200"/>
        <w:rPr>
          <w:rFonts w:ascii="宋体" w:eastAsia="宋体" w:hAnsi="宋体"/>
          <w:szCs w:val="21"/>
        </w:rPr>
      </w:pPr>
      <w:r>
        <w:rPr>
          <w:rFonts w:ascii="宋体" w:eastAsia="宋体" w:hAnsi="宋体" w:cs="Arial"/>
        </w:rPr>
        <w:t>以上承诺，如有违反，愿依照国家相关法律法规处理，并承担由此给采购人带来的损失</w:t>
      </w:r>
      <w:r>
        <w:rPr>
          <w:rFonts w:ascii="宋体" w:eastAsia="宋体" w:hAnsi="宋体" w:hint="eastAsia"/>
          <w:szCs w:val="21"/>
        </w:rPr>
        <w:t>。</w:t>
      </w:r>
    </w:p>
    <w:p>
      <w:pPr>
        <w:spacing w:before="78" w:beforeLines="25" w:after="78" w:afterLines="25" w:line="360" w:lineRule="auto"/>
        <w:ind w:firstLine="6240" w:firstLineChars="2600"/>
        <w:rPr>
          <w:rFonts w:ascii="宋体" w:eastAsia="宋体" w:hAnsi="宋体"/>
        </w:rPr>
      </w:pPr>
      <w:r>
        <w:rPr>
          <w:rFonts w:ascii="宋体" w:eastAsia="宋体" w:hAnsi="宋体" w:hint="eastAsia"/>
          <w:szCs w:val="21"/>
        </w:rPr>
        <w:t>投标人：</w:t>
      </w:r>
    </w:p>
    <w:p>
      <w:pPr>
        <w:spacing w:line="360" w:lineRule="auto"/>
        <w:ind w:firstLine="645"/>
        <w:rPr>
          <w:rFonts w:ascii="宋体" w:eastAsia="宋体" w:hAnsi="宋体" w:hint="eastAsia"/>
          <w:szCs w:val="21"/>
        </w:rPr>
      </w:pPr>
      <w:r>
        <w:rPr>
          <w:rFonts w:ascii="宋体" w:eastAsia="宋体" w:hAnsi="宋体" w:hint="eastAsia"/>
          <w:szCs w:val="21"/>
        </w:rPr>
        <w:t xml:space="preserve">                                                                                    日期： 年  月  日</w:t>
      </w:r>
    </w:p>
    <w:p>
      <w:pPr>
        <w:spacing w:line="360" w:lineRule="auto"/>
        <w:ind w:firstLine="645"/>
        <w:rPr>
          <w:rFonts w:ascii="宋体" w:eastAsia="宋体" w:hAnsi="宋体"/>
        </w:rPr>
      </w:pPr>
      <w:r>
        <w:rPr>
          <w:rFonts w:ascii="宋体" w:eastAsia="宋体" w:hAnsi="宋体" w:hint="eastAsia"/>
          <w:b/>
          <w:szCs w:val="21"/>
        </w:rPr>
        <w:t>★注意事项：投标人必须严格按照上述格式及内容提供《政府采购投标及履约承诺函》，否则视为没有实质性满足招标文件要求。</w:t>
      </w:r>
    </w:p>
    <w:p>
      <w:pPr>
        <w:rPr>
          <w:rFonts w:ascii="宋体" w:eastAsia="宋体" w:hAnsi="宋体"/>
          <w:bCs/>
          <w:szCs w:val="32"/>
        </w:rPr>
      </w:pPr>
      <w:r>
        <w:rPr>
          <w:rFonts w:ascii="宋体" w:eastAsia="宋体" w:hAnsi="宋体" w:hint="eastAsia"/>
          <w:bCs/>
          <w:szCs w:val="32"/>
        </w:rPr>
        <w:br w:type="page"/>
      </w:r>
    </w:p>
    <w:p>
      <w:pPr>
        <w:pStyle w:val="Heading3"/>
        <w:jc w:val="center"/>
        <w:rPr>
          <w:bCs/>
        </w:rPr>
      </w:pPr>
      <w:r>
        <w:rPr>
          <w:rFonts w:hint="eastAsia"/>
          <w:bCs/>
        </w:rPr>
        <w:t>三</w:t>
      </w:r>
      <w:r>
        <w:rPr>
          <w:rFonts w:hint="eastAsia"/>
          <w:bCs/>
          <w:szCs w:val="24"/>
        </w:rPr>
        <w:t>、</w:t>
      </w:r>
      <w:bookmarkStart w:id="69" w:name="OLE_LINK75"/>
      <w:bookmarkStart w:id="70" w:name="OLE_LINK76"/>
      <w:r>
        <w:rPr>
          <w:rFonts w:hint="eastAsia"/>
          <w:bCs/>
        </w:rPr>
        <w:t>投标人情况及资格证明文件</w:t>
      </w:r>
      <w:bookmarkEnd w:id="69"/>
      <w:bookmarkEnd w:id="70"/>
    </w:p>
    <w:p>
      <w:pPr>
        <w:spacing w:line="360" w:lineRule="auto"/>
        <w:ind w:firstLine="2640" w:firstLineChars="1100"/>
        <w:outlineLvl w:val="3"/>
        <w:rPr>
          <w:rFonts w:ascii="宋体" w:eastAsia="宋体" w:hAnsi="宋体"/>
          <w:bCs/>
          <w:szCs w:val="32"/>
        </w:rPr>
      </w:pPr>
      <w:r>
        <w:rPr>
          <w:rFonts w:ascii="宋体" w:eastAsia="宋体" w:hAnsi="宋体" w:hint="eastAsia"/>
          <w:bCs/>
          <w:szCs w:val="32"/>
        </w:rPr>
        <w:t>（一）投标人资格证明文件</w:t>
      </w:r>
    </w:p>
    <w:p>
      <w:pPr>
        <w:spacing w:line="360" w:lineRule="auto"/>
        <w:outlineLvl w:val="3"/>
        <w:rPr>
          <w:rFonts w:ascii="宋体" w:eastAsia="宋体" w:hAnsi="宋体"/>
          <w:bCs/>
          <w:szCs w:val="32"/>
        </w:rPr>
      </w:pPr>
      <w:r>
        <w:rPr>
          <w:rFonts w:ascii="宋体" w:eastAsia="宋体" w:hAnsi="宋体" w:hint="eastAsia"/>
          <w:bCs/>
          <w:szCs w:val="32"/>
        </w:rPr>
        <w:t>1</w:t>
      </w:r>
      <w:r>
        <w:rPr>
          <w:rFonts w:ascii="宋体" w:eastAsia="宋体" w:hAnsi="宋体"/>
          <w:bCs/>
          <w:szCs w:val="32"/>
        </w:rPr>
        <w:t>.1</w:t>
      </w:r>
      <w:r>
        <w:rPr>
          <w:rFonts w:ascii="宋体" w:eastAsia="宋体" w:hAnsi="宋体" w:hint="eastAsia"/>
          <w:bCs/>
          <w:szCs w:val="32"/>
        </w:rPr>
        <w:t>营业执照</w:t>
      </w:r>
    </w:p>
    <w:p>
      <w:pPr>
        <w:spacing w:before="156" w:beforeLines="50" w:line="360" w:lineRule="auto"/>
        <w:ind w:firstLine="480" w:firstLineChars="200"/>
        <w:rPr>
          <w:rFonts w:ascii="宋体" w:eastAsia="宋体" w:hAnsi="宋体"/>
          <w:b/>
          <w:bCs/>
        </w:rPr>
      </w:pPr>
      <w:r>
        <w:rPr>
          <w:rFonts w:ascii="宋体" w:eastAsia="宋体" w:hAnsi="宋体" w:hint="eastAsia"/>
          <w:b/>
          <w:bCs/>
        </w:rPr>
        <w:t>（特别提示：投标人须按本招标文件第一册第一章招标公告 “申请人的资格要求”（即投标人资格要求）提供相关的资格证明资料，未提供或提供不完整、不符合要求的，将作投标无效处理。）</w:t>
      </w:r>
    </w:p>
    <w:p>
      <w:pPr>
        <w:spacing w:line="360" w:lineRule="auto"/>
        <w:ind w:firstLine="480" w:firstLineChars="200"/>
        <w:rPr>
          <w:rFonts w:ascii="宋体" w:eastAsia="宋体" w:hAnsi="宋体"/>
          <w:b/>
        </w:rPr>
      </w:pPr>
    </w:p>
    <w:p>
      <w:pPr>
        <w:spacing w:line="360" w:lineRule="auto"/>
        <w:ind w:firstLine="480" w:firstLineChars="200"/>
        <w:outlineLvl w:val="3"/>
        <w:rPr>
          <w:rFonts w:ascii="宋体" w:eastAsia="宋体" w:hAnsi="宋体"/>
          <w:bCs/>
          <w:szCs w:val="32"/>
        </w:rPr>
      </w:pPr>
      <w:r>
        <w:rPr>
          <w:rFonts w:ascii="宋体" w:eastAsia="宋体" w:hAnsi="宋体" w:hint="eastAsia"/>
          <w:bCs/>
          <w:szCs w:val="32"/>
        </w:rPr>
        <w:t>（二）中小企业声明函、残疾人福利性单位声明函及监狱企业声明函</w:t>
      </w:r>
    </w:p>
    <w:p>
      <w:pPr>
        <w:spacing w:line="360" w:lineRule="auto"/>
        <w:outlineLvl w:val="3"/>
        <w:rPr>
          <w:rFonts w:ascii="宋体" w:eastAsia="宋体" w:hAnsi="宋体"/>
          <w:bCs/>
          <w:szCs w:val="32"/>
        </w:rPr>
      </w:pP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填写指引：</w:t>
      </w:r>
    </w:p>
    <w:p>
      <w:pPr>
        <w:spacing w:line="360" w:lineRule="auto"/>
        <w:ind w:firstLine="480" w:firstLineChars="200"/>
        <w:outlineLvl w:val="3"/>
        <w:rPr>
          <w:rFonts w:ascii="宋体" w:eastAsia="宋体" w:hAnsi="宋体"/>
          <w:szCs w:val="21"/>
        </w:rPr>
      </w:pPr>
      <w:r>
        <w:rPr>
          <w:rFonts w:ascii="宋体" w:eastAsia="宋体" w:hAnsi="宋体" w:hint="eastAsia"/>
          <w:bCs/>
          <w:szCs w:val="21"/>
        </w:rPr>
        <w:t>1、该部分内容由投标人根据自身实际情况填写，不符合要求的投标人可以不填写或直接删除相应的声明函。</w:t>
      </w:r>
      <w:r>
        <w:rPr>
          <w:rFonts w:ascii="宋体" w:eastAsia="宋体" w:hAnsi="宋体" w:hint="eastAsia"/>
          <w:szCs w:val="21"/>
        </w:rPr>
        <w:t>投标人提供的声明函不属实的，属于提供虚假资料谋取中标，依照《中华人民共和国政府采购法》等国家有关规定追究相应责任。</w:t>
      </w:r>
    </w:p>
    <w:p>
      <w:pPr>
        <w:spacing w:line="360" w:lineRule="auto"/>
        <w:ind w:firstLine="480" w:firstLineChars="200"/>
        <w:outlineLvl w:val="3"/>
        <w:rPr>
          <w:rFonts w:ascii="宋体" w:eastAsia="宋体" w:hAnsi="宋体"/>
          <w:szCs w:val="21"/>
        </w:rPr>
      </w:pPr>
      <w:r>
        <w:rPr>
          <w:rFonts w:ascii="宋体" w:eastAsia="宋体" w:hAnsi="宋体" w:hint="eastAsia"/>
          <w:szCs w:val="21"/>
        </w:rPr>
        <w:t>2、该部分内容填写需要参考的相关文件：(</w:t>
      </w:r>
      <w:r>
        <w:rPr>
          <w:rFonts w:ascii="宋体" w:eastAsia="宋体" w:hAnsi="宋体"/>
          <w:szCs w:val="21"/>
        </w:rPr>
        <w:t>1</w:t>
      </w:r>
      <w:r>
        <w:rPr>
          <w:rFonts w:ascii="宋体" w:eastAsia="宋体" w:hAnsi="宋体" w:hint="eastAsia"/>
          <w:szCs w:val="21"/>
        </w:rPr>
        <w:t>)财政部《政府采购促进中小企业发展管理办法》（财库〔2020〕46号）；(</w:t>
      </w:r>
      <w:r>
        <w:rPr>
          <w:rFonts w:ascii="宋体" w:eastAsia="宋体" w:hAnsi="宋体"/>
          <w:szCs w:val="21"/>
        </w:rPr>
        <w:t>2</w:t>
      </w:r>
      <w:r>
        <w:rPr>
          <w:rFonts w:ascii="宋体" w:eastAsia="宋体" w:hAnsi="宋体" w:hint="eastAsia"/>
          <w:szCs w:val="21"/>
        </w:rPr>
        <w:t>)</w:t>
      </w:r>
      <w:bookmarkStart w:id="71" w:name="_Hlk71925120"/>
      <w:r>
        <w:rPr>
          <w:rFonts w:ascii="宋体" w:eastAsia="宋体" w:hAnsi="宋体" w:hint="eastAsia"/>
          <w:szCs w:val="21"/>
        </w:rPr>
        <w:t>《工业和信息化部、国家统计局、国家发展和改革委员会、财政部关于印发中小企业划型标准规定的通知》（工信部联企业〔2011〕300 号</w:t>
      </w:r>
      <w:bookmarkEnd w:id="71"/>
      <w:r>
        <w:rPr>
          <w:rFonts w:ascii="宋体" w:eastAsia="宋体" w:hAnsi="宋体" w:hint="eastAsia"/>
          <w:szCs w:val="21"/>
        </w:rPr>
        <w:t>，以下简称3</w:t>
      </w:r>
      <w:r>
        <w:rPr>
          <w:rFonts w:ascii="宋体" w:eastAsia="宋体" w:hAnsi="宋体"/>
          <w:szCs w:val="21"/>
        </w:rPr>
        <w:t>00</w:t>
      </w:r>
      <w:r>
        <w:rPr>
          <w:rFonts w:ascii="宋体" w:eastAsia="宋体" w:hAnsi="宋体" w:hint="eastAsia"/>
          <w:szCs w:val="21"/>
        </w:rPr>
        <w:t>号文）。</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3、请依照提供的格式和内容填写声明函，不要随意变更格式；声明函不需要盖章或签字；</w:t>
      </w:r>
      <w:r>
        <w:rPr>
          <w:rFonts w:ascii="宋体" w:eastAsia="宋体" w:hAnsi="宋体" w:hint="eastAsia"/>
          <w:szCs w:val="21"/>
        </w:rPr>
        <w:t>满足多项优惠政策的投标人，不重复享受多项价格扣除政策。</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4、声明函具体填写要求：</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（1）声明是中小企业须填写《中小企业声明函》的以下内容：</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第一处，在“单位名称”下划线处如实填写采购人名称（</w:t>
      </w:r>
      <w:r>
        <w:rPr>
          <w:rFonts w:ascii="宋体" w:eastAsia="宋体" w:hAnsi="宋体" w:hint="eastAsia"/>
          <w:bCs/>
          <w:szCs w:val="21"/>
          <w:lang w:val="en-US" w:eastAsia="zh-CN"/>
        </w:rPr>
        <w:t>立讯招标（深圳）有限公司</w:t>
      </w:r>
      <w:r>
        <w:rPr>
          <w:rFonts w:ascii="宋体" w:eastAsia="宋体" w:hAnsi="宋体" w:hint="eastAsia"/>
          <w:bCs/>
          <w:szCs w:val="21"/>
        </w:rPr>
        <w:t>不是本项目的采购人，而是组织实施机构）；</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第二处，在“项目名称”下划线处如实填写采购项目名称；</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第三处，在“标的名称”下划线处填写采购项目名称；</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第四处，在“招标文件中明确的所属行业”下划线处填写采购标的对应的中小企业划分标准所属行业（所属行业可在招标文件第一册第二章“对通用条款的补充内容及其他关键信息”章节查看）；</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（2）声明是残疾人福利性单位须填写《残疾人福利性单位声明函》的相关内容（填写位置的字体已加粗），具体参照以上《中小企业声明函》填写要求执行。</w:t>
      </w:r>
    </w:p>
    <w:p>
      <w:pPr>
        <w:spacing w:line="360" w:lineRule="auto"/>
        <w:ind w:firstLine="480" w:firstLineChars="200"/>
        <w:outlineLvl w:val="3"/>
        <w:rPr>
          <w:rFonts w:ascii="宋体" w:eastAsia="宋体" w:hAnsi="宋体"/>
          <w:bCs/>
          <w:szCs w:val="21"/>
        </w:rPr>
      </w:pPr>
      <w:r>
        <w:rPr>
          <w:rFonts w:ascii="宋体" w:eastAsia="宋体" w:hAnsi="宋体" w:hint="eastAsia"/>
          <w:bCs/>
          <w:szCs w:val="21"/>
        </w:rPr>
        <w:t>（3）声明是监狱企业须填写《监狱企业声明函》的相关内容（填写位置的字体已加粗），具体参照以上《中小企业声明函》填写要求执行。</w:t>
      </w:r>
    </w:p>
    <w:p>
      <w:pPr>
        <w:spacing w:line="360" w:lineRule="auto"/>
        <w:ind w:firstLine="480" w:firstLineChars="200"/>
        <w:rPr>
          <w:rFonts w:ascii="宋体" w:eastAsia="宋体" w:hAnsi="宋体"/>
        </w:rPr>
      </w:pPr>
      <w:r>
        <w:rPr>
          <w:rFonts w:ascii="宋体" w:eastAsia="宋体" w:hAnsi="宋体" w:hint="eastAsia"/>
          <w:bCs/>
          <w:szCs w:val="21"/>
        </w:rPr>
        <w:t>5、声明函的有效性最终由评审委员会判定；如评审委员会判定声明函无效，相关供应商不享受</w:t>
      </w:r>
      <w:r>
        <w:rPr>
          <w:rFonts w:ascii="宋体" w:eastAsia="宋体" w:hAnsi="宋体" w:hint="eastAsia"/>
          <w:szCs w:val="21"/>
        </w:rPr>
        <w:t>价格扣除</w:t>
      </w:r>
      <w:r>
        <w:rPr>
          <w:rFonts w:ascii="宋体" w:eastAsia="宋体" w:hAnsi="宋体" w:hint="eastAsia"/>
          <w:bCs/>
          <w:szCs w:val="21"/>
        </w:rPr>
        <w:t>（但不作投标无效处理）。</w:t>
      </w:r>
    </w:p>
    <w:p>
      <w:pPr>
        <w:spacing w:line="360" w:lineRule="auto"/>
        <w:ind w:firstLine="480" w:firstLineChars="200"/>
        <w:rPr>
          <w:rFonts w:ascii="宋体" w:eastAsia="宋体" w:hAnsi="宋体"/>
        </w:rPr>
      </w:pPr>
    </w:p>
    <w:p>
      <w:pPr>
        <w:spacing w:line="360" w:lineRule="auto"/>
        <w:jc w:val="center"/>
        <w:outlineLvl w:val="3"/>
        <w:rPr>
          <w:rFonts w:ascii="宋体" w:eastAsia="宋体" w:hAnsi="宋体"/>
          <w:b/>
        </w:rPr>
      </w:pPr>
      <w:r>
        <w:rPr>
          <w:rFonts w:ascii="宋体" w:eastAsia="宋体" w:hAnsi="宋体" w:hint="eastAsia"/>
          <w:b/>
        </w:rPr>
        <w:t>1、</w:t>
      </w:r>
      <w:r>
        <w:rPr>
          <w:rFonts w:ascii="宋体" w:eastAsia="宋体" w:hAnsi="宋体"/>
          <w:b/>
        </w:rPr>
        <w:t>中小企业声明函（</w:t>
      </w:r>
      <w:r>
        <w:rPr>
          <w:rFonts w:ascii="宋体" w:eastAsia="宋体" w:hAnsi="宋体" w:hint="eastAsia"/>
          <w:b/>
        </w:rPr>
        <w:t>服务</w:t>
      </w:r>
      <w:r>
        <w:rPr>
          <w:rFonts w:ascii="宋体" w:eastAsia="宋体" w:hAnsi="宋体"/>
          <w:b/>
        </w:rPr>
        <w:t xml:space="preserve">） </w:t>
      </w:r>
    </w:p>
    <w:p>
      <w:pPr>
        <w:spacing w:line="360" w:lineRule="auto"/>
        <w:ind w:firstLine="480" w:firstLineChars="200"/>
        <w:outlineLvl w:val="3"/>
        <w:rPr>
          <w:rFonts w:ascii="宋体" w:eastAsia="宋体" w:hAnsi="宋体"/>
          <w:szCs w:val="21"/>
        </w:rPr>
      </w:pPr>
      <w:r>
        <w:rPr>
          <w:rFonts w:ascii="宋体" w:eastAsia="宋体" w:hAnsi="宋体" w:cstheme="minorBidi"/>
          <w:szCs w:val="21"/>
        </w:rPr>
        <w:t>本</w:t>
      </w:r>
      <w:r>
        <w:rPr>
          <w:rFonts w:ascii="宋体" w:eastAsia="宋体" w:hAnsi="宋体" w:cstheme="minorBidi" w:hint="eastAsia"/>
          <w:szCs w:val="21"/>
        </w:rPr>
        <w:t>投标人</w:t>
      </w:r>
      <w:r>
        <w:rPr>
          <w:rFonts w:ascii="宋体" w:eastAsia="宋体" w:hAnsi="宋体" w:cstheme="minorBidi"/>
          <w:szCs w:val="21"/>
        </w:rPr>
        <w:t>郑重声明，根据《政府采购促进中小企业发展管理办法》（财库</w:t>
      </w:r>
      <w:r>
        <w:rPr>
          <w:rFonts w:ascii="宋体" w:eastAsia="宋体" w:hAnsi="宋体" w:cs="微软雅黑" w:hint="eastAsia"/>
          <w:szCs w:val="21"/>
        </w:rPr>
        <w:t>﹝</w:t>
      </w:r>
      <w:r>
        <w:rPr>
          <w:rFonts w:ascii="宋体" w:eastAsia="宋体" w:hAnsi="宋体" w:cstheme="minorBidi"/>
          <w:szCs w:val="21"/>
        </w:rPr>
        <w:t>2020</w:t>
      </w:r>
      <w:r>
        <w:rPr>
          <w:rFonts w:ascii="宋体" w:eastAsia="宋体" w:hAnsi="宋体" w:cs="微软雅黑" w:hint="eastAsia"/>
          <w:szCs w:val="21"/>
        </w:rPr>
        <w:t>﹞</w:t>
      </w:r>
      <w:r>
        <w:rPr>
          <w:rFonts w:ascii="宋体" w:eastAsia="宋体" w:hAnsi="宋体" w:cstheme="minorBidi"/>
          <w:szCs w:val="21"/>
        </w:rPr>
        <w:t>46 号）的规定，本</w:t>
      </w:r>
      <w:r>
        <w:rPr>
          <w:rFonts w:ascii="宋体" w:eastAsia="宋体" w:hAnsi="宋体" w:cstheme="minorBidi" w:hint="eastAsia"/>
          <w:szCs w:val="21"/>
        </w:rPr>
        <w:t>投标人</w:t>
      </w:r>
      <w:r>
        <w:rPr>
          <w:rFonts w:ascii="宋体" w:eastAsia="宋体" w:hAnsi="宋体" w:cstheme="minorBidi"/>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服务</w:t>
      </w:r>
      <w:r>
        <w:rPr>
          <w:rFonts w:ascii="宋体" w:eastAsia="宋体" w:hAnsi="宋体"/>
          <w:szCs w:val="21"/>
        </w:rPr>
        <w:t>全部由符合政策要求的中小企业</w:t>
      </w:r>
      <w:r>
        <w:rPr>
          <w:rFonts w:ascii="宋体" w:eastAsia="宋体" w:hAnsi="宋体" w:hint="eastAsia"/>
          <w:szCs w:val="21"/>
        </w:rPr>
        <w:t>承接</w:t>
      </w:r>
      <w:r>
        <w:rPr>
          <w:rFonts w:ascii="宋体" w:eastAsia="宋体" w:hAnsi="宋体"/>
          <w:szCs w:val="21"/>
        </w:rPr>
        <w:t>。相关企业的具体情况如下：</w:t>
      </w:r>
    </w:p>
    <w:p>
      <w:pPr>
        <w:spacing w:line="360" w:lineRule="auto"/>
        <w:ind w:firstLine="480" w:firstLineChars="200"/>
        <w:outlineLvl w:val="3"/>
        <w:rPr>
          <w:rFonts w:ascii="宋体" w:eastAsia="宋体" w:hAnsi="宋体"/>
          <w:szCs w:val="21"/>
        </w:rPr>
      </w:pPr>
      <w:r>
        <w:rPr>
          <w:rFonts w:ascii="宋体" w:eastAsia="宋体" w:hAnsi="宋体"/>
          <w:szCs w:val="21"/>
        </w:rPr>
        <w:t>1.</w:t>
      </w:r>
      <w:r>
        <w:rPr>
          <w:rFonts w:ascii="宋体" w:eastAsia="宋体" w:hAnsi="宋体"/>
          <w:b/>
          <w:bCs/>
          <w:szCs w:val="21"/>
          <w:u w:val="single"/>
        </w:rPr>
        <w:t xml:space="preserve"> （标的名称）</w:t>
      </w:r>
      <w:r>
        <w:rPr>
          <w:rFonts w:ascii="宋体" w:eastAsia="宋体" w:hAnsi="宋体"/>
          <w:szCs w:val="21"/>
        </w:rPr>
        <w:t xml:space="preserve"> ，属于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（中型企业、小型企业、微型企业）</w:t>
      </w:r>
      <w:r>
        <w:rPr>
          <w:rFonts w:ascii="宋体" w:eastAsia="宋体" w:hAnsi="宋体"/>
          <w:szCs w:val="21"/>
        </w:rPr>
        <w:t xml:space="preserve">； </w:t>
      </w:r>
    </w:p>
    <w:p>
      <w:pPr>
        <w:spacing w:line="360" w:lineRule="auto"/>
        <w:ind w:firstLine="480" w:firstLineChars="200"/>
        <w:outlineLvl w:val="3"/>
        <w:rPr>
          <w:rFonts w:ascii="宋体" w:eastAsia="宋体" w:hAnsi="宋体"/>
          <w:szCs w:val="21"/>
          <w:u w:val="single"/>
        </w:rPr>
      </w:pPr>
      <w:r>
        <w:rPr>
          <w:rFonts w:ascii="宋体" w:eastAsia="宋体" w:hAnsi="宋体"/>
          <w:szCs w:val="21"/>
        </w:rPr>
        <w:t>2.</w:t>
      </w:r>
      <w:r>
        <w:rPr>
          <w:rFonts w:ascii="宋体" w:eastAsia="宋体" w:hAnsi="宋体"/>
          <w:b/>
          <w:bCs/>
          <w:szCs w:val="21"/>
          <w:u w:val="single"/>
        </w:rPr>
        <w:t xml:space="preserve"> （标的名称）</w:t>
      </w:r>
      <w:r>
        <w:rPr>
          <w:rFonts w:ascii="宋体" w:eastAsia="宋体" w:hAnsi="宋体"/>
          <w:szCs w:val="21"/>
        </w:rPr>
        <w:t xml:space="preserve"> ，属于</w:t>
      </w:r>
      <w:r>
        <w:rPr>
          <w:rFonts w:ascii="宋体" w:eastAsia="宋体" w:hAnsi="宋体"/>
          <w:b/>
          <w:bCs/>
          <w:szCs w:val="21"/>
          <w:u w:val="single"/>
        </w:rPr>
        <w:t>（</w:t>
      </w:r>
      <w:r>
        <w:rPr>
          <w:rFonts w:ascii="宋体" w:eastAsia="宋体" w:hAnsi="宋体" w:hint="eastAsia"/>
          <w:b/>
          <w:bCs/>
          <w:szCs w:val="21"/>
          <w:u w:val="single"/>
        </w:rPr>
        <w:t>招标</w:t>
      </w:r>
      <w:r>
        <w:rPr>
          <w:rFonts w:ascii="宋体" w:eastAsia="宋体" w:hAnsi="宋体"/>
          <w:b/>
          <w:bCs/>
          <w:szCs w:val="21"/>
          <w:u w:val="single"/>
        </w:rPr>
        <w:t xml:space="preserve">文件中明确的所属行业） </w:t>
      </w:r>
      <w:r>
        <w:rPr>
          <w:rFonts w:ascii="宋体" w:eastAsia="宋体" w:hAnsi="宋体"/>
          <w:szCs w:val="21"/>
        </w:rPr>
        <w:t>行业；</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（企业名称）</w:t>
      </w:r>
      <w:r>
        <w:rPr>
          <w:rFonts w:ascii="宋体" w:eastAsia="宋体" w:hAnsi="宋体"/>
          <w:szCs w:val="21"/>
        </w:rPr>
        <w:t>，从业人员人，营业收入为万元，资产总额为万元 ，属于</w:t>
      </w:r>
      <w:r>
        <w:rPr>
          <w:rFonts w:ascii="宋体" w:eastAsia="宋体" w:hAnsi="宋体"/>
          <w:b/>
          <w:bCs/>
          <w:szCs w:val="21"/>
          <w:u w:val="single"/>
        </w:rPr>
        <w:t>（中型企业、小型企业、微型企业）</w:t>
      </w:r>
      <w:r>
        <w:rPr>
          <w:rFonts w:ascii="宋体" w:eastAsia="宋体" w:hAnsi="宋体" w:hint="eastAsia"/>
          <w:szCs w:val="21"/>
        </w:rPr>
        <w:t>；</w:t>
      </w:r>
    </w:p>
    <w:p>
      <w:pPr>
        <w:spacing w:line="360" w:lineRule="auto"/>
        <w:ind w:firstLine="480" w:firstLineChars="200"/>
        <w:outlineLvl w:val="3"/>
        <w:rPr>
          <w:rFonts w:ascii="宋体" w:eastAsia="宋体" w:hAnsi="宋体"/>
          <w:szCs w:val="21"/>
        </w:rPr>
      </w:pPr>
      <w:r>
        <w:rPr>
          <w:rFonts w:ascii="宋体" w:eastAsia="宋体" w:hAnsi="宋体"/>
          <w:szCs w:val="21"/>
        </w:rPr>
        <w:t xml:space="preserve">…… </w:t>
      </w:r>
    </w:p>
    <w:p>
      <w:pPr>
        <w:spacing w:line="360" w:lineRule="auto"/>
        <w:ind w:firstLine="480" w:firstLineChars="200"/>
        <w:outlineLvl w:val="3"/>
        <w:rPr>
          <w:rFonts w:ascii="宋体" w:eastAsia="宋体" w:hAnsi="宋体"/>
          <w:szCs w:val="21"/>
        </w:rPr>
      </w:pPr>
      <w:r>
        <w:rPr>
          <w:rFonts w:ascii="宋体" w:eastAsia="宋体" w:hAnsi="宋体"/>
          <w:szCs w:val="21"/>
        </w:rPr>
        <w:t>以上企业，不属于大企业的分支机构，不存在控股股东为大企业的情形，也不存在与大企业的负责人为同一人的情形。</w:t>
      </w:r>
    </w:p>
    <w:p>
      <w:pPr>
        <w:spacing w:line="360" w:lineRule="auto"/>
        <w:ind w:firstLine="480" w:firstLineChars="200"/>
        <w:outlineLvl w:val="3"/>
        <w:rPr>
          <w:rFonts w:ascii="宋体" w:eastAsia="宋体" w:hAnsi="宋体"/>
          <w:bCs/>
          <w:szCs w:val="21"/>
        </w:rPr>
      </w:pPr>
      <w:bookmarkStart w:id="72" w:name="_Hlk73562275"/>
      <w:r>
        <w:rPr>
          <w:rFonts w:ascii="宋体" w:eastAsia="宋体" w:hAnsi="宋体" w:hint="eastAsia"/>
        </w:rPr>
        <w:t>本</w:t>
      </w:r>
      <w:r>
        <w:rPr>
          <w:rFonts w:ascii="宋体" w:eastAsia="宋体" w:hAnsi="宋体"/>
        </w:rP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ascii="宋体" w:eastAsia="宋体" w:hAnsi="宋体" w:hint="eastAsia"/>
        </w:rPr>
        <w:t>投标人</w:t>
      </w:r>
      <w:r>
        <w:rPr>
          <w:rFonts w:ascii="宋体" w:eastAsia="宋体" w:hAnsi="宋体"/>
        </w:rPr>
        <w:t>按照本办法规定提供声明函内容不实的，属于提供虚假材料谋取中标，依照《政府采购法》等政府采购有关法律法规规定追究相应责任</w:t>
      </w:r>
      <w:r>
        <w:rPr>
          <w:rFonts w:ascii="宋体" w:eastAsia="宋体" w:hAnsi="宋体" w:hint="eastAsia"/>
        </w:rPr>
        <w:t>。</w:t>
      </w:r>
      <w:bookmarkEnd w:id="72"/>
    </w:p>
    <w:p>
      <w:pPr>
        <w:spacing w:line="360" w:lineRule="auto"/>
        <w:ind w:firstLine="480" w:firstLineChars="200"/>
        <w:rPr>
          <w:rFonts w:ascii="宋体" w:eastAsia="宋体" w:hAnsi="宋体"/>
          <w:szCs w:val="21"/>
        </w:rPr>
      </w:pPr>
    </w:p>
    <w:p>
      <w:pPr>
        <w:spacing w:line="360" w:lineRule="auto"/>
        <w:rPr>
          <w:rFonts w:ascii="宋体" w:eastAsia="宋体" w:hAnsi="宋体"/>
        </w:rPr>
      </w:pPr>
    </w:p>
    <w:p>
      <w:pPr>
        <w:spacing w:line="360" w:lineRule="auto"/>
        <w:ind w:firstLine="480" w:firstLineChars="200"/>
        <w:rPr>
          <w:rFonts w:ascii="宋体" w:eastAsia="宋体" w:hAnsi="宋体"/>
        </w:rPr>
      </w:pPr>
    </w:p>
    <w:p>
      <w:pPr>
        <w:spacing w:line="360" w:lineRule="auto"/>
        <w:jc w:val="center"/>
        <w:outlineLvl w:val="3"/>
        <w:rPr>
          <w:rFonts w:ascii="宋体" w:eastAsia="宋体" w:hAnsi="宋体"/>
          <w:b/>
        </w:rPr>
      </w:pPr>
      <w:r>
        <w:rPr>
          <w:rFonts w:ascii="宋体" w:eastAsia="宋体" w:hAnsi="宋体" w:hint="eastAsia"/>
          <w:b/>
        </w:rPr>
        <w:t>2、残疾人福利性单位声明函（服务类）</w:t>
      </w:r>
    </w:p>
    <w:p>
      <w:pPr>
        <w:spacing w:line="360" w:lineRule="auto"/>
        <w:rPr>
          <w:rFonts w:ascii="宋体" w:eastAsia="宋体" w:hAnsi="宋体"/>
          <w:b/>
          <w:bCs/>
        </w:rPr>
      </w:pPr>
    </w:p>
    <w:p>
      <w:pPr>
        <w:spacing w:line="360" w:lineRule="auto"/>
        <w:ind w:firstLine="480" w:firstLineChars="200"/>
        <w:rPr>
          <w:rFonts w:ascii="宋体" w:eastAsia="宋体" w:hAnsi="宋体"/>
          <w:szCs w:val="21"/>
        </w:rPr>
      </w:pPr>
      <w:r>
        <w:rPr>
          <w:rFonts w:ascii="宋体" w:eastAsia="宋体" w:hAnsi="宋体" w:cstheme="minorBidi"/>
          <w:szCs w:val="21"/>
        </w:rPr>
        <w:t>本</w:t>
      </w:r>
      <w:r>
        <w:rPr>
          <w:rFonts w:ascii="宋体" w:eastAsia="宋体" w:hAnsi="宋体" w:cstheme="minorBidi" w:hint="eastAsia"/>
          <w:szCs w:val="21"/>
        </w:rPr>
        <w:t>投标人</w:t>
      </w:r>
      <w:r>
        <w:rPr>
          <w:rFonts w:ascii="宋体" w:eastAsia="宋体" w:hAnsi="宋体" w:hint="eastAsia"/>
          <w:szCs w:val="21"/>
        </w:rPr>
        <w:t>郑重声明，根据《财政部民政部中国残疾人联合会关于促进残疾人就业政府采购政策的通知》（财库〔</w:t>
      </w:r>
      <w:r>
        <w:rPr>
          <w:rFonts w:ascii="宋体" w:eastAsia="宋体" w:hAnsi="宋体"/>
          <w:szCs w:val="21"/>
        </w:rPr>
        <w:t>2017</w:t>
      </w:r>
      <w:r>
        <w:rPr>
          <w:rFonts w:ascii="宋体" w:eastAsia="宋体" w:hAnsi="宋体" w:hint="eastAsia"/>
          <w:szCs w:val="21"/>
        </w:rPr>
        <w:t>〕</w:t>
      </w:r>
      <w:r>
        <w:rPr>
          <w:rFonts w:ascii="宋体" w:eastAsia="宋体" w:hAnsi="宋体"/>
          <w:szCs w:val="21"/>
        </w:rPr>
        <w:t xml:space="preserve">141 </w:t>
      </w:r>
      <w:r>
        <w:rPr>
          <w:rFonts w:ascii="宋体" w:eastAsia="宋体" w:hAnsi="宋体" w:hint="eastAsia"/>
          <w:szCs w:val="21"/>
        </w:rPr>
        <w:t>号）的规定，本投标人</w:t>
      </w:r>
      <w:r>
        <w:rPr>
          <w:rFonts w:ascii="宋体" w:eastAsia="宋体" w:hAnsi="宋体" w:cstheme="minorBidi"/>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服务</w:t>
      </w:r>
      <w:r>
        <w:rPr>
          <w:rFonts w:ascii="宋体" w:eastAsia="宋体" w:hAnsi="宋体"/>
          <w:szCs w:val="21"/>
        </w:rPr>
        <w:t>全部由符合政策要求的</w:t>
      </w:r>
      <w:r>
        <w:rPr>
          <w:rFonts w:ascii="宋体" w:eastAsia="宋体" w:hAnsi="宋体" w:hint="eastAsia"/>
          <w:szCs w:val="21"/>
        </w:rPr>
        <w:t>残疾人福利性单位承接</w:t>
      </w:r>
      <w:r>
        <w:rPr>
          <w:rFonts w:ascii="宋体" w:eastAsia="宋体" w:hAnsi="宋体"/>
          <w:szCs w:val="21"/>
        </w:rPr>
        <w:t>。相关</w:t>
      </w:r>
      <w:r>
        <w:rPr>
          <w:rFonts w:ascii="宋体" w:eastAsia="宋体" w:hAnsi="宋体" w:hint="eastAsia"/>
          <w:szCs w:val="21"/>
        </w:rPr>
        <w:t>残疾人福利性单位</w:t>
      </w:r>
      <w:r>
        <w:rPr>
          <w:rFonts w:ascii="宋体" w:eastAsia="宋体" w:hAnsi="宋体"/>
          <w:szCs w:val="21"/>
        </w:rPr>
        <w:t>的具体情况如下：</w:t>
      </w:r>
    </w:p>
    <w:p>
      <w:pPr>
        <w:spacing w:line="360" w:lineRule="auto"/>
        <w:ind w:firstLine="480" w:firstLineChars="200"/>
        <w:rPr>
          <w:rFonts w:ascii="宋体" w:eastAsia="宋体" w:hAnsi="宋体"/>
          <w:szCs w:val="21"/>
        </w:rPr>
      </w:pPr>
      <w:r>
        <w:rPr>
          <w:rFonts w:ascii="宋体" w:eastAsia="宋体" w:hAnsi="宋体"/>
          <w:szCs w:val="21"/>
        </w:rPr>
        <w:t>1.</w:t>
      </w:r>
      <w:r>
        <w:rPr>
          <w:rFonts w:ascii="宋体" w:eastAsia="宋体" w:hAnsi="宋体"/>
          <w:b/>
          <w:bCs/>
          <w:szCs w:val="21"/>
          <w:u w:val="single"/>
        </w:rPr>
        <w:t xml:space="preserve"> （标的名称）</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单位</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残疾人福利性单位</w:t>
      </w:r>
      <w:r>
        <w:rPr>
          <w:rFonts w:ascii="宋体" w:eastAsia="宋体" w:hAnsi="宋体"/>
          <w:szCs w:val="21"/>
        </w:rPr>
        <w:t>；</w:t>
      </w:r>
    </w:p>
    <w:p>
      <w:pPr>
        <w:spacing w:line="360" w:lineRule="auto"/>
        <w:ind w:firstLine="480" w:firstLineChars="200"/>
        <w:rPr>
          <w:rFonts w:ascii="宋体" w:eastAsia="宋体" w:hAnsi="宋体"/>
          <w:szCs w:val="21"/>
        </w:rPr>
      </w:pPr>
      <w:r>
        <w:rPr>
          <w:rFonts w:ascii="宋体" w:eastAsia="宋体" w:hAnsi="宋体"/>
          <w:szCs w:val="21"/>
        </w:rPr>
        <w:t>2.</w:t>
      </w:r>
      <w:r>
        <w:rPr>
          <w:rFonts w:ascii="宋体" w:eastAsia="宋体" w:hAnsi="宋体"/>
          <w:b/>
          <w:bCs/>
          <w:szCs w:val="21"/>
          <w:u w:val="single"/>
        </w:rPr>
        <w:t xml:space="preserve"> （标的名称）</w:t>
      </w:r>
      <w:r>
        <w:rPr>
          <w:rFonts w:ascii="宋体" w:eastAsia="宋体" w:hAnsi="宋体" w:hint="eastAsia"/>
          <w:szCs w:val="21"/>
        </w:rPr>
        <w:t>，承接企业</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单位</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残疾人福利性单位</w:t>
      </w:r>
      <w:r>
        <w:rPr>
          <w:rFonts w:ascii="宋体" w:eastAsia="宋体" w:hAnsi="宋体" w:hint="eastAsia"/>
          <w:szCs w:val="21"/>
        </w:rPr>
        <w:t>。</w:t>
      </w:r>
    </w:p>
    <w:p>
      <w:pPr>
        <w:spacing w:line="360" w:lineRule="auto"/>
        <w:ind w:firstLine="480" w:firstLineChars="200"/>
        <w:outlineLvl w:val="3"/>
        <w:rPr>
          <w:rFonts w:ascii="宋体" w:eastAsia="宋体" w:hAnsi="宋体"/>
          <w:szCs w:val="21"/>
        </w:rPr>
      </w:pPr>
      <w:r>
        <w:rPr>
          <w:rFonts w:ascii="宋体" w:eastAsia="宋体" w:hAnsi="宋体"/>
          <w:szCs w:val="21"/>
        </w:rPr>
        <w:t xml:space="preserve">…… </w:t>
      </w:r>
    </w:p>
    <w:p>
      <w:pPr>
        <w:spacing w:line="360" w:lineRule="auto"/>
        <w:ind w:firstLine="480" w:firstLineChars="200"/>
        <w:rPr>
          <w:rFonts w:ascii="宋体" w:eastAsia="宋体" w:hAnsi="宋体"/>
          <w:szCs w:val="21"/>
        </w:rPr>
      </w:pPr>
      <w:r>
        <w:rPr>
          <w:rFonts w:ascii="宋体" w:eastAsia="宋体" w:hAnsi="宋体" w:hint="eastAsia"/>
        </w:rPr>
        <w:t>本</w:t>
      </w:r>
      <w:r>
        <w:rPr>
          <w:rFonts w:ascii="宋体" w:eastAsia="宋体" w:hAnsi="宋体"/>
        </w:rPr>
        <w:t>投标人</w:t>
      </w:r>
      <w:r>
        <w:rPr>
          <w:rFonts w:ascii="宋体" w:eastAsia="宋体" w:hAnsi="宋体" w:hint="eastAsia"/>
        </w:rPr>
        <w:t>已</w:t>
      </w:r>
      <w:r>
        <w:rPr>
          <w:rFonts w:ascii="宋体" w:eastAsia="宋体" w:hAnsi="宋体"/>
        </w:rPr>
        <w:t>知悉</w:t>
      </w:r>
      <w:r>
        <w:rPr>
          <w:rFonts w:ascii="宋体" w:eastAsia="宋体" w:hAnsi="宋体" w:hint="eastAsia"/>
        </w:rPr>
        <w:t>《财政部民政部中国残疾人联合会关于促进残疾人就业政府采购政策的通知》（财库〔2017〕141 号）</w:t>
      </w:r>
      <w:r>
        <w:rPr>
          <w:rFonts w:ascii="宋体" w:eastAsia="宋体" w:hAnsi="宋体"/>
        </w:rPr>
        <w:t>的规定，承诺提供的声明函内容是真实的，如提供声明函内容不实，则依法追究相关法律责任</w:t>
      </w:r>
      <w:r>
        <w:rPr>
          <w:rFonts w:ascii="宋体" w:eastAsia="宋体" w:hAnsi="宋体" w:hint="eastAsia"/>
        </w:rPr>
        <w:t>。</w:t>
      </w:r>
    </w:p>
    <w:p>
      <w:pPr>
        <w:spacing w:line="360" w:lineRule="auto"/>
        <w:ind w:firstLine="480" w:firstLineChars="200"/>
        <w:rPr>
          <w:rFonts w:ascii="宋体" w:eastAsia="宋体" w:hAnsi="宋体"/>
          <w:szCs w:val="21"/>
        </w:rPr>
      </w:pPr>
    </w:p>
    <w:p>
      <w:pPr>
        <w:spacing w:line="360" w:lineRule="auto"/>
        <w:ind w:firstLine="480" w:firstLineChars="200"/>
        <w:rPr>
          <w:rFonts w:ascii="宋体" w:hAnsi="宋体"/>
          <w:szCs w:val="21"/>
        </w:rPr>
      </w:pPr>
    </w:p>
    <w:p>
      <w:pPr>
        <w:spacing w:line="360" w:lineRule="auto"/>
        <w:jc w:val="center"/>
        <w:outlineLvl w:val="3"/>
        <w:rPr>
          <w:rFonts w:ascii="宋体" w:eastAsia="宋体" w:hAnsi="宋体"/>
          <w:b/>
        </w:rPr>
      </w:pPr>
      <w:r>
        <w:rPr>
          <w:rFonts w:ascii="宋体" w:eastAsia="宋体" w:hAnsi="宋体" w:hint="eastAsia"/>
          <w:b/>
        </w:rPr>
        <w:t>3、监狱企业声明函【服务类，监狱企业如需享受优惠政策，还须另行提供省级以上监狱管理局、戒毒管理局（含新疆生产建设兵团）出具的监狱企业证明文件】</w:t>
      </w:r>
    </w:p>
    <w:p>
      <w:pPr>
        <w:spacing w:line="360" w:lineRule="auto"/>
        <w:ind w:firstLine="480" w:firstLineChars="200"/>
        <w:rPr>
          <w:rFonts w:ascii="宋体" w:eastAsia="宋体" w:hAnsi="宋体"/>
          <w:szCs w:val="21"/>
        </w:rPr>
      </w:pPr>
      <w:r>
        <w:rPr>
          <w:rFonts w:ascii="宋体" w:eastAsia="宋体" w:hAnsi="宋体" w:hint="eastAsia"/>
          <w:szCs w:val="21"/>
        </w:rPr>
        <w:t>本投标人郑重声明，根据《财政部司法部关于政府采购支持监狱企业发展有关问题的通知》（财库〔</w:t>
      </w:r>
      <w:r>
        <w:rPr>
          <w:rFonts w:ascii="宋体" w:eastAsia="宋体" w:hAnsi="宋体"/>
          <w:szCs w:val="21"/>
        </w:rPr>
        <w:t>2014</w:t>
      </w:r>
      <w:r>
        <w:rPr>
          <w:rFonts w:ascii="宋体" w:eastAsia="宋体" w:hAnsi="宋体" w:hint="eastAsia"/>
          <w:szCs w:val="21"/>
        </w:rPr>
        <w:t>〕</w:t>
      </w:r>
      <w:r>
        <w:rPr>
          <w:rFonts w:ascii="宋体" w:eastAsia="宋体" w:hAnsi="宋体"/>
          <w:szCs w:val="21"/>
        </w:rPr>
        <w:t>68</w:t>
      </w:r>
      <w:r>
        <w:rPr>
          <w:rFonts w:ascii="宋体" w:eastAsia="宋体" w:hAnsi="宋体" w:hint="eastAsia"/>
          <w:szCs w:val="21"/>
        </w:rPr>
        <w:t>号）的规定，本投标人</w:t>
      </w:r>
      <w:r>
        <w:rPr>
          <w:rFonts w:ascii="宋体" w:eastAsia="宋体" w:hAnsi="宋体" w:cstheme="minorBidi"/>
          <w:szCs w:val="21"/>
        </w:rPr>
        <w:t>参加</w:t>
      </w:r>
      <w:r>
        <w:rPr>
          <w:rFonts w:ascii="宋体" w:eastAsia="宋体" w:hAnsi="宋体"/>
          <w:b/>
          <w:bCs/>
          <w:szCs w:val="21"/>
          <w:u w:val="single"/>
        </w:rPr>
        <w:t>（</w:t>
      </w:r>
      <w:r>
        <w:rPr>
          <w:rFonts w:ascii="宋体" w:eastAsia="宋体" w:hAnsi="宋体" w:hint="eastAsia"/>
          <w:b/>
          <w:bCs/>
          <w:szCs w:val="21"/>
          <w:u w:val="single"/>
        </w:rPr>
        <w:t>采购人</w:t>
      </w:r>
      <w:r>
        <w:rPr>
          <w:rFonts w:ascii="宋体" w:eastAsia="宋体" w:hAnsi="宋体"/>
          <w:b/>
          <w:bCs/>
          <w:szCs w:val="21"/>
          <w:u w:val="single"/>
        </w:rPr>
        <w:t>名称）</w:t>
      </w:r>
      <w:r>
        <w:rPr>
          <w:rFonts w:ascii="宋体" w:eastAsia="宋体" w:hAnsi="宋体"/>
          <w:szCs w:val="21"/>
        </w:rPr>
        <w:t>的</w:t>
      </w:r>
      <w:r>
        <w:rPr>
          <w:rFonts w:ascii="宋体" w:eastAsia="宋体" w:hAnsi="宋体"/>
          <w:b/>
          <w:bCs/>
          <w:szCs w:val="21"/>
          <w:u w:val="single"/>
        </w:rPr>
        <w:t>（项目名称）</w:t>
      </w:r>
      <w:r>
        <w:rPr>
          <w:rFonts w:ascii="宋体" w:eastAsia="宋体" w:hAnsi="宋体"/>
          <w:szCs w:val="21"/>
        </w:rPr>
        <w:t>采购活动，</w:t>
      </w:r>
      <w:r>
        <w:rPr>
          <w:rFonts w:ascii="宋体" w:eastAsia="宋体" w:hAnsi="宋体" w:hint="eastAsia"/>
          <w:szCs w:val="21"/>
        </w:rPr>
        <w:t>服务</w:t>
      </w:r>
      <w:r>
        <w:rPr>
          <w:rFonts w:ascii="宋体" w:eastAsia="宋体" w:hAnsi="宋体"/>
          <w:szCs w:val="21"/>
        </w:rPr>
        <w:t>全部由符合政策要求的</w:t>
      </w:r>
      <w:r>
        <w:rPr>
          <w:rFonts w:ascii="宋体" w:eastAsia="宋体" w:hAnsi="宋体" w:hint="eastAsia"/>
          <w:szCs w:val="21"/>
        </w:rPr>
        <w:t>监狱企业承接</w:t>
      </w:r>
      <w:r>
        <w:rPr>
          <w:rFonts w:ascii="宋体" w:eastAsia="宋体" w:hAnsi="宋体"/>
          <w:szCs w:val="21"/>
        </w:rPr>
        <w:t>。相关</w:t>
      </w:r>
      <w:r>
        <w:rPr>
          <w:rFonts w:ascii="宋体" w:eastAsia="宋体" w:hAnsi="宋体" w:hint="eastAsia"/>
          <w:szCs w:val="21"/>
        </w:rPr>
        <w:t>监狱企业</w:t>
      </w:r>
      <w:r>
        <w:rPr>
          <w:rFonts w:ascii="宋体" w:eastAsia="宋体" w:hAnsi="宋体"/>
          <w:szCs w:val="21"/>
        </w:rPr>
        <w:t>的具体情况如下：</w:t>
      </w:r>
    </w:p>
    <w:p>
      <w:pPr>
        <w:spacing w:line="360" w:lineRule="auto"/>
        <w:ind w:firstLine="480" w:firstLineChars="200"/>
        <w:rPr>
          <w:rFonts w:ascii="宋体" w:eastAsia="宋体" w:hAnsi="宋体"/>
          <w:szCs w:val="21"/>
        </w:rPr>
      </w:pPr>
      <w:r>
        <w:rPr>
          <w:rFonts w:ascii="宋体" w:eastAsia="宋体" w:hAnsi="宋体"/>
          <w:szCs w:val="21"/>
        </w:rPr>
        <w:t>1.</w:t>
      </w:r>
      <w:r>
        <w:rPr>
          <w:rFonts w:ascii="宋体" w:eastAsia="宋体" w:hAnsi="宋体"/>
          <w:b/>
          <w:bCs/>
          <w:szCs w:val="21"/>
          <w:u w:val="single"/>
        </w:rPr>
        <w:t xml:space="preserve"> （标的名称）</w:t>
      </w:r>
      <w:r>
        <w:rPr>
          <w:rFonts w:ascii="宋体" w:eastAsia="宋体" w:hAnsi="宋体" w:hint="eastAsia"/>
          <w:szCs w:val="21"/>
        </w:rPr>
        <w:t>，承接单位</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企业</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监狱企业</w:t>
      </w:r>
      <w:r>
        <w:rPr>
          <w:rFonts w:ascii="宋体" w:eastAsia="宋体" w:hAnsi="宋体"/>
          <w:szCs w:val="21"/>
        </w:rPr>
        <w:t>；</w:t>
      </w:r>
    </w:p>
    <w:p>
      <w:pPr>
        <w:spacing w:line="360" w:lineRule="auto"/>
        <w:ind w:firstLine="480" w:firstLineChars="200"/>
        <w:rPr>
          <w:rFonts w:ascii="宋体" w:eastAsia="宋体" w:hAnsi="宋体"/>
          <w:szCs w:val="21"/>
        </w:rPr>
      </w:pPr>
      <w:r>
        <w:rPr>
          <w:rFonts w:ascii="宋体" w:eastAsia="宋体" w:hAnsi="宋体"/>
          <w:szCs w:val="21"/>
        </w:rPr>
        <w:t>2.</w:t>
      </w:r>
      <w:r>
        <w:rPr>
          <w:rFonts w:ascii="宋体" w:eastAsia="宋体" w:hAnsi="宋体"/>
          <w:b/>
          <w:bCs/>
          <w:szCs w:val="21"/>
          <w:u w:val="single"/>
        </w:rPr>
        <w:t xml:space="preserve"> （标的名称）</w:t>
      </w:r>
      <w:r>
        <w:rPr>
          <w:rFonts w:ascii="宋体" w:eastAsia="宋体" w:hAnsi="宋体" w:hint="eastAsia"/>
          <w:szCs w:val="21"/>
        </w:rPr>
        <w:t>，承接单位</w:t>
      </w:r>
      <w:r>
        <w:rPr>
          <w:rFonts w:ascii="宋体" w:eastAsia="宋体" w:hAnsi="宋体"/>
          <w:szCs w:val="21"/>
        </w:rPr>
        <w:t>为</w:t>
      </w:r>
      <w:r>
        <w:rPr>
          <w:rFonts w:ascii="宋体" w:eastAsia="宋体" w:hAnsi="宋体"/>
          <w:b/>
          <w:bCs/>
          <w:szCs w:val="21"/>
          <w:u w:val="single"/>
        </w:rPr>
        <w:t>（</w:t>
      </w:r>
      <w:r>
        <w:rPr>
          <w:rFonts w:ascii="宋体" w:eastAsia="宋体" w:hAnsi="宋体" w:hint="eastAsia"/>
          <w:b/>
          <w:bCs/>
          <w:szCs w:val="21"/>
          <w:u w:val="single"/>
        </w:rPr>
        <w:t>企业</w:t>
      </w:r>
      <w:r>
        <w:rPr>
          <w:rFonts w:ascii="宋体" w:eastAsia="宋体" w:hAnsi="宋体"/>
          <w:b/>
          <w:bCs/>
          <w:szCs w:val="21"/>
          <w:u w:val="single"/>
        </w:rPr>
        <w:t>名称）</w:t>
      </w:r>
      <w:r>
        <w:rPr>
          <w:rFonts w:ascii="宋体" w:eastAsia="宋体" w:hAnsi="宋体"/>
          <w:szCs w:val="21"/>
        </w:rPr>
        <w:t>，属于</w:t>
      </w:r>
      <w:r>
        <w:rPr>
          <w:rFonts w:ascii="宋体" w:eastAsia="宋体" w:hAnsi="宋体" w:hint="eastAsia"/>
          <w:b/>
          <w:bCs/>
          <w:szCs w:val="21"/>
          <w:u w:val="single"/>
        </w:rPr>
        <w:t>监狱企业</w:t>
      </w:r>
      <w:r>
        <w:rPr>
          <w:rFonts w:ascii="宋体" w:eastAsia="宋体" w:hAnsi="宋体" w:hint="eastAsia"/>
          <w:szCs w:val="21"/>
        </w:rPr>
        <w:t>。</w:t>
      </w:r>
    </w:p>
    <w:p>
      <w:pPr>
        <w:spacing w:line="360" w:lineRule="auto"/>
        <w:ind w:firstLine="480" w:firstLineChars="200"/>
        <w:outlineLvl w:val="3"/>
        <w:rPr>
          <w:rFonts w:ascii="宋体" w:eastAsia="宋体" w:hAnsi="宋体"/>
          <w:szCs w:val="21"/>
        </w:rPr>
      </w:pPr>
      <w:r>
        <w:rPr>
          <w:rFonts w:ascii="宋体" w:eastAsia="宋体" w:hAnsi="宋体"/>
          <w:szCs w:val="21"/>
        </w:rPr>
        <w:t xml:space="preserve">…… </w:t>
      </w:r>
    </w:p>
    <w:p>
      <w:pPr>
        <w:spacing w:line="360" w:lineRule="auto"/>
        <w:ind w:firstLine="480" w:firstLineChars="200"/>
        <w:rPr>
          <w:rFonts w:ascii="宋体" w:eastAsia="宋体" w:hAnsi="宋体"/>
          <w:szCs w:val="21"/>
        </w:rPr>
      </w:pPr>
      <w:r>
        <w:rPr>
          <w:rFonts w:ascii="宋体" w:eastAsia="宋体" w:hAnsi="宋体" w:cstheme="minorBidi"/>
          <w:szCs w:val="21"/>
        </w:rPr>
        <w:t>本</w:t>
      </w:r>
      <w:r>
        <w:rPr>
          <w:rFonts w:ascii="宋体" w:eastAsia="宋体" w:hAnsi="宋体" w:cstheme="minorBidi" w:hint="eastAsia"/>
          <w:szCs w:val="21"/>
        </w:rPr>
        <w:t>投标人</w:t>
      </w:r>
      <w:r>
        <w:rPr>
          <w:rFonts w:ascii="宋体" w:eastAsia="宋体" w:hAnsi="宋体"/>
          <w:szCs w:val="21"/>
        </w:rPr>
        <w:t>对上述声明内容的真实性负责。如有虚假，将依法承担相应责任。</w:t>
      </w:r>
    </w:p>
    <w:p>
      <w:pPr>
        <w:spacing w:line="360" w:lineRule="auto"/>
        <w:ind w:firstLine="480" w:firstLineChars="200"/>
        <w:rPr>
          <w:rFonts w:ascii="宋体" w:eastAsia="宋体" w:hAnsi="宋体"/>
          <w:szCs w:val="21"/>
        </w:rPr>
      </w:pPr>
      <w:r>
        <w:rPr>
          <w:rFonts w:ascii="宋体" w:eastAsia="宋体" w:hAnsi="宋体" w:hint="eastAsia"/>
          <w:szCs w:val="21"/>
        </w:rPr>
        <w:t>附：省级以上监狱管理局、戒毒管理局（含新疆生产建设兵团）出具的监狱企业证明文件。</w:t>
      </w:r>
    </w:p>
    <w:p>
      <w:pPr>
        <w:spacing w:line="360" w:lineRule="auto"/>
        <w:ind w:left="723" w:hanging="720" w:hangingChars="300"/>
        <w:rPr>
          <w:rFonts w:ascii="宋体" w:eastAsia="宋体" w:hAnsi="宋体"/>
          <w:b/>
        </w:rPr>
      </w:pPr>
    </w:p>
    <w:p>
      <w:pPr>
        <w:spacing w:line="360" w:lineRule="auto"/>
        <w:jc w:val="center"/>
        <w:rPr>
          <w:rFonts w:ascii="宋体" w:eastAsia="宋体" w:hAnsi="宋体"/>
          <w:bCs/>
          <w:szCs w:val="32"/>
        </w:rPr>
      </w:pPr>
    </w:p>
    <w:p>
      <w:pPr>
        <w:rPr>
          <w:rFonts w:ascii="宋体" w:eastAsia="宋体" w:hAnsi="宋体"/>
          <w:bCs/>
          <w:szCs w:val="32"/>
        </w:rPr>
      </w:pPr>
    </w:p>
    <w:p>
      <w:pPr>
        <w:spacing w:line="360" w:lineRule="auto"/>
        <w:ind w:left="723" w:hanging="720" w:hangingChars="300"/>
        <w:rPr>
          <w:rFonts w:ascii="宋体" w:eastAsia="宋体" w:hAnsi="宋体"/>
          <w:b/>
        </w:rPr>
      </w:pPr>
    </w:p>
    <w:p>
      <w:pPr>
        <w:rPr>
          <w:rFonts w:ascii="宋体" w:eastAsia="宋体" w:hAnsi="宋体"/>
          <w:bCs/>
        </w:rPr>
      </w:pPr>
      <w:r>
        <w:rPr>
          <w:rFonts w:ascii="宋体" w:eastAsia="宋体" w:hAnsi="宋体" w:hint="eastAsia"/>
          <w:bCs/>
        </w:rPr>
        <w:br w:type="page"/>
      </w:r>
    </w:p>
    <w:p>
      <w:pPr>
        <w:keepNext/>
        <w:keepLines/>
        <w:spacing w:before="260" w:after="260" w:line="360" w:lineRule="auto"/>
        <w:jc w:val="center"/>
        <w:outlineLvl w:val="2"/>
        <w:rPr>
          <w:rFonts w:ascii="宋体" w:eastAsia="宋体" w:hAnsi="宋体"/>
          <w:bCs/>
        </w:rPr>
      </w:pPr>
      <w:r>
        <w:rPr>
          <w:rFonts w:ascii="宋体" w:eastAsia="宋体" w:hAnsi="宋体" w:hint="eastAsia"/>
          <w:bCs/>
        </w:rPr>
        <w:t>四、</w:t>
      </w:r>
      <w:bookmarkStart w:id="73" w:name="OLE_LINK38"/>
      <w:bookmarkStart w:id="74" w:name="OLE_LINK37"/>
      <w:r>
        <w:rPr>
          <w:rFonts w:ascii="宋体" w:eastAsia="宋体" w:hAnsi="宋体" w:hint="eastAsia"/>
          <w:szCs w:val="21"/>
        </w:rPr>
        <w:t>项目投标分项报价表</w:t>
      </w:r>
      <w:bookmarkEnd w:id="73"/>
      <w:bookmarkEnd w:id="74"/>
    </w:p>
    <w:p>
      <w:pPr>
        <w:wordWrap w:val="0"/>
        <w:spacing w:line="360" w:lineRule="auto"/>
        <w:rPr>
          <w:rFonts w:eastAsia="宋体"/>
        </w:rPr>
      </w:pPr>
      <w:r>
        <w:rPr>
          <w:rFonts w:ascii="宋体" w:eastAsia="宋体" w:hAnsi="宋体" w:hint="eastAsia"/>
        </w:rPr>
        <w:t xml:space="preserve">投标人名称：             </w:t>
      </w:r>
      <w:r>
        <w:rPr>
          <w:rFonts w:ascii="宋体" w:eastAsia="宋体" w:hAnsi="宋体" w:hint="eastAsia"/>
          <w:b/>
          <w:bCs/>
        </w:rPr>
        <w:t xml:space="preserve"> </w:t>
      </w:r>
      <w:r>
        <w:rPr>
          <w:rFonts w:ascii="宋体" w:eastAsia="宋体" w:hAnsi="宋体" w:hint="eastAsia"/>
        </w:rPr>
        <w:t xml:space="preserve">      项目编号：</w:t>
      </w:r>
    </w:p>
    <w:tbl>
      <w:tblPr>
        <w:tblStyle w:val="TableNormal"/>
        <w:tblpPr w:leftFromText="180" w:rightFromText="180" w:vertAnchor="text" w:tblpY="1"/>
        <w:tblOverlap w:val="never"/>
        <w:tblW w:w="5000" w:type="pct"/>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996"/>
        <w:gridCol w:w="2781"/>
        <w:gridCol w:w="959"/>
        <w:gridCol w:w="920"/>
        <w:gridCol w:w="1167"/>
        <w:gridCol w:w="922"/>
        <w:gridCol w:w="1202"/>
      </w:tblGrid>
      <w:tr>
        <w:tblPrEx>
          <w:tblW w:w="5000" w:type="pct"/>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Ex>
        <w:trPr>
          <w:cantSplit/>
          <w:trHeight w:val="703"/>
        </w:trPr>
        <w:tc>
          <w:tcPr>
            <w:tcW w:w="557" w:type="pct"/>
            <w:vAlign w:val="center"/>
          </w:tcPr>
          <w:p>
            <w:pPr>
              <w:jc w:val="center"/>
              <w:rPr>
                <w:rFonts w:ascii="宋体" w:eastAsia="宋体" w:hAnsi="宋体"/>
              </w:rPr>
            </w:pPr>
            <w:r>
              <w:rPr>
                <w:rFonts w:ascii="宋体" w:eastAsia="宋体" w:hAnsi="宋体" w:hint="eastAsia"/>
              </w:rPr>
              <w:t>序号</w:t>
            </w:r>
          </w:p>
        </w:tc>
        <w:tc>
          <w:tcPr>
            <w:tcW w:w="1554" w:type="pct"/>
            <w:vAlign w:val="center"/>
          </w:tcPr>
          <w:p>
            <w:pPr>
              <w:jc w:val="center"/>
              <w:rPr>
                <w:rFonts w:ascii="宋体" w:eastAsia="宋体" w:hAnsi="宋体"/>
              </w:rPr>
            </w:pPr>
            <w:r>
              <w:rPr>
                <w:rFonts w:ascii="宋体" w:eastAsia="宋体" w:hAnsi="宋体" w:hint="eastAsia"/>
              </w:rPr>
              <w:t>服务内容</w:t>
            </w:r>
          </w:p>
        </w:tc>
        <w:tc>
          <w:tcPr>
            <w:tcW w:w="536" w:type="pct"/>
            <w:vAlign w:val="center"/>
          </w:tcPr>
          <w:p>
            <w:pPr>
              <w:jc w:val="center"/>
              <w:rPr>
                <w:rFonts w:ascii="宋体" w:eastAsia="宋体" w:hAnsi="宋体"/>
                <w:bCs/>
              </w:rPr>
            </w:pPr>
            <w:r>
              <w:rPr>
                <w:rFonts w:ascii="宋体" w:eastAsia="宋体" w:hAnsi="宋体" w:hint="eastAsia"/>
                <w:bCs/>
              </w:rPr>
              <w:t>单位</w:t>
            </w:r>
          </w:p>
        </w:tc>
        <w:tc>
          <w:tcPr>
            <w:tcW w:w="514" w:type="pct"/>
            <w:vAlign w:val="center"/>
          </w:tcPr>
          <w:p>
            <w:pPr>
              <w:jc w:val="center"/>
              <w:rPr>
                <w:rFonts w:ascii="宋体" w:eastAsia="宋体" w:hAnsi="宋体"/>
                <w:bCs/>
              </w:rPr>
            </w:pPr>
            <w:r>
              <w:rPr>
                <w:rFonts w:ascii="宋体" w:eastAsia="宋体" w:hAnsi="宋体" w:hint="eastAsia"/>
                <w:bCs/>
              </w:rPr>
              <w:t>数量</w:t>
            </w:r>
          </w:p>
        </w:tc>
        <w:tc>
          <w:tcPr>
            <w:tcW w:w="652" w:type="pct"/>
            <w:vAlign w:val="center"/>
          </w:tcPr>
          <w:p>
            <w:pPr>
              <w:jc w:val="center"/>
              <w:rPr>
                <w:rFonts w:ascii="宋体" w:eastAsia="宋体" w:hAnsi="宋体"/>
              </w:rPr>
            </w:pPr>
            <w:r>
              <w:rPr>
                <w:rFonts w:ascii="宋体" w:eastAsia="宋体" w:hAnsi="宋体" w:hint="eastAsia"/>
              </w:rPr>
              <w:t>单价</w:t>
            </w:r>
          </w:p>
        </w:tc>
        <w:tc>
          <w:tcPr>
            <w:tcW w:w="515" w:type="pct"/>
            <w:vAlign w:val="center"/>
          </w:tcPr>
          <w:p>
            <w:pPr>
              <w:ind w:left="-106" w:leftChars="-44"/>
              <w:jc w:val="center"/>
              <w:rPr>
                <w:rFonts w:ascii="宋体" w:eastAsia="宋体" w:hAnsi="宋体"/>
              </w:rPr>
            </w:pPr>
            <w:r>
              <w:rPr>
                <w:rFonts w:ascii="宋体" w:eastAsia="宋体" w:hAnsi="宋体" w:hint="eastAsia"/>
              </w:rPr>
              <w:t>合计（元）</w:t>
            </w:r>
          </w:p>
        </w:tc>
        <w:tc>
          <w:tcPr>
            <w:tcW w:w="672" w:type="pct"/>
            <w:vAlign w:val="center"/>
          </w:tcPr>
          <w:p>
            <w:pPr>
              <w:ind w:left="-106" w:leftChars="-44"/>
              <w:jc w:val="center"/>
              <w:rPr>
                <w:rFonts w:ascii="宋体" w:eastAsia="宋体" w:hAnsi="宋体"/>
              </w:rPr>
            </w:pPr>
            <w:r>
              <w:rPr>
                <w:rFonts w:ascii="宋体" w:eastAsia="宋体" w:hAnsi="宋体"/>
              </w:rPr>
              <w:t>备注</w:t>
            </w:r>
          </w:p>
        </w:tc>
      </w:tr>
      <w:tr>
        <w:tblPrEx>
          <w:tblW w:w="5000" w:type="pct"/>
          <w:tblInd w:w="0" w:type="dxa"/>
          <w:tblCellMar>
            <w:top w:w="0" w:type="dxa"/>
            <w:left w:w="108" w:type="dxa"/>
            <w:bottom w:w="0" w:type="dxa"/>
            <w:right w:w="108" w:type="dxa"/>
          </w:tblCellMar>
        </w:tblPrEx>
        <w:trPr>
          <w:cantSplit/>
          <w:trHeight w:val="703"/>
        </w:trPr>
        <w:tc>
          <w:tcPr>
            <w:tcW w:w="557" w:type="pct"/>
            <w:vAlign w:val="center"/>
          </w:tcPr>
          <w:p>
            <w:pPr>
              <w:jc w:val="center"/>
              <w:rPr>
                <w:rFonts w:ascii="宋体" w:eastAsia="宋体" w:hAnsi="宋体"/>
              </w:rPr>
            </w:pPr>
            <w:r>
              <w:rPr>
                <w:rFonts w:ascii="宋体" w:eastAsia="宋体" w:hAnsi="宋体" w:hint="eastAsia"/>
              </w:rPr>
              <w:t>1</w:t>
            </w:r>
          </w:p>
        </w:tc>
        <w:tc>
          <w:tcPr>
            <w:tcW w:w="1554" w:type="pct"/>
            <w:vAlign w:val="center"/>
          </w:tcPr>
          <w:p>
            <w:pPr>
              <w:jc w:val="center"/>
              <w:rPr>
                <w:rFonts w:ascii="宋体" w:eastAsia="宋体" w:hAnsi="宋体"/>
              </w:rPr>
            </w:pPr>
          </w:p>
        </w:tc>
        <w:tc>
          <w:tcPr>
            <w:tcW w:w="536" w:type="pct"/>
            <w:vAlign w:val="center"/>
          </w:tcPr>
          <w:p>
            <w:pPr>
              <w:jc w:val="center"/>
              <w:rPr>
                <w:rFonts w:ascii="宋体" w:eastAsia="宋体" w:hAnsi="宋体"/>
                <w:bCs/>
              </w:rPr>
            </w:pPr>
          </w:p>
        </w:tc>
        <w:tc>
          <w:tcPr>
            <w:tcW w:w="514" w:type="pct"/>
            <w:vAlign w:val="center"/>
          </w:tcPr>
          <w:p>
            <w:pPr>
              <w:jc w:val="center"/>
              <w:rPr>
                <w:rFonts w:ascii="宋体" w:eastAsia="宋体" w:hAnsi="宋体"/>
                <w:bCs/>
              </w:rPr>
            </w:pPr>
          </w:p>
        </w:tc>
        <w:tc>
          <w:tcPr>
            <w:tcW w:w="652" w:type="pct"/>
            <w:vAlign w:val="center"/>
          </w:tcPr>
          <w:p>
            <w:pPr>
              <w:jc w:val="center"/>
              <w:rPr>
                <w:rFonts w:ascii="宋体" w:eastAsia="宋体" w:hAnsi="宋体"/>
              </w:rPr>
            </w:pPr>
          </w:p>
        </w:tc>
        <w:tc>
          <w:tcPr>
            <w:tcW w:w="515" w:type="pct"/>
            <w:vAlign w:val="center"/>
          </w:tcPr>
          <w:p>
            <w:pPr>
              <w:ind w:left="-106" w:leftChars="-44"/>
              <w:jc w:val="center"/>
              <w:rPr>
                <w:rFonts w:ascii="宋体" w:eastAsia="宋体" w:hAnsi="宋体"/>
              </w:rPr>
            </w:pPr>
          </w:p>
        </w:tc>
        <w:tc>
          <w:tcPr>
            <w:tcW w:w="672" w:type="pct"/>
            <w:vAlign w:val="center"/>
          </w:tcPr>
          <w:p>
            <w:pPr>
              <w:ind w:left="-106" w:leftChars="-44"/>
              <w:jc w:val="center"/>
              <w:rPr>
                <w:rFonts w:ascii="宋体" w:eastAsia="宋体" w:hAnsi="宋体"/>
              </w:rPr>
            </w:pPr>
          </w:p>
        </w:tc>
      </w:tr>
      <w:tr>
        <w:tblPrEx>
          <w:tblW w:w="5000" w:type="pct"/>
          <w:tblInd w:w="0" w:type="dxa"/>
          <w:tblCellMar>
            <w:top w:w="0" w:type="dxa"/>
            <w:left w:w="108" w:type="dxa"/>
            <w:bottom w:w="0" w:type="dxa"/>
            <w:right w:w="108" w:type="dxa"/>
          </w:tblCellMar>
        </w:tblPrEx>
        <w:trPr>
          <w:cantSplit/>
          <w:trHeight w:val="703"/>
        </w:trPr>
        <w:tc>
          <w:tcPr>
            <w:tcW w:w="557" w:type="pct"/>
            <w:vAlign w:val="center"/>
          </w:tcPr>
          <w:p>
            <w:pPr>
              <w:jc w:val="center"/>
              <w:rPr>
                <w:rFonts w:ascii="宋体" w:eastAsia="宋体" w:hAnsi="宋体"/>
              </w:rPr>
            </w:pPr>
            <w:r>
              <w:rPr>
                <w:rFonts w:ascii="宋体" w:eastAsia="宋体" w:hAnsi="宋体" w:hint="eastAsia"/>
              </w:rPr>
              <w:t>2</w:t>
            </w:r>
          </w:p>
        </w:tc>
        <w:tc>
          <w:tcPr>
            <w:tcW w:w="1554" w:type="pct"/>
            <w:vAlign w:val="center"/>
          </w:tcPr>
          <w:p>
            <w:pPr>
              <w:jc w:val="center"/>
              <w:rPr>
                <w:rFonts w:ascii="宋体" w:eastAsia="宋体" w:hAnsi="宋体"/>
              </w:rPr>
            </w:pPr>
          </w:p>
        </w:tc>
        <w:tc>
          <w:tcPr>
            <w:tcW w:w="536" w:type="pct"/>
            <w:vAlign w:val="center"/>
          </w:tcPr>
          <w:p>
            <w:pPr>
              <w:jc w:val="center"/>
              <w:rPr>
                <w:rFonts w:ascii="宋体" w:eastAsia="宋体" w:hAnsi="宋体"/>
                <w:bCs/>
              </w:rPr>
            </w:pPr>
          </w:p>
        </w:tc>
        <w:tc>
          <w:tcPr>
            <w:tcW w:w="514" w:type="pct"/>
            <w:vAlign w:val="center"/>
          </w:tcPr>
          <w:p>
            <w:pPr>
              <w:jc w:val="center"/>
              <w:rPr>
                <w:rFonts w:ascii="宋体" w:eastAsia="宋体" w:hAnsi="宋体"/>
                <w:bCs/>
              </w:rPr>
            </w:pPr>
          </w:p>
        </w:tc>
        <w:tc>
          <w:tcPr>
            <w:tcW w:w="652" w:type="pct"/>
            <w:vAlign w:val="center"/>
          </w:tcPr>
          <w:p>
            <w:pPr>
              <w:jc w:val="center"/>
              <w:rPr>
                <w:rFonts w:ascii="宋体" w:eastAsia="宋体" w:hAnsi="宋体"/>
              </w:rPr>
            </w:pPr>
          </w:p>
        </w:tc>
        <w:tc>
          <w:tcPr>
            <w:tcW w:w="515" w:type="pct"/>
            <w:vAlign w:val="center"/>
          </w:tcPr>
          <w:p>
            <w:pPr>
              <w:ind w:left="-106" w:leftChars="-44"/>
              <w:jc w:val="center"/>
              <w:rPr>
                <w:rFonts w:ascii="宋体" w:eastAsia="宋体" w:hAnsi="宋体"/>
              </w:rPr>
            </w:pPr>
          </w:p>
        </w:tc>
        <w:tc>
          <w:tcPr>
            <w:tcW w:w="672" w:type="pct"/>
            <w:vAlign w:val="center"/>
          </w:tcPr>
          <w:p>
            <w:pPr>
              <w:ind w:left="-106" w:leftChars="-44"/>
              <w:jc w:val="center"/>
              <w:rPr>
                <w:rFonts w:ascii="宋体" w:eastAsia="宋体" w:hAnsi="宋体"/>
              </w:rPr>
            </w:pPr>
          </w:p>
        </w:tc>
      </w:tr>
      <w:tr>
        <w:tblPrEx>
          <w:tblW w:w="5000" w:type="pct"/>
          <w:tblInd w:w="0" w:type="dxa"/>
          <w:tblCellMar>
            <w:top w:w="0" w:type="dxa"/>
            <w:left w:w="108" w:type="dxa"/>
            <w:bottom w:w="0" w:type="dxa"/>
            <w:right w:w="108" w:type="dxa"/>
          </w:tblCellMar>
        </w:tblPrEx>
        <w:trPr>
          <w:cantSplit/>
          <w:trHeight w:val="703"/>
        </w:trPr>
        <w:tc>
          <w:tcPr>
            <w:tcW w:w="557" w:type="pct"/>
            <w:vAlign w:val="center"/>
          </w:tcPr>
          <w:p>
            <w:pPr>
              <w:jc w:val="center"/>
              <w:rPr>
                <w:rFonts w:ascii="宋体" w:eastAsia="宋体" w:hAnsi="宋体"/>
              </w:rPr>
            </w:pPr>
            <w:r>
              <w:rPr>
                <w:rFonts w:ascii="宋体" w:eastAsia="宋体" w:hAnsi="宋体" w:hint="eastAsia"/>
              </w:rPr>
              <w:t>3</w:t>
            </w:r>
          </w:p>
        </w:tc>
        <w:tc>
          <w:tcPr>
            <w:tcW w:w="1554" w:type="pct"/>
            <w:vAlign w:val="center"/>
          </w:tcPr>
          <w:p>
            <w:pPr>
              <w:jc w:val="center"/>
              <w:rPr>
                <w:rFonts w:ascii="宋体" w:eastAsia="宋体" w:hAnsi="宋体"/>
              </w:rPr>
            </w:pPr>
          </w:p>
        </w:tc>
        <w:tc>
          <w:tcPr>
            <w:tcW w:w="536" w:type="pct"/>
            <w:vAlign w:val="center"/>
          </w:tcPr>
          <w:p>
            <w:pPr>
              <w:jc w:val="center"/>
              <w:rPr>
                <w:rFonts w:ascii="宋体" w:eastAsia="宋体" w:hAnsi="宋体"/>
                <w:bCs/>
              </w:rPr>
            </w:pPr>
          </w:p>
        </w:tc>
        <w:tc>
          <w:tcPr>
            <w:tcW w:w="514" w:type="pct"/>
            <w:vAlign w:val="center"/>
          </w:tcPr>
          <w:p>
            <w:pPr>
              <w:jc w:val="center"/>
              <w:rPr>
                <w:rFonts w:ascii="宋体" w:eastAsia="宋体" w:hAnsi="宋体"/>
                <w:bCs/>
              </w:rPr>
            </w:pPr>
          </w:p>
        </w:tc>
        <w:tc>
          <w:tcPr>
            <w:tcW w:w="652" w:type="pct"/>
            <w:vAlign w:val="center"/>
          </w:tcPr>
          <w:p>
            <w:pPr>
              <w:jc w:val="center"/>
              <w:rPr>
                <w:rFonts w:ascii="宋体" w:eastAsia="宋体" w:hAnsi="宋体"/>
              </w:rPr>
            </w:pPr>
          </w:p>
        </w:tc>
        <w:tc>
          <w:tcPr>
            <w:tcW w:w="515" w:type="pct"/>
            <w:vAlign w:val="center"/>
          </w:tcPr>
          <w:p>
            <w:pPr>
              <w:ind w:left="-106" w:leftChars="-44"/>
              <w:jc w:val="center"/>
              <w:rPr>
                <w:rFonts w:ascii="宋体" w:eastAsia="宋体" w:hAnsi="宋体"/>
              </w:rPr>
            </w:pPr>
          </w:p>
        </w:tc>
        <w:tc>
          <w:tcPr>
            <w:tcW w:w="672" w:type="pct"/>
            <w:vAlign w:val="center"/>
          </w:tcPr>
          <w:p>
            <w:pPr>
              <w:ind w:left="-106" w:leftChars="-44"/>
              <w:jc w:val="center"/>
              <w:rPr>
                <w:rFonts w:ascii="宋体" w:eastAsia="宋体" w:hAnsi="宋体"/>
              </w:rPr>
            </w:pPr>
          </w:p>
        </w:tc>
      </w:tr>
      <w:tr>
        <w:tblPrEx>
          <w:tblW w:w="5000" w:type="pct"/>
          <w:tblInd w:w="0" w:type="dxa"/>
          <w:tblCellMar>
            <w:top w:w="0" w:type="dxa"/>
            <w:left w:w="108" w:type="dxa"/>
            <w:bottom w:w="0" w:type="dxa"/>
            <w:right w:w="108" w:type="dxa"/>
          </w:tblCellMar>
        </w:tblPrEx>
        <w:trPr>
          <w:cantSplit/>
          <w:trHeight w:val="703"/>
        </w:trPr>
        <w:tc>
          <w:tcPr>
            <w:tcW w:w="557" w:type="pct"/>
            <w:vAlign w:val="center"/>
          </w:tcPr>
          <w:p>
            <w:pPr>
              <w:jc w:val="center"/>
              <w:rPr>
                <w:rFonts w:ascii="宋体" w:eastAsia="宋体" w:hAnsi="宋体"/>
              </w:rPr>
            </w:pPr>
            <w:r>
              <w:rPr>
                <w:rFonts w:ascii="宋体" w:eastAsia="宋体" w:hAnsi="宋体" w:hint="eastAsia"/>
              </w:rPr>
              <w:t>总计</w:t>
            </w:r>
          </w:p>
          <w:p>
            <w:pPr>
              <w:jc w:val="center"/>
              <w:rPr>
                <w:rFonts w:ascii="宋体" w:eastAsia="宋体" w:hAnsi="宋体"/>
              </w:rPr>
            </w:pPr>
            <w:r>
              <w:rPr>
                <w:rFonts w:ascii="宋体" w:eastAsia="宋体" w:hint="eastAsia"/>
                <w:b/>
              </w:rPr>
              <w:t>（元）</w:t>
            </w:r>
          </w:p>
        </w:tc>
        <w:tc>
          <w:tcPr>
            <w:tcW w:w="4443" w:type="pct"/>
            <w:gridSpan w:val="6"/>
            <w:vAlign w:val="center"/>
          </w:tcPr>
          <w:p>
            <w:pPr>
              <w:ind w:left="-106" w:leftChars="-44"/>
              <w:rPr>
                <w:rFonts w:ascii="宋体" w:eastAsia="宋体" w:hAnsi="宋体"/>
              </w:rPr>
            </w:pPr>
            <w:r>
              <w:rPr>
                <w:rFonts w:eastAsia="宋体" w:hint="eastAsia"/>
              </w:rPr>
              <w:t>￥：           大写：</w:t>
            </w:r>
          </w:p>
        </w:tc>
      </w:tr>
    </w:tbl>
    <w:p>
      <w:pPr>
        <w:tabs>
          <w:tab w:val="left" w:pos="567"/>
        </w:tabs>
        <w:snapToGrid w:val="0"/>
        <w:spacing w:line="360" w:lineRule="auto"/>
        <w:rPr>
          <w:rFonts w:ascii="宋体" w:eastAsia="宋体" w:hAnsi="宋体"/>
          <w:color w:val="000000"/>
        </w:rPr>
      </w:pPr>
    </w:p>
    <w:p>
      <w:pPr>
        <w:tabs>
          <w:tab w:val="left" w:pos="567"/>
        </w:tabs>
        <w:snapToGrid w:val="0"/>
        <w:spacing w:line="360" w:lineRule="auto"/>
        <w:rPr>
          <w:rFonts w:ascii="宋体" w:eastAsia="宋体" w:hAnsi="宋体"/>
        </w:rPr>
      </w:pPr>
      <w:r>
        <w:rPr>
          <w:rFonts w:ascii="宋体" w:eastAsia="宋体" w:hAnsi="宋体" w:hint="eastAsia"/>
        </w:rPr>
        <w:t>注：</w:t>
      </w:r>
    </w:p>
    <w:p>
      <w:pPr>
        <w:numPr>
          <w:ilvl w:val="1"/>
          <w:numId w:val="3"/>
        </w:numPr>
        <w:tabs>
          <w:tab w:val="left" w:pos="0"/>
        </w:tabs>
        <w:snapToGrid w:val="0"/>
        <w:spacing w:line="360" w:lineRule="auto"/>
        <w:ind w:left="0" w:firstLine="0"/>
        <w:rPr>
          <w:rFonts w:eastAsia="宋体"/>
          <w:spacing w:val="4"/>
        </w:rPr>
      </w:pPr>
      <w:r>
        <w:rPr>
          <w:rFonts w:eastAsia="宋体" w:hint="eastAsia"/>
          <w:spacing w:val="4"/>
        </w:rPr>
        <w:t>中文大写金额用汉字，如壹、贰、叁、肆、伍、陆、柒、捌、玖、拾、佰、仟、万、亿、元、角、分、零、整（正）等。</w:t>
      </w:r>
    </w:p>
    <w:p>
      <w:pPr>
        <w:numPr>
          <w:ilvl w:val="1"/>
          <w:numId w:val="3"/>
        </w:numPr>
        <w:tabs>
          <w:tab w:val="left" w:pos="0"/>
        </w:tabs>
        <w:snapToGrid w:val="0"/>
        <w:spacing w:line="360" w:lineRule="auto"/>
        <w:ind w:left="0" w:firstLine="0"/>
        <w:rPr>
          <w:rFonts w:ascii="宋体" w:eastAsia="宋体" w:hAnsi="宋体"/>
        </w:rPr>
      </w:pPr>
      <w:r>
        <w:rPr>
          <w:rFonts w:ascii="宋体" w:eastAsia="宋体" w:hAnsi="宋体" w:hint="eastAsia"/>
        </w:rPr>
        <w:t>此表为《开标一览表(报价表)》的报价明细表。</w:t>
      </w:r>
    </w:p>
    <w:p>
      <w:pPr>
        <w:numPr>
          <w:ilvl w:val="1"/>
          <w:numId w:val="3"/>
        </w:numPr>
        <w:tabs>
          <w:tab w:val="left" w:pos="0"/>
        </w:tabs>
        <w:snapToGrid w:val="0"/>
        <w:spacing w:line="360" w:lineRule="auto"/>
        <w:ind w:left="0" w:firstLine="0"/>
        <w:rPr>
          <w:rFonts w:ascii="宋体" w:eastAsia="宋体" w:hAnsi="宋体"/>
        </w:rPr>
      </w:pPr>
      <w:r>
        <w:rPr>
          <w:rFonts w:ascii="宋体" w:eastAsia="宋体" w:hAnsi="宋体" w:hint="eastAsia"/>
        </w:rPr>
        <w:t>所有价格均以人民币作为货币单位填写及计算。</w:t>
      </w:r>
    </w:p>
    <w:p>
      <w:pPr>
        <w:numPr>
          <w:ilvl w:val="1"/>
          <w:numId w:val="3"/>
        </w:numPr>
        <w:tabs>
          <w:tab w:val="left" w:pos="0"/>
        </w:tabs>
        <w:snapToGrid w:val="0"/>
        <w:spacing w:line="360" w:lineRule="auto"/>
        <w:ind w:left="0" w:firstLine="0"/>
        <w:rPr>
          <w:rFonts w:ascii="宋体" w:eastAsia="宋体" w:hAnsi="宋体"/>
        </w:rPr>
      </w:pPr>
      <w:r>
        <w:rPr>
          <w:rFonts w:ascii="宋体" w:eastAsia="宋体" w:hAnsi="宋体" w:hint="eastAsia"/>
          <w:b/>
          <w:bCs/>
          <w:u w:val="double"/>
        </w:rPr>
        <w:t>该表格式仅作参考，投标人的详细报价表格式可自定。</w:t>
      </w:r>
    </w:p>
    <w:p>
      <w:pPr>
        <w:rPr>
          <w:rFonts w:ascii="宋体" w:eastAsia="宋体" w:hAnsi="宋体"/>
          <w:b/>
          <w:bCs/>
        </w:rPr>
      </w:pPr>
    </w:p>
    <w:p>
      <w:pPr>
        <w:pStyle w:val="Footer"/>
        <w:spacing w:line="360" w:lineRule="auto"/>
        <w:rPr>
          <w:rFonts w:ascii="宋体" w:eastAsia="宋体" w:hAnsi="宋体"/>
        </w:rPr>
      </w:pPr>
      <w:r>
        <w:rPr>
          <w:rFonts w:ascii="宋体" w:eastAsia="宋体" w:hAnsi="宋体"/>
          <w:b/>
          <w:bCs/>
        </w:rPr>
        <w:br w:type="page"/>
      </w:r>
    </w:p>
    <w:p>
      <w:pPr>
        <w:keepNext/>
        <w:keepLines/>
        <w:spacing w:before="260" w:after="260" w:line="360" w:lineRule="auto"/>
        <w:jc w:val="center"/>
        <w:outlineLvl w:val="2"/>
        <w:rPr>
          <w:rFonts w:ascii="宋体" w:eastAsia="宋体" w:hAnsi="宋体" w:hint="eastAsia"/>
          <w:szCs w:val="21"/>
        </w:rPr>
      </w:pPr>
      <w:r>
        <w:rPr>
          <w:rFonts w:ascii="宋体" w:eastAsia="宋体" w:hAnsi="宋体" w:hint="eastAsia"/>
          <w:szCs w:val="21"/>
          <w:lang w:val="en-US" w:eastAsia="zh-CN"/>
        </w:rPr>
        <w:t>五</w:t>
      </w:r>
      <w:r>
        <w:rPr>
          <w:rFonts w:ascii="宋体" w:eastAsia="宋体" w:hAnsi="宋体" w:hint="eastAsia"/>
          <w:szCs w:val="21"/>
        </w:rPr>
        <w:t>、政府采购违法行为风险知悉确认书</w:t>
      </w:r>
    </w:p>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11"/>
        <w:gridCol w:w="781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1"/>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序号</w:t>
            </w:r>
          </w:p>
        </w:tc>
        <w:tc>
          <w:tcPr>
            <w:tcW w:w="78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供应商参与投标禁止情形</w:t>
            </w:r>
          </w:p>
        </w:tc>
      </w:tr>
      <w:tr>
        <w:tblPrEx>
          <w:tblW w:w="0" w:type="auto"/>
          <w:jc w:val="center"/>
          <w:tblCellMar>
            <w:top w:w="0" w:type="dxa"/>
            <w:left w:w="108" w:type="dxa"/>
            <w:bottom w:w="0" w:type="dxa"/>
            <w:right w:w="108" w:type="dxa"/>
          </w:tblCellMar>
        </w:tblPrEx>
        <w:trPr>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1</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与其他投标供应商的法定代表人、主要经营负责人、投标授权代表人、项目负责人、主要技术人员为同一人、属同一单位或者在同一单位缴纳社会保险。</w:t>
            </w:r>
          </w:p>
        </w:tc>
      </w:tr>
      <w:tr>
        <w:tblPrEx>
          <w:tblW w:w="0" w:type="auto"/>
          <w:jc w:val="center"/>
          <w:tblCellMar>
            <w:top w:w="0" w:type="dxa"/>
            <w:left w:w="108" w:type="dxa"/>
            <w:bottom w:w="0" w:type="dxa"/>
            <w:right w:w="108" w:type="dxa"/>
          </w:tblCellMar>
        </w:tblPrEx>
        <w:trPr>
          <w:trHeight w:val="90"/>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2</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参与本项目政府采购活动时，与其他投标供应商存在单位负责人为同一人或直接控股、管理关系。</w:t>
            </w:r>
          </w:p>
        </w:tc>
      </w:tr>
      <w:tr>
        <w:tblPrEx>
          <w:tblW w:w="0" w:type="auto"/>
          <w:jc w:val="center"/>
          <w:tblCellMar>
            <w:top w:w="0" w:type="dxa"/>
            <w:left w:w="108" w:type="dxa"/>
            <w:bottom w:w="0" w:type="dxa"/>
            <w:right w:w="108" w:type="dxa"/>
          </w:tblCellMar>
        </w:tblPrEx>
        <w:trPr>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3</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与其他投标供应商的投标文件或部分投标文件相互混装或存在非正常一致。</w:t>
            </w:r>
          </w:p>
        </w:tc>
      </w:tr>
      <w:tr>
        <w:tblPrEx>
          <w:tblW w:w="0" w:type="auto"/>
          <w:jc w:val="center"/>
          <w:tblCellMar>
            <w:top w:w="0" w:type="dxa"/>
            <w:left w:w="108" w:type="dxa"/>
            <w:bottom w:w="0" w:type="dxa"/>
            <w:right w:w="108" w:type="dxa"/>
          </w:tblCellMar>
        </w:tblPrEx>
        <w:trPr>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4</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与其他投标供应商的投标文件由同一单位或者同一人编制，或者使用同一设备编制（“文件制作机器码”“文件创建标识码”一致）。</w:t>
            </w:r>
          </w:p>
        </w:tc>
      </w:tr>
      <w:tr>
        <w:tblPrEx>
          <w:tblW w:w="0" w:type="auto"/>
          <w:jc w:val="center"/>
          <w:tblCellMar>
            <w:top w:w="0" w:type="dxa"/>
            <w:left w:w="108" w:type="dxa"/>
            <w:bottom w:w="0" w:type="dxa"/>
            <w:right w:w="108" w:type="dxa"/>
          </w:tblCellMar>
        </w:tblPrEx>
        <w:trPr>
          <w:trHeight w:val="90"/>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5</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提供未经出具机构核实的虚假的检验检测报告、业绩材料、社保缴纳证明、学历学位证书、职称认证证书等材料。</w:t>
            </w:r>
          </w:p>
        </w:tc>
      </w:tr>
      <w:tr>
        <w:tblPrEx>
          <w:tblW w:w="0" w:type="auto"/>
          <w:jc w:val="center"/>
          <w:tblCellMar>
            <w:top w:w="0" w:type="dxa"/>
            <w:left w:w="108" w:type="dxa"/>
            <w:bottom w:w="0" w:type="dxa"/>
            <w:right w:w="108" w:type="dxa"/>
          </w:tblCellMar>
        </w:tblPrEx>
        <w:trPr>
          <w:jc w:val="center"/>
        </w:trPr>
        <w:tc>
          <w:tcPr>
            <w:tcW w:w="711" w:type="dxa"/>
          </w:tcPr>
          <w:p>
            <w:pPr>
              <w:widowControl w:val="0"/>
              <w:spacing w:line="360" w:lineRule="auto"/>
              <w:jc w:val="center"/>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6</w:t>
            </w:r>
          </w:p>
        </w:tc>
        <w:tc>
          <w:tcPr>
            <w:tcW w:w="7811" w:type="dxa"/>
            <w:vAlign w:val="center"/>
          </w:tcPr>
          <w:p>
            <w:pPr>
              <w:widowControl w:val="0"/>
              <w:spacing w:line="360" w:lineRule="auto"/>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擅自将投标密钥或电子营业执照出借他人使用或未妥善保管。</w:t>
            </w:r>
          </w:p>
        </w:tc>
      </w:tr>
    </w:tbl>
    <w:p>
      <w:pPr>
        <w:widowControl w:val="0"/>
        <w:spacing w:before="156" w:beforeLines="50"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一、我单位已充分知悉“隐瞒真实情况，提供虚假资料”的法定情形，包括但不限于：</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（一）通过转让或者租借等方式从其他单位获取资格或者资质证书投标的。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（二）由其他单位或者其他单位负责人在投标供应商编制的投标文件上加盖印章或者签字的。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（三）项目负责人或者主要技术人员不是本单位人员的。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（四）投标保证金不是从投标供应商基本账户转出的。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（五）其他隐瞒真实情况、提供虚假资料的行为。</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二、我单位已充分知悉“与其他采购参加人串通投标”的法定情形，包括但不限于：</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（一）投标供应商之间相互约定给予未中标的供应商利益补偿。</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（二）不同投标供应商的法定代表人、主要经营负责人、项目投标授权代表人、项目负责人、主要技术人员为同一人、属同一单位或者在同一单位缴纳社会保险。</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（三）不同投标供应商的投标文件由同一单位或者同一人编制，或者由同一人分阶段参与编制的。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（四）不同投标供应商的投标文件或部分投标文件相互混装。</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（五）不同投标供应商的投标文件内容存在非正常一致。</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（六）由同一单位工作人员为两家以上（含两家）供应商进行同一项投标活动的。</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（七）不同投标人的投标报价呈规律性差异。</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（八）不同投标人的投标保证金从同一单位或者个人的账户转出。</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（九）主管部门依照法律、法规认定的其他情形。</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三、我单位已充分知悉下列情形存在法律风险，在投标前已对相关风险事项进行排查。</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一）对于从其他主体获取的投标资料，我单位应审慎核查，确保其真实性。如主管部门查实投标文件中存在虚假资料的，无论相关资料是否由第三方或本公司员工提供，均不影响主管部门对供应商存在“隐瞒真实情况，提供虚假资料”违法行为的认定。</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（二）对于涉及国家机关出具的公文、证件、证明材料等文件，一旦涉嫌虚假，经查实，主管部门将依法从严处理，并移送有关部门追究法律责任；涉嫌犯罪的，移送司法机关处理。</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三）我单位对投标电子密钥或电子营业执照负有妥善保管、及时变更和续期等主体责任；使用电子密钥或电子营业执照在深圳政府采购网站进行的活动，均具有法律效力，须承担相应的法律后果。若擅自将投标密钥或电子营业执照出借他人使用所造成的法律后果，由我单位自行承担。</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四、我单位已充分知悉政府采购违法、违规行为的法律后果。</w:t>
      </w:r>
    </w:p>
    <w:p>
      <w:pPr>
        <w:widowControl w:val="0"/>
        <w:spacing w:line="360" w:lineRule="auto"/>
        <w:ind w:firstLine="480" w:firstLineChars="200"/>
        <w:jc w:val="both"/>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autoSpaceDE w:val="0"/>
        <w:autoSpaceDN w:val="0"/>
        <w:spacing w:line="360" w:lineRule="auto"/>
        <w:ind w:firstLine="480" w:firstLineChars="200"/>
        <w:rPr>
          <w:rFonts w:ascii="宋体" w:hAnsi="宋体"/>
          <w:b/>
          <w:bCs/>
          <w:spacing w:val="-4"/>
          <w:sz w:val="21"/>
          <w:szCs w:val="21"/>
        </w:rPr>
      </w:pPr>
      <w:r>
        <w:rPr>
          <w:rFonts w:ascii="宋体" w:eastAsia="宋体" w:hAnsi="宋体" w:cstheme="minorEastAsia" w:hint="eastAsia"/>
          <w:b/>
          <w:bCs/>
          <w:spacing w:val="-4"/>
          <w:sz w:val="22"/>
          <w:szCs w:val="22"/>
        </w:rPr>
        <w:t>以下文字请投标供应商抄写并确认：“我单位已仔细阅读《政府采购违法行为风险知悉确认书》，充分知悉违法行为的法律后果，并承诺将严谨、诚信、依法依规参与政府采购活动”</w:t>
      </w:r>
      <w:r>
        <w:rPr>
          <w:rFonts w:ascii="宋体" w:eastAsia="宋体" w:hAnsi="宋体" w:hint="eastAsia"/>
          <w:b/>
          <w:bCs/>
          <w:spacing w:val="-4"/>
          <w:sz w:val="21"/>
          <w:szCs w:val="21"/>
        </w:rPr>
        <w:t>。</w:t>
      </w:r>
    </w:p>
    <w:tbl>
      <w:tblPr>
        <w:tblStyle w:val="4"/>
        <w:tblW w:w="8522"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
      <w:tblGrid>
        <w:gridCol w:w="8522"/>
      </w:tblGrid>
      <w:tr>
        <w:tblPrEx>
          <w:tblW w:w="8522"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Ex>
        <w:trPr>
          <w:trHeight w:val="304"/>
        </w:trPr>
        <w:tc>
          <w:tcPr>
            <w:tcW w:w="8522" w:type="dxa"/>
            <w:tcBorders>
              <w:top w:val="nil"/>
              <w:left w:val="nil"/>
              <w:bottom w:val="single" w:sz="8" w:space="0" w:color="000000"/>
              <w:right w:val="nil"/>
            </w:tcBorders>
          </w:tcPr>
          <w:p>
            <w:pPr>
              <w:widowControl w:val="0"/>
              <w:autoSpaceDE w:val="0"/>
              <w:autoSpaceDN w:val="0"/>
              <w:spacing w:line="360" w:lineRule="auto"/>
              <w:ind w:left="370" w:hanging="265"/>
              <w:jc w:val="both"/>
              <w:rPr>
                <w:rFonts w:ascii="宋体" w:hAnsi="宋体"/>
                <w:spacing w:val="-4"/>
                <w:sz w:val="21"/>
                <w:szCs w:val="21"/>
              </w:rPr>
            </w:pPr>
          </w:p>
        </w:tc>
      </w:tr>
    </w:tbl>
    <w:p>
      <w:pPr>
        <w:pStyle w:val="NormalWeb"/>
        <w:autoSpaceDE w:val="0"/>
        <w:autoSpaceDN w:val="0"/>
        <w:spacing w:line="400" w:lineRule="exact"/>
        <w:ind w:firstLine="480" w:firstLineChars="200"/>
        <w:rPr>
          <w:rFonts w:ascii="宋体" w:eastAsia="宋体" w:hAnsi="宋体" w:cstheme="minorEastAsia"/>
          <w:b/>
          <w:bCs/>
          <w:spacing w:val="-4"/>
          <w:sz w:val="22"/>
          <w:szCs w:val="22"/>
        </w:rPr>
      </w:pPr>
      <w:r>
        <w:rPr>
          <w:rFonts w:ascii="宋体" w:eastAsia="宋体" w:hAnsi="宋体" w:cstheme="minorEastAsia" w:hint="eastAsia"/>
          <w:b/>
          <w:bCs/>
          <w:spacing w:val="-4"/>
          <w:sz w:val="22"/>
          <w:szCs w:val="22"/>
        </w:rPr>
        <w:t>注：1.政府采购违法行为风险知悉确认书不作为资格性审查及符合性审查条件。</w:t>
      </w:r>
    </w:p>
    <w:p>
      <w:pPr>
        <w:pStyle w:val="NormalWeb"/>
        <w:autoSpaceDE w:val="0"/>
        <w:autoSpaceDN w:val="0"/>
        <w:spacing w:line="400" w:lineRule="exact"/>
        <w:ind w:firstLine="480" w:firstLineChars="200"/>
        <w:rPr>
          <w:rFonts w:ascii="宋体" w:eastAsia="宋体" w:hAnsi="宋体" w:cstheme="minorEastAsia"/>
          <w:spacing w:val="-4"/>
          <w:sz w:val="22"/>
          <w:szCs w:val="22"/>
        </w:rPr>
      </w:pPr>
      <w:r>
        <w:rPr>
          <w:rFonts w:ascii="宋体" w:eastAsia="宋体" w:hAnsi="宋体" w:cstheme="minorEastAsia" w:hint="eastAsia"/>
          <w:b/>
          <w:bCs/>
          <w:spacing w:val="-4"/>
          <w:sz w:val="22"/>
          <w:szCs w:val="22"/>
        </w:rPr>
        <w:t>2.投标供应商负责人或投标授权代表签字并加盖单位公章后，扫描上传至投标文件一并提交。</w:t>
      </w:r>
    </w:p>
    <w:p>
      <w:pPr>
        <w:pStyle w:val="NormalWeb"/>
        <w:wordWrap w:val="0"/>
        <w:autoSpaceDE w:val="0"/>
        <w:autoSpaceDN w:val="0"/>
        <w:spacing w:line="400" w:lineRule="exact"/>
        <w:ind w:firstLine="480" w:firstLineChars="200"/>
        <w:jc w:val="right"/>
        <w:rPr>
          <w:rFonts w:ascii="宋体" w:eastAsia="宋体" w:hAnsi="宋体" w:cstheme="minorEastAsia"/>
          <w:spacing w:val="-4"/>
        </w:rPr>
      </w:pPr>
      <w:r>
        <w:rPr>
          <w:rFonts w:ascii="宋体" w:eastAsia="宋体" w:hAnsi="宋体" w:cstheme="minorEastAsia" w:hint="eastAsia"/>
          <w:spacing w:val="-4"/>
        </w:rPr>
        <w:t xml:space="preserve">负责人/投标授权代表签名：     </w:t>
      </w:r>
    </w:p>
    <w:p>
      <w:pPr>
        <w:pStyle w:val="NormalWeb"/>
        <w:wordWrap w:val="0"/>
        <w:autoSpaceDE w:val="0"/>
        <w:autoSpaceDN w:val="0"/>
        <w:spacing w:line="400" w:lineRule="exact"/>
        <w:ind w:firstLine="480" w:firstLineChars="200"/>
        <w:jc w:val="right"/>
        <w:rPr>
          <w:rFonts w:ascii="宋体" w:eastAsia="宋体" w:hAnsi="宋体" w:cstheme="minorEastAsia"/>
          <w:spacing w:val="-4"/>
        </w:rPr>
      </w:pPr>
      <w:r>
        <w:rPr>
          <w:rFonts w:ascii="宋体" w:eastAsia="宋体" w:hAnsi="宋体" w:cstheme="minorEastAsia" w:hint="eastAsia"/>
          <w:spacing w:val="-4"/>
        </w:rPr>
        <w:t xml:space="preserve">知悉人（公章）：     </w:t>
      </w:r>
    </w:p>
    <w:p>
      <w:pPr>
        <w:pStyle w:val="NormalWeb"/>
        <w:wordWrap w:val="0"/>
        <w:autoSpaceDE w:val="0"/>
        <w:autoSpaceDN w:val="0"/>
        <w:spacing w:line="400" w:lineRule="exact"/>
        <w:ind w:firstLine="480" w:firstLineChars="200"/>
        <w:jc w:val="center"/>
        <w:rPr>
          <w:rFonts w:ascii="宋体" w:eastAsia="宋体" w:hAnsi="宋体" w:cstheme="minorEastAsia"/>
          <w:spacing w:val="-4"/>
        </w:rPr>
      </w:pPr>
      <w:r>
        <w:rPr>
          <w:rFonts w:ascii="宋体" w:eastAsia="宋体" w:hAnsi="宋体" w:cstheme="minorEastAsia" w:hint="eastAsia"/>
          <w:spacing w:val="-4"/>
        </w:rPr>
        <w:t xml:space="preserve">                                日期：</w:t>
      </w:r>
    </w:p>
    <w:p>
      <w:pPr>
        <w:rPr>
          <w:rFonts w:ascii="宋体" w:eastAsia="宋体" w:hAnsi="宋体"/>
          <w:b/>
        </w:rPr>
      </w:pPr>
      <w:r>
        <w:rPr>
          <w:rFonts w:ascii="宋体" w:eastAsia="宋体" w:hAnsi="宋体" w:hint="eastAsia"/>
          <w:b/>
        </w:rPr>
        <w:t>（信息公开部分的内容到此为止！以下为信息不公开部分。）</w:t>
      </w:r>
    </w:p>
    <w:p>
      <w:pPr>
        <w:rPr>
          <w:rFonts w:ascii="宋体" w:hAnsi="宋体"/>
          <w:b/>
          <w:sz w:val="28"/>
          <w:szCs w:val="28"/>
        </w:rPr>
      </w:pPr>
    </w:p>
    <w:p>
      <w:pPr>
        <w:spacing w:line="360" w:lineRule="auto"/>
        <w:outlineLvl w:val="1"/>
        <w:rPr>
          <w:rFonts w:ascii="宋体" w:eastAsia="宋体" w:hAnsi="宋体"/>
          <w:b/>
          <w:sz w:val="28"/>
          <w:szCs w:val="28"/>
        </w:rPr>
      </w:pPr>
      <w:r>
        <w:rPr>
          <w:rFonts w:ascii="宋体" w:eastAsia="宋体" w:hAnsi="宋体" w:hint="eastAsia"/>
          <w:b/>
          <w:sz w:val="28"/>
          <w:szCs w:val="28"/>
        </w:rPr>
        <w:t>投标文件附件（信息不公开部分）</w:t>
      </w:r>
    </w:p>
    <w:p>
      <w:pPr>
        <w:keepNext/>
        <w:keepLines/>
        <w:spacing w:before="260" w:after="260" w:line="360" w:lineRule="auto"/>
        <w:jc w:val="center"/>
        <w:outlineLvl w:val="2"/>
        <w:rPr>
          <w:rFonts w:ascii="宋体" w:eastAsia="宋体" w:hAnsi="宋体"/>
          <w:bCs/>
          <w:szCs w:val="32"/>
        </w:rPr>
      </w:pPr>
      <w:r>
        <w:rPr>
          <w:rFonts w:ascii="宋体" w:eastAsia="宋体" w:hAnsi="宋体" w:hint="eastAsia"/>
          <w:bCs/>
          <w:szCs w:val="32"/>
        </w:rPr>
        <w:t>一、</w:t>
      </w:r>
      <w:bookmarkStart w:id="75" w:name="_Hlk72092499"/>
      <w:r>
        <w:rPr>
          <w:rFonts w:ascii="宋体" w:eastAsia="宋体" w:hAnsi="宋体" w:hint="eastAsia"/>
          <w:bCs/>
          <w:szCs w:val="32"/>
        </w:rPr>
        <w:t>供应商</w:t>
      </w:r>
      <w:r>
        <w:rPr>
          <w:rFonts w:ascii="宋体" w:eastAsia="宋体" w:hAnsi="宋体"/>
          <w:bCs/>
          <w:szCs w:val="32"/>
        </w:rPr>
        <w:t>基本情况表</w:t>
      </w:r>
    </w:p>
    <w:tbl>
      <w:tblPr>
        <w:tblStyle w:val="5"/>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3"/>
        <w:gridCol w:w="676"/>
        <w:gridCol w:w="1715"/>
        <w:gridCol w:w="837"/>
        <w:gridCol w:w="787"/>
        <w:gridCol w:w="1204"/>
        <w:gridCol w:w="1499"/>
        <w:gridCol w:w="1492"/>
      </w:tblGrid>
      <w:tr>
        <w:tblPrEx>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788" w:type="pct"/>
            <w:gridSpan w:val="2"/>
            <w:vAlign w:val="center"/>
          </w:tcPr>
          <w:p>
            <w:pPr>
              <w:spacing w:line="360" w:lineRule="auto"/>
              <w:rPr>
                <w:rFonts w:eastAsia="宋体" w:asciiTheme="minorEastAsia" w:hAnsiTheme="minorEastAsia" w:cstheme="minorEastAsia"/>
              </w:rPr>
            </w:pPr>
            <w:r>
              <w:rPr>
                <w:rFonts w:eastAsia="宋体" w:asciiTheme="minorEastAsia" w:hAnsiTheme="minorEastAsia" w:cstheme="minorEastAsia" w:hint="eastAsia"/>
              </w:rPr>
              <w:t>投标（响应）供应商</w:t>
            </w:r>
          </w:p>
        </w:tc>
        <w:tc>
          <w:tcPr>
            <w:tcW w:w="1427" w:type="pct"/>
            <w:gridSpan w:val="2"/>
            <w:vAlign w:val="center"/>
          </w:tcPr>
          <w:p>
            <w:pPr>
              <w:spacing w:line="360" w:lineRule="auto"/>
              <w:jc w:val="center"/>
              <w:rPr>
                <w:rFonts w:eastAsia="宋体" w:asciiTheme="minorEastAsia" w:hAnsiTheme="minorEastAsia" w:cstheme="minorEastAsia"/>
              </w:rPr>
            </w:pPr>
          </w:p>
        </w:tc>
        <w:tc>
          <w:tcPr>
            <w:tcW w:w="1113" w:type="pct"/>
            <w:gridSpan w:val="2"/>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项目名称及编号</w:t>
            </w:r>
          </w:p>
        </w:tc>
        <w:tc>
          <w:tcPr>
            <w:tcW w:w="1670" w:type="pct"/>
            <w:gridSpan w:val="2"/>
            <w:vAlign w:val="center"/>
          </w:tcPr>
          <w:p>
            <w:pPr>
              <w:spacing w:line="360" w:lineRule="auto"/>
              <w:jc w:val="center"/>
              <w:rPr>
                <w:rFonts w:eastAsia="宋体" w:asciiTheme="minorEastAsia" w:hAnsiTheme="minorEastAsia" w:cstheme="minorEastAsia"/>
                <w:color w:val="0000FF"/>
              </w:rPr>
            </w:pPr>
          </w:p>
        </w:tc>
      </w:tr>
      <w:tr>
        <w:tblPrEx>
          <w:tblW w:w="4998" w:type="pct"/>
          <w:jc w:val="center"/>
          <w:tblCellMar>
            <w:top w:w="0" w:type="dxa"/>
            <w:left w:w="108" w:type="dxa"/>
            <w:bottom w:w="0" w:type="dxa"/>
            <w:right w:w="108" w:type="dxa"/>
          </w:tblCellMar>
        </w:tblPrEx>
        <w:trPr>
          <w:jc w:val="center"/>
        </w:trPr>
        <w:tc>
          <w:tcPr>
            <w:tcW w:w="5000" w:type="pct"/>
            <w:gridSpan w:val="8"/>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b/>
                <w:bCs/>
              </w:rPr>
              <w:t>投标（响应）供应商相关人员情况</w:t>
            </w:r>
          </w:p>
        </w:tc>
      </w:tr>
      <w:tr>
        <w:tblPrEx>
          <w:tblW w:w="4998" w:type="pct"/>
          <w:jc w:val="center"/>
          <w:tblCellMar>
            <w:top w:w="0" w:type="dxa"/>
            <w:left w:w="108" w:type="dxa"/>
            <w:bottom w:w="0" w:type="dxa"/>
            <w:right w:w="108" w:type="dxa"/>
          </w:tblCellMar>
        </w:tblPrEx>
        <w:trPr>
          <w:jc w:val="center"/>
        </w:trPr>
        <w:tc>
          <w:tcPr>
            <w:tcW w:w="410" w:type="pct"/>
            <w:tcBorders>
              <w:bottom w:val="single" w:sz="4" w:space="0" w:color="auto"/>
            </w:tcBorders>
            <w:vAlign w:val="center"/>
          </w:tcPr>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序号</w:t>
            </w:r>
          </w:p>
        </w:tc>
        <w:tc>
          <w:tcPr>
            <w:tcW w:w="1337" w:type="pct"/>
            <w:gridSpan w:val="2"/>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职务</w:t>
            </w:r>
          </w:p>
        </w:tc>
        <w:tc>
          <w:tcPr>
            <w:tcW w:w="467" w:type="pct"/>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姓名</w:t>
            </w:r>
          </w:p>
        </w:tc>
        <w:tc>
          <w:tcPr>
            <w:tcW w:w="1113" w:type="pct"/>
            <w:gridSpan w:val="2"/>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身份证号码</w:t>
            </w:r>
          </w:p>
        </w:tc>
        <w:tc>
          <w:tcPr>
            <w:tcW w:w="838" w:type="pct"/>
            <w:tcBorders>
              <w:bottom w:val="single" w:sz="4" w:space="0" w:color="auto"/>
            </w:tcBorders>
            <w:vAlign w:val="center"/>
          </w:tcPr>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劳动合同</w:t>
            </w:r>
          </w:p>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关系单位</w:t>
            </w:r>
          </w:p>
        </w:tc>
        <w:tc>
          <w:tcPr>
            <w:tcW w:w="832" w:type="pct"/>
            <w:tcBorders>
              <w:bottom w:val="single" w:sz="4" w:space="0" w:color="auto"/>
            </w:tcBorders>
            <w:vAlign w:val="center"/>
          </w:tcPr>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缴纳社会</w:t>
            </w:r>
          </w:p>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保险单位</w:t>
            </w:r>
          </w:p>
        </w:tc>
      </w:tr>
      <w:tr>
        <w:tblPrEx>
          <w:tblW w:w="4998" w:type="pct"/>
          <w:jc w:val="center"/>
          <w:tblCellMar>
            <w:top w:w="0" w:type="dxa"/>
            <w:left w:w="108" w:type="dxa"/>
            <w:bottom w:w="0" w:type="dxa"/>
            <w:right w:w="108" w:type="dxa"/>
          </w:tblCellMar>
        </w:tblPrEx>
        <w:trPr>
          <w:jc w:val="center"/>
        </w:trPr>
        <w:tc>
          <w:tcPr>
            <w:tcW w:w="41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1</w:t>
            </w:r>
          </w:p>
        </w:tc>
        <w:tc>
          <w:tcPr>
            <w:tcW w:w="1337"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法定代表人/单位负责人/主要经营负责人</w:t>
            </w:r>
          </w:p>
        </w:tc>
        <w:tc>
          <w:tcPr>
            <w:tcW w:w="467"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838"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832"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r>
      <w:tr>
        <w:tblPrEx>
          <w:tblW w:w="4998" w:type="pct"/>
          <w:jc w:val="center"/>
          <w:tblCellMar>
            <w:top w:w="0" w:type="dxa"/>
            <w:left w:w="108" w:type="dxa"/>
            <w:bottom w:w="0" w:type="dxa"/>
            <w:right w:w="108" w:type="dxa"/>
          </w:tblCellMar>
        </w:tblPrEx>
        <w:trPr>
          <w:jc w:val="center"/>
        </w:trPr>
        <w:tc>
          <w:tcPr>
            <w:tcW w:w="41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2</w:t>
            </w:r>
          </w:p>
        </w:tc>
        <w:tc>
          <w:tcPr>
            <w:tcW w:w="1337"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项目投标授权代表人</w:t>
            </w:r>
          </w:p>
        </w:tc>
        <w:tc>
          <w:tcPr>
            <w:tcW w:w="467"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838"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832"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r>
      <w:tr>
        <w:tblPrEx>
          <w:tblW w:w="4998" w:type="pct"/>
          <w:jc w:val="center"/>
          <w:tblCellMar>
            <w:top w:w="0" w:type="dxa"/>
            <w:left w:w="108" w:type="dxa"/>
            <w:bottom w:w="0" w:type="dxa"/>
            <w:right w:w="108" w:type="dxa"/>
          </w:tblCellMar>
        </w:tblPrEx>
        <w:trPr>
          <w:jc w:val="center"/>
        </w:trPr>
        <w:tc>
          <w:tcPr>
            <w:tcW w:w="410" w:type="pct"/>
            <w:tcBorders>
              <w:top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3</w:t>
            </w:r>
          </w:p>
        </w:tc>
        <w:tc>
          <w:tcPr>
            <w:tcW w:w="1337" w:type="pct"/>
            <w:gridSpan w:val="2"/>
            <w:tcBorders>
              <w:top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项目负责人</w:t>
            </w:r>
          </w:p>
        </w:tc>
        <w:tc>
          <w:tcPr>
            <w:tcW w:w="467" w:type="pct"/>
            <w:tcBorders>
              <w:top w:val="single" w:sz="4" w:space="0" w:color="auto"/>
            </w:tcBorders>
            <w:vAlign w:val="center"/>
          </w:tcPr>
          <w:p>
            <w:pPr>
              <w:spacing w:line="360" w:lineRule="auto"/>
              <w:jc w:val="center"/>
              <w:rPr>
                <w:rFonts w:eastAsia="宋体" w:asciiTheme="minorEastAsia" w:hAnsiTheme="minorEastAsia" w:cstheme="minorEastAsia"/>
              </w:rPr>
            </w:pPr>
          </w:p>
        </w:tc>
        <w:tc>
          <w:tcPr>
            <w:tcW w:w="1113" w:type="pct"/>
            <w:gridSpan w:val="2"/>
            <w:tcBorders>
              <w:top w:val="single" w:sz="4" w:space="0" w:color="auto"/>
            </w:tcBorders>
            <w:vAlign w:val="center"/>
          </w:tcPr>
          <w:p>
            <w:pPr>
              <w:spacing w:line="360" w:lineRule="auto"/>
              <w:jc w:val="center"/>
              <w:rPr>
                <w:rFonts w:eastAsia="宋体" w:asciiTheme="minorEastAsia" w:hAnsiTheme="minorEastAsia" w:cstheme="minorEastAsia"/>
              </w:rPr>
            </w:pPr>
          </w:p>
        </w:tc>
        <w:tc>
          <w:tcPr>
            <w:tcW w:w="838" w:type="pct"/>
            <w:tcBorders>
              <w:top w:val="single" w:sz="4" w:space="0" w:color="auto"/>
            </w:tcBorders>
            <w:vAlign w:val="center"/>
          </w:tcPr>
          <w:p>
            <w:pPr>
              <w:spacing w:line="360" w:lineRule="auto"/>
              <w:jc w:val="center"/>
              <w:rPr>
                <w:rFonts w:eastAsia="宋体" w:asciiTheme="minorEastAsia" w:hAnsiTheme="minorEastAsia" w:cstheme="minorEastAsia"/>
              </w:rPr>
            </w:pPr>
          </w:p>
        </w:tc>
        <w:tc>
          <w:tcPr>
            <w:tcW w:w="832" w:type="pct"/>
            <w:tcBorders>
              <w:top w:val="single" w:sz="4" w:space="0" w:color="auto"/>
            </w:tcBorders>
            <w:vAlign w:val="center"/>
          </w:tcPr>
          <w:p>
            <w:pPr>
              <w:spacing w:line="360" w:lineRule="auto"/>
              <w:jc w:val="center"/>
              <w:rPr>
                <w:rFonts w:eastAsia="宋体" w:asciiTheme="minorEastAsia" w:hAnsiTheme="minorEastAsia" w:cstheme="minorEastAsia"/>
              </w:rPr>
            </w:pPr>
          </w:p>
        </w:tc>
      </w:tr>
      <w:tr>
        <w:tblPrEx>
          <w:tblW w:w="4998" w:type="pct"/>
          <w:jc w:val="center"/>
          <w:tblCellMar>
            <w:top w:w="0" w:type="dxa"/>
            <w:left w:w="108" w:type="dxa"/>
            <w:bottom w:w="0" w:type="dxa"/>
            <w:right w:w="108" w:type="dxa"/>
          </w:tblCellMar>
        </w:tblPrEx>
        <w:trPr>
          <w:jc w:val="center"/>
        </w:trPr>
        <w:tc>
          <w:tcPr>
            <w:tcW w:w="410" w:type="pct"/>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4</w:t>
            </w:r>
          </w:p>
        </w:tc>
        <w:tc>
          <w:tcPr>
            <w:tcW w:w="1337" w:type="pct"/>
            <w:gridSpan w:val="2"/>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主要技术人员</w:t>
            </w:r>
          </w:p>
        </w:tc>
        <w:tc>
          <w:tcPr>
            <w:tcW w:w="467" w:type="pct"/>
            <w:vAlign w:val="center"/>
          </w:tcPr>
          <w:p>
            <w:pPr>
              <w:spacing w:line="360" w:lineRule="auto"/>
              <w:jc w:val="center"/>
              <w:rPr>
                <w:rFonts w:eastAsia="宋体" w:asciiTheme="minorEastAsia" w:hAnsiTheme="minorEastAsia" w:cstheme="minorEastAsia"/>
              </w:rPr>
            </w:pPr>
          </w:p>
        </w:tc>
        <w:tc>
          <w:tcPr>
            <w:tcW w:w="1113" w:type="pct"/>
            <w:gridSpan w:val="2"/>
            <w:vAlign w:val="center"/>
          </w:tcPr>
          <w:p>
            <w:pPr>
              <w:spacing w:line="360" w:lineRule="auto"/>
              <w:jc w:val="center"/>
              <w:rPr>
                <w:rFonts w:eastAsia="宋体" w:asciiTheme="minorEastAsia" w:hAnsiTheme="minorEastAsia" w:cstheme="minorEastAsia"/>
              </w:rPr>
            </w:pPr>
          </w:p>
        </w:tc>
        <w:tc>
          <w:tcPr>
            <w:tcW w:w="838" w:type="pct"/>
            <w:vAlign w:val="center"/>
          </w:tcPr>
          <w:p>
            <w:pPr>
              <w:spacing w:line="360" w:lineRule="auto"/>
              <w:jc w:val="center"/>
              <w:rPr>
                <w:rFonts w:eastAsia="宋体" w:asciiTheme="minorEastAsia" w:hAnsiTheme="minorEastAsia" w:cstheme="minorEastAsia"/>
              </w:rPr>
            </w:pPr>
          </w:p>
        </w:tc>
        <w:tc>
          <w:tcPr>
            <w:tcW w:w="832" w:type="pct"/>
            <w:vAlign w:val="center"/>
          </w:tcPr>
          <w:p>
            <w:pPr>
              <w:spacing w:line="360" w:lineRule="auto"/>
              <w:jc w:val="center"/>
              <w:rPr>
                <w:rFonts w:eastAsia="宋体" w:asciiTheme="minorEastAsia" w:hAnsiTheme="minorEastAsia" w:cstheme="minorEastAsia"/>
              </w:rPr>
            </w:pPr>
          </w:p>
        </w:tc>
      </w:tr>
      <w:tr>
        <w:tblPrEx>
          <w:tblW w:w="4998" w:type="pct"/>
          <w:jc w:val="center"/>
          <w:tblCellMar>
            <w:top w:w="0" w:type="dxa"/>
            <w:left w:w="108" w:type="dxa"/>
            <w:bottom w:w="0" w:type="dxa"/>
            <w:right w:w="108" w:type="dxa"/>
          </w:tblCellMar>
        </w:tblPrEx>
        <w:trPr>
          <w:jc w:val="center"/>
        </w:trPr>
        <w:tc>
          <w:tcPr>
            <w:tcW w:w="410" w:type="pct"/>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5</w:t>
            </w:r>
          </w:p>
        </w:tc>
        <w:tc>
          <w:tcPr>
            <w:tcW w:w="1337" w:type="pct"/>
            <w:gridSpan w:val="2"/>
            <w:vAlign w:val="center"/>
          </w:tcPr>
          <w:p>
            <w:pPr>
              <w:snapToGrid w:val="0"/>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投标文件编制人员</w:t>
            </w:r>
          </w:p>
        </w:tc>
        <w:tc>
          <w:tcPr>
            <w:tcW w:w="467" w:type="pct"/>
            <w:vAlign w:val="center"/>
          </w:tcPr>
          <w:p>
            <w:pPr>
              <w:spacing w:line="360" w:lineRule="auto"/>
              <w:jc w:val="center"/>
              <w:rPr>
                <w:rFonts w:eastAsia="宋体" w:asciiTheme="minorEastAsia" w:hAnsiTheme="minorEastAsia" w:cstheme="minorEastAsia"/>
              </w:rPr>
            </w:pPr>
          </w:p>
        </w:tc>
        <w:tc>
          <w:tcPr>
            <w:tcW w:w="1113" w:type="pct"/>
            <w:gridSpan w:val="2"/>
            <w:vAlign w:val="center"/>
          </w:tcPr>
          <w:p>
            <w:pPr>
              <w:spacing w:line="360" w:lineRule="auto"/>
              <w:jc w:val="center"/>
              <w:rPr>
                <w:rFonts w:eastAsia="宋体" w:asciiTheme="minorEastAsia" w:hAnsiTheme="minorEastAsia" w:cstheme="minorEastAsia"/>
              </w:rPr>
            </w:pPr>
          </w:p>
        </w:tc>
        <w:tc>
          <w:tcPr>
            <w:tcW w:w="838" w:type="pct"/>
            <w:vAlign w:val="center"/>
          </w:tcPr>
          <w:p>
            <w:pPr>
              <w:spacing w:line="360" w:lineRule="auto"/>
              <w:jc w:val="center"/>
              <w:rPr>
                <w:rFonts w:eastAsia="宋体" w:asciiTheme="minorEastAsia" w:hAnsiTheme="minorEastAsia" w:cstheme="minorEastAsia"/>
              </w:rPr>
            </w:pPr>
          </w:p>
        </w:tc>
        <w:tc>
          <w:tcPr>
            <w:tcW w:w="832" w:type="pct"/>
            <w:vAlign w:val="center"/>
          </w:tcPr>
          <w:p>
            <w:pPr>
              <w:spacing w:line="360" w:lineRule="auto"/>
              <w:jc w:val="center"/>
              <w:rPr>
                <w:rFonts w:eastAsia="宋体" w:asciiTheme="minorEastAsia" w:hAnsiTheme="minorEastAsia" w:cstheme="minorEastAsia"/>
              </w:rPr>
            </w:pPr>
          </w:p>
        </w:tc>
      </w:tr>
      <w:tr>
        <w:tblPrEx>
          <w:tblW w:w="4998" w:type="pct"/>
          <w:jc w:val="center"/>
          <w:tblCellMar>
            <w:top w:w="0" w:type="dxa"/>
            <w:left w:w="108" w:type="dxa"/>
            <w:bottom w:w="0" w:type="dxa"/>
            <w:right w:w="108" w:type="dxa"/>
          </w:tblCellMar>
        </w:tblPrEx>
        <w:trPr>
          <w:jc w:val="center"/>
        </w:trPr>
        <w:tc>
          <w:tcPr>
            <w:tcW w:w="5000" w:type="pct"/>
            <w:gridSpan w:val="8"/>
            <w:vAlign w:val="center"/>
          </w:tcPr>
          <w:p>
            <w:pPr>
              <w:spacing w:line="360" w:lineRule="auto"/>
              <w:rPr>
                <w:rFonts w:eastAsia="宋体" w:asciiTheme="minorEastAsia" w:hAnsiTheme="minorEastAsia" w:cstheme="minorEastAsia"/>
              </w:rPr>
            </w:pPr>
            <w:r>
              <w:rPr>
                <w:rFonts w:eastAsia="宋体" w:asciiTheme="minorEastAsia" w:hAnsiTheme="minorEastAsia" w:cstheme="minorEastAsia" w:hint="eastAsia"/>
                <w:b/>
                <w:bCs/>
              </w:rPr>
              <w:t>说明：同一职务有多人担任（如主要技术人员），应分行填写。</w:t>
            </w:r>
          </w:p>
        </w:tc>
      </w:tr>
      <w:tr>
        <w:tblPrEx>
          <w:tblW w:w="4998" w:type="pct"/>
          <w:jc w:val="center"/>
          <w:tblCellMar>
            <w:top w:w="0" w:type="dxa"/>
            <w:left w:w="108" w:type="dxa"/>
            <w:bottom w:w="0" w:type="dxa"/>
            <w:right w:w="108" w:type="dxa"/>
          </w:tblCellMar>
        </w:tblPrEx>
        <w:trPr>
          <w:trHeight w:val="539"/>
          <w:jc w:val="center"/>
        </w:trPr>
        <w:tc>
          <w:tcPr>
            <w:tcW w:w="5000" w:type="pct"/>
            <w:gridSpan w:val="8"/>
            <w:vAlign w:val="center"/>
          </w:tcPr>
          <w:p>
            <w:pPr>
              <w:spacing w:line="360" w:lineRule="auto"/>
              <w:jc w:val="center"/>
              <w:rPr>
                <w:rFonts w:eastAsia="宋体" w:asciiTheme="minorEastAsia" w:hAnsiTheme="minorEastAsia" w:cstheme="minorEastAsia"/>
                <w:b/>
                <w:bCs/>
              </w:rPr>
            </w:pPr>
            <w:r>
              <w:rPr>
                <w:rFonts w:eastAsia="宋体" w:asciiTheme="minorEastAsia" w:hAnsiTheme="minorEastAsia" w:cstheme="minorEastAsia" w:hint="eastAsia"/>
                <w:b/>
                <w:bCs/>
              </w:rPr>
              <w:t>投标（响应）供应商关联关系情况</w:t>
            </w:r>
          </w:p>
        </w:tc>
      </w:tr>
      <w:tr>
        <w:tblPrEx>
          <w:tblW w:w="4998" w:type="pct"/>
          <w:jc w:val="center"/>
          <w:tblCellMar>
            <w:top w:w="0" w:type="dxa"/>
            <w:left w:w="108" w:type="dxa"/>
            <w:bottom w:w="0" w:type="dxa"/>
            <w:right w:w="108" w:type="dxa"/>
          </w:tblCellMar>
        </w:tblPrEx>
        <w:trPr>
          <w:jc w:val="center"/>
        </w:trPr>
        <w:tc>
          <w:tcPr>
            <w:tcW w:w="410" w:type="pct"/>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序号</w:t>
            </w:r>
          </w:p>
        </w:tc>
        <w:tc>
          <w:tcPr>
            <w:tcW w:w="1337" w:type="pct"/>
            <w:gridSpan w:val="2"/>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关联关系类型</w:t>
            </w:r>
          </w:p>
        </w:tc>
        <w:tc>
          <w:tcPr>
            <w:tcW w:w="908" w:type="pct"/>
            <w:gridSpan w:val="2"/>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关联主体名称</w:t>
            </w:r>
          </w:p>
        </w:tc>
        <w:tc>
          <w:tcPr>
            <w:tcW w:w="2342" w:type="pct"/>
            <w:gridSpan w:val="3"/>
            <w:tcBorders>
              <w:bottom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备注</w:t>
            </w:r>
          </w:p>
        </w:tc>
      </w:tr>
      <w:tr>
        <w:tblPrEx>
          <w:tblW w:w="4998" w:type="pct"/>
          <w:jc w:val="center"/>
          <w:tblCellMar>
            <w:top w:w="0" w:type="dxa"/>
            <w:left w:w="108" w:type="dxa"/>
            <w:bottom w:w="0" w:type="dxa"/>
            <w:right w:w="108" w:type="dxa"/>
          </w:tblCellMar>
        </w:tblPrEx>
        <w:trPr>
          <w:jc w:val="center"/>
        </w:trPr>
        <w:tc>
          <w:tcPr>
            <w:tcW w:w="41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1</w:t>
            </w:r>
          </w:p>
        </w:tc>
        <w:tc>
          <w:tcPr>
            <w:tcW w:w="1337"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控股股东</w:t>
            </w:r>
          </w:p>
        </w:tc>
        <w:tc>
          <w:tcPr>
            <w:tcW w:w="908"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2342" w:type="pct"/>
            <w:gridSpan w:val="3"/>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eastAsia="宋体" w:asciiTheme="minorEastAsia" w:hAnsiTheme="minorEastAsia" w:cstheme="minorEastAsia"/>
              </w:rPr>
            </w:pPr>
            <w:r>
              <w:rPr>
                <w:rFonts w:eastAsia="宋体" w:asciiTheme="minorEastAsia" w:hAnsiTheme="minorEastAsia" w:cstheme="minorEastAsia" w:hint="eastAsia"/>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4998" w:type="pct"/>
          <w:jc w:val="center"/>
          <w:tblCellMar>
            <w:top w:w="0" w:type="dxa"/>
            <w:left w:w="108" w:type="dxa"/>
            <w:bottom w:w="0" w:type="dxa"/>
            <w:right w:w="108" w:type="dxa"/>
          </w:tblCellMar>
        </w:tblPrEx>
        <w:trPr>
          <w:trHeight w:val="789"/>
          <w:jc w:val="center"/>
        </w:trPr>
        <w:tc>
          <w:tcPr>
            <w:tcW w:w="410" w:type="pct"/>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2</w:t>
            </w:r>
          </w:p>
        </w:tc>
        <w:tc>
          <w:tcPr>
            <w:tcW w:w="1337"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r>
              <w:rPr>
                <w:rFonts w:eastAsia="宋体" w:asciiTheme="minorEastAsia" w:hAnsiTheme="minorEastAsia" w:cstheme="minorEastAsia" w:hint="eastAsia"/>
              </w:rPr>
              <w:t>管理关系</w:t>
            </w:r>
          </w:p>
        </w:tc>
        <w:tc>
          <w:tcPr>
            <w:tcW w:w="908" w:type="pct"/>
            <w:gridSpan w:val="2"/>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eastAsia="宋体" w:asciiTheme="minorEastAsia" w:hAnsiTheme="minorEastAsia" w:cstheme="minorEastAsia"/>
              </w:rPr>
            </w:pPr>
          </w:p>
        </w:tc>
        <w:tc>
          <w:tcPr>
            <w:tcW w:w="2342" w:type="pct"/>
            <w:gridSpan w:val="3"/>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eastAsia="宋体" w:asciiTheme="minorEastAsia" w:hAnsiTheme="minorEastAsia" w:cstheme="minorEastAsia"/>
              </w:rPr>
            </w:pPr>
            <w:r>
              <w:rPr>
                <w:rFonts w:eastAsia="宋体" w:asciiTheme="minorEastAsia" w:hAnsiTheme="minorEastAsia" w:cstheme="minorEastAsia" w:hint="eastAsia"/>
              </w:rPr>
              <w:t>指对投标（响应）供应商不具有出资持股关系，但对其存在管理关系的主体。</w:t>
            </w:r>
          </w:p>
        </w:tc>
      </w:tr>
      <w:tr>
        <w:tblPrEx>
          <w:tblW w:w="4998" w:type="pct"/>
          <w:jc w:val="center"/>
          <w:tblCellMar>
            <w:top w:w="0" w:type="dxa"/>
            <w:left w:w="108" w:type="dxa"/>
            <w:bottom w:w="0" w:type="dxa"/>
            <w:right w:w="108" w:type="dxa"/>
          </w:tblCellMar>
        </w:tblPrEx>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pPr>
              <w:snapToGrid w:val="0"/>
              <w:spacing w:line="360" w:lineRule="auto"/>
              <w:rPr>
                <w:rFonts w:eastAsia="宋体" w:asciiTheme="minorEastAsia" w:hAnsiTheme="minorEastAsia" w:cstheme="minorEastAsia"/>
              </w:rPr>
            </w:pPr>
            <w:r>
              <w:rPr>
                <w:rFonts w:eastAsia="宋体" w:asciiTheme="minorEastAsia" w:hAnsiTheme="minorEastAsia" w:cstheme="minorEastAsia" w:hint="eastAsia"/>
                <w:b/>
                <w:bCs/>
              </w:rPr>
              <w:t>说明：同一关联关系类型有多个主体的，应分行填写。</w:t>
            </w:r>
          </w:p>
        </w:tc>
      </w:tr>
    </w:tbl>
    <w:p>
      <w:pPr>
        <w:spacing w:line="360" w:lineRule="auto"/>
        <w:rPr>
          <w:rFonts w:ascii="仿宋_GB2312" w:eastAsia="仿宋_GB2312"/>
          <w:b/>
          <w:bCs/>
          <w:color w:val="FF0000"/>
          <w:kern w:val="2"/>
          <w:highlight w:val="yellow"/>
        </w:rPr>
      </w:pPr>
    </w:p>
    <w:p>
      <w:pPr>
        <w:rPr>
          <w:rFonts w:ascii="宋体" w:eastAsia="宋体" w:hAnsi="宋体"/>
          <w:bCs/>
          <w:szCs w:val="32"/>
        </w:rPr>
      </w:pPr>
      <w:r>
        <w:rPr>
          <w:rFonts w:eastAsia="宋体" w:hint="eastAsia"/>
          <w:color w:val="FF0000"/>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rFonts w:ascii="宋体" w:eastAsia="宋体" w:hAnsi="宋体"/>
          <w:bCs/>
          <w:szCs w:val="32"/>
        </w:rPr>
      </w:pPr>
      <w:r>
        <w:rPr>
          <w:rFonts w:ascii="宋体" w:eastAsia="宋体" w:hAnsi="宋体"/>
          <w:bCs/>
          <w:szCs w:val="32"/>
        </w:rPr>
        <w:br w:type="page"/>
      </w:r>
    </w:p>
    <w:p>
      <w:pPr>
        <w:keepNext/>
        <w:keepLines/>
        <w:spacing w:before="260" w:after="260" w:line="360" w:lineRule="auto"/>
        <w:jc w:val="center"/>
        <w:outlineLvl w:val="2"/>
        <w:rPr>
          <w:rFonts w:ascii="宋体" w:eastAsia="宋体" w:hAnsi="宋体"/>
          <w:bCs/>
          <w:szCs w:val="32"/>
        </w:rPr>
      </w:pPr>
      <w:r>
        <w:rPr>
          <w:rFonts w:ascii="宋体" w:eastAsia="宋体" w:hAnsi="宋体" w:hint="eastAsia"/>
          <w:bCs/>
          <w:szCs w:val="32"/>
        </w:rPr>
        <w:t>二</w:t>
      </w:r>
      <w:r>
        <w:rPr>
          <w:rFonts w:ascii="宋体" w:eastAsia="宋体" w:hAnsi="宋体"/>
          <w:bCs/>
          <w:szCs w:val="32"/>
        </w:rPr>
        <w:t>、</w:t>
      </w:r>
      <w:r>
        <w:rPr>
          <w:rFonts w:ascii="宋体" w:eastAsia="宋体" w:hAnsi="宋体" w:hint="eastAsia"/>
          <w:bCs/>
          <w:szCs w:val="32"/>
        </w:rPr>
        <w:t>法定代表人（负责人）证明书</w:t>
      </w:r>
      <w:bookmarkEnd w:id="75"/>
    </w:p>
    <w:p>
      <w:pPr>
        <w:spacing w:line="360" w:lineRule="auto"/>
        <w:rPr>
          <w:rFonts w:ascii="宋体" w:eastAsia="宋体" w:hAnsi="宋体"/>
        </w:rPr>
      </w:pPr>
    </w:p>
    <w:p>
      <w:pPr>
        <w:spacing w:line="360" w:lineRule="auto"/>
        <w:rPr>
          <w:rFonts w:ascii="宋体" w:eastAsia="宋体" w:hAnsi="宋体"/>
          <w:szCs w:val="21"/>
        </w:rPr>
      </w:pPr>
      <w:r>
        <w:rPr>
          <w:rFonts w:ascii="宋体" w:eastAsia="宋体" w:hAnsi="宋体" w:hint="eastAsia"/>
          <w:szCs w:val="21"/>
        </w:rPr>
        <w:t>同志，现任我单位职务，为法定代表人（负责人），特此证明。</w:t>
      </w:r>
    </w:p>
    <w:p>
      <w:pPr>
        <w:spacing w:line="360" w:lineRule="auto"/>
        <w:rPr>
          <w:rFonts w:ascii="宋体" w:eastAsia="宋体" w:hAnsi="宋体"/>
          <w:szCs w:val="21"/>
        </w:rPr>
      </w:pPr>
    </w:p>
    <w:p>
      <w:pPr>
        <w:spacing w:line="360" w:lineRule="auto"/>
        <w:rPr>
          <w:rFonts w:ascii="宋体" w:eastAsia="宋体" w:hAnsi="宋体"/>
          <w:szCs w:val="21"/>
        </w:rPr>
      </w:pPr>
      <w:r>
        <w:rPr>
          <w:rFonts w:ascii="宋体" w:eastAsia="宋体" w:hAnsi="宋体" w:hint="eastAsia"/>
          <w:szCs w:val="21"/>
        </w:rPr>
        <w:t>说明：1、法定代表人为投标人（企业事业单位、国家机关、社会团体）的主要行政负责人。</w:t>
      </w:r>
    </w:p>
    <w:p>
      <w:pPr>
        <w:spacing w:line="360" w:lineRule="auto"/>
        <w:rPr>
          <w:rFonts w:ascii="宋体" w:eastAsia="宋体" w:hAnsi="宋体"/>
          <w:szCs w:val="21"/>
        </w:rPr>
      </w:pPr>
      <w:r>
        <w:rPr>
          <w:rFonts w:ascii="宋体" w:eastAsia="宋体" w:hAnsi="宋体" w:hint="eastAsia"/>
          <w:szCs w:val="21"/>
        </w:rPr>
        <w:t xml:space="preserve">      2、内容必须填写真实、清楚，涂改无效，不得转让、买卖。</w:t>
      </w:r>
    </w:p>
    <w:p>
      <w:pPr>
        <w:spacing w:line="360" w:lineRule="auto"/>
        <w:rPr>
          <w:rFonts w:ascii="宋体" w:eastAsia="宋体" w:hAnsi="宋体"/>
          <w:b/>
          <w:szCs w:val="21"/>
        </w:rPr>
      </w:pPr>
      <w:r>
        <w:rPr>
          <w:rFonts w:ascii="宋体" w:eastAsia="宋体" w:hAnsi="宋体" w:hint="eastAsia"/>
          <w:b/>
          <w:szCs w:val="21"/>
        </w:rPr>
        <w:t>附：1、请提供法定代表人身份证扫描件（正反两面）；非中国国籍管辖范围人员，可提供公安部门认可的身份证明材料扫描件。</w:t>
      </w:r>
    </w:p>
    <w:p>
      <w:pPr>
        <w:spacing w:line="360" w:lineRule="auto"/>
        <w:rPr>
          <w:rFonts w:ascii="宋体" w:eastAsia="宋体" w:hAnsi="宋体"/>
          <w:b/>
          <w:szCs w:val="21"/>
        </w:rPr>
      </w:pPr>
      <w:r>
        <w:rPr>
          <w:rFonts w:ascii="宋体" w:eastAsia="宋体" w:hAnsi="宋体" w:hint="eastAsia"/>
          <w:b/>
          <w:szCs w:val="21"/>
        </w:rPr>
        <w:t>2、投标时提供法定代表人近三个月（含开标当月）中的任意一个月的社会保险证明。</w:t>
      </w:r>
    </w:p>
    <w:p>
      <w:pPr>
        <w:spacing w:line="360" w:lineRule="auto"/>
        <w:rPr>
          <w:rFonts w:ascii="宋体" w:eastAsia="宋体" w:hAnsi="宋体"/>
          <w:b/>
          <w:szCs w:val="21"/>
        </w:rPr>
      </w:pPr>
      <w:r>
        <w:rPr>
          <w:rFonts w:ascii="宋体" w:eastAsia="宋体" w:hAnsi="宋体" w:hint="eastAsia"/>
          <w:b/>
          <w:szCs w:val="21"/>
        </w:rPr>
        <w:t>注：</w:t>
      </w:r>
    </w:p>
    <w:p>
      <w:pPr>
        <w:spacing w:line="360" w:lineRule="auto"/>
        <w:rPr>
          <w:rFonts w:ascii="宋体" w:eastAsia="宋体" w:hAnsi="宋体"/>
          <w:b/>
          <w:szCs w:val="21"/>
        </w:rPr>
      </w:pPr>
      <w:r>
        <w:rPr>
          <w:rFonts w:ascii="宋体" w:eastAsia="宋体" w:hAnsi="宋体" w:hint="eastAsia"/>
          <w:b/>
          <w:szCs w:val="21"/>
        </w:rPr>
        <w:t>1.投标人应如实提供上述人员的社会保险证明，如上述人员的社会保险未由投标人缴纳，亦须提供相应单位为其缴纳的社会保险证明。</w:t>
      </w:r>
    </w:p>
    <w:p>
      <w:pPr>
        <w:spacing w:line="360" w:lineRule="auto"/>
        <w:rPr>
          <w:rFonts w:ascii="宋体" w:eastAsia="宋体" w:hAnsi="宋体"/>
          <w:b/>
          <w:szCs w:val="21"/>
        </w:rPr>
      </w:pPr>
      <w:r>
        <w:rPr>
          <w:rFonts w:ascii="宋体" w:eastAsia="宋体" w:hAnsi="宋体" w:hint="eastAsia"/>
          <w:b/>
          <w:szCs w:val="21"/>
        </w:rPr>
        <w:t>2.投标人为新成立企业且成立时间不足一个月可提供加盖投标人公章的情况说明或者证明材料亦视为符合。</w:t>
      </w:r>
    </w:p>
    <w:p>
      <w:pPr>
        <w:spacing w:line="360" w:lineRule="auto"/>
        <w:rPr>
          <w:rFonts w:ascii="宋体" w:eastAsia="宋体" w:hAnsi="宋体"/>
          <w:b/>
          <w:szCs w:val="21"/>
        </w:rPr>
      </w:pPr>
      <w:r>
        <w:rPr>
          <w:rFonts w:ascii="宋体" w:eastAsia="宋体" w:hAnsi="宋体" w:hint="eastAsia"/>
          <w:b/>
          <w:szCs w:val="21"/>
        </w:rPr>
        <w:t>3.若为退休人员，提供退休证明。</w:t>
      </w:r>
    </w:p>
    <w:p>
      <w:pPr>
        <w:spacing w:line="360" w:lineRule="auto"/>
        <w:rPr>
          <w:rFonts w:ascii="宋体" w:eastAsia="宋体" w:hAnsi="宋体"/>
          <w:b/>
          <w:szCs w:val="21"/>
        </w:rPr>
      </w:pPr>
      <w:r>
        <w:rPr>
          <w:rFonts w:ascii="宋体" w:eastAsia="宋体" w:hAnsi="宋体" w:hint="eastAsia"/>
          <w:b/>
          <w:szCs w:val="21"/>
        </w:rPr>
        <w:t>4.如依法不需要缴纳社会保险的，应提供相应文件证明。</w:t>
      </w:r>
    </w:p>
    <w:p>
      <w:pPr>
        <w:spacing w:line="360" w:lineRule="auto"/>
        <w:rPr>
          <w:rFonts w:ascii="宋体" w:eastAsia="宋体" w:hAnsi="宋体"/>
        </w:rPr>
      </w:pPr>
      <w:r>
        <w:rPr>
          <w:rFonts w:ascii="宋体" w:eastAsia="宋体" w:hAnsi="宋体" w:hint="eastAsia"/>
          <w:b/>
          <w:szCs w:val="21"/>
        </w:rPr>
        <w:t>5.若因为社保部门或税务部门原因无法提供的，需提供劳动合同及社保部门或税务部门官方通知证明（或官网公告截图）。</w:t>
      </w:r>
    </w:p>
    <w:p>
      <w:pPr>
        <w:rPr>
          <w:rFonts w:ascii="宋体" w:eastAsia="宋体" w:hAnsi="宋体"/>
          <w:b/>
          <w:bCs/>
        </w:rPr>
      </w:pPr>
      <w:r>
        <w:rPr>
          <w:rFonts w:ascii="宋体" w:eastAsia="宋体" w:hAnsi="宋体"/>
          <w:b/>
          <w:bCs/>
        </w:rPr>
        <w:br w:type="page"/>
      </w:r>
    </w:p>
    <w:p>
      <w:pPr>
        <w:keepNext/>
        <w:keepLines/>
        <w:spacing w:before="120" w:after="120" w:line="360" w:lineRule="auto"/>
        <w:jc w:val="center"/>
        <w:outlineLvl w:val="2"/>
        <w:rPr>
          <w:rFonts w:ascii="宋体" w:eastAsia="宋体" w:hAnsi="宋体"/>
          <w:bCs/>
          <w:szCs w:val="32"/>
        </w:rPr>
      </w:pPr>
      <w:r>
        <w:rPr>
          <w:rFonts w:ascii="宋体" w:eastAsia="宋体" w:hAnsi="宋体" w:hint="eastAsia"/>
          <w:bCs/>
          <w:szCs w:val="32"/>
        </w:rPr>
        <w:t>三、投标文件签署授权委托书</w:t>
      </w:r>
    </w:p>
    <w:p>
      <w:pPr>
        <w:spacing w:line="360" w:lineRule="auto"/>
        <w:ind w:firstLine="480" w:firstLineChars="200"/>
        <w:rPr>
          <w:rFonts w:ascii="宋体" w:eastAsia="宋体" w:hAnsi="宋体"/>
          <w:szCs w:val="21"/>
        </w:rPr>
      </w:pPr>
      <w:r>
        <w:rPr>
          <w:rFonts w:ascii="宋体" w:eastAsia="宋体" w:hAnsi="宋体" w:hint="eastAsia"/>
          <w:szCs w:val="21"/>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pPr>
        <w:spacing w:line="360" w:lineRule="auto"/>
        <w:ind w:firstLine="420"/>
        <w:rPr>
          <w:rFonts w:ascii="宋体" w:eastAsia="宋体" w:hAnsi="宋体"/>
          <w:szCs w:val="21"/>
        </w:rPr>
      </w:pPr>
      <w:r>
        <w:rPr>
          <w:rFonts w:ascii="宋体" w:eastAsia="宋体" w:hAnsi="宋体" w:hint="eastAsia"/>
          <w:szCs w:val="21"/>
        </w:rPr>
        <w:t>代理人无转委托权，特此委托。</w:t>
      </w:r>
    </w:p>
    <w:p>
      <w:pPr>
        <w:spacing w:line="360" w:lineRule="auto"/>
        <w:ind w:firstLine="420"/>
        <w:rPr>
          <w:rFonts w:ascii="宋体" w:eastAsia="宋体" w:hAnsi="宋体"/>
          <w:szCs w:val="21"/>
        </w:rPr>
      </w:pPr>
    </w:p>
    <w:p>
      <w:pPr>
        <w:spacing w:line="360" w:lineRule="auto"/>
        <w:ind w:left="617" w:leftChars="257"/>
        <w:rPr>
          <w:rFonts w:ascii="宋体" w:eastAsia="宋体" w:hAnsi="宋体"/>
          <w:szCs w:val="21"/>
          <w:u w:val="single"/>
        </w:rPr>
      </w:pPr>
      <w:r>
        <w:rPr>
          <w:rFonts w:ascii="宋体" w:eastAsia="宋体" w:hAnsi="宋体" w:hint="eastAsia"/>
          <w:szCs w:val="21"/>
        </w:rPr>
        <w:t>代理人：</w:t>
      </w:r>
    </w:p>
    <w:p>
      <w:pPr>
        <w:spacing w:line="360" w:lineRule="auto"/>
        <w:ind w:left="617" w:leftChars="257"/>
        <w:rPr>
          <w:rFonts w:ascii="宋体" w:eastAsia="宋体" w:hAnsi="宋体"/>
          <w:szCs w:val="21"/>
        </w:rPr>
      </w:pPr>
      <w:r>
        <w:rPr>
          <w:rFonts w:ascii="宋体" w:eastAsia="宋体" w:hAnsi="宋体" w:hint="eastAsia"/>
          <w:szCs w:val="21"/>
        </w:rPr>
        <w:t>联系电话：  手机：</w:t>
      </w:r>
    </w:p>
    <w:p>
      <w:pPr>
        <w:spacing w:line="360" w:lineRule="auto"/>
        <w:ind w:left="617" w:leftChars="257"/>
        <w:rPr>
          <w:rFonts w:ascii="宋体" w:eastAsia="宋体" w:hAnsi="宋体"/>
          <w:szCs w:val="21"/>
          <w:u w:val="single"/>
        </w:rPr>
      </w:pPr>
      <w:r>
        <w:rPr>
          <w:rFonts w:ascii="宋体" w:eastAsia="宋体" w:hAnsi="宋体" w:hint="eastAsia"/>
          <w:szCs w:val="21"/>
        </w:rPr>
        <w:t>身份证号码： 职务：</w:t>
      </w:r>
    </w:p>
    <w:p>
      <w:pPr>
        <w:spacing w:line="360" w:lineRule="auto"/>
        <w:ind w:left="617" w:leftChars="257"/>
        <w:rPr>
          <w:rFonts w:ascii="宋体" w:eastAsia="宋体" w:hAnsi="宋体"/>
          <w:szCs w:val="21"/>
        </w:rPr>
      </w:pPr>
      <w:r>
        <w:rPr>
          <w:rFonts w:ascii="宋体" w:eastAsia="宋体" w:hAnsi="宋体" w:hint="eastAsia"/>
          <w:szCs w:val="21"/>
        </w:rPr>
        <w:t>授权委托日期： 年 月 日</w:t>
      </w:r>
    </w:p>
    <w:p>
      <w:pPr>
        <w:spacing w:line="360" w:lineRule="auto"/>
        <w:rPr>
          <w:rFonts w:ascii="宋体" w:eastAsia="宋体" w:hAnsi="宋体"/>
        </w:rPr>
      </w:pPr>
    </w:p>
    <w:p>
      <w:pPr>
        <w:spacing w:line="360" w:lineRule="auto"/>
        <w:ind w:firstLine="480" w:firstLineChars="200"/>
        <w:rPr>
          <w:rFonts w:ascii="宋体" w:eastAsia="宋体" w:hAnsi="宋体"/>
          <w:b/>
          <w:szCs w:val="21"/>
        </w:rPr>
      </w:pPr>
      <w:r>
        <w:rPr>
          <w:rFonts w:ascii="宋体" w:eastAsia="宋体" w:hAnsi="宋体" w:hint="eastAsia"/>
          <w:b/>
          <w:szCs w:val="21"/>
        </w:rPr>
        <w:t>附：1、请提供代理人身份证扫描件（正反两面）；非中国国籍管辖范围人员，可提供公安部门认可的身份证明材料扫描件。</w:t>
      </w:r>
    </w:p>
    <w:p>
      <w:pPr>
        <w:spacing w:line="360" w:lineRule="auto"/>
        <w:ind w:firstLine="480" w:firstLineChars="200"/>
        <w:rPr>
          <w:rFonts w:ascii="宋体" w:eastAsia="宋体" w:hAnsi="宋体"/>
          <w:b/>
          <w:szCs w:val="21"/>
        </w:rPr>
      </w:pPr>
      <w:r>
        <w:rPr>
          <w:rFonts w:ascii="宋体" w:eastAsia="宋体" w:hAnsi="宋体" w:hint="eastAsia"/>
          <w:b/>
          <w:szCs w:val="21"/>
        </w:rPr>
        <w:t>2、投标时提供代理人近三个月（含开标当月）中的任意一个月的社会保险证明。</w:t>
      </w:r>
    </w:p>
    <w:p>
      <w:pPr>
        <w:spacing w:line="360" w:lineRule="auto"/>
        <w:ind w:firstLine="480" w:firstLineChars="200"/>
        <w:rPr>
          <w:rFonts w:ascii="宋体" w:eastAsia="宋体" w:hAnsi="宋体"/>
          <w:b/>
          <w:szCs w:val="21"/>
        </w:rPr>
      </w:pPr>
      <w:r>
        <w:rPr>
          <w:rFonts w:ascii="宋体" w:eastAsia="宋体" w:hAnsi="宋体" w:hint="eastAsia"/>
          <w:b/>
          <w:szCs w:val="21"/>
        </w:rPr>
        <w:t>注：</w:t>
      </w:r>
    </w:p>
    <w:p>
      <w:pPr>
        <w:spacing w:line="360" w:lineRule="auto"/>
        <w:ind w:firstLine="480" w:firstLineChars="200"/>
        <w:rPr>
          <w:rFonts w:ascii="宋体" w:eastAsia="宋体" w:hAnsi="宋体"/>
          <w:b/>
          <w:szCs w:val="21"/>
        </w:rPr>
      </w:pPr>
      <w:r>
        <w:rPr>
          <w:rFonts w:ascii="宋体" w:eastAsia="宋体" w:hAnsi="宋体" w:hint="eastAsia"/>
          <w:b/>
          <w:szCs w:val="21"/>
        </w:rPr>
        <w:t>1.投标人应如实提供上述人员的社会保险证明，如上述人员的社会保险未由投标人缴纳，亦须提供相应单位为其缴纳的社会保险证明。</w:t>
      </w:r>
    </w:p>
    <w:p>
      <w:pPr>
        <w:spacing w:line="360" w:lineRule="auto"/>
        <w:ind w:firstLine="480" w:firstLineChars="200"/>
        <w:rPr>
          <w:rFonts w:ascii="宋体" w:eastAsia="宋体" w:hAnsi="宋体"/>
          <w:b/>
          <w:szCs w:val="21"/>
        </w:rPr>
      </w:pPr>
      <w:r>
        <w:rPr>
          <w:rFonts w:ascii="宋体" w:eastAsia="宋体" w:hAnsi="宋体" w:hint="eastAsia"/>
          <w:b/>
          <w:szCs w:val="21"/>
        </w:rPr>
        <w:t>2.投标人为新成立企业且成立时间不足一个月可提供加盖投标人公章的情况说明或者证明材料亦视为符合。</w:t>
      </w:r>
    </w:p>
    <w:p>
      <w:pPr>
        <w:spacing w:line="360" w:lineRule="auto"/>
        <w:ind w:firstLine="480" w:firstLineChars="200"/>
        <w:rPr>
          <w:rFonts w:ascii="宋体" w:eastAsia="宋体" w:hAnsi="宋体"/>
          <w:b/>
          <w:szCs w:val="21"/>
        </w:rPr>
      </w:pPr>
      <w:r>
        <w:rPr>
          <w:rFonts w:ascii="宋体" w:eastAsia="宋体" w:hAnsi="宋体" w:hint="eastAsia"/>
          <w:b/>
          <w:szCs w:val="21"/>
        </w:rPr>
        <w:t>3.若为退休人员，提供退休证明。</w:t>
      </w:r>
    </w:p>
    <w:p>
      <w:pPr>
        <w:spacing w:line="360" w:lineRule="auto"/>
        <w:ind w:firstLine="480" w:firstLineChars="200"/>
        <w:rPr>
          <w:rFonts w:ascii="宋体" w:eastAsia="宋体" w:hAnsi="宋体"/>
          <w:b/>
          <w:szCs w:val="21"/>
        </w:rPr>
      </w:pPr>
      <w:r>
        <w:rPr>
          <w:rFonts w:ascii="宋体" w:eastAsia="宋体" w:hAnsi="宋体" w:hint="eastAsia"/>
          <w:b/>
          <w:szCs w:val="21"/>
        </w:rPr>
        <w:t>4.如依法不需要缴纳社会保险的，应提供相应文件证明。</w:t>
      </w:r>
    </w:p>
    <w:p>
      <w:pPr>
        <w:spacing w:line="360" w:lineRule="auto"/>
        <w:ind w:firstLine="480" w:firstLineChars="200"/>
        <w:rPr>
          <w:rFonts w:ascii="宋体" w:eastAsia="宋体" w:hAnsi="宋体"/>
          <w:b/>
          <w:szCs w:val="21"/>
        </w:rPr>
      </w:pPr>
      <w:r>
        <w:rPr>
          <w:rFonts w:ascii="宋体" w:eastAsia="宋体" w:hAnsi="宋体" w:hint="eastAsia"/>
          <w:b/>
          <w:szCs w:val="21"/>
        </w:rPr>
        <w:t>5.若因为社保部门或税务部门原因无法提供的，需提供劳动合同及社保部门或税务部门官方通知证明（或官网公告截图）。</w:t>
      </w:r>
    </w:p>
    <w:p>
      <w:pPr>
        <w:spacing w:line="360" w:lineRule="auto"/>
        <w:ind w:firstLine="480" w:firstLineChars="200"/>
        <w:rPr>
          <w:rFonts w:ascii="宋体" w:eastAsia="宋体" w:hAnsi="宋体" w:hint="eastAsia"/>
          <w:b/>
          <w:szCs w:val="21"/>
        </w:rPr>
      </w:pPr>
      <w:r>
        <w:rPr>
          <w:rFonts w:ascii="宋体" w:eastAsia="宋体" w:hAnsi="宋体" w:hint="eastAsia"/>
          <w:b/>
          <w:szCs w:val="21"/>
        </w:rPr>
        <w:t>6.如本项目未安排代理人的，无需提供代理人的社保。</w:t>
      </w:r>
    </w:p>
    <w:p>
      <w:pPr>
        <w:rPr>
          <w:rFonts w:ascii="宋体" w:eastAsia="宋体" w:hAnsi="宋体" w:hint="eastAsia"/>
          <w:b/>
          <w:szCs w:val="21"/>
        </w:rPr>
      </w:pPr>
      <w:r>
        <w:rPr>
          <w:rFonts w:ascii="宋体" w:eastAsia="宋体" w:hAnsi="宋体" w:hint="eastAsia"/>
          <w:b/>
          <w:szCs w:val="21"/>
        </w:rPr>
        <w:br w:type="page"/>
      </w:r>
    </w:p>
    <w:p>
      <w:pPr>
        <w:keepNext/>
        <w:keepLines/>
        <w:spacing w:before="260" w:after="260" w:line="360" w:lineRule="auto"/>
        <w:jc w:val="center"/>
        <w:outlineLvl w:val="2"/>
        <w:rPr>
          <w:rFonts w:ascii="宋体" w:eastAsia="宋体" w:hAnsi="宋体"/>
          <w:szCs w:val="20"/>
        </w:rPr>
      </w:pPr>
      <w:r>
        <w:rPr>
          <w:rFonts w:ascii="宋体" w:eastAsia="宋体" w:hAnsi="宋体" w:hint="eastAsia"/>
          <w:b/>
          <w:lang w:val="en-US" w:eastAsia="zh-CN"/>
        </w:rPr>
        <w:t>四</w:t>
      </w:r>
      <w:r>
        <w:rPr>
          <w:rFonts w:ascii="宋体" w:eastAsia="宋体" w:hAnsi="宋体" w:hint="eastAsia"/>
          <w:b/>
        </w:rPr>
        <w:t>、</w:t>
      </w:r>
      <w:r>
        <w:rPr>
          <w:rFonts w:ascii="宋体" w:eastAsia="宋体" w:hAnsi="宋体" w:hint="eastAsia"/>
          <w:b/>
          <w:lang w:val="en-US" w:eastAsia="zh-CN"/>
        </w:rPr>
        <w:t>实质性条款响应情况表</w:t>
      </w:r>
    </w:p>
    <w:p>
      <w:pPr>
        <w:spacing w:line="360" w:lineRule="auto"/>
        <w:rPr>
          <w:rFonts w:ascii="宋体" w:eastAsia="宋体" w:hAnsi="宋体" w:hint="eastAsia"/>
          <w:szCs w:val="21"/>
          <w:u w:val="single"/>
          <w:lang w:eastAsia="zh-CN"/>
        </w:rPr>
      </w:pPr>
      <w:r>
        <w:rPr>
          <w:rFonts w:ascii="宋体" w:eastAsia="宋体" w:hAnsi="宋体" w:hint="eastAsia"/>
          <w:szCs w:val="21"/>
        </w:rPr>
        <w:t>投标人名称</w:t>
      </w:r>
      <w:r>
        <w:rPr>
          <w:rFonts w:ascii="宋体" w:eastAsia="宋体" w:hAnsi="宋体" w:hint="eastAsia"/>
          <w:szCs w:val="21"/>
          <w:lang w:eastAsia="zh-CN"/>
        </w:rPr>
        <w:t>：</w:t>
      </w:r>
    </w:p>
    <w:p>
      <w:pPr>
        <w:spacing w:line="360" w:lineRule="auto"/>
        <w:rPr>
          <w:rFonts w:ascii="宋体" w:eastAsia="宋体" w:hAnsi="宋体" w:hint="eastAsia"/>
          <w:szCs w:val="21"/>
          <w:lang w:eastAsia="zh-CN"/>
        </w:rPr>
      </w:pPr>
      <w:r>
        <w:rPr>
          <w:rFonts w:ascii="宋体" w:eastAsia="宋体" w:hAnsi="宋体" w:hint="eastAsia"/>
          <w:szCs w:val="21"/>
        </w:rPr>
        <w:t>招标编号</w:t>
      </w:r>
      <w:r>
        <w:rPr>
          <w:rFonts w:ascii="宋体" w:eastAsia="宋体" w:hAnsi="宋体" w:hint="eastAsia"/>
          <w:szCs w:val="21"/>
          <w:lang w:eastAsia="zh-CN"/>
        </w:rPr>
        <w:t>：</w:t>
      </w:r>
    </w:p>
    <w:tbl>
      <w:tblPr>
        <w:tblStyle w:val="TableNormal"/>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2"/>
        <w:gridCol w:w="2983"/>
        <w:gridCol w:w="2942"/>
        <w:gridCol w:w="1134"/>
        <w:gridCol w:w="1284"/>
      </w:tblGrid>
      <w:tr>
        <w:tblPrEx>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4"/>
          <w:jc w:val="center"/>
        </w:trPr>
        <w:tc>
          <w:tcPr>
            <w:tcW w:w="662" w:type="dxa"/>
            <w:shd w:val="clear" w:color="auto" w:fill="F3F3F3"/>
            <w:vAlign w:val="center"/>
          </w:tcPr>
          <w:p>
            <w:pPr>
              <w:spacing w:line="360" w:lineRule="auto"/>
              <w:jc w:val="center"/>
              <w:rPr>
                <w:rFonts w:ascii="宋体" w:eastAsia="宋体" w:hAnsi="宋体"/>
                <w:b/>
                <w:bCs/>
                <w:szCs w:val="21"/>
              </w:rPr>
            </w:pPr>
            <w:r>
              <w:rPr>
                <w:rFonts w:ascii="宋体" w:eastAsia="宋体" w:hAnsi="宋体" w:hint="eastAsia"/>
                <w:b/>
                <w:bCs/>
                <w:szCs w:val="21"/>
              </w:rPr>
              <w:t>序号</w:t>
            </w:r>
          </w:p>
        </w:tc>
        <w:tc>
          <w:tcPr>
            <w:tcW w:w="2983" w:type="dxa"/>
            <w:shd w:val="clear" w:color="auto" w:fill="F3F3F3"/>
            <w:vAlign w:val="center"/>
          </w:tcPr>
          <w:p>
            <w:pPr>
              <w:spacing w:line="360" w:lineRule="auto"/>
              <w:jc w:val="center"/>
              <w:rPr>
                <w:rFonts w:ascii="宋体" w:eastAsia="宋体" w:hAnsi="宋体" w:hint="default"/>
                <w:b/>
                <w:bCs/>
                <w:szCs w:val="21"/>
                <w:lang w:val="en-US" w:eastAsia="zh-CN"/>
              </w:rPr>
            </w:pPr>
            <w:r>
              <w:rPr>
                <w:rFonts w:ascii="宋体" w:eastAsia="宋体" w:hAnsi="宋体" w:hint="eastAsia"/>
                <w:b/>
                <w:bCs/>
                <w:szCs w:val="21"/>
                <w:lang w:val="en-US" w:eastAsia="zh-CN"/>
              </w:rPr>
              <w:t>实质性条款具体内容</w:t>
            </w:r>
          </w:p>
        </w:tc>
        <w:tc>
          <w:tcPr>
            <w:tcW w:w="2942" w:type="dxa"/>
            <w:shd w:val="clear" w:color="auto" w:fill="F3F3F3"/>
            <w:vAlign w:val="center"/>
          </w:tcPr>
          <w:p>
            <w:pPr>
              <w:spacing w:line="360" w:lineRule="auto"/>
              <w:jc w:val="center"/>
              <w:rPr>
                <w:rFonts w:ascii="宋体" w:eastAsia="宋体" w:hAnsi="宋体" w:hint="eastAsia"/>
                <w:b/>
                <w:bCs/>
                <w:szCs w:val="21"/>
                <w:lang w:val="en-US" w:eastAsia="zh-CN"/>
              </w:rPr>
            </w:pPr>
            <w:r>
              <w:rPr>
                <w:rFonts w:ascii="宋体" w:eastAsia="宋体" w:hAnsi="宋体" w:hint="eastAsia"/>
                <w:b/>
                <w:bCs/>
                <w:szCs w:val="21"/>
                <w:lang w:val="en-US" w:eastAsia="zh-CN"/>
              </w:rPr>
              <w:t>实质性条款</w:t>
            </w:r>
            <w:r>
              <w:rPr>
                <w:rFonts w:ascii="宋体" w:eastAsia="宋体" w:hAnsi="宋体" w:hint="eastAsia"/>
                <w:b/>
                <w:bCs/>
                <w:szCs w:val="21"/>
              </w:rPr>
              <w:t>响应</w:t>
            </w:r>
            <w:r>
              <w:rPr>
                <w:rFonts w:ascii="宋体" w:eastAsia="宋体" w:hAnsi="宋体" w:hint="eastAsia"/>
                <w:b/>
                <w:bCs/>
                <w:szCs w:val="21"/>
                <w:lang w:val="en-US" w:eastAsia="zh-CN"/>
              </w:rPr>
              <w:t>内容</w:t>
            </w:r>
          </w:p>
        </w:tc>
        <w:tc>
          <w:tcPr>
            <w:tcW w:w="1134" w:type="dxa"/>
            <w:shd w:val="clear" w:color="auto" w:fill="F3F3F3"/>
            <w:vAlign w:val="center"/>
          </w:tcPr>
          <w:p>
            <w:pPr>
              <w:spacing w:line="360" w:lineRule="auto"/>
              <w:jc w:val="center"/>
              <w:rPr>
                <w:rFonts w:ascii="宋体" w:eastAsia="宋体" w:hAnsi="宋体"/>
                <w:b/>
                <w:bCs/>
                <w:szCs w:val="21"/>
              </w:rPr>
            </w:pPr>
            <w:r>
              <w:rPr>
                <w:rFonts w:ascii="宋体" w:eastAsia="宋体" w:hAnsi="宋体" w:hint="eastAsia"/>
                <w:b/>
                <w:bCs/>
                <w:szCs w:val="21"/>
              </w:rPr>
              <w:t>偏离情况</w:t>
            </w:r>
          </w:p>
        </w:tc>
        <w:tc>
          <w:tcPr>
            <w:tcW w:w="1284" w:type="dxa"/>
            <w:shd w:val="clear" w:color="auto" w:fill="F3F3F3"/>
            <w:vAlign w:val="center"/>
          </w:tcPr>
          <w:p>
            <w:pPr>
              <w:spacing w:line="360" w:lineRule="auto"/>
              <w:jc w:val="center"/>
              <w:rPr>
                <w:rFonts w:ascii="宋体" w:eastAsia="宋体" w:hAnsi="宋体"/>
                <w:b/>
                <w:bCs/>
                <w:szCs w:val="21"/>
              </w:rPr>
            </w:pPr>
            <w:r>
              <w:rPr>
                <w:rFonts w:ascii="宋体" w:eastAsia="宋体" w:hAnsi="宋体" w:hint="eastAsia"/>
                <w:b/>
                <w:bCs/>
                <w:szCs w:val="21"/>
              </w:rPr>
              <w:t>偏离说明</w:t>
            </w:r>
          </w:p>
        </w:tc>
      </w:tr>
      <w:tr>
        <w:tblPrEx>
          <w:tblW w:w="9005" w:type="dxa"/>
          <w:jc w:val="center"/>
          <w:tblLayout w:type="fixed"/>
          <w:tblCellMar>
            <w:top w:w="0" w:type="dxa"/>
            <w:left w:w="108" w:type="dxa"/>
            <w:bottom w:w="0" w:type="dxa"/>
            <w:right w:w="108" w:type="dxa"/>
          </w:tblCellMar>
        </w:tblPrEx>
        <w:trPr>
          <w:trHeight w:val="624"/>
          <w:jc w:val="center"/>
        </w:trPr>
        <w:tc>
          <w:tcPr>
            <w:tcW w:w="662" w:type="dxa"/>
            <w:vAlign w:val="center"/>
          </w:tcPr>
          <w:p>
            <w:pPr>
              <w:spacing w:line="360" w:lineRule="auto"/>
              <w:ind w:firstLine="240" w:firstLineChars="100"/>
              <w:rPr>
                <w:rFonts w:ascii="宋体" w:eastAsia="宋体" w:hAnsi="宋体"/>
                <w:szCs w:val="21"/>
              </w:rPr>
            </w:pPr>
            <w:r>
              <w:rPr>
                <w:rFonts w:ascii="宋体" w:eastAsia="宋体" w:hAnsi="宋体" w:hint="eastAsia"/>
                <w:szCs w:val="21"/>
              </w:rPr>
              <w:t>1</w:t>
            </w:r>
          </w:p>
        </w:tc>
        <w:tc>
          <w:tcPr>
            <w:tcW w:w="2983" w:type="dxa"/>
            <w:vAlign w:val="center"/>
          </w:tcPr>
          <w:p>
            <w:pPr>
              <w:spacing w:line="360" w:lineRule="auto"/>
              <w:jc w:val="center"/>
              <w:rPr>
                <w:rFonts w:ascii="宋体" w:eastAsia="宋体" w:hAnsi="宋体"/>
                <w:b/>
                <w:szCs w:val="21"/>
              </w:rPr>
            </w:pPr>
            <w:r>
              <w:rPr>
                <w:rFonts w:ascii="宋体" w:eastAsia="宋体" w:hAnsi="宋体" w:hint="eastAsia"/>
                <w:b/>
                <w:szCs w:val="21"/>
              </w:rPr>
              <w:t>招标文件-</w:t>
            </w:r>
            <w:r>
              <w:rPr>
                <w:rFonts w:ascii="宋体" w:eastAsia="宋体" w:hAnsi="宋体" w:hint="eastAsia"/>
                <w:b/>
              </w:rPr>
              <w:t>第三章用户需求书</w:t>
            </w:r>
            <w:r>
              <w:rPr>
                <w:rFonts w:ascii="宋体" w:eastAsia="宋体" w:hAnsi="宋体" w:hint="eastAsia"/>
                <w:b/>
                <w:lang w:val="en-US" w:eastAsia="zh-CN"/>
              </w:rPr>
              <w:t>中带“★”号</w:t>
            </w:r>
            <w:r>
              <w:rPr>
                <w:rFonts w:ascii="宋体" w:eastAsia="宋体" w:hAnsi="宋体"/>
                <w:b/>
              </w:rPr>
              <w:t>的</w:t>
            </w:r>
            <w:r>
              <w:rPr>
                <w:rFonts w:ascii="宋体" w:eastAsia="宋体" w:hAnsi="宋体" w:hint="eastAsia"/>
                <w:b/>
                <w:szCs w:val="21"/>
              </w:rPr>
              <w:t>全部内容</w:t>
            </w:r>
          </w:p>
        </w:tc>
        <w:tc>
          <w:tcPr>
            <w:tcW w:w="2942" w:type="dxa"/>
            <w:vAlign w:val="center"/>
          </w:tcPr>
          <w:p>
            <w:pPr>
              <w:spacing w:line="360" w:lineRule="auto"/>
              <w:jc w:val="center"/>
              <w:rPr>
                <w:rFonts w:ascii="宋体" w:eastAsia="宋体" w:hAnsi="宋体"/>
                <w:b/>
                <w:szCs w:val="21"/>
              </w:rPr>
            </w:pPr>
            <w:r>
              <w:rPr>
                <w:rFonts w:ascii="宋体" w:eastAsia="宋体" w:hAnsi="宋体" w:hint="eastAsia"/>
                <w:b/>
                <w:szCs w:val="21"/>
              </w:rPr>
              <w:t>招标文件-</w:t>
            </w:r>
            <w:r>
              <w:rPr>
                <w:rFonts w:ascii="宋体" w:eastAsia="宋体" w:hAnsi="宋体" w:hint="eastAsia"/>
                <w:b/>
              </w:rPr>
              <w:t>第三章用户需求书</w:t>
            </w:r>
            <w:r>
              <w:rPr>
                <w:rFonts w:ascii="宋体" w:eastAsia="宋体" w:hAnsi="宋体" w:hint="eastAsia"/>
                <w:b/>
                <w:lang w:val="en-US" w:eastAsia="zh-CN"/>
              </w:rPr>
              <w:t>中带“★”号</w:t>
            </w:r>
            <w:r>
              <w:rPr>
                <w:rFonts w:ascii="宋体" w:eastAsia="宋体" w:hAnsi="宋体"/>
                <w:b/>
              </w:rPr>
              <w:t>的</w:t>
            </w:r>
            <w:r>
              <w:rPr>
                <w:rFonts w:ascii="宋体" w:eastAsia="宋体" w:hAnsi="宋体" w:hint="eastAsia"/>
                <w:b/>
                <w:szCs w:val="21"/>
              </w:rPr>
              <w:t>全部内容</w:t>
            </w:r>
          </w:p>
        </w:tc>
        <w:tc>
          <w:tcPr>
            <w:tcW w:w="1134" w:type="dxa"/>
            <w:vAlign w:val="center"/>
          </w:tcPr>
          <w:p>
            <w:pPr>
              <w:spacing w:line="360" w:lineRule="auto"/>
              <w:jc w:val="center"/>
              <w:rPr>
                <w:rFonts w:ascii="宋体" w:eastAsia="宋体" w:hAnsi="宋体"/>
                <w:szCs w:val="21"/>
              </w:rPr>
            </w:pPr>
          </w:p>
        </w:tc>
        <w:tc>
          <w:tcPr>
            <w:tcW w:w="1284" w:type="dxa"/>
          </w:tcPr>
          <w:p>
            <w:pPr>
              <w:spacing w:line="360" w:lineRule="auto"/>
              <w:jc w:val="center"/>
              <w:rPr>
                <w:rFonts w:ascii="宋体" w:eastAsia="宋体" w:hAnsi="宋体"/>
                <w:szCs w:val="21"/>
              </w:rPr>
            </w:pPr>
          </w:p>
        </w:tc>
      </w:tr>
    </w:tbl>
    <w:p>
      <w:pPr>
        <w:spacing w:line="360" w:lineRule="auto"/>
        <w:rPr>
          <w:rFonts w:ascii="宋体" w:eastAsia="宋体" w:hAnsi="宋体"/>
          <w:b/>
          <w:szCs w:val="21"/>
        </w:rPr>
      </w:pPr>
    </w:p>
    <w:p>
      <w:pPr>
        <w:spacing w:line="360" w:lineRule="auto"/>
        <w:rPr>
          <w:rFonts w:ascii="宋体" w:eastAsia="宋体" w:hAnsi="宋体"/>
          <w:szCs w:val="21"/>
        </w:rPr>
      </w:pPr>
      <w:r>
        <w:rPr>
          <w:rFonts w:ascii="宋体" w:eastAsia="宋体" w:hAnsi="宋体" w:hint="eastAsia"/>
          <w:b/>
          <w:szCs w:val="21"/>
        </w:rPr>
        <w:t>填写说明：</w:t>
      </w:r>
      <w:r>
        <w:rPr>
          <w:rFonts w:ascii="宋体" w:eastAsia="宋体" w:hAnsi="宋体" w:hint="eastAsia"/>
          <w:szCs w:val="21"/>
        </w:rPr>
        <w:t>1、如投标人能完全按照此部分条款要求承诺（响应）并实施，可</w:t>
      </w:r>
      <w:r>
        <w:rPr>
          <w:rFonts w:ascii="宋体" w:eastAsia="宋体" w:hAnsi="宋体" w:hint="eastAsia"/>
          <w:szCs w:val="21"/>
          <w:lang w:val="en-US" w:eastAsia="zh-CN"/>
        </w:rPr>
        <w:t>在</w:t>
      </w:r>
      <w:r>
        <w:rPr>
          <w:rFonts w:ascii="宋体" w:eastAsia="宋体" w:hAnsi="宋体" w:hint="eastAsia"/>
          <w:b/>
          <w:bCs/>
          <w:szCs w:val="21"/>
        </w:rPr>
        <w:t>偏离情况</w:t>
      </w:r>
      <w:r>
        <w:rPr>
          <w:rFonts w:ascii="宋体" w:eastAsia="宋体" w:hAnsi="宋体" w:hint="eastAsia"/>
          <w:szCs w:val="21"/>
          <w:lang w:val="en-US" w:eastAsia="zh-CN"/>
        </w:rPr>
        <w:t>处</w:t>
      </w:r>
      <w:r>
        <w:rPr>
          <w:rFonts w:ascii="宋体" w:eastAsia="宋体" w:hAnsi="宋体" w:hint="eastAsia"/>
          <w:szCs w:val="21"/>
        </w:rPr>
        <w:t>填写“</w:t>
      </w:r>
      <w:r>
        <w:rPr>
          <w:rFonts w:ascii="宋体" w:eastAsia="宋体" w:hAnsi="宋体" w:hint="eastAsia"/>
          <w:b/>
          <w:szCs w:val="21"/>
        </w:rPr>
        <w:t>无偏离</w:t>
      </w:r>
      <w:r>
        <w:rPr>
          <w:rFonts w:ascii="宋体" w:eastAsia="宋体" w:hAnsi="宋体" w:hint="eastAsia"/>
          <w:szCs w:val="21"/>
        </w:rPr>
        <w:t>”；</w:t>
      </w:r>
    </w:p>
    <w:p>
      <w:pPr>
        <w:spacing w:line="360" w:lineRule="auto"/>
        <w:rPr>
          <w:rFonts w:ascii="宋体" w:eastAsia="宋体" w:hAnsi="宋体"/>
          <w:szCs w:val="21"/>
        </w:rPr>
      </w:pPr>
      <w:r>
        <w:rPr>
          <w:rFonts w:ascii="宋体" w:eastAsia="宋体" w:hAnsi="宋体" w:hint="eastAsia"/>
          <w:szCs w:val="21"/>
        </w:rPr>
        <w:t>2、如投标人承诺（响应）内容出现正偏离或负偏离，请逐条做出说明，由投标人自行承担相关责任。</w:t>
      </w:r>
    </w:p>
    <w:p>
      <w:pPr>
        <w:spacing w:line="360" w:lineRule="auto"/>
        <w:jc w:val="right"/>
        <w:rPr>
          <w:rFonts w:ascii="宋体" w:eastAsia="宋体" w:hAnsi="宋体"/>
          <w:szCs w:val="21"/>
        </w:rPr>
      </w:pPr>
      <w:r>
        <w:rPr>
          <w:rFonts w:ascii="宋体" w:eastAsia="宋体" w:hAnsi="宋体" w:hint="eastAsia"/>
          <w:szCs w:val="21"/>
        </w:rPr>
        <w:t>投标单位名称：</w:t>
      </w:r>
    </w:p>
    <w:p>
      <w:pPr>
        <w:spacing w:line="360" w:lineRule="auto"/>
        <w:jc w:val="right"/>
        <w:rPr>
          <w:rFonts w:ascii="宋体" w:eastAsia="宋体" w:hAnsi="宋体"/>
          <w:szCs w:val="21"/>
        </w:rPr>
      </w:pPr>
      <w:r>
        <w:rPr>
          <w:rFonts w:ascii="宋体" w:eastAsia="宋体" w:hAnsi="宋体" w:hint="eastAsia"/>
          <w:szCs w:val="21"/>
        </w:rPr>
        <w:t>年   月    日</w:t>
      </w:r>
    </w:p>
    <w:p>
      <w:pPr>
        <w:spacing w:line="360" w:lineRule="auto"/>
        <w:ind w:firstLine="480" w:firstLineChars="200"/>
        <w:rPr>
          <w:rFonts w:ascii="宋体" w:eastAsia="宋体" w:hAnsi="宋体" w:hint="eastAsia"/>
          <w:b/>
          <w:szCs w:val="21"/>
        </w:rPr>
      </w:pPr>
    </w:p>
    <w:p>
      <w:pPr>
        <w:spacing w:line="360" w:lineRule="auto"/>
        <w:ind w:firstLine="480" w:firstLineChars="200"/>
        <w:rPr>
          <w:rFonts w:ascii="宋体" w:eastAsia="宋体" w:hAnsi="宋体" w:hint="eastAsia"/>
          <w:b/>
          <w:szCs w:val="21"/>
        </w:rPr>
      </w:pPr>
    </w:p>
    <w:p>
      <w:pPr>
        <w:pStyle w:val="a"/>
      </w:pPr>
      <w:r>
        <w:br w:type="page"/>
      </w:r>
    </w:p>
    <w:p>
      <w:pPr>
        <w:keepNext/>
        <w:keepLines/>
        <w:spacing w:before="260" w:after="260" w:line="360" w:lineRule="auto"/>
        <w:outlineLvl w:val="2"/>
        <w:rPr>
          <w:rFonts w:eastAsia="宋体"/>
          <w:b/>
          <w:kern w:val="2"/>
        </w:rPr>
      </w:pPr>
      <w:r>
        <w:rPr>
          <w:rFonts w:ascii="宋体" w:eastAsia="宋体" w:hAnsi="宋体" w:hint="eastAsia"/>
          <w:b/>
          <w:bCs/>
          <w:lang w:val="en-US" w:eastAsia="zh-CN"/>
        </w:rPr>
        <w:t>五</w:t>
      </w:r>
      <w:r>
        <w:rPr>
          <w:rFonts w:ascii="宋体" w:eastAsia="宋体" w:hAnsi="宋体" w:hint="eastAsia"/>
          <w:b/>
          <w:bCs/>
        </w:rPr>
        <w:t>、</w:t>
      </w:r>
      <w:bookmarkStart w:id="76" w:name="OLE_LINK66"/>
      <w:bookmarkStart w:id="77" w:name="OLE_LINK67"/>
      <w:r>
        <w:rPr>
          <w:rFonts w:eastAsia="宋体" w:hint="eastAsia"/>
          <w:b/>
          <w:kern w:val="2"/>
        </w:rPr>
        <w:t>实施方案</w:t>
      </w:r>
    </w:p>
    <w:p>
      <w:pPr>
        <w:keepNext/>
        <w:keepLines/>
        <w:spacing w:before="260" w:after="260" w:line="360" w:lineRule="auto"/>
        <w:outlineLvl w:val="2"/>
        <w:rPr>
          <w:rFonts w:ascii="宋体" w:eastAsia="宋体" w:hAnsi="宋体" w:hint="eastAsia"/>
          <w:b/>
          <w:bCs/>
        </w:rPr>
      </w:pPr>
      <w:r>
        <w:rPr>
          <w:rFonts w:ascii="宋体" w:eastAsia="宋体" w:hAnsi="宋体" w:hint="eastAsia"/>
          <w:b/>
          <w:bCs/>
          <w:lang w:val="en-US" w:eastAsia="zh-CN"/>
        </w:rPr>
        <w:t>六</w:t>
      </w:r>
      <w:r>
        <w:rPr>
          <w:rFonts w:ascii="宋体" w:eastAsia="宋体" w:hAnsi="宋体" w:hint="eastAsia"/>
          <w:b/>
          <w:bCs/>
        </w:rPr>
        <w:t>、质量保障措施</w:t>
      </w:r>
      <w:r>
        <w:rPr>
          <w:rFonts w:ascii="宋体" w:eastAsia="宋体" w:hAnsi="宋体" w:hint="eastAsia"/>
          <w:b/>
          <w:bCs/>
          <w:lang w:val="en-US" w:eastAsia="zh-CN"/>
        </w:rPr>
        <w:t>及应急方案</w:t>
      </w:r>
    </w:p>
    <w:p>
      <w:pPr>
        <w:keepNext/>
        <w:keepLines/>
        <w:spacing w:before="260" w:after="260" w:line="360" w:lineRule="auto"/>
        <w:outlineLvl w:val="2"/>
        <w:rPr>
          <w:rFonts w:ascii="宋体" w:eastAsia="宋体" w:hAnsi="宋体" w:hint="eastAsia"/>
          <w:b/>
          <w:bCs/>
        </w:rPr>
      </w:pPr>
      <w:r>
        <w:rPr>
          <w:rFonts w:ascii="宋体" w:eastAsia="宋体" w:hAnsi="宋体" w:hint="eastAsia"/>
          <w:b/>
          <w:bCs/>
          <w:lang w:val="en-US" w:eastAsia="zh-CN"/>
        </w:rPr>
        <w:t>七</w:t>
      </w:r>
      <w:r>
        <w:rPr>
          <w:rFonts w:ascii="宋体" w:eastAsia="宋体" w:hAnsi="宋体" w:hint="eastAsia"/>
          <w:b/>
          <w:bCs/>
        </w:rPr>
        <w:t>、项目重点难点分析、应对措施及相关的合理化建议</w:t>
      </w:r>
    </w:p>
    <w:p>
      <w:pPr>
        <w:keepNext/>
        <w:keepLines/>
        <w:spacing w:before="260" w:after="260" w:line="360" w:lineRule="auto"/>
        <w:outlineLvl w:val="2"/>
        <w:rPr>
          <w:rFonts w:ascii="宋体" w:eastAsia="宋体" w:hAnsi="宋体" w:hint="eastAsia"/>
          <w:b/>
          <w:bCs/>
        </w:rPr>
      </w:pPr>
      <w:r>
        <w:rPr>
          <w:rFonts w:ascii="宋体" w:eastAsia="宋体" w:hAnsi="宋体" w:hint="eastAsia"/>
          <w:b/>
          <w:bCs/>
          <w:lang w:val="en-US" w:eastAsia="zh-CN"/>
        </w:rPr>
        <w:t>八</w:t>
      </w:r>
      <w:r>
        <w:rPr>
          <w:rFonts w:ascii="宋体" w:eastAsia="宋体" w:hAnsi="宋体" w:hint="eastAsia"/>
          <w:b/>
          <w:bCs/>
        </w:rPr>
        <w:t>、拟安排本项目负责人情况（仅限1人）</w:t>
      </w:r>
    </w:p>
    <w:p>
      <w:pPr>
        <w:keepNext/>
        <w:keepLines/>
        <w:spacing w:before="260" w:after="260" w:line="360" w:lineRule="auto"/>
        <w:outlineLvl w:val="2"/>
        <w:rPr>
          <w:rFonts w:ascii="宋体" w:eastAsia="宋体" w:hAnsi="宋体" w:hint="eastAsia"/>
          <w:b/>
          <w:bCs/>
        </w:rPr>
      </w:pPr>
      <w:r>
        <w:rPr>
          <w:rFonts w:ascii="宋体" w:eastAsia="宋体" w:hAnsi="宋体" w:hint="eastAsia"/>
          <w:b/>
          <w:bCs/>
          <w:lang w:val="en-US" w:eastAsia="zh-CN"/>
        </w:rPr>
        <w:t>九</w:t>
      </w:r>
      <w:r>
        <w:rPr>
          <w:rFonts w:ascii="宋体" w:eastAsia="宋体" w:hAnsi="宋体" w:hint="eastAsia"/>
          <w:b/>
          <w:bCs/>
        </w:rPr>
        <w:t>、项目团队人员（</w:t>
      </w:r>
      <w:r>
        <w:rPr>
          <w:rFonts w:ascii="宋体" w:eastAsia="宋体" w:hAnsi="宋体" w:hint="eastAsia"/>
          <w:b/>
          <w:bCs/>
          <w:lang w:val="en-US" w:eastAsia="zh-CN"/>
        </w:rPr>
        <w:t>除</w:t>
      </w:r>
      <w:r>
        <w:rPr>
          <w:rFonts w:ascii="宋体" w:eastAsia="宋体" w:hAnsi="宋体" w:hint="eastAsia"/>
          <w:b/>
          <w:bCs/>
        </w:rPr>
        <w:t>项目负责人</w:t>
      </w:r>
      <w:r>
        <w:rPr>
          <w:rFonts w:ascii="宋体" w:eastAsia="宋体" w:hAnsi="宋体" w:hint="eastAsia"/>
          <w:b/>
          <w:bCs/>
          <w:lang w:val="en-US" w:eastAsia="zh-CN"/>
        </w:rPr>
        <w:t>以外</w:t>
      </w:r>
      <w:r>
        <w:rPr>
          <w:rFonts w:ascii="宋体" w:eastAsia="宋体" w:hAnsi="宋体" w:hint="eastAsia"/>
          <w:b/>
          <w:bCs/>
        </w:rPr>
        <w:t>）</w:t>
      </w:r>
    </w:p>
    <w:p>
      <w:pPr>
        <w:keepNext/>
        <w:keepLines/>
        <w:spacing w:before="260" w:after="260" w:line="360" w:lineRule="auto"/>
        <w:outlineLvl w:val="2"/>
        <w:rPr>
          <w:rFonts w:ascii="宋体" w:eastAsia="宋体" w:hAnsi="宋体" w:hint="eastAsia"/>
          <w:b/>
          <w:bCs/>
        </w:rPr>
      </w:pPr>
      <w:r>
        <w:rPr>
          <w:rFonts w:ascii="宋体" w:eastAsia="宋体" w:hAnsi="宋体" w:hint="eastAsia"/>
          <w:b/>
          <w:bCs/>
          <w:lang w:val="en-US" w:eastAsia="zh-CN"/>
        </w:rPr>
        <w:t>十</w:t>
      </w:r>
      <w:r>
        <w:rPr>
          <w:rFonts w:ascii="宋体" w:eastAsia="宋体" w:hAnsi="宋体" w:hint="eastAsia"/>
          <w:b/>
          <w:bCs/>
        </w:rPr>
        <w:t>、投标人荣誉情况</w:t>
      </w:r>
    </w:p>
    <w:p>
      <w:pPr>
        <w:keepNext/>
        <w:keepLines/>
        <w:spacing w:before="260" w:after="260" w:line="360" w:lineRule="auto"/>
        <w:outlineLvl w:val="2"/>
        <w:rPr>
          <w:rFonts w:ascii="宋体" w:eastAsia="宋体" w:hAnsi="宋体" w:hint="eastAsia"/>
          <w:b/>
          <w:bCs/>
          <w:lang w:val="zh-CN"/>
        </w:rPr>
      </w:pPr>
      <w:r>
        <w:rPr>
          <w:rFonts w:ascii="宋体" w:eastAsia="宋体" w:hAnsi="宋体" w:hint="eastAsia"/>
          <w:b/>
          <w:bCs/>
          <w:lang w:val="en-US" w:eastAsia="zh-CN"/>
        </w:rPr>
        <w:t>十一</w:t>
      </w:r>
      <w:r>
        <w:rPr>
          <w:rFonts w:ascii="宋体" w:eastAsia="宋体" w:hAnsi="宋体" w:hint="eastAsia"/>
          <w:b/>
          <w:bCs/>
        </w:rPr>
        <w:t>、同类项目业绩情况</w:t>
      </w:r>
    </w:p>
    <w:p>
      <w:pPr>
        <w:keepNext/>
        <w:keepLines/>
        <w:spacing w:before="260" w:after="260" w:line="360" w:lineRule="auto"/>
        <w:outlineLvl w:val="2"/>
        <w:rPr>
          <w:rFonts w:ascii="宋体" w:eastAsia="宋体" w:hAnsi="宋体" w:hint="eastAsia"/>
          <w:b/>
          <w:bCs/>
          <w:lang w:val="zh-CN"/>
        </w:rPr>
      </w:pPr>
      <w:r>
        <w:rPr>
          <w:rFonts w:ascii="宋体" w:eastAsia="宋体" w:hAnsi="宋体" w:hint="eastAsia"/>
          <w:b/>
          <w:bCs/>
          <w:lang w:val="en-US" w:eastAsia="zh-CN"/>
        </w:rPr>
        <w:t>十二</w:t>
      </w:r>
      <w:r>
        <w:rPr>
          <w:rFonts w:ascii="宋体" w:eastAsia="宋体" w:hAnsi="宋体" w:hint="eastAsia"/>
          <w:b/>
          <w:bCs/>
        </w:rPr>
        <w:t>、投标人资质情况</w:t>
      </w:r>
    </w:p>
    <w:p>
      <w:pPr>
        <w:keepNext/>
        <w:keepLines/>
        <w:spacing w:before="260" w:after="260" w:line="360" w:lineRule="auto"/>
        <w:outlineLvl w:val="2"/>
        <w:rPr>
          <w:rFonts w:ascii="宋体" w:eastAsia="宋体" w:hAnsi="宋体" w:hint="eastAsia"/>
          <w:b/>
          <w:bCs/>
          <w:lang w:val="zh-CN"/>
        </w:rPr>
      </w:pPr>
      <w:r>
        <w:rPr>
          <w:rFonts w:ascii="宋体" w:eastAsia="宋体" w:hAnsi="宋体" w:hint="eastAsia"/>
          <w:b/>
          <w:bCs/>
          <w:lang w:val="en-US" w:eastAsia="zh-CN"/>
        </w:rPr>
        <w:t>十三</w:t>
      </w:r>
      <w:r>
        <w:rPr>
          <w:rFonts w:ascii="宋体" w:eastAsia="宋体" w:hAnsi="宋体" w:hint="eastAsia"/>
          <w:b/>
          <w:bCs/>
        </w:rPr>
        <w:t>、知识产权产品（创新、设计）情况</w:t>
      </w:r>
    </w:p>
    <w:p>
      <w:pPr>
        <w:keepNext/>
        <w:keepLines/>
        <w:spacing w:before="260" w:after="260" w:line="360" w:lineRule="auto"/>
        <w:outlineLvl w:val="2"/>
        <w:rPr>
          <w:rFonts w:ascii="宋体" w:eastAsia="宋体" w:hAnsi="宋体" w:hint="eastAsia"/>
          <w:b/>
          <w:bCs/>
          <w:lang w:val="zh-CN"/>
        </w:rPr>
      </w:pPr>
      <w:r>
        <w:rPr>
          <w:rFonts w:ascii="宋体" w:eastAsia="宋体" w:hAnsi="宋体" w:hint="eastAsia"/>
          <w:b/>
          <w:bCs/>
          <w:lang w:val="en-US" w:eastAsia="zh-CN"/>
        </w:rPr>
        <w:t>十四</w:t>
      </w:r>
      <w:r>
        <w:rPr>
          <w:rFonts w:ascii="宋体" w:eastAsia="宋体" w:hAnsi="宋体" w:hint="eastAsia"/>
          <w:b/>
          <w:bCs/>
        </w:rPr>
        <w:t>、环境保护</w:t>
      </w:r>
    </w:p>
    <w:p>
      <w:pPr>
        <w:keepNext/>
        <w:keepLines/>
        <w:spacing w:before="260" w:after="260" w:line="360" w:lineRule="auto"/>
        <w:outlineLvl w:val="2"/>
        <w:rPr>
          <w:rFonts w:ascii="宋体" w:eastAsia="宋体" w:hAnsi="宋体" w:hint="eastAsia"/>
          <w:b/>
          <w:bCs/>
          <w:lang w:val="zh-CN"/>
        </w:rPr>
      </w:pPr>
      <w:r>
        <w:rPr>
          <w:rFonts w:ascii="宋体" w:eastAsia="宋体" w:hAnsi="宋体" w:hint="eastAsia"/>
          <w:b/>
          <w:bCs/>
          <w:lang w:val="en-US" w:eastAsia="zh-CN"/>
        </w:rPr>
        <w:t>十五</w:t>
      </w:r>
      <w:r>
        <w:rPr>
          <w:rFonts w:ascii="宋体" w:eastAsia="宋体" w:hAnsi="宋体" w:hint="eastAsia"/>
          <w:b/>
          <w:bCs/>
        </w:rPr>
        <w:t>、投标人认为需要加以说明的其他内容</w:t>
      </w:r>
    </w:p>
    <w:p>
      <w:pPr>
        <w:keepNext/>
        <w:keepLines/>
        <w:spacing w:before="280" w:after="290" w:line="376" w:lineRule="auto"/>
        <w:jc w:val="center"/>
        <w:outlineLvl w:val="3"/>
        <w:rPr>
          <w:rFonts w:ascii="Arial" w:eastAsia="黑体" w:hAnsi="Arial"/>
          <w:b/>
          <w:bCs/>
          <w:kern w:val="2"/>
          <w:sz w:val="28"/>
          <w:szCs w:val="28"/>
        </w:rPr>
      </w:pPr>
      <w:bookmarkEnd w:id="76"/>
      <w:bookmarkEnd w:id="77"/>
      <w:r>
        <w:rPr>
          <w:rFonts w:ascii="Arial" w:eastAsia="黑体" w:hAnsi="Arial" w:hint="eastAsia"/>
          <w:b/>
          <w:bCs/>
          <w:kern w:val="2"/>
          <w:sz w:val="28"/>
          <w:szCs w:val="28"/>
        </w:rPr>
        <w:t>订单融资情况</w:t>
      </w:r>
    </w:p>
    <w:p>
      <w:pPr>
        <w:ind w:firstLine="480" w:firstLineChars="200"/>
        <w:rPr>
          <w:rFonts w:ascii="宋体" w:eastAsia="宋体" w:hAnsi="宋体" w:cs="宋体"/>
          <w:b/>
          <w:bCs/>
        </w:rPr>
      </w:pPr>
      <w:r>
        <w:rPr>
          <w:rFonts w:ascii="宋体" w:eastAsia="宋体" w:hAnsi="宋体" w:cs="宋体" w:hint="eastAsia"/>
          <w:b/>
          <w:bCs/>
        </w:rPr>
        <w:t>1、关于政府采购订单融资政策</w:t>
      </w:r>
    </w:p>
    <w:p>
      <w:pPr>
        <w:ind w:firstLine="480" w:firstLineChars="200"/>
        <w:rPr>
          <w:rFonts w:eastAsia="宋体"/>
          <w:bCs/>
          <w:kern w:val="2"/>
          <w:sz w:val="21"/>
          <w:szCs w:val="21"/>
        </w:rPr>
      </w:pPr>
      <w:r>
        <w:rPr>
          <w:rFonts w:eastAsia="宋体" w:hint="eastAsia"/>
          <w:bCs/>
          <w:kern w:val="2"/>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80" w:firstLineChars="200"/>
        <w:rPr>
          <w:rFonts w:ascii="宋体" w:eastAsia="宋体" w:hAnsi="宋体" w:cs="宋体"/>
          <w:b/>
          <w:bCs/>
        </w:rPr>
      </w:pPr>
      <w:r>
        <w:rPr>
          <w:rFonts w:ascii="宋体" w:eastAsia="宋体" w:hAnsi="宋体" w:cs="宋体" w:hint="eastAsia"/>
          <w:b/>
          <w:bCs/>
        </w:rPr>
        <w:t>2、供应商账户信息</w:t>
      </w:r>
    </w:p>
    <w:p>
      <w:pPr>
        <w:ind w:left="480" w:firstLine="240" w:leftChars="200" w:firstLineChars="100"/>
        <w:rPr>
          <w:rFonts w:eastAsia="宋体"/>
          <w:szCs w:val="21"/>
        </w:rPr>
      </w:pPr>
      <w:r>
        <w:rPr>
          <w:rFonts w:eastAsia="宋体" w:hint="eastAsia"/>
          <w:szCs w:val="21"/>
        </w:rPr>
        <w:t>投标人（单位全称）：</w:t>
      </w:r>
      <w:r>
        <w:rPr>
          <w:rFonts w:eastAsia="宋体" w:hint="eastAsia"/>
          <w:szCs w:val="21"/>
          <w:u w:val="thick"/>
        </w:rPr>
        <w:t xml:space="preserve">                           </w:t>
      </w:r>
      <w:r>
        <w:rPr>
          <w:rFonts w:eastAsia="宋体" w:hint="eastAsia"/>
          <w:szCs w:val="21"/>
        </w:rPr>
        <w:t xml:space="preserve">；  </w:t>
      </w:r>
    </w:p>
    <w:p>
      <w:pPr>
        <w:ind w:left="480" w:firstLine="240" w:leftChars="200" w:firstLineChars="100"/>
        <w:rPr>
          <w:rFonts w:eastAsia="宋体"/>
          <w:szCs w:val="21"/>
        </w:rPr>
      </w:pPr>
      <w:r>
        <w:rPr>
          <w:rFonts w:eastAsia="宋体" w:hint="eastAsia"/>
          <w:szCs w:val="21"/>
        </w:rPr>
        <w:t>投标人单位地址：</w:t>
      </w:r>
      <w:r>
        <w:rPr>
          <w:rFonts w:eastAsia="宋体" w:hint="eastAsia"/>
          <w:szCs w:val="21"/>
          <w:u w:val="thick"/>
        </w:rPr>
        <w:t xml:space="preserve">                    </w:t>
      </w:r>
      <w:r>
        <w:rPr>
          <w:rFonts w:eastAsia="宋体" w:hint="eastAsia"/>
          <w:szCs w:val="21"/>
        </w:rPr>
        <w:t>；</w:t>
      </w:r>
    </w:p>
    <w:p>
      <w:pPr>
        <w:ind w:left="480" w:firstLine="240" w:leftChars="200" w:firstLineChars="100"/>
        <w:rPr>
          <w:rFonts w:eastAsia="宋体"/>
          <w:szCs w:val="21"/>
        </w:rPr>
      </w:pPr>
      <w:r>
        <w:rPr>
          <w:rFonts w:eastAsia="宋体" w:hint="eastAsia"/>
          <w:szCs w:val="21"/>
        </w:rPr>
        <w:t>法定代表人（负责人）或其授权委托代理人：</w:t>
      </w:r>
      <w:r>
        <w:rPr>
          <w:rFonts w:eastAsia="宋体" w:hint="eastAsia"/>
          <w:szCs w:val="21"/>
          <w:u w:val="thick"/>
        </w:rPr>
        <w:t xml:space="preserve">                      </w:t>
      </w:r>
      <w:r>
        <w:rPr>
          <w:rFonts w:eastAsia="宋体" w:hint="eastAsia"/>
          <w:szCs w:val="21"/>
        </w:rPr>
        <w:t>；</w:t>
      </w:r>
    </w:p>
    <w:p>
      <w:pPr>
        <w:ind w:left="480" w:firstLine="240" w:leftChars="200" w:firstLineChars="100"/>
        <w:rPr>
          <w:rFonts w:eastAsia="宋体"/>
          <w:szCs w:val="21"/>
          <w:u w:val="thick"/>
        </w:rPr>
      </w:pPr>
      <w:r>
        <w:rPr>
          <w:rFonts w:eastAsia="宋体" w:hint="eastAsia"/>
          <w:szCs w:val="21"/>
        </w:rPr>
        <w:t>联系电话：</w:t>
      </w:r>
      <w:r>
        <w:rPr>
          <w:rFonts w:eastAsia="宋体" w:hint="eastAsia"/>
          <w:szCs w:val="21"/>
          <w:u w:val="thick"/>
        </w:rPr>
        <w:t xml:space="preserve">                     </w:t>
      </w:r>
      <w:r>
        <w:rPr>
          <w:rFonts w:eastAsia="宋体" w:hint="eastAsia"/>
          <w:szCs w:val="21"/>
        </w:rPr>
        <w:t>；</w:t>
      </w:r>
    </w:p>
    <w:p>
      <w:pPr>
        <w:ind w:left="480" w:firstLine="240" w:leftChars="200" w:firstLineChars="100"/>
        <w:rPr>
          <w:rFonts w:eastAsia="宋体"/>
          <w:szCs w:val="21"/>
        </w:rPr>
      </w:pPr>
      <w:r>
        <w:rPr>
          <w:rFonts w:eastAsia="宋体" w:hint="eastAsia"/>
          <w:szCs w:val="21"/>
        </w:rPr>
        <w:t>开户银行名称：</w:t>
      </w:r>
      <w:r>
        <w:rPr>
          <w:rFonts w:eastAsia="宋体" w:hint="eastAsia"/>
          <w:szCs w:val="21"/>
          <w:u w:val="thick"/>
        </w:rPr>
        <w:t xml:space="preserve">                                                 </w:t>
      </w:r>
      <w:r>
        <w:rPr>
          <w:rFonts w:eastAsia="宋体" w:hint="eastAsia"/>
          <w:szCs w:val="21"/>
        </w:rPr>
        <w:t>；</w:t>
      </w:r>
    </w:p>
    <w:p>
      <w:pPr>
        <w:ind w:left="480" w:firstLine="240" w:leftChars="200" w:firstLineChars="100"/>
        <w:rPr>
          <w:rFonts w:eastAsia="宋体"/>
          <w:szCs w:val="21"/>
          <w:u w:val="thick"/>
        </w:rPr>
      </w:pPr>
      <w:r>
        <w:rPr>
          <w:rFonts w:eastAsia="宋体" w:hint="eastAsia"/>
          <w:szCs w:val="21"/>
        </w:rPr>
        <w:t>开户银行账号：</w:t>
      </w:r>
      <w:r>
        <w:rPr>
          <w:rFonts w:eastAsia="宋体" w:hint="eastAsia"/>
          <w:szCs w:val="21"/>
          <w:u w:val="thick"/>
        </w:rPr>
        <w:t xml:space="preserve">                                                  </w:t>
      </w:r>
      <w:r>
        <w:rPr>
          <w:rFonts w:eastAsia="宋体" w:hint="eastAsia"/>
          <w:szCs w:val="21"/>
        </w:rPr>
        <w:t>；</w:t>
      </w:r>
    </w:p>
    <w:p>
      <w:pPr>
        <w:ind w:left="480" w:firstLine="240" w:leftChars="200" w:firstLineChars="100"/>
        <w:rPr>
          <w:rFonts w:eastAsia="宋体"/>
          <w:szCs w:val="21"/>
        </w:rPr>
      </w:pPr>
      <w:r>
        <w:rPr>
          <w:rFonts w:eastAsia="宋体" w:hint="eastAsia"/>
          <w:szCs w:val="21"/>
        </w:rPr>
        <w:t>开户银行地址：</w:t>
      </w:r>
      <w:r>
        <w:rPr>
          <w:rFonts w:eastAsia="宋体" w:hint="eastAsia"/>
          <w:szCs w:val="21"/>
          <w:u w:val="thick"/>
        </w:rPr>
        <w:t xml:space="preserve">                                                  </w:t>
      </w:r>
      <w:r>
        <w:rPr>
          <w:rFonts w:eastAsia="宋体" w:hint="eastAsia"/>
          <w:szCs w:val="21"/>
        </w:rPr>
        <w:t>。</w:t>
      </w:r>
    </w:p>
    <w:p>
      <w:pPr>
        <w:rPr>
          <w:rFonts w:eastAsia="宋体"/>
          <w:szCs w:val="21"/>
        </w:rPr>
      </w:pPr>
    </w:p>
    <w:p>
      <w:pPr>
        <w:spacing w:line="360" w:lineRule="auto"/>
        <w:jc w:val="center"/>
        <w:rPr>
          <w:rFonts w:ascii="宋体" w:eastAsia="宋体" w:hAnsi="宋体"/>
          <w:b/>
          <w:sz w:val="32"/>
          <w:szCs w:val="32"/>
        </w:rPr>
      </w:pPr>
      <w:r>
        <w:rPr>
          <w:rFonts w:ascii="宋体" w:hAnsi="宋体" w:hint="eastAsia"/>
          <w:b/>
          <w:bCs/>
          <w:color w:val="FF0000"/>
          <w:spacing w:val="-4"/>
          <w:szCs w:val="21"/>
        </w:rPr>
        <w:t>注：本项填写内容作为订单融资开展的参考信息，不作为供应商资格性审查及符合性审查条件</w:t>
      </w:r>
    </w:p>
    <w:p>
      <w:pPr>
        <w:spacing w:line="360" w:lineRule="auto"/>
        <w:jc w:val="center"/>
        <w:rPr>
          <w:rFonts w:ascii="宋体" w:eastAsia="宋体" w:hAnsi="宋体"/>
        </w:rPr>
      </w:pPr>
      <w:r>
        <w:rPr>
          <w:rFonts w:ascii="宋体" w:eastAsia="宋体" w:hAnsi="宋体"/>
          <w:bCs/>
        </w:rPr>
        <w:br w:type="page"/>
      </w:r>
    </w:p>
    <w:p>
      <w:pPr>
        <w:pStyle w:val="Heading2"/>
        <w:spacing w:line="360" w:lineRule="auto"/>
        <w:rPr>
          <w:kern w:val="2"/>
        </w:rPr>
      </w:pPr>
      <w:r>
        <w:rPr>
          <w:rFonts w:hint="eastAsia"/>
          <w:kern w:val="2"/>
        </w:rPr>
        <w:t>第五章  合同条款及格式</w:t>
      </w:r>
    </w:p>
    <w:p>
      <w:pPr>
        <w:widowControl w:val="0"/>
        <w:jc w:val="center"/>
        <w:rPr>
          <w:rFonts w:ascii="宋体" w:eastAsia="宋体" w:hAnsi="宋体"/>
          <w:kern w:val="2"/>
          <w:sz w:val="21"/>
        </w:rPr>
      </w:pPr>
      <w:r>
        <w:rPr>
          <w:rFonts w:ascii="宋体" w:eastAsia="宋体" w:hAnsi="宋体" w:hint="eastAsia"/>
          <w:b/>
          <w:kern w:val="2"/>
        </w:rPr>
        <w:t>（仅供参考，项目具体要求以招标项目需求为准）</w:t>
      </w:r>
    </w:p>
    <w:p>
      <w:pPr>
        <w:jc w:val="center"/>
      </w:pPr>
      <w:bookmarkStart w:id="78" w:name="合同协议书"/>
      <w:r>
        <w:rPr>
          <w:rFonts w:hint="eastAsia"/>
        </w:rPr>
        <w:t>（仅供参考，具体以项目需求及采购结果为准）</w:t>
      </w:r>
    </w:p>
    <w:p>
      <w:pPr>
        <w:rPr>
          <w:rFonts w:ascii="宋体" w:hAnsi="宋体"/>
          <w:b/>
          <w:bCs/>
          <w:szCs w:val="21"/>
        </w:rPr>
      </w:pPr>
      <w:r>
        <w:rPr>
          <w:rFonts w:ascii="宋体" w:hAnsi="宋体" w:hint="eastAsia"/>
          <w:b/>
          <w:bCs/>
          <w:szCs w:val="21"/>
        </w:rPr>
        <w:t>甲方：</w:t>
      </w:r>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p>
    <w:p>
      <w:pPr>
        <w:rPr>
          <w:rFonts w:ascii="宋体" w:hAnsi="宋体"/>
          <w:b/>
          <w:bCs/>
          <w:szCs w:val="21"/>
        </w:rPr>
      </w:pPr>
    </w:p>
    <w:p>
      <w:pPr>
        <w:rPr>
          <w:rFonts w:ascii="宋体" w:hAnsi="宋体"/>
          <w:b/>
          <w:bCs/>
          <w:szCs w:val="21"/>
        </w:rPr>
      </w:pPr>
      <w:r>
        <w:rPr>
          <w:rFonts w:ascii="宋体" w:hAnsi="宋体" w:hint="eastAsia"/>
          <w:b/>
          <w:bCs/>
          <w:szCs w:val="21"/>
        </w:rPr>
        <w:t>乙方：</w:t>
      </w:r>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p>
    <w:p>
      <w:pPr>
        <w:rPr>
          <w:rFonts w:ascii="宋体" w:hAnsi="宋体"/>
          <w:szCs w:val="21"/>
        </w:rPr>
      </w:pPr>
    </w:p>
    <w:p>
      <w:pPr>
        <w:rPr>
          <w:rFonts w:ascii="宋体" w:hAnsi="宋体"/>
          <w:szCs w:val="21"/>
        </w:rPr>
      </w:pPr>
    </w:p>
    <w:p>
      <w:pPr>
        <w:ind w:firstLine="480" w:firstLineChars="200"/>
        <w:rPr>
          <w:rFonts w:ascii="宋体" w:hAnsi="宋体"/>
          <w:szCs w:val="21"/>
        </w:rPr>
      </w:pPr>
      <w:r>
        <w:rPr>
          <w:rFonts w:ascii="宋体" w:hAnsi="宋体" w:hint="eastAsia"/>
          <w:szCs w:val="21"/>
        </w:rPr>
        <w:t>根据立讯招标（深圳）有限公司*</w:t>
      </w:r>
      <w:r>
        <w:rPr>
          <w:rFonts w:ascii="宋体" w:hAnsi="宋体"/>
          <w:szCs w:val="21"/>
        </w:rPr>
        <w:t>**</w:t>
      </w:r>
      <w:r>
        <w:rPr>
          <w:rFonts w:ascii="宋体" w:hAnsi="宋体" w:hint="eastAsia"/>
          <w:szCs w:val="21"/>
        </w:rPr>
        <w:t>项目招标结果，</w:t>
      </w:r>
      <w:bookmarkStart w:id="79" w:name="OLE_LINK12"/>
      <w:bookmarkStart w:id="80" w:name="OLE_LINK11"/>
      <w:r>
        <w:rPr>
          <w:rFonts w:ascii="宋体" w:hAnsi="宋体" w:hint="eastAsia"/>
          <w:szCs w:val="21"/>
        </w:rPr>
        <w:t>*</w:t>
      </w:r>
      <w:r>
        <w:rPr>
          <w:rFonts w:ascii="宋体" w:hAnsi="宋体"/>
          <w:szCs w:val="21"/>
        </w:rPr>
        <w:t>**</w:t>
      </w:r>
      <w:bookmarkEnd w:id="79"/>
      <w:bookmarkEnd w:id="80"/>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hint="eastAsia"/>
          <w:szCs w:val="21"/>
        </w:rPr>
        <w:t>坪山区马峦街道办事处市政路灯设施维护管养服务项目</w:t>
      </w:r>
      <w:r>
        <w:rPr>
          <w:rFonts w:ascii="宋体" w:hAnsi="宋体" w:hint="eastAsia"/>
          <w:szCs w:val="21"/>
        </w:rPr>
        <w:t>，达成以下合同条款：</w:t>
      </w:r>
    </w:p>
    <w:p>
      <w:pPr>
        <w:ind w:firstLine="480" w:firstLineChars="200"/>
        <w:rPr>
          <w:rFonts w:ascii="宋体" w:hAnsi="宋体"/>
          <w:b/>
          <w:bCs/>
          <w:szCs w:val="21"/>
        </w:rPr>
      </w:pPr>
      <w:r>
        <w:rPr>
          <w:rFonts w:ascii="宋体" w:hAnsi="宋体" w:hint="eastAsia"/>
          <w:b/>
          <w:bCs/>
          <w:szCs w:val="21"/>
        </w:rPr>
        <w:t>第一条　项目概况</w:t>
      </w:r>
    </w:p>
    <w:p>
      <w:pPr>
        <w:ind w:firstLine="480" w:firstLineChars="200"/>
        <w:rPr>
          <w:rFonts w:ascii="宋体" w:hAnsi="宋体"/>
          <w:szCs w:val="21"/>
        </w:rPr>
      </w:pPr>
      <w:r>
        <w:rPr>
          <w:rFonts w:ascii="宋体" w:hAnsi="宋体" w:hint="eastAsia"/>
          <w:szCs w:val="21"/>
        </w:rPr>
        <w:t>项目名称：*</w:t>
      </w:r>
      <w:r>
        <w:rPr>
          <w:rFonts w:ascii="宋体" w:hAnsi="宋体"/>
          <w:szCs w:val="21"/>
        </w:rPr>
        <w:t>**</w:t>
      </w:r>
      <w:r>
        <w:rPr>
          <w:rFonts w:hint="eastAsia"/>
          <w:szCs w:val="21"/>
        </w:rPr>
        <w:t>项目</w:t>
      </w:r>
    </w:p>
    <w:p>
      <w:pPr>
        <w:ind w:firstLine="480" w:firstLineChars="200"/>
        <w:rPr>
          <w:rFonts w:ascii="宋体" w:hAnsi="宋体"/>
          <w:szCs w:val="21"/>
        </w:rPr>
      </w:pPr>
      <w:r>
        <w:rPr>
          <w:rFonts w:ascii="宋体" w:hAnsi="宋体" w:hint="eastAsia"/>
          <w:szCs w:val="21"/>
        </w:rPr>
        <w:t>项目</w:t>
      </w:r>
      <w:r>
        <w:rPr>
          <w:rFonts w:hint="eastAsia"/>
        </w:rPr>
        <w:t>地点：</w:t>
      </w:r>
      <w:r>
        <w:rPr>
          <w:rFonts w:ascii="宋体" w:hAnsi="宋体" w:hint="eastAsia"/>
          <w:szCs w:val="21"/>
        </w:rPr>
        <w:t>***</w:t>
      </w:r>
    </w:p>
    <w:p>
      <w:pPr>
        <w:ind w:firstLine="482"/>
        <w:rPr>
          <w:rFonts w:ascii="宋体" w:hAnsi="宋体"/>
          <w:szCs w:val="21"/>
        </w:rPr>
      </w:pPr>
      <w:r>
        <w:rPr>
          <w:rFonts w:ascii="宋体" w:hAnsi="宋体" w:hint="eastAsia"/>
          <w:szCs w:val="21"/>
        </w:rPr>
        <w:t>服务时间：</w:t>
      </w:r>
      <w:r>
        <w:rPr>
          <w:rFonts w:hint="eastAsia"/>
        </w:rPr>
        <w:t>本项目服务期限为：壹年。本项目属于长期服务项目，长期服务政府采购合同履行期限最长不得超过三十六个月。如采购方对履约情况不满意，采购方不再续约。</w:t>
      </w:r>
    </w:p>
    <w:p>
      <w:pPr>
        <w:ind w:firstLine="480" w:firstLineChars="200"/>
        <w:rPr>
          <w:rFonts w:ascii="宋体" w:hAnsi="宋体"/>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pPr>
        <w:pStyle w:val="NormalIndent"/>
        <w:rPr>
          <w:rFonts w:ascii="宋体" w:hAnsi="宋体"/>
          <w:szCs w:val="21"/>
        </w:rPr>
      </w:pPr>
      <w:r>
        <w:rPr>
          <w:rFonts w:ascii="宋体" w:hAnsi="宋体" w:hint="eastAsia"/>
          <w:szCs w:val="21"/>
        </w:rPr>
        <w:t>支付方式：分期支付。</w:t>
      </w:r>
    </w:p>
    <w:p>
      <w:pPr>
        <w:ind w:firstLine="480" w:firstLineChars="200"/>
        <w:rPr>
          <w:rFonts w:ascii="宋体" w:hAnsi="宋体"/>
          <w:b/>
          <w:bCs/>
          <w:szCs w:val="21"/>
        </w:rPr>
      </w:pPr>
      <w:r>
        <w:rPr>
          <w:rFonts w:ascii="宋体" w:hAnsi="宋体" w:hint="eastAsia"/>
          <w:b/>
          <w:bCs/>
          <w:szCs w:val="21"/>
        </w:rPr>
        <w:t>第二条  服务范围</w:t>
      </w:r>
    </w:p>
    <w:p>
      <w:pPr>
        <w:ind w:firstLine="480" w:firstLineChars="200"/>
        <w:rPr>
          <w:rFonts w:ascii="宋体" w:hAnsi="宋体"/>
          <w:szCs w:val="21"/>
        </w:rPr>
      </w:pPr>
      <w:r>
        <w:rPr>
          <w:rFonts w:ascii="宋体" w:hAnsi="宋体" w:hint="eastAsia"/>
          <w:szCs w:val="21"/>
        </w:rPr>
        <w:t xml:space="preserve">1、  </w:t>
      </w:r>
    </w:p>
    <w:p>
      <w:pPr>
        <w:ind w:firstLine="480" w:firstLineChars="200"/>
        <w:rPr>
          <w:rFonts w:ascii="宋体" w:hAnsi="宋体"/>
          <w:szCs w:val="21"/>
        </w:rPr>
      </w:pPr>
      <w:r>
        <w:rPr>
          <w:rFonts w:ascii="宋体" w:hAnsi="宋体" w:hint="eastAsia"/>
          <w:szCs w:val="21"/>
        </w:rPr>
        <w:t xml:space="preserve">2、  </w:t>
      </w:r>
    </w:p>
    <w:p>
      <w:pPr>
        <w:ind w:firstLine="480" w:firstLineChars="200"/>
        <w:rPr>
          <w:rFonts w:ascii="宋体" w:hAnsi="宋体"/>
          <w:szCs w:val="21"/>
        </w:rPr>
      </w:pPr>
      <w:r>
        <w:rPr>
          <w:rFonts w:ascii="宋体" w:hAnsi="宋体" w:hint="eastAsia"/>
          <w:szCs w:val="21"/>
        </w:rPr>
        <w:t xml:space="preserve">3、  </w:t>
      </w:r>
    </w:p>
    <w:p>
      <w:pPr>
        <w:ind w:firstLine="480" w:firstLineChars="200"/>
        <w:rPr>
          <w:rFonts w:ascii="宋体" w:hAnsi="宋体"/>
          <w:szCs w:val="21"/>
        </w:rPr>
      </w:pPr>
      <w:r>
        <w:rPr>
          <w:rFonts w:ascii="宋体" w:hAnsi="宋体" w:hint="eastAsia"/>
          <w:szCs w:val="21"/>
        </w:rPr>
        <w:t>4、 其他合同未明示的相关工作。</w:t>
      </w:r>
    </w:p>
    <w:p>
      <w:pPr>
        <w:ind w:firstLine="480" w:firstLineChars="200"/>
        <w:rPr>
          <w:rFonts w:ascii="宋体" w:hAnsi="宋体"/>
          <w:b/>
          <w:bCs/>
          <w:szCs w:val="21"/>
        </w:rPr>
      </w:pPr>
      <w:r>
        <w:rPr>
          <w:rFonts w:ascii="宋体" w:hAnsi="宋体" w:hint="eastAsia"/>
          <w:b/>
          <w:bCs/>
          <w:szCs w:val="21"/>
        </w:rPr>
        <w:t>第三条  时间要求及阶段成果</w:t>
      </w:r>
    </w:p>
    <w:p>
      <w:pPr>
        <w:ind w:firstLine="480" w:firstLineChars="200"/>
        <w:rPr>
          <w:rFonts w:ascii="宋体" w:hAnsi="宋体"/>
          <w:szCs w:val="21"/>
        </w:rPr>
      </w:pPr>
      <w:r>
        <w:rPr>
          <w:rFonts w:ascii="宋体" w:hAnsi="宋体" w:hint="eastAsia"/>
          <w:szCs w:val="21"/>
        </w:rPr>
        <w:t>1、合同签订天内完成项目实施的准备工作，包括工作大纲和试验细则的编制；</w:t>
      </w:r>
    </w:p>
    <w:p>
      <w:pPr>
        <w:ind w:firstLine="480" w:firstLineChars="200"/>
        <w:rPr>
          <w:rFonts w:ascii="宋体" w:hAnsi="宋体"/>
          <w:szCs w:val="21"/>
        </w:rPr>
      </w:pPr>
      <w:r>
        <w:rPr>
          <w:rFonts w:ascii="宋体" w:hAnsi="宋体" w:hint="eastAsia"/>
          <w:szCs w:val="21"/>
        </w:rPr>
        <w:t xml:space="preserve">2、 </w:t>
      </w:r>
    </w:p>
    <w:p>
      <w:pPr>
        <w:ind w:firstLine="480" w:firstLineChars="200"/>
        <w:rPr>
          <w:rFonts w:ascii="宋体" w:hAnsi="宋体"/>
          <w:szCs w:val="21"/>
        </w:rPr>
      </w:pPr>
      <w:r>
        <w:rPr>
          <w:rFonts w:ascii="宋体" w:hAnsi="宋体" w:hint="eastAsia"/>
          <w:szCs w:val="21"/>
        </w:rPr>
        <w:t>3、</w:t>
      </w:r>
    </w:p>
    <w:p>
      <w:pPr>
        <w:ind w:firstLine="480" w:firstLineChars="200"/>
        <w:rPr>
          <w:rFonts w:ascii="宋体" w:hAnsi="宋体"/>
          <w:szCs w:val="21"/>
        </w:rPr>
      </w:pPr>
      <w:r>
        <w:rPr>
          <w:rFonts w:ascii="宋体" w:hAnsi="宋体" w:hint="eastAsia"/>
          <w:szCs w:val="21"/>
        </w:rPr>
        <w:t>4、</w:t>
      </w:r>
    </w:p>
    <w:p>
      <w:pPr>
        <w:ind w:firstLine="480" w:firstLineChars="200"/>
        <w:rPr>
          <w:rFonts w:ascii="宋体" w:hAnsi="宋体"/>
          <w:b/>
          <w:bCs/>
          <w:szCs w:val="21"/>
        </w:rPr>
      </w:pPr>
      <w:r>
        <w:rPr>
          <w:rFonts w:ascii="宋体" w:hAnsi="宋体" w:hint="eastAsia"/>
          <w:b/>
          <w:bCs/>
          <w:szCs w:val="21"/>
        </w:rPr>
        <w:t>第四条  服务资料归属</w:t>
      </w:r>
    </w:p>
    <w:p>
      <w:pPr>
        <w:ind w:firstLine="48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pPr>
        <w:ind w:firstLine="480" w:firstLineChars="20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pPr>
        <w:ind w:firstLine="48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pPr>
        <w:ind w:firstLine="480" w:firstLineChars="200"/>
        <w:rPr>
          <w:rFonts w:ascii="宋体" w:hAnsi="宋体"/>
          <w:b/>
          <w:bCs/>
          <w:szCs w:val="21"/>
        </w:rPr>
      </w:pPr>
      <w:r>
        <w:rPr>
          <w:rFonts w:ascii="宋体" w:hAnsi="宋体" w:hint="eastAsia"/>
          <w:b/>
          <w:bCs/>
          <w:szCs w:val="21"/>
        </w:rPr>
        <w:t>第五条  甲方的义务</w:t>
      </w:r>
    </w:p>
    <w:p>
      <w:pPr>
        <w:ind w:firstLine="480" w:firstLineChars="200"/>
        <w:rPr>
          <w:rFonts w:ascii="宋体" w:hAnsi="宋体"/>
          <w:szCs w:val="21"/>
        </w:rPr>
      </w:pPr>
      <w:r>
        <w:rPr>
          <w:rFonts w:ascii="宋体" w:hAnsi="宋体" w:hint="eastAsia"/>
          <w:szCs w:val="21"/>
        </w:rPr>
        <w:t>1、负责与本服务项目有关的第三方的协调，提供开展服务工作的外部条件。</w:t>
      </w:r>
    </w:p>
    <w:p>
      <w:pPr>
        <w:ind w:firstLine="480" w:firstLineChars="200"/>
        <w:rPr>
          <w:rFonts w:ascii="宋体" w:hAnsi="宋体"/>
          <w:szCs w:val="21"/>
        </w:rPr>
      </w:pPr>
      <w:r>
        <w:rPr>
          <w:rFonts w:ascii="宋体" w:hAnsi="宋体" w:hint="eastAsia"/>
          <w:szCs w:val="21"/>
        </w:rPr>
        <w:t>2、向乙方提供与本项目服务工作有关的资料。</w:t>
      </w:r>
    </w:p>
    <w:p>
      <w:pPr>
        <w:ind w:firstLine="480" w:firstLineChars="200"/>
        <w:rPr>
          <w:rFonts w:ascii="宋体" w:hAnsi="宋体"/>
          <w:szCs w:val="21"/>
        </w:rPr>
      </w:pPr>
      <w:r>
        <w:rPr>
          <w:rFonts w:ascii="宋体" w:hAnsi="宋体" w:hint="eastAsia"/>
          <w:szCs w:val="21"/>
        </w:rPr>
        <w:t>3、负责组织有关专家对项目试验成果评估报告的评审。</w:t>
      </w:r>
    </w:p>
    <w:p>
      <w:pPr>
        <w:ind w:firstLine="480" w:firstLineChars="200"/>
        <w:rPr>
          <w:rFonts w:ascii="宋体" w:hAnsi="宋体"/>
          <w:b/>
          <w:bCs/>
          <w:szCs w:val="21"/>
        </w:rPr>
      </w:pPr>
      <w:r>
        <w:rPr>
          <w:rFonts w:ascii="宋体" w:hAnsi="宋体" w:hint="eastAsia"/>
          <w:b/>
          <w:bCs/>
          <w:szCs w:val="21"/>
        </w:rPr>
        <w:t>第六条　乙方的义务</w:t>
      </w:r>
    </w:p>
    <w:p>
      <w:pPr>
        <w:ind w:firstLine="480" w:firstLineChars="200"/>
        <w:rPr>
          <w:rFonts w:ascii="宋体" w:hAnsi="宋体"/>
          <w:szCs w:val="21"/>
        </w:rPr>
      </w:pPr>
      <w:r>
        <w:rPr>
          <w:rFonts w:ascii="宋体" w:hAnsi="宋体" w:hint="eastAsia"/>
          <w:szCs w:val="21"/>
        </w:rPr>
        <w:t>１、应按照招标文件、投标文件要求按期完成本项目服务工作。</w:t>
      </w:r>
    </w:p>
    <w:p>
      <w:pPr>
        <w:ind w:firstLine="480" w:firstLineChars="200"/>
        <w:rPr>
          <w:rFonts w:ascii="宋体" w:hAnsi="宋体"/>
          <w:szCs w:val="21"/>
        </w:rPr>
      </w:pPr>
      <w:r>
        <w:rPr>
          <w:rFonts w:ascii="宋体" w:hAnsi="宋体" w:hint="eastAsia"/>
          <w:szCs w:val="21"/>
        </w:rPr>
        <w:t>2、负责组织项目的实施，保证工程进度和成桥荷载试验工作质量，并满足交通部交工验收相关标准。</w:t>
      </w:r>
    </w:p>
    <w:p>
      <w:pPr>
        <w:ind w:firstLine="480" w:firstLineChars="200"/>
        <w:rPr>
          <w:rFonts w:ascii="宋体" w:hAnsi="宋体"/>
          <w:szCs w:val="21"/>
        </w:rPr>
      </w:pPr>
      <w:r>
        <w:rPr>
          <w:rFonts w:ascii="宋体" w:hAnsi="宋体" w:hint="eastAsia"/>
          <w:szCs w:val="21"/>
        </w:rPr>
        <w:t>3、</w:t>
      </w:r>
      <w:r>
        <w:rPr>
          <w:rFonts w:ascii="宋体" w:hAnsi="宋体" w:hint="eastAsia"/>
        </w:rPr>
        <w:t>向甲方提交检测资料等各套，一套电子版文件。</w:t>
      </w:r>
    </w:p>
    <w:p>
      <w:pPr>
        <w:ind w:firstLine="480" w:firstLineChars="200"/>
        <w:rPr>
          <w:rFonts w:ascii="宋体" w:hAnsi="宋体"/>
          <w:szCs w:val="21"/>
        </w:rPr>
      </w:pPr>
      <w:r>
        <w:rPr>
          <w:rFonts w:ascii="宋体" w:hAnsi="宋体" w:hint="eastAsia"/>
          <w:szCs w:val="21"/>
        </w:rPr>
        <w:t>4、在履行合同期间或合同规定期限内，不得泄露与本合同规定业务活动有关的保密资料。</w:t>
      </w:r>
    </w:p>
    <w:p>
      <w:pPr>
        <w:ind w:firstLine="480" w:firstLineChars="200"/>
        <w:rPr>
          <w:rFonts w:ascii="宋体" w:hAnsi="宋体"/>
          <w:b/>
          <w:bCs/>
          <w:szCs w:val="21"/>
        </w:rPr>
      </w:pPr>
      <w:r>
        <w:rPr>
          <w:rFonts w:ascii="宋体" w:hAnsi="宋体" w:hint="eastAsia"/>
          <w:b/>
          <w:bCs/>
          <w:szCs w:val="21"/>
        </w:rPr>
        <w:t>第七条  甲方的权利</w:t>
      </w:r>
    </w:p>
    <w:p>
      <w:pPr>
        <w:ind w:firstLine="480" w:firstLineChars="200"/>
        <w:rPr>
          <w:rFonts w:ascii="宋体" w:hAnsi="宋体"/>
          <w:szCs w:val="21"/>
        </w:rPr>
      </w:pPr>
      <w:r>
        <w:rPr>
          <w:rFonts w:ascii="宋体" w:hAnsi="宋体"/>
          <w:szCs w:val="21"/>
        </w:rPr>
        <w:t>1</w:t>
      </w:r>
      <w:r>
        <w:rPr>
          <w:rFonts w:ascii="宋体" w:hAnsi="宋体" w:hint="eastAsia"/>
          <w:szCs w:val="21"/>
        </w:rPr>
        <w:t>、有权向乙方询问工作进展情况及相关的内容。</w:t>
      </w:r>
    </w:p>
    <w:p>
      <w:pPr>
        <w:ind w:firstLine="480" w:firstLineChars="200"/>
        <w:rPr>
          <w:rFonts w:ascii="宋体" w:hAnsi="宋体"/>
          <w:szCs w:val="21"/>
        </w:rPr>
      </w:pPr>
      <w:r>
        <w:rPr>
          <w:rFonts w:ascii="宋体" w:hAnsi="宋体"/>
          <w:szCs w:val="21"/>
        </w:rPr>
        <w:t>2</w:t>
      </w:r>
      <w:r>
        <w:rPr>
          <w:rFonts w:ascii="宋体" w:hAnsi="宋体" w:hint="eastAsia"/>
          <w:szCs w:val="21"/>
        </w:rPr>
        <w:t>、有权阐述对具体问题的意见和建议。</w:t>
      </w:r>
    </w:p>
    <w:p>
      <w:pPr>
        <w:ind w:firstLine="480" w:firstLineChars="20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pPr>
        <w:ind w:firstLine="480" w:firstLineChars="200"/>
        <w:rPr>
          <w:rFonts w:ascii="宋体" w:hAnsi="宋体"/>
          <w:b/>
          <w:bCs/>
          <w:szCs w:val="21"/>
        </w:rPr>
      </w:pPr>
      <w:r>
        <w:rPr>
          <w:rFonts w:ascii="宋体" w:hAnsi="宋体" w:hint="eastAsia"/>
          <w:b/>
          <w:bCs/>
          <w:szCs w:val="21"/>
        </w:rPr>
        <w:t>第八条  乙方的权利</w:t>
      </w:r>
    </w:p>
    <w:p>
      <w:pPr>
        <w:ind w:firstLine="480" w:firstLineChars="20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pPr>
        <w:ind w:firstLine="480" w:firstLineChars="200"/>
        <w:rPr>
          <w:rFonts w:ascii="宋体" w:hAnsi="宋体"/>
          <w:szCs w:val="21"/>
        </w:rPr>
      </w:pPr>
      <w:r>
        <w:rPr>
          <w:rFonts w:ascii="宋体" w:hAnsi="宋体"/>
          <w:szCs w:val="21"/>
        </w:rPr>
        <w:t>2</w:t>
      </w:r>
      <w:r>
        <w:rPr>
          <w:rFonts w:ascii="宋体" w:hAnsi="宋体" w:hint="eastAsia"/>
          <w:szCs w:val="21"/>
        </w:rPr>
        <w:t>、乙方在本项目服务过程中，有权对第三方提出与本服务业务有关的问题进行核对或查问。</w:t>
      </w:r>
    </w:p>
    <w:p>
      <w:pPr>
        <w:ind w:firstLine="480" w:firstLineChars="200"/>
        <w:rPr>
          <w:rFonts w:ascii="宋体" w:hAnsi="宋体"/>
          <w:szCs w:val="21"/>
        </w:rPr>
      </w:pPr>
      <w:r>
        <w:rPr>
          <w:rFonts w:ascii="宋体" w:hAnsi="宋体"/>
          <w:szCs w:val="21"/>
        </w:rPr>
        <w:t>3</w:t>
      </w:r>
      <w:r>
        <w:rPr>
          <w:rFonts w:ascii="宋体" w:hAnsi="宋体" w:hint="eastAsia"/>
          <w:szCs w:val="21"/>
        </w:rPr>
        <w:t>、乙方在本项目服务过程中，有到工程现场勘察的权利。</w:t>
      </w:r>
    </w:p>
    <w:p>
      <w:pPr>
        <w:ind w:firstLine="480" w:firstLineChars="200"/>
        <w:rPr>
          <w:rFonts w:ascii="宋体" w:hAnsi="宋体"/>
          <w:b/>
          <w:bCs/>
          <w:szCs w:val="21"/>
        </w:rPr>
      </w:pPr>
      <w:r>
        <w:rPr>
          <w:rFonts w:ascii="宋体" w:hAnsi="宋体" w:hint="eastAsia"/>
          <w:b/>
          <w:bCs/>
          <w:szCs w:val="21"/>
        </w:rPr>
        <w:t>第九条  甲方的责任</w:t>
      </w:r>
    </w:p>
    <w:p>
      <w:pPr>
        <w:ind w:firstLine="480" w:firstLineChars="200"/>
        <w:rPr>
          <w:rFonts w:ascii="宋体" w:hAnsi="宋体"/>
          <w:szCs w:val="21"/>
        </w:rPr>
      </w:pPr>
      <w:r>
        <w:rPr>
          <w:rFonts w:ascii="宋体" w:hAnsi="宋体" w:hint="eastAsia"/>
          <w:szCs w:val="21"/>
        </w:rPr>
        <w:t>1、应当履行本合同约定的义务，如有违反则应当承担违约责任，赔偿给乙方造成的损失。</w:t>
      </w:r>
    </w:p>
    <w:p>
      <w:pPr>
        <w:ind w:firstLine="480" w:firstLineChars="20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pPr>
        <w:ind w:firstLine="480" w:firstLineChars="200"/>
        <w:rPr>
          <w:rFonts w:ascii="宋体" w:hAnsi="宋体"/>
          <w:b/>
          <w:bCs/>
          <w:szCs w:val="21"/>
        </w:rPr>
      </w:pPr>
      <w:r>
        <w:rPr>
          <w:rFonts w:ascii="宋体" w:hAnsi="宋体" w:hint="eastAsia"/>
          <w:b/>
          <w:bCs/>
          <w:szCs w:val="21"/>
        </w:rPr>
        <w:t>第十条  乙方的责任</w:t>
      </w:r>
    </w:p>
    <w:p>
      <w:pPr>
        <w:ind w:firstLine="480" w:firstLineChars="20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pPr>
        <w:ind w:firstLine="480" w:firstLineChars="20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pPr>
        <w:ind w:firstLine="480" w:firstLineChars="20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pPr>
        <w:ind w:firstLine="480" w:firstLineChars="20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pPr>
        <w:ind w:firstLine="480" w:firstLineChars="200"/>
        <w:rPr>
          <w:rFonts w:ascii="宋体" w:hAnsi="宋体"/>
          <w:b/>
          <w:bCs/>
          <w:szCs w:val="21"/>
        </w:rPr>
      </w:pPr>
      <w:r>
        <w:rPr>
          <w:rFonts w:ascii="宋体" w:hAnsi="宋体" w:hint="eastAsia"/>
          <w:b/>
          <w:bCs/>
          <w:szCs w:val="21"/>
        </w:rPr>
        <w:t>第十一条  人员要求</w:t>
      </w:r>
    </w:p>
    <w:p>
      <w:pPr>
        <w:ind w:firstLine="480" w:firstLineChars="200"/>
        <w:rPr>
          <w:rFonts w:ascii="宋体" w:hAnsi="宋体"/>
          <w:szCs w:val="21"/>
        </w:rPr>
      </w:pPr>
      <w:r>
        <w:rPr>
          <w:rFonts w:ascii="宋体" w:hAnsi="宋体" w:hint="eastAsia"/>
          <w:szCs w:val="21"/>
        </w:rPr>
        <w:t>1、参加本项目试验的人员必须具有国家和有关部门规定的相应资质。</w:t>
      </w:r>
    </w:p>
    <w:p>
      <w:pPr>
        <w:ind w:firstLine="480" w:firstLineChars="200"/>
        <w:rPr>
          <w:rFonts w:ascii="宋体" w:hAnsi="宋体"/>
          <w:szCs w:val="21"/>
        </w:rPr>
      </w:pPr>
      <w:r>
        <w:rPr>
          <w:rFonts w:ascii="宋体" w:hAnsi="宋体" w:hint="eastAsia"/>
          <w:szCs w:val="21"/>
        </w:rPr>
        <w:t>2、 参加本项目的试验人员的配置必须与投标文件中的服务承诺书和试验服务组织实施方案一致。</w:t>
      </w:r>
    </w:p>
    <w:p>
      <w:pPr>
        <w:ind w:firstLine="480" w:firstLineChars="200"/>
        <w:rPr>
          <w:rFonts w:ascii="宋体" w:hAnsi="宋体"/>
          <w:szCs w:val="21"/>
        </w:rPr>
      </w:pPr>
      <w:r>
        <w:rPr>
          <w:rFonts w:ascii="宋体" w:hAnsi="宋体" w:hint="eastAsia"/>
          <w:szCs w:val="21"/>
        </w:rPr>
        <w:t>3、必须以直属试验人员参与本项目服务，不得使用挂靠队伍。</w:t>
      </w:r>
    </w:p>
    <w:p>
      <w:pPr>
        <w:ind w:firstLine="480" w:firstLineChars="200"/>
        <w:rPr>
          <w:rFonts w:ascii="宋体" w:hAnsi="宋体"/>
          <w:b/>
          <w:bCs/>
          <w:szCs w:val="21"/>
        </w:rPr>
      </w:pPr>
      <w:r>
        <w:rPr>
          <w:rFonts w:ascii="宋体" w:hAnsi="宋体" w:hint="eastAsia"/>
          <w:b/>
          <w:bCs/>
          <w:szCs w:val="21"/>
        </w:rPr>
        <w:t>第十二条  乙方服务工具要求</w:t>
      </w:r>
    </w:p>
    <w:p>
      <w:pPr>
        <w:ind w:firstLine="480" w:firstLineChars="20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pPr>
        <w:ind w:firstLine="480" w:firstLineChars="200"/>
        <w:rPr>
          <w:rFonts w:ascii="宋体" w:hAnsi="宋体"/>
          <w:szCs w:val="21"/>
        </w:rPr>
      </w:pPr>
      <w:r>
        <w:rPr>
          <w:rFonts w:ascii="宋体" w:hAnsi="宋体" w:hint="eastAsia"/>
          <w:szCs w:val="21"/>
        </w:rPr>
        <w:t>2、乙方在提供服务过程中应自备车辆。</w:t>
      </w:r>
    </w:p>
    <w:p>
      <w:pPr>
        <w:ind w:firstLine="480" w:firstLineChars="200"/>
        <w:rPr>
          <w:rFonts w:ascii="宋体" w:hAnsi="宋体"/>
          <w:b/>
          <w:bCs/>
          <w:szCs w:val="21"/>
        </w:rPr>
      </w:pPr>
      <w:r>
        <w:rPr>
          <w:rFonts w:ascii="宋体" w:hAnsi="宋体" w:hint="eastAsia"/>
          <w:b/>
          <w:bCs/>
          <w:szCs w:val="21"/>
        </w:rPr>
        <w:t>第十三条  保密要求</w:t>
      </w:r>
    </w:p>
    <w:p>
      <w:pPr>
        <w:ind w:firstLine="480" w:firstLineChars="20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80" w:firstLineChars="20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pPr>
        <w:ind w:firstLine="480" w:firstLineChars="20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pPr>
        <w:ind w:firstLine="480" w:firstLineChars="20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pPr>
        <w:ind w:firstLine="480" w:firstLineChars="200"/>
        <w:rPr>
          <w:rFonts w:ascii="宋体" w:hAnsi="宋体"/>
          <w:b/>
          <w:bCs/>
          <w:szCs w:val="21"/>
        </w:rPr>
      </w:pPr>
      <w:r>
        <w:rPr>
          <w:rFonts w:ascii="宋体" w:hAnsi="宋体" w:hint="eastAsia"/>
          <w:b/>
          <w:bCs/>
          <w:szCs w:val="21"/>
        </w:rPr>
        <w:t xml:space="preserve">第十四条  验收     </w:t>
      </w:r>
    </w:p>
    <w:p>
      <w:pPr>
        <w:ind w:firstLine="480" w:firstLineChars="200"/>
        <w:rPr>
          <w:rFonts w:ascii="宋体" w:hAnsi="宋体" w:hint="eastAsia"/>
          <w:szCs w:val="21"/>
        </w:rPr>
      </w:pPr>
      <w:r>
        <w:rPr>
          <w:rFonts w:ascii="宋体" w:hAnsi="宋体" w:hint="eastAsia"/>
          <w:szCs w:val="21"/>
        </w:rPr>
        <w:t>1、考核依据:本项目根据《坪山区马峦街道病媒生物防治考核评分表》中考核项目的规范标准及扣分办法对中标方进行月度考核，每扣除1分，则扣除中标方当月服务费200元。该考核评分表并非固定模式，可根据以下方式调整：</w:t>
      </w:r>
    </w:p>
    <w:p>
      <w:pPr>
        <w:ind w:firstLine="480" w:firstLineChars="200"/>
        <w:rPr>
          <w:rFonts w:ascii="宋体" w:hAnsi="宋体" w:hint="eastAsia"/>
          <w:szCs w:val="21"/>
        </w:rPr>
      </w:pPr>
      <w:r>
        <w:rPr>
          <w:rFonts w:ascii="宋体" w:hAnsi="宋体" w:hint="eastAsia"/>
          <w:szCs w:val="21"/>
        </w:rPr>
        <w:t>1.1采购方根据法律、法规、规章和其他规范性文件的规定或政策变化或根据实际工作需要拟定相关的考核办法或考核方案时，按拟定的考核办法或考核方案对中标方进行考核，中标方应无条件接受新的考核评分标准。</w:t>
      </w:r>
    </w:p>
    <w:p>
      <w:pPr>
        <w:ind w:firstLine="480" w:firstLineChars="200"/>
        <w:rPr>
          <w:rFonts w:ascii="宋体" w:hAnsi="宋体"/>
          <w:szCs w:val="21"/>
        </w:rPr>
      </w:pPr>
      <w:r>
        <w:rPr>
          <w:rFonts w:ascii="宋体" w:hAnsi="宋体" w:hint="eastAsia"/>
          <w:szCs w:val="21"/>
        </w:rPr>
        <w:t>1.2若深圳市、区卫健委发布病媒生物防治的新标准、新要求、新的防制实施方案，或者采购方在项目实施过程中发现对项目服务内容和要求需要整改，且有必要将整改内容进行考核，可更改坪山区马峦街道病媒生物防治考核评分表》的评分内容。当评分内容有调整变动时，以调整后的考核评分表作为该项目的考核依据执行该项目的考核。</w:t>
      </w:r>
    </w:p>
    <w:p>
      <w:pPr>
        <w:ind w:firstLine="480" w:firstLineChars="200"/>
        <w:rPr>
          <w:rFonts w:ascii="宋体" w:hAnsi="宋体"/>
          <w:b/>
          <w:bCs/>
          <w:szCs w:val="21"/>
        </w:rPr>
      </w:pPr>
      <w:r>
        <w:rPr>
          <w:rFonts w:ascii="宋体" w:hAnsi="宋体" w:hint="eastAsia"/>
          <w:b/>
          <w:bCs/>
          <w:szCs w:val="21"/>
        </w:rPr>
        <w:t>第十五条  付款方式</w:t>
      </w:r>
    </w:p>
    <w:p>
      <w:pPr>
        <w:ind w:firstLine="480" w:firstLineChars="200"/>
        <w:rPr>
          <w:rFonts w:ascii="宋体" w:hAnsi="宋体"/>
          <w:szCs w:val="21"/>
        </w:rPr>
      </w:pPr>
      <w:r>
        <w:rPr>
          <w:rFonts w:ascii="宋体" w:hAnsi="宋体" w:hint="eastAsia"/>
          <w:szCs w:val="21"/>
        </w:rPr>
        <w:t>1、该项目按月结算，每月服务费＝合同总价款÷合同总月份数-每月应扣款额。</w:t>
      </w:r>
    </w:p>
    <w:p>
      <w:pPr>
        <w:ind w:firstLine="480" w:firstLineChars="200"/>
        <w:rPr>
          <w:rFonts w:ascii="宋体" w:hAnsi="宋体"/>
          <w:szCs w:val="21"/>
        </w:rPr>
      </w:pPr>
      <w:r>
        <w:rPr>
          <w:rFonts w:ascii="宋体" w:hAnsi="宋体" w:hint="eastAsia"/>
          <w:szCs w:val="21"/>
        </w:rPr>
        <w:t>2、合同总价及每月服务费支付标准非固定不变价，如若发生增加或减少，按以下方式计算服务费：</w:t>
      </w:r>
    </w:p>
    <w:p>
      <w:pPr>
        <w:ind w:firstLine="480" w:firstLineChars="200"/>
        <w:rPr>
          <w:rFonts w:ascii="宋体" w:hAnsi="宋体"/>
          <w:szCs w:val="21"/>
        </w:rPr>
      </w:pPr>
      <w:r>
        <w:rPr>
          <w:rFonts w:ascii="宋体" w:hAnsi="宋体" w:hint="eastAsia"/>
          <w:szCs w:val="21"/>
        </w:rPr>
        <w:t>2.1、本项目消杀面积发生减少时，服务费相应减少，当月服务费应减除面积减少的服务费，计算公式为：当月服务费=合同总价款÷合同总月份数-当月应扣款额-消杀减少面积量×中标单价÷12个月（或者当消杀面积减少且服务时间不足1个月时，12个月替换为365天×天数）；</w:t>
      </w:r>
    </w:p>
    <w:p>
      <w:pPr>
        <w:ind w:firstLine="480" w:firstLineChars="200"/>
        <w:rPr>
          <w:rFonts w:ascii="宋体" w:hAnsi="宋体"/>
          <w:szCs w:val="21"/>
        </w:rPr>
      </w:pPr>
      <w:r>
        <w:rPr>
          <w:rFonts w:ascii="宋体" w:hAnsi="宋体" w:hint="eastAsia"/>
          <w:szCs w:val="21"/>
        </w:rPr>
        <w:t>2.2、本项目消杀面积发生增加时，但增加面积的比例在该项目总面积的10%（含）以内，当月费服务费不做增加调整，计算方式参照本条款第1点方式计算服务费。</w:t>
      </w:r>
    </w:p>
    <w:p>
      <w:pPr>
        <w:ind w:firstLine="480" w:firstLineChars="200"/>
        <w:rPr>
          <w:rFonts w:ascii="宋体" w:hAnsi="宋体"/>
          <w:szCs w:val="21"/>
        </w:rPr>
      </w:pPr>
      <w:r>
        <w:rPr>
          <w:rFonts w:ascii="宋体" w:hAnsi="宋体" w:hint="eastAsia"/>
          <w:szCs w:val="21"/>
        </w:rPr>
        <w:t>2.3、本项目消杀面积发生增加时，且增加面积的比例在该项目总面积的10%以上，经采购方及坪山区财政局同意后予以增加服务费，增加后合同总价限定于本项目预算价内。确认增加消杀面积后，当月应增加的面积增加的服务费，计算公式为：当月服务费=合同总价款÷合同总月份数-当月应扣款额+消杀增加面积量×中标单价÷12个月（或者当消杀面积增加且服务时间不足1个月时，12个月替换为365天×天数）；</w:t>
      </w:r>
    </w:p>
    <w:p>
      <w:pPr>
        <w:ind w:firstLine="480" w:firstLineChars="200"/>
        <w:rPr>
          <w:rFonts w:ascii="宋体" w:hAnsi="宋体"/>
          <w:szCs w:val="21"/>
        </w:rPr>
      </w:pPr>
      <w:r>
        <w:rPr>
          <w:rFonts w:ascii="宋体" w:hAnsi="宋体" w:hint="eastAsia"/>
          <w:szCs w:val="21"/>
        </w:rPr>
        <w:t>3、涉及扣除的服务费由采购方扣减当月的服务费支付或者开具非税缴款通知书通知，中标方通过非税缴款上缴财政非税收缴系统，具体罚款方式按深圳市坪山区财政局有关规定执行。</w:t>
      </w:r>
    </w:p>
    <w:p>
      <w:pPr>
        <w:ind w:firstLine="480" w:firstLineChars="200"/>
        <w:rPr>
          <w:rFonts w:ascii="宋体" w:hAnsi="宋体"/>
          <w:szCs w:val="21"/>
        </w:rPr>
      </w:pPr>
      <w:r>
        <w:rPr>
          <w:rFonts w:ascii="宋体" w:hAnsi="宋体" w:hint="eastAsia"/>
          <w:szCs w:val="21"/>
        </w:rPr>
        <w:t>5、具体付款方式按深圳市坪山区财政局有关规定执行。</w:t>
      </w:r>
    </w:p>
    <w:p>
      <w:pPr>
        <w:ind w:firstLine="480" w:firstLineChars="200"/>
        <w:rPr>
          <w:rFonts w:ascii="宋体" w:hAnsi="宋体"/>
          <w:b/>
          <w:bCs/>
          <w:szCs w:val="21"/>
        </w:rPr>
      </w:pPr>
      <w:r>
        <w:rPr>
          <w:rFonts w:ascii="宋体" w:hAnsi="宋体" w:hint="eastAsia"/>
          <w:b/>
          <w:bCs/>
          <w:szCs w:val="21"/>
        </w:rPr>
        <w:t>第十六条  争议解决办法</w:t>
      </w:r>
    </w:p>
    <w:p>
      <w:pPr>
        <w:ind w:firstLine="480" w:firstLineChars="200"/>
        <w:rPr>
          <w:rFonts w:ascii="宋体" w:hAnsi="宋体"/>
          <w:szCs w:val="21"/>
        </w:rPr>
      </w:pPr>
      <w:r>
        <w:rPr>
          <w:rFonts w:ascii="宋体" w:hAnsi="宋体" w:hint="eastAsia"/>
          <w:szCs w:val="21"/>
        </w:rPr>
        <w:t>执行本合同发生的争议，由甲乙双方协商解决，如协商不成的，应提交甲方所在地人民法院诉讼解决。</w:t>
      </w:r>
    </w:p>
    <w:p>
      <w:pPr>
        <w:ind w:firstLine="480" w:firstLineChars="200"/>
        <w:rPr>
          <w:rFonts w:ascii="宋体" w:hAnsi="宋体"/>
          <w:b/>
          <w:bCs/>
          <w:szCs w:val="21"/>
        </w:rPr>
      </w:pPr>
      <w:r>
        <w:rPr>
          <w:rFonts w:ascii="宋体" w:hAnsi="宋体" w:hint="eastAsia"/>
          <w:b/>
          <w:bCs/>
          <w:szCs w:val="21"/>
        </w:rPr>
        <w:t>第十七条  风险责任</w:t>
      </w:r>
    </w:p>
    <w:p>
      <w:pPr>
        <w:ind w:firstLine="480" w:firstLineChars="200"/>
        <w:rPr>
          <w:rFonts w:ascii="宋体" w:hAnsi="宋体"/>
          <w:szCs w:val="21"/>
        </w:rPr>
      </w:pPr>
      <w:r>
        <w:rPr>
          <w:rFonts w:ascii="宋体" w:hAnsi="宋体" w:cs="宋体" w:hint="eastAsia"/>
          <w:szCs w:val="21"/>
        </w:rPr>
        <w:t>合同期内如因财政预算等因素导致本项目无法继续履行的，乙方对此理解并同意变更、终止或解除合同，且不得追究甲方的责任。</w:t>
      </w:r>
    </w:p>
    <w:p>
      <w:pPr>
        <w:ind w:firstLine="480" w:firstLineChars="20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pPr>
        <w:ind w:firstLine="480" w:firstLineChars="200"/>
        <w:rPr>
          <w:rFonts w:ascii="宋体" w:hAnsi="宋体"/>
          <w:szCs w:val="21"/>
        </w:rPr>
      </w:pPr>
      <w:r>
        <w:rPr>
          <w:rFonts w:ascii="宋体" w:hAnsi="宋体" w:hint="eastAsia"/>
          <w:szCs w:val="21"/>
        </w:rPr>
        <w:t>2、乙方在实施荷载试验过程中应对自身的安全生产负责，若非因甲方原因发生的各种事故甲方不承担任何责任。</w:t>
      </w:r>
    </w:p>
    <w:p>
      <w:pPr>
        <w:ind w:firstLine="480" w:firstLineChars="200"/>
        <w:rPr>
          <w:rFonts w:ascii="宋体" w:hAnsi="宋体"/>
          <w:b/>
          <w:bCs/>
          <w:szCs w:val="21"/>
        </w:rPr>
      </w:pPr>
      <w:r>
        <w:rPr>
          <w:rFonts w:ascii="宋体" w:hAnsi="宋体" w:hint="eastAsia"/>
          <w:b/>
          <w:bCs/>
          <w:szCs w:val="21"/>
        </w:rPr>
        <w:t>第十八条  违约责任</w:t>
      </w:r>
    </w:p>
    <w:p>
      <w:pPr>
        <w:ind w:firstLine="480" w:firstLineChars="200"/>
      </w:pPr>
      <w:r>
        <w:rPr>
          <w:rFonts w:hint="eastAsia"/>
        </w:rPr>
        <w:t>中标方不履行义务以及因中标方的原因导致所签订合同不能履行或终止的，中标方应向采购方支付相当于签订合同总价款的10%的违约金。</w:t>
      </w:r>
    </w:p>
    <w:p>
      <w:pPr>
        <w:ind w:firstLine="480" w:firstLineChars="200"/>
        <w:rPr>
          <w:rFonts w:ascii="宋体" w:hAnsi="宋体"/>
          <w:b/>
          <w:bCs/>
          <w:szCs w:val="21"/>
        </w:rPr>
      </w:pPr>
      <w:r>
        <w:rPr>
          <w:rFonts w:ascii="宋体" w:hAnsi="宋体" w:hint="eastAsia"/>
          <w:b/>
          <w:bCs/>
          <w:szCs w:val="21"/>
        </w:rPr>
        <w:t>第十九条  其他</w:t>
      </w:r>
    </w:p>
    <w:p>
      <w:pPr>
        <w:ind w:firstLine="480" w:firstLineChars="200"/>
        <w:rPr>
          <w:rFonts w:ascii="宋体" w:hAnsi="宋体"/>
          <w:szCs w:val="21"/>
        </w:rPr>
      </w:pPr>
      <w:r>
        <w:rPr>
          <w:rFonts w:ascii="宋体" w:hAnsi="宋体" w:hint="eastAsia"/>
          <w:szCs w:val="21"/>
        </w:rPr>
        <w:t>1、本协议书与下列文件一起构成合同文件，如下述文件之间有任何抵触、矛盾或歧义，应按以下顺序解释：</w:t>
      </w:r>
    </w:p>
    <w:p>
      <w:pPr>
        <w:ind w:firstLine="480" w:firstLineChars="200"/>
        <w:rPr>
          <w:rFonts w:ascii="宋体" w:hAnsi="宋体"/>
          <w:szCs w:val="21"/>
        </w:rPr>
      </w:pPr>
      <w:r>
        <w:rPr>
          <w:rFonts w:ascii="宋体" w:hAnsi="宋体" w:hint="eastAsia"/>
          <w:szCs w:val="21"/>
        </w:rPr>
        <w:t>（1）政府采购合同协议书及其变更、补充协议</w:t>
      </w:r>
    </w:p>
    <w:p>
      <w:pPr>
        <w:ind w:firstLine="480" w:firstLineChars="200"/>
        <w:rPr>
          <w:rFonts w:ascii="宋体" w:hAnsi="宋体"/>
          <w:szCs w:val="21"/>
        </w:rPr>
      </w:pPr>
      <w:r>
        <w:rPr>
          <w:rFonts w:ascii="宋体" w:hAnsi="宋体" w:hint="eastAsia"/>
          <w:szCs w:val="21"/>
        </w:rPr>
        <w:t>（2）政府采购合同专用条款</w:t>
      </w:r>
    </w:p>
    <w:p>
      <w:pPr>
        <w:ind w:firstLine="480" w:firstLineChars="200"/>
        <w:rPr>
          <w:rFonts w:ascii="宋体" w:hAnsi="宋体"/>
          <w:szCs w:val="21"/>
        </w:rPr>
      </w:pPr>
      <w:r>
        <w:rPr>
          <w:rFonts w:ascii="宋体" w:hAnsi="宋体" w:hint="eastAsia"/>
          <w:szCs w:val="21"/>
        </w:rPr>
        <w:t>（3）政府采购合同通用条款</w:t>
      </w:r>
    </w:p>
    <w:p>
      <w:pPr>
        <w:ind w:firstLine="480" w:firstLineChars="200"/>
        <w:rPr>
          <w:rFonts w:ascii="宋体" w:hAnsi="宋体"/>
          <w:szCs w:val="21"/>
        </w:rPr>
      </w:pPr>
      <w:r>
        <w:rPr>
          <w:rFonts w:ascii="宋体" w:hAnsi="宋体" w:hint="eastAsia"/>
          <w:szCs w:val="21"/>
        </w:rPr>
        <w:t>（4）中标（成交）通知书</w:t>
      </w:r>
    </w:p>
    <w:p>
      <w:pPr>
        <w:ind w:firstLine="480" w:firstLineChars="200"/>
        <w:rPr>
          <w:rFonts w:ascii="宋体" w:hAnsi="宋体"/>
          <w:szCs w:val="21"/>
        </w:rPr>
      </w:pPr>
      <w:r>
        <w:rPr>
          <w:rFonts w:ascii="宋体" w:hAnsi="宋体" w:hint="eastAsia"/>
          <w:szCs w:val="21"/>
        </w:rPr>
        <w:t>（5）投标（响应）文件</w:t>
      </w:r>
    </w:p>
    <w:p>
      <w:pPr>
        <w:ind w:firstLine="480" w:firstLineChars="200"/>
        <w:rPr>
          <w:rFonts w:ascii="宋体" w:hAnsi="宋体"/>
          <w:szCs w:val="21"/>
        </w:rPr>
      </w:pPr>
      <w:r>
        <w:rPr>
          <w:rFonts w:ascii="宋体" w:hAnsi="宋体" w:hint="eastAsia"/>
          <w:szCs w:val="21"/>
        </w:rPr>
        <w:t>（6）采购文件</w:t>
      </w:r>
    </w:p>
    <w:p>
      <w:pPr>
        <w:ind w:firstLine="480" w:firstLineChars="200"/>
        <w:rPr>
          <w:rFonts w:ascii="宋体" w:hAnsi="宋体"/>
          <w:szCs w:val="21"/>
        </w:rPr>
      </w:pPr>
      <w:r>
        <w:rPr>
          <w:rFonts w:ascii="宋体" w:hAnsi="宋体" w:hint="eastAsia"/>
          <w:szCs w:val="21"/>
        </w:rPr>
        <w:t>（7）有关技术文件，图纸</w:t>
      </w:r>
    </w:p>
    <w:p>
      <w:pPr>
        <w:ind w:firstLine="480" w:firstLineChars="200"/>
        <w:rPr>
          <w:rFonts w:ascii="宋体" w:hAnsi="宋体"/>
          <w:szCs w:val="21"/>
        </w:rPr>
      </w:pPr>
      <w:r>
        <w:rPr>
          <w:rFonts w:ascii="宋体" w:hAnsi="宋体" w:hint="eastAsia"/>
          <w:szCs w:val="21"/>
        </w:rPr>
        <w:t>（8）国家法律、行政法规和规章制度规定或合同约定的作为合同组成部分的其他文件。</w:t>
      </w:r>
    </w:p>
    <w:p>
      <w:pPr>
        <w:ind w:firstLine="480" w:firstLineChars="200"/>
        <w:rPr>
          <w:rFonts w:ascii="宋体" w:hAnsi="宋体"/>
          <w:szCs w:val="21"/>
        </w:rPr>
      </w:pPr>
      <w:r>
        <w:rPr>
          <w:rFonts w:ascii="宋体" w:hAnsi="宋体" w:hint="eastAsia"/>
          <w:szCs w:val="21"/>
        </w:rPr>
        <w:t>2、下列文件均为本合同的组成部分：</w:t>
      </w:r>
    </w:p>
    <w:p>
      <w:pPr>
        <w:ind w:firstLine="480" w:firstLineChars="200"/>
        <w:rPr>
          <w:rFonts w:ascii="宋体" w:hAnsi="宋体"/>
          <w:szCs w:val="21"/>
        </w:rPr>
      </w:pPr>
      <w:r>
        <w:rPr>
          <w:rFonts w:ascii="宋体" w:hAnsi="宋体" w:hint="eastAsia"/>
          <w:szCs w:val="21"/>
        </w:rPr>
        <w:t>（1）号招标文件、答疑及补充通知；</w:t>
      </w:r>
    </w:p>
    <w:p>
      <w:pPr>
        <w:ind w:firstLine="480" w:firstLineChars="200"/>
        <w:rPr>
          <w:rFonts w:ascii="宋体" w:hAnsi="宋体"/>
          <w:szCs w:val="21"/>
        </w:rPr>
      </w:pPr>
      <w:r>
        <w:rPr>
          <w:rFonts w:ascii="宋体" w:hAnsi="宋体" w:hint="eastAsia"/>
          <w:szCs w:val="21"/>
        </w:rPr>
        <w:t>（2）投标文件；</w:t>
      </w:r>
    </w:p>
    <w:p>
      <w:pPr>
        <w:ind w:firstLine="480" w:firstLineChars="200"/>
        <w:rPr>
          <w:rFonts w:ascii="宋体" w:hAnsi="宋体"/>
          <w:szCs w:val="21"/>
        </w:rPr>
      </w:pPr>
      <w:r>
        <w:rPr>
          <w:rFonts w:ascii="宋体" w:hAnsi="宋体" w:hint="eastAsia"/>
          <w:szCs w:val="21"/>
        </w:rPr>
        <w:t>（3）本合同执行中共同签署的补充与修正文件。</w:t>
      </w:r>
    </w:p>
    <w:p>
      <w:pPr>
        <w:ind w:firstLine="480" w:firstLineChars="20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pPr>
        <w:ind w:firstLine="480" w:firstLineChars="200"/>
        <w:rPr>
          <w:rFonts w:ascii="宋体" w:hAnsi="宋体"/>
          <w:szCs w:val="21"/>
        </w:rPr>
      </w:pPr>
      <w:r>
        <w:rPr>
          <w:rFonts w:ascii="宋体" w:hAnsi="宋体" w:hint="eastAsia"/>
          <w:szCs w:val="21"/>
        </w:rPr>
        <w:t>本合同未尽事宜，双方友好协商，达成解决方案，经双方签字后，可作为本合同的有效附件。</w:t>
      </w:r>
    </w:p>
    <w:p>
      <w:pPr>
        <w:ind w:firstLine="480" w:firstLineChars="200"/>
        <w:rPr>
          <w:rFonts w:ascii="宋体" w:hAnsi="宋体"/>
          <w:szCs w:val="21"/>
        </w:rPr>
      </w:pPr>
    </w:p>
    <w:p>
      <w:pPr>
        <w:ind w:firstLine="480" w:firstLineChars="200"/>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480" w:firstLineChars="200"/>
        <w:rPr>
          <w:rFonts w:ascii="宋体" w:hAnsi="宋体"/>
          <w:szCs w:val="21"/>
        </w:rPr>
      </w:pPr>
      <w:r>
        <w:rPr>
          <w:rFonts w:ascii="宋体" w:hAnsi="宋体" w:hint="eastAsia"/>
          <w:szCs w:val="21"/>
        </w:rPr>
        <w:t>日期：   年     月    日         日期：   年     月    日</w:t>
      </w:r>
    </w:p>
    <w:p>
      <w:pPr>
        <w:pStyle w:val="PlainText"/>
        <w:rPr>
          <w:rFonts w:hAnsi="宋体" w:hint="eastAsia"/>
          <w:b/>
        </w:rPr>
      </w:pPr>
    </w:p>
    <w:p>
      <w:pPr>
        <w:pStyle w:val="PlainText"/>
        <w:rPr>
          <w:rFonts w:hAnsi="宋体"/>
        </w:rPr>
        <w:sectPr>
          <w:footerReference w:type="default" r:id="rId6"/>
          <w:pgSz w:w="11906" w:h="16838"/>
          <w:pgMar w:top="1440" w:right="1474" w:bottom="1440" w:left="1701" w:header="851" w:footer="992" w:gutter="0"/>
          <w:cols w:num="1" w:space="720"/>
          <w:docGrid w:type="lines" w:linePitch="312" w:charSpace="0"/>
        </w:sectPr>
      </w:pPr>
      <w:r>
        <w:rPr>
          <w:rFonts w:hAnsi="宋体" w:hint="eastAsia"/>
          <w:b/>
        </w:rPr>
        <w:t>注：本合同样本仅供参考，具体条款由采购单位和中标单位协商确定</w:t>
      </w:r>
    </w:p>
    <w:p>
      <w:pPr>
        <w:pStyle w:val="Heading1"/>
        <w:rPr>
          <w:rFonts w:eastAsia="宋体"/>
        </w:rPr>
      </w:pPr>
      <w:r>
        <w:rPr>
          <w:rFonts w:eastAsia="宋体" w:hint="eastAsia"/>
        </w:rPr>
        <w:t>第二册  通用条款（公开招标）</w:t>
      </w:r>
    </w:p>
    <w:p>
      <w:pPr>
        <w:pStyle w:val="Heading2"/>
        <w:spacing w:line="360" w:lineRule="auto"/>
        <w:rPr>
          <w:kern w:val="2"/>
        </w:rPr>
      </w:pPr>
      <w:bookmarkStart w:id="81" w:name="_Hlk72399513"/>
      <w:r>
        <w:rPr>
          <w:rFonts w:hint="eastAsia"/>
          <w:kern w:val="2"/>
        </w:rPr>
        <w:t>第一章  总则</w:t>
      </w:r>
    </w:p>
    <w:p>
      <w:pPr>
        <w:spacing w:line="360" w:lineRule="auto"/>
        <w:ind w:firstLine="470" w:firstLineChars="196"/>
        <w:rPr>
          <w:rFonts w:ascii="宋体" w:eastAsia="宋体" w:hAnsi="宋体"/>
          <w:b/>
          <w:szCs w:val="21"/>
        </w:rPr>
      </w:pPr>
      <w:bookmarkEnd w:id="81"/>
      <w:bookmarkStart w:id="82" w:name="_Hlk72439706"/>
      <w:r>
        <w:rPr>
          <w:rFonts w:ascii="宋体" w:eastAsia="宋体" w:hAnsi="宋体" w:hint="eastAsia"/>
          <w:b/>
          <w:szCs w:val="21"/>
        </w:rPr>
        <w:t>1.通用条款说明</w:t>
      </w:r>
    </w:p>
    <w:p>
      <w:pPr>
        <w:spacing w:line="360" w:lineRule="auto"/>
        <w:ind w:firstLine="470" w:firstLineChars="196"/>
        <w:rPr>
          <w:rFonts w:ascii="宋体" w:eastAsia="宋体" w:hAnsi="宋体"/>
          <w:szCs w:val="21"/>
        </w:rPr>
      </w:pPr>
      <w:r>
        <w:rPr>
          <w:rFonts w:ascii="宋体" w:eastAsia="宋体" w:hAnsi="宋体" w:hint="eastAsia"/>
          <w:szCs w:val="21"/>
        </w:rPr>
        <w:t>1.1采购代理机构发出招标文件通用条款版本，列出深圳市政府采购项目进行招标采购所适用的通用条款内容。</w:t>
      </w:r>
      <w:bookmarkStart w:id="83" w:name="_Hlk72399729"/>
      <w:r>
        <w:rPr>
          <w:rFonts w:ascii="宋体" w:eastAsia="宋体" w:hAnsi="宋体" w:hint="eastAsia"/>
          <w:szCs w:val="21"/>
        </w:rPr>
        <w:t>如有需要，采购代理机构可以对通用条款的内容进行补充。</w:t>
      </w:r>
      <w:bookmarkEnd w:id="83"/>
    </w:p>
    <w:p>
      <w:pPr>
        <w:spacing w:line="360" w:lineRule="auto"/>
        <w:ind w:firstLine="470" w:firstLineChars="196"/>
        <w:rPr>
          <w:rFonts w:ascii="宋体" w:eastAsia="宋体" w:hAnsi="宋体"/>
          <w:szCs w:val="21"/>
        </w:rPr>
      </w:pPr>
      <w:r>
        <w:rPr>
          <w:rFonts w:ascii="宋体" w:eastAsia="宋体" w:hAnsi="宋体" w:hint="eastAsia"/>
          <w:szCs w:val="21"/>
        </w:rPr>
        <w:t>1.2招标文件分为第一册“专用条款”和第二册“通用条款”。</w:t>
      </w:r>
    </w:p>
    <w:p>
      <w:pPr>
        <w:spacing w:line="360" w:lineRule="auto"/>
        <w:ind w:firstLine="470" w:firstLineChars="196"/>
        <w:rPr>
          <w:rFonts w:ascii="宋体" w:eastAsia="宋体" w:hAnsi="宋体"/>
          <w:szCs w:val="21"/>
        </w:rPr>
      </w:pPr>
      <w:r>
        <w:rPr>
          <w:rFonts w:ascii="宋体" w:eastAsia="宋体" w:hAnsi="宋体" w:hint="eastAsia"/>
          <w:szCs w:val="21"/>
        </w:rPr>
        <w:t>1.3“专用条款”是对本次采购项目的具体要求，包含招标公告、对通用条款的补充内容及其他关键信息、用户需求书、投标文件格式及附件、合同条款及格式等内容。</w:t>
      </w:r>
    </w:p>
    <w:p>
      <w:pPr>
        <w:spacing w:line="360" w:lineRule="auto"/>
        <w:ind w:firstLine="470" w:firstLineChars="196"/>
        <w:rPr>
          <w:rFonts w:ascii="宋体" w:eastAsia="宋体" w:hAnsi="宋体"/>
          <w:szCs w:val="21"/>
        </w:rPr>
      </w:pPr>
      <w:r>
        <w:rPr>
          <w:rFonts w:ascii="宋体" w:eastAsia="宋体" w:hAnsi="宋体" w:hint="eastAsia"/>
          <w:szCs w:val="21"/>
        </w:rPr>
        <w:t>1.4“通用条款”是适用于政府采购公开招标项目的基础性条款，具有普遍性和通用性。</w:t>
      </w:r>
    </w:p>
    <w:p>
      <w:pPr>
        <w:spacing w:line="360" w:lineRule="auto"/>
        <w:ind w:firstLine="470" w:firstLineChars="196"/>
        <w:rPr>
          <w:rFonts w:ascii="宋体" w:eastAsia="宋体" w:hAnsi="宋体"/>
          <w:szCs w:val="21"/>
        </w:rPr>
      </w:pPr>
      <w:r>
        <w:rPr>
          <w:rFonts w:ascii="宋体" w:eastAsia="宋体" w:hAnsi="宋体" w:hint="eastAsia"/>
          <w:szCs w:val="21"/>
        </w:rPr>
        <w:t>1.5 “专用条款”和“通用条款”表述不一致或有冲突时，以“专用条款”为准。</w:t>
      </w:r>
    </w:p>
    <w:p>
      <w:pPr>
        <w:spacing w:line="360" w:lineRule="auto"/>
        <w:ind w:firstLine="470" w:firstLineChars="196"/>
        <w:rPr>
          <w:rFonts w:ascii="宋体" w:eastAsia="宋体" w:hAnsi="宋体"/>
          <w:b/>
          <w:szCs w:val="21"/>
        </w:rPr>
      </w:pPr>
      <w:bookmarkStart w:id="84" w:name="_Toc100052366"/>
      <w:bookmarkStart w:id="85" w:name="_Toc73521637"/>
      <w:bookmarkStart w:id="86" w:name="_Toc60560627"/>
      <w:bookmarkStart w:id="87" w:name="_Toc73521549"/>
      <w:bookmarkStart w:id="88" w:name="_Toc73517641"/>
      <w:bookmarkStart w:id="89" w:name="_Toc73518119"/>
      <w:bookmarkStart w:id="90" w:name="_Toc60631622"/>
      <w:bookmarkStart w:id="91" w:name="_Toc60631624"/>
      <w:bookmarkStart w:id="92" w:name="_Toc73517643"/>
      <w:bookmarkStart w:id="93" w:name="_Toc73521639"/>
      <w:bookmarkStart w:id="94" w:name="_Toc73518121"/>
      <w:bookmarkStart w:id="95" w:name="_Toc73521551"/>
      <w:bookmarkStart w:id="96" w:name="_Toc100052368"/>
      <w:bookmarkStart w:id="97" w:name="_Toc60560629"/>
      <w:r>
        <w:rPr>
          <w:rFonts w:ascii="宋体" w:eastAsia="宋体" w:hAnsi="宋体" w:hint="eastAsia"/>
          <w:b/>
          <w:szCs w:val="21"/>
        </w:rPr>
        <w:t>2.招标说明</w:t>
      </w:r>
      <w:bookmarkEnd w:id="84"/>
      <w:bookmarkEnd w:id="85"/>
      <w:bookmarkEnd w:id="86"/>
      <w:bookmarkEnd w:id="87"/>
      <w:bookmarkEnd w:id="88"/>
      <w:bookmarkEnd w:id="89"/>
      <w:bookmarkEnd w:id="90"/>
    </w:p>
    <w:p>
      <w:pPr>
        <w:spacing w:line="360" w:lineRule="auto"/>
        <w:ind w:firstLine="470" w:firstLineChars="196"/>
        <w:rPr>
          <w:rFonts w:ascii="宋体" w:eastAsia="宋体" w:hAnsi="宋体"/>
          <w:szCs w:val="21"/>
        </w:rPr>
      </w:pPr>
      <w:r>
        <w:rPr>
          <w:rFonts w:ascii="宋体" w:eastAsia="宋体" w:hAnsi="宋体" w:hint="eastAsia"/>
          <w:szCs w:val="21"/>
        </w:rPr>
        <w:t>本项目按照《深圳经济特区政府采购条例》和《深圳网上政府采购管理暂行办法》的规定，并参考有关法律、法规、规章、政策、规定通过招标择优选定供应商。</w:t>
      </w:r>
    </w:p>
    <w:p>
      <w:pPr>
        <w:spacing w:line="360" w:lineRule="auto"/>
        <w:ind w:firstLine="470" w:firstLineChars="196"/>
        <w:rPr>
          <w:rFonts w:ascii="宋体" w:eastAsia="宋体" w:hAnsi="宋体"/>
          <w:b/>
          <w:szCs w:val="21"/>
        </w:rPr>
      </w:pPr>
      <w:bookmarkStart w:id="98" w:name="_Toc100052367"/>
      <w:bookmarkStart w:id="99" w:name="_Toc60560628"/>
      <w:bookmarkStart w:id="100" w:name="_Toc73518120"/>
      <w:bookmarkStart w:id="101" w:name="_Toc73521550"/>
      <w:bookmarkStart w:id="102" w:name="_Toc73517642"/>
      <w:bookmarkStart w:id="103" w:name="_Toc60631623"/>
      <w:bookmarkStart w:id="104" w:name="_Toc73521638"/>
      <w:r>
        <w:rPr>
          <w:rFonts w:ascii="宋体" w:eastAsia="宋体" w:hAnsi="宋体" w:hint="eastAsia"/>
          <w:b/>
          <w:szCs w:val="21"/>
        </w:rPr>
        <w:t>3．定义</w:t>
      </w:r>
      <w:bookmarkEnd w:id="98"/>
      <w:bookmarkEnd w:id="99"/>
      <w:bookmarkEnd w:id="100"/>
      <w:bookmarkEnd w:id="101"/>
      <w:bookmarkEnd w:id="102"/>
      <w:bookmarkEnd w:id="103"/>
      <w:bookmarkEnd w:id="104"/>
    </w:p>
    <w:p>
      <w:pPr>
        <w:spacing w:line="360" w:lineRule="auto"/>
        <w:ind w:firstLine="470" w:firstLineChars="196"/>
        <w:rPr>
          <w:rFonts w:ascii="宋体" w:eastAsia="宋体" w:hAnsi="宋体"/>
          <w:szCs w:val="21"/>
        </w:rPr>
      </w:pPr>
      <w:r>
        <w:rPr>
          <w:rFonts w:ascii="宋体" w:eastAsia="宋体" w:hAnsi="宋体"/>
          <w:szCs w:val="21"/>
        </w:rPr>
        <w:t>招标文件中下列术语应解释为：</w:t>
      </w:r>
    </w:p>
    <w:p>
      <w:pPr>
        <w:spacing w:line="360" w:lineRule="auto"/>
        <w:ind w:firstLine="470" w:firstLineChars="196"/>
        <w:rPr>
          <w:rFonts w:ascii="宋体" w:eastAsia="宋体" w:hAnsi="宋体"/>
          <w:szCs w:val="21"/>
        </w:rPr>
      </w:pPr>
      <w:r>
        <w:rPr>
          <w:rFonts w:ascii="宋体" w:eastAsia="宋体" w:hAnsi="宋体" w:hint="eastAsia"/>
          <w:szCs w:val="21"/>
        </w:rPr>
        <w:t>3.</w:t>
      </w:r>
      <w:r>
        <w:rPr>
          <w:rFonts w:ascii="宋体" w:eastAsia="宋体" w:hAnsi="宋体"/>
          <w:szCs w:val="21"/>
        </w:rPr>
        <w:t>1</w:t>
      </w:r>
      <w:r>
        <w:rPr>
          <w:rFonts w:ascii="宋体" w:eastAsia="宋体" w:hAnsi="宋体" w:hint="eastAsia"/>
          <w:szCs w:val="21"/>
        </w:rPr>
        <w:t>“采购代理机构” 是指接受采购人委托，组织本次采购招标的社会采购代理机构；</w:t>
      </w:r>
    </w:p>
    <w:p>
      <w:pPr>
        <w:spacing w:line="360" w:lineRule="auto"/>
        <w:ind w:firstLine="470" w:firstLineChars="196"/>
        <w:rPr>
          <w:rFonts w:ascii="宋体" w:eastAsia="宋体" w:hAnsi="宋体"/>
          <w:szCs w:val="21"/>
        </w:rPr>
      </w:pPr>
      <w:r>
        <w:rPr>
          <w:rFonts w:ascii="宋体" w:eastAsia="宋体" w:hAnsi="宋体" w:hint="eastAsia"/>
          <w:szCs w:val="21"/>
        </w:rPr>
        <w:t xml:space="preserve">3.2“采购人”或“采购单位”：系指利用财政性资金依法进行政府采购的国家机关、事业单位、团体组织； </w:t>
      </w:r>
    </w:p>
    <w:p>
      <w:pPr>
        <w:spacing w:line="360" w:lineRule="auto"/>
        <w:ind w:firstLine="470" w:firstLineChars="196"/>
        <w:rPr>
          <w:rFonts w:ascii="宋体" w:eastAsia="宋体" w:hAnsi="宋体"/>
          <w:szCs w:val="21"/>
        </w:rPr>
      </w:pPr>
      <w:r>
        <w:rPr>
          <w:rFonts w:ascii="宋体" w:eastAsia="宋体" w:hAnsi="宋体" w:hint="eastAsia"/>
          <w:szCs w:val="21"/>
        </w:rPr>
        <w:t>3.3“投标人”或“投标方”，即供应商，是指参加投标竞争并愿意按照招标文件要求向采购人提供货物、工程或者服务的依法成立的法人、其他组织或者自然人；</w:t>
      </w:r>
    </w:p>
    <w:p>
      <w:pPr>
        <w:spacing w:line="360" w:lineRule="auto"/>
        <w:ind w:firstLine="470" w:firstLineChars="196"/>
        <w:rPr>
          <w:rFonts w:ascii="宋体" w:eastAsia="宋体" w:hAnsi="宋体"/>
          <w:szCs w:val="21"/>
        </w:rPr>
      </w:pPr>
      <w:r>
        <w:rPr>
          <w:rFonts w:ascii="宋体" w:eastAsia="宋体" w:hAnsi="宋体" w:hint="eastAsia"/>
          <w:szCs w:val="21"/>
        </w:rPr>
        <w:t>3.4“评标委员会”和“谈判小组”是依据《深圳经济特区政府采购条例》有关规定组建的专门负责本次招标其评标（谈判）工作的临时性机构；</w:t>
      </w:r>
    </w:p>
    <w:p>
      <w:pPr>
        <w:spacing w:line="360" w:lineRule="auto"/>
        <w:ind w:firstLine="470" w:firstLineChars="196"/>
        <w:rPr>
          <w:rFonts w:ascii="宋体" w:eastAsia="宋体" w:hAnsi="宋体"/>
          <w:szCs w:val="21"/>
        </w:rPr>
      </w:pPr>
      <w:r>
        <w:rPr>
          <w:rFonts w:ascii="宋体" w:eastAsia="宋体" w:hAnsi="宋体" w:hint="eastAsia"/>
          <w:szCs w:val="21"/>
        </w:rPr>
        <w:t>3.5“日期”</w:t>
      </w:r>
      <w:r>
        <w:rPr>
          <w:rFonts w:ascii="宋体" w:eastAsia="宋体" w:hAnsi="宋体"/>
          <w:szCs w:val="21"/>
        </w:rPr>
        <w:t>指</w:t>
      </w:r>
      <w:r>
        <w:rPr>
          <w:rFonts w:ascii="宋体" w:eastAsia="宋体" w:hAnsi="宋体" w:hint="eastAsia"/>
          <w:szCs w:val="21"/>
        </w:rPr>
        <w:t>公历日；</w:t>
      </w:r>
    </w:p>
    <w:p>
      <w:pPr>
        <w:spacing w:line="360" w:lineRule="auto"/>
        <w:ind w:firstLine="470" w:firstLineChars="196"/>
        <w:rPr>
          <w:rFonts w:ascii="宋体" w:eastAsia="宋体" w:hAnsi="宋体"/>
          <w:szCs w:val="21"/>
        </w:rPr>
      </w:pPr>
      <w:r>
        <w:rPr>
          <w:rFonts w:ascii="宋体" w:eastAsia="宋体" w:hAnsi="宋体" w:hint="eastAsia"/>
          <w:szCs w:val="21"/>
        </w:rPr>
        <w:t>3.6“合同”指由本次招标所产生的合同或其相关文件；</w:t>
      </w:r>
    </w:p>
    <w:p>
      <w:pPr>
        <w:spacing w:line="360" w:lineRule="auto"/>
        <w:ind w:firstLine="470" w:firstLineChars="196"/>
        <w:rPr>
          <w:rFonts w:ascii="宋体" w:eastAsia="宋体" w:hAnsi="宋体"/>
          <w:szCs w:val="21"/>
        </w:rPr>
      </w:pPr>
      <w:r>
        <w:rPr>
          <w:rFonts w:ascii="宋体" w:eastAsia="宋体" w:hAnsi="宋体" w:hint="eastAsia"/>
          <w:szCs w:val="21"/>
        </w:rPr>
        <w:t>3.7“电子投标文件”指利用“电子投标文件”指利用</w:t>
      </w:r>
      <w:r>
        <w:rPr>
          <w:rFonts w:ascii="宋体" w:eastAsia="宋体" w:hAnsi="宋体" w:hint="eastAsia"/>
          <w:b/>
          <w:bCs/>
          <w:szCs w:val="21"/>
        </w:rPr>
        <w:t>深圳公共资源交易中心（深圳交易集团有限公司政府采购业务分公司）</w:t>
      </w:r>
      <w:r>
        <w:rPr>
          <w:rFonts w:ascii="宋体" w:eastAsia="宋体" w:hAnsi="宋体" w:hint="eastAsia"/>
          <w:szCs w:val="21"/>
        </w:rPr>
        <w:t>网站提供的</w:t>
      </w:r>
      <w:r>
        <w:rPr>
          <w:rFonts w:ascii="宋体" w:eastAsia="宋体" w:hAnsi="宋体" w:hint="eastAsia"/>
        </w:rPr>
        <w:t>深圳智慧采购平台投标文件制作专用软件（以下简称：投标文件制作软件）制作并</w:t>
      </w:r>
      <w:r>
        <w:rPr>
          <w:rFonts w:ascii="宋体" w:eastAsia="宋体" w:hAnsi="宋体" w:hint="eastAsia"/>
          <w:szCs w:val="21"/>
        </w:rPr>
        <w:t>加密的投标文件,适用于网上投标；（投标文件制作软件可从</w:t>
      </w:r>
      <w:r>
        <w:rPr>
          <w:rFonts w:ascii="宋体" w:eastAsia="宋体" w:hAnsi="宋体" w:hint="eastAsia"/>
        </w:rPr>
        <w:t>“下载地址：</w:t>
      </w:r>
      <w:r>
        <w:rPr>
          <w:rFonts w:ascii="宋体" w:eastAsia="宋体" w:hAnsi="宋体"/>
        </w:rPr>
        <w:t>http://zfcg.szggzy.com/</w:t>
      </w:r>
      <w:r>
        <w:rPr>
          <w:rFonts w:ascii="宋体" w:eastAsia="宋体" w:hAnsi="宋体" w:hint="eastAsia"/>
        </w:rPr>
        <w:t>TPBidder/DownLoad/深圳市智慧采购平台投标文件制作专用软件.zip”</w:t>
      </w:r>
      <w:r>
        <w:rPr>
          <w:rFonts w:ascii="宋体" w:eastAsia="宋体" w:hAnsi="宋体" w:hint="eastAsia"/>
          <w:szCs w:val="21"/>
        </w:rPr>
        <w:t>下载）；</w:t>
      </w:r>
    </w:p>
    <w:p>
      <w:pPr>
        <w:spacing w:line="360" w:lineRule="auto"/>
        <w:ind w:firstLine="470" w:firstLineChars="196"/>
        <w:rPr>
          <w:rFonts w:ascii="宋体" w:eastAsia="宋体" w:hAnsi="宋体"/>
          <w:szCs w:val="21"/>
        </w:rPr>
      </w:pPr>
      <w:r>
        <w:rPr>
          <w:rFonts w:ascii="宋体" w:eastAsia="宋体" w:hAnsi="宋体" w:hint="eastAsia"/>
          <w:szCs w:val="21"/>
        </w:rPr>
        <w:t>3.8“网上投标”指通过</w:t>
      </w:r>
      <w:r>
        <w:rPr>
          <w:rFonts w:ascii="宋体" w:eastAsia="宋体" w:hAnsi="宋体" w:hint="eastAsia"/>
          <w:b/>
          <w:bCs/>
          <w:szCs w:val="21"/>
        </w:rPr>
        <w:t>深圳公共资源交易中心（深圳交易集团有限公司政府采购业务分公司）</w:t>
      </w:r>
      <w:r>
        <w:rPr>
          <w:rFonts w:ascii="宋体" w:eastAsia="宋体" w:hAnsi="宋体" w:hint="eastAsia"/>
          <w:szCs w:val="21"/>
        </w:rPr>
        <w:t>网站上传电子投标文件；</w:t>
      </w:r>
    </w:p>
    <w:p>
      <w:pPr>
        <w:spacing w:line="360" w:lineRule="auto"/>
        <w:ind w:firstLine="470" w:firstLineChars="196"/>
        <w:rPr>
          <w:rFonts w:ascii="宋体" w:eastAsia="宋体" w:hAnsi="宋体"/>
          <w:szCs w:val="21"/>
        </w:rPr>
      </w:pPr>
      <w:r>
        <w:rPr>
          <w:rFonts w:ascii="宋体" w:eastAsia="宋体" w:hAnsi="宋体" w:hint="eastAsia"/>
          <w:szCs w:val="21"/>
        </w:rPr>
        <w:t>3.9招标文件中的标题或题名仅起引导作用，而不应视为对招标文件内容的理解和解释。</w:t>
      </w:r>
    </w:p>
    <w:p>
      <w:pPr>
        <w:spacing w:line="360" w:lineRule="auto"/>
        <w:ind w:firstLine="470" w:firstLineChars="196"/>
        <w:rPr>
          <w:rFonts w:ascii="宋体" w:eastAsia="宋体" w:hAnsi="宋体"/>
          <w:b/>
          <w:szCs w:val="21"/>
        </w:rPr>
      </w:pPr>
      <w:r>
        <w:rPr>
          <w:rFonts w:ascii="宋体" w:eastAsia="宋体" w:hAnsi="宋体" w:hint="eastAsia"/>
          <w:b/>
          <w:szCs w:val="21"/>
        </w:rPr>
        <w:t>4. 政府采购供应商责任</w:t>
      </w:r>
    </w:p>
    <w:p>
      <w:pPr>
        <w:spacing w:line="360" w:lineRule="auto"/>
        <w:ind w:firstLine="470" w:firstLineChars="196"/>
        <w:rPr>
          <w:rFonts w:ascii="宋体" w:eastAsia="宋体" w:hAnsi="宋体"/>
          <w:szCs w:val="21"/>
        </w:rPr>
      </w:pPr>
      <w:r>
        <w:rPr>
          <w:rFonts w:ascii="宋体" w:eastAsia="宋体" w:hAnsi="宋体" w:hint="eastAsia"/>
          <w:szCs w:val="21"/>
        </w:rPr>
        <w:t>4.1欢迎诚信、有实力和有社会责任心的供应商参与政府采购事业。</w:t>
      </w:r>
    </w:p>
    <w:p>
      <w:pPr>
        <w:spacing w:line="360" w:lineRule="auto"/>
        <w:ind w:firstLine="470" w:firstLineChars="196"/>
        <w:rPr>
          <w:rFonts w:ascii="宋体" w:eastAsia="宋体" w:hAnsi="宋体"/>
          <w:szCs w:val="21"/>
        </w:rPr>
      </w:pPr>
      <w:r>
        <w:rPr>
          <w:rFonts w:ascii="宋体" w:eastAsia="宋体" w:hAnsi="宋体" w:hint="eastAsia"/>
          <w:szCs w:val="21"/>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spacing w:line="360" w:lineRule="auto"/>
        <w:ind w:firstLine="470" w:firstLineChars="196"/>
        <w:rPr>
          <w:rFonts w:ascii="宋体" w:eastAsia="宋体" w:hAnsi="宋体"/>
          <w:b/>
          <w:szCs w:val="21"/>
        </w:rPr>
      </w:pPr>
      <w:bookmarkEnd w:id="91"/>
      <w:bookmarkEnd w:id="92"/>
      <w:bookmarkEnd w:id="93"/>
      <w:bookmarkEnd w:id="94"/>
      <w:bookmarkEnd w:id="95"/>
      <w:bookmarkEnd w:id="96"/>
      <w:bookmarkEnd w:id="97"/>
      <w:r>
        <w:rPr>
          <w:rFonts w:ascii="宋体" w:eastAsia="宋体" w:hAnsi="宋体" w:hint="eastAsia"/>
          <w:b/>
          <w:szCs w:val="21"/>
        </w:rPr>
        <w:t>5．投标人参加政府采购的条件</w:t>
      </w:r>
    </w:p>
    <w:p>
      <w:pPr>
        <w:spacing w:line="360" w:lineRule="auto"/>
        <w:ind w:firstLine="470" w:firstLineChars="196"/>
        <w:rPr>
          <w:rFonts w:ascii="宋体" w:eastAsia="宋体" w:hAnsi="宋体"/>
          <w:szCs w:val="21"/>
        </w:rPr>
      </w:pPr>
      <w:r>
        <w:rPr>
          <w:rFonts w:ascii="宋体" w:eastAsia="宋体" w:hAnsi="宋体" w:hint="eastAsia"/>
          <w:szCs w:val="21"/>
        </w:rPr>
        <w:t>5.1投标人应在投标前到</w:t>
      </w:r>
      <w:r>
        <w:rPr>
          <w:rFonts w:ascii="宋体" w:eastAsia="宋体" w:hAnsi="宋体" w:hint="eastAsia"/>
          <w:b/>
          <w:bCs/>
          <w:szCs w:val="21"/>
        </w:rPr>
        <w:t>深圳公共资源交易中心（具体在深圳交易集团有限公司政府采购业务分公司进行办理）</w:t>
      </w:r>
      <w:r>
        <w:rPr>
          <w:rFonts w:ascii="宋体" w:eastAsia="宋体" w:hAnsi="宋体" w:hint="eastAsia"/>
          <w:szCs w:val="21"/>
        </w:rPr>
        <w:t>进行注册并办理电子密钥。《</w:t>
      </w:r>
      <w:r>
        <w:fldChar w:fldCharType="begin"/>
      </w:r>
      <w:r>
        <w:instrText xml:space="preserve"> HYPERLINK "http://www.szzfcg.cn/viewer.do?id=2455258" \t "documentViewer2455258" </w:instrText>
      </w:r>
      <w:r>
        <w:fldChar w:fldCharType="separate"/>
      </w:r>
      <w:r>
        <w:rPr>
          <w:rFonts w:ascii="宋体" w:eastAsia="宋体" w:hAnsi="宋体"/>
          <w:szCs w:val="21"/>
        </w:rPr>
        <w:t>供应商注册及电子密钥新申请指引</w:t>
      </w:r>
      <w:r>
        <w:fldChar w:fldCharType="end"/>
      </w:r>
      <w:r>
        <w:rPr>
          <w:rFonts w:ascii="宋体" w:eastAsia="宋体" w:hAnsi="宋体" w:hint="eastAsia"/>
          <w:szCs w:val="21"/>
        </w:rPr>
        <w:t>》详见</w:t>
      </w:r>
      <w:r>
        <w:rPr>
          <w:rFonts w:ascii="宋体" w:eastAsia="宋体" w:hAnsi="宋体"/>
          <w:szCs w:val="21"/>
        </w:rPr>
        <w:t>http://zfcg.szggzy.com/</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5.2投标人资格要求</w:t>
      </w:r>
    </w:p>
    <w:p>
      <w:pPr>
        <w:spacing w:line="360" w:lineRule="auto"/>
        <w:ind w:firstLine="470" w:firstLineChars="196"/>
        <w:rPr>
          <w:rFonts w:ascii="宋体" w:eastAsia="宋体" w:hAnsi="宋体"/>
          <w:szCs w:val="21"/>
        </w:rPr>
      </w:pPr>
      <w:r>
        <w:rPr>
          <w:rFonts w:ascii="宋体" w:eastAsia="宋体" w:hAnsi="宋体" w:hint="eastAsia"/>
          <w:szCs w:val="21"/>
        </w:rPr>
        <w:t>参加本项目的投标人应具备的资格条件详见本项目招标公告中 “投标人资格要求”（即申请人的资格要求）的内容。</w:t>
      </w:r>
    </w:p>
    <w:p>
      <w:pPr>
        <w:spacing w:line="360" w:lineRule="auto"/>
        <w:ind w:firstLine="470" w:firstLineChars="196"/>
        <w:rPr>
          <w:rFonts w:ascii="宋体" w:eastAsia="宋体" w:hAnsi="宋体"/>
          <w:szCs w:val="21"/>
        </w:rPr>
      </w:pPr>
      <w:r>
        <w:rPr>
          <w:rFonts w:ascii="宋体" w:eastAsia="宋体" w:hAnsi="宋体" w:hint="eastAsia"/>
          <w:szCs w:val="21"/>
        </w:rPr>
        <w:t>5.3联合体投标</w:t>
      </w:r>
    </w:p>
    <w:p>
      <w:pPr>
        <w:spacing w:line="360" w:lineRule="auto"/>
        <w:ind w:firstLine="470" w:firstLineChars="196"/>
        <w:rPr>
          <w:rFonts w:ascii="宋体" w:eastAsia="宋体" w:hAnsi="宋体"/>
          <w:szCs w:val="21"/>
        </w:rPr>
      </w:pPr>
      <w:r>
        <w:rPr>
          <w:rFonts w:ascii="宋体" w:eastAsia="宋体" w:hAnsi="宋体" w:hint="eastAsia"/>
          <w:szCs w:val="21"/>
        </w:rPr>
        <w:t>5.3.1　以下有关联合体投标的条款仅适用于允许投标人组成联合体投标的项目。</w:t>
      </w:r>
    </w:p>
    <w:p>
      <w:pPr>
        <w:spacing w:line="360" w:lineRule="auto"/>
        <w:ind w:firstLine="470" w:firstLineChars="196"/>
        <w:rPr>
          <w:rFonts w:ascii="宋体" w:eastAsia="宋体" w:hAnsi="宋体"/>
          <w:szCs w:val="21"/>
        </w:rPr>
      </w:pPr>
      <w:r>
        <w:rPr>
          <w:rFonts w:ascii="宋体" w:eastAsia="宋体" w:hAnsi="宋体" w:hint="eastAsia"/>
          <w:szCs w:val="21"/>
        </w:rPr>
        <w:t>5.3.2  由两个或两个以上的自然人、法人或者其他组织可以组成一个联合体，以一个供应商的身份共同投标时，应符合以下原则：</w:t>
      </w:r>
    </w:p>
    <w:p>
      <w:pPr>
        <w:spacing w:line="360" w:lineRule="auto"/>
        <w:ind w:firstLine="470" w:firstLineChars="196"/>
        <w:rPr>
          <w:rFonts w:ascii="宋体" w:eastAsia="宋体" w:hAnsi="宋体"/>
          <w:szCs w:val="21"/>
        </w:rPr>
      </w:pPr>
      <w:r>
        <w:rPr>
          <w:rFonts w:ascii="宋体" w:eastAsia="宋体" w:hAnsi="宋体" w:hint="eastAsia"/>
          <w:szCs w:val="21"/>
        </w:rPr>
        <w:t>（1）投标联合体各方参加政府采购活动应当具备下列条件：</w:t>
      </w:r>
    </w:p>
    <w:p>
      <w:pPr>
        <w:spacing w:line="360" w:lineRule="auto"/>
        <w:ind w:left="480" w:firstLine="470" w:leftChars="200" w:firstLineChars="196"/>
        <w:rPr>
          <w:rFonts w:ascii="宋体" w:eastAsia="宋体" w:hAnsi="宋体"/>
          <w:szCs w:val="21"/>
        </w:rPr>
      </w:pPr>
      <w:r>
        <w:rPr>
          <w:rFonts w:ascii="宋体" w:eastAsia="宋体" w:hAnsi="宋体" w:hint="eastAsia"/>
          <w:szCs w:val="21"/>
        </w:rPr>
        <w:t>1、具有独立承担民事责任的能力；</w:t>
      </w:r>
    </w:p>
    <w:p>
      <w:pPr>
        <w:spacing w:line="360" w:lineRule="auto"/>
        <w:ind w:left="420" w:firstLine="470" w:firstLineChars="196"/>
        <w:rPr>
          <w:rFonts w:ascii="宋体" w:eastAsia="宋体" w:hAnsi="宋体"/>
          <w:szCs w:val="21"/>
        </w:rPr>
      </w:pPr>
      <w:r>
        <w:rPr>
          <w:rFonts w:ascii="宋体" w:eastAsia="宋体" w:hAnsi="宋体" w:hint="eastAsia"/>
          <w:szCs w:val="21"/>
        </w:rPr>
        <w:t>2、有良好的商业信誉和健全的财务会计制度；</w:t>
      </w:r>
    </w:p>
    <w:p>
      <w:pPr>
        <w:spacing w:line="360" w:lineRule="auto"/>
        <w:ind w:left="480" w:firstLine="470" w:leftChars="200" w:firstLineChars="196"/>
        <w:rPr>
          <w:rFonts w:ascii="宋体" w:eastAsia="宋体" w:hAnsi="宋体"/>
          <w:szCs w:val="21"/>
        </w:rPr>
      </w:pPr>
      <w:r>
        <w:rPr>
          <w:rFonts w:ascii="宋体" w:eastAsia="宋体" w:hAnsi="宋体" w:hint="eastAsia"/>
          <w:szCs w:val="21"/>
        </w:rPr>
        <w:t>3、具有履行合同所必需的设备和专业技术能力；</w:t>
      </w:r>
    </w:p>
    <w:p>
      <w:pPr>
        <w:spacing w:line="360" w:lineRule="auto"/>
        <w:ind w:left="480" w:firstLine="470" w:leftChars="200" w:firstLineChars="196"/>
        <w:rPr>
          <w:rFonts w:ascii="宋体" w:eastAsia="宋体" w:hAnsi="宋体"/>
          <w:szCs w:val="21"/>
        </w:rPr>
      </w:pPr>
      <w:r>
        <w:rPr>
          <w:rFonts w:ascii="宋体" w:eastAsia="宋体" w:hAnsi="宋体" w:hint="eastAsia"/>
          <w:szCs w:val="21"/>
        </w:rPr>
        <w:t>4、有依法缴纳税收和社会保障资金的良好记录；</w:t>
      </w:r>
    </w:p>
    <w:p>
      <w:pPr>
        <w:spacing w:line="360" w:lineRule="auto"/>
        <w:ind w:left="480" w:firstLine="470" w:leftChars="200" w:firstLineChars="196"/>
        <w:rPr>
          <w:rFonts w:ascii="宋体" w:eastAsia="宋体" w:hAnsi="宋体"/>
          <w:szCs w:val="21"/>
        </w:rPr>
      </w:pPr>
      <w:r>
        <w:rPr>
          <w:rFonts w:ascii="宋体" w:eastAsia="宋体" w:hAnsi="宋体" w:hint="eastAsia"/>
          <w:szCs w:val="21"/>
        </w:rPr>
        <w:t>5、参加政府采购活动前三年内，在经营活动中没有重大违法记录；</w:t>
      </w:r>
    </w:p>
    <w:p>
      <w:pPr>
        <w:spacing w:line="360" w:lineRule="auto"/>
        <w:ind w:left="480" w:firstLine="470" w:leftChars="200" w:firstLineChars="196"/>
        <w:rPr>
          <w:rFonts w:ascii="宋体" w:eastAsia="宋体" w:hAnsi="宋体"/>
          <w:szCs w:val="21"/>
        </w:rPr>
      </w:pPr>
      <w:r>
        <w:rPr>
          <w:rFonts w:ascii="宋体" w:eastAsia="宋体" w:hAnsi="宋体" w:hint="eastAsia"/>
          <w:szCs w:val="21"/>
        </w:rPr>
        <w:t>6、法律、行政法规规定的其他条件。</w:t>
      </w:r>
    </w:p>
    <w:p>
      <w:pPr>
        <w:spacing w:line="360" w:lineRule="auto"/>
        <w:ind w:firstLine="470" w:firstLineChars="196"/>
        <w:rPr>
          <w:rFonts w:ascii="宋体" w:eastAsia="宋体" w:hAnsi="宋体"/>
          <w:szCs w:val="21"/>
        </w:rPr>
      </w:pPr>
      <w:r>
        <w:rPr>
          <w:rFonts w:ascii="宋体" w:eastAsia="宋体" w:hAnsi="宋体" w:hint="eastAsia"/>
          <w:szCs w:val="21"/>
        </w:rPr>
        <w:t>（2）在投标截止前，投标联合体各方均应注册成深圳市政府采购供应商；</w:t>
      </w:r>
    </w:p>
    <w:p>
      <w:pPr>
        <w:spacing w:line="360" w:lineRule="auto"/>
        <w:ind w:firstLine="470" w:firstLineChars="196"/>
        <w:rPr>
          <w:rFonts w:ascii="宋体" w:eastAsia="宋体" w:hAnsi="宋体"/>
          <w:szCs w:val="21"/>
        </w:rPr>
      </w:pPr>
      <w:r>
        <w:rPr>
          <w:rFonts w:ascii="宋体" w:eastAsia="宋体" w:hAnsi="宋体" w:hint="eastAsia"/>
          <w:szCs w:val="21"/>
        </w:rPr>
        <w:t>（3）联合体中有同类资质的供应商按照联合体分工承担相同工作的，应当按照资质等级较低的供应商确定资质等级；</w:t>
      </w:r>
    </w:p>
    <w:p>
      <w:pPr>
        <w:spacing w:line="360" w:lineRule="auto"/>
        <w:ind w:firstLine="470" w:firstLineChars="196"/>
        <w:rPr>
          <w:rFonts w:ascii="宋体" w:eastAsia="宋体" w:hAnsi="宋体"/>
          <w:szCs w:val="21"/>
        </w:rPr>
      </w:pPr>
      <w:r>
        <w:rPr>
          <w:rFonts w:ascii="宋体" w:eastAsia="宋体" w:hAnsi="宋体" w:hint="eastAsia"/>
          <w:szCs w:val="21"/>
        </w:rPr>
        <w:t>（4）是否允许联合体参加投标，应当由采购人和采购代理机构根据项目的实际情况和潜在供应商的数量自主决定，如果决定接受联合体投标则应当在招标公告中明示；</w:t>
      </w:r>
    </w:p>
    <w:p>
      <w:pPr>
        <w:spacing w:line="360" w:lineRule="auto"/>
        <w:ind w:firstLine="470" w:firstLineChars="196"/>
        <w:rPr>
          <w:rFonts w:ascii="宋体" w:eastAsia="宋体" w:hAnsi="宋体"/>
          <w:szCs w:val="21"/>
        </w:rPr>
      </w:pPr>
      <w:r>
        <w:rPr>
          <w:rFonts w:ascii="宋体" w:eastAsia="宋体" w:hAnsi="宋体" w:hint="eastAsia"/>
          <w:szCs w:val="21"/>
        </w:rPr>
        <w:t>（5）投标人的投标文件及中标后签署的合同协议对联合体各方均具法律约束力；</w:t>
      </w:r>
    </w:p>
    <w:p>
      <w:pPr>
        <w:spacing w:line="360" w:lineRule="auto"/>
        <w:ind w:firstLine="470" w:firstLineChars="196"/>
        <w:rPr>
          <w:rFonts w:ascii="宋体" w:eastAsia="宋体" w:hAnsi="宋体"/>
          <w:szCs w:val="21"/>
        </w:rPr>
      </w:pPr>
      <w:r>
        <w:rPr>
          <w:rFonts w:ascii="宋体" w:eastAsia="宋体" w:hAnsi="宋体" w:hint="eastAsia"/>
          <w:szCs w:val="21"/>
        </w:rPr>
        <w:t>（6）联合体各方应当签订联合体投标协议，明确约定各方拟承担的工作和责任，并将该协议随投标文件一并递交给采购代理机构；</w:t>
      </w:r>
    </w:p>
    <w:p>
      <w:pPr>
        <w:spacing w:line="360" w:lineRule="auto"/>
        <w:ind w:firstLine="470" w:firstLineChars="196"/>
        <w:rPr>
          <w:rFonts w:ascii="宋体" w:eastAsia="宋体" w:hAnsi="宋体"/>
          <w:szCs w:val="21"/>
        </w:rPr>
      </w:pPr>
      <w:r>
        <w:rPr>
          <w:rFonts w:ascii="宋体" w:eastAsia="宋体" w:hAnsi="宋体" w:hint="eastAsia"/>
          <w:szCs w:val="21"/>
        </w:rPr>
        <w:t>（7）联合体中标后，联合体各方应当共同与采购人签订合同，就中标项目向采购人承担连带责任；</w:t>
      </w:r>
    </w:p>
    <w:p>
      <w:pPr>
        <w:spacing w:line="360" w:lineRule="auto"/>
        <w:ind w:firstLine="470" w:firstLineChars="196"/>
        <w:rPr>
          <w:rFonts w:ascii="宋体" w:eastAsia="宋体" w:hAnsi="宋体"/>
          <w:szCs w:val="21"/>
        </w:rPr>
      </w:pPr>
      <w:r>
        <w:rPr>
          <w:rFonts w:ascii="宋体" w:eastAsia="宋体" w:hAnsi="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60" w:lineRule="auto"/>
        <w:ind w:firstLine="470" w:firstLineChars="196"/>
        <w:rPr>
          <w:rFonts w:ascii="宋体" w:eastAsia="宋体" w:hAnsi="宋体"/>
          <w:szCs w:val="21"/>
        </w:rPr>
      </w:pPr>
      <w:r>
        <w:rPr>
          <w:rFonts w:ascii="宋体" w:eastAsia="宋体" w:hAnsi="宋体" w:hint="eastAsia"/>
          <w:szCs w:val="21"/>
        </w:rPr>
        <w:t>（9）本通用条款中“投标人”一词亦指联合体各方，专用条款另有规定或说明的除外。</w:t>
      </w:r>
    </w:p>
    <w:p>
      <w:pPr>
        <w:spacing w:line="360" w:lineRule="auto"/>
        <w:ind w:firstLine="470" w:firstLineChars="196"/>
        <w:rPr>
          <w:rFonts w:ascii="宋体" w:eastAsia="宋体" w:hAnsi="宋体"/>
          <w:b/>
          <w:szCs w:val="21"/>
        </w:rPr>
      </w:pPr>
      <w:r>
        <w:rPr>
          <w:rFonts w:ascii="宋体" w:eastAsia="宋体" w:hAnsi="宋体" w:hint="eastAsia"/>
          <w:b/>
          <w:szCs w:val="21"/>
        </w:rPr>
        <w:t>6．政策导向</w:t>
      </w:r>
    </w:p>
    <w:p>
      <w:pPr>
        <w:spacing w:line="360" w:lineRule="auto"/>
        <w:ind w:firstLine="470" w:firstLineChars="196"/>
        <w:rPr>
          <w:rFonts w:ascii="宋体" w:eastAsia="宋体" w:hAnsi="宋体"/>
          <w:szCs w:val="21"/>
        </w:rPr>
      </w:pPr>
      <w:r>
        <w:rPr>
          <w:rFonts w:ascii="宋体" w:eastAsia="宋体" w:hAnsi="宋体" w:hint="eastAsia"/>
          <w:szCs w:val="21"/>
        </w:rPr>
        <w:t>6.1政府采购扶持贫困地区、中小企业、监狱企业和残疾人福利性单位发展，支持节能减排、环境保护。</w:t>
      </w:r>
    </w:p>
    <w:p>
      <w:pPr>
        <w:spacing w:line="360" w:lineRule="auto"/>
        <w:ind w:firstLine="405"/>
        <w:rPr>
          <w:rFonts w:ascii="宋体" w:eastAsia="宋体" w:hAnsi="宋体"/>
          <w:szCs w:val="21"/>
          <w:shd w:val="clear" w:color="auto" w:fill="FFFFFF"/>
        </w:rPr>
      </w:pPr>
      <w:r>
        <w:rPr>
          <w:rFonts w:ascii="宋体" w:eastAsia="宋体" w:hAnsi="宋体" w:hint="eastAsia"/>
          <w:szCs w:val="21"/>
        </w:rPr>
        <w:t>6.2本项目落实深圳市政府采购供应商诚信管理政策要求。</w:t>
      </w:r>
    </w:p>
    <w:p>
      <w:pPr>
        <w:spacing w:line="360" w:lineRule="auto"/>
        <w:ind w:firstLine="470" w:firstLineChars="196"/>
        <w:rPr>
          <w:rFonts w:ascii="宋体" w:eastAsia="宋体" w:hAnsi="宋体"/>
          <w:b/>
          <w:szCs w:val="21"/>
        </w:rPr>
      </w:pPr>
      <w:r>
        <w:rPr>
          <w:rFonts w:ascii="宋体" w:eastAsia="宋体" w:hAnsi="宋体" w:hint="eastAsia"/>
          <w:b/>
          <w:szCs w:val="21"/>
        </w:rPr>
        <w:t>7. 本项目若涉及采购货物，则合格的货物及相应服务应满足以下要求：</w:t>
      </w:r>
    </w:p>
    <w:p>
      <w:pPr>
        <w:spacing w:line="360" w:lineRule="auto"/>
        <w:ind w:firstLine="470" w:firstLineChars="196"/>
        <w:rPr>
          <w:rFonts w:ascii="宋体" w:eastAsia="宋体" w:hAnsi="宋体"/>
          <w:szCs w:val="21"/>
        </w:rPr>
      </w:pPr>
      <w:r>
        <w:rPr>
          <w:rFonts w:ascii="宋体" w:eastAsia="宋体" w:hAnsi="宋体" w:hint="eastAsia"/>
          <w:szCs w:val="21"/>
        </w:rPr>
        <w:t>7</w:t>
      </w:r>
      <w:r>
        <w:rPr>
          <w:rFonts w:ascii="宋体" w:eastAsia="宋体" w:hAnsi="宋体"/>
          <w:szCs w:val="21"/>
        </w:rPr>
        <w:t xml:space="preserve">.1  </w:t>
      </w:r>
      <w:r>
        <w:rPr>
          <w:rFonts w:ascii="宋体" w:eastAsia="宋体" w:hAnsi="宋体" w:hint="eastAsia"/>
          <w:szCs w:val="21"/>
        </w:rPr>
        <w:t>必须是全新、未使用过的原装合格正品（包括零部件），如安装或配置了软件的，须为正版软件。</w:t>
      </w:r>
    </w:p>
    <w:p>
      <w:pPr>
        <w:spacing w:line="360" w:lineRule="auto"/>
        <w:ind w:firstLine="470" w:firstLineChars="196"/>
        <w:rPr>
          <w:rFonts w:ascii="宋体" w:eastAsia="宋体" w:hAnsi="宋体"/>
          <w:szCs w:val="21"/>
        </w:rPr>
      </w:pPr>
      <w:r>
        <w:rPr>
          <w:rFonts w:ascii="宋体" w:eastAsia="宋体" w:hAnsi="宋体" w:hint="eastAsia"/>
          <w:szCs w:val="21"/>
        </w:rPr>
        <w:t>7.2  国产的货物及其有关服务必须符合中华人民共和国的设计、制造生产标准及行业标准。招标公告有其他要求的，亦应符合其要求。</w:t>
      </w:r>
    </w:p>
    <w:p>
      <w:pPr>
        <w:spacing w:line="360" w:lineRule="auto"/>
        <w:ind w:firstLine="470" w:firstLineChars="196"/>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60" w:lineRule="auto"/>
        <w:ind w:firstLine="470" w:firstLineChars="196"/>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4投标人</w:t>
      </w:r>
      <w:bookmarkStart w:id="105" w:name="_Hlk72152753"/>
      <w:r>
        <w:rPr>
          <w:rFonts w:ascii="宋体" w:eastAsia="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05"/>
    </w:p>
    <w:p>
      <w:pPr>
        <w:spacing w:line="360" w:lineRule="auto"/>
        <w:ind w:firstLine="470" w:firstLineChars="196"/>
        <w:rPr>
          <w:rFonts w:ascii="宋体" w:eastAsia="宋体" w:hAnsi="宋体"/>
          <w:szCs w:val="21"/>
        </w:rPr>
      </w:pPr>
      <w:r>
        <w:rPr>
          <w:rFonts w:ascii="宋体" w:eastAsia="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line="360" w:lineRule="auto"/>
        <w:ind w:firstLine="470" w:firstLineChars="196"/>
        <w:rPr>
          <w:rFonts w:ascii="宋体" w:eastAsia="宋体" w:hAnsi="宋体"/>
          <w:szCs w:val="21"/>
        </w:rPr>
      </w:pPr>
      <w:r>
        <w:rPr>
          <w:rFonts w:ascii="宋体" w:eastAsia="宋体" w:hAnsi="宋体" w:hint="eastAsia"/>
          <w:szCs w:val="21"/>
        </w:rPr>
        <w:t>7.6  工期要求：投标人在投标时对其所投项目应提交交货进度、交货计划等，在合同规定的时间内完成项目实施工作。</w:t>
      </w:r>
    </w:p>
    <w:p>
      <w:pPr>
        <w:spacing w:line="360" w:lineRule="auto"/>
        <w:ind w:firstLine="470" w:firstLineChars="196"/>
        <w:rPr>
          <w:rFonts w:ascii="宋体" w:eastAsia="宋体" w:hAnsi="宋体"/>
          <w:szCs w:val="21"/>
        </w:rPr>
      </w:pPr>
      <w:r>
        <w:rPr>
          <w:rFonts w:ascii="宋体" w:eastAsia="宋体" w:hAnsi="宋体" w:hint="eastAsia"/>
          <w:szCs w:val="21"/>
        </w:rPr>
        <w:t>7.7  投标人必须承担的设备运输、安装调试、验收检测和提供设备操作说明书、图纸等其他相关及类似的义务。</w:t>
      </w:r>
    </w:p>
    <w:p>
      <w:pPr>
        <w:spacing w:line="360" w:lineRule="auto"/>
        <w:ind w:firstLine="470" w:firstLineChars="196"/>
        <w:rPr>
          <w:rFonts w:ascii="宋体" w:eastAsia="宋体" w:hAnsi="宋体"/>
          <w:b/>
          <w:szCs w:val="21"/>
        </w:rPr>
      </w:pPr>
      <w:r>
        <w:rPr>
          <w:rFonts w:ascii="宋体" w:eastAsia="宋体" w:hAnsi="宋体" w:hint="eastAsia"/>
          <w:b/>
          <w:szCs w:val="21"/>
        </w:rPr>
        <w:t>8．投标费用</w:t>
      </w:r>
    </w:p>
    <w:p>
      <w:pPr>
        <w:spacing w:line="360" w:lineRule="auto"/>
        <w:ind w:firstLine="470" w:firstLineChars="196"/>
        <w:rPr>
          <w:rFonts w:ascii="宋体" w:eastAsia="宋体" w:hAnsi="宋体"/>
          <w:szCs w:val="21"/>
        </w:rPr>
      </w:pPr>
      <w:r>
        <w:rPr>
          <w:rFonts w:ascii="宋体" w:eastAsia="宋体" w:hAnsi="宋体" w:hint="eastAsia"/>
          <w:szCs w:val="21"/>
        </w:rPr>
        <w:t>不论投标结果如何，投标人应承担其编制投标文件与递交投标文件所涉及的一切费用。</w:t>
      </w:r>
    </w:p>
    <w:p>
      <w:pPr>
        <w:spacing w:line="360" w:lineRule="auto"/>
        <w:ind w:firstLine="470" w:firstLineChars="196"/>
        <w:rPr>
          <w:rFonts w:ascii="宋体" w:eastAsia="宋体" w:hAnsi="宋体"/>
          <w:b/>
          <w:szCs w:val="21"/>
        </w:rPr>
      </w:pPr>
      <w:r>
        <w:rPr>
          <w:rFonts w:ascii="宋体" w:eastAsia="宋体" w:hAnsi="宋体" w:hint="eastAsia"/>
          <w:b/>
          <w:szCs w:val="21"/>
        </w:rPr>
        <w:t>9．踏勘现场</w:t>
      </w:r>
    </w:p>
    <w:p>
      <w:pPr>
        <w:spacing w:line="360" w:lineRule="auto"/>
        <w:ind w:firstLine="470" w:firstLineChars="196"/>
        <w:rPr>
          <w:rFonts w:ascii="宋体" w:eastAsia="宋体" w:hAnsi="宋体"/>
          <w:szCs w:val="21"/>
        </w:rPr>
      </w:pPr>
      <w:r>
        <w:rPr>
          <w:rFonts w:ascii="宋体" w:eastAsia="宋体" w:hAnsi="宋体" w:hint="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spacing w:line="360" w:lineRule="auto"/>
        <w:ind w:firstLine="470" w:firstLineChars="196"/>
        <w:rPr>
          <w:rFonts w:ascii="宋体" w:eastAsia="宋体" w:hAnsi="宋体"/>
          <w:szCs w:val="21"/>
        </w:rPr>
      </w:pPr>
      <w:r>
        <w:rPr>
          <w:rFonts w:ascii="宋体" w:eastAsia="宋体" w:hAnsi="宋体" w:hint="eastAsia"/>
          <w:szCs w:val="21"/>
        </w:rPr>
        <w:t>9.2投标人及其人员经过采购人的允许，可以进入采购人的项目现场踏勘。若招标文件要求投标人于统一时间地点踏勘现场的，投标人应当按时前往。</w:t>
      </w:r>
    </w:p>
    <w:p>
      <w:pPr>
        <w:spacing w:line="360" w:lineRule="auto"/>
        <w:ind w:firstLine="470" w:firstLineChars="196"/>
        <w:rPr>
          <w:rFonts w:ascii="宋体" w:eastAsia="宋体" w:hAnsi="宋体"/>
          <w:szCs w:val="21"/>
        </w:rPr>
      </w:pPr>
      <w:r>
        <w:rPr>
          <w:rFonts w:ascii="宋体" w:eastAsia="宋体" w:hAnsi="宋体" w:hint="eastAsia"/>
          <w:szCs w:val="21"/>
        </w:rPr>
        <w:t>9.3采购人应当通过采购代理机构向投标人提供有关现场的书面资料和数据。</w:t>
      </w:r>
    </w:p>
    <w:p>
      <w:pPr>
        <w:spacing w:line="360" w:lineRule="auto"/>
        <w:ind w:firstLine="470" w:firstLineChars="196"/>
        <w:rPr>
          <w:rFonts w:ascii="宋体" w:eastAsia="宋体" w:hAnsi="宋体"/>
          <w:szCs w:val="21"/>
        </w:rPr>
      </w:pPr>
      <w:r>
        <w:rPr>
          <w:rFonts w:ascii="宋体" w:eastAsia="宋体" w:hAnsi="宋体" w:hint="eastAsia"/>
          <w:szCs w:val="21"/>
        </w:rPr>
        <w:t>9.4任何人或任何组织在踏勘现场时向投标人提供的任何书面资料或口头承诺，未经采购代理机构在网上发布或书面通知，均作无效处理。</w:t>
      </w:r>
    </w:p>
    <w:p>
      <w:pPr>
        <w:spacing w:line="360" w:lineRule="auto"/>
        <w:ind w:firstLine="470" w:firstLineChars="196"/>
        <w:rPr>
          <w:rFonts w:ascii="宋体" w:eastAsia="宋体" w:hAnsi="宋体"/>
          <w:szCs w:val="21"/>
        </w:rPr>
      </w:pPr>
      <w:r>
        <w:rPr>
          <w:rFonts w:ascii="宋体" w:eastAsia="宋体" w:hAnsi="宋体"/>
          <w:szCs w:val="21"/>
        </w:rPr>
        <w:t>9</w:t>
      </w:r>
      <w:r>
        <w:rPr>
          <w:rFonts w:ascii="宋体" w:eastAsia="宋体" w:hAnsi="宋体" w:hint="eastAsia"/>
          <w:szCs w:val="21"/>
        </w:rPr>
        <w:t>.</w:t>
      </w:r>
      <w:r>
        <w:rPr>
          <w:rFonts w:ascii="宋体" w:eastAsia="宋体" w:hAnsi="宋体"/>
          <w:szCs w:val="21"/>
        </w:rPr>
        <w:t>5</w:t>
      </w:r>
      <w:r>
        <w:rPr>
          <w:rFonts w:ascii="宋体" w:eastAsia="宋体" w:hAnsi="宋体" w:hint="eastAsia"/>
          <w:szCs w:val="21"/>
        </w:rPr>
        <w:t>未参与踏勘现场不作为否定投标人资格的理由。</w:t>
      </w:r>
    </w:p>
    <w:p>
      <w:pPr>
        <w:spacing w:line="360" w:lineRule="auto"/>
        <w:ind w:firstLine="470" w:firstLineChars="196"/>
        <w:rPr>
          <w:rFonts w:ascii="宋体" w:eastAsia="宋体" w:hAnsi="宋体"/>
          <w:b/>
          <w:szCs w:val="21"/>
        </w:rPr>
      </w:pPr>
      <w:r>
        <w:rPr>
          <w:rFonts w:ascii="宋体" w:eastAsia="宋体" w:hAnsi="宋体" w:hint="eastAsia"/>
          <w:b/>
          <w:szCs w:val="21"/>
        </w:rPr>
        <w:t>10．标前会议</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pPr>
        <w:spacing w:line="360" w:lineRule="auto"/>
        <w:ind w:firstLine="470" w:firstLineChars="196"/>
        <w:rPr>
          <w:rFonts w:ascii="宋体" w:eastAsia="宋体" w:hAnsi="宋体"/>
          <w:szCs w:val="21"/>
        </w:rPr>
      </w:pPr>
      <w:r>
        <w:rPr>
          <w:rFonts w:ascii="宋体" w:eastAsia="宋体" w:hAnsi="宋体"/>
          <w:szCs w:val="21"/>
        </w:rPr>
        <w:t>10</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任何人或任何组织在标前会议时向投标人提供的任何书面资料或口头承诺，未经采购代理机构在网上发布或书面通知，均作无效处理。</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未参与标前会议不作为否定投标人资格的理由。</w:t>
      </w:r>
    </w:p>
    <w:p>
      <w:pPr>
        <w:spacing w:line="360" w:lineRule="auto"/>
        <w:ind w:firstLine="470" w:firstLineChars="196"/>
        <w:rPr>
          <w:rFonts w:ascii="宋体" w:eastAsia="宋体" w:hAnsi="宋体"/>
          <w:szCs w:val="21"/>
        </w:rPr>
      </w:pPr>
    </w:p>
    <w:p>
      <w:pPr>
        <w:spacing w:line="360" w:lineRule="auto"/>
        <w:ind w:firstLine="470" w:firstLineChars="196"/>
        <w:rPr>
          <w:rFonts w:ascii="宋体" w:eastAsia="宋体" w:hAnsi="宋体"/>
          <w:szCs w:val="21"/>
        </w:rPr>
      </w:pPr>
    </w:p>
    <w:p>
      <w:pPr>
        <w:pStyle w:val="Heading2"/>
        <w:spacing w:line="360" w:lineRule="auto"/>
        <w:rPr>
          <w:kern w:val="2"/>
        </w:rPr>
      </w:pPr>
      <w:bookmarkStart w:id="106" w:name="bt招标文件"/>
      <w:bookmarkEnd w:id="106"/>
      <w:bookmarkStart w:id="107" w:name="_Toc73521644"/>
      <w:bookmarkStart w:id="108" w:name="_Toc73521556"/>
      <w:bookmarkStart w:id="109" w:name="_Toc101074878"/>
      <w:bookmarkStart w:id="110" w:name="_Toc73518126"/>
      <w:bookmarkStart w:id="111" w:name="_Toc100052373"/>
      <w:bookmarkStart w:id="112" w:name="_Toc73517648"/>
      <w:bookmarkStart w:id="113" w:name="_Toc73517649"/>
      <w:bookmarkStart w:id="114" w:name="_Toc100052374"/>
      <w:bookmarkStart w:id="115" w:name="_Toc73518127"/>
      <w:bookmarkStart w:id="116" w:name="_Toc73521645"/>
      <w:bookmarkStart w:id="117" w:name="_Toc73521557"/>
      <w:r>
        <w:rPr>
          <w:rFonts w:hint="eastAsia"/>
          <w:kern w:val="2"/>
        </w:rPr>
        <w:t>第二章  招标文件</w:t>
      </w:r>
      <w:bookmarkEnd w:id="107"/>
      <w:bookmarkEnd w:id="108"/>
      <w:bookmarkEnd w:id="109"/>
      <w:bookmarkEnd w:id="110"/>
      <w:bookmarkEnd w:id="111"/>
      <w:bookmarkEnd w:id="112"/>
    </w:p>
    <w:p>
      <w:pPr>
        <w:spacing w:line="360" w:lineRule="auto"/>
        <w:rPr>
          <w:rFonts w:ascii="宋体" w:eastAsia="宋体" w:hAnsi="宋体"/>
          <w:b/>
          <w:bCs/>
          <w:szCs w:val="21"/>
        </w:rPr>
      </w:pPr>
      <w:bookmarkEnd w:id="113"/>
      <w:bookmarkEnd w:id="114"/>
      <w:bookmarkEnd w:id="115"/>
      <w:bookmarkEnd w:id="116"/>
      <w:bookmarkEnd w:id="117"/>
      <w:bookmarkStart w:id="118" w:name="_Toc73518130"/>
      <w:bookmarkStart w:id="119" w:name="_Toc101074879"/>
      <w:bookmarkStart w:id="120" w:name="_Toc73521560"/>
      <w:bookmarkStart w:id="121" w:name="_Toc73521648"/>
      <w:bookmarkStart w:id="122" w:name="_Toc73517652"/>
      <w:bookmarkStart w:id="123" w:name="_Toc100052377"/>
      <w:r>
        <w:rPr>
          <w:rFonts w:ascii="宋体" w:eastAsia="宋体" w:hAnsi="宋体" w:hint="eastAsia"/>
          <w:b/>
          <w:bCs/>
          <w:szCs w:val="21"/>
        </w:rPr>
        <w:t>1</w:t>
      </w:r>
      <w:r>
        <w:rPr>
          <w:rFonts w:ascii="宋体" w:eastAsia="宋体" w:hAnsi="宋体"/>
          <w:b/>
          <w:bCs/>
          <w:szCs w:val="21"/>
        </w:rPr>
        <w:t>1</w:t>
      </w:r>
      <w:r>
        <w:rPr>
          <w:rFonts w:ascii="宋体" w:eastAsia="宋体" w:hAnsi="宋体" w:hint="eastAsia"/>
          <w:b/>
          <w:bCs/>
          <w:szCs w:val="21"/>
        </w:rPr>
        <w:t>．</w:t>
      </w:r>
      <w:bookmarkStart w:id="124" w:name="_Hlk72399819"/>
      <w:r>
        <w:rPr>
          <w:rFonts w:ascii="宋体" w:eastAsia="宋体" w:hAnsi="宋体" w:hint="eastAsia"/>
          <w:b/>
          <w:bCs/>
          <w:szCs w:val="21"/>
        </w:rPr>
        <w:t>招标文件的编制与组成</w:t>
      </w:r>
    </w:p>
    <w:p>
      <w:pPr>
        <w:snapToGrid w:val="0"/>
        <w:spacing w:line="360" w:lineRule="auto"/>
        <w:ind w:firstLine="480" w:firstLineChars="20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.1招标文件除以下内容外，采购代理机构在招标期间发出的澄清或修改等相关公告或通知内容，均是招标文件的组成部分，对投标人起约束作用；</w:t>
      </w:r>
    </w:p>
    <w:p>
      <w:pPr>
        <w:spacing w:line="360" w:lineRule="auto"/>
        <w:ind w:firstLine="470" w:firstLineChars="196"/>
        <w:rPr>
          <w:rFonts w:ascii="宋体" w:eastAsia="宋体" w:hAnsi="宋体"/>
          <w:szCs w:val="21"/>
        </w:rPr>
      </w:pPr>
      <w:r>
        <w:rPr>
          <w:rFonts w:ascii="宋体" w:eastAsia="宋体" w:hAnsi="宋体" w:hint="eastAsia"/>
          <w:szCs w:val="21"/>
        </w:rPr>
        <w:t>招标文件包括下列内容：</w:t>
      </w:r>
    </w:p>
    <w:p>
      <w:pPr>
        <w:spacing w:line="360" w:lineRule="auto"/>
        <w:ind w:left="480" w:firstLine="470" w:leftChars="200" w:firstLineChars="196"/>
        <w:rPr>
          <w:rFonts w:ascii="宋体" w:eastAsia="宋体" w:hAnsi="宋体"/>
          <w:b/>
          <w:szCs w:val="21"/>
        </w:rPr>
      </w:pPr>
      <w:r>
        <w:rPr>
          <w:rFonts w:ascii="宋体" w:eastAsia="宋体" w:hAnsi="宋体" w:hint="eastAsia"/>
          <w:b/>
          <w:szCs w:val="21"/>
        </w:rPr>
        <w:t>第一册  专用条款</w:t>
      </w:r>
    </w:p>
    <w:p>
      <w:pPr>
        <w:spacing w:line="360" w:lineRule="auto"/>
        <w:ind w:left="1234" w:leftChars="514"/>
        <w:rPr>
          <w:rFonts w:ascii="宋体" w:eastAsia="宋体" w:hAnsi="宋体"/>
          <w:b/>
          <w:szCs w:val="21"/>
        </w:rPr>
      </w:pPr>
      <w:r>
        <w:rPr>
          <w:rFonts w:ascii="宋体" w:eastAsia="宋体" w:hAnsi="宋体" w:hint="eastAsia"/>
          <w:b/>
          <w:szCs w:val="21"/>
        </w:rPr>
        <w:t>关键信息</w:t>
      </w:r>
    </w:p>
    <w:p>
      <w:pPr>
        <w:snapToGrid w:val="0"/>
        <w:spacing w:line="360" w:lineRule="auto"/>
        <w:ind w:firstLine="480" w:firstLineChars="200"/>
        <w:rPr>
          <w:rFonts w:ascii="宋体" w:eastAsia="宋体" w:hAnsi="宋体"/>
          <w:szCs w:val="21"/>
        </w:rPr>
      </w:pPr>
      <w:r>
        <w:rPr>
          <w:rFonts w:ascii="宋体" w:eastAsia="宋体" w:hAnsi="宋体" w:hint="eastAsia"/>
          <w:szCs w:val="21"/>
        </w:rPr>
        <w:t>第一章  招标公告</w:t>
      </w:r>
    </w:p>
    <w:p>
      <w:pPr>
        <w:snapToGrid w:val="0"/>
        <w:spacing w:line="360" w:lineRule="auto"/>
        <w:ind w:firstLine="480" w:firstLineChars="200"/>
        <w:rPr>
          <w:rFonts w:ascii="宋体" w:eastAsia="宋体" w:hAnsi="宋体"/>
          <w:szCs w:val="21"/>
        </w:rPr>
      </w:pPr>
      <w:r>
        <w:rPr>
          <w:rFonts w:ascii="宋体" w:eastAsia="宋体" w:hAnsi="宋体" w:hint="eastAsia"/>
          <w:szCs w:val="21"/>
        </w:rPr>
        <w:t>第二章  对通用条款的补充内容及其他关键信息</w:t>
      </w:r>
    </w:p>
    <w:p>
      <w:pPr>
        <w:snapToGrid w:val="0"/>
        <w:spacing w:line="360" w:lineRule="auto"/>
        <w:ind w:firstLine="480" w:firstLineChars="200"/>
        <w:rPr>
          <w:rFonts w:ascii="宋体" w:eastAsia="宋体" w:hAnsi="宋体"/>
          <w:szCs w:val="21"/>
        </w:rPr>
      </w:pPr>
      <w:r>
        <w:rPr>
          <w:rFonts w:ascii="宋体" w:eastAsia="宋体" w:hAnsi="宋体" w:hint="eastAsia"/>
          <w:szCs w:val="21"/>
        </w:rPr>
        <w:t>第三章  用户需求书</w:t>
      </w:r>
    </w:p>
    <w:p>
      <w:pPr>
        <w:snapToGrid w:val="0"/>
        <w:spacing w:line="360" w:lineRule="auto"/>
        <w:ind w:firstLine="480" w:firstLineChars="200"/>
        <w:rPr>
          <w:rFonts w:ascii="宋体" w:eastAsia="宋体" w:hAnsi="宋体"/>
          <w:szCs w:val="21"/>
        </w:rPr>
      </w:pPr>
      <w:r>
        <w:rPr>
          <w:rFonts w:ascii="宋体" w:eastAsia="宋体" w:hAnsi="宋体" w:hint="eastAsia"/>
          <w:szCs w:val="21"/>
        </w:rPr>
        <w:t>第四章  投标文件格式及附件</w:t>
      </w:r>
    </w:p>
    <w:p>
      <w:pPr>
        <w:snapToGrid w:val="0"/>
        <w:spacing w:line="360" w:lineRule="auto"/>
        <w:ind w:firstLine="480" w:firstLineChars="200"/>
        <w:rPr>
          <w:rFonts w:ascii="宋体" w:eastAsia="宋体" w:hAnsi="宋体"/>
          <w:szCs w:val="21"/>
        </w:rPr>
      </w:pPr>
      <w:r>
        <w:rPr>
          <w:rFonts w:ascii="宋体" w:eastAsia="宋体" w:hAnsi="宋体" w:hint="eastAsia"/>
          <w:szCs w:val="21"/>
        </w:rPr>
        <w:t>第五章  合同条款及格式</w:t>
      </w:r>
    </w:p>
    <w:p>
      <w:pPr>
        <w:spacing w:line="360" w:lineRule="auto"/>
        <w:ind w:left="480" w:firstLine="470" w:leftChars="200" w:firstLineChars="196"/>
        <w:rPr>
          <w:rFonts w:ascii="宋体" w:eastAsia="宋体" w:hAnsi="宋体"/>
          <w:b/>
          <w:szCs w:val="21"/>
        </w:rPr>
      </w:pPr>
      <w:r>
        <w:rPr>
          <w:rFonts w:ascii="宋体" w:eastAsia="宋体" w:hAnsi="宋体" w:hint="eastAsia"/>
          <w:b/>
          <w:szCs w:val="21"/>
        </w:rPr>
        <w:t>第二册  通用条款</w:t>
      </w:r>
    </w:p>
    <w:p>
      <w:pPr>
        <w:snapToGrid w:val="0"/>
        <w:spacing w:line="360" w:lineRule="auto"/>
        <w:ind w:firstLine="480" w:firstLineChars="200"/>
        <w:rPr>
          <w:rFonts w:ascii="宋体" w:eastAsia="宋体" w:hAnsi="宋体"/>
          <w:szCs w:val="21"/>
        </w:rPr>
      </w:pPr>
      <w:r>
        <w:rPr>
          <w:rFonts w:ascii="宋体" w:eastAsia="宋体" w:hAnsi="宋体" w:hint="eastAsia"/>
          <w:szCs w:val="21"/>
        </w:rPr>
        <w:t>第一章  总则</w:t>
      </w:r>
    </w:p>
    <w:p>
      <w:pPr>
        <w:snapToGrid w:val="0"/>
        <w:spacing w:line="360" w:lineRule="auto"/>
        <w:ind w:firstLine="480" w:firstLineChars="200"/>
        <w:rPr>
          <w:rFonts w:ascii="宋体" w:eastAsia="宋体" w:hAnsi="宋体"/>
          <w:szCs w:val="21"/>
        </w:rPr>
      </w:pPr>
      <w:r>
        <w:rPr>
          <w:rFonts w:ascii="宋体" w:eastAsia="宋体" w:hAnsi="宋体" w:hint="eastAsia"/>
          <w:szCs w:val="21"/>
        </w:rPr>
        <w:t>第二章  招标文件</w:t>
      </w:r>
    </w:p>
    <w:p>
      <w:pPr>
        <w:snapToGrid w:val="0"/>
        <w:spacing w:line="360" w:lineRule="auto"/>
        <w:ind w:firstLine="480" w:firstLineChars="200"/>
        <w:rPr>
          <w:rFonts w:ascii="宋体" w:eastAsia="宋体" w:hAnsi="宋体"/>
          <w:szCs w:val="21"/>
        </w:rPr>
      </w:pPr>
      <w:r>
        <w:rPr>
          <w:rFonts w:ascii="宋体" w:eastAsia="宋体" w:hAnsi="宋体" w:hint="eastAsia"/>
          <w:szCs w:val="21"/>
        </w:rPr>
        <w:t>第三章  投标文件的编制</w:t>
      </w:r>
    </w:p>
    <w:p>
      <w:pPr>
        <w:snapToGrid w:val="0"/>
        <w:spacing w:line="360" w:lineRule="auto"/>
        <w:ind w:firstLine="480" w:firstLineChars="200"/>
        <w:rPr>
          <w:rFonts w:ascii="宋体" w:eastAsia="宋体" w:hAnsi="宋体"/>
          <w:szCs w:val="21"/>
        </w:rPr>
      </w:pPr>
      <w:r>
        <w:rPr>
          <w:rFonts w:ascii="宋体" w:eastAsia="宋体" w:hAnsi="宋体" w:hint="eastAsia"/>
          <w:szCs w:val="21"/>
        </w:rPr>
        <w:t>第四章  投标文件的递交</w:t>
      </w:r>
    </w:p>
    <w:p>
      <w:pPr>
        <w:snapToGrid w:val="0"/>
        <w:spacing w:line="360" w:lineRule="auto"/>
        <w:ind w:firstLine="480" w:firstLineChars="200"/>
        <w:rPr>
          <w:rFonts w:ascii="宋体" w:eastAsia="宋体" w:hAnsi="宋体"/>
          <w:szCs w:val="21"/>
        </w:rPr>
      </w:pPr>
      <w:r>
        <w:rPr>
          <w:rFonts w:ascii="宋体" w:eastAsia="宋体" w:hAnsi="宋体" w:hint="eastAsia"/>
          <w:szCs w:val="21"/>
        </w:rPr>
        <w:t>第五章  开标</w:t>
      </w:r>
    </w:p>
    <w:p>
      <w:pPr>
        <w:snapToGrid w:val="0"/>
        <w:spacing w:line="360" w:lineRule="auto"/>
        <w:ind w:firstLine="480" w:firstLineChars="200"/>
        <w:rPr>
          <w:rFonts w:ascii="宋体" w:eastAsia="宋体" w:hAnsi="宋体"/>
          <w:szCs w:val="21"/>
        </w:rPr>
      </w:pPr>
      <w:r>
        <w:rPr>
          <w:rFonts w:ascii="宋体" w:eastAsia="宋体" w:hAnsi="宋体" w:hint="eastAsia"/>
          <w:szCs w:val="21"/>
        </w:rPr>
        <w:t>第六章  评审要求</w:t>
      </w:r>
    </w:p>
    <w:p>
      <w:pPr>
        <w:snapToGrid w:val="0"/>
        <w:spacing w:line="360" w:lineRule="auto"/>
        <w:ind w:firstLine="480" w:firstLineChars="200"/>
        <w:rPr>
          <w:rFonts w:ascii="宋体" w:eastAsia="宋体" w:hAnsi="宋体"/>
          <w:szCs w:val="21"/>
        </w:rPr>
      </w:pPr>
      <w:r>
        <w:rPr>
          <w:rFonts w:ascii="宋体" w:eastAsia="宋体" w:hAnsi="宋体" w:hint="eastAsia"/>
          <w:szCs w:val="21"/>
        </w:rPr>
        <w:t>第七章  评审程序及评审方法</w:t>
      </w:r>
    </w:p>
    <w:p>
      <w:pPr>
        <w:snapToGrid w:val="0"/>
        <w:spacing w:line="360" w:lineRule="auto"/>
        <w:ind w:firstLine="480" w:firstLineChars="200"/>
        <w:rPr>
          <w:rFonts w:ascii="宋体" w:eastAsia="宋体" w:hAnsi="宋体"/>
          <w:szCs w:val="21"/>
        </w:rPr>
      </w:pPr>
      <w:r>
        <w:rPr>
          <w:rFonts w:ascii="宋体" w:eastAsia="宋体" w:hAnsi="宋体" w:hint="eastAsia"/>
          <w:szCs w:val="21"/>
        </w:rPr>
        <w:t>第八章  定标及公示</w:t>
      </w:r>
    </w:p>
    <w:p>
      <w:pPr>
        <w:snapToGrid w:val="0"/>
        <w:spacing w:line="360" w:lineRule="auto"/>
        <w:ind w:firstLine="480" w:firstLineChars="200"/>
        <w:rPr>
          <w:rFonts w:ascii="宋体" w:eastAsia="宋体" w:hAnsi="宋体"/>
          <w:szCs w:val="21"/>
        </w:rPr>
      </w:pPr>
      <w:r>
        <w:rPr>
          <w:rFonts w:ascii="宋体" w:eastAsia="宋体" w:hAnsi="宋体" w:hint="eastAsia"/>
          <w:szCs w:val="21"/>
        </w:rPr>
        <w:t>第九章  公开招标失败的后续处理</w:t>
      </w:r>
    </w:p>
    <w:p>
      <w:pPr>
        <w:snapToGrid w:val="0"/>
        <w:spacing w:line="360" w:lineRule="auto"/>
        <w:ind w:firstLine="480" w:firstLineChars="200"/>
        <w:rPr>
          <w:rFonts w:ascii="宋体" w:eastAsia="宋体" w:hAnsi="宋体"/>
          <w:szCs w:val="21"/>
        </w:rPr>
      </w:pPr>
      <w:r>
        <w:rPr>
          <w:rFonts w:ascii="宋体" w:eastAsia="宋体" w:hAnsi="宋体" w:hint="eastAsia"/>
          <w:szCs w:val="21"/>
        </w:rPr>
        <w:t>第十章  合同的授予与备案</w:t>
      </w:r>
    </w:p>
    <w:p>
      <w:pPr>
        <w:snapToGrid w:val="0"/>
        <w:spacing w:line="360" w:lineRule="auto"/>
        <w:ind w:firstLine="480" w:firstLineChars="200"/>
        <w:rPr>
          <w:rFonts w:ascii="宋体" w:eastAsia="宋体" w:hAnsi="宋体"/>
          <w:szCs w:val="21"/>
        </w:rPr>
      </w:pPr>
      <w:r>
        <w:rPr>
          <w:rFonts w:ascii="宋体" w:eastAsia="宋体" w:hAnsi="宋体" w:hint="eastAsia"/>
          <w:szCs w:val="21"/>
        </w:rPr>
        <w:t>第十一章  质疑处理</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auto"/>
        <w:rPr>
          <w:rFonts w:ascii="宋体" w:eastAsia="宋体" w:hAnsi="宋体"/>
          <w:b/>
          <w:bCs/>
          <w:szCs w:val="21"/>
        </w:rPr>
      </w:pPr>
      <w:r>
        <w:rPr>
          <w:rFonts w:ascii="宋体" w:eastAsia="宋体" w:hAnsi="宋体" w:hint="eastAsia"/>
          <w:b/>
          <w:bCs/>
          <w:szCs w:val="21"/>
        </w:rPr>
        <w:t>1</w:t>
      </w:r>
      <w:r>
        <w:rPr>
          <w:rFonts w:ascii="宋体" w:eastAsia="宋体" w:hAnsi="宋体"/>
          <w:b/>
          <w:bCs/>
          <w:szCs w:val="21"/>
        </w:rPr>
        <w:t>2</w:t>
      </w:r>
      <w:r>
        <w:rPr>
          <w:rFonts w:ascii="宋体" w:eastAsia="宋体" w:hAnsi="宋体" w:hint="eastAsia"/>
          <w:b/>
          <w:bCs/>
          <w:szCs w:val="21"/>
        </w:rPr>
        <w:t>．招标文件的澄清</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.1招标文件澄清的目的是澄清、解答投标人在查阅招标文件后或现场踏勘中可能提出的与投标有关的疑问或询问。</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.2投标人如对招标文件内容有疑问，应当在招标公告规定的澄清（提问）截止时间前以网上提问的形式通过网上政府采购系统提交采购代理机构。</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eastAsia="宋体" w:hAnsi="宋体"/>
          <w:szCs w:val="21"/>
        </w:rPr>
        <w:t>3.3</w:t>
      </w:r>
      <w:r>
        <w:rPr>
          <w:rFonts w:ascii="宋体" w:eastAsia="宋体" w:hAnsi="宋体" w:hint="eastAsia"/>
          <w:szCs w:val="21"/>
        </w:rPr>
        <w:t>、1</w:t>
      </w:r>
      <w:r>
        <w:rPr>
          <w:rFonts w:ascii="宋体" w:eastAsia="宋体" w:hAnsi="宋体"/>
          <w:szCs w:val="21"/>
        </w:rPr>
        <w:t>3.4</w:t>
      </w:r>
      <w:r>
        <w:rPr>
          <w:rFonts w:ascii="宋体" w:eastAsia="宋体" w:hAnsi="宋体" w:hint="eastAsia"/>
          <w:szCs w:val="21"/>
        </w:rPr>
        <w:t>款规定执行。</w:t>
      </w:r>
    </w:p>
    <w:p>
      <w:pPr>
        <w:spacing w:line="360" w:lineRule="auto"/>
        <w:rPr>
          <w:rFonts w:ascii="宋体" w:eastAsia="宋体" w:hAnsi="宋体"/>
          <w:b/>
          <w:bCs/>
          <w:szCs w:val="21"/>
        </w:rPr>
      </w:pPr>
      <w:r>
        <w:rPr>
          <w:rFonts w:ascii="宋体" w:eastAsia="宋体" w:hAnsi="宋体"/>
          <w:b/>
          <w:bCs/>
          <w:szCs w:val="21"/>
        </w:rPr>
        <w:t>1</w:t>
      </w:r>
      <w:r>
        <w:rPr>
          <w:rFonts w:ascii="宋体" w:eastAsia="宋体" w:hAnsi="宋体" w:hint="eastAsia"/>
          <w:b/>
          <w:bCs/>
          <w:szCs w:val="21"/>
        </w:rPr>
        <w:t>3．招标文件的修改</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3.1招标文件发出后，在投标截止日期前任何时候，确需要变更招标文件内容的，采购代理机构可主动或在解答投标人提出的澄清问题时对招标文件进行修改。</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3.2招标文件的修改以书面形式（包括采购代理机构网站发布方式，如更正公告等）发送给所有投标人，招标文件的修改内容作为招标文件的组成部分，并具有约束力。</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124"/>
    </w:p>
    <w:p>
      <w:pPr>
        <w:spacing w:line="360" w:lineRule="auto"/>
        <w:ind w:firstLine="470" w:firstLineChars="196"/>
        <w:rPr>
          <w:rFonts w:ascii="宋体" w:eastAsia="宋体" w:hAnsi="宋体"/>
          <w:szCs w:val="21"/>
        </w:rPr>
      </w:pPr>
    </w:p>
    <w:p>
      <w:pPr>
        <w:spacing w:line="360" w:lineRule="auto"/>
        <w:ind w:firstLine="470" w:firstLineChars="196"/>
        <w:rPr>
          <w:rFonts w:ascii="宋体" w:eastAsia="宋体" w:hAnsi="宋体"/>
          <w:szCs w:val="21"/>
        </w:rPr>
      </w:pPr>
    </w:p>
    <w:p>
      <w:pPr>
        <w:pStyle w:val="Heading2"/>
        <w:spacing w:line="360" w:lineRule="auto"/>
        <w:rPr>
          <w:kern w:val="2"/>
        </w:rPr>
      </w:pPr>
      <w:bookmarkEnd w:id="118"/>
      <w:bookmarkEnd w:id="119"/>
      <w:bookmarkEnd w:id="120"/>
      <w:bookmarkEnd w:id="121"/>
      <w:bookmarkEnd w:id="122"/>
      <w:bookmarkEnd w:id="123"/>
      <w:bookmarkStart w:id="125" w:name="_Toc100052378"/>
      <w:bookmarkStart w:id="126" w:name="_Toc73518131"/>
      <w:bookmarkStart w:id="127" w:name="_Toc60631634"/>
      <w:bookmarkStart w:id="128" w:name="_Toc73517653"/>
      <w:bookmarkStart w:id="129" w:name="_Toc60560639"/>
      <w:bookmarkStart w:id="130" w:name="_Toc73521649"/>
      <w:bookmarkStart w:id="131" w:name="_Toc73521561"/>
      <w:r>
        <w:rPr>
          <w:rFonts w:hint="eastAsia"/>
          <w:kern w:val="2"/>
        </w:rPr>
        <w:t>第三章  投标文件的编制</w:t>
      </w:r>
    </w:p>
    <w:p>
      <w:pPr>
        <w:spacing w:line="360" w:lineRule="auto"/>
        <w:rPr>
          <w:rFonts w:ascii="宋体" w:eastAsia="宋体" w:hAnsi="宋体"/>
          <w:b/>
          <w:bCs/>
          <w:szCs w:val="21"/>
        </w:rPr>
      </w:pPr>
      <w:bookmarkEnd w:id="125"/>
      <w:bookmarkEnd w:id="126"/>
      <w:bookmarkEnd w:id="127"/>
      <w:bookmarkEnd w:id="128"/>
      <w:bookmarkEnd w:id="129"/>
      <w:bookmarkEnd w:id="130"/>
      <w:bookmarkEnd w:id="131"/>
      <w:r>
        <w:rPr>
          <w:rFonts w:ascii="宋体" w:eastAsia="宋体" w:hAnsi="宋体" w:hint="eastAsia"/>
          <w:b/>
          <w:bCs/>
          <w:szCs w:val="21"/>
        </w:rPr>
        <w:t>14．</w:t>
      </w:r>
      <w:bookmarkStart w:id="132" w:name="_Hlk72400236"/>
      <w:r>
        <w:rPr>
          <w:rFonts w:ascii="宋体" w:eastAsia="宋体" w:hAnsi="宋体" w:hint="eastAsia"/>
          <w:b/>
          <w:bCs/>
          <w:szCs w:val="21"/>
        </w:rPr>
        <w:t>投标文件的语言及度量单位</w:t>
      </w:r>
    </w:p>
    <w:p>
      <w:pPr>
        <w:spacing w:line="360" w:lineRule="auto"/>
        <w:ind w:firstLine="470" w:firstLineChars="196"/>
        <w:rPr>
          <w:rFonts w:ascii="宋体" w:eastAsia="宋体" w:hAnsi="宋体"/>
          <w:szCs w:val="21"/>
        </w:rPr>
      </w:pPr>
      <w:r>
        <w:rPr>
          <w:rFonts w:ascii="宋体" w:eastAsia="宋体" w:hAnsi="宋体" w:hint="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60" w:lineRule="auto"/>
        <w:ind w:firstLine="470" w:firstLineChars="196"/>
        <w:rPr>
          <w:rFonts w:ascii="宋体" w:eastAsia="宋体" w:hAnsi="宋体"/>
          <w:szCs w:val="21"/>
        </w:rPr>
      </w:pPr>
      <w:r>
        <w:rPr>
          <w:rFonts w:ascii="宋体" w:eastAsia="宋体" w:hAnsi="宋体" w:hint="eastAsia"/>
          <w:szCs w:val="21"/>
        </w:rPr>
        <w:t>14.2 除技术规范另有规定外，投标文件使用的度量单位，均采用中华人民共和国法定计量单位。</w:t>
      </w:r>
    </w:p>
    <w:p>
      <w:pPr>
        <w:spacing w:line="360" w:lineRule="auto"/>
        <w:rPr>
          <w:rFonts w:ascii="宋体" w:eastAsia="宋体" w:hAnsi="宋体"/>
          <w:b/>
          <w:bCs/>
          <w:szCs w:val="21"/>
        </w:rPr>
      </w:pPr>
      <w:bookmarkEnd w:id="132"/>
      <w:r>
        <w:rPr>
          <w:rFonts w:ascii="宋体" w:eastAsia="宋体" w:hAnsi="宋体" w:hint="eastAsia"/>
          <w:b/>
          <w:bCs/>
          <w:szCs w:val="21"/>
        </w:rPr>
        <w:t>15．</w:t>
      </w:r>
      <w:bookmarkStart w:id="133" w:name="_Hlk72401567"/>
      <w:r>
        <w:rPr>
          <w:rFonts w:ascii="宋体" w:eastAsia="宋体" w:hAnsi="宋体" w:hint="eastAsia"/>
          <w:b/>
          <w:bCs/>
          <w:szCs w:val="21"/>
        </w:rPr>
        <w:t>投标文件的组成</w:t>
      </w:r>
    </w:p>
    <w:p>
      <w:pPr>
        <w:spacing w:line="360" w:lineRule="auto"/>
        <w:ind w:firstLine="470" w:firstLineChars="196"/>
        <w:rPr>
          <w:rFonts w:ascii="宋体" w:eastAsia="宋体" w:hAnsi="宋体"/>
          <w:szCs w:val="21"/>
        </w:rPr>
      </w:pPr>
      <w:r>
        <w:rPr>
          <w:rFonts w:ascii="宋体" w:eastAsia="宋体" w:hAnsi="宋体" w:hint="eastAsia"/>
          <w:szCs w:val="21"/>
        </w:rPr>
        <w:t>具体内容在招标文件专用条款中进行规定。</w:t>
      </w:r>
    </w:p>
    <w:p>
      <w:pPr>
        <w:spacing w:line="360" w:lineRule="auto"/>
        <w:rPr>
          <w:rFonts w:ascii="宋体" w:eastAsia="宋体" w:hAnsi="宋体"/>
          <w:b/>
          <w:bCs/>
          <w:szCs w:val="21"/>
        </w:rPr>
      </w:pPr>
      <w:r>
        <w:rPr>
          <w:rFonts w:ascii="宋体" w:eastAsia="宋体" w:hAnsi="宋体"/>
          <w:b/>
          <w:bCs/>
          <w:szCs w:val="21"/>
        </w:rPr>
        <w:t>16．投标文件格式</w:t>
      </w:r>
    </w:p>
    <w:p>
      <w:pPr>
        <w:spacing w:line="360" w:lineRule="auto"/>
        <w:ind w:firstLine="470" w:firstLineChars="196"/>
        <w:rPr>
          <w:rFonts w:ascii="宋体" w:eastAsia="宋体" w:hAnsi="宋体"/>
          <w:szCs w:val="21"/>
        </w:rPr>
      </w:pPr>
      <w:r>
        <w:rPr>
          <w:rFonts w:ascii="宋体" w:eastAsia="宋体" w:hAnsi="宋体" w:hint="eastAsia"/>
          <w:szCs w:val="21"/>
        </w:rPr>
        <w:t>投标文件包括本通用条款第</w:t>
      </w:r>
      <w:r>
        <w:rPr>
          <w:rFonts w:ascii="宋体" w:eastAsia="宋体" w:hAnsi="宋体"/>
          <w:szCs w:val="21"/>
        </w:rPr>
        <w:t>15条中规定的内容。如招标文件提供了投标文件格式，则</w:t>
      </w:r>
      <w:r>
        <w:rPr>
          <w:rFonts w:ascii="宋体" w:eastAsia="宋体" w:hAnsi="宋体" w:hint="eastAsia"/>
          <w:b/>
          <w:bCs/>
          <w:szCs w:val="21"/>
        </w:rPr>
        <w:t>投标人提交的投标文件应毫无例外地使用招标文件所提供的相应格式</w:t>
      </w:r>
      <w:r>
        <w:rPr>
          <w:rFonts w:ascii="宋体" w:eastAsia="宋体" w:hAnsi="宋体" w:hint="eastAsia"/>
          <w:szCs w:val="21"/>
        </w:rPr>
        <w:t>（表格均可按同样格式扩展）。</w:t>
      </w:r>
    </w:p>
    <w:p>
      <w:pPr>
        <w:spacing w:line="360" w:lineRule="auto"/>
        <w:rPr>
          <w:rFonts w:ascii="宋体" w:eastAsia="宋体" w:hAnsi="宋体"/>
          <w:b/>
          <w:bCs/>
          <w:szCs w:val="21"/>
        </w:rPr>
      </w:pPr>
      <w:r>
        <w:rPr>
          <w:rFonts w:ascii="宋体" w:eastAsia="宋体" w:hAnsi="宋体" w:hint="eastAsia"/>
          <w:b/>
          <w:bCs/>
          <w:szCs w:val="21"/>
        </w:rPr>
        <w:t>17．投标货币</w:t>
      </w:r>
    </w:p>
    <w:p>
      <w:pPr>
        <w:spacing w:line="360" w:lineRule="auto"/>
        <w:ind w:firstLine="470" w:firstLineChars="196"/>
        <w:rPr>
          <w:rFonts w:ascii="宋体" w:eastAsia="宋体" w:hAnsi="宋体"/>
          <w:szCs w:val="21"/>
        </w:rPr>
      </w:pPr>
      <w:r>
        <w:rPr>
          <w:rFonts w:ascii="宋体" w:eastAsia="宋体" w:hAnsi="宋体" w:hint="eastAsia"/>
          <w:szCs w:val="21"/>
        </w:rPr>
        <w:t>本项目的投标报价应以人民币计。</w:t>
      </w:r>
    </w:p>
    <w:p>
      <w:pPr>
        <w:spacing w:line="360" w:lineRule="auto"/>
        <w:rPr>
          <w:rFonts w:ascii="宋体" w:eastAsia="宋体" w:hAnsi="宋体"/>
          <w:b/>
          <w:bCs/>
          <w:szCs w:val="21"/>
        </w:rPr>
      </w:pPr>
      <w:bookmarkEnd w:id="133"/>
      <w:r>
        <w:rPr>
          <w:rFonts w:ascii="宋体" w:eastAsia="宋体" w:hAnsi="宋体" w:hint="eastAsia"/>
          <w:b/>
          <w:bCs/>
          <w:szCs w:val="21"/>
        </w:rPr>
        <w:t>18．</w:t>
      </w:r>
      <w:bookmarkStart w:id="134" w:name="_Hlk72401735"/>
      <w:r>
        <w:rPr>
          <w:rFonts w:ascii="宋体" w:eastAsia="宋体" w:hAnsi="宋体" w:hint="eastAsia"/>
          <w:b/>
          <w:bCs/>
          <w:szCs w:val="21"/>
        </w:rPr>
        <w:t>证明投标文件投标技术方案的合格性和符合招标文件规定的文件要求</w:t>
      </w:r>
    </w:p>
    <w:p>
      <w:pPr>
        <w:spacing w:line="360" w:lineRule="auto"/>
        <w:ind w:firstLine="470" w:firstLineChars="196"/>
        <w:rPr>
          <w:rFonts w:ascii="宋体" w:eastAsia="宋体" w:hAnsi="宋体"/>
          <w:szCs w:val="21"/>
        </w:rPr>
      </w:pPr>
      <w:r>
        <w:rPr>
          <w:rFonts w:ascii="宋体" w:eastAsia="宋体" w:hAnsi="宋体" w:hint="eastAsia"/>
          <w:szCs w:val="21"/>
        </w:rPr>
        <w:t>18</w:t>
      </w:r>
      <w:r>
        <w:rPr>
          <w:rFonts w:ascii="宋体" w:eastAsia="宋体" w:hAnsi="宋体"/>
          <w:szCs w:val="21"/>
        </w:rPr>
        <w:t xml:space="preserve">.1 </w:t>
      </w:r>
      <w:r>
        <w:rPr>
          <w:rFonts w:ascii="宋体" w:eastAsia="宋体" w:hAnsi="宋体" w:hint="eastAsia"/>
          <w:szCs w:val="21"/>
        </w:rPr>
        <w:t>投标人应提交证明文件，证明其投标技术方案项下的货物和服务的合格性符合招标文件规定。该投标技术方案及其证明文件均作为投标文件组成部分。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 xml:space="preserve">.2 </w:t>
      </w:r>
      <w:r>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60" w:lineRule="auto"/>
        <w:ind w:firstLine="470" w:firstLineChars="196"/>
        <w:rPr>
          <w:rFonts w:ascii="宋体" w:eastAsia="宋体" w:hAnsi="宋体"/>
          <w:szCs w:val="21"/>
        </w:rPr>
      </w:pPr>
      <w:r>
        <w:rPr>
          <w:rFonts w:ascii="宋体" w:eastAsia="宋体" w:hAnsi="宋体" w:hint="eastAsia"/>
          <w:szCs w:val="21"/>
        </w:rPr>
        <w:t>18.2.1主要技术指标和性能的详细说明。</w:t>
      </w:r>
    </w:p>
    <w:p>
      <w:pPr>
        <w:spacing w:line="360" w:lineRule="auto"/>
        <w:ind w:firstLine="470" w:firstLineChars="196"/>
        <w:rPr>
          <w:rFonts w:ascii="宋体" w:eastAsia="宋体" w:hAnsi="宋体"/>
          <w:szCs w:val="21"/>
        </w:rPr>
      </w:pPr>
      <w:r>
        <w:rPr>
          <w:rFonts w:ascii="宋体" w:eastAsia="宋体" w:hAnsi="宋体" w:hint="eastAsia"/>
          <w:szCs w:val="21"/>
        </w:rPr>
        <w:t>18.2.</w:t>
      </w:r>
      <w:r>
        <w:rPr>
          <w:rFonts w:ascii="宋体" w:eastAsia="宋体" w:hAnsi="宋体"/>
          <w:szCs w:val="21"/>
        </w:rPr>
        <w:t>2</w:t>
      </w:r>
      <w:r>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p>
    <w:p>
      <w:pPr>
        <w:spacing w:line="360" w:lineRule="auto"/>
        <w:ind w:firstLine="470" w:firstLineChars="196"/>
        <w:rPr>
          <w:rFonts w:ascii="宋体" w:eastAsia="宋体" w:hAnsi="宋体"/>
          <w:szCs w:val="21"/>
        </w:rPr>
      </w:pPr>
      <w:r>
        <w:rPr>
          <w:rFonts w:ascii="宋体" w:eastAsia="宋体" w:hAnsi="宋体" w:hint="eastAsia"/>
          <w:szCs w:val="21"/>
        </w:rPr>
        <w:t>18.2.</w:t>
      </w:r>
      <w:r>
        <w:rPr>
          <w:rFonts w:ascii="宋体" w:eastAsia="宋体" w:hAnsi="宋体"/>
          <w:szCs w:val="21"/>
        </w:rPr>
        <w:t>3</w:t>
      </w:r>
      <w:r>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spacing w:line="360" w:lineRule="auto"/>
        <w:ind w:firstLine="470" w:firstLineChars="196"/>
        <w:rPr>
          <w:rFonts w:ascii="宋体" w:eastAsia="宋体" w:hAnsi="宋体"/>
          <w:szCs w:val="21"/>
        </w:rPr>
      </w:pPr>
      <w:r>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spacing w:line="360" w:lineRule="auto"/>
        <w:ind w:firstLine="470" w:firstLineChars="196"/>
        <w:rPr>
          <w:rFonts w:ascii="宋体" w:eastAsia="宋体" w:hAnsi="宋体"/>
          <w:szCs w:val="21"/>
        </w:rPr>
      </w:pPr>
      <w:r>
        <w:rPr>
          <w:rFonts w:ascii="宋体" w:eastAsia="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line="360" w:lineRule="auto"/>
        <w:ind w:firstLine="470" w:firstLineChars="196"/>
        <w:rPr>
          <w:rFonts w:ascii="宋体" w:eastAsia="宋体" w:hAnsi="宋体"/>
          <w:szCs w:val="21"/>
        </w:rPr>
      </w:pPr>
      <w:r>
        <w:rPr>
          <w:rFonts w:ascii="宋体" w:eastAsia="宋体" w:hAnsi="宋体" w:hint="eastAsia"/>
          <w:szCs w:val="21"/>
        </w:rPr>
        <w:t>18.3相关资料不符合18.2款要求的，评审委员会有权认定为投标技术方案不合格响应，其相关分数予以扣减或作投标无效处理。</w:t>
      </w:r>
    </w:p>
    <w:p>
      <w:pPr>
        <w:spacing w:line="360" w:lineRule="auto"/>
        <w:ind w:firstLine="470" w:firstLineChars="196"/>
        <w:rPr>
          <w:rFonts w:ascii="宋体" w:eastAsia="宋体" w:hAnsi="宋体"/>
          <w:szCs w:val="21"/>
        </w:rPr>
      </w:pPr>
      <w:r>
        <w:rPr>
          <w:rFonts w:ascii="宋体" w:eastAsia="宋体" w:hAnsi="宋体"/>
          <w:szCs w:val="21"/>
        </w:rPr>
        <w:t>1</w:t>
      </w:r>
      <w:r>
        <w:rPr>
          <w:rFonts w:ascii="宋体" w:eastAsia="宋体" w:hAnsi="宋体" w:hint="eastAsia"/>
          <w:szCs w:val="21"/>
        </w:rPr>
        <w:t>8</w:t>
      </w:r>
      <w:r>
        <w:rPr>
          <w:rFonts w:ascii="宋体" w:eastAsia="宋体" w:hAnsi="宋体"/>
          <w:szCs w:val="21"/>
        </w:rPr>
        <w:t>.</w:t>
      </w:r>
      <w:r>
        <w:rPr>
          <w:rFonts w:ascii="宋体" w:eastAsia="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spacing w:line="360" w:lineRule="auto"/>
        <w:ind w:firstLine="470" w:firstLineChars="196"/>
        <w:rPr>
          <w:rFonts w:ascii="宋体" w:eastAsia="宋体" w:hAnsi="宋体"/>
          <w:szCs w:val="21"/>
        </w:rPr>
      </w:pPr>
      <w:r>
        <w:rPr>
          <w:rFonts w:ascii="宋体" w:eastAsia="宋体" w:hAnsi="宋体" w:hint="eastAsia"/>
          <w:szCs w:val="21"/>
        </w:rPr>
        <w:t>18.5除非另有规定或说明，投标人对同一项目投标时，不得同时提供两套或两套以上的投标方案。</w:t>
      </w:r>
    </w:p>
    <w:p>
      <w:pPr>
        <w:spacing w:line="360" w:lineRule="auto"/>
        <w:rPr>
          <w:rFonts w:ascii="宋体" w:eastAsia="宋体" w:hAnsi="宋体"/>
          <w:b/>
          <w:bCs/>
          <w:szCs w:val="21"/>
        </w:rPr>
      </w:pPr>
      <w:bookmarkEnd w:id="134"/>
      <w:r>
        <w:rPr>
          <w:rFonts w:ascii="宋体" w:eastAsia="宋体" w:hAnsi="宋体" w:hint="eastAsia"/>
          <w:b/>
          <w:bCs/>
          <w:szCs w:val="21"/>
        </w:rPr>
        <w:t>19．</w:t>
      </w:r>
      <w:bookmarkStart w:id="135" w:name="_Hlk72402034"/>
      <w:r>
        <w:rPr>
          <w:rFonts w:ascii="宋体" w:eastAsia="宋体" w:hAnsi="宋体" w:hint="eastAsia"/>
          <w:b/>
          <w:bCs/>
          <w:szCs w:val="21"/>
        </w:rPr>
        <w:t>投标文件其他证明文件的要求</w:t>
      </w:r>
    </w:p>
    <w:p>
      <w:pPr>
        <w:spacing w:line="360" w:lineRule="auto"/>
        <w:ind w:firstLine="480" w:firstLineChars="200"/>
        <w:rPr>
          <w:rFonts w:ascii="宋体" w:eastAsia="宋体" w:hAnsi="宋体"/>
          <w:szCs w:val="21"/>
        </w:rPr>
      </w:pPr>
      <w:r>
        <w:rPr>
          <w:rFonts w:ascii="宋体" w:eastAsia="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36" w:name="_Hlk71407299"/>
    </w:p>
    <w:p>
      <w:pPr>
        <w:spacing w:line="360" w:lineRule="auto"/>
        <w:ind w:firstLine="470" w:firstLineChars="196"/>
        <w:rPr>
          <w:rFonts w:ascii="宋体" w:eastAsia="宋体" w:hAnsi="宋体"/>
          <w:szCs w:val="21"/>
        </w:rPr>
      </w:pPr>
      <w:bookmarkEnd w:id="136"/>
      <w:r>
        <w:rPr>
          <w:rFonts w:ascii="宋体" w:eastAsia="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line="360" w:lineRule="auto"/>
        <w:rPr>
          <w:rFonts w:ascii="宋体" w:eastAsia="宋体" w:hAnsi="宋体"/>
          <w:b/>
          <w:bCs/>
          <w:szCs w:val="21"/>
        </w:rPr>
      </w:pPr>
      <w:r>
        <w:rPr>
          <w:rFonts w:ascii="宋体" w:eastAsia="宋体" w:hAnsi="宋体" w:hint="eastAsia"/>
          <w:b/>
          <w:bCs/>
          <w:szCs w:val="21"/>
        </w:rPr>
        <w:t>20．投标有效期</w:t>
      </w:r>
    </w:p>
    <w:p>
      <w:pPr>
        <w:spacing w:line="360" w:lineRule="auto"/>
        <w:ind w:firstLine="470" w:firstLineChars="196"/>
        <w:rPr>
          <w:rFonts w:ascii="宋体" w:eastAsia="宋体" w:hAnsi="宋体"/>
          <w:szCs w:val="21"/>
        </w:rPr>
      </w:pPr>
      <w:bookmarkEnd w:id="135"/>
      <w:bookmarkStart w:id="137" w:name="_Hlk72402214"/>
      <w:r>
        <w:rPr>
          <w:rFonts w:ascii="宋体" w:eastAsia="宋体" w:hAnsi="宋体" w:hint="eastAsia"/>
          <w:szCs w:val="21"/>
        </w:rPr>
        <w:t>20.1 投标有效期为</w:t>
      </w:r>
      <w:r>
        <w:rPr>
          <w:rFonts w:ascii="宋体" w:eastAsia="宋体" w:hAnsi="宋体" w:cs="Arial" w:hint="eastAsia"/>
          <w:szCs w:val="21"/>
        </w:rPr>
        <w:t>从投标截止之日算起的日历天数。</w:t>
      </w:r>
      <w:r>
        <w:rPr>
          <w:rFonts w:ascii="宋体" w:eastAsia="宋体" w:hAnsi="宋体" w:hint="eastAsia"/>
          <w:szCs w:val="21"/>
        </w:rPr>
        <w:t>在此期限内，所有投标文件均保持有效。</w:t>
      </w:r>
    </w:p>
    <w:p>
      <w:pPr>
        <w:spacing w:line="360" w:lineRule="auto"/>
        <w:ind w:firstLine="470" w:firstLineChars="196"/>
        <w:rPr>
          <w:rFonts w:ascii="宋体" w:eastAsia="宋体" w:hAnsi="宋体"/>
          <w:szCs w:val="21"/>
        </w:rPr>
      </w:pPr>
      <w:r>
        <w:rPr>
          <w:rFonts w:ascii="宋体" w:eastAsia="宋体" w:hAnsi="宋体" w:hint="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spacing w:line="360" w:lineRule="auto"/>
        <w:ind w:firstLine="470" w:firstLineChars="196"/>
        <w:rPr>
          <w:rFonts w:ascii="宋体" w:eastAsia="宋体" w:hAnsi="宋体"/>
          <w:szCs w:val="21"/>
        </w:rPr>
      </w:pPr>
      <w:r>
        <w:rPr>
          <w:rFonts w:ascii="宋体" w:eastAsia="宋体" w:hAnsi="宋体" w:hint="eastAsia"/>
          <w:szCs w:val="21"/>
        </w:rPr>
        <w:t>20</w:t>
      </w:r>
      <w:r>
        <w:rPr>
          <w:rFonts w:ascii="宋体" w:eastAsia="宋体" w:hAnsi="宋体"/>
          <w:szCs w:val="21"/>
        </w:rPr>
        <w:t>.3</w:t>
      </w:r>
      <w:r>
        <w:rPr>
          <w:rFonts w:ascii="宋体" w:eastAsia="宋体" w:hAnsi="宋体" w:hint="eastAsia"/>
          <w:szCs w:val="21"/>
        </w:rPr>
        <w:t xml:space="preserve"> 中标供应商的投标文件有效期，截止于完成本招标文件规定的全部项目内容，并通过竣工验收及保修期结束。</w:t>
      </w:r>
    </w:p>
    <w:p>
      <w:pPr>
        <w:spacing w:line="360" w:lineRule="auto"/>
        <w:rPr>
          <w:rFonts w:ascii="宋体" w:eastAsia="宋体" w:hAnsi="宋体"/>
          <w:szCs w:val="21"/>
        </w:rPr>
      </w:pPr>
      <w:bookmarkEnd w:id="137"/>
      <w:r>
        <w:rPr>
          <w:rFonts w:ascii="宋体" w:eastAsia="宋体" w:hAnsi="宋体" w:hint="eastAsia"/>
          <w:szCs w:val="21"/>
        </w:rPr>
        <w:t>21．</w:t>
      </w:r>
      <w:bookmarkStart w:id="138" w:name="_Hlk72402325"/>
      <w:r>
        <w:rPr>
          <w:rFonts w:ascii="宋体" w:eastAsia="宋体" w:hAnsi="宋体" w:hint="eastAsia"/>
          <w:szCs w:val="21"/>
        </w:rPr>
        <w:t xml:space="preserve">关于投标保证金 </w:t>
      </w:r>
    </w:p>
    <w:p>
      <w:pPr>
        <w:spacing w:line="360" w:lineRule="auto"/>
        <w:rPr>
          <w:rFonts w:ascii="宋体" w:eastAsia="宋体" w:hAnsi="宋体"/>
          <w:szCs w:val="21"/>
        </w:rPr>
      </w:pPr>
      <w:r>
        <w:rPr>
          <w:rFonts w:ascii="宋体" w:eastAsia="宋体" w:hAnsi="宋体" w:hint="eastAsia"/>
          <w:szCs w:val="21"/>
        </w:rPr>
        <w:t xml:space="preserve">    21.1 根据《</w:t>
      </w:r>
      <w:r>
        <w:rPr>
          <w:rFonts w:ascii="宋体" w:eastAsia="宋体" w:hAnsi="宋体"/>
          <w:szCs w:val="21"/>
        </w:rPr>
        <w:t>深圳市财政局关于明确政府采购保证金管理工作的通知</w:t>
      </w:r>
      <w:r>
        <w:rPr>
          <w:rFonts w:ascii="宋体" w:eastAsia="宋体" w:hAnsi="宋体" w:hint="eastAsia"/>
          <w:szCs w:val="21"/>
        </w:rPr>
        <w:t>》（深财购[</w:t>
      </w:r>
      <w:r>
        <w:rPr>
          <w:rFonts w:ascii="宋体" w:eastAsia="宋体" w:hAnsi="宋体"/>
          <w:szCs w:val="21"/>
        </w:rPr>
        <w:t>2019]42</w:t>
      </w:r>
      <w:r>
        <w:rPr>
          <w:rFonts w:ascii="宋体" w:eastAsia="宋体" w:hAnsi="宋体" w:hint="eastAsia"/>
          <w:szCs w:val="21"/>
        </w:rPr>
        <w:t>号）文的规定，本项目不收取投标保证金。</w:t>
      </w:r>
    </w:p>
    <w:p>
      <w:pPr>
        <w:spacing w:line="360" w:lineRule="auto"/>
        <w:rPr>
          <w:rFonts w:ascii="宋体" w:eastAsia="宋体" w:hAnsi="宋体"/>
          <w:szCs w:val="21"/>
        </w:rPr>
      </w:pPr>
      <w:r>
        <w:rPr>
          <w:rFonts w:ascii="宋体" w:eastAsia="宋体" w:hAnsi="宋体" w:hint="eastAsia"/>
          <w:szCs w:val="21"/>
        </w:rPr>
        <w:t>22．投标人的替代方案</w:t>
      </w:r>
    </w:p>
    <w:p>
      <w:pPr>
        <w:spacing w:line="360" w:lineRule="auto"/>
        <w:ind w:firstLine="470" w:firstLineChars="196"/>
        <w:rPr>
          <w:rFonts w:ascii="宋体" w:eastAsia="宋体" w:hAnsi="宋体"/>
          <w:szCs w:val="21"/>
        </w:rPr>
      </w:pPr>
      <w:r>
        <w:rPr>
          <w:rFonts w:ascii="宋体" w:eastAsia="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spacing w:line="360" w:lineRule="auto"/>
        <w:ind w:firstLine="470" w:firstLineChars="196"/>
        <w:rPr>
          <w:rFonts w:ascii="宋体" w:eastAsia="宋体" w:hAnsi="宋体"/>
          <w:szCs w:val="21"/>
        </w:rPr>
      </w:pPr>
      <w:r>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宋体" w:eastAsia="宋体" w:hAnsi="宋体"/>
          <w:b/>
          <w:bCs/>
          <w:szCs w:val="21"/>
        </w:rPr>
      </w:pPr>
      <w:bookmarkEnd w:id="138"/>
      <w:r>
        <w:rPr>
          <w:rFonts w:ascii="宋体" w:eastAsia="宋体" w:hAnsi="宋体" w:hint="eastAsia"/>
          <w:b/>
          <w:bCs/>
          <w:szCs w:val="21"/>
        </w:rPr>
        <w:t>23．</w:t>
      </w:r>
      <w:bookmarkStart w:id="139" w:name="_Hlk72402860"/>
      <w:r>
        <w:rPr>
          <w:rFonts w:ascii="宋体" w:eastAsia="宋体" w:hAnsi="宋体"/>
          <w:b/>
          <w:bCs/>
          <w:szCs w:val="21"/>
        </w:rPr>
        <w:t>投标文件的</w:t>
      </w:r>
      <w:r>
        <w:rPr>
          <w:rFonts w:ascii="宋体" w:eastAsia="宋体" w:hAnsi="宋体" w:hint="eastAsia"/>
          <w:b/>
          <w:bCs/>
          <w:szCs w:val="21"/>
        </w:rPr>
        <w:t>制作</w:t>
      </w:r>
      <w:r>
        <w:rPr>
          <w:rFonts w:ascii="宋体" w:eastAsia="宋体" w:hAnsi="宋体"/>
          <w:b/>
          <w:bCs/>
          <w:szCs w:val="21"/>
        </w:rPr>
        <w:t>要求</w:t>
      </w:r>
    </w:p>
    <w:p>
      <w:pPr>
        <w:spacing w:line="360" w:lineRule="auto"/>
        <w:ind w:firstLine="470" w:firstLineChars="196"/>
        <w:rPr>
          <w:rFonts w:ascii="宋体" w:eastAsia="宋体" w:hAnsi="宋体"/>
          <w:szCs w:val="21"/>
        </w:rPr>
      </w:pPr>
      <w:r>
        <w:rPr>
          <w:rFonts w:ascii="宋体" w:eastAsia="宋体" w:hAnsi="宋体" w:hint="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宋体" w:eastAsia="宋体" w:hAnsi="宋体"/>
          <w:szCs w:val="21"/>
        </w:rPr>
        <w:t>http://zfcg.szggzy.com/</w:t>
      </w:r>
      <w:r>
        <w:rPr>
          <w:rFonts w:ascii="宋体" w:eastAsia="宋体" w:hAnsi="宋体" w:hint="eastAsia"/>
          <w:szCs w:val="21"/>
        </w:rPr>
        <w:t>TPBidder/DownLoad/深圳市智慧采购平台投标文件制作专用软件.zip】。</w:t>
      </w:r>
    </w:p>
    <w:p>
      <w:pPr>
        <w:spacing w:line="360" w:lineRule="auto"/>
        <w:ind w:firstLine="470" w:firstLineChars="196"/>
        <w:rPr>
          <w:rFonts w:ascii="宋体" w:eastAsia="宋体" w:hAnsi="宋体"/>
          <w:szCs w:val="21"/>
        </w:rPr>
      </w:pPr>
      <w:r>
        <w:rPr>
          <w:rFonts w:ascii="宋体" w:eastAsia="宋体" w:hAnsi="宋体" w:hint="eastAsia"/>
          <w:szCs w:val="21"/>
        </w:rPr>
        <w:t>23.2投标人在使用《投标文件制作软件》编制投标书时须注意：</w:t>
      </w:r>
    </w:p>
    <w:p>
      <w:pPr>
        <w:spacing w:line="360" w:lineRule="auto"/>
        <w:ind w:firstLine="470" w:firstLineChars="196"/>
        <w:rPr>
          <w:rFonts w:ascii="宋体" w:eastAsia="宋体" w:hAnsi="宋体"/>
          <w:szCs w:val="21"/>
        </w:rPr>
      </w:pPr>
      <w:r>
        <w:rPr>
          <w:rFonts w:ascii="宋体" w:eastAsia="宋体" w:hAnsi="宋体" w:hint="eastAsia"/>
          <w:szCs w:val="21"/>
        </w:rPr>
        <w:t>23.2.1导入《投标文件制作软件》的招标文件项目编号、包号应与以此制作的投标文件项目编号、包号一致。例如，不能将甲项目A包的招标书导入《投标文件制作软件》，制作乙项目B包的投标书。</w:t>
      </w:r>
    </w:p>
    <w:p>
      <w:pPr>
        <w:spacing w:line="360" w:lineRule="auto"/>
        <w:ind w:firstLine="470" w:firstLineChars="196"/>
        <w:rPr>
          <w:rFonts w:ascii="宋体" w:eastAsia="宋体" w:hAnsi="宋体"/>
          <w:szCs w:val="21"/>
        </w:rPr>
      </w:pPr>
      <w:r>
        <w:rPr>
          <w:rFonts w:ascii="宋体" w:eastAsia="宋体" w:hAnsi="宋体" w:hint="eastAsia"/>
          <w:szCs w:val="21"/>
        </w:rPr>
        <w:t>23.2.2不能用非本公司的电子密钥加密本公司的投标文件，或者用其它公司的登录用户上传本公司的投标文件。</w:t>
      </w:r>
    </w:p>
    <w:p>
      <w:pPr>
        <w:spacing w:line="360" w:lineRule="auto"/>
        <w:ind w:firstLine="470" w:firstLineChars="196"/>
        <w:rPr>
          <w:rFonts w:ascii="宋体" w:eastAsia="宋体" w:hAnsi="宋体"/>
          <w:szCs w:val="21"/>
        </w:rPr>
      </w:pPr>
      <w:r>
        <w:rPr>
          <w:rFonts w:ascii="宋体" w:eastAsia="宋体" w:hAnsi="宋体" w:hint="eastAsia"/>
          <w:szCs w:val="21"/>
        </w:rPr>
        <w:t>23.2.3要求用《投标文件制作软件》编制投标书的包，不能用其它方式编制投标书。编制投标文件时，电脑须连通互联网。</w:t>
      </w:r>
    </w:p>
    <w:p>
      <w:pPr>
        <w:spacing w:line="360" w:lineRule="auto"/>
        <w:ind w:firstLine="470" w:firstLineChars="196"/>
        <w:rPr>
          <w:rFonts w:ascii="宋体" w:eastAsia="宋体" w:hAnsi="宋体"/>
          <w:szCs w:val="21"/>
        </w:rPr>
      </w:pPr>
      <w:r>
        <w:rPr>
          <w:rFonts w:ascii="宋体" w:eastAsia="宋体" w:hAnsi="宋体" w:hint="eastAsia"/>
          <w:szCs w:val="21"/>
        </w:rPr>
        <w:t>23.2.4投标文件不能带病毒。采购代理机构将用专业杀毒软件对投标文件进行病毒检测，如果这两种软件均报告发现病毒，则采购代理机构认为该投标文件带病毒。</w:t>
      </w:r>
    </w:p>
    <w:p>
      <w:pPr>
        <w:spacing w:line="360" w:lineRule="auto"/>
        <w:ind w:firstLine="470" w:firstLineChars="196"/>
        <w:rPr>
          <w:rFonts w:ascii="宋体" w:eastAsia="宋体" w:hAnsi="宋体"/>
          <w:szCs w:val="21"/>
        </w:rPr>
      </w:pPr>
      <w:r>
        <w:rPr>
          <w:rFonts w:ascii="宋体" w:eastAsia="宋体" w:hAnsi="宋体" w:hint="eastAsia"/>
          <w:szCs w:val="21"/>
        </w:rPr>
        <w:t>23.2.5完整填写“投标关键信息”，如下图所示：</w:t>
      </w:r>
    </w:p>
    <w:p>
      <w:pPr>
        <w:tabs>
          <w:tab w:val="left" w:pos="0"/>
        </w:tabs>
        <w:spacing w:line="360" w:lineRule="auto"/>
        <w:rPr>
          <w:rFonts w:ascii="宋体" w:eastAsia="宋体" w:hAnsi="宋体"/>
          <w:szCs w:val="21"/>
        </w:rPr>
      </w:pPr>
      <w:r>
        <w:rPr>
          <w:rFonts w:ascii="宋体" w:eastAsia="宋体" w:hAnsi="宋体"/>
          <w:szCs w:val="21"/>
        </w:rPr>
        <w:drawing>
          <wp:inline distT="0" distB="0" distL="114300" distR="114300">
            <wp:extent cx="5278755" cy="2721610"/>
            <wp:effectExtent l="0" t="0" r="17145" b="2540"/>
            <wp:docPr id="1"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10;&#10;描述已自动生成"/>
                    <pic:cNvPicPr>
                      <a:picLocks noChangeAspect="1"/>
                    </pic:cNvPicPr>
                  </pic:nvPicPr>
                  <pic:blipFill>
                    <a:blip xmlns:r="http://schemas.openxmlformats.org/officeDocument/2006/relationships" r:embed="rId7" cstate="print"/>
                    <a:stretch>
                      <a:fillRect/>
                    </a:stretch>
                  </pic:blipFill>
                  <pic:spPr>
                    <a:xfrm>
                      <a:off x="0" y="0"/>
                      <a:ext cx="5278755" cy="2721610"/>
                    </a:xfrm>
                    <a:prstGeom prst="rect">
                      <a:avLst/>
                    </a:prstGeom>
                    <a:noFill/>
                    <a:ln>
                      <a:noFill/>
                    </a:ln>
                  </pic:spPr>
                </pic:pic>
              </a:graphicData>
            </a:graphic>
          </wp:inline>
        </w:drawing>
      </w:r>
    </w:p>
    <w:p>
      <w:pPr>
        <w:spacing w:line="360" w:lineRule="auto"/>
        <w:ind w:firstLine="470" w:firstLineChars="196"/>
        <w:rPr>
          <w:rFonts w:ascii="宋体" w:eastAsia="宋体" w:hAnsi="宋体"/>
          <w:b/>
          <w:szCs w:val="21"/>
        </w:rPr>
      </w:pPr>
      <w:r>
        <w:rPr>
          <w:rFonts w:ascii="宋体" w:eastAsia="宋体" w:hAnsi="宋体" w:hint="eastAsia"/>
          <w:b/>
          <w:szCs w:val="21"/>
        </w:rPr>
        <w:t>备注：上述“开标一览表”中的“投标总价”将作为价格分计算依据；其它信息仅是对投标文件相关内容的概括性表述，不作为评审依据。</w:t>
      </w:r>
    </w:p>
    <w:p>
      <w:pPr>
        <w:spacing w:line="360" w:lineRule="auto"/>
        <w:ind w:firstLine="470" w:firstLineChars="196"/>
        <w:rPr>
          <w:rFonts w:ascii="宋体" w:eastAsia="宋体" w:hAnsi="宋体"/>
          <w:szCs w:val="21"/>
        </w:rPr>
      </w:pPr>
      <w:r>
        <w:rPr>
          <w:rFonts w:ascii="宋体" w:eastAsia="宋体" w:hAnsi="宋体" w:hint="eastAsia"/>
          <w:szCs w:val="21"/>
        </w:rPr>
        <w:t>23.2.6投标人在编辑投标文件时，</w:t>
      </w:r>
      <w:r>
        <w:rPr>
          <w:rFonts w:ascii="宋体" w:eastAsia="宋体" w:hAnsi="宋体" w:hint="eastAsia"/>
          <w:b/>
          <w:szCs w:val="21"/>
        </w:rPr>
        <w:t>在投标文件目录中属于本节点内容的必须在本节点中填写，填写到其他节点或附件，</w:t>
      </w:r>
      <w:r>
        <w:rPr>
          <w:rFonts w:ascii="宋体" w:eastAsia="宋体" w:hAnsi="宋体" w:hint="eastAsia"/>
          <w:szCs w:val="21"/>
        </w:rPr>
        <w:t>一切后果由供应商自行承担。</w:t>
      </w:r>
    </w:p>
    <w:p>
      <w:pPr>
        <w:spacing w:line="360" w:lineRule="auto"/>
        <w:ind w:firstLine="470" w:firstLineChars="196"/>
        <w:rPr>
          <w:rFonts w:ascii="宋体" w:eastAsia="宋体" w:hAnsi="宋体"/>
          <w:szCs w:val="21"/>
        </w:rPr>
      </w:pPr>
      <w:r>
        <w:rPr>
          <w:rFonts w:ascii="宋体" w:eastAsia="宋体" w:hAnsi="宋体" w:hint="eastAsia"/>
          <w:szCs w:val="21"/>
        </w:rPr>
        <w:t>23.2.7投标文件编写完成后，</w:t>
      </w:r>
      <w:r>
        <w:rPr>
          <w:rFonts w:ascii="宋体" w:eastAsia="宋体" w:hAnsi="宋体" w:hint="eastAsia"/>
          <w:b/>
          <w:szCs w:val="21"/>
        </w:rPr>
        <w:t>必须用属于投标人的电子密钥进行加密，否则视同未盖公章，将导致投标文件无效。</w:t>
      </w:r>
    </w:p>
    <w:p>
      <w:pPr>
        <w:spacing w:line="360" w:lineRule="auto"/>
        <w:ind w:firstLine="470" w:firstLineChars="196"/>
        <w:rPr>
          <w:rFonts w:ascii="宋体" w:eastAsia="宋体" w:hAnsi="宋体"/>
          <w:szCs w:val="21"/>
        </w:rPr>
      </w:pPr>
      <w:r>
        <w:rPr>
          <w:rFonts w:ascii="宋体" w:eastAsia="宋体" w:hAnsi="宋体" w:hint="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spacing w:line="360" w:lineRule="auto"/>
        <w:ind w:firstLine="470" w:firstLineChars="196"/>
        <w:rPr>
          <w:rFonts w:ascii="宋体" w:eastAsia="宋体" w:hAnsi="宋体"/>
          <w:szCs w:val="21"/>
        </w:rPr>
      </w:pPr>
      <w:r>
        <w:rPr>
          <w:rFonts w:ascii="宋体" w:eastAsia="宋体" w:hAnsi="宋体" w:hint="eastAsia"/>
          <w:szCs w:val="21"/>
        </w:rPr>
        <w:t>23.2.9如果开标时出现网络故障、技术故障，影响了政府采购活动，采购代理机构有权采取措施如延期、接受无法从网上上传的投标书等，以保障政府采购活动的公开、公平和公正。</w:t>
      </w:r>
    </w:p>
    <w:p>
      <w:pPr>
        <w:spacing w:line="360" w:lineRule="auto"/>
        <w:ind w:firstLine="470" w:firstLineChars="196"/>
        <w:rPr>
          <w:rFonts w:ascii="宋体" w:eastAsia="宋体" w:hAnsi="宋体"/>
          <w:szCs w:val="21"/>
        </w:rPr>
      </w:pPr>
      <w:r>
        <w:rPr>
          <w:rFonts w:ascii="宋体" w:eastAsia="宋体" w:hAnsi="宋体" w:hint="eastAsia"/>
          <w:szCs w:val="21"/>
        </w:rPr>
        <w:t>23.3电报、电话、传真形式的投标概不接受。</w:t>
      </w:r>
    </w:p>
    <w:p>
      <w:pPr>
        <w:spacing w:line="360" w:lineRule="auto"/>
        <w:ind w:firstLine="470" w:firstLineChars="196"/>
        <w:rPr>
          <w:rFonts w:ascii="宋体" w:eastAsia="宋体" w:hAnsi="宋体"/>
          <w:b/>
          <w:szCs w:val="21"/>
        </w:rPr>
      </w:pPr>
      <w:r>
        <w:rPr>
          <w:rFonts w:ascii="宋体" w:eastAsia="宋体" w:hAnsi="宋体" w:hint="eastAsia"/>
          <w:b/>
          <w:szCs w:val="21"/>
        </w:rPr>
        <w:t>23.4经投标人电子密钥加密的投标文件无须盖章或签字，</w:t>
      </w:r>
      <w:r>
        <w:rPr>
          <w:rFonts w:ascii="宋体" w:eastAsia="宋体" w:hAnsi="宋体" w:hint="eastAsia"/>
          <w:szCs w:val="21"/>
        </w:rPr>
        <w:t>专用条款另有要求的除外。</w:t>
      </w:r>
    </w:p>
    <w:p>
      <w:pPr>
        <w:spacing w:line="360" w:lineRule="auto"/>
        <w:ind w:firstLine="470" w:firstLineChars="196"/>
        <w:rPr>
          <w:rFonts w:ascii="宋体" w:eastAsia="宋体" w:hAnsi="宋体"/>
          <w:szCs w:val="21"/>
        </w:rPr>
      </w:pPr>
      <w:r>
        <w:rPr>
          <w:rFonts w:ascii="宋体" w:eastAsia="宋体" w:hAnsi="宋体" w:hint="eastAsia"/>
          <w:b/>
          <w:szCs w:val="21"/>
        </w:rPr>
        <w:t>23.5</w:t>
      </w:r>
      <w:r>
        <w:rPr>
          <w:rFonts w:ascii="宋体" w:eastAsia="宋体" w:hAnsi="宋体" w:hint="eastAsia"/>
          <w:szCs w:val="21"/>
        </w:rPr>
        <w:t xml:space="preserve"> 各类资格（资质）文件提供扫描件，专用条款另有要求的除外。</w:t>
      </w:r>
      <w:bookmarkEnd w:id="139"/>
    </w:p>
    <w:p>
      <w:pPr>
        <w:pStyle w:val="Heading2"/>
        <w:spacing w:line="360" w:lineRule="auto"/>
        <w:rPr>
          <w:kern w:val="2"/>
        </w:rPr>
      </w:pPr>
      <w:r>
        <w:rPr>
          <w:rFonts w:hint="eastAsia"/>
          <w:kern w:val="2"/>
        </w:rPr>
        <w:t>第四章  投标文件的递交</w:t>
      </w:r>
      <w:bookmarkStart w:id="140" w:name="_Hlk72405459"/>
    </w:p>
    <w:p>
      <w:pPr>
        <w:spacing w:line="360" w:lineRule="auto"/>
        <w:rPr>
          <w:rFonts w:ascii="宋体" w:eastAsia="宋体" w:hAnsi="宋体"/>
          <w:b/>
          <w:bCs/>
          <w:szCs w:val="21"/>
        </w:rPr>
      </w:pPr>
      <w:r>
        <w:rPr>
          <w:rFonts w:ascii="宋体" w:eastAsia="宋体" w:hAnsi="宋体" w:hint="eastAsia"/>
          <w:b/>
          <w:bCs/>
          <w:szCs w:val="21"/>
        </w:rPr>
        <w:t>24．投标书的保密</w:t>
      </w:r>
    </w:p>
    <w:p>
      <w:pPr>
        <w:spacing w:line="360" w:lineRule="auto"/>
        <w:ind w:firstLine="470" w:firstLineChars="196"/>
        <w:rPr>
          <w:rFonts w:ascii="宋体" w:eastAsia="宋体" w:hAnsi="宋体"/>
          <w:szCs w:val="21"/>
        </w:rPr>
      </w:pPr>
      <w:r>
        <w:rPr>
          <w:rFonts w:ascii="宋体" w:eastAsia="宋体" w:hAnsi="宋体" w:hint="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spacing w:line="360" w:lineRule="auto"/>
        <w:jc w:val="center"/>
        <w:rPr>
          <w:rFonts w:ascii="宋体" w:eastAsia="宋体" w:hAnsi="宋体"/>
          <w:szCs w:val="21"/>
        </w:rPr>
      </w:pPr>
      <w:r>
        <w:rPr>
          <w:rFonts w:ascii="宋体" w:eastAsia="宋体" w:hAnsi="宋体"/>
          <w:szCs w:val="21"/>
        </w:rPr>
        <w:drawing>
          <wp:inline distT="0" distB="0" distL="114300" distR="114300">
            <wp:extent cx="5278755" cy="2721610"/>
            <wp:effectExtent l="0" t="0" r="17145" b="2540"/>
            <wp:docPr id="2"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应用程序&#10;&#10;描述已自动生成"/>
                    <pic:cNvPicPr>
                      <a:picLocks noChangeAspect="1"/>
                    </pic:cNvPicPr>
                  </pic:nvPicPr>
                  <pic:blipFill>
                    <a:blip xmlns:r="http://schemas.openxmlformats.org/officeDocument/2006/relationships" r:embed="rId7" cstate="print"/>
                    <a:stretch>
                      <a:fillRect/>
                    </a:stretch>
                  </pic:blipFill>
                  <pic:spPr>
                    <a:xfrm>
                      <a:off x="0" y="0"/>
                      <a:ext cx="5278755" cy="2721610"/>
                    </a:xfrm>
                    <a:prstGeom prst="rect">
                      <a:avLst/>
                    </a:prstGeom>
                    <a:noFill/>
                    <a:ln>
                      <a:noFill/>
                    </a:ln>
                  </pic:spPr>
                </pic:pic>
              </a:graphicData>
            </a:graphic>
          </wp:inline>
        </w:drawing>
      </w:r>
    </w:p>
    <w:p>
      <w:pPr>
        <w:spacing w:line="360" w:lineRule="auto"/>
        <w:ind w:firstLine="470" w:firstLineChars="196"/>
        <w:rPr>
          <w:rFonts w:ascii="宋体" w:eastAsia="宋体" w:hAnsi="宋体"/>
          <w:szCs w:val="21"/>
        </w:rPr>
      </w:pPr>
      <w:r>
        <w:rPr>
          <w:rFonts w:ascii="宋体" w:eastAsia="宋体" w:hAnsi="宋体" w:hint="eastAsia"/>
          <w:szCs w:val="21"/>
        </w:rPr>
        <w:t>在投标文件制作软件点击【生成标书】按钮进入【填写开标一览表界面】界面，在该界面填写完开标一览表信息后点击【确定】，进入投标文件生成环节。</w:t>
      </w:r>
      <w:r>
        <w:rPr>
          <w:rFonts w:ascii="宋体" w:eastAsia="宋体" w:hAnsi="宋体"/>
          <w:szCs w:val="21"/>
        </w:rPr>
        <w:drawing>
          <wp:inline distT="0" distB="0" distL="114300" distR="114300">
            <wp:extent cx="5278755" cy="2732405"/>
            <wp:effectExtent l="0" t="0" r="17145" b="10795"/>
            <wp:docPr id="3"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10;&#10;描述已自动生成"/>
                    <pic:cNvPicPr>
                      <a:picLocks noChangeAspect="1"/>
                    </pic:cNvPicPr>
                  </pic:nvPicPr>
                  <pic:blipFill>
                    <a:blip xmlns:r="http://schemas.openxmlformats.org/officeDocument/2006/relationships" r:embed="rId8" cstate="print"/>
                    <a:stretch>
                      <a:fillRect/>
                    </a:stretch>
                  </pic:blipFill>
                  <pic:spPr>
                    <a:xfrm>
                      <a:off x="0" y="0"/>
                      <a:ext cx="5278755" cy="2732405"/>
                    </a:xfrm>
                    <a:prstGeom prst="rect">
                      <a:avLst/>
                    </a:prstGeom>
                    <a:noFill/>
                    <a:ln>
                      <a:noFill/>
                    </a:ln>
                  </pic:spPr>
                </pic:pic>
              </a:graphicData>
            </a:graphic>
          </wp:inline>
        </w:drawing>
      </w:r>
    </w:p>
    <w:p>
      <w:pPr>
        <w:spacing w:line="360" w:lineRule="auto"/>
        <w:ind w:firstLine="470" w:firstLineChars="196"/>
        <w:rPr>
          <w:rFonts w:ascii="宋体" w:eastAsia="宋体" w:hAnsi="宋体"/>
          <w:szCs w:val="21"/>
        </w:rPr>
      </w:pPr>
      <w:r>
        <w:rPr>
          <w:rFonts w:ascii="宋体" w:eastAsia="宋体" w:hAnsi="宋体" w:hint="eastAsia"/>
          <w:szCs w:val="21"/>
        </w:rPr>
        <w:t>投标文件制作软件会在投标文件生成过程中，提示用户输入密码，输入密码后对标文件自动进行加密。</w:t>
      </w:r>
    </w:p>
    <w:p>
      <w:pPr>
        <w:spacing w:line="360" w:lineRule="auto"/>
        <w:ind w:firstLine="480" w:firstLineChars="200"/>
        <w:rPr>
          <w:rFonts w:ascii="宋体" w:eastAsia="宋体" w:hAnsi="宋体"/>
          <w:b/>
          <w:szCs w:val="21"/>
        </w:rPr>
      </w:pPr>
      <w:r>
        <w:rPr>
          <w:rFonts w:ascii="宋体" w:eastAsia="宋体" w:hAnsi="宋体" w:hint="eastAsia"/>
          <w:b/>
          <w:szCs w:val="21"/>
        </w:rPr>
        <w:t>24.2若采购项目出现延期情况：</w:t>
      </w:r>
    </w:p>
    <w:p>
      <w:pPr>
        <w:spacing w:line="360" w:lineRule="auto"/>
        <w:ind w:firstLine="480" w:firstLineChars="200"/>
        <w:rPr>
          <w:rFonts w:ascii="宋体" w:eastAsia="宋体" w:hAnsi="宋体"/>
          <w:b/>
          <w:szCs w:val="21"/>
        </w:rPr>
      </w:pPr>
      <w:r>
        <w:rPr>
          <w:rFonts w:ascii="宋体" w:eastAsia="宋体" w:hAnsi="宋体" w:hint="eastAsia"/>
          <w:b/>
          <w:szCs w:val="21"/>
        </w:rPr>
        <w:t>如果供下载的招标文件（后缀名为.</w:t>
      </w:r>
      <w:r>
        <w:rPr>
          <w:rFonts w:ascii="宋体" w:eastAsia="宋体" w:hAnsi="宋体"/>
          <w:b/>
          <w:szCs w:val="21"/>
        </w:rPr>
        <w:t>szczf</w:t>
      </w:r>
      <w:r>
        <w:rPr>
          <w:rFonts w:ascii="宋体" w:eastAsia="宋体" w:hAnsi="宋体" w:hint="eastAsia"/>
          <w:b/>
          <w:szCs w:val="21"/>
        </w:rPr>
        <w:t>）有更新，投标人必须重新下载招标文件、重新制作投标文件、重新加密投标文件、重新上传投标文件；如果供下载的招标文件（后缀名为.</w:t>
      </w:r>
      <w:r>
        <w:rPr>
          <w:rFonts w:ascii="宋体" w:eastAsia="宋体" w:hAnsi="宋体"/>
          <w:b/>
          <w:szCs w:val="21"/>
        </w:rPr>
        <w:t>szczf</w:t>
      </w:r>
      <w:r>
        <w:rPr>
          <w:rFonts w:ascii="宋体" w:eastAsia="宋体" w:hAnsi="宋体" w:hint="eastAsia"/>
          <w:b/>
          <w:szCs w:val="21"/>
        </w:rPr>
        <w:t>）没有更新，投标人必须重新加密投标文件、重新上传投标文件（是否重新制作投标文件根据项目实际情况定）。否则，投标人自行承担投标文件无法解密导致投标无效的后果。</w:t>
      </w:r>
    </w:p>
    <w:p>
      <w:pPr>
        <w:spacing w:line="360" w:lineRule="auto"/>
        <w:rPr>
          <w:rFonts w:ascii="宋体" w:eastAsia="宋体" w:hAnsi="宋体"/>
          <w:b/>
          <w:bCs/>
          <w:szCs w:val="21"/>
        </w:rPr>
      </w:pPr>
      <w:r>
        <w:rPr>
          <w:rFonts w:ascii="宋体" w:eastAsia="宋体" w:hAnsi="宋体" w:hint="eastAsia"/>
          <w:b/>
          <w:bCs/>
          <w:szCs w:val="21"/>
        </w:rPr>
        <w:t>25．上传投标文件及投标截止日期</w:t>
      </w:r>
    </w:p>
    <w:p>
      <w:pPr>
        <w:spacing w:line="360" w:lineRule="auto"/>
        <w:ind w:firstLine="470" w:firstLineChars="196"/>
        <w:rPr>
          <w:rFonts w:ascii="宋体" w:eastAsia="宋体" w:hAnsi="宋体"/>
          <w:szCs w:val="21"/>
        </w:rPr>
      </w:pPr>
      <w:r>
        <w:rPr>
          <w:rFonts w:ascii="宋体" w:eastAsia="宋体" w:hAnsi="宋体" w:hint="eastAsia"/>
          <w:szCs w:val="21"/>
        </w:rPr>
        <w:t>25</w:t>
      </w:r>
      <w:r>
        <w:rPr>
          <w:rFonts w:ascii="宋体" w:eastAsia="宋体" w:hAnsi="宋体"/>
          <w:szCs w:val="21"/>
        </w:rPr>
        <w:t>.</w:t>
      </w:r>
      <w:r>
        <w:rPr>
          <w:rFonts w:ascii="宋体" w:eastAsia="宋体" w:hAnsi="宋体" w:hint="eastAsia"/>
          <w:szCs w:val="21"/>
        </w:rPr>
        <w:t>1实行网上投标，</w:t>
      </w:r>
      <w:r>
        <w:rPr>
          <w:rFonts w:ascii="宋体" w:eastAsia="宋体" w:hAnsi="宋体"/>
          <w:szCs w:val="21"/>
        </w:rPr>
        <w:t>投标人必须</w:t>
      </w:r>
      <w:r>
        <w:rPr>
          <w:rFonts w:ascii="宋体" w:eastAsia="宋体" w:hAnsi="宋体" w:hint="eastAsia"/>
          <w:szCs w:val="21"/>
        </w:rPr>
        <w:t>在招标</w:t>
      </w:r>
      <w:r>
        <w:rPr>
          <w:rFonts w:ascii="宋体" w:eastAsia="宋体" w:hAnsi="宋体"/>
          <w:szCs w:val="21"/>
        </w:rPr>
        <w:t>文件规定的投标截止时间前</w:t>
      </w:r>
      <w:r>
        <w:rPr>
          <w:rFonts w:ascii="宋体" w:eastAsia="宋体" w:hAnsi="宋体" w:hint="eastAsia"/>
          <w:szCs w:val="21"/>
        </w:rPr>
        <w:t>用电子密钥登录“深圳政府采购智慧平台用户网上办事子系统（http://zfcg.szggzy.com/TPBidder/memberLogin）”，用“【我的项目】→【项目流程】→【递交投标(应答)文件】”功能点上传投标文件。</w:t>
      </w:r>
    </w:p>
    <w:p>
      <w:pPr>
        <w:spacing w:line="360" w:lineRule="auto"/>
        <w:ind w:firstLine="470" w:firstLineChars="196"/>
        <w:rPr>
          <w:rFonts w:ascii="宋体" w:eastAsia="宋体" w:hAnsi="宋体"/>
          <w:szCs w:val="21"/>
        </w:rPr>
      </w:pPr>
      <w:r>
        <w:rPr>
          <w:rFonts w:ascii="宋体" w:eastAsia="宋体" w:hAnsi="宋体" w:hint="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60" w:lineRule="auto"/>
        <w:ind w:firstLine="470" w:firstLineChars="196"/>
        <w:rPr>
          <w:rFonts w:ascii="宋体" w:eastAsia="宋体" w:hAnsi="宋体"/>
          <w:szCs w:val="21"/>
        </w:rPr>
      </w:pPr>
      <w:r>
        <w:rPr>
          <w:rFonts w:ascii="宋体" w:eastAsia="宋体" w:hAnsi="宋体" w:hint="eastAsia"/>
          <w:szCs w:val="21"/>
        </w:rPr>
        <w:t>25</w:t>
      </w:r>
      <w:r>
        <w:rPr>
          <w:rFonts w:ascii="宋体" w:eastAsia="宋体" w:hAnsi="宋体"/>
          <w:szCs w:val="21"/>
        </w:rPr>
        <w:t>.</w:t>
      </w:r>
      <w:r>
        <w:rPr>
          <w:rFonts w:ascii="宋体" w:eastAsia="宋体" w:hAnsi="宋体" w:hint="eastAsia"/>
          <w:szCs w:val="21"/>
        </w:rPr>
        <w:t>3投标截止时间以后不得上传投标文件。</w:t>
      </w:r>
    </w:p>
    <w:p>
      <w:pPr>
        <w:spacing w:line="360" w:lineRule="auto"/>
        <w:ind w:firstLine="470" w:firstLineChars="196"/>
        <w:rPr>
          <w:rFonts w:ascii="宋体" w:eastAsia="宋体" w:hAnsi="宋体"/>
          <w:szCs w:val="21"/>
        </w:rPr>
      </w:pPr>
      <w:r>
        <w:rPr>
          <w:rFonts w:ascii="宋体" w:eastAsia="宋体" w:hAnsi="宋体" w:hint="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spacing w:line="360" w:lineRule="auto"/>
        <w:rPr>
          <w:rFonts w:ascii="宋体" w:eastAsia="宋体" w:hAnsi="宋体"/>
          <w:b/>
          <w:bCs/>
          <w:szCs w:val="21"/>
        </w:rPr>
      </w:pPr>
      <w:bookmarkEnd w:id="140"/>
      <w:r>
        <w:rPr>
          <w:rFonts w:ascii="宋体" w:eastAsia="宋体" w:hAnsi="宋体" w:hint="eastAsia"/>
          <w:b/>
          <w:bCs/>
          <w:szCs w:val="21"/>
        </w:rPr>
        <w:t>26. 样品、现场演示、方案讲解</w:t>
      </w:r>
    </w:p>
    <w:p>
      <w:pPr>
        <w:spacing w:line="360" w:lineRule="auto"/>
        <w:ind w:firstLine="470" w:firstLineChars="196"/>
        <w:rPr>
          <w:rFonts w:ascii="宋体" w:eastAsia="宋体" w:hAnsi="宋体"/>
          <w:szCs w:val="21"/>
        </w:rPr>
      </w:pPr>
      <w:r>
        <w:rPr>
          <w:rFonts w:ascii="宋体" w:eastAsia="宋体" w:hAnsi="宋体" w:hint="eastAsia"/>
          <w:szCs w:val="21"/>
        </w:rPr>
        <w:t>26.1 样品、现场演示、方案讲解等事项在招标文件专用条款中进行规定。</w:t>
      </w:r>
    </w:p>
    <w:p>
      <w:pPr>
        <w:spacing w:line="360" w:lineRule="auto"/>
        <w:rPr>
          <w:rFonts w:ascii="宋体" w:eastAsia="宋体" w:hAnsi="宋体"/>
          <w:b/>
          <w:bCs/>
          <w:szCs w:val="21"/>
        </w:rPr>
      </w:pPr>
      <w:bookmarkStart w:id="141" w:name="_Hlk72428346"/>
      <w:r>
        <w:rPr>
          <w:rFonts w:ascii="宋体" w:eastAsia="宋体" w:hAnsi="宋体"/>
          <w:b/>
          <w:bCs/>
          <w:szCs w:val="21"/>
        </w:rPr>
        <w:t>2</w:t>
      </w:r>
      <w:r>
        <w:rPr>
          <w:rFonts w:ascii="宋体" w:eastAsia="宋体" w:hAnsi="宋体" w:hint="eastAsia"/>
          <w:b/>
          <w:bCs/>
          <w:szCs w:val="21"/>
        </w:rPr>
        <w:t>7．</w:t>
      </w:r>
      <w:r>
        <w:rPr>
          <w:rFonts w:ascii="宋体" w:eastAsia="宋体" w:hAnsi="宋体"/>
          <w:b/>
          <w:bCs/>
          <w:szCs w:val="21"/>
        </w:rPr>
        <w:t>投标文件的修改和撤销</w:t>
      </w:r>
    </w:p>
    <w:p>
      <w:pPr>
        <w:spacing w:line="360" w:lineRule="auto"/>
        <w:ind w:firstLine="470" w:firstLineChars="196"/>
        <w:rPr>
          <w:rFonts w:ascii="宋体" w:eastAsia="宋体" w:hAnsi="宋体"/>
          <w:szCs w:val="21"/>
        </w:rPr>
      </w:pPr>
      <w:r>
        <w:rPr>
          <w:rFonts w:ascii="宋体" w:eastAsia="宋体" w:hAnsi="宋体"/>
          <w:szCs w:val="21"/>
        </w:rPr>
        <w:t>2</w:t>
      </w:r>
      <w:r>
        <w:rPr>
          <w:rFonts w:ascii="宋体" w:eastAsia="宋体" w:hAnsi="宋体" w:hint="eastAsia"/>
          <w:szCs w:val="21"/>
        </w:rPr>
        <w:t>7</w:t>
      </w:r>
      <w:r>
        <w:rPr>
          <w:rFonts w:ascii="宋体" w:eastAsia="宋体" w:hAnsi="宋体"/>
          <w:szCs w:val="21"/>
        </w:rPr>
        <w:t>.</w:t>
      </w:r>
      <w:r>
        <w:rPr>
          <w:rFonts w:ascii="宋体" w:eastAsia="宋体" w:hAnsi="宋体" w:hint="eastAsia"/>
          <w:szCs w:val="21"/>
        </w:rPr>
        <w:t>1</w:t>
      </w:r>
      <w:r>
        <w:rPr>
          <w:rFonts w:ascii="宋体" w:eastAsia="宋体" w:hAnsi="宋体"/>
          <w:szCs w:val="21"/>
        </w:rPr>
        <w:t>投标方在提交投标文件后可对其投标文件进行修改</w:t>
      </w:r>
      <w:r>
        <w:rPr>
          <w:rFonts w:ascii="宋体" w:eastAsia="宋体" w:hAnsi="宋体" w:hint="eastAsia"/>
          <w:szCs w:val="21"/>
        </w:rPr>
        <w:t>并重新上传投标文件</w:t>
      </w:r>
      <w:r>
        <w:rPr>
          <w:rFonts w:ascii="宋体" w:eastAsia="宋体" w:hAnsi="宋体"/>
          <w:szCs w:val="21"/>
        </w:rPr>
        <w:t>或</w:t>
      </w:r>
      <w:r>
        <w:rPr>
          <w:rFonts w:ascii="宋体" w:eastAsia="宋体" w:hAnsi="宋体" w:hint="eastAsia"/>
          <w:szCs w:val="21"/>
        </w:rPr>
        <w:t>在网上进行</w:t>
      </w:r>
      <w:r>
        <w:rPr>
          <w:rFonts w:ascii="宋体" w:eastAsia="宋体" w:hAnsi="宋体"/>
          <w:szCs w:val="21"/>
        </w:rPr>
        <w:t>撤销</w:t>
      </w:r>
      <w:r>
        <w:rPr>
          <w:rFonts w:ascii="宋体" w:eastAsia="宋体" w:hAnsi="宋体" w:hint="eastAsia"/>
          <w:szCs w:val="21"/>
        </w:rPr>
        <w:t>投标的操作</w:t>
      </w:r>
      <w:r>
        <w:rPr>
          <w:rFonts w:ascii="宋体" w:eastAsia="宋体" w:hAnsi="宋体"/>
          <w:szCs w:val="21"/>
        </w:rPr>
        <w:t>。</w:t>
      </w:r>
    </w:p>
    <w:p>
      <w:pPr>
        <w:spacing w:line="360" w:lineRule="auto"/>
        <w:ind w:firstLine="470" w:firstLineChars="196"/>
        <w:rPr>
          <w:rFonts w:ascii="宋体" w:eastAsia="宋体" w:hAnsi="宋体"/>
          <w:szCs w:val="21"/>
        </w:rPr>
      </w:pPr>
      <w:r>
        <w:rPr>
          <w:rFonts w:ascii="宋体" w:eastAsia="宋体" w:hAnsi="宋体"/>
          <w:szCs w:val="21"/>
        </w:rPr>
        <w:t>2</w:t>
      </w:r>
      <w:r>
        <w:rPr>
          <w:rFonts w:ascii="宋体" w:eastAsia="宋体" w:hAnsi="宋体" w:hint="eastAsia"/>
          <w:szCs w:val="21"/>
        </w:rPr>
        <w:t>7</w:t>
      </w:r>
      <w:r>
        <w:rPr>
          <w:rFonts w:ascii="宋体" w:eastAsia="宋体" w:hAnsi="宋体"/>
          <w:szCs w:val="21"/>
        </w:rPr>
        <w:t>.</w:t>
      </w:r>
      <w:r>
        <w:rPr>
          <w:rFonts w:ascii="宋体" w:eastAsia="宋体" w:hAnsi="宋体" w:hint="eastAsia"/>
          <w:szCs w:val="21"/>
        </w:rPr>
        <w:t>2</w:t>
      </w:r>
      <w:r>
        <w:rPr>
          <w:rFonts w:ascii="宋体" w:eastAsia="宋体" w:hAnsi="宋体"/>
          <w:szCs w:val="21"/>
        </w:rPr>
        <w:t>投标截止时间以后不得修改投标文件。</w:t>
      </w:r>
    </w:p>
    <w:p>
      <w:pPr>
        <w:spacing w:line="360" w:lineRule="auto"/>
        <w:ind w:firstLine="470" w:firstLineChars="196"/>
        <w:rPr>
          <w:rFonts w:ascii="宋体" w:eastAsia="宋体" w:hAnsi="宋体"/>
          <w:szCs w:val="21"/>
        </w:rPr>
      </w:pPr>
      <w:r>
        <w:rPr>
          <w:rFonts w:ascii="宋体" w:eastAsia="宋体" w:hAnsi="宋体"/>
          <w:szCs w:val="21"/>
        </w:rPr>
        <w:t>2</w:t>
      </w:r>
      <w:r>
        <w:rPr>
          <w:rFonts w:ascii="宋体" w:eastAsia="宋体" w:hAnsi="宋体" w:hint="eastAsia"/>
          <w:szCs w:val="21"/>
        </w:rPr>
        <w:t>7</w:t>
      </w:r>
      <w:r>
        <w:rPr>
          <w:rFonts w:ascii="宋体" w:eastAsia="宋体" w:hAnsi="宋体"/>
          <w:szCs w:val="21"/>
        </w:rPr>
        <w:t>.</w:t>
      </w:r>
      <w:r>
        <w:rPr>
          <w:rFonts w:ascii="宋体" w:eastAsia="宋体" w:hAnsi="宋体" w:hint="eastAsia"/>
          <w:szCs w:val="21"/>
        </w:rPr>
        <w:t>3从投标截止期至投标人在投标文件中确定的投标有效期之间的这段时间内，投标人不得撤回其投标。</w:t>
      </w:r>
    </w:p>
    <w:p>
      <w:pPr>
        <w:spacing w:line="360" w:lineRule="auto"/>
        <w:ind w:firstLine="470" w:firstLineChars="196"/>
        <w:rPr>
          <w:rFonts w:ascii="宋体" w:eastAsia="宋体" w:hAnsi="宋体"/>
          <w:szCs w:val="21"/>
        </w:rPr>
      </w:pPr>
      <w:r>
        <w:rPr>
          <w:rFonts w:ascii="宋体" w:eastAsia="宋体" w:hAnsi="宋体" w:hint="eastAsia"/>
          <w:szCs w:val="21"/>
        </w:rPr>
        <w:t>27.4采购代理机构不退还投标文件，专用条款另有规定的除外。</w:t>
      </w:r>
    </w:p>
    <w:p>
      <w:pPr>
        <w:spacing w:line="360" w:lineRule="auto"/>
        <w:ind w:firstLine="470" w:firstLineChars="196"/>
        <w:rPr>
          <w:rFonts w:ascii="宋体" w:eastAsia="宋体" w:hAnsi="宋体"/>
          <w:szCs w:val="21"/>
        </w:rPr>
      </w:pPr>
      <w:bookmarkEnd w:id="141"/>
    </w:p>
    <w:p>
      <w:pPr>
        <w:pStyle w:val="Heading2"/>
        <w:spacing w:line="360" w:lineRule="auto"/>
        <w:rPr>
          <w:kern w:val="2"/>
        </w:rPr>
      </w:pPr>
      <w:bookmarkStart w:id="142" w:name="_Toc100052391"/>
      <w:bookmarkStart w:id="143" w:name="_Toc73518144"/>
      <w:bookmarkStart w:id="144" w:name="_Toc73521574"/>
      <w:bookmarkStart w:id="145" w:name="_Toc73521662"/>
      <w:bookmarkStart w:id="146" w:name="_Toc101074881"/>
      <w:bookmarkStart w:id="147" w:name="_Toc73517666"/>
      <w:bookmarkStart w:id="148" w:name="_Toc100052392"/>
      <w:bookmarkStart w:id="149" w:name="_Toc73518145"/>
      <w:bookmarkStart w:id="150" w:name="_Toc73521575"/>
      <w:bookmarkStart w:id="151" w:name="_Toc73517667"/>
      <w:bookmarkStart w:id="152" w:name="_Toc60631650"/>
      <w:bookmarkStart w:id="153" w:name="_Toc73521663"/>
      <w:bookmarkStart w:id="154" w:name="_Toc60560655"/>
      <w:r>
        <w:rPr>
          <w:rFonts w:hint="eastAsia"/>
          <w:kern w:val="2"/>
        </w:rPr>
        <w:t>第五章  开标</w:t>
      </w:r>
      <w:bookmarkEnd w:id="142"/>
      <w:bookmarkEnd w:id="143"/>
      <w:bookmarkEnd w:id="144"/>
      <w:bookmarkEnd w:id="145"/>
      <w:bookmarkEnd w:id="146"/>
      <w:bookmarkEnd w:id="147"/>
    </w:p>
    <w:p>
      <w:pPr>
        <w:spacing w:line="360" w:lineRule="auto"/>
        <w:ind w:firstLine="470" w:firstLineChars="196"/>
        <w:rPr>
          <w:rFonts w:ascii="宋体" w:eastAsia="宋体" w:hAnsi="宋体"/>
          <w:b/>
          <w:szCs w:val="21"/>
        </w:rPr>
      </w:pPr>
      <w:bookmarkEnd w:id="148"/>
      <w:bookmarkEnd w:id="149"/>
      <w:bookmarkEnd w:id="150"/>
      <w:bookmarkEnd w:id="151"/>
      <w:bookmarkEnd w:id="152"/>
      <w:bookmarkEnd w:id="153"/>
      <w:bookmarkEnd w:id="154"/>
      <w:bookmarkStart w:id="155" w:name="_Toc100052393"/>
      <w:bookmarkStart w:id="156" w:name="_Toc73517668"/>
      <w:bookmarkStart w:id="157" w:name="_Toc73518146"/>
      <w:bookmarkStart w:id="158" w:name="_Toc73521576"/>
      <w:bookmarkStart w:id="159" w:name="_Toc101074882"/>
      <w:bookmarkStart w:id="160" w:name="_Toc73521664"/>
      <w:r>
        <w:rPr>
          <w:rFonts w:ascii="宋体" w:eastAsia="宋体" w:hAnsi="宋体" w:hint="eastAsia"/>
          <w:b/>
          <w:szCs w:val="21"/>
        </w:rPr>
        <w:t>28．开标</w:t>
      </w:r>
    </w:p>
    <w:p>
      <w:pPr>
        <w:spacing w:line="360" w:lineRule="auto"/>
        <w:ind w:firstLine="470" w:firstLineChars="196"/>
        <w:rPr>
          <w:rFonts w:ascii="宋体" w:eastAsia="宋体" w:hAnsi="宋体"/>
          <w:szCs w:val="21"/>
        </w:rPr>
      </w:pPr>
      <w:r>
        <w:rPr>
          <w:rFonts w:ascii="宋体" w:eastAsia="宋体" w:hAnsi="宋体" w:hint="eastAsia"/>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spacing w:line="360" w:lineRule="auto"/>
        <w:ind w:firstLine="470" w:firstLineChars="196"/>
        <w:rPr>
          <w:rFonts w:ascii="宋体" w:eastAsia="宋体" w:hAnsi="宋体"/>
          <w:szCs w:val="21"/>
        </w:rPr>
      </w:pPr>
      <w:r>
        <w:rPr>
          <w:rFonts w:ascii="宋体" w:eastAsia="宋体" w:hAnsi="宋体" w:hint="eastAsia"/>
          <w:szCs w:val="21"/>
        </w:rPr>
        <w:t>28.2 采购代理机构将在满足开标条件（①解密时间结束，解密后的投标供应商数量满足开标要求或②解密时间结束前所有投标供应商均完成投标文件解密）后，对投标文件进行开标，并在网上公布开标结果。</w:t>
      </w:r>
    </w:p>
    <w:p>
      <w:pPr>
        <w:pStyle w:val="Heading2"/>
        <w:spacing w:line="360" w:lineRule="auto"/>
        <w:rPr>
          <w:kern w:val="2"/>
        </w:rPr>
      </w:pPr>
      <w:bookmarkEnd w:id="155"/>
      <w:bookmarkEnd w:id="156"/>
      <w:bookmarkEnd w:id="157"/>
      <w:bookmarkEnd w:id="158"/>
      <w:bookmarkEnd w:id="159"/>
      <w:bookmarkEnd w:id="160"/>
      <w:bookmarkStart w:id="161" w:name="bt评标会议"/>
      <w:bookmarkEnd w:id="161"/>
      <w:bookmarkStart w:id="162" w:name="_Toc100052394"/>
      <w:bookmarkStart w:id="163" w:name="_Toc73518147"/>
      <w:bookmarkStart w:id="164" w:name="_Toc73521665"/>
      <w:bookmarkStart w:id="165" w:name="_Toc73517669"/>
      <w:bookmarkStart w:id="166" w:name="_Toc73521577"/>
      <w:r>
        <w:rPr>
          <w:rFonts w:hint="eastAsia"/>
          <w:kern w:val="2"/>
        </w:rPr>
        <w:t>第六章  评标要求</w:t>
      </w:r>
    </w:p>
    <w:p>
      <w:pPr>
        <w:spacing w:line="360" w:lineRule="auto"/>
        <w:rPr>
          <w:rFonts w:ascii="宋体" w:eastAsia="宋体" w:hAnsi="宋体"/>
          <w:b/>
          <w:bCs/>
          <w:szCs w:val="21"/>
        </w:rPr>
      </w:pPr>
      <w:bookmarkEnd w:id="162"/>
      <w:bookmarkEnd w:id="163"/>
      <w:bookmarkEnd w:id="164"/>
      <w:bookmarkEnd w:id="165"/>
      <w:bookmarkEnd w:id="166"/>
      <w:bookmarkStart w:id="167" w:name="bt评标过程的保密"/>
      <w:bookmarkEnd w:id="167"/>
      <w:bookmarkStart w:id="168" w:name="bt错误的修正"/>
      <w:bookmarkEnd w:id="168"/>
      <w:r>
        <w:rPr>
          <w:rFonts w:ascii="宋体" w:eastAsia="宋体" w:hAnsi="宋体" w:hint="eastAsia"/>
          <w:b/>
          <w:bCs/>
          <w:szCs w:val="21"/>
        </w:rPr>
        <w:t>29．评审委员会组成</w:t>
      </w:r>
    </w:p>
    <w:p>
      <w:pPr>
        <w:spacing w:line="360" w:lineRule="auto"/>
        <w:ind w:firstLine="470" w:firstLineChars="196"/>
        <w:rPr>
          <w:rFonts w:ascii="宋体" w:eastAsia="宋体" w:hAnsi="宋体"/>
          <w:szCs w:val="21"/>
        </w:rPr>
      </w:pPr>
      <w:r>
        <w:rPr>
          <w:rFonts w:ascii="宋体" w:eastAsia="宋体" w:hAnsi="宋体" w:hint="eastAsia"/>
          <w:szCs w:val="21"/>
        </w:rPr>
        <w:t>29.1网上开标结束后召开评审会议，评审委员会由采购代理机构依法组建，负责评审活动。</w:t>
      </w:r>
    </w:p>
    <w:p>
      <w:pPr>
        <w:spacing w:line="360" w:lineRule="auto"/>
        <w:ind w:firstLine="470" w:firstLineChars="196"/>
        <w:rPr>
          <w:rFonts w:ascii="宋体" w:eastAsia="宋体" w:hAnsi="宋体"/>
          <w:szCs w:val="21"/>
        </w:rPr>
      </w:pPr>
      <w:bookmarkStart w:id="169" w:name="_Hlk72436580"/>
      <w:r>
        <w:rPr>
          <w:rFonts w:ascii="宋体" w:eastAsia="宋体" w:hAnsi="宋体" w:hint="eastAsia"/>
          <w:szCs w:val="21"/>
        </w:rPr>
        <w:t>评审委员会由采购人代表和评审专家组成，成员人数应当为5人以上单数（部分条件下为7人以上单数），其中评审专家不得少于成员总数的三分之二。</w:t>
      </w:r>
      <w:bookmarkEnd w:id="169"/>
      <w:r>
        <w:rPr>
          <w:rFonts w:ascii="宋体" w:eastAsia="宋体" w:hAnsi="宋体" w:hint="eastAsia"/>
          <w:szCs w:val="21"/>
        </w:rPr>
        <w:t>评定分离项目</w:t>
      </w:r>
      <w:r>
        <w:rPr>
          <w:rFonts w:ascii="宋体" w:eastAsia="宋体" w:hAnsi="宋体"/>
          <w:szCs w:val="21"/>
        </w:rPr>
        <w:t>评审专家</w:t>
      </w:r>
      <w:r>
        <w:rPr>
          <w:rFonts w:ascii="宋体" w:eastAsia="宋体" w:hAnsi="宋体" w:hint="eastAsia"/>
          <w:szCs w:val="21"/>
        </w:rPr>
        <w:t>均</w:t>
      </w:r>
      <w:r>
        <w:rPr>
          <w:rFonts w:ascii="宋体" w:eastAsia="宋体" w:hAnsi="宋体"/>
          <w:szCs w:val="21"/>
        </w:rPr>
        <w:t>由</w:t>
      </w:r>
      <w:r>
        <w:rPr>
          <w:rFonts w:ascii="宋体" w:eastAsia="宋体" w:hAnsi="宋体" w:hint="eastAsia"/>
          <w:szCs w:val="21"/>
        </w:rPr>
        <w:t>评审专家组成。评审专家一般是从深圳市政府采购评审专家库中随机抽取。采购人代表须持本单位签发的《评审授权书》参加评审。</w:t>
      </w:r>
    </w:p>
    <w:p>
      <w:pPr>
        <w:spacing w:line="360" w:lineRule="auto"/>
        <w:ind w:firstLine="470" w:firstLineChars="196"/>
        <w:rPr>
          <w:rFonts w:ascii="宋体" w:eastAsia="宋体" w:hAnsi="宋体"/>
          <w:szCs w:val="21"/>
        </w:rPr>
      </w:pPr>
      <w:r>
        <w:rPr>
          <w:rFonts w:ascii="宋体" w:eastAsia="宋体" w:hAnsi="宋体" w:hint="eastAsia"/>
          <w:szCs w:val="21"/>
        </w:rPr>
        <w:t>29.2评审定标应当遵循公平、公正、科学、择优的原则。</w:t>
      </w:r>
    </w:p>
    <w:p>
      <w:pPr>
        <w:spacing w:line="360" w:lineRule="auto"/>
        <w:ind w:firstLine="470" w:firstLineChars="196"/>
        <w:rPr>
          <w:rFonts w:ascii="宋体" w:eastAsia="宋体" w:hAnsi="宋体"/>
          <w:szCs w:val="21"/>
        </w:rPr>
      </w:pPr>
      <w:r>
        <w:rPr>
          <w:rFonts w:ascii="宋体" w:eastAsia="宋体" w:hAnsi="宋体" w:hint="eastAsia"/>
          <w:szCs w:val="21"/>
        </w:rPr>
        <w:t>29.3评审活动依法进行，任何单位和个人不得非法干预评标过程和结果。</w:t>
      </w:r>
    </w:p>
    <w:p>
      <w:pPr>
        <w:spacing w:line="360" w:lineRule="auto"/>
        <w:ind w:firstLine="470" w:firstLineChars="196"/>
        <w:rPr>
          <w:rFonts w:ascii="宋体" w:eastAsia="宋体" w:hAnsi="宋体"/>
          <w:szCs w:val="21"/>
        </w:rPr>
      </w:pPr>
      <w:r>
        <w:rPr>
          <w:rFonts w:ascii="宋体" w:eastAsia="宋体" w:hAnsi="宋体" w:hint="eastAsia"/>
          <w:szCs w:val="21"/>
        </w:rPr>
        <w:t>29.4评审过程中不允许违背评标程序或采用招标文件未载明的评标方法或评标因素进行评标。</w:t>
      </w:r>
    </w:p>
    <w:p>
      <w:pPr>
        <w:spacing w:line="360" w:lineRule="auto"/>
        <w:ind w:firstLine="470" w:firstLineChars="196"/>
        <w:rPr>
          <w:rFonts w:ascii="宋体" w:eastAsia="宋体" w:hAnsi="宋体"/>
          <w:bCs/>
          <w:szCs w:val="21"/>
        </w:rPr>
      </w:pPr>
      <w:r>
        <w:rPr>
          <w:rFonts w:ascii="宋体" w:eastAsia="宋体" w:hAnsi="宋体" w:hint="eastAsia"/>
          <w:bCs/>
          <w:szCs w:val="21"/>
        </w:rPr>
        <w:t>29.5 开标后，直到签订合同为止，凡属于对投标文件的审查、澄清、评价和比较的有关资料以及中标候选人的推荐情况、与评审有关的其他任何情况均严格保密（</w:t>
      </w:r>
      <w:r>
        <w:rPr>
          <w:rFonts w:ascii="宋体" w:eastAsia="宋体" w:hAnsi="宋体" w:hint="eastAsia"/>
          <w:szCs w:val="21"/>
        </w:rPr>
        <w:t>信息公开的内容除外</w:t>
      </w:r>
      <w:r>
        <w:rPr>
          <w:rFonts w:ascii="宋体" w:eastAsia="宋体" w:hAnsi="宋体" w:hint="eastAsia"/>
          <w:bCs/>
          <w:szCs w:val="21"/>
        </w:rPr>
        <w:t>）。</w:t>
      </w:r>
    </w:p>
    <w:p>
      <w:pPr>
        <w:spacing w:line="360" w:lineRule="auto"/>
        <w:rPr>
          <w:rFonts w:ascii="宋体" w:eastAsia="宋体" w:hAnsi="宋体"/>
          <w:b/>
          <w:bCs/>
          <w:szCs w:val="21"/>
        </w:rPr>
      </w:pPr>
      <w:r>
        <w:rPr>
          <w:rFonts w:ascii="宋体" w:eastAsia="宋体" w:hAnsi="宋体" w:hint="eastAsia"/>
          <w:b/>
          <w:bCs/>
          <w:szCs w:val="21"/>
        </w:rPr>
        <w:t>30．向评审委员会提供的资料</w:t>
      </w:r>
    </w:p>
    <w:p>
      <w:pPr>
        <w:spacing w:line="360" w:lineRule="auto"/>
        <w:ind w:firstLine="470" w:firstLineChars="196"/>
        <w:rPr>
          <w:rFonts w:ascii="宋体" w:eastAsia="宋体" w:hAnsi="宋体"/>
          <w:szCs w:val="21"/>
        </w:rPr>
      </w:pPr>
      <w:r>
        <w:rPr>
          <w:rFonts w:ascii="宋体" w:eastAsia="宋体" w:hAnsi="宋体" w:hint="eastAsia"/>
          <w:szCs w:val="21"/>
        </w:rPr>
        <w:t>30.1公开发布的招标文件，包括图纸、服务清单、答疑文件等；</w:t>
      </w:r>
    </w:p>
    <w:p>
      <w:pPr>
        <w:spacing w:line="360" w:lineRule="auto"/>
        <w:ind w:firstLine="470" w:firstLineChars="196"/>
        <w:rPr>
          <w:rFonts w:ascii="宋体" w:eastAsia="宋体" w:hAnsi="宋体"/>
          <w:szCs w:val="21"/>
        </w:rPr>
      </w:pPr>
      <w:r>
        <w:rPr>
          <w:rFonts w:ascii="宋体" w:eastAsia="宋体" w:hAnsi="宋体" w:hint="eastAsia"/>
          <w:szCs w:val="21"/>
        </w:rPr>
        <w:t>30.2其他评标必须的资料。</w:t>
      </w:r>
    </w:p>
    <w:p>
      <w:pPr>
        <w:spacing w:line="360" w:lineRule="auto"/>
        <w:ind w:firstLine="470" w:firstLineChars="196"/>
        <w:rPr>
          <w:rFonts w:ascii="宋体" w:eastAsia="宋体" w:hAnsi="宋体"/>
          <w:szCs w:val="21"/>
        </w:rPr>
      </w:pPr>
      <w:r>
        <w:rPr>
          <w:rFonts w:ascii="宋体" w:eastAsia="宋体" w:hAnsi="宋体" w:hint="eastAsia"/>
          <w:szCs w:val="21"/>
        </w:rPr>
        <w:t>30.3评审委员会应当认真研究招标文件，至少应了解熟悉以下内容：</w:t>
      </w:r>
    </w:p>
    <w:p>
      <w:pPr>
        <w:spacing w:line="360" w:lineRule="auto"/>
        <w:ind w:firstLine="470" w:firstLineChars="196"/>
        <w:rPr>
          <w:rFonts w:ascii="宋体" w:eastAsia="宋体" w:hAnsi="宋体"/>
          <w:szCs w:val="21"/>
        </w:rPr>
      </w:pPr>
      <w:r>
        <w:rPr>
          <w:rFonts w:ascii="宋体" w:eastAsia="宋体" w:hAnsi="宋体" w:hint="eastAsia"/>
          <w:szCs w:val="21"/>
        </w:rPr>
        <w:t>（1）招标的目的；</w:t>
      </w:r>
    </w:p>
    <w:p>
      <w:pPr>
        <w:spacing w:line="360" w:lineRule="auto"/>
        <w:ind w:firstLine="470" w:firstLineChars="196"/>
        <w:rPr>
          <w:rFonts w:ascii="宋体" w:eastAsia="宋体" w:hAnsi="宋体"/>
          <w:szCs w:val="21"/>
        </w:rPr>
      </w:pPr>
      <w:r>
        <w:rPr>
          <w:rFonts w:ascii="宋体" w:eastAsia="宋体" w:hAnsi="宋体" w:hint="eastAsia"/>
          <w:szCs w:val="21"/>
        </w:rPr>
        <w:t>（2）招标项目需求的范围和性质；</w:t>
      </w:r>
    </w:p>
    <w:p>
      <w:pPr>
        <w:spacing w:line="360" w:lineRule="auto"/>
        <w:ind w:firstLine="470" w:firstLineChars="196"/>
        <w:rPr>
          <w:rFonts w:ascii="宋体" w:eastAsia="宋体" w:hAnsi="宋体"/>
          <w:szCs w:val="21"/>
        </w:rPr>
      </w:pPr>
      <w:r>
        <w:rPr>
          <w:rFonts w:ascii="宋体" w:eastAsia="宋体" w:hAnsi="宋体" w:hint="eastAsia"/>
          <w:szCs w:val="21"/>
        </w:rPr>
        <w:t>（3）招标文件规定的投标人的资格、财政预算限额、商务条款；</w:t>
      </w:r>
    </w:p>
    <w:p>
      <w:pPr>
        <w:spacing w:line="360" w:lineRule="auto"/>
        <w:ind w:firstLine="470" w:firstLineChars="196"/>
        <w:rPr>
          <w:rFonts w:ascii="宋体" w:eastAsia="宋体" w:hAnsi="宋体"/>
          <w:szCs w:val="21"/>
        </w:rPr>
      </w:pPr>
      <w:r>
        <w:rPr>
          <w:rFonts w:ascii="宋体" w:eastAsia="宋体" w:hAnsi="宋体" w:hint="eastAsia"/>
          <w:szCs w:val="21"/>
        </w:rPr>
        <w:t>（4）招标文件规定的评标程序、评标方法和评标因素；</w:t>
      </w:r>
    </w:p>
    <w:p>
      <w:pPr>
        <w:spacing w:line="360" w:lineRule="auto"/>
        <w:ind w:firstLine="470" w:firstLineChars="196"/>
        <w:rPr>
          <w:rFonts w:ascii="宋体" w:eastAsia="宋体" w:hAnsi="宋体"/>
          <w:szCs w:val="21"/>
        </w:rPr>
      </w:pPr>
      <w:r>
        <w:rPr>
          <w:rFonts w:ascii="宋体" w:eastAsia="宋体" w:hAnsi="宋体" w:hint="eastAsia"/>
          <w:szCs w:val="21"/>
        </w:rPr>
        <w:t>（5）招标文件所列示的资格性审查表及符合性审查表。</w:t>
      </w:r>
    </w:p>
    <w:p>
      <w:pPr>
        <w:spacing w:line="360" w:lineRule="auto"/>
        <w:rPr>
          <w:rFonts w:ascii="宋体" w:eastAsia="宋体" w:hAnsi="宋体"/>
          <w:b/>
          <w:bCs/>
          <w:szCs w:val="21"/>
        </w:rPr>
      </w:pPr>
      <w:r>
        <w:rPr>
          <w:rFonts w:ascii="宋体" w:eastAsia="宋体" w:hAnsi="宋体" w:hint="eastAsia"/>
          <w:b/>
          <w:bCs/>
          <w:szCs w:val="21"/>
        </w:rPr>
        <w:t>31．独立评审</w:t>
      </w:r>
    </w:p>
    <w:p>
      <w:pPr>
        <w:spacing w:line="360" w:lineRule="auto"/>
        <w:ind w:firstLine="470" w:firstLineChars="196"/>
        <w:rPr>
          <w:rFonts w:ascii="宋体" w:eastAsia="宋体" w:hAnsi="宋体"/>
          <w:bCs/>
          <w:szCs w:val="21"/>
        </w:rPr>
      </w:pPr>
      <w:r>
        <w:rPr>
          <w:rFonts w:ascii="宋体" w:eastAsia="宋体" w:hAnsi="宋体" w:hint="eastAsia"/>
          <w:bCs/>
          <w:szCs w:val="21"/>
        </w:rPr>
        <w:t>3</w:t>
      </w:r>
      <w:r>
        <w:rPr>
          <w:rFonts w:ascii="宋体" w:eastAsia="宋体" w:hAnsi="宋体"/>
          <w:bCs/>
          <w:szCs w:val="21"/>
        </w:rPr>
        <w:t>1</w:t>
      </w:r>
      <w:r>
        <w:rPr>
          <w:rFonts w:ascii="宋体" w:eastAsia="宋体" w:hAnsi="宋体" w:hint="eastAsia"/>
          <w:bCs/>
          <w:szCs w:val="21"/>
        </w:rPr>
        <w:t>.1</w:t>
      </w:r>
      <w:r>
        <w:rPr>
          <w:rFonts w:ascii="宋体" w:eastAsia="宋体" w:hAnsi="宋体" w:hint="eastAsia"/>
          <w:szCs w:val="21"/>
        </w:rPr>
        <w:t>评审委员会</w:t>
      </w:r>
      <w:r>
        <w:rPr>
          <w:rFonts w:ascii="宋体" w:eastAsia="宋体" w:hAnsi="宋体" w:hint="eastAsia"/>
          <w:bCs/>
          <w:szCs w:val="21"/>
        </w:rPr>
        <w:t>成员的评标活动应当独立进行，并应遵循投标文件初审、澄清有关问题、比较与评价、确定中标供应商、编写评审报告的工作程序。</w:t>
      </w:r>
    </w:p>
    <w:p>
      <w:pPr>
        <w:spacing w:line="360" w:lineRule="auto"/>
        <w:ind w:firstLine="470" w:firstLineChars="196"/>
        <w:rPr>
          <w:rFonts w:ascii="宋体" w:eastAsia="宋体" w:hAnsi="宋体"/>
          <w:szCs w:val="21"/>
        </w:rPr>
      </w:pPr>
    </w:p>
    <w:p>
      <w:pPr>
        <w:pStyle w:val="Heading2"/>
        <w:spacing w:line="360" w:lineRule="auto"/>
        <w:rPr>
          <w:kern w:val="2"/>
        </w:rPr>
      </w:pPr>
      <w:bookmarkStart w:id="170" w:name="_Toc101074883"/>
      <w:bookmarkStart w:id="171" w:name="_Toc100052397"/>
      <w:bookmarkStart w:id="172" w:name="_Toc73521579"/>
      <w:bookmarkStart w:id="173" w:name="_Toc73521667"/>
      <w:bookmarkStart w:id="174" w:name="_Toc73518149"/>
      <w:bookmarkStart w:id="175" w:name="_Toc73517671"/>
      <w:bookmarkStart w:id="176" w:name="_Toc100052398"/>
      <w:r>
        <w:rPr>
          <w:rFonts w:hint="eastAsia"/>
          <w:kern w:val="2"/>
        </w:rPr>
        <w:t>第七章  评审程序</w:t>
      </w:r>
      <w:bookmarkStart w:id="177" w:name="bt投标文件的审查"/>
      <w:bookmarkEnd w:id="177"/>
      <w:r>
        <w:rPr>
          <w:rFonts w:hint="eastAsia"/>
          <w:kern w:val="2"/>
        </w:rPr>
        <w:t>及评审方法</w:t>
      </w:r>
      <w:bookmarkEnd w:id="170"/>
      <w:bookmarkEnd w:id="171"/>
    </w:p>
    <w:p>
      <w:pPr>
        <w:spacing w:line="360" w:lineRule="auto"/>
        <w:rPr>
          <w:rFonts w:ascii="宋体" w:eastAsia="宋体" w:hAnsi="宋体"/>
          <w:b/>
          <w:bCs/>
          <w:szCs w:val="21"/>
        </w:rPr>
      </w:pPr>
      <w:bookmarkEnd w:id="172"/>
      <w:bookmarkEnd w:id="173"/>
      <w:bookmarkEnd w:id="174"/>
      <w:bookmarkEnd w:id="175"/>
      <w:bookmarkEnd w:id="176"/>
      <w:r>
        <w:rPr>
          <w:rFonts w:ascii="宋体" w:eastAsia="宋体" w:hAnsi="宋体" w:hint="eastAsia"/>
          <w:b/>
          <w:bCs/>
          <w:szCs w:val="21"/>
        </w:rPr>
        <w:t>32．投标文件初审</w:t>
      </w:r>
    </w:p>
    <w:p>
      <w:pPr>
        <w:spacing w:line="360" w:lineRule="auto"/>
        <w:ind w:firstLine="470" w:firstLineChars="196"/>
        <w:rPr>
          <w:rFonts w:ascii="宋体" w:eastAsia="宋体" w:hAnsi="宋体"/>
          <w:szCs w:val="21"/>
        </w:rPr>
      </w:pPr>
      <w:r>
        <w:rPr>
          <w:rFonts w:ascii="宋体" w:eastAsia="宋体" w:hAnsi="宋体" w:hint="eastAsia"/>
          <w:szCs w:val="21"/>
        </w:rPr>
        <w:t>32.1投标文件初审包括资格性审查和符合性审查。</w:t>
      </w:r>
    </w:p>
    <w:p>
      <w:pPr>
        <w:spacing w:line="360" w:lineRule="auto"/>
        <w:ind w:firstLine="470" w:firstLineChars="196"/>
        <w:rPr>
          <w:rFonts w:ascii="宋体" w:eastAsia="宋体" w:hAnsi="宋体"/>
          <w:szCs w:val="21"/>
        </w:rPr>
      </w:pPr>
      <w:r>
        <w:rPr>
          <w:rFonts w:ascii="宋体" w:eastAsia="宋体" w:hAnsi="宋体" w:hint="eastAsia"/>
          <w:szCs w:val="21"/>
        </w:rPr>
        <w:t>资格性审查：依据法律法规和招标文件的规定，对投标文件中的资格证明等进行审查，以确定投标供应商是否具备投标资格。</w:t>
      </w:r>
    </w:p>
    <w:p>
      <w:pPr>
        <w:spacing w:line="360" w:lineRule="auto"/>
        <w:ind w:firstLine="470" w:firstLineChars="196"/>
        <w:rPr>
          <w:rFonts w:ascii="宋体" w:eastAsia="宋体" w:hAnsi="宋体"/>
          <w:szCs w:val="21"/>
        </w:rPr>
      </w:pPr>
      <w:r>
        <w:rPr>
          <w:rFonts w:ascii="宋体" w:eastAsia="宋体" w:hAnsi="宋体" w:hint="eastAsia"/>
          <w:szCs w:val="21"/>
        </w:rPr>
        <w:t>符合性审查：依据招标文件的规定，对投标文件的有效性、完整性和对招标文件的响应程度进行审查，以确定是否满足符合性审查的要求。</w:t>
      </w:r>
    </w:p>
    <w:p>
      <w:pPr>
        <w:spacing w:line="360" w:lineRule="auto"/>
        <w:ind w:firstLine="470" w:firstLineChars="196"/>
        <w:rPr>
          <w:rFonts w:ascii="宋体" w:eastAsia="宋体" w:hAnsi="宋体"/>
          <w:szCs w:val="21"/>
        </w:rPr>
      </w:pPr>
      <w:r>
        <w:rPr>
          <w:rFonts w:ascii="宋体" w:eastAsia="宋体" w:hAnsi="宋体" w:hint="eastAsia"/>
          <w:szCs w:val="21"/>
        </w:rPr>
        <w:t>32.2 投标文件初审内容请详见《资格性审查表》和《符合性审查表》部分。投标人若有一条审查不通过则按投标无效处理。</w:t>
      </w:r>
    </w:p>
    <w:p>
      <w:pPr>
        <w:spacing w:line="360" w:lineRule="auto"/>
        <w:ind w:firstLine="470" w:firstLineChars="196"/>
        <w:rPr>
          <w:rFonts w:ascii="宋体" w:eastAsia="宋体" w:hAnsi="宋体"/>
          <w:bCs/>
          <w:szCs w:val="21"/>
        </w:rPr>
      </w:pPr>
      <w:r>
        <w:rPr>
          <w:rFonts w:ascii="宋体" w:eastAsia="宋体" w:hAnsi="宋体" w:hint="eastAsia"/>
          <w:bCs/>
          <w:szCs w:val="21"/>
        </w:rPr>
        <w:t>32.3 投标文件初审中关于供应商家数的计算:</w:t>
      </w:r>
    </w:p>
    <w:p>
      <w:pPr>
        <w:spacing w:line="360" w:lineRule="auto"/>
        <w:ind w:firstLine="470" w:firstLineChars="196"/>
        <w:rPr>
          <w:rFonts w:ascii="宋体" w:eastAsia="宋体" w:hAnsi="宋体"/>
          <w:bCs/>
          <w:szCs w:val="21"/>
        </w:rPr>
      </w:pPr>
      <w:r>
        <w:rPr>
          <w:rFonts w:ascii="宋体" w:eastAsia="宋体" w:hAnsi="宋体" w:hint="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pacing w:line="360" w:lineRule="auto"/>
        <w:ind w:firstLine="470" w:firstLineChars="196"/>
        <w:rPr>
          <w:rFonts w:ascii="宋体" w:eastAsia="宋体" w:hAnsi="宋体"/>
          <w:bCs/>
          <w:szCs w:val="21"/>
        </w:rPr>
      </w:pPr>
      <w:r>
        <w:rPr>
          <w:rFonts w:ascii="宋体" w:eastAsia="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pacing w:line="360" w:lineRule="auto"/>
        <w:ind w:firstLine="470" w:firstLineChars="196"/>
        <w:rPr>
          <w:rFonts w:ascii="宋体" w:eastAsia="宋体" w:hAnsi="宋体"/>
          <w:bCs/>
          <w:szCs w:val="21"/>
        </w:rPr>
      </w:pPr>
      <w:r>
        <w:rPr>
          <w:rFonts w:ascii="宋体" w:eastAsia="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70" w:firstLineChars="196"/>
        <w:rPr>
          <w:rFonts w:ascii="宋体" w:eastAsia="宋体" w:hAnsi="宋体"/>
          <w:szCs w:val="21"/>
        </w:rPr>
      </w:pPr>
      <w:r>
        <w:rPr>
          <w:rFonts w:ascii="宋体" w:eastAsia="宋体" w:hAnsi="宋体" w:hint="eastAsia"/>
          <w:szCs w:val="21"/>
        </w:rPr>
        <w:t>32.4投标人投标文件作无效处理的情形，具体包括但不限于以下：</w:t>
      </w:r>
    </w:p>
    <w:p>
      <w:pPr>
        <w:spacing w:line="360" w:lineRule="auto"/>
        <w:ind w:firstLine="470" w:firstLineChars="196"/>
        <w:rPr>
          <w:rFonts w:ascii="宋体" w:eastAsia="宋体" w:hAnsi="宋体"/>
          <w:szCs w:val="21"/>
        </w:rPr>
      </w:pPr>
      <w:r>
        <w:rPr>
          <w:rFonts w:ascii="宋体" w:eastAsia="宋体" w:hAnsi="宋体" w:hint="eastAsia"/>
          <w:szCs w:val="21"/>
        </w:rPr>
        <w:t>32.4.1不同投标人的投标文件由同一单位或者同一个人编制，或者由同一个人分阶段参与编制；</w:t>
      </w:r>
    </w:p>
    <w:p>
      <w:pPr>
        <w:spacing w:line="360" w:lineRule="auto"/>
        <w:ind w:firstLine="470" w:firstLineChars="196"/>
        <w:rPr>
          <w:rFonts w:ascii="宋体" w:eastAsia="宋体" w:hAnsi="宋体"/>
          <w:szCs w:val="21"/>
        </w:rPr>
      </w:pPr>
      <w:r>
        <w:rPr>
          <w:rFonts w:ascii="宋体" w:eastAsia="宋体" w:hAnsi="宋体"/>
          <w:szCs w:val="21"/>
        </w:rPr>
        <w:t>32.4.</w:t>
      </w:r>
      <w:r>
        <w:rPr>
          <w:rFonts w:ascii="宋体" w:eastAsia="宋体" w:hAnsi="宋体" w:hint="eastAsia"/>
          <w:szCs w:val="21"/>
        </w:rPr>
        <w:t>2不同投标人委托同一单位或者个人办理投标事宜；</w:t>
      </w:r>
    </w:p>
    <w:p>
      <w:pPr>
        <w:spacing w:line="360" w:lineRule="auto"/>
        <w:ind w:firstLine="470" w:firstLineChars="196"/>
        <w:rPr>
          <w:rFonts w:ascii="宋体" w:eastAsia="宋体" w:hAnsi="宋体"/>
          <w:szCs w:val="21"/>
        </w:rPr>
      </w:pPr>
      <w:r>
        <w:rPr>
          <w:rFonts w:ascii="宋体" w:eastAsia="宋体" w:hAnsi="宋体" w:hint="eastAsia"/>
          <w:szCs w:val="21"/>
        </w:rPr>
        <w:t>32.4.3不同投标人的投标文件载明的项目管理成员或者联系人员为同一人；</w:t>
      </w:r>
    </w:p>
    <w:p>
      <w:pPr>
        <w:spacing w:line="360" w:lineRule="auto"/>
        <w:ind w:firstLine="470" w:firstLineChars="196"/>
        <w:rPr>
          <w:rFonts w:ascii="宋体" w:eastAsia="宋体" w:hAnsi="宋体"/>
          <w:szCs w:val="21"/>
        </w:rPr>
      </w:pPr>
      <w:r>
        <w:rPr>
          <w:rFonts w:ascii="宋体" w:eastAsia="宋体" w:hAnsi="宋体" w:hint="eastAsia"/>
          <w:szCs w:val="21"/>
        </w:rPr>
        <w:t>32.4.4不同投标人的投标文件异常一致或者投标报价呈规律性差异；</w:t>
      </w:r>
    </w:p>
    <w:p>
      <w:pPr>
        <w:spacing w:line="360" w:lineRule="auto"/>
        <w:ind w:firstLine="470" w:firstLineChars="196"/>
        <w:rPr>
          <w:rFonts w:ascii="宋体" w:eastAsia="宋体" w:hAnsi="宋体"/>
          <w:szCs w:val="21"/>
        </w:rPr>
      </w:pPr>
      <w:r>
        <w:rPr>
          <w:rFonts w:ascii="宋体" w:eastAsia="宋体" w:hAnsi="宋体" w:hint="eastAsia"/>
          <w:szCs w:val="21"/>
        </w:rPr>
        <w:t>32.4.5</w:t>
      </w:r>
      <w:r>
        <w:rPr>
          <w:rFonts w:ascii="宋体" w:eastAsia="宋体" w:hAnsi="宋体"/>
          <w:szCs w:val="21"/>
        </w:rPr>
        <w:t>不同投标供应商的投标文件或部分投标文件相互混装</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32.4.6投标供应商之间相互约定给予未中标的供应商利益补偿；</w:t>
      </w:r>
    </w:p>
    <w:p>
      <w:pPr>
        <w:spacing w:line="360" w:lineRule="auto"/>
        <w:ind w:firstLine="470" w:firstLineChars="196"/>
        <w:rPr>
          <w:rFonts w:ascii="宋体" w:eastAsia="宋体" w:hAnsi="宋体"/>
          <w:szCs w:val="21"/>
        </w:rPr>
      </w:pPr>
      <w:r>
        <w:rPr>
          <w:rFonts w:ascii="宋体" w:eastAsia="宋体" w:hAnsi="宋体" w:hint="eastAsia"/>
          <w:szCs w:val="21"/>
        </w:rPr>
        <w:t>32.4.7不同投标供应商的法定代表人、主要经营负责人、项目投标授权代表人、项目负责人、主要技术人员为同一人、属同一单位或者同一单位缴纳社会保险；</w:t>
      </w:r>
    </w:p>
    <w:p>
      <w:pPr>
        <w:spacing w:line="360" w:lineRule="auto"/>
        <w:ind w:firstLine="470" w:firstLineChars="196"/>
        <w:rPr>
          <w:rFonts w:ascii="宋体" w:eastAsia="宋体" w:hAnsi="宋体"/>
          <w:szCs w:val="21"/>
        </w:rPr>
      </w:pPr>
      <w:r>
        <w:rPr>
          <w:rFonts w:ascii="宋体" w:eastAsia="宋体" w:hAnsi="宋体" w:hint="eastAsia"/>
          <w:szCs w:val="21"/>
        </w:rPr>
        <w:t>32.4.8不同投标供应商的投标文件内容存在非正常一致；</w:t>
      </w:r>
    </w:p>
    <w:p>
      <w:pPr>
        <w:spacing w:line="360" w:lineRule="auto"/>
        <w:ind w:firstLine="470" w:firstLineChars="196"/>
        <w:rPr>
          <w:rFonts w:ascii="宋体" w:eastAsia="宋体" w:hAnsi="宋体"/>
          <w:szCs w:val="21"/>
        </w:rPr>
      </w:pPr>
      <w:r>
        <w:rPr>
          <w:rFonts w:ascii="宋体" w:eastAsia="宋体" w:hAnsi="宋体" w:hint="eastAsia"/>
          <w:szCs w:val="21"/>
        </w:rPr>
        <w:t>32.4.9在同一单位工作人员为两家以上（含两家）供应商进行同一项投标活动；</w:t>
      </w:r>
    </w:p>
    <w:p>
      <w:pPr>
        <w:spacing w:line="360" w:lineRule="auto"/>
        <w:ind w:firstLine="470" w:firstLineChars="196"/>
        <w:rPr>
          <w:rFonts w:ascii="宋体" w:eastAsia="宋体" w:hAnsi="宋体"/>
          <w:szCs w:val="21"/>
        </w:rPr>
      </w:pPr>
      <w:r>
        <w:rPr>
          <w:rFonts w:ascii="宋体" w:eastAsia="宋体" w:hAnsi="宋体" w:hint="eastAsia"/>
          <w:szCs w:val="21"/>
        </w:rPr>
        <w:t>32.4.10主管部门依照法律、法规认定的其他情形。</w:t>
      </w:r>
    </w:p>
    <w:p>
      <w:pPr>
        <w:spacing w:line="360" w:lineRule="auto"/>
        <w:ind w:firstLine="470" w:firstLineChars="196"/>
        <w:rPr>
          <w:rFonts w:ascii="宋体" w:eastAsia="宋体" w:hAnsi="宋体"/>
          <w:szCs w:val="21"/>
        </w:rPr>
      </w:pPr>
      <w:r>
        <w:rPr>
          <w:rFonts w:ascii="宋体" w:eastAsia="宋体" w:hAnsi="宋体" w:hint="eastAsia"/>
          <w:szCs w:val="21"/>
        </w:rPr>
        <w:t>32.5对不属于《资格性审查表》和《符合性审查表》所列的其他情形，除专用条款另有规定和32.4条款所列情形外，不得作为投标无效的理由。</w:t>
      </w:r>
    </w:p>
    <w:p>
      <w:pPr>
        <w:spacing w:line="360" w:lineRule="auto"/>
        <w:rPr>
          <w:rFonts w:ascii="宋体" w:eastAsia="宋体" w:hAnsi="宋体"/>
          <w:b/>
          <w:bCs/>
          <w:szCs w:val="21"/>
        </w:rPr>
      </w:pPr>
      <w:r>
        <w:rPr>
          <w:rFonts w:ascii="宋体" w:eastAsia="宋体" w:hAnsi="宋体" w:hint="eastAsia"/>
          <w:b/>
          <w:bCs/>
          <w:szCs w:val="21"/>
        </w:rPr>
        <w:t>33．澄清有关问题</w:t>
      </w:r>
    </w:p>
    <w:p>
      <w:pPr>
        <w:spacing w:line="360" w:lineRule="auto"/>
        <w:ind w:firstLine="470" w:firstLineChars="196"/>
        <w:rPr>
          <w:rFonts w:ascii="宋体" w:eastAsia="宋体" w:hAnsi="宋体"/>
          <w:szCs w:val="21"/>
        </w:rPr>
      </w:pPr>
      <w:bookmarkStart w:id="178" w:name="_Hlk71407321"/>
      <w:r>
        <w:rPr>
          <w:rFonts w:ascii="宋体" w:eastAsia="宋体" w:hAnsi="宋体" w:hint="eastAsia"/>
          <w:szCs w:val="21"/>
        </w:rPr>
        <w:t>3</w:t>
      </w:r>
      <w:r>
        <w:rPr>
          <w:rFonts w:ascii="宋体" w:eastAsia="宋体" w:hAnsi="宋体"/>
          <w:szCs w:val="21"/>
        </w:rPr>
        <w:t>3.1</w:t>
      </w:r>
      <w:r>
        <w:rPr>
          <w:rFonts w:ascii="宋体" w:eastAsia="宋体" w:hAnsi="宋体" w:hint="eastAsia"/>
          <w:szCs w:val="21"/>
        </w:rPr>
        <w:t>对招标文件中描述有歧义或前后不一致的地方（不含</w:t>
      </w:r>
      <w:r>
        <w:rPr>
          <w:rFonts w:ascii="宋体" w:eastAsia="宋体" w:hAnsi="宋体"/>
          <w:szCs w:val="21"/>
        </w:rPr>
        <w:t>招标文件存在歧义、重大缺陷导致评</w:t>
      </w:r>
      <w:r>
        <w:rPr>
          <w:rFonts w:ascii="宋体" w:eastAsia="宋体" w:hAnsi="宋体" w:hint="eastAsia"/>
          <w:szCs w:val="21"/>
        </w:rPr>
        <w:t>审</w:t>
      </w:r>
      <w:r>
        <w:rPr>
          <w:rFonts w:ascii="宋体" w:eastAsia="宋体" w:hAnsi="宋体"/>
          <w:szCs w:val="21"/>
        </w:rPr>
        <w:t>工作无法进行</w:t>
      </w:r>
      <w:r>
        <w:rPr>
          <w:rFonts w:ascii="宋体" w:eastAsia="宋体" w:hAnsi="宋体" w:hint="eastAsia"/>
          <w:szCs w:val="21"/>
        </w:rPr>
        <w:t>的情况），评审委员会有权进行评判，但对同一条款的评判应适用于每个投标人。</w:t>
      </w:r>
      <w:bookmarkEnd w:id="178"/>
    </w:p>
    <w:p>
      <w:pPr>
        <w:spacing w:line="360" w:lineRule="auto"/>
        <w:ind w:firstLine="470" w:firstLineChars="196"/>
        <w:rPr>
          <w:rFonts w:ascii="宋体" w:eastAsia="宋体" w:hAnsi="宋体"/>
          <w:szCs w:val="21"/>
        </w:rPr>
      </w:pPr>
      <w:r>
        <w:rPr>
          <w:rFonts w:ascii="宋体" w:eastAsia="宋体" w:hAnsi="宋体" w:hint="eastAsia"/>
          <w:szCs w:val="21"/>
        </w:rPr>
        <w:t>3</w:t>
      </w:r>
      <w:r>
        <w:rPr>
          <w:rFonts w:ascii="宋体" w:eastAsia="宋体" w:hAnsi="宋体"/>
          <w:szCs w:val="21"/>
        </w:rPr>
        <w:t>3.2评</w:t>
      </w:r>
      <w:r>
        <w:rPr>
          <w:rFonts w:ascii="宋体" w:eastAsia="宋体" w:hAnsi="宋体" w:hint="eastAsia"/>
          <w:szCs w:val="21"/>
        </w:rPr>
        <w:t>审</w:t>
      </w:r>
      <w:r>
        <w:rPr>
          <w:rFonts w:ascii="宋体" w:eastAsia="宋体" w:hAnsi="宋体"/>
          <w:szCs w:val="21"/>
        </w:rPr>
        <w:t>委员会发现招标文件存在歧义、重大缺陷导致评</w:t>
      </w:r>
      <w:r>
        <w:rPr>
          <w:rFonts w:ascii="宋体" w:eastAsia="宋体" w:hAnsi="宋体" w:hint="eastAsia"/>
          <w:szCs w:val="21"/>
        </w:rPr>
        <w:t>审</w:t>
      </w:r>
      <w:r>
        <w:rPr>
          <w:rFonts w:ascii="宋体" w:eastAsia="宋体" w:hAnsi="宋体"/>
          <w:szCs w:val="21"/>
        </w:rPr>
        <w:t>工作无法进行，或者招标文件内容违反国家有关强制性规定的，应当停止评</w:t>
      </w:r>
      <w:r>
        <w:rPr>
          <w:rFonts w:ascii="宋体" w:eastAsia="宋体" w:hAnsi="宋体" w:hint="eastAsia"/>
          <w:szCs w:val="21"/>
        </w:rPr>
        <w:t>审</w:t>
      </w:r>
      <w:r>
        <w:rPr>
          <w:rFonts w:ascii="宋体" w:eastAsia="宋体" w:hAnsi="宋体"/>
          <w:szCs w:val="21"/>
        </w:rPr>
        <w:t>工作，与</w:t>
      </w:r>
      <w:r>
        <w:rPr>
          <w:rFonts w:ascii="宋体" w:eastAsia="宋体" w:hAnsi="宋体" w:hint="eastAsia"/>
          <w:szCs w:val="21"/>
        </w:rPr>
        <w:t>采购代理机构</w:t>
      </w:r>
      <w:r>
        <w:rPr>
          <w:rFonts w:ascii="宋体" w:eastAsia="宋体" w:hAnsi="宋体"/>
          <w:szCs w:val="21"/>
        </w:rPr>
        <w:t>沟通并作书面记录。</w:t>
      </w:r>
      <w:r>
        <w:rPr>
          <w:rFonts w:ascii="宋体" w:eastAsia="宋体" w:hAnsi="宋体" w:hint="eastAsia"/>
          <w:szCs w:val="21"/>
        </w:rPr>
        <w:t>经</w:t>
      </w:r>
      <w:r>
        <w:rPr>
          <w:rFonts w:ascii="宋体" w:eastAsia="宋体" w:hAnsi="宋体"/>
          <w:szCs w:val="21"/>
        </w:rPr>
        <w:t>确认后，</w:t>
      </w:r>
      <w:r>
        <w:rPr>
          <w:rFonts w:ascii="宋体" w:eastAsia="宋体" w:hAnsi="宋体" w:hint="eastAsia"/>
          <w:szCs w:val="21"/>
        </w:rPr>
        <w:t>项目</w:t>
      </w:r>
      <w:r>
        <w:rPr>
          <w:rFonts w:ascii="宋体" w:eastAsia="宋体" w:hAnsi="宋体"/>
          <w:szCs w:val="21"/>
        </w:rPr>
        <w:t>应当修改招标文件，重新组织采购活动。</w:t>
      </w:r>
    </w:p>
    <w:p>
      <w:pPr>
        <w:spacing w:line="360" w:lineRule="auto"/>
        <w:ind w:firstLine="470" w:firstLineChars="196"/>
        <w:rPr>
          <w:rFonts w:ascii="宋体" w:eastAsia="宋体" w:hAnsi="宋体"/>
          <w:szCs w:val="21"/>
        </w:rPr>
      </w:pPr>
      <w:r>
        <w:rPr>
          <w:rFonts w:ascii="宋体" w:eastAsia="宋体" w:hAnsi="宋体"/>
          <w:szCs w:val="21"/>
        </w:rPr>
        <w:t>33.3</w:t>
      </w:r>
      <w:r>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pPr>
        <w:spacing w:line="360" w:lineRule="auto"/>
        <w:ind w:firstLine="470" w:firstLineChars="196"/>
        <w:rPr>
          <w:rFonts w:ascii="宋体" w:eastAsia="宋体" w:hAnsi="宋体"/>
          <w:szCs w:val="21"/>
        </w:rPr>
      </w:pPr>
      <w:r>
        <w:rPr>
          <w:rFonts w:ascii="宋体" w:eastAsia="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line="360" w:lineRule="auto"/>
        <w:ind w:firstLine="470" w:firstLineChars="196"/>
        <w:rPr>
          <w:rFonts w:ascii="宋体" w:eastAsia="宋体" w:hAnsi="宋体"/>
          <w:szCs w:val="21"/>
        </w:rPr>
      </w:pPr>
      <w:r>
        <w:rPr>
          <w:rFonts w:ascii="宋体" w:eastAsia="宋体" w:hAnsi="宋体" w:hint="eastAsia"/>
          <w:szCs w:val="21"/>
        </w:rPr>
        <w:t>根据本通用条款第34条，凡属于评审委员会在评审中发现的算术错误进行核实的修改不在此列。</w:t>
      </w:r>
    </w:p>
    <w:p>
      <w:pPr>
        <w:spacing w:line="360" w:lineRule="auto"/>
        <w:rPr>
          <w:rFonts w:ascii="宋体" w:eastAsia="宋体" w:hAnsi="宋体"/>
          <w:b/>
          <w:bCs/>
          <w:szCs w:val="21"/>
        </w:rPr>
      </w:pPr>
      <w:bookmarkStart w:id="179" w:name="_Toc73521669"/>
      <w:bookmarkStart w:id="180" w:name="_Toc100052400"/>
      <w:bookmarkStart w:id="181" w:name="_Toc73517673"/>
      <w:bookmarkStart w:id="182" w:name="_Toc73518151"/>
      <w:bookmarkStart w:id="183" w:name="_Toc73521581"/>
      <w:r>
        <w:rPr>
          <w:rFonts w:ascii="宋体" w:eastAsia="宋体" w:hAnsi="宋体" w:hint="eastAsia"/>
          <w:b/>
          <w:bCs/>
          <w:szCs w:val="21"/>
        </w:rPr>
        <w:t>34．错误的修正</w:t>
      </w:r>
      <w:bookmarkEnd w:id="179"/>
      <w:bookmarkEnd w:id="180"/>
      <w:bookmarkEnd w:id="181"/>
      <w:bookmarkEnd w:id="182"/>
      <w:bookmarkEnd w:id="183"/>
    </w:p>
    <w:p>
      <w:pPr>
        <w:spacing w:line="360" w:lineRule="auto"/>
        <w:ind w:firstLine="470" w:firstLineChars="196"/>
        <w:rPr>
          <w:rFonts w:ascii="宋体" w:eastAsia="宋体" w:hAnsi="宋体"/>
          <w:szCs w:val="21"/>
        </w:rPr>
      </w:pPr>
      <w:r>
        <w:rPr>
          <w:rFonts w:ascii="宋体" w:eastAsia="宋体" w:hAnsi="宋体" w:hint="eastAsia"/>
          <w:szCs w:val="21"/>
        </w:rPr>
        <w:t>投标文件报价出现前后不一致的，除专用条款另有规定外，按照下列规定修正：</w:t>
      </w:r>
    </w:p>
    <w:p>
      <w:pPr>
        <w:spacing w:line="360" w:lineRule="auto"/>
        <w:ind w:firstLine="470" w:firstLineChars="196"/>
        <w:rPr>
          <w:rFonts w:ascii="宋体" w:eastAsia="宋体" w:hAnsi="宋体"/>
          <w:szCs w:val="21"/>
        </w:rPr>
      </w:pPr>
      <w:r>
        <w:rPr>
          <w:rFonts w:ascii="宋体" w:eastAsia="宋体" w:hAnsi="宋体" w:hint="eastAsia"/>
          <w:szCs w:val="21"/>
        </w:rPr>
        <w:t>34.1投标文件中开标一览表投标报价内容与投标文件中投标报价相应内容不一致的，以开标一览表为准；</w:t>
      </w:r>
    </w:p>
    <w:p>
      <w:pPr>
        <w:spacing w:line="360" w:lineRule="auto"/>
        <w:ind w:firstLine="470" w:firstLineChars="196"/>
        <w:rPr>
          <w:rFonts w:ascii="宋体" w:eastAsia="宋体" w:hAnsi="宋体"/>
          <w:szCs w:val="21"/>
        </w:rPr>
      </w:pPr>
      <w:r>
        <w:rPr>
          <w:rFonts w:ascii="宋体" w:eastAsia="宋体" w:hAnsi="宋体" w:hint="eastAsia"/>
          <w:szCs w:val="21"/>
        </w:rPr>
        <w:t>34.2大写金额和小写金额不一致的，以大写金额为准；</w:t>
      </w:r>
    </w:p>
    <w:p>
      <w:pPr>
        <w:spacing w:line="360" w:lineRule="auto"/>
        <w:ind w:firstLine="470" w:firstLineChars="196"/>
        <w:rPr>
          <w:rFonts w:ascii="宋体" w:eastAsia="宋体" w:hAnsi="宋体"/>
          <w:szCs w:val="21"/>
        </w:rPr>
      </w:pPr>
      <w:r>
        <w:rPr>
          <w:rFonts w:ascii="宋体" w:eastAsia="宋体" w:hAnsi="宋体" w:hint="eastAsia"/>
          <w:szCs w:val="21"/>
        </w:rPr>
        <w:t>34.3单价金额小数点或者百分比有明显错位，以开标一览表的总价为准，并修改单价；</w:t>
      </w:r>
    </w:p>
    <w:p>
      <w:pPr>
        <w:spacing w:line="360" w:lineRule="auto"/>
        <w:ind w:firstLine="470" w:firstLineChars="196"/>
        <w:rPr>
          <w:rFonts w:ascii="宋体" w:eastAsia="宋体" w:hAnsi="宋体"/>
          <w:szCs w:val="21"/>
        </w:rPr>
      </w:pPr>
      <w:r>
        <w:rPr>
          <w:rFonts w:ascii="宋体" w:eastAsia="宋体" w:hAnsi="宋体" w:hint="eastAsia"/>
          <w:szCs w:val="21"/>
        </w:rPr>
        <w:t>34.4总价金额与按单价汇总金额不一致的，以单价金额计算结果为准。</w:t>
      </w:r>
    </w:p>
    <w:p>
      <w:pPr>
        <w:spacing w:line="360" w:lineRule="auto"/>
        <w:ind w:firstLine="470" w:firstLineChars="196"/>
        <w:rPr>
          <w:rFonts w:ascii="宋体" w:eastAsia="宋体" w:hAnsi="宋体"/>
          <w:szCs w:val="21"/>
        </w:rPr>
      </w:pPr>
      <w:r>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宋体" w:eastAsia="宋体" w:hAnsi="宋体"/>
          <w:b/>
          <w:bCs/>
          <w:szCs w:val="21"/>
        </w:rPr>
      </w:pPr>
      <w:r>
        <w:rPr>
          <w:rFonts w:ascii="宋体" w:eastAsia="宋体" w:hAnsi="宋体" w:hint="eastAsia"/>
          <w:b/>
          <w:bCs/>
          <w:szCs w:val="21"/>
        </w:rPr>
        <w:t>35．投标文件的比较与评价</w:t>
      </w:r>
    </w:p>
    <w:p>
      <w:pPr>
        <w:spacing w:line="360" w:lineRule="auto"/>
        <w:ind w:firstLine="470" w:firstLineChars="196"/>
        <w:rPr>
          <w:rFonts w:ascii="宋体" w:eastAsia="宋体" w:hAnsi="宋体"/>
          <w:szCs w:val="21"/>
        </w:rPr>
      </w:pPr>
      <w:r>
        <w:rPr>
          <w:rFonts w:ascii="宋体" w:eastAsia="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line="360" w:lineRule="auto"/>
        <w:ind w:firstLine="470" w:firstLineChars="196"/>
        <w:rPr>
          <w:rFonts w:ascii="宋体" w:eastAsia="宋体" w:hAnsi="宋体"/>
          <w:szCs w:val="21"/>
        </w:rPr>
      </w:pPr>
      <w:r>
        <w:rPr>
          <w:rFonts w:ascii="宋体" w:eastAsia="宋体" w:hAnsi="宋体" w:hint="eastAsia"/>
          <w:szCs w:val="21"/>
        </w:rPr>
        <w:t>评审委员会成员对需要共同认定的事项存在争议的，应当按照少数服从多数的原则作出结论。持不同意见的评审委员会成员应当书面作出说明，否则视为无异议。</w:t>
      </w:r>
    </w:p>
    <w:p>
      <w:pPr>
        <w:spacing w:line="360" w:lineRule="auto"/>
        <w:rPr>
          <w:rFonts w:ascii="宋体" w:eastAsia="宋体" w:hAnsi="宋体"/>
          <w:b/>
          <w:bCs/>
          <w:szCs w:val="21"/>
        </w:rPr>
      </w:pPr>
      <w:r>
        <w:rPr>
          <w:rFonts w:ascii="宋体" w:eastAsia="宋体" w:hAnsi="宋体" w:hint="eastAsia"/>
          <w:b/>
          <w:bCs/>
          <w:szCs w:val="21"/>
        </w:rPr>
        <w:t>36. 实地考察或资料查验</w:t>
      </w:r>
    </w:p>
    <w:p>
      <w:pPr>
        <w:spacing w:line="360" w:lineRule="auto"/>
        <w:ind w:firstLine="470" w:firstLineChars="196"/>
        <w:rPr>
          <w:rFonts w:ascii="宋体" w:eastAsia="宋体" w:hAnsi="宋体"/>
          <w:szCs w:val="21"/>
        </w:rPr>
      </w:pPr>
      <w:r>
        <w:rPr>
          <w:rFonts w:ascii="宋体" w:eastAsia="宋体" w:hAnsi="宋体" w:hint="eastAsia"/>
          <w:szCs w:val="21"/>
        </w:rPr>
        <w:t>36.1在评审过程中，评审委员会有权决定是否对本项目投标人进行实地考察或资料查验（原件）。投标人应随时做好接受实地考察或资料查验的准备。</w:t>
      </w:r>
    </w:p>
    <w:p>
      <w:pPr>
        <w:spacing w:line="360" w:lineRule="auto"/>
        <w:rPr>
          <w:rFonts w:ascii="宋体" w:eastAsia="宋体" w:hAnsi="宋体"/>
          <w:b/>
          <w:bCs/>
          <w:szCs w:val="21"/>
        </w:rPr>
      </w:pPr>
      <w:r>
        <w:rPr>
          <w:rFonts w:ascii="宋体" w:eastAsia="宋体" w:hAnsi="宋体" w:hint="eastAsia"/>
          <w:b/>
          <w:bCs/>
          <w:szCs w:val="21"/>
        </w:rPr>
        <w:t>37．评审方法</w:t>
      </w:r>
    </w:p>
    <w:p>
      <w:pPr>
        <w:spacing w:line="360" w:lineRule="auto"/>
        <w:ind w:firstLine="470" w:firstLineChars="196"/>
        <w:rPr>
          <w:rFonts w:ascii="宋体" w:eastAsia="宋体" w:hAnsi="宋体"/>
          <w:b/>
          <w:bCs/>
          <w:szCs w:val="21"/>
        </w:rPr>
      </w:pPr>
      <w:r>
        <w:rPr>
          <w:rFonts w:ascii="宋体" w:eastAsia="宋体" w:hAnsi="宋体" w:hint="eastAsia"/>
          <w:b/>
          <w:bCs/>
          <w:szCs w:val="21"/>
        </w:rPr>
        <w:t>37.1.1最低价法</w:t>
      </w:r>
    </w:p>
    <w:p>
      <w:pPr>
        <w:spacing w:line="360" w:lineRule="auto"/>
        <w:ind w:firstLine="470" w:firstLineChars="196"/>
        <w:rPr>
          <w:rFonts w:ascii="宋体" w:eastAsia="宋体" w:hAnsi="宋体"/>
          <w:szCs w:val="21"/>
        </w:rPr>
      </w:pPr>
      <w:bookmarkStart w:id="184" w:name="_Hlk72438142"/>
      <w:r>
        <w:rPr>
          <w:rFonts w:ascii="宋体" w:eastAsia="宋体" w:hAnsi="宋体"/>
          <w:szCs w:val="21"/>
        </w:rPr>
        <w:t>最低价法，是指</w:t>
      </w:r>
      <w:r>
        <w:rPr>
          <w:rFonts w:ascii="宋体" w:eastAsia="宋体" w:hAnsi="宋体" w:hint="eastAsia"/>
          <w:szCs w:val="21"/>
        </w:rPr>
        <w:t>完全</w:t>
      </w:r>
      <w:r>
        <w:rPr>
          <w:rFonts w:ascii="宋体" w:eastAsia="宋体" w:hAnsi="宋体"/>
          <w:szCs w:val="21"/>
        </w:rPr>
        <w:t>满足招标文件实质性要求，</w:t>
      </w:r>
      <w:r>
        <w:rPr>
          <w:rFonts w:ascii="宋体" w:eastAsia="宋体" w:hAnsi="宋体" w:hint="eastAsia"/>
          <w:szCs w:val="21"/>
        </w:rPr>
        <w:t>按照报价由低到高的顺序，依据招标文件中规定的数量或者比例推荐候选中标供应商。</w:t>
      </w:r>
    </w:p>
    <w:p>
      <w:pPr>
        <w:spacing w:line="360" w:lineRule="auto"/>
        <w:ind w:firstLine="470" w:firstLineChars="196"/>
        <w:rPr>
          <w:rFonts w:ascii="宋体" w:eastAsia="宋体" w:hAnsi="宋体"/>
          <w:b/>
          <w:bCs/>
          <w:szCs w:val="21"/>
        </w:rPr>
      </w:pPr>
      <w:r>
        <w:rPr>
          <w:rFonts w:ascii="宋体" w:eastAsia="宋体" w:hAnsi="宋体" w:hint="eastAsia"/>
          <w:b/>
          <w:bCs/>
          <w:szCs w:val="21"/>
        </w:rPr>
        <w:t>37.1.2综合评分法</w:t>
      </w:r>
    </w:p>
    <w:p>
      <w:pPr>
        <w:spacing w:line="360" w:lineRule="auto"/>
        <w:ind w:firstLine="470" w:firstLineChars="196"/>
        <w:rPr>
          <w:rFonts w:ascii="宋体" w:eastAsia="宋体" w:hAnsi="宋体"/>
          <w:szCs w:val="21"/>
        </w:rPr>
      </w:pPr>
      <w:r>
        <w:rPr>
          <w:rFonts w:ascii="宋体" w:eastAsia="宋体" w:hAnsi="宋体"/>
          <w:szCs w:val="21"/>
        </w:rPr>
        <w:t>综合评分法，是指</w:t>
      </w:r>
      <w:r>
        <w:rPr>
          <w:rFonts w:ascii="宋体" w:eastAsia="宋体" w:hAnsi="宋体" w:hint="eastAsia"/>
          <w:szCs w:val="21"/>
        </w:rPr>
        <w:t>在</w:t>
      </w:r>
      <w:r>
        <w:rPr>
          <w:rFonts w:ascii="宋体" w:eastAsia="宋体" w:hAnsi="宋体"/>
          <w:szCs w:val="21"/>
        </w:rPr>
        <w:t>满足招标文件全部实质性要求</w:t>
      </w:r>
      <w:r>
        <w:rPr>
          <w:rFonts w:ascii="宋体" w:eastAsia="宋体" w:hAnsi="宋体" w:hint="eastAsia"/>
          <w:szCs w:val="21"/>
        </w:rPr>
        <w:t>的前提下</w:t>
      </w:r>
      <w:r>
        <w:rPr>
          <w:rFonts w:ascii="宋体" w:eastAsia="宋体" w:hAnsi="宋体"/>
          <w:szCs w:val="21"/>
        </w:rPr>
        <w:t>，</w:t>
      </w:r>
      <w:r>
        <w:rPr>
          <w:rFonts w:ascii="宋体" w:eastAsia="宋体" w:hAnsi="宋体" w:hint="eastAsia"/>
          <w:szCs w:val="21"/>
        </w:rPr>
        <w:t>按照招标文件中规定的各项因素进行综合评审，评审总得分排名前列的投标人，作为推荐的候选中标供应商。</w:t>
      </w:r>
      <w:bookmarkEnd w:id="184"/>
    </w:p>
    <w:p>
      <w:pPr>
        <w:spacing w:line="360" w:lineRule="auto"/>
        <w:ind w:firstLine="470" w:firstLineChars="196"/>
        <w:rPr>
          <w:rFonts w:ascii="宋体" w:eastAsia="宋体" w:hAnsi="宋体"/>
          <w:b/>
          <w:bCs/>
          <w:szCs w:val="21"/>
        </w:rPr>
      </w:pPr>
      <w:r>
        <w:rPr>
          <w:rFonts w:ascii="宋体" w:eastAsia="宋体" w:hAnsi="宋体" w:hint="eastAsia"/>
          <w:b/>
          <w:bCs/>
          <w:szCs w:val="21"/>
        </w:rPr>
        <w:t>37.2 本项目采用的评审方法见本项目招标文件第一册“专用条款”的相关内容。</w:t>
      </w:r>
    </w:p>
    <w:p>
      <w:pPr>
        <w:spacing w:line="360" w:lineRule="auto"/>
        <w:ind w:firstLine="470" w:firstLineChars="196"/>
        <w:rPr>
          <w:rFonts w:ascii="宋体" w:eastAsia="宋体" w:hAnsi="宋体"/>
          <w:b/>
          <w:bCs/>
          <w:szCs w:val="21"/>
        </w:rPr>
      </w:pPr>
      <w:r>
        <w:rPr>
          <w:rFonts w:ascii="宋体" w:eastAsia="宋体" w:hAnsi="宋体" w:hint="eastAsia"/>
          <w:b/>
          <w:bCs/>
          <w:szCs w:val="21"/>
        </w:rPr>
        <w:t>37.3重新评审的情形</w:t>
      </w:r>
    </w:p>
    <w:p>
      <w:pPr>
        <w:spacing w:line="360" w:lineRule="auto"/>
        <w:ind w:firstLine="470" w:firstLineChars="196"/>
        <w:rPr>
          <w:rFonts w:ascii="宋体" w:eastAsia="宋体" w:hAnsi="宋体"/>
          <w:b/>
          <w:bCs/>
          <w:szCs w:val="21"/>
        </w:rPr>
      </w:pPr>
      <w:r>
        <w:rPr>
          <w:rFonts w:ascii="宋体" w:eastAsia="宋体" w:hAnsi="宋体" w:cs="宋体" w:hint="eastAsia"/>
          <w:szCs w:val="21"/>
        </w:rPr>
        <w:t>评审结果汇总完成后，除下列情形外，任何人不得修改评审结果：</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37.3.1分值汇总计算错误的；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37.3.2分项评分超出评分标准范围的；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37.3.3评审委员会成员对客观评审因素评分不一致的；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37.3.4经评审委员会认定评分畸高、畸低的。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line="360" w:lineRule="auto"/>
        <w:ind w:firstLine="470" w:firstLineChars="196"/>
        <w:rPr>
          <w:rFonts w:ascii="宋体" w:eastAsia="宋体" w:hAnsi="宋体" w:cs="宋体"/>
          <w:szCs w:val="21"/>
        </w:rPr>
      </w:pPr>
      <w:r>
        <w:rPr>
          <w:rFonts w:ascii="宋体" w:eastAsia="宋体" w:hAnsi="宋体" w:cs="宋体" w:hint="eastAsia"/>
          <w:szCs w:val="21"/>
        </w:rPr>
        <w:t>投标人对本条第一款情形提出质疑的，采购人或者采购代理机构可以组织原评审委员会进行重新评审，重新评审改变评审结果的，应当书面报告本级财政部门。</w:t>
      </w:r>
    </w:p>
    <w:p>
      <w:pPr>
        <w:spacing w:line="360" w:lineRule="auto"/>
        <w:ind w:firstLine="470" w:firstLineChars="196"/>
        <w:rPr>
          <w:rFonts w:ascii="宋体" w:eastAsia="宋体" w:hAnsi="宋体"/>
          <w:b/>
          <w:bCs/>
          <w:szCs w:val="21"/>
        </w:rPr>
      </w:pPr>
      <w:r>
        <w:rPr>
          <w:rFonts w:ascii="宋体" w:eastAsia="宋体" w:hAnsi="宋体" w:hint="eastAsia"/>
          <w:b/>
          <w:bCs/>
          <w:szCs w:val="21"/>
        </w:rPr>
        <w:t xml:space="preserve"> 37.4重新组建评审委员会的情形</w:t>
      </w:r>
    </w:p>
    <w:p>
      <w:pPr>
        <w:spacing w:line="360" w:lineRule="auto"/>
        <w:ind w:firstLine="470" w:firstLineChars="196"/>
        <w:rPr>
          <w:rFonts w:ascii="宋体" w:eastAsia="宋体" w:hAnsi="宋体" w:cs="宋体"/>
          <w:szCs w:val="21"/>
        </w:rPr>
      </w:pPr>
      <w:r>
        <w:rPr>
          <w:rFonts w:ascii="宋体" w:eastAsia="宋体" w:hAnsi="宋体" w:cs="宋体" w:hint="eastAsia"/>
          <w:szCs w:val="21"/>
        </w:rPr>
        <w:t>评审委员会或者其成员存在下列情形导致评审结果无效的，重新组建评审委员会进行评标，并书面报告本级财政部门：</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37.4.1评审委员会组成不符合《政府采购货物和服务招标投标管理办法》规定的；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37.4.2有《政府采购货物和服务招标投标管理办法》第六十二条第一至五项情形的；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37.4.3评审委员会及其成员独立评标受到非法干预的；</w:t>
      </w:r>
    </w:p>
    <w:p>
      <w:pPr>
        <w:spacing w:line="360" w:lineRule="auto"/>
        <w:ind w:firstLine="470" w:firstLineChars="196"/>
        <w:rPr>
          <w:rFonts w:ascii="宋体" w:eastAsia="宋体" w:hAnsi="宋体" w:cs="宋体"/>
          <w:szCs w:val="21"/>
        </w:rPr>
      </w:pPr>
      <w:r>
        <w:rPr>
          <w:rFonts w:ascii="宋体" w:eastAsia="宋体" w:hAnsi="宋体" w:cs="宋体" w:hint="eastAsia"/>
          <w:szCs w:val="21"/>
        </w:rPr>
        <w:t>37.4.4有政府采购法实施条例第七十五条规定的违法行为的。</w:t>
      </w:r>
    </w:p>
    <w:p>
      <w:pPr>
        <w:spacing w:line="360" w:lineRule="auto"/>
        <w:ind w:firstLine="480" w:firstLineChars="200"/>
        <w:rPr>
          <w:rFonts w:ascii="宋体" w:eastAsia="宋体" w:hAnsi="宋体"/>
          <w:bCs/>
          <w:szCs w:val="21"/>
        </w:rPr>
      </w:pPr>
      <w:r>
        <w:rPr>
          <w:rFonts w:ascii="宋体" w:eastAsia="宋体" w:hAnsi="宋体" w:cs="宋体" w:hint="eastAsia"/>
          <w:szCs w:val="21"/>
        </w:rPr>
        <w:t>有违法违规行为的原评审委员会成员不得参加重新组建的评审委员会。</w:t>
      </w:r>
    </w:p>
    <w:p>
      <w:pPr>
        <w:pStyle w:val="Heading2"/>
        <w:spacing w:line="360" w:lineRule="auto"/>
        <w:rPr>
          <w:kern w:val="2"/>
        </w:rPr>
      </w:pPr>
      <w:r>
        <w:rPr>
          <w:rFonts w:hint="eastAsia"/>
          <w:kern w:val="2"/>
        </w:rPr>
        <w:t>第八章  定标及公示</w:t>
      </w:r>
    </w:p>
    <w:p>
      <w:pPr>
        <w:spacing w:line="360" w:lineRule="auto"/>
        <w:rPr>
          <w:rFonts w:ascii="宋体" w:eastAsia="宋体" w:hAnsi="宋体"/>
          <w:b/>
          <w:bCs/>
          <w:szCs w:val="21"/>
        </w:rPr>
      </w:pPr>
      <w:r>
        <w:rPr>
          <w:rFonts w:ascii="宋体" w:eastAsia="宋体" w:hAnsi="宋体" w:hint="eastAsia"/>
          <w:b/>
          <w:bCs/>
          <w:szCs w:val="21"/>
        </w:rPr>
        <w:t>38．定标方法</w:t>
      </w:r>
    </w:p>
    <w:p>
      <w:pPr>
        <w:spacing w:line="360" w:lineRule="auto"/>
        <w:ind w:firstLine="470" w:firstLineChars="196"/>
        <w:rPr>
          <w:rFonts w:ascii="宋体" w:eastAsia="宋体" w:hAnsi="宋体"/>
          <w:szCs w:val="21"/>
        </w:rPr>
      </w:pPr>
      <w:bookmarkStart w:id="185" w:name="_Hlk73782795"/>
      <w:r>
        <w:rPr>
          <w:rFonts w:ascii="宋体" w:eastAsia="宋体" w:hAnsi="宋体" w:hint="eastAsia"/>
          <w:szCs w:val="21"/>
        </w:rPr>
        <w:t>38.1非评定分离项目定标方法</w:t>
      </w:r>
    </w:p>
    <w:p>
      <w:pPr>
        <w:spacing w:line="360" w:lineRule="auto"/>
        <w:ind w:firstLine="470" w:firstLineChars="196"/>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1.1评审委员会依据本项目招标文件所约定的评审方法进行评审和比较，向采购代理机构提交书面评审报告，并根据评审方法比较评价结果从优到劣进行排序，确定候选中标供应商。</w:t>
      </w:r>
    </w:p>
    <w:p>
      <w:pPr>
        <w:spacing w:line="360" w:lineRule="auto"/>
        <w:ind w:firstLine="470" w:firstLineChars="196"/>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1.2</w:t>
      </w:r>
      <w:r>
        <w:rPr>
          <w:rFonts w:ascii="宋体" w:eastAsia="宋体" w:hAnsi="宋体"/>
          <w:szCs w:val="21"/>
        </w:rPr>
        <w:t>采用最低价法的，评</w:t>
      </w:r>
      <w:r>
        <w:rPr>
          <w:rFonts w:ascii="宋体" w:eastAsia="宋体" w:hAnsi="宋体" w:hint="eastAsia"/>
          <w:szCs w:val="21"/>
        </w:rPr>
        <w:t>审</w:t>
      </w:r>
      <w:r>
        <w:rPr>
          <w:rFonts w:ascii="宋体" w:eastAsia="宋体" w:hAnsi="宋体"/>
          <w:szCs w:val="21"/>
        </w:rPr>
        <w:t>结果按投标报价由低到高顺序排列。投标报价相同的并列。投标文件满足招标文件全部实质性要求且投标报价最低的</w:t>
      </w:r>
      <w:r>
        <w:rPr>
          <w:rFonts w:ascii="宋体" w:eastAsia="宋体" w:hAnsi="宋体" w:hint="eastAsia"/>
          <w:szCs w:val="21"/>
        </w:rPr>
        <w:t>投标人为</w:t>
      </w:r>
      <w:bookmarkStart w:id="186" w:name="_Hlk73821177"/>
      <w:r>
        <w:rPr>
          <w:rFonts w:ascii="宋体" w:eastAsia="宋体" w:hAnsi="宋体" w:hint="eastAsia"/>
          <w:szCs w:val="21"/>
        </w:rPr>
        <w:t>中标供应商</w:t>
      </w:r>
      <w:r>
        <w:rPr>
          <w:rFonts w:ascii="宋体" w:eastAsia="宋体" w:hAnsi="宋体"/>
          <w:szCs w:val="21"/>
        </w:rPr>
        <w:t>（</w:t>
      </w:r>
      <w:r>
        <w:rPr>
          <w:rFonts w:ascii="宋体" w:eastAsia="宋体" w:hAnsi="宋体" w:hint="eastAsia"/>
          <w:szCs w:val="21"/>
        </w:rPr>
        <w:t>排名</w:t>
      </w:r>
      <w:r>
        <w:rPr>
          <w:rFonts w:ascii="宋体" w:eastAsia="宋体" w:hAnsi="宋体"/>
          <w:szCs w:val="21"/>
        </w:rPr>
        <w:t>第二</w:t>
      </w:r>
      <w:r>
        <w:rPr>
          <w:rFonts w:ascii="宋体" w:eastAsia="宋体" w:hAnsi="宋体" w:hint="eastAsia"/>
          <w:szCs w:val="21"/>
        </w:rPr>
        <w:t>的投标人为第一替补中标候选人、排名</w:t>
      </w:r>
      <w:r>
        <w:rPr>
          <w:rFonts w:ascii="宋体" w:eastAsia="宋体" w:hAnsi="宋体"/>
          <w:szCs w:val="21"/>
        </w:rPr>
        <w:t>第</w:t>
      </w:r>
      <w:r>
        <w:rPr>
          <w:rFonts w:ascii="宋体" w:eastAsia="宋体" w:hAnsi="宋体" w:hint="eastAsia"/>
          <w:szCs w:val="21"/>
        </w:rPr>
        <w:t>三的投标人为第二替补中标候选人</w:t>
      </w:r>
      <w:bookmarkEnd w:id="186"/>
      <w:r>
        <w:rPr>
          <w:rFonts w:ascii="宋体" w:eastAsia="宋体" w:hAnsi="宋体"/>
          <w:szCs w:val="21"/>
        </w:rPr>
        <w:t>）。</w:t>
      </w:r>
    </w:p>
    <w:p>
      <w:pPr>
        <w:spacing w:line="360" w:lineRule="auto"/>
        <w:ind w:firstLine="470" w:firstLineChars="196"/>
        <w:rPr>
          <w:rFonts w:ascii="宋体" w:eastAsia="宋体" w:hAnsi="宋体"/>
          <w:szCs w:val="21"/>
        </w:rPr>
      </w:pPr>
      <w:r>
        <w:rPr>
          <w:rFonts w:ascii="宋体" w:eastAsia="宋体" w:hAnsi="宋体" w:hint="eastAsia"/>
          <w:szCs w:val="21"/>
        </w:rPr>
        <w:t>38</w:t>
      </w:r>
      <w:r>
        <w:rPr>
          <w:rFonts w:ascii="宋体" w:eastAsia="宋体" w:hAnsi="宋体"/>
          <w:szCs w:val="21"/>
        </w:rPr>
        <w:t>.</w:t>
      </w:r>
      <w:r>
        <w:rPr>
          <w:rFonts w:ascii="宋体" w:eastAsia="宋体" w:hAnsi="宋体" w:hint="eastAsia"/>
          <w:szCs w:val="21"/>
        </w:rPr>
        <w:t>1.3</w:t>
      </w:r>
      <w:r>
        <w:rPr>
          <w:rFonts w:ascii="宋体" w:eastAsia="宋体" w:hAnsi="宋体"/>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宋体" w:eastAsia="宋体" w:hAnsi="宋体" w:hint="eastAsia"/>
          <w:szCs w:val="21"/>
        </w:rPr>
        <w:t>为中标供应商</w:t>
      </w:r>
      <w:r>
        <w:rPr>
          <w:rFonts w:ascii="宋体" w:eastAsia="宋体" w:hAnsi="宋体"/>
          <w:szCs w:val="21"/>
        </w:rPr>
        <w:t>（</w:t>
      </w:r>
      <w:r>
        <w:rPr>
          <w:rFonts w:ascii="宋体" w:eastAsia="宋体" w:hAnsi="宋体" w:hint="eastAsia"/>
          <w:szCs w:val="21"/>
        </w:rPr>
        <w:t>中标候选人如不止一名，则推选排名</w:t>
      </w:r>
      <w:r>
        <w:rPr>
          <w:rFonts w:ascii="宋体" w:eastAsia="宋体" w:hAnsi="宋体"/>
          <w:szCs w:val="21"/>
        </w:rPr>
        <w:t>第二</w:t>
      </w:r>
      <w:r>
        <w:rPr>
          <w:rFonts w:ascii="宋体" w:eastAsia="宋体" w:hAnsi="宋体" w:hint="eastAsia"/>
          <w:szCs w:val="21"/>
        </w:rPr>
        <w:t>的投标人为第一替补中标候选人、排名</w:t>
      </w:r>
      <w:r>
        <w:rPr>
          <w:rFonts w:ascii="宋体" w:eastAsia="宋体" w:hAnsi="宋体"/>
          <w:szCs w:val="21"/>
        </w:rPr>
        <w:t>第</w:t>
      </w:r>
      <w:r>
        <w:rPr>
          <w:rFonts w:ascii="宋体" w:eastAsia="宋体" w:hAnsi="宋体" w:hint="eastAsia"/>
          <w:szCs w:val="21"/>
        </w:rPr>
        <w:t>三的投标人为第二替补中标候选人</w:t>
      </w:r>
      <w:r>
        <w:rPr>
          <w:rFonts w:ascii="宋体" w:eastAsia="宋体" w:hAnsi="宋体"/>
          <w:szCs w:val="21"/>
        </w:rPr>
        <w:t>）。</w:t>
      </w:r>
      <w:r>
        <w:rPr>
          <w:rFonts w:ascii="宋体" w:eastAsia="宋体" w:hAnsi="宋体" w:hint="eastAsia"/>
          <w:szCs w:val="21"/>
        </w:rPr>
        <w:t>出现</w:t>
      </w:r>
      <w:r>
        <w:rPr>
          <w:rFonts w:ascii="宋体" w:eastAsia="宋体" w:hAnsi="宋体"/>
          <w:szCs w:val="21"/>
        </w:rPr>
        <w:t>得分且投标报价相同的并列</w:t>
      </w:r>
      <w:r>
        <w:rPr>
          <w:rFonts w:ascii="宋体" w:eastAsia="宋体" w:hAnsi="宋体" w:hint="eastAsia"/>
          <w:szCs w:val="21"/>
        </w:rPr>
        <w:t>情况时，采取随机抽取的方式确定，具体操作办法及流程由评审委员会确定。</w:t>
      </w:r>
    </w:p>
    <w:p>
      <w:pPr>
        <w:spacing w:line="360" w:lineRule="auto"/>
        <w:ind w:firstLine="470" w:firstLineChars="196"/>
        <w:rPr>
          <w:rFonts w:ascii="宋体" w:eastAsia="宋体" w:hAnsi="宋体"/>
          <w:szCs w:val="21"/>
        </w:rPr>
      </w:pPr>
      <w:r>
        <w:rPr>
          <w:rFonts w:ascii="宋体" w:eastAsia="宋体" w:hAnsi="宋体" w:hint="eastAsia"/>
          <w:szCs w:val="21"/>
        </w:rPr>
        <w:t>38.2评定分离项目定标方法</w:t>
      </w:r>
    </w:p>
    <w:p>
      <w:pPr>
        <w:spacing w:line="360" w:lineRule="auto"/>
        <w:ind w:firstLine="470" w:firstLineChars="196"/>
        <w:rPr>
          <w:rFonts w:ascii="宋体" w:eastAsia="宋体" w:hAnsi="宋体"/>
          <w:szCs w:val="21"/>
        </w:rPr>
      </w:pPr>
      <w:r>
        <w:rPr>
          <w:rFonts w:ascii="宋体" w:eastAsia="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line="360" w:lineRule="auto"/>
        <w:ind w:firstLine="470" w:firstLineChars="196"/>
        <w:rPr>
          <w:rFonts w:ascii="宋体" w:eastAsia="宋体" w:hAnsi="宋体"/>
          <w:szCs w:val="21"/>
        </w:rPr>
      </w:pPr>
      <w:r>
        <w:rPr>
          <w:rFonts w:ascii="宋体" w:eastAsia="宋体" w:hAnsi="宋体"/>
          <w:szCs w:val="21"/>
        </w:rPr>
        <w:t xml:space="preserve">38.2.2 </w:t>
      </w:r>
      <w:bookmarkStart w:id="187" w:name="_Hlk71469733"/>
      <w:r>
        <w:rPr>
          <w:rFonts w:ascii="宋体" w:eastAsia="宋体" w:hAnsi="宋体"/>
          <w:szCs w:val="21"/>
        </w:rPr>
        <w:t>适用评定分离的政府采购项目，采用综合评分法评</w:t>
      </w:r>
      <w:r>
        <w:rPr>
          <w:rFonts w:ascii="宋体" w:eastAsia="宋体" w:hAnsi="宋体" w:hint="eastAsia"/>
          <w:szCs w:val="21"/>
        </w:rPr>
        <w:t>审。评审委员会按照评审结果，推荐</w:t>
      </w:r>
      <w:r>
        <w:rPr>
          <w:rFonts w:ascii="宋体" w:eastAsia="宋体" w:hAnsi="宋体"/>
          <w:szCs w:val="21"/>
        </w:rPr>
        <w:t>三个合格的候选中标供应商。</w:t>
      </w:r>
    </w:p>
    <w:p>
      <w:pPr>
        <w:spacing w:line="360" w:lineRule="auto"/>
        <w:ind w:firstLine="470" w:firstLineChars="196"/>
        <w:rPr>
          <w:rFonts w:ascii="宋体" w:eastAsia="宋体" w:hAnsi="宋体"/>
          <w:szCs w:val="21"/>
        </w:rPr>
      </w:pPr>
      <w:r>
        <w:rPr>
          <w:rFonts w:ascii="宋体" w:eastAsia="宋体" w:hAnsi="宋体" w:hint="eastAsia"/>
          <w:szCs w:val="21"/>
        </w:rPr>
        <w:t>38.2.3</w:t>
      </w:r>
      <w:bookmarkStart w:id="188" w:name="_Hlk71469688"/>
      <w:r>
        <w:rPr>
          <w:rFonts w:ascii="宋体" w:eastAsia="宋体" w:hAnsi="宋体"/>
          <w:szCs w:val="21"/>
        </w:rPr>
        <w:t>适用评定分离的政府采购项目，</w:t>
      </w:r>
      <w:r>
        <w:rPr>
          <w:rFonts w:ascii="宋体" w:eastAsia="宋体" w:hAnsi="宋体" w:hint="eastAsia"/>
          <w:szCs w:val="21"/>
        </w:rPr>
        <w:t>按照自定法确定中标供应商：自定法是指采购人组织定标委员会，由定标委员会在三家候选中标供应商中确定中标供应商。</w:t>
      </w:r>
      <w:bookmarkEnd w:id="187"/>
      <w:bookmarkEnd w:id="188"/>
    </w:p>
    <w:p>
      <w:pPr>
        <w:spacing w:line="360" w:lineRule="auto"/>
        <w:ind w:firstLine="470" w:firstLineChars="196"/>
        <w:rPr>
          <w:rFonts w:ascii="宋体" w:eastAsia="宋体" w:hAnsi="宋体"/>
          <w:szCs w:val="21"/>
        </w:rPr>
      </w:pPr>
      <w:r>
        <w:rPr>
          <w:rFonts w:ascii="宋体" w:eastAsia="宋体" w:hAnsi="宋体"/>
          <w:szCs w:val="21"/>
        </w:rPr>
        <w:t>38.2.4</w:t>
      </w:r>
      <w:r>
        <w:rPr>
          <w:rFonts w:ascii="宋体" w:eastAsia="宋体" w:hAnsi="宋体" w:hint="eastAsia"/>
          <w:szCs w:val="21"/>
        </w:rPr>
        <w:t>采购代理机构</w:t>
      </w:r>
      <w:r>
        <w:rPr>
          <w:rFonts w:ascii="宋体" w:eastAsia="宋体" w:hAnsi="宋体"/>
          <w:szCs w:val="21"/>
        </w:rPr>
        <w:t>应当自评审结束之日起两个工作日内将候选中标供应商名单及其投标文件、评审报告送交采购人</w:t>
      </w:r>
      <w:r>
        <w:rPr>
          <w:rFonts w:ascii="宋体" w:eastAsia="宋体" w:hAnsi="宋体" w:hint="eastAsia"/>
          <w:szCs w:val="21"/>
        </w:rPr>
        <w:t>。</w:t>
      </w:r>
      <w:r>
        <w:rPr>
          <w:rFonts w:ascii="宋体" w:eastAsia="宋体" w:hAnsi="宋体"/>
          <w:szCs w:val="21"/>
        </w:rPr>
        <w:t>采购人应当安排专人对定标过程进行书面记录，形成定标报告，作为采购文件的组成部分存档，并及时将定标结果反馈</w:t>
      </w:r>
      <w:r>
        <w:rPr>
          <w:rFonts w:ascii="宋体" w:eastAsia="宋体" w:hAnsi="宋体" w:hint="eastAsia"/>
          <w:szCs w:val="21"/>
        </w:rPr>
        <w:t>采购代理机构。具体定标程序及相关要求以按照《</w:t>
      </w:r>
      <w:r>
        <w:rPr>
          <w:rFonts w:ascii="宋体" w:eastAsia="宋体" w:hAnsi="宋体"/>
          <w:szCs w:val="21"/>
        </w:rPr>
        <w:t>深圳市财政局关于印发</w:t>
      </w:r>
      <w:r>
        <w:rPr>
          <w:rFonts w:ascii="宋体" w:eastAsia="宋体" w:hAnsi="宋体" w:hint="eastAsia"/>
          <w:szCs w:val="21"/>
        </w:rPr>
        <w:t>〈</w:t>
      </w:r>
      <w:r>
        <w:rPr>
          <w:rFonts w:ascii="宋体" w:eastAsia="宋体" w:hAnsi="宋体"/>
          <w:szCs w:val="21"/>
        </w:rPr>
        <w:t>深圳市政府采购评标定标分离管理办法</w:t>
      </w:r>
      <w:r>
        <w:rPr>
          <w:rFonts w:ascii="宋体" w:eastAsia="宋体" w:hAnsi="宋体" w:hint="eastAsia"/>
          <w:szCs w:val="21"/>
        </w:rPr>
        <w:t>〉</w:t>
      </w:r>
      <w:r>
        <w:rPr>
          <w:rFonts w:ascii="宋体" w:eastAsia="宋体" w:hAnsi="宋体"/>
          <w:szCs w:val="21"/>
        </w:rPr>
        <w:t>的通知</w:t>
      </w:r>
      <w:r>
        <w:rPr>
          <w:rFonts w:ascii="宋体" w:eastAsia="宋体" w:hAnsi="宋体" w:hint="eastAsia"/>
          <w:szCs w:val="21"/>
        </w:rPr>
        <w:t>》（深财规【2</w:t>
      </w:r>
      <w:r>
        <w:rPr>
          <w:rFonts w:ascii="宋体" w:eastAsia="宋体" w:hAnsi="宋体"/>
          <w:szCs w:val="21"/>
        </w:rPr>
        <w:t>020</w:t>
      </w:r>
      <w:r>
        <w:rPr>
          <w:rFonts w:ascii="宋体" w:eastAsia="宋体" w:hAnsi="宋体" w:hint="eastAsia"/>
          <w:szCs w:val="21"/>
        </w:rPr>
        <w:t>】1号）执行。</w:t>
      </w:r>
    </w:p>
    <w:p>
      <w:pPr>
        <w:spacing w:line="360" w:lineRule="auto"/>
        <w:ind w:firstLine="470" w:firstLineChars="196"/>
        <w:rPr>
          <w:rFonts w:ascii="宋体" w:eastAsia="宋体" w:hAnsi="宋体"/>
          <w:szCs w:val="21"/>
        </w:rPr>
      </w:pPr>
      <w:r>
        <w:rPr>
          <w:rFonts w:ascii="宋体" w:eastAsia="宋体" w:hAnsi="宋体" w:hint="eastAsia"/>
          <w:szCs w:val="21"/>
        </w:rPr>
        <w:t>说明：采购人及投标供应商应按照上述方法提前做好相关准备。</w:t>
      </w:r>
    </w:p>
    <w:p>
      <w:pPr>
        <w:spacing w:line="360" w:lineRule="auto"/>
        <w:ind w:firstLine="470" w:firstLineChars="196"/>
        <w:rPr>
          <w:rFonts w:ascii="宋体" w:eastAsia="宋体" w:hAnsi="宋体"/>
          <w:szCs w:val="21"/>
        </w:rPr>
      </w:pPr>
      <w:r>
        <w:rPr>
          <w:rFonts w:ascii="宋体" w:eastAsia="宋体" w:hAnsi="宋体" w:hint="eastAsia"/>
          <w:szCs w:val="21"/>
        </w:rPr>
        <w:t>38.3专用条款另有规定的，按专用条款相关要求定标。</w:t>
      </w:r>
      <w:bookmarkEnd w:id="185"/>
    </w:p>
    <w:p>
      <w:pPr>
        <w:spacing w:line="360" w:lineRule="auto"/>
        <w:rPr>
          <w:rFonts w:ascii="宋体" w:eastAsia="宋体" w:hAnsi="宋体"/>
          <w:b/>
          <w:bCs/>
          <w:szCs w:val="21"/>
        </w:rPr>
      </w:pPr>
      <w:r>
        <w:rPr>
          <w:rFonts w:ascii="宋体" w:eastAsia="宋体" w:hAnsi="宋体" w:hint="eastAsia"/>
          <w:b/>
          <w:bCs/>
          <w:szCs w:val="21"/>
        </w:rPr>
        <w:t>39．编写评审报告</w:t>
      </w:r>
    </w:p>
    <w:p>
      <w:pPr>
        <w:spacing w:line="360" w:lineRule="auto"/>
        <w:ind w:firstLine="470" w:firstLineChars="196"/>
        <w:rPr>
          <w:rFonts w:ascii="宋体" w:eastAsia="宋体" w:hAnsi="宋体"/>
          <w:szCs w:val="21"/>
        </w:rPr>
      </w:pPr>
      <w:r>
        <w:rPr>
          <w:rFonts w:ascii="宋体" w:eastAsia="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line="360" w:lineRule="auto"/>
        <w:rPr>
          <w:rFonts w:ascii="宋体" w:eastAsia="宋体" w:hAnsi="宋体"/>
          <w:b/>
          <w:bCs/>
          <w:szCs w:val="21"/>
        </w:rPr>
      </w:pPr>
      <w:r>
        <w:rPr>
          <w:rFonts w:ascii="宋体" w:eastAsia="宋体" w:hAnsi="宋体" w:hint="eastAsia"/>
          <w:b/>
          <w:bCs/>
          <w:szCs w:val="21"/>
        </w:rPr>
        <w:t>40．中标公告</w:t>
      </w:r>
    </w:p>
    <w:p>
      <w:pPr>
        <w:spacing w:line="360" w:lineRule="auto"/>
        <w:ind w:firstLine="470" w:firstLineChars="196"/>
        <w:rPr>
          <w:rFonts w:ascii="宋体" w:eastAsia="宋体" w:hAnsi="宋体"/>
          <w:szCs w:val="21"/>
        </w:rPr>
      </w:pPr>
      <w:r>
        <w:rPr>
          <w:rFonts w:ascii="宋体" w:eastAsia="宋体" w:hAnsi="宋体" w:hint="eastAsia"/>
          <w:szCs w:val="21"/>
        </w:rPr>
        <w:t>40.1</w:t>
      </w:r>
      <w:bookmarkStart w:id="189" w:name="_Hlk72438709"/>
      <w:r>
        <w:rPr>
          <w:rFonts w:ascii="宋体" w:eastAsia="宋体" w:hAnsi="宋体" w:hint="eastAsia"/>
          <w:szCs w:val="21"/>
        </w:rPr>
        <w:t>为体现“公开、公平、公正”的原则，评审结束后经采购人确认（确定）评审结果，采购代理机构将在“深圳政府采购智慧平台（http://zfcg.szggzy.com/）”上发布中标结果公告。</w:t>
      </w:r>
      <w:bookmarkEnd w:id="189"/>
      <w:bookmarkStart w:id="190" w:name="_Hlk72438751"/>
      <w:r>
        <w:rPr>
          <w:rFonts w:ascii="宋体" w:eastAsia="宋体" w:hAnsi="宋体" w:hint="eastAsia"/>
          <w:szCs w:val="21"/>
        </w:rPr>
        <w:t>供应商如对评审结果有异议，</w:t>
      </w:r>
      <w:r>
        <w:rPr>
          <w:rFonts w:ascii="宋体" w:eastAsia="宋体" w:hAnsi="宋体"/>
          <w:szCs w:val="21"/>
        </w:rPr>
        <w:t>可在发布公示日期起</w:t>
      </w:r>
      <w:r>
        <w:rPr>
          <w:rFonts w:ascii="宋体" w:eastAsia="宋体" w:hAnsi="宋体" w:hint="eastAsia"/>
          <w:szCs w:val="21"/>
        </w:rPr>
        <w:t>七</w:t>
      </w:r>
      <w:r>
        <w:rPr>
          <w:rFonts w:ascii="宋体" w:eastAsia="宋体" w:hAnsi="宋体"/>
          <w:szCs w:val="21"/>
        </w:rPr>
        <w:t>个工作日内向</w:t>
      </w:r>
      <w:r>
        <w:rPr>
          <w:rFonts w:ascii="宋体" w:eastAsia="宋体" w:hAnsi="宋体" w:hint="eastAsia"/>
          <w:szCs w:val="21"/>
        </w:rPr>
        <w:t>采购代理机构</w:t>
      </w:r>
      <w:r>
        <w:rPr>
          <w:rFonts w:ascii="宋体" w:eastAsia="宋体" w:hAnsi="宋体"/>
          <w:szCs w:val="21"/>
        </w:rPr>
        <w:t>提出。 监督电话：0755-83948143。</w:t>
      </w:r>
      <w:r>
        <w:rPr>
          <w:rFonts w:ascii="宋体" w:eastAsia="宋体" w:hAnsi="宋体" w:hint="eastAsia"/>
          <w:szCs w:val="21"/>
        </w:rPr>
        <w:t>若在公示期内未提出质疑，则视为认同该评审结果。</w:t>
      </w:r>
    </w:p>
    <w:p>
      <w:pPr>
        <w:spacing w:line="360" w:lineRule="auto"/>
        <w:ind w:firstLine="470" w:firstLineChars="196"/>
        <w:rPr>
          <w:rFonts w:ascii="宋体" w:eastAsia="宋体" w:hAnsi="宋体"/>
          <w:szCs w:val="21"/>
        </w:rPr>
      </w:pPr>
      <w:bookmarkEnd w:id="190"/>
      <w:r>
        <w:rPr>
          <w:rFonts w:ascii="宋体" w:eastAsia="宋体" w:hAnsi="宋体" w:hint="eastAsia"/>
          <w:szCs w:val="21"/>
        </w:rPr>
        <w:t>40.2质疑、投诉供应商应保证质疑、投诉内容的真实性和可靠性，并承担相应的法律责任。</w:t>
      </w:r>
    </w:p>
    <w:p>
      <w:pPr>
        <w:spacing w:line="360" w:lineRule="auto"/>
        <w:rPr>
          <w:rFonts w:ascii="宋体" w:eastAsia="宋体" w:hAnsi="宋体"/>
          <w:b/>
          <w:bCs/>
          <w:szCs w:val="21"/>
        </w:rPr>
      </w:pPr>
      <w:r>
        <w:rPr>
          <w:rFonts w:ascii="宋体" w:eastAsia="宋体" w:hAnsi="宋体" w:hint="eastAsia"/>
          <w:b/>
          <w:bCs/>
          <w:szCs w:val="21"/>
        </w:rPr>
        <w:t>41．中标通知书</w:t>
      </w:r>
    </w:p>
    <w:p>
      <w:pPr>
        <w:spacing w:line="360" w:lineRule="auto"/>
        <w:ind w:firstLine="470" w:firstLineChars="196"/>
        <w:rPr>
          <w:rFonts w:ascii="宋体" w:eastAsia="宋体" w:hAnsi="宋体"/>
          <w:szCs w:val="21"/>
        </w:rPr>
      </w:pPr>
      <w:r>
        <w:rPr>
          <w:rFonts w:ascii="宋体" w:eastAsia="宋体" w:hAnsi="宋体" w:hint="eastAsia"/>
          <w:szCs w:val="21"/>
        </w:rPr>
        <w:t>41</w:t>
      </w:r>
      <w:r>
        <w:rPr>
          <w:rFonts w:ascii="宋体" w:eastAsia="宋体" w:hAnsi="宋体"/>
          <w:szCs w:val="21"/>
        </w:rPr>
        <w:t>.</w:t>
      </w:r>
      <w:r>
        <w:rPr>
          <w:rFonts w:ascii="宋体" w:eastAsia="宋体" w:hAnsi="宋体" w:hint="eastAsia"/>
          <w:szCs w:val="21"/>
        </w:rPr>
        <w:t>1</w:t>
      </w:r>
      <w:bookmarkStart w:id="191" w:name="_Hlk72438863"/>
      <w:r>
        <w:rPr>
          <w:rFonts w:ascii="宋体" w:eastAsia="宋体" w:hAnsi="宋体" w:hint="eastAsia"/>
          <w:szCs w:val="21"/>
        </w:rPr>
        <w:t>中标公告公布以后无异常的情况下,采购代理机构将向中标供应商和采购人发出中标通知书。</w:t>
      </w:r>
      <w:bookmarkEnd w:id="191"/>
    </w:p>
    <w:p>
      <w:pPr>
        <w:spacing w:line="360" w:lineRule="auto"/>
        <w:ind w:firstLine="470" w:firstLineChars="196"/>
        <w:rPr>
          <w:rFonts w:ascii="宋体" w:eastAsia="宋体" w:hAnsi="宋体"/>
          <w:szCs w:val="21"/>
        </w:rPr>
      </w:pPr>
      <w:r>
        <w:rPr>
          <w:rFonts w:ascii="宋体" w:eastAsia="宋体" w:hAnsi="宋体" w:hint="eastAsia"/>
          <w:szCs w:val="21"/>
        </w:rPr>
        <w:t>41</w:t>
      </w:r>
      <w:r>
        <w:rPr>
          <w:rFonts w:ascii="宋体" w:eastAsia="宋体" w:hAnsi="宋体"/>
          <w:szCs w:val="21"/>
        </w:rPr>
        <w:t>.2</w:t>
      </w:r>
      <w:r>
        <w:rPr>
          <w:rFonts w:ascii="宋体" w:eastAsia="宋体" w:hAnsi="宋体" w:hint="eastAsia"/>
          <w:szCs w:val="21"/>
        </w:rPr>
        <w:t>中标通知书是合同的重要组成部分。</w:t>
      </w:r>
    </w:p>
    <w:p>
      <w:pPr>
        <w:spacing w:line="360" w:lineRule="auto"/>
        <w:ind w:firstLine="470" w:firstLineChars="196"/>
        <w:rPr>
          <w:rFonts w:ascii="宋体" w:eastAsia="宋体" w:hAnsi="宋体"/>
          <w:szCs w:val="21"/>
        </w:rPr>
      </w:pPr>
      <w:bookmarkStart w:id="192" w:name="_Hlk71407340"/>
      <w:r>
        <w:rPr>
          <w:rFonts w:ascii="宋体" w:eastAsia="宋体" w:hAnsi="宋体" w:hint="eastAsia"/>
          <w:szCs w:val="21"/>
        </w:rPr>
        <w:t>41.3因质疑投诉或其它原因导致项目结果变更或采购终止的，采购代理机构有权吊销中标通知书。</w:t>
      </w:r>
    </w:p>
    <w:p>
      <w:pPr>
        <w:spacing w:line="360" w:lineRule="auto"/>
        <w:ind w:firstLine="470" w:firstLineChars="196"/>
        <w:rPr>
          <w:rFonts w:ascii="宋体" w:eastAsia="宋体" w:hAnsi="宋体"/>
          <w:szCs w:val="21"/>
        </w:rPr>
      </w:pPr>
      <w:r>
        <w:rPr>
          <w:rFonts w:ascii="宋体" w:eastAsia="宋体" w:hAnsi="宋体" w:hint="eastAsia"/>
          <w:szCs w:val="21"/>
        </w:rPr>
        <w:t>41.4中标服务费</w:t>
      </w:r>
    </w:p>
    <w:p>
      <w:pPr>
        <w:spacing w:line="360" w:lineRule="auto"/>
        <w:ind w:firstLine="470" w:firstLineChars="196"/>
        <w:rPr>
          <w:rFonts w:ascii="宋体" w:eastAsia="宋体" w:hAnsi="宋体"/>
          <w:szCs w:val="21"/>
        </w:rPr>
      </w:pPr>
      <w:r>
        <w:rPr>
          <w:rFonts w:ascii="宋体" w:eastAsia="宋体" w:hAnsi="宋体" w:hint="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TableNormal"/>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02"/>
        <w:gridCol w:w="2027"/>
        <w:gridCol w:w="2158"/>
        <w:gridCol w:w="2158"/>
      </w:tblGrid>
      <w:tr>
        <w:tblPrEx>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62"/>
          <w:jc w:val="center"/>
        </w:trPr>
        <w:tc>
          <w:tcPr>
            <w:tcW w:w="2802" w:type="dxa"/>
          </w:tcPr>
          <w:p>
            <w:pPr>
              <w:spacing w:line="360" w:lineRule="auto"/>
              <w:ind w:firstLine="1387" w:firstLineChars="578"/>
              <w:rPr>
                <w:rFonts w:ascii="宋体" w:eastAsia="宋体" w:hAnsi="宋体"/>
                <w:b/>
                <w:szCs w:val="21"/>
              </w:rPr>
            </w:pPr>
            <w:r>
              <w:rPr>
                <w:rFonts w:ascii="宋体" w:eastAsia="宋体" w:hAnsi="宋体"/>
                <w:szCs w:val="21"/>
              </w:rPr>
              <w:pict>
                <v:line id="直接连接符 6" o:spid="_x0000_s1025" style="flip:x y;mso-height-relative:page;mso-width-relative:page;position:absolute;z-index:251658240" from="12.15pt,-0.5pt" to="116.25pt,62.4pt" coordsize="21600,21600" o:allowincell="f"/>
              </w:pict>
            </w:r>
            <w:r>
              <w:rPr>
                <w:rFonts w:ascii="宋体" w:eastAsia="宋体" w:hAnsi="宋体"/>
                <w:szCs w:val="21"/>
              </w:rPr>
              <w:pict>
                <v:line id="直接连接符 7" o:spid="_x0000_s1026" style="flip:x y;mso-height-relative:page;mso-width-relative:page;position:absolute;z-index:251659264" from="-20.25pt,10.65pt" to="116.25pt,62.4pt" coordsize="21600,21600" o:allowincell="f"/>
              </w:pict>
            </w:r>
            <w:r>
              <w:rPr>
                <w:rFonts w:ascii="宋体" w:eastAsia="宋体" w:hAnsi="宋体"/>
                <w:szCs w:val="21"/>
              </w:rPr>
              <w:pict>
                <v:line id="直线 7" o:spid="_x0000_s1027" style="mso-height-relative:page;mso-width-relative:page;position:absolute;z-index:251660288" from="-9pt,-0.5pt" to="-8.95pt,-0.5pt" coordsize="21600,21600" o:allowincell="f"/>
              </w:pict>
            </w:r>
            <w:r>
              <w:rPr>
                <w:rFonts w:ascii="宋体" w:eastAsia="宋体" w:hAnsi="宋体" w:hint="eastAsia"/>
                <w:b/>
                <w:szCs w:val="21"/>
              </w:rPr>
              <w:t>服务类型</w:t>
            </w:r>
          </w:p>
          <w:p>
            <w:pPr>
              <w:spacing w:line="360" w:lineRule="auto"/>
              <w:ind w:firstLine="446" w:firstLineChars="186"/>
              <w:rPr>
                <w:rFonts w:ascii="宋体" w:eastAsia="宋体" w:hAnsi="宋体"/>
                <w:b/>
                <w:szCs w:val="21"/>
              </w:rPr>
            </w:pPr>
            <w:r>
              <w:rPr>
                <w:rFonts w:ascii="宋体" w:eastAsia="宋体" w:hAnsi="宋体" w:hint="eastAsia"/>
                <w:b/>
                <w:szCs w:val="21"/>
              </w:rPr>
              <w:t>费率　　　　　</w:t>
            </w:r>
          </w:p>
          <w:p>
            <w:pPr>
              <w:spacing w:line="360" w:lineRule="auto"/>
              <w:rPr>
                <w:rFonts w:ascii="宋体" w:eastAsia="宋体" w:hAnsi="宋体"/>
                <w:b/>
                <w:szCs w:val="21"/>
              </w:rPr>
            </w:pPr>
            <w:r>
              <w:rPr>
                <w:rFonts w:ascii="宋体" w:eastAsia="宋体" w:hAnsi="宋体" w:hint="eastAsia"/>
                <w:b/>
                <w:szCs w:val="21"/>
              </w:rPr>
              <w:t>中标金额（万元）</w:t>
            </w:r>
          </w:p>
        </w:tc>
        <w:tc>
          <w:tcPr>
            <w:tcW w:w="2027" w:type="dxa"/>
            <w:vAlign w:val="center"/>
          </w:tcPr>
          <w:p>
            <w:pPr>
              <w:spacing w:line="360" w:lineRule="auto"/>
              <w:jc w:val="center"/>
              <w:rPr>
                <w:rFonts w:ascii="宋体" w:eastAsia="宋体" w:hAnsi="宋体"/>
                <w:b/>
                <w:szCs w:val="21"/>
              </w:rPr>
            </w:pPr>
            <w:r>
              <w:rPr>
                <w:rFonts w:ascii="宋体" w:eastAsia="宋体" w:hAnsi="宋体" w:hint="eastAsia"/>
                <w:b/>
                <w:szCs w:val="21"/>
              </w:rPr>
              <w:t>货物招标</w:t>
            </w:r>
          </w:p>
        </w:tc>
        <w:tc>
          <w:tcPr>
            <w:tcW w:w="2158" w:type="dxa"/>
            <w:vAlign w:val="center"/>
          </w:tcPr>
          <w:p>
            <w:pPr>
              <w:spacing w:line="360" w:lineRule="auto"/>
              <w:jc w:val="center"/>
              <w:rPr>
                <w:rFonts w:ascii="宋体" w:eastAsia="宋体" w:hAnsi="宋体"/>
                <w:b/>
                <w:szCs w:val="21"/>
              </w:rPr>
            </w:pPr>
            <w:r>
              <w:rPr>
                <w:rFonts w:ascii="宋体" w:eastAsia="宋体" w:hAnsi="宋体" w:hint="eastAsia"/>
                <w:b/>
                <w:szCs w:val="21"/>
              </w:rPr>
              <w:t>服务招标</w:t>
            </w:r>
          </w:p>
        </w:tc>
        <w:tc>
          <w:tcPr>
            <w:tcW w:w="2158" w:type="dxa"/>
            <w:vAlign w:val="center"/>
          </w:tcPr>
          <w:p>
            <w:pPr>
              <w:spacing w:line="360" w:lineRule="auto"/>
              <w:jc w:val="center"/>
              <w:rPr>
                <w:rFonts w:ascii="宋体" w:eastAsia="宋体" w:hAnsi="宋体"/>
                <w:b/>
                <w:szCs w:val="21"/>
              </w:rPr>
            </w:pPr>
            <w:r>
              <w:rPr>
                <w:rFonts w:ascii="宋体" w:eastAsia="宋体" w:hAnsi="宋体" w:hint="eastAsia"/>
                <w:b/>
                <w:szCs w:val="21"/>
              </w:rPr>
              <w:t>工程招标</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100</w:t>
            </w:r>
            <w:r>
              <w:rPr>
                <w:rFonts w:ascii="宋体" w:eastAsia="宋体" w:hAnsi="宋体" w:hint="eastAsia"/>
                <w:szCs w:val="21"/>
              </w:rPr>
              <w:t>以下</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1.500%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1.500%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1.000%</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100</w:t>
            </w:r>
            <w:r>
              <w:rPr>
                <w:rFonts w:ascii="宋体" w:eastAsia="宋体" w:hAnsi="宋体" w:hint="eastAsia"/>
                <w:szCs w:val="21"/>
              </w:rPr>
              <w:t>～</w:t>
            </w:r>
            <w:r>
              <w:rPr>
                <w:rFonts w:ascii="宋体" w:eastAsia="宋体" w:hAnsi="宋体"/>
                <w:szCs w:val="21"/>
              </w:rPr>
              <w:t>500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1.100%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0.800%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0.700%</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500</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0.800%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0.450%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0.550%</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w:t>
            </w:r>
            <w:r>
              <w:rPr>
                <w:rFonts w:ascii="宋体" w:eastAsia="宋体" w:hAnsi="宋体" w:hint="eastAsia"/>
                <w:szCs w:val="21"/>
              </w:rPr>
              <w:t>000～</w:t>
            </w:r>
            <w:r>
              <w:rPr>
                <w:rFonts w:ascii="宋体" w:eastAsia="宋体" w:hAnsi="宋体"/>
                <w:szCs w:val="21"/>
              </w:rPr>
              <w:t>5</w:t>
            </w:r>
            <w:r>
              <w:rPr>
                <w:rFonts w:ascii="宋体" w:eastAsia="宋体" w:hAnsi="宋体" w:hint="eastAsia"/>
                <w:szCs w:val="21"/>
              </w:rPr>
              <w:t>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0.500%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0.250%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0.350%</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5</w:t>
            </w:r>
            <w:r>
              <w:rPr>
                <w:rFonts w:ascii="宋体" w:eastAsia="宋体" w:hAnsi="宋体" w:hint="eastAsia"/>
                <w:szCs w:val="21"/>
              </w:rPr>
              <w:t>000～</w:t>
            </w:r>
            <w:r>
              <w:rPr>
                <w:rFonts w:ascii="宋体" w:eastAsia="宋体" w:hAnsi="宋体"/>
                <w:szCs w:val="21"/>
              </w:rPr>
              <w:t>1</w:t>
            </w:r>
            <w:r>
              <w:rPr>
                <w:rFonts w:ascii="宋体" w:eastAsia="宋体" w:hAnsi="宋体" w:hint="eastAsia"/>
                <w:szCs w:val="21"/>
              </w:rPr>
              <w:t>0000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0.250%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0.100%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0.200%</w:t>
            </w:r>
          </w:p>
        </w:tc>
      </w:tr>
      <w:tr>
        <w:tblPrEx>
          <w:tblW w:w="9145" w:type="dxa"/>
          <w:jc w:val="center"/>
          <w:tblLayout w:type="fixed"/>
          <w:tblCellMar>
            <w:top w:w="0" w:type="dxa"/>
            <w:left w:w="108" w:type="dxa"/>
            <w:bottom w:w="0" w:type="dxa"/>
            <w:right w:w="108" w:type="dxa"/>
          </w:tblCellMar>
        </w:tblPrEx>
        <w:trPr>
          <w:trHeight w:val="386"/>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w:t>
            </w:r>
            <w:r>
              <w:rPr>
                <w:rFonts w:ascii="宋体" w:eastAsia="宋体" w:hAnsi="宋体" w:hint="eastAsia"/>
                <w:szCs w:val="21"/>
              </w:rPr>
              <w:t>0000～</w:t>
            </w:r>
            <w:r>
              <w:rPr>
                <w:rFonts w:ascii="宋体" w:eastAsia="宋体" w:hAnsi="宋体"/>
                <w:szCs w:val="21"/>
              </w:rPr>
              <w:t>5</w:t>
            </w:r>
            <w:r>
              <w:rPr>
                <w:rFonts w:ascii="宋体" w:eastAsia="宋体" w:hAnsi="宋体" w:hint="eastAsia"/>
                <w:szCs w:val="21"/>
              </w:rPr>
              <w:t>0000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0.050%</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0.050%</w:t>
            </w:r>
          </w:p>
        </w:tc>
        <w:tc>
          <w:tcPr>
            <w:tcW w:w="2158" w:type="dxa"/>
            <w:vAlign w:val="center"/>
          </w:tcPr>
          <w:p>
            <w:pPr>
              <w:snapToGrid w:val="0"/>
              <w:spacing w:line="360" w:lineRule="auto"/>
              <w:jc w:val="center"/>
              <w:rPr>
                <w:rFonts w:ascii="宋体" w:eastAsia="宋体" w:hAnsi="宋体"/>
                <w:szCs w:val="21"/>
              </w:rPr>
            </w:pPr>
            <w:r>
              <w:rPr>
                <w:rFonts w:ascii="宋体" w:eastAsia="宋体" w:hAnsi="宋体" w:hint="eastAsia"/>
                <w:szCs w:val="21"/>
              </w:rPr>
              <w:t>0.050%</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5</w:t>
            </w:r>
            <w:r>
              <w:rPr>
                <w:rFonts w:ascii="宋体" w:eastAsia="宋体" w:hAnsi="宋体" w:hint="eastAsia"/>
                <w:szCs w:val="21"/>
              </w:rPr>
              <w:t>0000～</w:t>
            </w:r>
            <w:r>
              <w:rPr>
                <w:rFonts w:ascii="宋体" w:eastAsia="宋体" w:hAnsi="宋体"/>
                <w:szCs w:val="21"/>
              </w:rPr>
              <w:t>10</w:t>
            </w:r>
            <w:r>
              <w:rPr>
                <w:rFonts w:ascii="宋体" w:eastAsia="宋体" w:hAnsi="宋体" w:hint="eastAsia"/>
                <w:szCs w:val="21"/>
              </w:rPr>
              <w:t>0000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0.035%</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0.035%</w:t>
            </w:r>
          </w:p>
        </w:tc>
        <w:tc>
          <w:tcPr>
            <w:tcW w:w="2158" w:type="dxa"/>
            <w:vAlign w:val="center"/>
          </w:tcPr>
          <w:p>
            <w:pPr>
              <w:snapToGrid w:val="0"/>
              <w:spacing w:line="360" w:lineRule="auto"/>
              <w:jc w:val="center"/>
              <w:rPr>
                <w:rFonts w:ascii="宋体" w:eastAsia="宋体" w:hAnsi="宋体"/>
                <w:bCs/>
                <w:szCs w:val="21"/>
              </w:rPr>
            </w:pPr>
            <w:r>
              <w:rPr>
                <w:rFonts w:ascii="宋体" w:eastAsia="宋体" w:hAnsi="宋体" w:hint="eastAsia"/>
                <w:bCs/>
                <w:szCs w:val="21"/>
              </w:rPr>
              <w:t>0.035%</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10</w:t>
            </w:r>
            <w:r>
              <w:rPr>
                <w:rFonts w:ascii="宋体" w:eastAsia="宋体" w:hAnsi="宋体" w:hint="eastAsia"/>
                <w:szCs w:val="21"/>
              </w:rPr>
              <w:t>0000～</w:t>
            </w:r>
            <w:r>
              <w:rPr>
                <w:rFonts w:ascii="宋体" w:eastAsia="宋体" w:hAnsi="宋体"/>
                <w:szCs w:val="21"/>
              </w:rPr>
              <w:t>50</w:t>
            </w:r>
            <w:r>
              <w:rPr>
                <w:rFonts w:ascii="宋体" w:eastAsia="宋体" w:hAnsi="宋体" w:hint="eastAsia"/>
                <w:szCs w:val="21"/>
              </w:rPr>
              <w:t>0000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0.008%</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0.008%</w:t>
            </w:r>
          </w:p>
        </w:tc>
        <w:tc>
          <w:tcPr>
            <w:tcW w:w="2158" w:type="dxa"/>
            <w:vAlign w:val="center"/>
          </w:tcPr>
          <w:p>
            <w:pPr>
              <w:snapToGrid w:val="0"/>
              <w:spacing w:line="360" w:lineRule="auto"/>
              <w:jc w:val="center"/>
              <w:rPr>
                <w:rFonts w:ascii="宋体" w:eastAsia="宋体" w:hAnsi="宋体"/>
                <w:bCs/>
                <w:szCs w:val="21"/>
              </w:rPr>
            </w:pPr>
            <w:r>
              <w:rPr>
                <w:rFonts w:ascii="宋体" w:eastAsia="宋体" w:hAnsi="宋体" w:hint="eastAsia"/>
                <w:bCs/>
                <w:szCs w:val="21"/>
              </w:rPr>
              <w:t>0.008%</w:t>
            </w:r>
          </w:p>
        </w:tc>
      </w:tr>
      <w:tr>
        <w:tblPrEx>
          <w:tblW w:w="9145" w:type="dxa"/>
          <w:jc w:val="center"/>
          <w:tblLayout w:type="fixed"/>
          <w:tblCellMar>
            <w:top w:w="0" w:type="dxa"/>
            <w:left w:w="108" w:type="dxa"/>
            <w:bottom w:w="0" w:type="dxa"/>
            <w:right w:w="108" w:type="dxa"/>
          </w:tblCellMar>
        </w:tblPrEx>
        <w:trPr>
          <w:trHeight w:val="401"/>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50</w:t>
            </w:r>
            <w:r>
              <w:rPr>
                <w:rFonts w:ascii="宋体" w:eastAsia="宋体" w:hAnsi="宋体" w:hint="eastAsia"/>
                <w:szCs w:val="21"/>
              </w:rPr>
              <w:t>0000～</w:t>
            </w:r>
            <w:r>
              <w:rPr>
                <w:rFonts w:ascii="宋体" w:eastAsia="宋体" w:hAnsi="宋体"/>
                <w:szCs w:val="21"/>
              </w:rPr>
              <w:t>100</w:t>
            </w:r>
            <w:r>
              <w:rPr>
                <w:rFonts w:ascii="宋体" w:eastAsia="宋体" w:hAnsi="宋体" w:hint="eastAsia"/>
                <w:szCs w:val="21"/>
              </w:rPr>
              <w:t>0000</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0.006%</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0.006%</w:t>
            </w:r>
          </w:p>
        </w:tc>
        <w:tc>
          <w:tcPr>
            <w:tcW w:w="2158" w:type="dxa"/>
            <w:vAlign w:val="center"/>
          </w:tcPr>
          <w:p>
            <w:pPr>
              <w:snapToGrid w:val="0"/>
              <w:spacing w:line="360" w:lineRule="auto"/>
              <w:jc w:val="center"/>
              <w:rPr>
                <w:rFonts w:ascii="宋体" w:eastAsia="宋体" w:hAnsi="宋体"/>
                <w:bCs/>
                <w:szCs w:val="21"/>
              </w:rPr>
            </w:pPr>
            <w:r>
              <w:rPr>
                <w:rFonts w:ascii="宋体" w:eastAsia="宋体" w:hAnsi="宋体" w:hint="eastAsia"/>
                <w:bCs/>
                <w:szCs w:val="21"/>
              </w:rPr>
              <w:t>0.006%</w:t>
            </w:r>
          </w:p>
        </w:tc>
      </w:tr>
      <w:tr>
        <w:tblPrEx>
          <w:tblW w:w="9145" w:type="dxa"/>
          <w:jc w:val="center"/>
          <w:tblLayout w:type="fixed"/>
          <w:tblCellMar>
            <w:top w:w="0" w:type="dxa"/>
            <w:left w:w="108" w:type="dxa"/>
            <w:bottom w:w="0" w:type="dxa"/>
            <w:right w:w="108" w:type="dxa"/>
          </w:tblCellMar>
        </w:tblPrEx>
        <w:trPr>
          <w:trHeight w:val="416"/>
          <w:jc w:val="center"/>
        </w:trPr>
        <w:tc>
          <w:tcPr>
            <w:tcW w:w="2802" w:type="dxa"/>
            <w:vAlign w:val="center"/>
          </w:tcPr>
          <w:p>
            <w:pPr>
              <w:spacing w:line="360" w:lineRule="auto"/>
              <w:jc w:val="center"/>
              <w:rPr>
                <w:rFonts w:ascii="宋体" w:eastAsia="宋体" w:hAnsi="宋体"/>
                <w:szCs w:val="21"/>
              </w:rPr>
            </w:pPr>
            <w:r>
              <w:rPr>
                <w:rFonts w:ascii="宋体" w:eastAsia="宋体" w:hAnsi="宋体"/>
                <w:szCs w:val="21"/>
              </w:rPr>
              <w:t>100</w:t>
            </w:r>
            <w:r>
              <w:rPr>
                <w:rFonts w:ascii="宋体" w:eastAsia="宋体" w:hAnsi="宋体" w:hint="eastAsia"/>
                <w:szCs w:val="21"/>
              </w:rPr>
              <w:t>0000以上</w:t>
            </w:r>
          </w:p>
        </w:tc>
        <w:tc>
          <w:tcPr>
            <w:tcW w:w="2027" w:type="dxa"/>
            <w:vAlign w:val="center"/>
          </w:tcPr>
          <w:p>
            <w:pPr>
              <w:spacing w:line="360" w:lineRule="auto"/>
              <w:jc w:val="center"/>
              <w:rPr>
                <w:rFonts w:ascii="宋体" w:eastAsia="宋体" w:hAnsi="宋体"/>
                <w:szCs w:val="21"/>
              </w:rPr>
            </w:pPr>
            <w:r>
              <w:rPr>
                <w:rFonts w:ascii="宋体" w:eastAsia="宋体" w:hAnsi="宋体"/>
                <w:szCs w:val="21"/>
              </w:rPr>
              <w:t>0.004%</w:t>
            </w:r>
          </w:p>
        </w:tc>
        <w:tc>
          <w:tcPr>
            <w:tcW w:w="2158" w:type="dxa"/>
            <w:vAlign w:val="center"/>
          </w:tcPr>
          <w:p>
            <w:pPr>
              <w:spacing w:line="360" w:lineRule="auto"/>
              <w:jc w:val="center"/>
              <w:rPr>
                <w:rFonts w:ascii="宋体" w:eastAsia="宋体" w:hAnsi="宋体"/>
                <w:szCs w:val="21"/>
              </w:rPr>
            </w:pPr>
            <w:r>
              <w:rPr>
                <w:rFonts w:ascii="宋体" w:eastAsia="宋体" w:hAnsi="宋体"/>
                <w:szCs w:val="21"/>
              </w:rPr>
              <w:t>0.004%</w:t>
            </w:r>
          </w:p>
        </w:tc>
        <w:tc>
          <w:tcPr>
            <w:tcW w:w="2158" w:type="dxa"/>
            <w:vAlign w:val="center"/>
          </w:tcPr>
          <w:p>
            <w:pPr>
              <w:snapToGrid w:val="0"/>
              <w:spacing w:line="360" w:lineRule="auto"/>
              <w:jc w:val="center"/>
              <w:rPr>
                <w:rFonts w:ascii="宋体" w:eastAsia="宋体" w:hAnsi="宋体"/>
                <w:bCs/>
                <w:szCs w:val="21"/>
              </w:rPr>
            </w:pPr>
            <w:r>
              <w:rPr>
                <w:rFonts w:ascii="宋体" w:eastAsia="宋体" w:hAnsi="宋体" w:hint="eastAsia"/>
                <w:bCs/>
                <w:szCs w:val="21"/>
              </w:rPr>
              <w:t>0.004%</w:t>
            </w:r>
          </w:p>
        </w:tc>
      </w:tr>
    </w:tbl>
    <w:p>
      <w:pPr>
        <w:spacing w:line="360" w:lineRule="auto"/>
        <w:ind w:firstLine="470" w:firstLineChars="196"/>
        <w:rPr>
          <w:rFonts w:ascii="宋体" w:eastAsia="宋体" w:hAnsi="宋体"/>
          <w:szCs w:val="21"/>
        </w:rPr>
      </w:pPr>
    </w:p>
    <w:p>
      <w:pPr>
        <w:spacing w:line="360" w:lineRule="auto"/>
        <w:ind w:firstLine="470" w:firstLineChars="196"/>
        <w:rPr>
          <w:rFonts w:ascii="宋体" w:eastAsia="宋体" w:hAnsi="宋体"/>
          <w:szCs w:val="21"/>
        </w:rPr>
      </w:pPr>
      <w:bookmarkEnd w:id="192"/>
    </w:p>
    <w:p>
      <w:pPr>
        <w:pStyle w:val="Heading2"/>
        <w:spacing w:line="360" w:lineRule="auto"/>
        <w:rPr>
          <w:kern w:val="2"/>
        </w:rPr>
      </w:pPr>
      <w:bookmarkStart w:id="193" w:name="bt合同的授予"/>
      <w:bookmarkEnd w:id="193"/>
      <w:bookmarkStart w:id="194" w:name="_Toc101074884"/>
      <w:bookmarkStart w:id="195" w:name="_Toc73518156"/>
      <w:bookmarkStart w:id="196" w:name="_Toc100052407"/>
      <w:bookmarkStart w:id="197" w:name="_Toc73517678"/>
      <w:r>
        <w:rPr>
          <w:rFonts w:hint="eastAsia"/>
          <w:kern w:val="2"/>
        </w:rPr>
        <w:t>第九章  公开招标失败的后续处理</w:t>
      </w:r>
    </w:p>
    <w:p>
      <w:pPr>
        <w:spacing w:line="360" w:lineRule="auto"/>
        <w:rPr>
          <w:rFonts w:ascii="宋体" w:eastAsia="宋体" w:hAnsi="宋体"/>
          <w:b/>
          <w:bCs/>
          <w:szCs w:val="21"/>
        </w:rPr>
      </w:pPr>
      <w:r>
        <w:rPr>
          <w:rFonts w:ascii="宋体" w:eastAsia="宋体" w:hAnsi="宋体" w:hint="eastAsia"/>
          <w:b/>
          <w:bCs/>
          <w:szCs w:val="21"/>
        </w:rPr>
        <w:t>42．公开招标失败的处理</w:t>
      </w:r>
    </w:p>
    <w:p>
      <w:pPr>
        <w:spacing w:line="360" w:lineRule="auto"/>
        <w:ind w:firstLine="470" w:firstLineChars="196"/>
        <w:rPr>
          <w:rFonts w:ascii="宋体" w:eastAsia="宋体" w:hAnsi="宋体"/>
          <w:szCs w:val="21"/>
        </w:rPr>
      </w:pPr>
      <w:r>
        <w:rPr>
          <w:rFonts w:ascii="宋体" w:eastAsia="宋体" w:hAnsi="宋体" w:hint="eastAsia"/>
          <w:szCs w:val="21"/>
        </w:rPr>
        <w:t>42.1本项目公开招标过程中若由于投标截止后实际递交</w:t>
      </w:r>
      <w:r>
        <w:rPr>
          <w:rFonts w:ascii="宋体" w:eastAsia="宋体" w:hAnsi="宋体"/>
          <w:szCs w:val="21"/>
        </w:rPr>
        <w:t>投标</w:t>
      </w:r>
      <w:r>
        <w:rPr>
          <w:rFonts w:ascii="宋体" w:eastAsia="宋体" w:hAnsi="宋体" w:hint="eastAsia"/>
          <w:szCs w:val="21"/>
        </w:rPr>
        <w:t>文件的供应商数量不足、经评审委员会评审对招标文件作实质响应的供应商不足等原因造成公开招标失败，可由</w:t>
      </w:r>
      <w:r>
        <w:rPr>
          <w:rFonts w:ascii="宋体" w:eastAsia="宋体" w:hAnsi="宋体" w:cs="宋体" w:hint="eastAsia"/>
          <w:szCs w:val="21"/>
        </w:rPr>
        <w:t>采购代理机构</w:t>
      </w:r>
      <w:r>
        <w:rPr>
          <w:rFonts w:ascii="宋体" w:eastAsia="宋体" w:hAnsi="宋体" w:hint="eastAsia"/>
          <w:szCs w:val="21"/>
        </w:rPr>
        <w:t>重新组织采购。</w:t>
      </w:r>
    </w:p>
    <w:p>
      <w:pPr>
        <w:spacing w:line="360" w:lineRule="auto"/>
        <w:ind w:firstLine="470" w:firstLineChars="196"/>
        <w:rPr>
          <w:rFonts w:ascii="宋体" w:eastAsia="宋体" w:hAnsi="宋体"/>
          <w:szCs w:val="21"/>
        </w:rPr>
      </w:pPr>
      <w:r>
        <w:rPr>
          <w:rFonts w:ascii="宋体" w:eastAsia="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spacing w:line="360" w:lineRule="auto"/>
        <w:ind w:firstLine="470" w:firstLineChars="196"/>
        <w:rPr>
          <w:rFonts w:ascii="宋体" w:eastAsia="宋体" w:hAnsi="宋体"/>
          <w:szCs w:val="21"/>
        </w:rPr>
      </w:pPr>
      <w:r>
        <w:rPr>
          <w:rFonts w:ascii="宋体" w:eastAsia="宋体" w:hAnsi="宋体" w:hint="eastAsia"/>
          <w:szCs w:val="21"/>
        </w:rPr>
        <w:t>42.3重新组织采购有以下两种组织形式：</w:t>
      </w:r>
    </w:p>
    <w:p>
      <w:pPr>
        <w:spacing w:line="360" w:lineRule="auto"/>
        <w:ind w:firstLine="470" w:firstLineChars="196"/>
        <w:rPr>
          <w:rFonts w:ascii="宋体" w:eastAsia="宋体" w:hAnsi="宋体"/>
          <w:szCs w:val="21"/>
        </w:rPr>
      </w:pPr>
      <w:r>
        <w:rPr>
          <w:rFonts w:ascii="宋体" w:eastAsia="宋体" w:hAnsi="宋体" w:hint="eastAsia"/>
          <w:szCs w:val="21"/>
        </w:rPr>
        <w:t>（1）由采购代理机构重新组织公开招标；</w:t>
      </w:r>
    </w:p>
    <w:p>
      <w:pPr>
        <w:spacing w:line="360" w:lineRule="auto"/>
        <w:ind w:firstLine="470" w:firstLineChars="196"/>
        <w:rPr>
          <w:rFonts w:ascii="宋体" w:eastAsia="宋体" w:hAnsi="宋体"/>
          <w:szCs w:val="21"/>
        </w:rPr>
      </w:pPr>
      <w:r>
        <w:rPr>
          <w:rFonts w:ascii="宋体" w:eastAsia="宋体" w:hAnsi="宋体" w:hint="eastAsia"/>
          <w:szCs w:val="21"/>
        </w:rPr>
        <w:t>（2）根据实际情况需要向同级财政部门提出非公开招标方式申请的，经同级财政部门批准，公开招标失败采购项目可转为竞争性谈判或单一来源谈判方式采购。</w:t>
      </w:r>
    </w:p>
    <w:p>
      <w:pPr>
        <w:spacing w:line="360" w:lineRule="auto"/>
        <w:ind w:firstLine="470" w:firstLineChars="196"/>
        <w:rPr>
          <w:rFonts w:ascii="宋体" w:eastAsia="宋体" w:hAnsi="宋体"/>
          <w:szCs w:val="21"/>
        </w:rPr>
      </w:pPr>
      <w:r>
        <w:rPr>
          <w:rFonts w:ascii="宋体" w:eastAsia="宋体" w:hAnsi="宋体" w:hint="eastAsia"/>
          <w:szCs w:val="21"/>
        </w:rPr>
        <w:t>42.4公开招标失败的采购项目重新组织公开招标，由采购代理机构重新按公开招标流程组织采购活动。</w:t>
      </w:r>
    </w:p>
    <w:p>
      <w:pPr>
        <w:tabs>
          <w:tab w:val="left" w:pos="-1080"/>
        </w:tabs>
        <w:spacing w:line="360" w:lineRule="auto"/>
        <w:ind w:firstLine="480" w:firstLineChars="200"/>
        <w:rPr>
          <w:rFonts w:ascii="宋体" w:eastAsia="宋体" w:hAnsi="宋体"/>
          <w:szCs w:val="21"/>
        </w:rPr>
      </w:pPr>
      <w:r>
        <w:rPr>
          <w:rFonts w:ascii="宋体" w:eastAsia="宋体" w:hAnsi="宋体" w:hint="eastAsia"/>
          <w:szCs w:val="21"/>
        </w:rPr>
        <w:t>42.5公开招标失败的采购项目经同级财政部门批准转为竞争性谈判或单一来源谈判方式采购的，按规定要求组织政府采购工作。</w:t>
      </w:r>
    </w:p>
    <w:p>
      <w:pPr>
        <w:pStyle w:val="BodyText"/>
        <w:spacing w:line="360" w:lineRule="auto"/>
        <w:rPr>
          <w:lang w:val="en-US" w:bidi="ar-SA"/>
        </w:rPr>
      </w:pPr>
      <w:r>
        <w:rPr>
          <w:rFonts w:cs="Times New Roman" w:hint="eastAsia"/>
          <w:sz w:val="24"/>
          <w:szCs w:val="21"/>
          <w:lang w:val="en-US" w:bidi="ar-SA"/>
        </w:rPr>
        <w:t xml:space="preserve">   42.6</w:t>
      </w:r>
      <w:r>
        <w:rPr>
          <w:rFonts w:cs="Times New Roman"/>
          <w:sz w:val="24"/>
          <w:szCs w:val="21"/>
          <w:lang w:val="en-US" w:bidi="ar-SA"/>
        </w:rPr>
        <w:t>中标供应商放弃中标资格的，或者中标供应商的中标资格被依法确认无效的，应当重新组织采购</w:t>
      </w:r>
      <w:r>
        <w:rPr>
          <w:rFonts w:cs="Times New Roman" w:hint="eastAsia"/>
          <w:sz w:val="24"/>
          <w:szCs w:val="21"/>
          <w:lang w:val="en-US" w:bidi="ar-SA"/>
        </w:rPr>
        <w:t>。</w:t>
      </w:r>
      <w:bookmarkEnd w:id="194"/>
      <w:bookmarkEnd w:id="195"/>
      <w:bookmarkEnd w:id="196"/>
      <w:bookmarkEnd w:id="197"/>
      <w:bookmarkStart w:id="198" w:name="_33._合同授予标准"/>
      <w:bookmarkEnd w:id="198"/>
      <w:bookmarkStart w:id="199" w:name="_Toc73517679"/>
      <w:bookmarkStart w:id="200" w:name="_Toc73521674"/>
      <w:bookmarkStart w:id="201" w:name="_Toc73521586"/>
      <w:bookmarkStart w:id="202" w:name="_Toc73518157"/>
      <w:bookmarkStart w:id="203" w:name="_Toc100052408"/>
    </w:p>
    <w:p>
      <w:pPr>
        <w:pStyle w:val="Heading2"/>
        <w:spacing w:line="360" w:lineRule="auto"/>
        <w:rPr>
          <w:kern w:val="2"/>
        </w:rPr>
      </w:pPr>
      <w:r>
        <w:rPr>
          <w:rFonts w:hint="eastAsia"/>
          <w:kern w:val="2"/>
        </w:rPr>
        <w:t>第十章  合同的授予与备案</w:t>
      </w:r>
    </w:p>
    <w:p>
      <w:pPr>
        <w:spacing w:line="360" w:lineRule="auto"/>
        <w:rPr>
          <w:rFonts w:ascii="宋体" w:eastAsia="宋体" w:hAnsi="宋体"/>
          <w:b/>
          <w:bCs/>
          <w:szCs w:val="21"/>
        </w:rPr>
      </w:pPr>
      <w:bookmarkEnd w:id="199"/>
      <w:bookmarkEnd w:id="200"/>
      <w:bookmarkEnd w:id="201"/>
      <w:bookmarkEnd w:id="202"/>
      <w:bookmarkEnd w:id="203"/>
      <w:r>
        <w:rPr>
          <w:rFonts w:ascii="宋体" w:eastAsia="宋体" w:hAnsi="宋体" w:hint="eastAsia"/>
          <w:b/>
          <w:bCs/>
          <w:szCs w:val="21"/>
        </w:rPr>
        <w:t>43．合同授予标准</w:t>
      </w:r>
    </w:p>
    <w:p>
      <w:pPr>
        <w:spacing w:line="360" w:lineRule="auto"/>
        <w:ind w:firstLine="470" w:firstLineChars="196"/>
        <w:rPr>
          <w:rFonts w:ascii="宋体" w:eastAsia="宋体" w:hAnsi="宋体"/>
          <w:szCs w:val="21"/>
        </w:rPr>
      </w:pPr>
      <w:r>
        <w:rPr>
          <w:rFonts w:ascii="宋体" w:eastAsia="宋体" w:hAnsi="宋体" w:hint="eastAsia"/>
          <w:szCs w:val="21"/>
        </w:rPr>
        <w:t>本项目的合同将授予经本招标文件规定评审确定的中标供应商。</w:t>
      </w:r>
    </w:p>
    <w:p>
      <w:pPr>
        <w:spacing w:line="360" w:lineRule="auto"/>
        <w:rPr>
          <w:rFonts w:ascii="宋体" w:eastAsia="宋体" w:hAnsi="宋体"/>
          <w:b/>
          <w:bCs/>
          <w:szCs w:val="21"/>
        </w:rPr>
      </w:pPr>
      <w:bookmarkStart w:id="204" w:name="_Toc73517680"/>
      <w:bookmarkStart w:id="205" w:name="_Toc73521675"/>
      <w:bookmarkStart w:id="206" w:name="_Toc100052409"/>
      <w:bookmarkStart w:id="207" w:name="_Toc73518158"/>
      <w:bookmarkStart w:id="208" w:name="_Toc73521587"/>
      <w:r>
        <w:rPr>
          <w:rFonts w:ascii="宋体" w:eastAsia="宋体" w:hAnsi="宋体" w:hint="eastAsia"/>
          <w:b/>
          <w:bCs/>
          <w:szCs w:val="21"/>
        </w:rPr>
        <w:t>44．</w:t>
      </w:r>
      <w:bookmarkEnd w:id="204"/>
      <w:bookmarkEnd w:id="205"/>
      <w:bookmarkEnd w:id="206"/>
      <w:bookmarkEnd w:id="207"/>
      <w:bookmarkEnd w:id="208"/>
      <w:r>
        <w:rPr>
          <w:rFonts w:ascii="宋体" w:eastAsia="宋体" w:hAnsi="宋体" w:hint="eastAsia"/>
          <w:b/>
          <w:bCs/>
          <w:szCs w:val="21"/>
        </w:rPr>
        <w:t>接受和拒绝任何或所有投标的权力</w:t>
      </w:r>
    </w:p>
    <w:p>
      <w:pPr>
        <w:spacing w:line="360" w:lineRule="auto"/>
        <w:ind w:firstLine="470" w:firstLineChars="196"/>
        <w:rPr>
          <w:rFonts w:ascii="宋体" w:eastAsia="宋体" w:hAnsi="宋体"/>
          <w:szCs w:val="21"/>
        </w:rPr>
      </w:pPr>
      <w:r>
        <w:rPr>
          <w:rFonts w:ascii="宋体" w:eastAsia="宋体" w:hAnsi="宋体" w:hint="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ascii="宋体" w:eastAsia="宋体" w:hAnsi="宋体"/>
          <w:b/>
          <w:bCs/>
          <w:szCs w:val="21"/>
        </w:rPr>
      </w:pPr>
      <w:bookmarkStart w:id="209" w:name="_Toc73521589"/>
      <w:bookmarkStart w:id="210" w:name="_Toc73521677"/>
      <w:bookmarkStart w:id="211" w:name="_Toc73517682"/>
      <w:bookmarkStart w:id="212" w:name="_Toc100052410"/>
      <w:bookmarkStart w:id="213" w:name="_Toc73518160"/>
      <w:r>
        <w:rPr>
          <w:rFonts w:ascii="宋体" w:eastAsia="宋体" w:hAnsi="宋体" w:hint="eastAsia"/>
          <w:b/>
          <w:bCs/>
          <w:szCs w:val="21"/>
        </w:rPr>
        <w:t>45．合同的签订</w:t>
      </w:r>
      <w:bookmarkEnd w:id="209"/>
      <w:bookmarkEnd w:id="210"/>
      <w:bookmarkEnd w:id="211"/>
      <w:bookmarkEnd w:id="212"/>
      <w:bookmarkEnd w:id="213"/>
    </w:p>
    <w:p>
      <w:pPr>
        <w:spacing w:line="360" w:lineRule="auto"/>
        <w:ind w:firstLine="470" w:firstLineChars="196"/>
        <w:rPr>
          <w:rFonts w:ascii="宋体" w:eastAsia="宋体" w:hAnsi="宋体"/>
          <w:szCs w:val="21"/>
        </w:rPr>
      </w:pPr>
      <w:r>
        <w:rPr>
          <w:rFonts w:ascii="宋体" w:eastAsia="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spacing w:line="360" w:lineRule="auto"/>
        <w:ind w:firstLine="470" w:firstLineChars="196"/>
        <w:rPr>
          <w:rFonts w:ascii="宋体" w:eastAsia="宋体" w:hAnsi="宋体"/>
          <w:szCs w:val="21"/>
        </w:rPr>
      </w:pPr>
      <w:r>
        <w:rPr>
          <w:rFonts w:ascii="宋体" w:eastAsia="宋体" w:hAnsi="宋体" w:hint="eastAsia"/>
          <w:szCs w:val="21"/>
        </w:rPr>
        <w:t>45.2中标人如不按本通用条款第45</w:t>
      </w:r>
      <w:r>
        <w:rPr>
          <w:rFonts w:ascii="宋体" w:eastAsia="宋体" w:hAnsi="宋体"/>
          <w:szCs w:val="21"/>
        </w:rPr>
        <w:t>.1</w:t>
      </w:r>
      <w:r>
        <w:rPr>
          <w:rFonts w:ascii="宋体" w:eastAsia="宋体" w:hAnsi="宋体" w:hint="eastAsia"/>
          <w:szCs w:val="21"/>
        </w:rPr>
        <w:t>款的规定与采购人签订合同，</w:t>
      </w:r>
      <w:r>
        <w:rPr>
          <w:rFonts w:ascii="宋体" w:eastAsia="宋体" w:hAnsi="宋体" w:cs="宋体"/>
          <w:szCs w:val="21"/>
        </w:rPr>
        <w:t>情节严重的，由</w:t>
      </w:r>
      <w:r>
        <w:rPr>
          <w:rFonts w:ascii="宋体" w:eastAsia="宋体" w:hAnsi="宋体" w:cs="宋体" w:hint="eastAsia"/>
          <w:szCs w:val="21"/>
        </w:rPr>
        <w:t>同级财政</w:t>
      </w:r>
      <w:r>
        <w:rPr>
          <w:rFonts w:ascii="宋体" w:eastAsia="宋体" w:hAnsi="宋体" w:cs="宋体"/>
          <w:szCs w:val="21"/>
        </w:rPr>
        <w:t>部门记入供应商诚信档案，予以通报</w:t>
      </w:r>
      <w:r>
        <w:rPr>
          <w:rFonts w:ascii="宋体" w:eastAsia="宋体" w:hAnsi="宋体" w:hint="eastAsia"/>
          <w:szCs w:val="21"/>
        </w:rPr>
        <w:t>；</w:t>
      </w:r>
    </w:p>
    <w:p>
      <w:pPr>
        <w:spacing w:line="360" w:lineRule="auto"/>
        <w:ind w:firstLine="470" w:firstLineChars="196"/>
        <w:rPr>
          <w:rFonts w:ascii="宋体" w:eastAsia="宋体" w:hAnsi="宋体"/>
          <w:szCs w:val="21"/>
        </w:rPr>
      </w:pPr>
      <w:r>
        <w:rPr>
          <w:rFonts w:ascii="宋体" w:eastAsia="宋体" w:hAnsi="宋体" w:hint="eastAsia"/>
          <w:szCs w:val="21"/>
        </w:rPr>
        <w:t>45.3中标人应当按照合同约定履行义务，完成中标项目，不得将中标项目转让（转包）给他人。</w:t>
      </w:r>
    </w:p>
    <w:p>
      <w:pPr>
        <w:spacing w:line="360" w:lineRule="auto"/>
        <w:rPr>
          <w:rFonts w:ascii="宋体" w:eastAsia="宋体" w:hAnsi="宋体"/>
          <w:b/>
          <w:bCs/>
          <w:szCs w:val="21"/>
        </w:rPr>
      </w:pPr>
      <w:bookmarkStart w:id="214" w:name="_Toc73517683"/>
      <w:bookmarkStart w:id="215" w:name="_Toc73518161"/>
      <w:bookmarkStart w:id="216" w:name="_Toc73521590"/>
      <w:bookmarkStart w:id="217" w:name="_Toc100052411"/>
      <w:bookmarkStart w:id="218" w:name="_Toc73521678"/>
      <w:r>
        <w:rPr>
          <w:rFonts w:ascii="宋体" w:eastAsia="宋体" w:hAnsi="宋体" w:hint="eastAsia"/>
          <w:b/>
          <w:bCs/>
          <w:szCs w:val="21"/>
        </w:rPr>
        <w:t>46．履约担保</w:t>
      </w:r>
      <w:bookmarkEnd w:id="214"/>
      <w:bookmarkEnd w:id="215"/>
      <w:bookmarkEnd w:id="216"/>
      <w:bookmarkEnd w:id="217"/>
      <w:bookmarkEnd w:id="218"/>
    </w:p>
    <w:p>
      <w:pPr>
        <w:spacing w:line="360" w:lineRule="auto"/>
        <w:ind w:firstLine="470" w:firstLineChars="196"/>
        <w:rPr>
          <w:rFonts w:ascii="宋体" w:eastAsia="宋体" w:hAnsi="宋体"/>
          <w:szCs w:val="21"/>
        </w:rPr>
      </w:pPr>
      <w:r>
        <w:rPr>
          <w:rFonts w:ascii="宋体" w:eastAsia="宋体" w:hAnsi="宋体" w:hint="eastAsia"/>
          <w:szCs w:val="21"/>
        </w:rPr>
        <w:t>46.1在签订项目合同的同时，中标人应按“对通用条款的补充内容”中规定的金额向采购人提交履约担保；</w:t>
      </w:r>
    </w:p>
    <w:p>
      <w:pPr>
        <w:spacing w:line="360" w:lineRule="auto"/>
        <w:ind w:firstLine="470" w:firstLineChars="196"/>
        <w:rPr>
          <w:rFonts w:ascii="宋体" w:eastAsia="宋体" w:hAnsi="宋体"/>
          <w:szCs w:val="21"/>
        </w:rPr>
      </w:pPr>
      <w:r>
        <w:rPr>
          <w:rFonts w:ascii="宋体" w:eastAsia="宋体" w:hAnsi="宋体" w:hint="eastAsia"/>
          <w:szCs w:val="21"/>
        </w:rPr>
        <w:t>46.2，允许供应商自主选择以支票、汇票、本票、保函等非现金方式提交履约担保；</w:t>
      </w:r>
      <w:r>
        <w:rPr>
          <w:rFonts w:ascii="宋体" w:eastAsia="宋体" w:hAnsi="宋体"/>
          <w:szCs w:val="21"/>
        </w:rPr>
        <w:t>中标</w:t>
      </w:r>
      <w:r>
        <w:rPr>
          <w:rFonts w:ascii="宋体" w:eastAsia="宋体" w:hAnsi="宋体" w:hint="eastAsia"/>
          <w:szCs w:val="21"/>
        </w:rPr>
        <w:t>人</w:t>
      </w:r>
      <w:r>
        <w:rPr>
          <w:rFonts w:ascii="宋体" w:eastAsia="宋体" w:hAnsi="宋体"/>
          <w:szCs w:val="21"/>
        </w:rPr>
        <w:t>提交履约</w:t>
      </w:r>
      <w:r>
        <w:rPr>
          <w:rFonts w:ascii="宋体" w:eastAsia="宋体" w:hAnsi="宋体" w:hint="eastAsia"/>
          <w:szCs w:val="21"/>
        </w:rPr>
        <w:t>担保不是</w:t>
      </w:r>
      <w:r>
        <w:rPr>
          <w:rFonts w:ascii="宋体" w:eastAsia="宋体" w:hAnsi="宋体"/>
          <w:szCs w:val="21"/>
        </w:rPr>
        <w:t>合同签订的</w:t>
      </w:r>
      <w:r>
        <w:rPr>
          <w:rFonts w:ascii="宋体" w:eastAsia="宋体" w:hAnsi="宋体" w:hint="eastAsia"/>
          <w:szCs w:val="21"/>
        </w:rPr>
        <w:t>前提</w:t>
      </w:r>
      <w:r>
        <w:rPr>
          <w:rFonts w:ascii="宋体" w:eastAsia="宋体" w:hAnsi="宋体"/>
          <w:szCs w:val="21"/>
        </w:rPr>
        <w:t>条件，不要求中标</w:t>
      </w:r>
      <w:r>
        <w:rPr>
          <w:rFonts w:ascii="宋体" w:eastAsia="宋体" w:hAnsi="宋体" w:hint="eastAsia"/>
          <w:szCs w:val="21"/>
        </w:rPr>
        <w:t>人</w:t>
      </w:r>
      <w:r>
        <w:rPr>
          <w:rFonts w:ascii="宋体" w:eastAsia="宋体" w:hAnsi="宋体"/>
          <w:szCs w:val="21"/>
        </w:rPr>
        <w:t>提供除法律、法规明确规定外的其他担保</w:t>
      </w:r>
      <w:r>
        <w:rPr>
          <w:rFonts w:ascii="宋体" w:eastAsia="宋体" w:hAnsi="宋体" w:hint="eastAsia"/>
          <w:szCs w:val="21"/>
        </w:rPr>
        <w:t>。</w:t>
      </w:r>
    </w:p>
    <w:p>
      <w:pPr>
        <w:spacing w:line="360" w:lineRule="auto"/>
        <w:rPr>
          <w:rFonts w:ascii="宋体" w:eastAsia="宋体" w:hAnsi="宋体"/>
          <w:b/>
          <w:bCs/>
          <w:szCs w:val="21"/>
        </w:rPr>
      </w:pPr>
      <w:r>
        <w:rPr>
          <w:rFonts w:ascii="宋体" w:eastAsia="宋体" w:hAnsi="宋体" w:hint="eastAsia"/>
          <w:b/>
          <w:bCs/>
          <w:szCs w:val="21"/>
        </w:rPr>
        <w:t>47. 合同备案</w:t>
      </w:r>
    </w:p>
    <w:p>
      <w:pPr>
        <w:spacing w:line="360" w:lineRule="auto"/>
        <w:ind w:firstLine="470" w:firstLineChars="196"/>
        <w:rPr>
          <w:rFonts w:ascii="宋体" w:eastAsia="宋体" w:hAnsi="宋体"/>
          <w:szCs w:val="21"/>
        </w:rPr>
      </w:pPr>
      <w:r>
        <w:rPr>
          <w:rFonts w:ascii="宋体" w:eastAsia="宋体" w:hAnsi="宋体" w:hint="eastAsia"/>
          <w:szCs w:val="21"/>
        </w:rPr>
        <w:t>采购人与中标人应于合同签订之日起十日内，由采购人或委托中标人将采购合同副本抄送合同备案工作实施机构备案。</w:t>
      </w:r>
    </w:p>
    <w:p>
      <w:pPr>
        <w:spacing w:line="360" w:lineRule="auto"/>
        <w:rPr>
          <w:rFonts w:ascii="宋体" w:eastAsia="宋体" w:hAnsi="宋体"/>
          <w:b/>
          <w:bCs/>
          <w:szCs w:val="21"/>
        </w:rPr>
      </w:pPr>
      <w:r>
        <w:rPr>
          <w:rFonts w:ascii="宋体" w:eastAsia="宋体" w:hAnsi="宋体" w:hint="eastAsia"/>
          <w:b/>
          <w:bCs/>
          <w:szCs w:val="21"/>
        </w:rPr>
        <w:t>48. 合同变更</w:t>
      </w:r>
    </w:p>
    <w:p>
      <w:pPr>
        <w:spacing w:line="360" w:lineRule="auto"/>
        <w:ind w:firstLine="470" w:firstLineChars="196"/>
        <w:rPr>
          <w:rFonts w:ascii="宋体" w:eastAsia="宋体" w:hAnsi="宋体"/>
          <w:szCs w:val="21"/>
        </w:rPr>
      </w:pPr>
      <w:r>
        <w:rPr>
          <w:rFonts w:ascii="宋体" w:eastAsia="宋体" w:hAnsi="宋体" w:hint="eastAsia"/>
          <w:szCs w:val="21"/>
        </w:rPr>
        <w:t>合同变更事宜按《深圳市财政局 深圳市政府采购中心关于进一步加强市本级政府采购合同备案管理工作的通知》（深财购〔2019〕43号）相关规定执行。</w:t>
      </w:r>
    </w:p>
    <w:p>
      <w:pPr>
        <w:spacing w:line="360" w:lineRule="auto"/>
        <w:rPr>
          <w:rFonts w:ascii="宋体" w:eastAsia="宋体" w:hAnsi="宋体"/>
          <w:b/>
          <w:bCs/>
          <w:szCs w:val="21"/>
        </w:rPr>
      </w:pPr>
      <w:r>
        <w:rPr>
          <w:rFonts w:ascii="宋体" w:eastAsia="宋体" w:hAnsi="宋体" w:hint="eastAsia"/>
          <w:b/>
          <w:bCs/>
          <w:szCs w:val="21"/>
        </w:rPr>
        <w:t>49. 项目验收</w:t>
      </w:r>
    </w:p>
    <w:p>
      <w:pPr>
        <w:spacing w:line="360" w:lineRule="auto"/>
        <w:ind w:right="176" w:firstLine="420"/>
        <w:rPr>
          <w:rFonts w:ascii="宋体" w:eastAsia="宋体" w:hAnsi="宋体"/>
          <w:szCs w:val="21"/>
        </w:rPr>
      </w:pPr>
      <w:r>
        <w:rPr>
          <w:rFonts w:ascii="宋体" w:eastAsia="宋体" w:hAnsi="宋体" w:hint="eastAsia"/>
          <w:szCs w:val="21"/>
        </w:rPr>
        <w:t>49.1采购人应当按照招标文件和合同规定的标准和方法，及时组织验收。</w:t>
      </w:r>
    </w:p>
    <w:p>
      <w:pPr>
        <w:spacing w:line="360" w:lineRule="auto"/>
        <w:rPr>
          <w:rFonts w:ascii="宋体" w:eastAsia="宋体" w:hAnsi="宋体"/>
          <w:b/>
          <w:bCs/>
          <w:szCs w:val="21"/>
        </w:rPr>
      </w:pPr>
      <w:r>
        <w:rPr>
          <w:rFonts w:ascii="宋体" w:eastAsia="宋体" w:hAnsi="宋体" w:hint="eastAsia"/>
          <w:b/>
          <w:bCs/>
          <w:szCs w:val="21"/>
        </w:rPr>
        <w:t>50. 宣传</w:t>
      </w:r>
    </w:p>
    <w:p>
      <w:pPr>
        <w:spacing w:line="360" w:lineRule="auto"/>
        <w:ind w:left="240" w:firstLine="470" w:leftChars="100" w:firstLineChars="196"/>
        <w:rPr>
          <w:rFonts w:ascii="宋体" w:eastAsia="宋体" w:hAnsi="宋体"/>
          <w:szCs w:val="21"/>
        </w:rPr>
      </w:pPr>
      <w:r>
        <w:rPr>
          <w:rFonts w:ascii="宋体" w:eastAsia="宋体" w:hAnsi="宋体" w:hint="eastAsia"/>
          <w:szCs w:val="21"/>
        </w:rPr>
        <w:t>凡与政府采购活动有关的宣传或广告，若当中提及政府采购，</w:t>
      </w:r>
      <w:r>
        <w:rPr>
          <w:rFonts w:ascii="宋体" w:eastAsia="宋体" w:hAnsi="宋体"/>
          <w:szCs w:val="21"/>
        </w:rPr>
        <w:t>必须事先将具体对外宣传方案报</w:t>
      </w:r>
      <w:r>
        <w:rPr>
          <w:rFonts w:ascii="宋体" w:eastAsia="宋体" w:hAnsi="宋体" w:hint="eastAsia"/>
          <w:szCs w:val="21"/>
        </w:rPr>
        <w:t>同级财政部门</w:t>
      </w:r>
      <w:r>
        <w:rPr>
          <w:rFonts w:ascii="宋体" w:eastAsia="宋体" w:hAnsi="宋体"/>
          <w:szCs w:val="21"/>
        </w:rPr>
        <w:t>和</w:t>
      </w:r>
      <w:r>
        <w:rPr>
          <w:rFonts w:ascii="宋体" w:eastAsia="宋体" w:hAnsi="宋体" w:hint="eastAsia"/>
          <w:szCs w:val="21"/>
        </w:rPr>
        <w:t>采购代理机构</w:t>
      </w:r>
      <w:r>
        <w:rPr>
          <w:rFonts w:ascii="宋体" w:eastAsia="宋体" w:hAnsi="宋体"/>
          <w:szCs w:val="21"/>
        </w:rPr>
        <w:t>，并征得其同意。对外市场宣传包括但不限于以下形式：</w:t>
      </w:r>
    </w:p>
    <w:p>
      <w:pPr>
        <w:spacing w:line="360" w:lineRule="auto"/>
        <w:ind w:left="240" w:firstLine="470" w:leftChars="100" w:firstLineChars="196"/>
        <w:rPr>
          <w:rFonts w:ascii="宋体" w:eastAsia="宋体" w:hAnsi="宋体"/>
          <w:szCs w:val="21"/>
        </w:rPr>
      </w:pPr>
      <w:r>
        <w:rPr>
          <w:rFonts w:ascii="宋体" w:eastAsia="宋体" w:hAnsi="宋体"/>
          <w:szCs w:val="21"/>
        </w:rPr>
        <w:t>a.名片、宣传册、广告标语等；</w:t>
      </w:r>
    </w:p>
    <w:p>
      <w:pPr>
        <w:spacing w:line="360" w:lineRule="auto"/>
        <w:ind w:left="240" w:firstLine="470" w:leftChars="100" w:firstLineChars="196"/>
        <w:rPr>
          <w:rFonts w:ascii="宋体" w:eastAsia="宋体" w:hAnsi="宋体"/>
          <w:szCs w:val="21"/>
        </w:rPr>
      </w:pPr>
      <w:r>
        <w:rPr>
          <w:rFonts w:ascii="宋体" w:eastAsia="宋体" w:hAnsi="宋体"/>
          <w:szCs w:val="21"/>
        </w:rPr>
        <w:t>b.案例介绍、推广等；</w:t>
      </w:r>
    </w:p>
    <w:p>
      <w:pPr>
        <w:spacing w:line="360" w:lineRule="auto"/>
        <w:ind w:left="240" w:firstLine="470" w:leftChars="100" w:firstLineChars="196"/>
        <w:rPr>
          <w:rFonts w:ascii="宋体" w:eastAsia="宋体" w:hAnsi="宋体"/>
          <w:szCs w:val="21"/>
        </w:rPr>
      </w:pPr>
      <w:r>
        <w:rPr>
          <w:rFonts w:ascii="宋体" w:eastAsia="宋体" w:hAnsi="宋体" w:hint="eastAsia"/>
          <w:szCs w:val="21"/>
        </w:rPr>
        <w:t>c.工作</w:t>
      </w:r>
      <w:r>
        <w:rPr>
          <w:rFonts w:ascii="宋体" w:eastAsia="宋体" w:hAnsi="宋体"/>
          <w:szCs w:val="21"/>
        </w:rPr>
        <w:t>人员向其他消费群体宣传。</w:t>
      </w:r>
    </w:p>
    <w:p>
      <w:pPr>
        <w:spacing w:line="360" w:lineRule="auto"/>
        <w:rPr>
          <w:rFonts w:ascii="宋体" w:eastAsia="宋体" w:hAnsi="宋体"/>
          <w:b/>
          <w:bCs/>
          <w:szCs w:val="21"/>
        </w:rPr>
      </w:pPr>
      <w:r>
        <w:rPr>
          <w:rFonts w:ascii="宋体" w:eastAsia="宋体" w:hAnsi="宋体" w:hint="eastAsia"/>
          <w:b/>
          <w:bCs/>
          <w:szCs w:val="21"/>
        </w:rPr>
        <w:t>51. 供应商违法责任</w:t>
      </w:r>
    </w:p>
    <w:p>
      <w:pPr>
        <w:spacing w:line="360" w:lineRule="auto"/>
        <w:ind w:firstLine="470" w:firstLineChars="196"/>
        <w:rPr>
          <w:rFonts w:ascii="宋体" w:eastAsia="宋体" w:hAnsi="宋体"/>
          <w:szCs w:val="21"/>
        </w:rPr>
      </w:pPr>
      <w:r>
        <w:rPr>
          <w:rFonts w:ascii="宋体" w:eastAsia="宋体" w:hAnsi="宋体" w:hint="eastAsia"/>
          <w:szCs w:val="21"/>
        </w:rPr>
        <w:t>5</w:t>
      </w:r>
      <w:r>
        <w:rPr>
          <w:rFonts w:ascii="宋体" w:eastAsia="宋体" w:hAnsi="宋体"/>
          <w:szCs w:val="21"/>
        </w:rPr>
        <w:t>1.1</w:t>
      </w:r>
      <w:r>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auto"/>
        <w:ind w:firstLine="470" w:firstLineChars="196"/>
        <w:rPr>
          <w:rFonts w:ascii="宋体" w:eastAsia="宋体" w:hAnsi="宋体"/>
          <w:szCs w:val="21"/>
        </w:rPr>
      </w:pPr>
      <w:r>
        <w:rPr>
          <w:rFonts w:ascii="宋体" w:eastAsia="宋体" w:hAnsi="宋体" w:hint="eastAsia"/>
          <w:szCs w:val="21"/>
        </w:rPr>
        <w:t>（1）在采购活动中应当回避而未回避的；</w:t>
      </w:r>
    </w:p>
    <w:p>
      <w:pPr>
        <w:spacing w:line="360" w:lineRule="auto"/>
        <w:ind w:firstLine="470" w:firstLineChars="196"/>
        <w:rPr>
          <w:rFonts w:ascii="宋体" w:eastAsia="宋体" w:hAnsi="宋体"/>
          <w:szCs w:val="21"/>
        </w:rPr>
      </w:pPr>
      <w:r>
        <w:rPr>
          <w:rFonts w:ascii="宋体" w:eastAsia="宋体" w:hAnsi="宋体" w:hint="eastAsia"/>
          <w:szCs w:val="21"/>
        </w:rPr>
        <w:t>（2）未按本条例规定签订、履行采购合同，造成严重后果的；</w:t>
      </w:r>
    </w:p>
    <w:p>
      <w:pPr>
        <w:spacing w:line="360" w:lineRule="auto"/>
        <w:ind w:firstLine="470" w:firstLineChars="196"/>
        <w:rPr>
          <w:rFonts w:ascii="宋体" w:eastAsia="宋体" w:hAnsi="宋体"/>
          <w:szCs w:val="21"/>
        </w:rPr>
      </w:pPr>
      <w:r>
        <w:rPr>
          <w:rFonts w:ascii="宋体" w:eastAsia="宋体" w:hAnsi="宋体" w:hint="eastAsia"/>
          <w:szCs w:val="21"/>
        </w:rPr>
        <w:t>（3）隐瞒真实情况，提供虚假资料的；</w:t>
      </w:r>
    </w:p>
    <w:p>
      <w:pPr>
        <w:spacing w:line="360" w:lineRule="auto"/>
        <w:ind w:firstLine="470" w:firstLineChars="196"/>
        <w:rPr>
          <w:rFonts w:ascii="宋体" w:eastAsia="宋体" w:hAnsi="宋体"/>
          <w:szCs w:val="21"/>
        </w:rPr>
      </w:pPr>
      <w:r>
        <w:rPr>
          <w:rFonts w:ascii="宋体" w:eastAsia="宋体" w:hAnsi="宋体" w:hint="eastAsia"/>
          <w:szCs w:val="21"/>
        </w:rPr>
        <w:t>（4）以非法手段排斥其他供应商参与竞争的；</w:t>
      </w:r>
    </w:p>
    <w:p>
      <w:pPr>
        <w:spacing w:line="360" w:lineRule="auto"/>
        <w:ind w:firstLine="470" w:firstLineChars="196"/>
        <w:rPr>
          <w:rFonts w:ascii="宋体" w:eastAsia="宋体" w:hAnsi="宋体"/>
          <w:szCs w:val="21"/>
        </w:rPr>
      </w:pPr>
      <w:r>
        <w:rPr>
          <w:rFonts w:ascii="宋体" w:eastAsia="宋体" w:hAnsi="宋体" w:hint="eastAsia"/>
          <w:szCs w:val="21"/>
        </w:rPr>
        <w:t>（5）与其他采购参加人串通投标的；</w:t>
      </w:r>
    </w:p>
    <w:p>
      <w:pPr>
        <w:spacing w:line="360" w:lineRule="auto"/>
        <w:ind w:firstLine="470" w:firstLineChars="196"/>
        <w:rPr>
          <w:rFonts w:ascii="宋体" w:eastAsia="宋体" w:hAnsi="宋体"/>
          <w:szCs w:val="21"/>
        </w:rPr>
      </w:pPr>
      <w:r>
        <w:rPr>
          <w:rFonts w:ascii="宋体" w:eastAsia="宋体" w:hAnsi="宋体" w:hint="eastAsia"/>
          <w:szCs w:val="21"/>
        </w:rPr>
        <w:t>（6）恶意投诉的；</w:t>
      </w:r>
    </w:p>
    <w:p>
      <w:pPr>
        <w:spacing w:line="360" w:lineRule="auto"/>
        <w:ind w:firstLine="470" w:firstLineChars="196"/>
        <w:rPr>
          <w:rFonts w:ascii="宋体" w:eastAsia="宋体" w:hAnsi="宋体"/>
          <w:szCs w:val="21"/>
        </w:rPr>
      </w:pPr>
      <w:r>
        <w:rPr>
          <w:rFonts w:ascii="宋体" w:eastAsia="宋体" w:hAnsi="宋体" w:hint="eastAsia"/>
          <w:szCs w:val="21"/>
        </w:rPr>
        <w:t>（7）向采购项目相关人行贿或者提供其他不当利益的；</w:t>
      </w:r>
    </w:p>
    <w:p>
      <w:pPr>
        <w:spacing w:line="360" w:lineRule="auto"/>
        <w:ind w:firstLine="470" w:firstLineChars="196"/>
        <w:rPr>
          <w:rFonts w:ascii="宋体" w:eastAsia="宋体" w:hAnsi="宋体"/>
          <w:szCs w:val="21"/>
        </w:rPr>
      </w:pPr>
      <w:r>
        <w:rPr>
          <w:rFonts w:ascii="宋体" w:eastAsia="宋体" w:hAnsi="宋体" w:hint="eastAsia"/>
          <w:szCs w:val="21"/>
        </w:rPr>
        <w:t>（8）阻碍、抗拒主管部门监督检查的；</w:t>
      </w:r>
    </w:p>
    <w:p>
      <w:pPr>
        <w:spacing w:line="360" w:lineRule="auto"/>
        <w:ind w:firstLine="470" w:firstLineChars="196"/>
        <w:rPr>
          <w:rFonts w:ascii="宋体" w:eastAsia="宋体" w:hAnsi="宋体"/>
          <w:szCs w:val="21"/>
        </w:rPr>
      </w:pPr>
      <w:r>
        <w:rPr>
          <w:rFonts w:ascii="宋体" w:eastAsia="宋体" w:hAnsi="宋体" w:hint="eastAsia"/>
          <w:szCs w:val="21"/>
        </w:rPr>
        <w:t>（9）其他违反本条例规定的行为。</w:t>
      </w:r>
    </w:p>
    <w:p>
      <w:pPr>
        <w:spacing w:line="360" w:lineRule="auto"/>
        <w:ind w:firstLine="470" w:firstLineChars="196"/>
        <w:rPr>
          <w:rFonts w:ascii="宋体" w:eastAsia="宋体" w:hAnsi="宋体"/>
          <w:szCs w:val="21"/>
        </w:rPr>
      </w:pPr>
      <w:r>
        <w:rPr>
          <w:rFonts w:ascii="宋体" w:eastAsia="宋体" w:hAnsi="宋体" w:hint="eastAsia"/>
          <w:szCs w:val="21"/>
        </w:rPr>
        <w:t>5</w:t>
      </w:r>
      <w:r>
        <w:rPr>
          <w:rFonts w:ascii="宋体" w:eastAsia="宋体" w:hAnsi="宋体"/>
          <w:szCs w:val="21"/>
        </w:rPr>
        <w:t xml:space="preserve">1.2 </w:t>
      </w:r>
      <w:r>
        <w:rPr>
          <w:rFonts w:ascii="宋体" w:eastAsia="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219" w:name="_Hlk72440769"/>
      <w:r>
        <w:rPr>
          <w:rFonts w:ascii="宋体" w:eastAsia="宋体" w:hAnsi="宋体" w:hint="eastAsia"/>
          <w:szCs w:val="21"/>
        </w:rPr>
        <w:t>采购人或采购代理机构</w:t>
      </w:r>
      <w:bookmarkEnd w:id="219"/>
      <w:r>
        <w:rPr>
          <w:rFonts w:ascii="宋体" w:eastAsia="宋体" w:hAnsi="宋体" w:hint="eastAsia"/>
          <w:szCs w:val="21"/>
        </w:rPr>
        <w:t>可将有关情况报同级财政部门，由财政部门根据实际情况记入供应商诚信档案，予以通报：</w:t>
      </w:r>
    </w:p>
    <w:p>
      <w:pPr>
        <w:spacing w:line="360" w:lineRule="auto"/>
        <w:ind w:firstLine="470" w:firstLineChars="196"/>
        <w:rPr>
          <w:rFonts w:ascii="宋体" w:eastAsia="宋体" w:hAnsi="宋体"/>
          <w:szCs w:val="21"/>
        </w:rPr>
      </w:pPr>
      <w:r>
        <w:rPr>
          <w:rFonts w:ascii="宋体" w:eastAsia="宋体" w:hAnsi="宋体" w:hint="eastAsia"/>
          <w:szCs w:val="21"/>
        </w:rPr>
        <w:t>（1</w:t>
      </w:r>
      <w:r>
        <w:rPr>
          <w:rFonts w:ascii="宋体" w:eastAsia="宋体" w:hAnsi="宋体"/>
          <w:szCs w:val="21"/>
        </w:rPr>
        <w:t>）投标截止后，撤销投标的；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）中标后无正当理由未在规定期限内签订合同的；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）将中标项目转让给他人、或者在投标文件中未说明且未经采购人、采购招标机构同意，将中标项目分包给他人的；</w:t>
      </w:r>
    </w:p>
    <w:p>
      <w:pPr>
        <w:spacing w:line="360" w:lineRule="auto"/>
        <w:ind w:firstLine="470" w:firstLineChars="196"/>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）拒绝履行合同义务的</w:t>
      </w:r>
      <w:r>
        <w:rPr>
          <w:rFonts w:ascii="宋体" w:eastAsia="宋体" w:hAnsi="宋体" w:hint="eastAsia"/>
          <w:szCs w:val="21"/>
        </w:rPr>
        <w:t>。</w:t>
      </w:r>
    </w:p>
    <w:p>
      <w:pPr>
        <w:pStyle w:val="Heading2"/>
        <w:spacing w:line="360" w:lineRule="auto"/>
        <w:rPr>
          <w:kern w:val="2"/>
        </w:rPr>
      </w:pPr>
      <w:r>
        <w:rPr>
          <w:rFonts w:hint="eastAsia"/>
          <w:kern w:val="2"/>
        </w:rPr>
        <w:t>第十一章  质疑处理</w:t>
      </w:r>
    </w:p>
    <w:p>
      <w:pPr>
        <w:spacing w:line="360" w:lineRule="auto"/>
        <w:rPr>
          <w:rFonts w:ascii="宋体" w:eastAsia="宋体" w:hAnsi="宋体"/>
          <w:b/>
          <w:bCs/>
          <w:szCs w:val="21"/>
        </w:rPr>
      </w:pPr>
      <w:r>
        <w:rPr>
          <w:rFonts w:ascii="宋体" w:eastAsia="宋体" w:hAnsi="宋体" w:hint="eastAsia"/>
          <w:b/>
          <w:bCs/>
          <w:szCs w:val="21"/>
        </w:rPr>
        <w:t>52.质疑提出与答复</w:t>
      </w:r>
    </w:p>
    <w:p>
      <w:pPr>
        <w:spacing w:line="360" w:lineRule="auto"/>
        <w:rPr>
          <w:rFonts w:ascii="宋体" w:eastAsia="宋体" w:hAnsi="宋体"/>
          <w:szCs w:val="21"/>
        </w:rPr>
      </w:pPr>
      <w:r>
        <w:rPr>
          <w:rFonts w:ascii="宋体" w:eastAsia="宋体" w:hAnsi="宋体" w:hint="eastAsia"/>
          <w:szCs w:val="21"/>
        </w:rPr>
        <w:t xml:space="preserve">    52.1提出质疑</w:t>
      </w:r>
    </w:p>
    <w:p>
      <w:pPr>
        <w:spacing w:line="360" w:lineRule="auto"/>
        <w:rPr>
          <w:rFonts w:ascii="宋体" w:eastAsia="宋体" w:hAnsi="宋体"/>
          <w:szCs w:val="21"/>
        </w:rPr>
      </w:pPr>
      <w:r>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宋体" w:eastAsia="宋体" w:hAnsi="宋体"/>
          <w:szCs w:val="21"/>
        </w:rPr>
      </w:pPr>
      <w:r>
        <w:rPr>
          <w:rFonts w:ascii="宋体" w:eastAsia="宋体" w:hAnsi="宋体" w:hint="eastAsia"/>
          <w:szCs w:val="21"/>
        </w:rPr>
        <w:t xml:space="preserve">    52.2</w:t>
      </w:r>
      <w:r>
        <w:rPr>
          <w:rFonts w:ascii="宋体" w:eastAsia="宋体" w:hAnsi="宋体"/>
          <w:szCs w:val="21"/>
        </w:rPr>
        <w:t>法律依据</w:t>
      </w:r>
    </w:p>
    <w:p>
      <w:pPr>
        <w:spacing w:line="360" w:lineRule="auto"/>
        <w:rPr>
          <w:rFonts w:ascii="宋体" w:eastAsia="宋体" w:hAnsi="宋体"/>
          <w:szCs w:val="21"/>
        </w:rPr>
      </w:pPr>
      <w:r>
        <w:rPr>
          <w:rFonts w:ascii="宋体" w:eastAsia="宋体" w:hAnsi="宋体" w:hint="eastAsia"/>
          <w:szCs w:val="21"/>
        </w:rPr>
        <w:t xml:space="preserve">    《中华人民共和国政府采购法》、《中华人民共和国政府采购法实施条例》、</w:t>
      </w:r>
      <w:r>
        <w:rPr>
          <w:rFonts w:ascii="宋体" w:eastAsia="宋体" w:hAnsi="宋体"/>
          <w:szCs w:val="21"/>
        </w:rPr>
        <w:t>《</w:t>
      </w:r>
      <w:r>
        <w:rPr>
          <w:rFonts w:ascii="宋体" w:eastAsia="宋体" w:hAnsi="宋体" w:hint="eastAsia"/>
          <w:szCs w:val="21"/>
        </w:rPr>
        <w:t>深圳经济特区政府采购</w:t>
      </w:r>
      <w:r>
        <w:rPr>
          <w:rFonts w:ascii="宋体" w:eastAsia="宋体" w:hAnsi="宋体"/>
          <w:szCs w:val="21"/>
        </w:rPr>
        <w:t>条例</w:t>
      </w:r>
      <w:r>
        <w:rPr>
          <w:rFonts w:ascii="宋体" w:eastAsia="宋体" w:hAnsi="宋体" w:hint="eastAsia"/>
          <w:szCs w:val="21"/>
        </w:rPr>
        <w:t>》、《深圳经济特区政府采购条例实施细则》、《政府采购质疑和投诉办法》（财政部令第94号）和其他有关法律法规规定。</w:t>
      </w:r>
    </w:p>
    <w:p>
      <w:pPr>
        <w:spacing w:line="360" w:lineRule="auto"/>
        <w:rPr>
          <w:rFonts w:ascii="宋体" w:eastAsia="宋体" w:hAnsi="宋体"/>
          <w:szCs w:val="21"/>
        </w:rPr>
      </w:pPr>
      <w:r>
        <w:rPr>
          <w:rFonts w:ascii="宋体" w:eastAsia="宋体" w:hAnsi="宋体" w:hint="eastAsia"/>
          <w:szCs w:val="21"/>
        </w:rPr>
        <w:t>52.3质疑条件</w:t>
      </w:r>
    </w:p>
    <w:p>
      <w:pPr>
        <w:spacing w:line="360" w:lineRule="auto"/>
        <w:rPr>
          <w:rFonts w:ascii="宋体" w:eastAsia="宋体" w:hAnsi="宋体"/>
          <w:szCs w:val="21"/>
        </w:rPr>
      </w:pPr>
      <w:r>
        <w:rPr>
          <w:rFonts w:ascii="宋体" w:eastAsia="宋体" w:hAnsi="宋体" w:hint="eastAsia"/>
          <w:szCs w:val="21"/>
        </w:rPr>
        <w:t xml:space="preserve">    52.3.1提出质疑的供应商应当是参与所质疑项目采购活动的供应商；</w:t>
      </w:r>
      <w:bookmarkStart w:id="220" w:name="_Hlk75374941"/>
      <w:r>
        <w:rPr>
          <w:rFonts w:ascii="宋体" w:eastAsia="宋体" w:hAnsi="宋体" w:hint="eastAsia"/>
          <w:szCs w:val="21"/>
        </w:rPr>
        <w:t>以联合体形式参与的，质疑应当由组成联合体的所有成员共同提出</w:t>
      </w:r>
      <w:bookmarkEnd w:id="220"/>
      <w:r>
        <w:rPr>
          <w:rFonts w:ascii="宋体" w:eastAsia="宋体" w:hAnsi="宋体" w:hint="eastAsia"/>
          <w:szCs w:val="21"/>
        </w:rPr>
        <w:t>；</w:t>
      </w:r>
    </w:p>
    <w:p>
      <w:pPr>
        <w:spacing w:line="360" w:lineRule="auto"/>
        <w:rPr>
          <w:rFonts w:ascii="宋体" w:eastAsia="宋体" w:hAnsi="宋体"/>
          <w:szCs w:val="21"/>
        </w:rPr>
      </w:pPr>
      <w:r>
        <w:rPr>
          <w:rFonts w:ascii="宋体" w:eastAsia="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宋体" w:eastAsia="宋体" w:hAnsi="宋体"/>
          <w:szCs w:val="21"/>
        </w:rPr>
      </w:pPr>
      <w:r>
        <w:rPr>
          <w:rFonts w:ascii="宋体" w:eastAsia="宋体" w:hAnsi="宋体" w:hint="eastAsia"/>
          <w:szCs w:val="21"/>
        </w:rPr>
        <w:t>52.3.3应提交书面质疑函，质疑函应当包括以下内容：</w:t>
      </w:r>
    </w:p>
    <w:p>
      <w:pPr>
        <w:spacing w:line="360" w:lineRule="auto"/>
        <w:ind w:firstLine="420"/>
        <w:rPr>
          <w:rFonts w:ascii="宋体" w:eastAsia="宋体" w:hAnsi="宋体"/>
          <w:szCs w:val="21"/>
        </w:rPr>
      </w:pPr>
      <w:r>
        <w:rPr>
          <w:rFonts w:ascii="宋体" w:eastAsia="宋体" w:hAnsi="宋体" w:hint="eastAsia"/>
          <w:szCs w:val="21"/>
        </w:rPr>
        <w:t>（1）供应商的名称（或者姓名）、地址、邮编、邮箱、联系人及联系电话；</w:t>
      </w:r>
    </w:p>
    <w:p>
      <w:pPr>
        <w:spacing w:line="360" w:lineRule="auto"/>
        <w:ind w:firstLine="480" w:firstLineChars="200"/>
        <w:rPr>
          <w:rFonts w:ascii="宋体" w:eastAsia="宋体" w:hAnsi="宋体"/>
          <w:szCs w:val="21"/>
        </w:rPr>
      </w:pPr>
      <w:r>
        <w:rPr>
          <w:rFonts w:ascii="宋体" w:eastAsia="宋体" w:hAnsi="宋体" w:hint="eastAsia"/>
          <w:szCs w:val="21"/>
        </w:rPr>
        <w:t>（2）质疑项目的名称、编号；</w:t>
      </w:r>
    </w:p>
    <w:p>
      <w:pPr>
        <w:spacing w:line="360" w:lineRule="auto"/>
        <w:ind w:firstLine="480" w:firstLineChars="200"/>
        <w:rPr>
          <w:rFonts w:ascii="宋体" w:eastAsia="宋体" w:hAnsi="宋体"/>
          <w:szCs w:val="21"/>
        </w:rPr>
      </w:pPr>
      <w:r>
        <w:rPr>
          <w:rFonts w:ascii="宋体" w:eastAsia="宋体" w:hAnsi="宋体" w:hint="eastAsia"/>
          <w:szCs w:val="21"/>
        </w:rPr>
        <w:t>（3）具体、明确的质疑对象、质疑事项和质疑请求；</w:t>
      </w:r>
    </w:p>
    <w:p>
      <w:pPr>
        <w:spacing w:line="360" w:lineRule="auto"/>
        <w:ind w:firstLine="480" w:firstLineChars="200"/>
        <w:rPr>
          <w:rFonts w:ascii="宋体" w:eastAsia="宋体" w:hAnsi="宋体"/>
          <w:szCs w:val="21"/>
        </w:rPr>
      </w:pPr>
      <w:r>
        <w:rPr>
          <w:rFonts w:ascii="宋体" w:eastAsia="宋体" w:hAnsi="宋体" w:hint="eastAsia"/>
          <w:szCs w:val="21"/>
        </w:rPr>
        <w:t>（4）因质疑事项而受损害的权益；</w:t>
      </w:r>
    </w:p>
    <w:p>
      <w:pPr>
        <w:spacing w:line="360" w:lineRule="auto"/>
        <w:ind w:firstLine="480" w:firstLineChars="200"/>
        <w:rPr>
          <w:rFonts w:ascii="宋体" w:eastAsia="宋体" w:hAnsi="宋体"/>
          <w:szCs w:val="21"/>
        </w:rPr>
      </w:pPr>
      <w:r>
        <w:rPr>
          <w:rFonts w:ascii="宋体" w:eastAsia="宋体" w:hAnsi="宋体" w:hint="eastAsia"/>
          <w:szCs w:val="21"/>
        </w:rPr>
        <w:t>（5）事实依据；</w:t>
      </w:r>
    </w:p>
    <w:p>
      <w:pPr>
        <w:spacing w:line="360" w:lineRule="auto"/>
        <w:ind w:firstLine="480" w:firstLineChars="200"/>
        <w:rPr>
          <w:rFonts w:ascii="宋体" w:eastAsia="宋体" w:hAnsi="宋体"/>
          <w:szCs w:val="21"/>
        </w:rPr>
      </w:pPr>
      <w:r>
        <w:rPr>
          <w:rFonts w:ascii="宋体" w:eastAsia="宋体" w:hAnsi="宋体" w:hint="eastAsia"/>
          <w:szCs w:val="21"/>
        </w:rPr>
        <w:t>（6）必要的法律依据；</w:t>
      </w:r>
    </w:p>
    <w:p>
      <w:pPr>
        <w:spacing w:line="360" w:lineRule="auto"/>
        <w:ind w:firstLine="480" w:firstLineChars="200"/>
        <w:rPr>
          <w:rFonts w:ascii="宋体" w:eastAsia="宋体" w:hAnsi="宋体"/>
          <w:szCs w:val="21"/>
        </w:rPr>
      </w:pPr>
      <w:r>
        <w:rPr>
          <w:rFonts w:ascii="宋体" w:eastAsia="宋体" w:hAnsi="宋体" w:hint="eastAsia"/>
          <w:szCs w:val="21"/>
        </w:rPr>
        <w:t>（7）提出质疑的日期。</w:t>
      </w:r>
    </w:p>
    <w:p>
      <w:pPr>
        <w:spacing w:line="360" w:lineRule="auto"/>
        <w:ind w:firstLine="480" w:firstLineChars="200"/>
        <w:rPr>
          <w:rFonts w:ascii="宋体" w:eastAsia="宋体" w:hAnsi="宋体"/>
          <w:szCs w:val="21"/>
        </w:rPr>
      </w:pPr>
      <w:r>
        <w:rPr>
          <w:rFonts w:ascii="宋体" w:eastAsia="宋体" w:hAnsi="宋体" w:hint="eastAsia"/>
          <w:szCs w:val="21"/>
        </w:rPr>
        <w:t>供应商为自然人的，应当由本人签字；供应商为法人或者其他组织的，应当由法定代表人（负责人），或者其授权代理人签字或者盖章，并加盖公章。</w:t>
      </w:r>
    </w:p>
    <w:p>
      <w:pPr>
        <w:spacing w:line="360" w:lineRule="auto"/>
        <w:ind w:firstLine="480" w:firstLineChars="200"/>
        <w:rPr>
          <w:rFonts w:ascii="宋体" w:eastAsia="宋体" w:hAnsi="宋体"/>
          <w:szCs w:val="21"/>
        </w:rPr>
      </w:pPr>
      <w:r>
        <w:rPr>
          <w:rFonts w:ascii="宋体" w:eastAsia="宋体" w:hAnsi="宋体" w:hint="eastAsia"/>
          <w:szCs w:val="21"/>
        </w:rPr>
        <w:t>52.4提交</w:t>
      </w:r>
      <w:r>
        <w:rPr>
          <w:rFonts w:ascii="宋体" w:eastAsia="宋体" w:hAnsi="宋体"/>
          <w:szCs w:val="21"/>
        </w:rPr>
        <w:t>材料</w:t>
      </w:r>
    </w:p>
    <w:p>
      <w:pPr>
        <w:spacing w:line="360" w:lineRule="auto"/>
        <w:ind w:firstLine="480" w:firstLineChars="200"/>
        <w:rPr>
          <w:rFonts w:ascii="宋体" w:eastAsia="宋体" w:hAnsi="宋体"/>
          <w:szCs w:val="21"/>
        </w:rPr>
      </w:pPr>
      <w:r>
        <w:rPr>
          <w:rFonts w:ascii="宋体" w:eastAsia="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80" w:firstLineChars="200"/>
        <w:rPr>
          <w:rFonts w:ascii="宋体" w:eastAsia="宋体" w:hAnsi="宋体"/>
          <w:szCs w:val="21"/>
        </w:rPr>
      </w:pPr>
      <w:r>
        <w:rPr>
          <w:rFonts w:ascii="宋体" w:eastAsia="宋体" w:hAnsi="宋体" w:hint="eastAsia"/>
          <w:szCs w:val="21"/>
        </w:rPr>
        <w:t>供应商可以委托代理人进行质疑。</w:t>
      </w:r>
      <w:r>
        <w:rPr>
          <w:rFonts w:ascii="宋体" w:eastAsia="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80" w:firstLineChars="200"/>
        <w:rPr>
          <w:rFonts w:ascii="宋体" w:eastAsia="宋体" w:hAnsi="宋体"/>
          <w:szCs w:val="21"/>
        </w:rPr>
      </w:pPr>
      <w:r>
        <w:rPr>
          <w:rFonts w:ascii="宋体" w:eastAsia="宋体" w:hAnsi="宋体" w:hint="eastAsia"/>
          <w:szCs w:val="21"/>
        </w:rPr>
        <w:t>52.5提交方式</w:t>
      </w:r>
    </w:p>
    <w:p>
      <w:pPr>
        <w:spacing w:line="360" w:lineRule="auto"/>
        <w:ind w:firstLine="420"/>
        <w:rPr>
          <w:rFonts w:ascii="宋体" w:eastAsia="宋体" w:hAnsi="宋体"/>
          <w:szCs w:val="21"/>
        </w:rPr>
      </w:pPr>
      <w:r>
        <w:rPr>
          <w:rFonts w:ascii="宋体" w:eastAsia="宋体" w:hAnsi="宋体" w:hint="eastAsia"/>
          <w:szCs w:val="21"/>
        </w:rPr>
        <w:t>5</w:t>
      </w:r>
      <w:r>
        <w:rPr>
          <w:rFonts w:ascii="宋体" w:eastAsia="宋体" w:hAnsi="宋体"/>
          <w:szCs w:val="21"/>
        </w:rPr>
        <w:t>2.5.1</w:t>
      </w:r>
      <w:r>
        <w:rPr>
          <w:rFonts w:ascii="宋体" w:eastAsia="宋体" w:hAnsi="宋体" w:hint="eastAsia"/>
          <w:szCs w:val="21"/>
        </w:rPr>
        <w:t>供应商登录“深圳政府采购智慧平台用户网上办事子系统（http://zfcg.szggzy.com/TPBidder/memberLogin）”，在“【我的项目】→【项目流程】→【质疑】”中提出质疑。</w:t>
      </w:r>
    </w:p>
    <w:p>
      <w:pPr>
        <w:spacing w:line="360" w:lineRule="auto"/>
        <w:ind w:firstLine="480" w:firstLineChars="200"/>
        <w:rPr>
          <w:rFonts w:ascii="宋体" w:eastAsia="宋体" w:hAnsi="宋体"/>
          <w:b/>
          <w:bCs/>
          <w:szCs w:val="21"/>
        </w:rPr>
      </w:pPr>
      <w:r>
        <w:rPr>
          <w:rFonts w:ascii="宋体" w:eastAsia="宋体" w:hAnsi="宋体" w:hint="eastAsia"/>
          <w:szCs w:val="21"/>
        </w:rPr>
        <w:t>5</w:t>
      </w:r>
      <w:r>
        <w:rPr>
          <w:rFonts w:ascii="宋体" w:eastAsia="宋体" w:hAnsi="宋体"/>
          <w:szCs w:val="21"/>
        </w:rPr>
        <w:t>2.5.2</w:t>
      </w:r>
      <w:r>
        <w:rPr>
          <w:rFonts w:ascii="宋体" w:eastAsia="宋体" w:hAnsi="宋体" w:hint="eastAsia"/>
          <w:szCs w:val="21"/>
        </w:rPr>
        <w:t>同时，请质疑供应商根据深圳政府采购智慧平台（http://zfcg.szggzy.com/）所发布的质疑指引、质疑函模板填写质疑函并提交质疑材料。</w:t>
      </w:r>
      <w:r>
        <w:rPr>
          <w:rFonts w:ascii="宋体" w:eastAsia="宋体" w:hAnsi="宋体" w:hint="eastAsia"/>
          <w:bCs/>
          <w:szCs w:val="21"/>
        </w:rPr>
        <w:t>地址：</w:t>
      </w:r>
      <w:r>
        <w:rPr>
          <w:rFonts w:ascii="宋体" w:eastAsia="宋体" w:hAnsi="宋体" w:hint="eastAsia"/>
          <w:bCs/>
          <w:szCs w:val="21"/>
          <w:lang w:val="en-US" w:eastAsia="zh-CN"/>
        </w:rPr>
        <w:t>立讯招标（深圳）有限公司</w:t>
      </w:r>
      <w:r>
        <w:rPr>
          <w:rFonts w:ascii="宋体" w:eastAsia="宋体" w:hAnsi="宋体" w:hint="eastAsia"/>
          <w:bCs/>
          <w:szCs w:val="21"/>
        </w:rPr>
        <w:t>（深圳市坪山区坪山街道和平社区启运西路19号华瀚科技工业园厂房1栋202），质疑咨询电话：0755-</w:t>
      </w:r>
      <w:r>
        <w:rPr>
          <w:rFonts w:ascii="宋体" w:eastAsia="宋体" w:hAnsi="宋体" w:hint="eastAsia"/>
          <w:bCs/>
          <w:szCs w:val="21"/>
          <w:lang w:val="en-US" w:eastAsia="zh-CN"/>
        </w:rPr>
        <w:t>89998415</w:t>
      </w:r>
      <w:r>
        <w:rPr>
          <w:rFonts w:ascii="宋体" w:eastAsia="宋体" w:hAnsi="宋体" w:hint="eastAsia"/>
          <w:bCs/>
          <w:szCs w:val="21"/>
        </w:rPr>
        <w:t>。</w:t>
      </w:r>
    </w:p>
    <w:p>
      <w:pPr>
        <w:spacing w:line="360" w:lineRule="auto"/>
        <w:ind w:firstLine="480" w:firstLineChars="200"/>
        <w:rPr>
          <w:rFonts w:ascii="宋体" w:eastAsia="宋体" w:hAnsi="宋体"/>
          <w:szCs w:val="21"/>
        </w:rPr>
      </w:pPr>
      <w:r>
        <w:rPr>
          <w:rFonts w:ascii="宋体" w:eastAsia="宋体" w:hAnsi="宋体" w:hint="eastAsia"/>
          <w:szCs w:val="21"/>
        </w:rPr>
        <w:t>52.6收文办理</w:t>
      </w:r>
      <w:r>
        <w:rPr>
          <w:rFonts w:ascii="宋体" w:eastAsia="宋体" w:hAnsi="宋体"/>
          <w:szCs w:val="21"/>
        </w:rPr>
        <w:t>程序</w:t>
      </w:r>
    </w:p>
    <w:p>
      <w:pPr>
        <w:spacing w:line="360" w:lineRule="auto"/>
        <w:ind w:firstLine="480" w:firstLineChars="200"/>
        <w:rPr>
          <w:rFonts w:ascii="宋体" w:eastAsia="宋体" w:hAnsi="宋体"/>
          <w:szCs w:val="21"/>
        </w:rPr>
      </w:pPr>
      <w:r>
        <w:rPr>
          <w:rFonts w:ascii="宋体" w:eastAsia="宋体" w:hAnsi="宋体" w:hint="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spacing w:line="360" w:lineRule="auto"/>
        <w:ind w:firstLine="480" w:firstLineChars="200"/>
        <w:rPr>
          <w:rFonts w:ascii="宋体" w:eastAsia="宋体" w:hAnsi="宋体"/>
          <w:szCs w:val="21"/>
        </w:rPr>
      </w:pPr>
      <w:r>
        <w:rPr>
          <w:rFonts w:ascii="宋体" w:eastAsia="宋体" w:hAnsi="宋体" w:hint="eastAsia"/>
          <w:szCs w:val="21"/>
        </w:rPr>
        <w:t>52.6.2供应商提交的质疑材料不符合质疑条件的，视情况处理：</w:t>
      </w:r>
    </w:p>
    <w:p>
      <w:pPr>
        <w:spacing w:line="360" w:lineRule="auto"/>
        <w:ind w:firstLine="480" w:firstLineChars="200"/>
        <w:rPr>
          <w:rFonts w:ascii="宋体" w:eastAsia="宋体" w:hAnsi="宋体"/>
          <w:szCs w:val="21"/>
        </w:rPr>
      </w:pPr>
      <w:r>
        <w:rPr>
          <w:rFonts w:ascii="宋体" w:eastAsia="宋体" w:hAnsi="宋体" w:hint="eastAsia"/>
          <w:szCs w:val="21"/>
        </w:rPr>
        <w:t>供应商提交的质疑材料不全或者未按要求签字或者盖章的，采购代理机构应当一次性告知供应商需补正的内容和补正期限。</w:t>
      </w:r>
    </w:p>
    <w:p>
      <w:pPr>
        <w:spacing w:line="360" w:lineRule="auto"/>
        <w:ind w:firstLine="480" w:firstLineChars="200"/>
        <w:rPr>
          <w:rFonts w:ascii="宋体" w:eastAsia="宋体" w:hAnsi="宋体"/>
          <w:szCs w:val="21"/>
        </w:rPr>
      </w:pPr>
      <w:r>
        <w:rPr>
          <w:rFonts w:ascii="宋体" w:eastAsia="宋体" w:hAnsi="宋体" w:hint="eastAsia"/>
          <w:szCs w:val="21"/>
        </w:rPr>
        <w:t>供应商提交的质疑存在下列情形之一的，不予受理：</w:t>
      </w:r>
    </w:p>
    <w:p>
      <w:pPr>
        <w:spacing w:line="360" w:lineRule="auto"/>
        <w:ind w:firstLine="480" w:firstLineChars="200"/>
        <w:rPr>
          <w:rFonts w:ascii="宋体" w:eastAsia="宋体" w:hAnsi="宋体"/>
          <w:szCs w:val="21"/>
        </w:rPr>
      </w:pPr>
      <w:r>
        <w:rPr>
          <w:rFonts w:ascii="宋体" w:eastAsia="宋体" w:hAnsi="宋体" w:hint="eastAsia"/>
          <w:szCs w:val="21"/>
        </w:rPr>
        <w:t>（1）质疑主体不满足要求的；</w:t>
      </w:r>
    </w:p>
    <w:p>
      <w:pPr>
        <w:spacing w:line="360" w:lineRule="auto"/>
        <w:ind w:firstLine="480" w:firstLineChars="200"/>
        <w:rPr>
          <w:rFonts w:ascii="宋体" w:eastAsia="宋体" w:hAnsi="宋体"/>
          <w:szCs w:val="21"/>
        </w:rPr>
      </w:pPr>
      <w:r>
        <w:rPr>
          <w:rFonts w:ascii="宋体" w:eastAsia="宋体" w:hAnsi="宋体" w:hint="eastAsia"/>
          <w:szCs w:val="21"/>
        </w:rPr>
        <w:t>（2）供应商自身权益未受到损害的；</w:t>
      </w:r>
    </w:p>
    <w:p>
      <w:pPr>
        <w:spacing w:line="360" w:lineRule="auto"/>
        <w:ind w:firstLine="480" w:firstLineChars="200"/>
        <w:rPr>
          <w:rFonts w:ascii="宋体" w:eastAsia="宋体" w:hAnsi="宋体"/>
          <w:szCs w:val="21"/>
        </w:rPr>
      </w:pPr>
      <w:r>
        <w:rPr>
          <w:rFonts w:ascii="宋体" w:eastAsia="宋体" w:hAnsi="宋体" w:hint="eastAsia"/>
          <w:szCs w:val="21"/>
        </w:rPr>
        <w:t>（3）供应商未在法定质疑期限内提出质疑的；</w:t>
      </w:r>
    </w:p>
    <w:p>
      <w:pPr>
        <w:spacing w:line="360" w:lineRule="auto"/>
        <w:ind w:firstLine="480" w:firstLineChars="200"/>
        <w:rPr>
          <w:rFonts w:ascii="宋体" w:eastAsia="宋体" w:hAnsi="宋体"/>
          <w:szCs w:val="21"/>
        </w:rPr>
      </w:pPr>
      <w:r>
        <w:rPr>
          <w:rFonts w:ascii="宋体" w:eastAsia="宋体" w:hAnsi="宋体" w:hint="eastAsia"/>
          <w:szCs w:val="21"/>
        </w:rPr>
        <w:t>（4）质疑材料不全或者未按要求签字或者盖章的情况下，要求补正后，逾期未补正或者补正后仍不符合规定的；</w:t>
      </w:r>
    </w:p>
    <w:p>
      <w:pPr>
        <w:spacing w:line="360" w:lineRule="auto"/>
        <w:ind w:firstLine="480" w:firstLineChars="200"/>
        <w:rPr>
          <w:rFonts w:ascii="宋体" w:eastAsia="宋体" w:hAnsi="宋体"/>
          <w:szCs w:val="21"/>
        </w:rPr>
      </w:pPr>
      <w:r>
        <w:rPr>
          <w:rFonts w:ascii="宋体" w:eastAsia="宋体" w:hAnsi="宋体" w:hint="eastAsia"/>
          <w:szCs w:val="21"/>
        </w:rPr>
        <w:t>（5）其他不符合受理条件情形的。</w:t>
      </w:r>
    </w:p>
    <w:p>
      <w:pPr>
        <w:spacing w:line="360" w:lineRule="auto"/>
        <w:ind w:firstLine="480" w:firstLineChars="200"/>
        <w:rPr>
          <w:rFonts w:ascii="宋体" w:eastAsia="宋体" w:hAnsi="宋体"/>
          <w:szCs w:val="21"/>
        </w:rPr>
      </w:pPr>
      <w:r>
        <w:rPr>
          <w:rFonts w:ascii="宋体" w:eastAsia="宋体" w:hAnsi="宋体" w:hint="eastAsia"/>
          <w:szCs w:val="21"/>
        </w:rPr>
        <w:t>质疑事项不予受理的，采购代理机构应当向供应商出具不符合质疑条件告知书。</w:t>
      </w:r>
    </w:p>
    <w:p>
      <w:pPr>
        <w:spacing w:line="360" w:lineRule="auto"/>
        <w:rPr>
          <w:rFonts w:ascii="宋体" w:eastAsia="宋体" w:hAnsi="宋体"/>
          <w:szCs w:val="21"/>
        </w:rPr>
      </w:pPr>
      <w:r>
        <w:rPr>
          <w:rFonts w:ascii="宋体" w:eastAsia="宋体" w:hAnsi="宋体" w:hint="eastAsia"/>
          <w:szCs w:val="21"/>
        </w:rPr>
        <w:t xml:space="preserve">  52.7质疑答复时限</w:t>
      </w:r>
    </w:p>
    <w:p>
      <w:pPr>
        <w:spacing w:line="360" w:lineRule="auto"/>
        <w:rPr>
          <w:rFonts w:ascii="宋体" w:eastAsia="宋体" w:hAnsi="宋体"/>
          <w:szCs w:val="21"/>
        </w:rPr>
      </w:pPr>
      <w:r>
        <w:rPr>
          <w:rFonts w:ascii="宋体" w:eastAsia="宋体" w:hAnsi="宋体" w:hint="eastAsia"/>
          <w:szCs w:val="21"/>
        </w:rPr>
        <w:t xml:space="preserve">    自收文之日起七个工作日内。</w:t>
      </w:r>
    </w:p>
    <w:p>
      <w:pPr>
        <w:spacing w:line="360" w:lineRule="auto"/>
        <w:rPr>
          <w:rFonts w:ascii="宋体" w:eastAsia="宋体" w:hAnsi="宋体"/>
          <w:szCs w:val="21"/>
        </w:rPr>
      </w:pPr>
      <w:r>
        <w:rPr>
          <w:rFonts w:ascii="宋体" w:eastAsia="宋体" w:hAnsi="宋体" w:hint="eastAsia"/>
          <w:szCs w:val="21"/>
        </w:rPr>
        <w:t xml:space="preserve">  52.8投诉</w:t>
      </w:r>
    </w:p>
    <w:p>
      <w:pPr>
        <w:rPr>
          <w:rFonts w:ascii="宋体" w:eastAsia="宋体" w:hAnsi="宋体"/>
          <w:szCs w:val="21"/>
        </w:rPr>
      </w:pPr>
      <w:r>
        <w:rPr>
          <w:rFonts w:ascii="宋体" w:eastAsia="宋体" w:hAnsi="宋体" w:hint="eastAsia"/>
          <w:szCs w:val="21"/>
        </w:rPr>
        <w:t xml:space="preserve">    对质疑答复不满意或者未在规定时间内答复的，提出质疑的供应商可以在答复期满后15个工作日内向同级财政部门投诉。</w:t>
      </w:r>
      <w:bookmarkEnd w:id="78"/>
      <w:bookmarkEnd w:id="82"/>
    </w:p>
    <w:sectPr>
      <w:footerReference w:type="default" r:id="rId9"/>
      <w:pgSz w:w="11906" w:h="16838"/>
      <w:pgMar w:top="1440" w:right="1800" w:bottom="1440" w:left="180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r>
      <w:pict>
        <v:shapetype id="_x0000_t202" coordsize="21600,21600" o:spt="202" path="m,l,21600r21600,l21600,xe">
          <v:stroke joinstyle="miter"/>
          <v:path gradientshapeok="t" o:connecttype="rect"/>
        </v:shapetype>
        <v:shape id="文本框 5" o:spid="_x0000_s2049" type="#_x0000_t202" style="height:10.35pt;margin-left:0;margin-top:0;mso-height-relative:page;mso-position-horizontal:center;mso-position-horizontal-relative:margin;mso-width-relative:page;mso-wrap-style:none;position:absolute;width:9.05pt;z-index:251658240" coordsize="21600,21600" filled="f" stroked="f">
          <v:stroke joinstyle="miter"/>
          <v:textbox style="mso-fit-shape-to-text:t" inset="0,0,0,0">
            <w:txbxContent>
              <w:p>
                <w:pPr>
                  <w:pStyle w:val="Footer"/>
                </w:pPr>
                <w:r>
                  <w:fldChar w:fldCharType="begin"/>
                </w:r>
                <w:r>
                  <w:instrText xml:space="preserve"> PAGE  \* MERGEFORMAT </w:instrText>
                </w:r>
                <w:r>
                  <w:fldChar w:fldCharType="separate"/>
                </w:r>
                <w:r>
                  <w:t>51</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8448967"/>
      <w:richText/>
    </w:sdtPr>
    <w:sdtContent>
      <w:p>
        <w:pPr>
          <w:pStyle w:val="Footer"/>
          <w:jc w:val="center"/>
        </w:pPr>
        <w:r>
          <w:fldChar w:fldCharType="begin"/>
        </w:r>
        <w:r>
          <w:instrText>PAGE   \* MERGEFORMAT</w:instrText>
        </w:r>
        <w:r>
          <w:fldChar w:fldCharType="separate"/>
        </w:r>
        <w:r>
          <w:rPr>
            <w:lang w:val="zh-CN"/>
          </w:rPr>
          <w:t>71</w:t>
        </w:r>
        <w:r>
          <w:rPr>
            <w:lang w:val="zh-CN"/>
          </w:rPr>
          <w:fldChar w:fldCharType="end"/>
        </w:r>
      </w:p>
    </w:sdtContent>
  </w:sdt>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lvl w:ilvl="0">
      <w:start w:val="1"/>
      <w:numFmt w:val="chineseCounting"/>
      <w:pStyle w:val="ListBullet5"/>
      <w:suff w:val="nothing"/>
      <w:lvlText w:val="%1、"/>
      <w:lvlJc w:val="left"/>
      <w:pPr>
        <w:ind w:left="0" w:firstLine="420"/>
      </w:pPr>
      <w:rPr>
        <w:rFonts w:hint="eastAsia"/>
      </w:rPr>
    </w:lvl>
  </w:abstractNum>
  <w:abstractNum w:abstractNumId="1">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502"/>
        </w:tabs>
        <w:ind w:left="502"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3DA7688A"/>
    <w:multiLevelType w:val="singleLevel"/>
    <w:tmpl w:val="3DA7688A"/>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8"/>
  <w:embedSystemFonts/>
  <w:bordersDoNotSurroundHeader/>
  <w:bordersDoNotSurroundFooter/>
  <w:trackRevisions/>
  <w:defaultTabStop w:val="720"/>
  <w:noPunctuationKerning/>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ZTdjZGM2YTJmNjhmYTJmNDlmMGEyZGYwNTRhN2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0" w:uiPriority="0" w:unhideWhenUsed="0" w:qFormat="1"/>
    <w:lsdException w:name="footnote text" w:semiHidden="0" w:qFormat="1"/>
    <w:lsdException w:name="annotation text" w:semiHidden="0" w:uiPriority="0" w:unhideWhenUsed="0" w:qFormat="1"/>
    <w:lsdException w:name="header" w:semiHidden="0" w:unhideWhenUsed="0" w:qFormat="1"/>
    <w:lsdException w:name="footer" w:semiHidden="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semiHidden="0" w:qFormat="1"/>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semiHidden="0" w:uiPriority="0" w:unhideWhenUsed="0" w:qFormat="1"/>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Body Text 3" w:uiPriority="0"/>
    <w:lsdException w:name="Body Text Indent 2" w:uiPriority="0" w:qFormat="1"/>
    <w:lsdException w:name="Body Text Indent 3" w:uiPriority="0"/>
    <w:lsdException w:name="Block Text" w:uiPriority="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semiHidden="0"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39"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hAnsi="Times New Roman" w:eastAsiaTheme="minorEastAsia" w:cs="Times New Roman"/>
      <w:sz w:val="24"/>
      <w:szCs w:val="24"/>
      <w:lang w:val="en-US" w:eastAsia="zh-CN" w:bidi="ar-SA"/>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Char"/>
    <w:qFormat/>
    <w:pPr>
      <w:adjustRightInd w:val="0"/>
      <w:jc w:val="center"/>
      <w:textAlignment w:val="baseline"/>
      <w:outlineLvl w:val="1"/>
    </w:pPr>
    <w:rPr>
      <w:szCs w:val="20"/>
    </w:rPr>
  </w:style>
  <w:style w:type="paragraph" w:styleId="Heading3">
    <w:name w:val="heading 3"/>
    <w:basedOn w:val="Heading4"/>
    <w:next w:val="Normal"/>
    <w:link w:val="3Char"/>
    <w:uiPriority w:val="9"/>
    <w:qFormat/>
    <w:pPr>
      <w:spacing w:before="260" w:after="260"/>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5Char"/>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next w:val="BodyText"/>
    <w:link w:val="Char7"/>
    <w:qFormat/>
    <w:pPr>
      <w:widowControl w:val="0"/>
      <w:ind w:firstLine="420" w:firstLineChars="200"/>
      <w:jc w:val="both"/>
    </w:pPr>
    <w:rPr>
      <w:rFonts w:ascii="Calibri" w:eastAsia="宋体" w:hAnsi="Calibri"/>
      <w:kern w:val="2"/>
      <w:sz w:val="21"/>
    </w:rPr>
  </w:style>
  <w:style w:type="paragraph" w:styleId="BodyText">
    <w:name w:val="Body Text"/>
    <w:basedOn w:val="Normal"/>
    <w:next w:val="Normal"/>
    <w:link w:val="Char6"/>
    <w:qFormat/>
    <w:rPr>
      <w:rFonts w:ascii="宋体" w:eastAsia="宋体" w:hAnsi="宋体" w:cs="宋体"/>
      <w:sz w:val="28"/>
      <w:szCs w:val="28"/>
      <w:lang w:val="zh-CN" w:bidi="zh-CN"/>
    </w:rPr>
  </w:style>
  <w:style w:type="paragraph" w:styleId="DocumentMap">
    <w:name w:val="Document Map"/>
    <w:basedOn w:val="Normal"/>
    <w:link w:val="Char3"/>
    <w:qFormat/>
    <w:rPr>
      <w:rFonts w:ascii="宋体" w:eastAsia="宋体"/>
      <w:sz w:val="18"/>
      <w:szCs w:val="18"/>
    </w:rPr>
  </w:style>
  <w:style w:type="paragraph" w:styleId="CommentText">
    <w:name w:val="annotation text"/>
    <w:basedOn w:val="Normal"/>
    <w:link w:val="Char4"/>
    <w:qFormat/>
  </w:style>
  <w:style w:type="paragraph" w:styleId="BodyTextIndent">
    <w:name w:val="Body Text Indent"/>
    <w:basedOn w:val="Normal"/>
    <w:link w:val="Char12"/>
    <w:qFormat/>
    <w:pPr>
      <w:widowControl w:val="0"/>
      <w:spacing w:after="120"/>
      <w:ind w:left="420" w:leftChars="200"/>
      <w:jc w:val="both"/>
    </w:pPr>
    <w:rPr>
      <w:rFonts w:eastAsia="宋体"/>
      <w:kern w:val="2"/>
      <w:sz w:val="21"/>
    </w:rPr>
  </w:style>
  <w:style w:type="paragraph" w:styleId="PlainText">
    <w:name w:val="Plain Text"/>
    <w:basedOn w:val="Normal"/>
    <w:link w:val="Char8"/>
    <w:qFormat/>
    <w:pPr>
      <w:widowControl w:val="0"/>
      <w:jc w:val="both"/>
    </w:pPr>
    <w:rPr>
      <w:rFonts w:ascii="宋体" w:eastAsia="宋体" w:hAnsi="Courier New"/>
      <w:kern w:val="2"/>
      <w:sz w:val="21"/>
    </w:rPr>
  </w:style>
  <w:style w:type="paragraph" w:styleId="ListBullet5">
    <w:name w:val="List Bullet 5"/>
    <w:basedOn w:val="Normal"/>
    <w:qFormat/>
    <w:pPr>
      <w:numPr>
        <w:ilvl w:val="0"/>
        <w:numId w:val="1"/>
      </w:numPr>
      <w:tabs>
        <w:tab w:val="left" w:pos="2040"/>
      </w:tabs>
      <w:spacing w:before="156" w:after="156"/>
      <w:ind w:firstLine="0"/>
      <w:jc w:val="both"/>
    </w:pPr>
    <w:rPr>
      <w:rFonts w:ascii="宋体" w:eastAsia="宋体" w:hAnsi="宋体"/>
      <w:kern w:val="2"/>
      <w:sz w:val="21"/>
      <w:szCs w:val="20"/>
    </w:rPr>
  </w:style>
  <w:style w:type="paragraph" w:styleId="BodyTextIndent2">
    <w:name w:val="Body Text Indent 2"/>
    <w:basedOn w:val="Normal"/>
    <w:link w:val="2Char1"/>
    <w:semiHidden/>
    <w:unhideWhenUsed/>
    <w:qFormat/>
    <w:pPr>
      <w:spacing w:after="120" w:line="480" w:lineRule="auto"/>
      <w:ind w:left="420" w:leftChars="200"/>
    </w:pPr>
  </w:style>
  <w:style w:type="paragraph" w:styleId="BalloonText">
    <w:name w:val="Balloon Text"/>
    <w:basedOn w:val="Normal"/>
    <w:link w:val="Char0"/>
    <w:qFormat/>
    <w:rPr>
      <w:sz w:val="18"/>
      <w:szCs w:val="18"/>
    </w:rPr>
  </w:style>
  <w:style w:type="paragraph" w:styleId="Footer">
    <w:name w:val="footer"/>
    <w:basedOn w:val="Normal"/>
    <w:next w:val="Normal"/>
    <w:link w:val="Char2"/>
    <w:uiPriority w:val="99"/>
    <w:qFormat/>
    <w:pPr>
      <w:tabs>
        <w:tab w:val="center" w:pos="4153"/>
        <w:tab w:val="right" w:pos="8306"/>
      </w:tabs>
      <w:snapToGrid w:val="0"/>
    </w:pPr>
    <w:rPr>
      <w:sz w:val="18"/>
      <w:szCs w:val="18"/>
    </w:rPr>
  </w:style>
  <w:style w:type="paragraph" w:styleId="Header">
    <w:name w:val="header"/>
    <w:basedOn w:val="Normal"/>
    <w:link w:val="Char1"/>
    <w:uiPriority w:val="99"/>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Char14"/>
    <w:qFormat/>
    <w:pPr>
      <w:widowControl w:val="0"/>
      <w:spacing w:before="240" w:after="60" w:line="312" w:lineRule="auto"/>
      <w:jc w:val="center"/>
      <w:outlineLvl w:val="1"/>
    </w:pPr>
    <w:rPr>
      <w:rFonts w:ascii="Cambria" w:eastAsia="宋体" w:hAnsi="Cambria"/>
      <w:b/>
      <w:bCs/>
      <w:kern w:val="28"/>
      <w:sz w:val="32"/>
      <w:szCs w:val="32"/>
    </w:rPr>
  </w:style>
  <w:style w:type="paragraph" w:styleId="FootnoteText">
    <w:name w:val="footnote text"/>
    <w:basedOn w:val="Normal"/>
    <w:link w:val="Char13"/>
    <w:uiPriority w:val="99"/>
    <w:unhideWhenUsed/>
    <w:qFormat/>
    <w:pPr>
      <w:widowControl w:val="0"/>
      <w:snapToGrid w:val="0"/>
    </w:pPr>
    <w:rPr>
      <w:rFonts w:eastAsia="宋体"/>
      <w:kern w:val="2"/>
      <w:sz w:val="18"/>
      <w:szCs w:val="18"/>
    </w:rPr>
  </w:style>
  <w:style w:type="paragraph" w:styleId="BodyText2">
    <w:name w:val="Body Text 2"/>
    <w:basedOn w:val="Normal"/>
    <w:qFormat/>
    <w:pPr>
      <w:spacing w:line="360" w:lineRule="auto"/>
    </w:pPr>
  </w:style>
  <w:style w:type="paragraph" w:styleId="NormalWeb">
    <w:name w:val="Normal (Web)"/>
    <w:basedOn w:val="Normal"/>
    <w:link w:val="Char"/>
    <w:qFormat/>
  </w:style>
  <w:style w:type="paragraph" w:styleId="Title">
    <w:name w:val="Title"/>
    <w:basedOn w:val="Normal"/>
    <w:next w:val="Normal"/>
    <w:link w:val="Char9"/>
    <w:qFormat/>
    <w:pPr>
      <w:widowControl w:val="0"/>
      <w:spacing w:before="240" w:after="60"/>
      <w:jc w:val="center"/>
      <w:outlineLvl w:val="0"/>
    </w:pPr>
    <w:rPr>
      <w:rFonts w:ascii="Cambria" w:eastAsia="宋体" w:hAnsi="Cambria"/>
      <w:b/>
      <w:bCs/>
      <w:kern w:val="2"/>
      <w:sz w:val="32"/>
      <w:szCs w:val="32"/>
    </w:rPr>
  </w:style>
  <w:style w:type="paragraph" w:styleId="CommentSubject">
    <w:name w:val="annotation subject"/>
    <w:basedOn w:val="CommentText"/>
    <w:next w:val="CommentText"/>
    <w:link w:val="Char5"/>
    <w:qFormat/>
    <w:rPr>
      <w:b/>
      <w:bCs/>
    </w:rPr>
  </w:style>
  <w:style w:type="paragraph" w:styleId="BodyTextFirstIndent">
    <w:name w:val="Body Text First Indent"/>
    <w:basedOn w:val="BodyText"/>
    <w:qFormat/>
    <w:pPr>
      <w:ind w:firstLine="420" w:firstLineChars="100"/>
    </w:pPr>
    <w:rPr>
      <w:rFonts w:hAnsi="Arial"/>
    </w:rPr>
  </w:style>
  <w:style w:type="paragraph" w:styleId="BodyTextFirstIndent2">
    <w:name w:val="Body Text First Indent 2"/>
    <w:basedOn w:val="BodyTextIndent"/>
    <w:link w:val="2Char0"/>
    <w:qFormat/>
    <w:pPr>
      <w:widowControl/>
      <w:overflowPunct w:val="0"/>
      <w:autoSpaceDE w:val="0"/>
      <w:autoSpaceDN w:val="0"/>
      <w:adjustRightInd w:val="0"/>
      <w:spacing w:line="0" w:lineRule="atLeast"/>
      <w:ind w:firstLine="420"/>
      <w:textAlignment w:val="baseline"/>
    </w:pPr>
    <w:rPr>
      <w:rFonts w:ascii="Arial" w:hAnsi="Arial"/>
      <w:spacing w:val="-5"/>
      <w:sz w:val="28"/>
      <w:szCs w:val="2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qFormat/>
  </w:style>
  <w:style w:type="character" w:styleId="FollowedHyperlink">
    <w:name w:val="FollowedHyperlink"/>
    <w:basedOn w:val="DefaultParagraphFont"/>
    <w:qFormat/>
    <w:rPr>
      <w:color w:val="800080"/>
      <w:u w:val="none"/>
    </w:rPr>
  </w:style>
  <w:style w:type="character" w:styleId="Emphasis">
    <w:name w:val="Emphasis"/>
    <w:basedOn w:val="DefaultParagraphFont"/>
    <w:qFormat/>
  </w:style>
  <w:style w:type="character" w:styleId="Hyperlink">
    <w:name w:val="Hyperlink"/>
    <w:qFormat/>
    <w:rPr>
      <w:rFonts w:ascii="Calibri" w:eastAsia="宋体" w:hAnsi="Calibri"/>
      <w:color w:val="0000FF"/>
      <w:u w:val="single"/>
    </w:rPr>
  </w:style>
  <w:style w:type="character" w:styleId="CommentReference">
    <w:name w:val="annotation reference"/>
    <w:basedOn w:val="DefaultParagraphFont"/>
    <w:uiPriority w:val="99"/>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a">
    <w:name w:val="首行缩进"/>
    <w:basedOn w:val="Normal"/>
    <w:qFormat/>
    <w:pPr>
      <w:spacing w:line="360" w:lineRule="auto"/>
      <w:ind w:firstLine="480" w:firstLineChars="200"/>
    </w:pPr>
    <w:rPr>
      <w:rFonts w:ascii="宋体" w:eastAsia="宋体" w:hAnsi="宋体"/>
    </w:rPr>
  </w:style>
  <w:style w:type="character" w:customStyle="1" w:styleId="Char">
    <w:name w:val="普通(网站) Char"/>
    <w:link w:val="NormalWeb"/>
    <w:qFormat/>
    <w:rPr>
      <w:kern w:val="2"/>
      <w:sz w:val="24"/>
      <w:szCs w:val="24"/>
    </w:rPr>
  </w:style>
  <w:style w:type="character" w:customStyle="1" w:styleId="fontstyle31">
    <w:name w:val="fontstyle31"/>
    <w:qFormat/>
    <w:rPr>
      <w:rFonts w:ascii="黑体" w:eastAsia="黑体" w:hAnsi="黑体" w:hint="eastAsia"/>
      <w:color w:val="000000"/>
      <w:sz w:val="24"/>
      <w:szCs w:val="24"/>
    </w:rPr>
  </w:style>
  <w:style w:type="character" w:customStyle="1" w:styleId="4Char">
    <w:name w:val="标题 4 Char"/>
    <w:link w:val="Heading4"/>
    <w:qFormat/>
    <w:rPr>
      <w:rFonts w:ascii="Arial" w:eastAsia="黑体" w:hAnsi="Arial"/>
      <w:b/>
      <w:bCs/>
      <w:kern w:val="2"/>
      <w:sz w:val="28"/>
      <w:szCs w:val="28"/>
      <w:lang w:val="en-US" w:eastAsia="zh-CN" w:bidi="ar-SA"/>
    </w:rPr>
  </w:style>
  <w:style w:type="character" w:customStyle="1" w:styleId="3Char">
    <w:name w:val="标题 3 Char"/>
    <w:link w:val="Heading3"/>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2Char">
    <w:name w:val="标题 2 Char"/>
    <w:link w:val="Heading2"/>
    <w:qFormat/>
    <w:rPr>
      <w:rFonts w:ascii="宋体" w:eastAsia="宋体" w:hAnsi="宋体"/>
      <w:b/>
      <w:bCs/>
      <w:sz w:val="24"/>
      <w:lang w:val="en-US" w:eastAsia="zh-CN" w:bidi="ar-SA"/>
    </w:rPr>
  </w:style>
  <w:style w:type="character" w:customStyle="1" w:styleId="Char0">
    <w:name w:val="批注框文本 Char"/>
    <w:basedOn w:val="DefaultParagraphFont"/>
    <w:link w:val="BalloonText"/>
    <w:qFormat/>
    <w:rPr>
      <w:sz w:val="18"/>
      <w:szCs w:val="18"/>
    </w:rPr>
  </w:style>
  <w:style w:type="character" w:customStyle="1" w:styleId="Char1">
    <w:name w:val="页眉 Char"/>
    <w:basedOn w:val="DefaultParagraphFont"/>
    <w:link w:val="Header"/>
    <w:uiPriority w:val="99"/>
    <w:qFormat/>
    <w:rPr>
      <w:sz w:val="18"/>
      <w:szCs w:val="18"/>
    </w:rPr>
  </w:style>
  <w:style w:type="character" w:customStyle="1" w:styleId="Char2">
    <w:name w:val="页脚 Char"/>
    <w:basedOn w:val="DefaultParagraphFont"/>
    <w:link w:val="Footer"/>
    <w:uiPriority w:val="99"/>
    <w:qFormat/>
    <w:rPr>
      <w:sz w:val="18"/>
      <w:szCs w:val="18"/>
    </w:rPr>
  </w:style>
  <w:style w:type="character" w:customStyle="1" w:styleId="Char3">
    <w:name w:val="文档结构图 Char"/>
    <w:basedOn w:val="DefaultParagraphFont"/>
    <w:link w:val="DocumentMap"/>
    <w:qFormat/>
    <w:rPr>
      <w:rFonts w:ascii="宋体" w:eastAsia="宋体"/>
      <w:sz w:val="18"/>
      <w:szCs w:val="18"/>
    </w:rPr>
  </w:style>
  <w:style w:type="character" w:customStyle="1" w:styleId="DefaultChar">
    <w:name w:val="Default Char"/>
    <w:link w:val="Default"/>
    <w:qFormat/>
    <w:rPr>
      <w:rFonts w:ascii="Arial Narrow" w:hAnsi="Arial Narrow"/>
      <w:color w:val="000000"/>
      <w:sz w:val="24"/>
      <w:szCs w:val="24"/>
    </w:rPr>
  </w:style>
  <w:style w:type="paragraph" w:customStyle="1" w:styleId="Default">
    <w:name w:val="Default"/>
    <w:link w:val="DefaultChar"/>
    <w:qFormat/>
    <w:pPr>
      <w:widowControl w:val="0"/>
      <w:autoSpaceDE w:val="0"/>
      <w:autoSpaceDN w:val="0"/>
      <w:adjustRightInd w:val="0"/>
    </w:pPr>
    <w:rPr>
      <w:rFonts w:ascii="Arial Narrow" w:hAnsi="Arial Narrow" w:eastAsiaTheme="minorEastAsia" w:cs="Times New Roman"/>
      <w:color w:val="000000"/>
      <w:sz w:val="24"/>
      <w:szCs w:val="24"/>
      <w:lang w:val="en-US" w:eastAsia="zh-CN" w:bidi="ar-SA"/>
    </w:rPr>
  </w:style>
  <w:style w:type="paragraph" w:customStyle="1" w:styleId="0">
    <w:name w:val="0表格正文"/>
    <w:basedOn w:val="Normal"/>
    <w:qFormat/>
    <w:pPr>
      <w:widowControl w:val="0"/>
    </w:pPr>
    <w:rPr>
      <w:rFonts w:ascii="Calibri" w:eastAsia="宋体" w:hAnsi="Calibri"/>
      <w:kern w:val="2"/>
      <w:sz w:val="21"/>
      <w:szCs w:val="21"/>
    </w:rPr>
  </w:style>
  <w:style w:type="character" w:customStyle="1" w:styleId="Char4">
    <w:name w:val="批注文字 Char"/>
    <w:basedOn w:val="DefaultParagraphFont"/>
    <w:link w:val="CommentText"/>
    <w:qFormat/>
    <w:rPr>
      <w:sz w:val="24"/>
      <w:szCs w:val="24"/>
    </w:rPr>
  </w:style>
  <w:style w:type="character" w:customStyle="1" w:styleId="Char5">
    <w:name w:val="批注主题 Char"/>
    <w:basedOn w:val="Char4"/>
    <w:link w:val="CommentSubject"/>
    <w:qFormat/>
    <w:rPr>
      <w:sz w:val="24"/>
      <w:szCs w:val="24"/>
    </w:rPr>
  </w:style>
  <w:style w:type="character" w:customStyle="1" w:styleId="Char6">
    <w:name w:val="正文文本 Char"/>
    <w:basedOn w:val="DefaultParagraphFont"/>
    <w:link w:val="BodyText"/>
    <w:qFormat/>
    <w:rPr>
      <w:rFonts w:ascii="宋体" w:eastAsia="宋体" w:hAnsi="宋体" w:cs="宋体"/>
      <w:sz w:val="28"/>
      <w:szCs w:val="28"/>
      <w:lang w:val="zh-CN" w:bidi="zh-CN"/>
    </w:rPr>
  </w:style>
  <w:style w:type="character" w:customStyle="1" w:styleId="1Char1">
    <w:name w:val="标题 1 Char1"/>
    <w:qFormat/>
    <w:rPr>
      <w:b/>
      <w:bCs/>
      <w:kern w:val="44"/>
      <w:sz w:val="44"/>
      <w:szCs w:val="44"/>
    </w:rPr>
  </w:style>
  <w:style w:type="character" w:customStyle="1" w:styleId="Char7">
    <w:name w:val="正文缩进 Char"/>
    <w:link w:val="NormalIndent"/>
    <w:qFormat/>
    <w:rPr>
      <w:rFonts w:ascii="Calibri" w:hAnsi="Calibri"/>
      <w:kern w:val="2"/>
      <w:sz w:val="21"/>
      <w:szCs w:val="24"/>
    </w:rPr>
  </w:style>
  <w:style w:type="character" w:customStyle="1" w:styleId="Char10">
    <w:name w:val="正文文本 Char1"/>
    <w:qFormat/>
    <w:rPr>
      <w:rFonts w:ascii="Times New Roman" w:hAnsi="Times New Roman"/>
      <w:kern w:val="2"/>
      <w:sz w:val="21"/>
      <w:szCs w:val="24"/>
    </w:rPr>
  </w:style>
  <w:style w:type="character" w:customStyle="1" w:styleId="Char8">
    <w:name w:val="纯文本 Char"/>
    <w:basedOn w:val="DefaultParagraphFont"/>
    <w:link w:val="PlainText"/>
    <w:qFormat/>
    <w:rPr>
      <w:rFonts w:ascii="宋体" w:hAnsi="Courier New"/>
      <w:kern w:val="2"/>
      <w:sz w:val="21"/>
      <w:szCs w:val="24"/>
    </w:rPr>
  </w:style>
  <w:style w:type="character" w:customStyle="1" w:styleId="Char9">
    <w:name w:val="标题 Char"/>
    <w:basedOn w:val="DefaultParagraphFont"/>
    <w:link w:val="Title"/>
    <w:qFormat/>
    <w:rPr>
      <w:rFonts w:ascii="Cambria" w:hAnsi="Cambria"/>
      <w:b/>
      <w:bCs/>
      <w:kern w:val="2"/>
      <w:sz w:val="32"/>
      <w:szCs w:val="32"/>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Normal"/>
    <w:uiPriority w:val="99"/>
    <w:qFormat/>
    <w:pPr>
      <w:widowControl w:val="0"/>
      <w:ind w:firstLine="420" w:firstLineChars="200"/>
      <w:jc w:val="both"/>
    </w:pPr>
    <w:rPr>
      <w:rFonts w:ascii="Calibri" w:eastAsia="宋体" w:hAnsi="Calibri"/>
      <w:kern w:val="2"/>
      <w:sz w:val="21"/>
    </w:rPr>
  </w:style>
  <w:style w:type="paragraph" w:styleId="ListParagraph">
    <w:name w:val="List Paragraph"/>
    <w:basedOn w:val="Normal"/>
    <w:uiPriority w:val="34"/>
    <w:qFormat/>
    <w:pPr>
      <w:widowControl w:val="0"/>
      <w:ind w:firstLine="420" w:firstLineChars="200"/>
      <w:jc w:val="both"/>
    </w:pPr>
    <w:rPr>
      <w:rFonts w:ascii="Calibri" w:eastAsia="宋体" w:hAnsi="Calibri"/>
      <w:kern w:val="2"/>
      <w:sz w:val="21"/>
      <w:szCs w:val="21"/>
    </w:rPr>
  </w:style>
  <w:style w:type="paragraph" w:customStyle="1" w:styleId="00">
    <w:name w:val="正文_0"/>
    <w:qFormat/>
    <w:rPr>
      <w:rFonts w:ascii="Calibri" w:hAnsi="Calibri" w:eastAsiaTheme="minorEastAsia" w:cs="Times New Roman"/>
      <w:sz w:val="21"/>
      <w:szCs w:val="22"/>
      <w:lang w:val="en-US" w:eastAsia="zh-CN" w:bidi="ar-SA"/>
    </w:rPr>
  </w:style>
  <w:style w:type="paragraph" w:customStyle="1" w:styleId="10">
    <w:name w:val="列出段落1"/>
    <w:basedOn w:val="Normal"/>
    <w:link w:val="a0"/>
    <w:uiPriority w:val="99"/>
    <w:qFormat/>
    <w:pPr>
      <w:widowControl w:val="0"/>
      <w:ind w:firstLine="420" w:firstLineChars="200"/>
      <w:jc w:val="both"/>
    </w:pPr>
    <w:rPr>
      <w:rFonts w:ascii="Calibri" w:eastAsia="宋体" w:hAnsi="Calibri"/>
      <w:kern w:val="2"/>
      <w:sz w:val="21"/>
      <w:szCs w:val="22"/>
    </w:rPr>
  </w:style>
  <w:style w:type="character" w:customStyle="1" w:styleId="a0">
    <w:name w:val="列表段落 字符"/>
    <w:link w:val="10"/>
    <w:qFormat/>
    <w:rPr>
      <w:rFonts w:ascii="Calibri" w:hAnsi="Calibri"/>
      <w:kern w:val="2"/>
      <w:sz w:val="21"/>
      <w:szCs w:val="22"/>
    </w:rPr>
  </w:style>
  <w:style w:type="paragraph" w:customStyle="1" w:styleId="1-21">
    <w:name w:val="中等深浅网格 1 - 强调文字颜色 21"/>
    <w:basedOn w:val="Normal"/>
    <w:uiPriority w:val="34"/>
    <w:qFormat/>
    <w:pPr>
      <w:widowControl w:val="0"/>
      <w:ind w:firstLine="420" w:firstLineChars="200"/>
      <w:jc w:val="both"/>
    </w:pPr>
    <w:rPr>
      <w:rFonts w:ascii="Calibri" w:eastAsia="宋体" w:hAnsi="Calibri"/>
      <w:kern w:val="2"/>
      <w:sz w:val="21"/>
    </w:rPr>
  </w:style>
  <w:style w:type="paragraph" w:customStyle="1" w:styleId="yiv2125247115msonormal">
    <w:name w:val="yiv2125247115msonormal"/>
    <w:basedOn w:val="Normal"/>
    <w:qFormat/>
    <w:pPr>
      <w:spacing w:before="100" w:beforeAutospacing="1" w:after="100" w:afterAutospacing="1"/>
    </w:pPr>
    <w:rPr>
      <w:rFonts w:ascii="宋体" w:eastAsia="宋体" w:hAnsi="宋体" w:cs="宋体"/>
    </w:rPr>
  </w:style>
  <w:style w:type="paragraph" w:customStyle="1" w:styleId="Style47">
    <w:name w:val="_Style 47"/>
    <w:basedOn w:val="Normal"/>
    <w:next w:val="ListParagraph"/>
    <w:uiPriority w:val="99"/>
    <w:qFormat/>
    <w:pPr>
      <w:widowControl w:val="0"/>
      <w:ind w:firstLine="420" w:firstLineChars="200"/>
      <w:jc w:val="both"/>
    </w:pPr>
    <w:rPr>
      <w:rFonts w:eastAsia="宋体"/>
      <w:kern w:val="2"/>
      <w:sz w:val="21"/>
      <w:szCs w:val="22"/>
    </w:rPr>
  </w:style>
  <w:style w:type="paragraph" w:customStyle="1" w:styleId="Style12">
    <w:name w:val="_Style 12"/>
    <w:basedOn w:val="Normal"/>
    <w:next w:val="ListParagraph"/>
    <w:link w:val="Char11"/>
    <w:uiPriority w:val="34"/>
    <w:qFormat/>
    <w:pPr>
      <w:widowControl w:val="0"/>
      <w:ind w:firstLine="420" w:firstLineChars="200"/>
      <w:jc w:val="both"/>
    </w:pPr>
    <w:rPr>
      <w:rFonts w:ascii="Calibri" w:eastAsia="宋体" w:hAnsi="Calibri"/>
      <w:kern w:val="2"/>
      <w:sz w:val="21"/>
      <w:szCs w:val="22"/>
      <w:lang w:val="zh-CN"/>
    </w:rPr>
  </w:style>
  <w:style w:type="character" w:customStyle="1" w:styleId="Char11">
    <w:name w:val="列出段落 Char"/>
    <w:link w:val="Style12"/>
    <w:uiPriority w:val="34"/>
    <w:qFormat/>
    <w:rPr>
      <w:rFonts w:ascii="Calibri" w:hAnsi="Calibri"/>
      <w:kern w:val="2"/>
      <w:sz w:val="21"/>
      <w:szCs w:val="22"/>
      <w:lang w:val="zh-CN"/>
    </w:rPr>
  </w:style>
  <w:style w:type="paragraph" w:customStyle="1" w:styleId="Style53">
    <w:name w:val="_Style 53"/>
    <w:basedOn w:val="Normal"/>
    <w:next w:val="ListParagraph"/>
    <w:uiPriority w:val="34"/>
    <w:qFormat/>
    <w:pPr>
      <w:widowControl w:val="0"/>
      <w:ind w:firstLine="420" w:firstLineChars="200"/>
      <w:jc w:val="both"/>
    </w:pPr>
    <w:rPr>
      <w:rFonts w:ascii="Calibri" w:eastAsia="宋体" w:hAnsi="Calibri"/>
      <w:kern w:val="2"/>
      <w:sz w:val="21"/>
    </w:rPr>
  </w:style>
  <w:style w:type="paragraph" w:customStyle="1" w:styleId="p0">
    <w:name w:val="p0"/>
    <w:basedOn w:val="Normal"/>
    <w:qFormat/>
    <w:pPr>
      <w:jc w:val="both"/>
    </w:pPr>
    <w:rPr>
      <w:rFonts w:ascii="Calibri" w:eastAsia="宋体" w:hAnsi="Calibri"/>
      <w:sz w:val="21"/>
      <w:szCs w:val="21"/>
    </w:rPr>
  </w:style>
  <w:style w:type="paragraph" w:customStyle="1" w:styleId="CharCharCharCharCharCharChar">
    <w:name w:val="Char Char Char Char Char Char Char"/>
    <w:basedOn w:val="Normal"/>
    <w:qFormat/>
    <w:pPr>
      <w:spacing w:after="160" w:line="240" w:lineRule="exact"/>
    </w:pPr>
    <w:rPr>
      <w:rFonts w:ascii="Verdana" w:eastAsia="仿宋_GB2312" w:hAnsi="Verdana"/>
      <w:szCs w:val="20"/>
      <w:lang w:eastAsia="en-US"/>
    </w:rPr>
  </w:style>
  <w:style w:type="character" w:customStyle="1" w:styleId="5Char">
    <w:name w:val="标题 5 Char"/>
    <w:basedOn w:val="DefaultParagraphFont"/>
    <w:link w:val="Heading5"/>
    <w:qFormat/>
    <w:rPr>
      <w:rFonts w:eastAsiaTheme="minorEastAsia"/>
      <w:b/>
      <w:bCs/>
      <w:sz w:val="28"/>
      <w:szCs w:val="28"/>
    </w:rPr>
  </w:style>
  <w:style w:type="paragraph" w:customStyle="1" w:styleId="a1">
    <w:name w:val="文档正文"/>
    <w:basedOn w:val="Normal"/>
    <w:qFormat/>
    <w:pPr>
      <w:adjustRightInd w:val="0"/>
      <w:spacing w:line="480" w:lineRule="atLeast"/>
      <w:ind w:firstLine="567" w:firstLineChars="200"/>
      <w:textAlignment w:val="baseline"/>
    </w:pPr>
    <w:rPr>
      <w:rFonts w:ascii="长城仿宋"/>
      <w:szCs w:val="20"/>
    </w:rPr>
  </w:style>
  <w:style w:type="character" w:customStyle="1" w:styleId="Char12">
    <w:name w:val="正文文本缩进 Char"/>
    <w:basedOn w:val="DefaultParagraphFont"/>
    <w:link w:val="BodyTextIndent"/>
    <w:qFormat/>
    <w:rPr>
      <w:kern w:val="2"/>
      <w:sz w:val="21"/>
      <w:szCs w:val="24"/>
    </w:rPr>
  </w:style>
  <w:style w:type="character" w:customStyle="1" w:styleId="Char13">
    <w:name w:val="脚注文本 Char"/>
    <w:basedOn w:val="DefaultParagraphFont"/>
    <w:link w:val="FootnoteText"/>
    <w:uiPriority w:val="99"/>
    <w:qFormat/>
    <w:rPr>
      <w:kern w:val="2"/>
      <w:sz w:val="18"/>
      <w:szCs w:val="18"/>
    </w:rPr>
  </w:style>
  <w:style w:type="character" w:customStyle="1" w:styleId="2Char0">
    <w:name w:val="正文首行缩进 2 Char"/>
    <w:basedOn w:val="Char12"/>
    <w:link w:val="BodyTextFirstIndent2"/>
    <w:qFormat/>
    <w:rPr>
      <w:rFonts w:ascii="Arial" w:hAnsi="Arial"/>
      <w:spacing w:val="-5"/>
      <w:kern w:val="2"/>
      <w:sz w:val="28"/>
      <w:szCs w:val="28"/>
    </w:rPr>
  </w:style>
  <w:style w:type="character" w:customStyle="1" w:styleId="bg69">
    <w:name w:val="bg69"/>
    <w:basedOn w:val="DefaultParagraphFont"/>
    <w:qFormat/>
  </w:style>
  <w:style w:type="character" w:customStyle="1" w:styleId="bg49">
    <w:name w:val="bg49"/>
    <w:basedOn w:val="DefaultParagraphFont"/>
    <w:qFormat/>
  </w:style>
  <w:style w:type="character" w:customStyle="1" w:styleId="bg2">
    <w:name w:val="bg2"/>
    <w:basedOn w:val="DefaultParagraphFont"/>
    <w:qFormat/>
  </w:style>
  <w:style w:type="character" w:customStyle="1" w:styleId="bg25">
    <w:name w:val="bg25"/>
    <w:basedOn w:val="DefaultParagraphFont"/>
    <w:qFormat/>
  </w:style>
  <w:style w:type="character" w:customStyle="1" w:styleId="bg413">
    <w:name w:val="bg413"/>
    <w:basedOn w:val="DefaultParagraphFont"/>
    <w:qFormat/>
  </w:style>
  <w:style w:type="character" w:customStyle="1" w:styleId="hover4">
    <w:name w:val="hover4"/>
    <w:basedOn w:val="DefaultParagraphFont"/>
    <w:qFormat/>
  </w:style>
  <w:style w:type="character" w:customStyle="1" w:styleId="hover">
    <w:name w:val="hover"/>
    <w:basedOn w:val="DefaultParagraphFont"/>
    <w:qFormat/>
    <w:rPr>
      <w:color w:val="FFFFFF"/>
      <w:shd w:val="clear" w:color="auto" w:fill="0077D2"/>
    </w:rPr>
  </w:style>
  <w:style w:type="character" w:customStyle="1" w:styleId="bg511">
    <w:name w:val="bg511"/>
    <w:basedOn w:val="DefaultParagraphFont"/>
    <w:qFormat/>
  </w:style>
  <w:style w:type="character" w:customStyle="1" w:styleId="hover6">
    <w:name w:val="hover6"/>
    <w:basedOn w:val="DefaultParagraphFont"/>
    <w:qFormat/>
    <w:rPr>
      <w:color w:val="FFFFFF"/>
      <w:shd w:val="clear" w:color="auto" w:fill="D33516"/>
    </w:rPr>
  </w:style>
  <w:style w:type="character" w:customStyle="1" w:styleId="bg510">
    <w:name w:val="bg510"/>
    <w:basedOn w:val="DefaultParagraphFont"/>
    <w:qFormat/>
  </w:style>
  <w:style w:type="character" w:customStyle="1" w:styleId="bg101">
    <w:name w:val="bg101"/>
    <w:basedOn w:val="DefaultParagraphFont"/>
    <w:qFormat/>
  </w:style>
  <w:style w:type="character" w:customStyle="1" w:styleId="bg23">
    <w:name w:val="bg23"/>
    <w:basedOn w:val="DefaultParagraphFont"/>
    <w:qFormat/>
  </w:style>
  <w:style w:type="character" w:customStyle="1" w:styleId="bg66">
    <w:name w:val="bg66"/>
    <w:basedOn w:val="DefaultParagraphFont"/>
    <w:qFormat/>
  </w:style>
  <w:style w:type="character" w:customStyle="1" w:styleId="bg315">
    <w:name w:val="bg315"/>
    <w:basedOn w:val="DefaultParagraphFont"/>
    <w:qFormat/>
  </w:style>
  <w:style w:type="character" w:customStyle="1" w:styleId="bg316">
    <w:name w:val="bg316"/>
    <w:basedOn w:val="DefaultParagraphFont"/>
    <w:qFormat/>
  </w:style>
  <w:style w:type="character" w:customStyle="1" w:styleId="bg56">
    <w:name w:val="bg56"/>
    <w:basedOn w:val="DefaultParagraphFont"/>
    <w:qFormat/>
  </w:style>
  <w:style w:type="character" w:customStyle="1" w:styleId="bg93">
    <w:name w:val="bg93"/>
    <w:basedOn w:val="DefaultParagraphFont"/>
    <w:qFormat/>
  </w:style>
  <w:style w:type="character" w:customStyle="1" w:styleId="bg84">
    <w:name w:val="bg84"/>
    <w:basedOn w:val="DefaultParagraphFont"/>
    <w:qFormat/>
  </w:style>
  <w:style w:type="character" w:customStyle="1" w:styleId="bn-arrows-left">
    <w:name w:val="bn-arrows-left"/>
    <w:basedOn w:val="DefaultParagraphFont"/>
    <w:qFormat/>
  </w:style>
  <w:style w:type="character" w:customStyle="1" w:styleId="bg71">
    <w:name w:val="bg71"/>
    <w:basedOn w:val="DefaultParagraphFont"/>
    <w:qFormat/>
  </w:style>
  <w:style w:type="character" w:customStyle="1" w:styleId="bg92">
    <w:name w:val="bg92"/>
    <w:basedOn w:val="DefaultParagraphFont"/>
    <w:qFormat/>
  </w:style>
  <w:style w:type="character" w:customStyle="1" w:styleId="bg7">
    <w:name w:val="bg7"/>
    <w:basedOn w:val="DefaultParagraphFont"/>
    <w:qFormat/>
  </w:style>
  <w:style w:type="character" w:customStyle="1" w:styleId="hover3">
    <w:name w:val="hover3"/>
    <w:basedOn w:val="DefaultParagraphFont"/>
    <w:qFormat/>
    <w:rPr>
      <w:color w:val="B40C11"/>
    </w:rPr>
  </w:style>
  <w:style w:type="character" w:customStyle="1" w:styleId="bg21">
    <w:name w:val="bg21"/>
    <w:basedOn w:val="DefaultParagraphFont"/>
    <w:qFormat/>
  </w:style>
  <w:style w:type="character" w:customStyle="1" w:styleId="bg312">
    <w:name w:val="bg312"/>
    <w:basedOn w:val="DefaultParagraphFont"/>
    <w:qFormat/>
  </w:style>
  <w:style w:type="character" w:customStyle="1" w:styleId="bg27">
    <w:name w:val="bg27"/>
    <w:basedOn w:val="DefaultParagraphFont"/>
    <w:qFormat/>
  </w:style>
  <w:style w:type="character" w:customStyle="1" w:styleId="bn-arrows-right">
    <w:name w:val="bn-arrows-right"/>
    <w:basedOn w:val="DefaultParagraphFont"/>
    <w:qFormat/>
  </w:style>
  <w:style w:type="character" w:customStyle="1" w:styleId="bg412">
    <w:name w:val="bg412"/>
    <w:basedOn w:val="DefaultParagraphFont"/>
    <w:qFormat/>
  </w:style>
  <w:style w:type="character" w:customStyle="1" w:styleId="bg91">
    <w:name w:val="bg91"/>
    <w:basedOn w:val="DefaultParagraphFont"/>
    <w:qFormat/>
  </w:style>
  <w:style w:type="character" w:customStyle="1" w:styleId="bg311">
    <w:name w:val="bg311"/>
    <w:basedOn w:val="DefaultParagraphFont"/>
    <w:qFormat/>
  </w:style>
  <w:style w:type="character" w:customStyle="1" w:styleId="hover5">
    <w:name w:val="hover5"/>
    <w:basedOn w:val="DefaultParagraphFont"/>
    <w:qFormat/>
    <w:rPr>
      <w:b/>
      <w:color w:val="FFFFFF"/>
      <w:shd w:val="clear" w:color="auto" w:fill="0068B7"/>
    </w:rPr>
  </w:style>
  <w:style w:type="character" w:customStyle="1" w:styleId="indextb">
    <w:name w:val="indextb"/>
    <w:basedOn w:val="DefaultParagraphFont"/>
    <w:qFormat/>
  </w:style>
  <w:style w:type="character" w:customStyle="1" w:styleId="bg317">
    <w:name w:val="bg317"/>
    <w:basedOn w:val="DefaultParagraphFont"/>
    <w:qFormat/>
  </w:style>
  <w:style w:type="character" w:customStyle="1" w:styleId="bg67">
    <w:name w:val="bg67"/>
    <w:basedOn w:val="DefaultParagraphFont"/>
    <w:qFormat/>
  </w:style>
  <w:style w:type="character" w:customStyle="1" w:styleId="wei">
    <w:name w:val="wei"/>
    <w:basedOn w:val="DefaultParagraphFont"/>
    <w:qFormat/>
  </w:style>
  <w:style w:type="character" w:customStyle="1" w:styleId="bg313">
    <w:name w:val="bg313"/>
    <w:basedOn w:val="DefaultParagraphFont"/>
    <w:qFormat/>
  </w:style>
  <w:style w:type="character" w:customStyle="1" w:styleId="bg512">
    <w:name w:val="bg512"/>
    <w:basedOn w:val="DefaultParagraphFont"/>
    <w:qFormat/>
  </w:style>
  <w:style w:type="character" w:customStyle="1" w:styleId="tq">
    <w:name w:val="tq"/>
    <w:basedOn w:val="DefaultParagraphFont"/>
    <w:qFormat/>
  </w:style>
  <w:style w:type="character" w:customStyle="1" w:styleId="bg610">
    <w:name w:val="bg610"/>
    <w:basedOn w:val="DefaultParagraphFont"/>
    <w:qFormat/>
  </w:style>
  <w:style w:type="character" w:customStyle="1" w:styleId="bg410">
    <w:name w:val="bg410"/>
    <w:basedOn w:val="DefaultParagraphFont"/>
    <w:qFormat/>
  </w:style>
  <w:style w:type="character" w:customStyle="1" w:styleId="hover8">
    <w:name w:val="hover8"/>
    <w:basedOn w:val="DefaultParagraphFont"/>
    <w:qFormat/>
    <w:rPr>
      <w:color w:val="FFFFFF"/>
      <w:shd w:val="clear" w:color="auto" w:fill="7BD110"/>
    </w:rPr>
  </w:style>
  <w:style w:type="character" w:customStyle="1" w:styleId="hover9">
    <w:name w:val="hover9"/>
    <w:basedOn w:val="DefaultParagraphFont"/>
    <w:qFormat/>
    <w:rPr>
      <w:color w:val="FFFFFF"/>
    </w:rPr>
  </w:style>
  <w:style w:type="character" w:customStyle="1" w:styleId="bg411">
    <w:name w:val="bg411"/>
    <w:basedOn w:val="DefaultParagraphFont"/>
    <w:qFormat/>
  </w:style>
  <w:style w:type="character" w:customStyle="1" w:styleId="bg22">
    <w:name w:val="bg22"/>
    <w:basedOn w:val="DefaultParagraphFont"/>
    <w:qFormat/>
  </w:style>
  <w:style w:type="character" w:customStyle="1" w:styleId="bg24">
    <w:name w:val="bg24"/>
    <w:basedOn w:val="DefaultParagraphFont"/>
    <w:qFormat/>
  </w:style>
  <w:style w:type="character" w:customStyle="1" w:styleId="bg612">
    <w:name w:val="bg612"/>
    <w:basedOn w:val="DefaultParagraphFont"/>
    <w:qFormat/>
  </w:style>
  <w:style w:type="character" w:customStyle="1" w:styleId="bg310">
    <w:name w:val="bg310"/>
    <w:basedOn w:val="DefaultParagraphFont"/>
    <w:qFormat/>
  </w:style>
  <w:style w:type="character" w:customStyle="1" w:styleId="bg26">
    <w:name w:val="bg26"/>
    <w:basedOn w:val="DefaultParagraphFont"/>
    <w:qFormat/>
  </w:style>
  <w:style w:type="character" w:customStyle="1" w:styleId="bsharetext">
    <w:name w:val="bsharetext"/>
    <w:basedOn w:val="DefaultParagraphFont"/>
    <w:qFormat/>
  </w:style>
  <w:style w:type="character" w:customStyle="1" w:styleId="bg10">
    <w:name w:val="bg10"/>
    <w:basedOn w:val="DefaultParagraphFont"/>
    <w:qFormat/>
  </w:style>
  <w:style w:type="character" w:customStyle="1" w:styleId="hover1">
    <w:name w:val="hover1"/>
    <w:basedOn w:val="DefaultParagraphFont"/>
    <w:qFormat/>
    <w:rPr>
      <w:color w:val="0067CC"/>
      <w:sz w:val="36"/>
      <w:szCs w:val="36"/>
    </w:rPr>
  </w:style>
  <w:style w:type="character" w:customStyle="1" w:styleId="bg68">
    <w:name w:val="bg68"/>
    <w:basedOn w:val="DefaultParagraphFont"/>
    <w:qFormat/>
  </w:style>
  <w:style w:type="character" w:customStyle="1" w:styleId="bg57">
    <w:name w:val="bg57"/>
    <w:basedOn w:val="DefaultParagraphFont"/>
    <w:qFormat/>
  </w:style>
  <w:style w:type="character" w:customStyle="1" w:styleId="bg314">
    <w:name w:val="bg314"/>
    <w:basedOn w:val="DefaultParagraphFont"/>
    <w:qFormat/>
  </w:style>
  <w:style w:type="character" w:customStyle="1" w:styleId="bg58">
    <w:name w:val="bg58"/>
    <w:basedOn w:val="DefaultParagraphFont"/>
    <w:qFormat/>
  </w:style>
  <w:style w:type="character" w:customStyle="1" w:styleId="bg28">
    <w:name w:val="bg28"/>
    <w:basedOn w:val="DefaultParagraphFont"/>
    <w:qFormat/>
  </w:style>
  <w:style w:type="character" w:customStyle="1" w:styleId="bg47">
    <w:name w:val="bg47"/>
    <w:basedOn w:val="DefaultParagraphFont"/>
    <w:qFormat/>
  </w:style>
  <w:style w:type="character" w:customStyle="1" w:styleId="hover2">
    <w:name w:val="hover2"/>
    <w:basedOn w:val="DefaultParagraphFont"/>
    <w:qFormat/>
    <w:rPr>
      <w:color w:val="FFFFFF"/>
      <w:shd w:val="clear" w:color="auto" w:fill="0068B7"/>
    </w:rPr>
  </w:style>
  <w:style w:type="character" w:customStyle="1" w:styleId="bg82">
    <w:name w:val="bg82"/>
    <w:basedOn w:val="DefaultParagraphFont"/>
    <w:qFormat/>
  </w:style>
  <w:style w:type="character" w:customStyle="1" w:styleId="bg83">
    <w:name w:val="bg83"/>
    <w:basedOn w:val="DefaultParagraphFont"/>
    <w:qFormat/>
  </w:style>
  <w:style w:type="character" w:customStyle="1" w:styleId="bg48">
    <w:name w:val="bg48"/>
    <w:basedOn w:val="DefaultParagraphFont"/>
    <w:qFormat/>
  </w:style>
  <w:style w:type="character" w:customStyle="1" w:styleId="bg611">
    <w:name w:val="bg611"/>
    <w:basedOn w:val="DefaultParagraphFont"/>
    <w:qFormat/>
  </w:style>
  <w:style w:type="character" w:customStyle="1" w:styleId="bg29">
    <w:name w:val="bg29"/>
    <w:basedOn w:val="DefaultParagraphFont"/>
    <w:qFormat/>
  </w:style>
  <w:style w:type="character" w:customStyle="1" w:styleId="bg414">
    <w:name w:val="bg414"/>
    <w:basedOn w:val="DefaultParagraphFont"/>
    <w:qFormat/>
  </w:style>
  <w:style w:type="character" w:customStyle="1" w:styleId="bg59">
    <w:name w:val="bg59"/>
    <w:basedOn w:val="DefaultParagraphFont"/>
    <w:qFormat/>
  </w:style>
  <w:style w:type="character" w:customStyle="1" w:styleId="bg72">
    <w:name w:val="bg72"/>
    <w:basedOn w:val="DefaultParagraphFont"/>
    <w:qFormat/>
  </w:style>
  <w:style w:type="character" w:customStyle="1" w:styleId="hover7">
    <w:name w:val="hover7"/>
    <w:basedOn w:val="DefaultParagraphFont"/>
    <w:qFormat/>
    <w:rPr>
      <w:color w:val="FFFFFF"/>
      <w:shd w:val="clear" w:color="auto" w:fill="0068B7"/>
    </w:rPr>
  </w:style>
  <w:style w:type="paragraph" w:customStyle="1" w:styleId="13">
    <w:name w:val="1册标题3"/>
    <w:basedOn w:val="Normal"/>
    <w:next w:val="Normal"/>
    <w:qFormat/>
    <w:pPr>
      <w:keepNext/>
      <w:keepLines/>
      <w:widowControl w:val="0"/>
      <w:adjustRightInd w:val="0"/>
      <w:spacing w:beforeLines="50" w:afterLines="50"/>
      <w:jc w:val="both"/>
      <w:textAlignment w:val="baseline"/>
      <w:outlineLvl w:val="2"/>
    </w:pPr>
    <w:rPr>
      <w:rFonts w:eastAsia="黑体"/>
      <w:sz w:val="30"/>
      <w:szCs w:val="20"/>
    </w:rPr>
  </w:style>
  <w:style w:type="paragraph" w:customStyle="1" w:styleId="ListParagraph1">
    <w:name w:val="List Paragraph1"/>
    <w:basedOn w:val="Normal"/>
    <w:qFormat/>
    <w:pPr>
      <w:widowControl w:val="0"/>
      <w:spacing w:after="25"/>
      <w:ind w:firstLine="420" w:firstLineChars="200"/>
      <w:jc w:val="both"/>
    </w:pPr>
    <w:rPr>
      <w:rFonts w:ascii="Calibri" w:eastAsia="宋体" w:hAnsi="Calibri"/>
      <w:kern w:val="2"/>
      <w:sz w:val="21"/>
    </w:rPr>
  </w:style>
  <w:style w:type="paragraph" w:styleId="NoSpacing">
    <w:name w:val="No Spacing"/>
    <w:link w:val="Char16"/>
    <w:uiPriority w:val="1"/>
    <w:qFormat/>
    <w:pPr>
      <w:widowControl w:val="0"/>
      <w:spacing w:afterLines="25"/>
      <w:jc w:val="both"/>
    </w:pPr>
    <w:rPr>
      <w:rFonts w:ascii="Arial" w:hAnsi="Arial" w:eastAsiaTheme="minorEastAsia" w:cs="Times New Roman"/>
      <w:kern w:val="2"/>
      <w:sz w:val="21"/>
      <w:szCs w:val="24"/>
      <w:lang w:val="en-US" w:eastAsia="zh-CN" w:bidi="ar-SA"/>
    </w:rPr>
  </w:style>
  <w:style w:type="paragraph" w:customStyle="1" w:styleId="Bodytext1">
    <w:name w:val="Body text|1"/>
    <w:basedOn w:val="Normal"/>
    <w:qFormat/>
    <w:pPr>
      <w:widowControl w:val="0"/>
      <w:spacing w:line="413" w:lineRule="auto"/>
      <w:ind w:firstLine="400"/>
    </w:pPr>
    <w:rPr>
      <w:rFonts w:ascii="宋体" w:eastAsia="宋体" w:hAnsi="宋体" w:cs="宋体"/>
      <w:color w:val="000000"/>
      <w:sz w:val="22"/>
      <w:szCs w:val="22"/>
      <w:lang w:val="zh-CN" w:bidi="zh-CN"/>
    </w:rPr>
  </w:style>
  <w:style w:type="paragraph" w:customStyle="1" w:styleId="11">
    <w:name w:val="修订1"/>
    <w:hidden/>
    <w:uiPriority w:val="99"/>
    <w:unhideWhenUsed/>
    <w:qFormat/>
    <w:rPr>
      <w:rFonts w:ascii="Times New Roman" w:hAnsi="Times New Roman" w:eastAsiaTheme="minorEastAsia" w:cs="Times New Roman"/>
      <w:sz w:val="24"/>
      <w:szCs w:val="24"/>
      <w:lang w:val="en-US" w:eastAsia="zh-CN" w:bidi="ar-SA"/>
    </w:rPr>
  </w:style>
  <w:style w:type="character" w:customStyle="1" w:styleId="Char14">
    <w:name w:val="副标题 Char"/>
    <w:basedOn w:val="DefaultParagraphFont"/>
    <w:link w:val="Subtitle"/>
    <w:qFormat/>
    <w:rPr>
      <w:rFonts w:ascii="Cambria" w:eastAsia="宋体" w:hAnsi="Cambria"/>
      <w:b/>
      <w:bCs/>
      <w:kern w:val="28"/>
      <w:sz w:val="32"/>
      <w:szCs w:val="32"/>
    </w:rPr>
  </w:style>
  <w:style w:type="paragraph" w:customStyle="1" w:styleId="a2">
    <w:name w:val="表格内文字"/>
    <w:basedOn w:val="Normal"/>
    <w:qFormat/>
    <w:pPr>
      <w:widowControl w:val="0"/>
      <w:jc w:val="both"/>
    </w:pPr>
    <w:rPr>
      <w:rFonts w:eastAsia="宋体"/>
      <w:kern w:val="2"/>
      <w:szCs w:val="20"/>
    </w:rPr>
  </w:style>
  <w:style w:type="paragraph" w:customStyle="1" w:styleId="a3">
    <w:name w:val="*正文"/>
    <w:basedOn w:val="Normal"/>
    <w:qFormat/>
    <w:pPr>
      <w:spacing w:afterLines="25" w:line="360" w:lineRule="auto"/>
      <w:ind w:firstLine="200" w:firstLineChars="200"/>
    </w:pPr>
    <w:rPr>
      <w:rFonts w:ascii="仿宋_GB2312" w:eastAsia="宋体" w:hAnsi="Arial"/>
      <w:szCs w:val="28"/>
    </w:rPr>
  </w:style>
  <w:style w:type="paragraph" w:customStyle="1" w:styleId="Char15">
    <w:name w:val="Char"/>
    <w:basedOn w:val="Normal"/>
    <w:qFormat/>
    <w:pPr>
      <w:spacing w:after="160" w:line="240" w:lineRule="exact"/>
    </w:pPr>
    <w:rPr>
      <w:rFonts w:ascii="Verdana" w:eastAsia="仿宋_GB2312" w:hAnsi="Verdana"/>
      <w:szCs w:val="20"/>
      <w:lang w:eastAsia="en-US"/>
    </w:rPr>
  </w:style>
  <w:style w:type="character" w:customStyle="1" w:styleId="Char16">
    <w:name w:val="无间隔 Char"/>
    <w:link w:val="NoSpacing"/>
    <w:uiPriority w:val="1"/>
    <w:qFormat/>
    <w:rPr>
      <w:rFonts w:ascii="Arial" w:hAnsi="Arial"/>
      <w:kern w:val="2"/>
      <w:sz w:val="21"/>
      <w:szCs w:val="24"/>
    </w:rPr>
  </w:style>
  <w:style w:type="paragraph" w:customStyle="1" w:styleId="110">
    <w:name w:val="1册标题1"/>
    <w:basedOn w:val="Normal"/>
    <w:next w:val="Normal"/>
    <w:qFormat/>
    <w:pPr>
      <w:widowControl w:val="0"/>
      <w:spacing w:beforeLines="50" w:afterLines="50" w:line="300" w:lineRule="auto"/>
      <w:jc w:val="center"/>
      <w:outlineLvl w:val="0"/>
    </w:pPr>
    <w:rPr>
      <w:rFonts w:ascii="Arial" w:eastAsia="黑体" w:hAnsi="Arial"/>
      <w:b/>
      <w:bCs/>
      <w:kern w:val="2"/>
      <w:sz w:val="48"/>
      <w:szCs w:val="20"/>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b/>
      <w:bCs/>
      <w:color w:val="000000"/>
      <w:sz w:val="21"/>
      <w:szCs w:val="21"/>
      <w:u w:val="none"/>
    </w:rPr>
  </w:style>
  <w:style w:type="paragraph" w:customStyle="1" w:styleId="2">
    <w:name w:val="修订2"/>
    <w:hidden/>
    <w:uiPriority w:val="99"/>
    <w:unhideWhenUsed/>
    <w:qFormat/>
    <w:rPr>
      <w:rFonts w:ascii="Times New Roman" w:hAnsi="Times New Roman" w:eastAsiaTheme="minorEastAsia" w:cs="Times New Roman"/>
      <w:sz w:val="24"/>
      <w:szCs w:val="24"/>
      <w:lang w:val="en-US" w:eastAsia="zh-CN" w:bidi="ar-SA"/>
    </w:rPr>
  </w:style>
  <w:style w:type="paragraph" w:customStyle="1" w:styleId="55">
    <w:name w:val="55"/>
    <w:basedOn w:val="Normal"/>
    <w:uiPriority w:val="99"/>
    <w:qFormat/>
    <w:pPr>
      <w:widowControl w:val="0"/>
      <w:adjustRightInd w:val="0"/>
      <w:spacing w:line="500" w:lineRule="exact"/>
      <w:ind w:firstLine="629"/>
      <w:jc w:val="both"/>
    </w:pPr>
    <w:rPr>
      <w:rFonts w:ascii="仿宋_GB2312" w:eastAsia="仿宋_GB2312"/>
      <w:kern w:val="2"/>
      <w:sz w:val="28"/>
      <w:szCs w:val="28"/>
    </w:rPr>
  </w:style>
  <w:style w:type="table" w:customStyle="1" w:styleId="20">
    <w:name w:val="网格型2"/>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修订3"/>
    <w:hidden/>
    <w:uiPriority w:val="99"/>
    <w:unhideWhenUsed/>
    <w:qFormat/>
    <w:rPr>
      <w:rFonts w:ascii="Times New Roman" w:hAnsi="Times New Roman" w:eastAsiaTheme="minorEastAsia" w:cs="Times New Roman"/>
      <w:sz w:val="24"/>
      <w:szCs w:val="24"/>
      <w:lang w:val="en-US" w:eastAsia="zh-CN" w:bidi="ar-SA"/>
    </w:rPr>
  </w:style>
  <w:style w:type="paragraph" w:styleId="Quote">
    <w:name w:val="Quote"/>
    <w:next w:val="Normal"/>
    <w:uiPriority w:val="99"/>
    <w:qFormat/>
    <w:pPr>
      <w:widowControl w:val="0"/>
      <w:jc w:val="both"/>
    </w:pPr>
    <w:rPr>
      <w:rFonts w:ascii="Calibri" w:eastAsia="宋体" w:hAnsi="Calibri" w:cs="Calibri"/>
      <w:i/>
      <w:iCs/>
      <w:color w:val="000000"/>
      <w:kern w:val="2"/>
      <w:sz w:val="22"/>
      <w:szCs w:val="22"/>
      <w:lang w:val="en-US" w:eastAsia="zh-CN" w:bidi="ar-SA"/>
    </w:rPr>
  </w:style>
  <w:style w:type="table" w:customStyle="1" w:styleId="30">
    <w:name w:val="网格型3"/>
    <w:basedOn w:val="TableNormal"/>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TableNormal"/>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TableNormal"/>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
    <w:name w:val="Table Normal_0"/>
    <w:semiHidden/>
    <w:unhideWhenUsed/>
    <w:qFormat/>
    <w:rPr>
      <w:rFonts w:ascii="Times New Roman" w:eastAsia="宋体" w:hAnsi="Times New Roman" w:cs="Times New Roman"/>
    </w:rPr>
    <w:tblPr>
      <w:tblCellMar>
        <w:top w:w="0" w:type="dxa"/>
        <w:left w:w="0" w:type="dxa"/>
        <w:bottom w:w="0" w:type="dxa"/>
        <w:right w:w="0" w:type="dxa"/>
      </w:tblCellMar>
    </w:tblPr>
  </w:style>
  <w:style w:type="character" w:customStyle="1" w:styleId="3Char1">
    <w:name w:val="标题 3 Char1"/>
    <w:uiPriority w:val="9"/>
    <w:qFormat/>
    <w:rPr>
      <w:rFonts w:ascii="宋体" w:eastAsia="宋体" w:hAnsi="宋体"/>
      <w:b/>
      <w:bCs/>
      <w:kern w:val="2"/>
      <w:sz w:val="28"/>
      <w:szCs w:val="32"/>
      <w:lang w:val="en-US" w:eastAsia="zh-CN" w:bidi="ar-SA"/>
    </w:rPr>
  </w:style>
  <w:style w:type="table" w:customStyle="1" w:styleId="5">
    <w:name w:val="网格型5"/>
    <w:basedOn w:val="TableNormal"/>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Normal"/>
    <w:qFormat/>
    <w:pPr>
      <w:widowControl w:val="0"/>
      <w:jc w:val="both"/>
    </w:pPr>
    <w:rPr>
      <w:rFonts w:ascii="Calibri" w:eastAsia="宋体" w:hAnsi="Calibri"/>
      <w:kern w:val="2"/>
      <w:sz w:val="21"/>
      <w:szCs w:val="21"/>
    </w:rPr>
  </w:style>
  <w:style w:type="character" w:customStyle="1" w:styleId="2Char1">
    <w:name w:val="正文文本缩进 2 Char"/>
    <w:basedOn w:val="DefaultParagraphFont"/>
    <w:link w:val="BodyTextIndent2"/>
    <w:semiHidden/>
    <w:qFormat/>
    <w:rPr>
      <w:rFonts w:ascii="Times New Roman" w:hAnsi="Times New Roman" w:cs="Times New Roman"/>
      <w:sz w:val="24"/>
      <w:szCs w:val="24"/>
    </w:rPr>
  </w:style>
  <w:style w:type="character" w:customStyle="1" w:styleId="mini-outputtext1">
    <w:name w:val="mini-outputtext1"/>
    <w:basedOn w:val="DefaultParagraphFont"/>
    <w:qFormat/>
  </w:style>
  <w:style w:type="paragraph" w:customStyle="1" w:styleId="TableText">
    <w:name w:val="Table Text"/>
    <w:basedOn w:val="Normal"/>
    <w:semiHidden/>
    <w:qFormat/>
    <w:rPr>
      <w:rFonts w:ascii="宋体" w:hAnsi="宋体"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800F2815-8301-41D5-A1E4-223A56F65FC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2566</Words>
  <Characters>2608</Characters>
  <Application>Microsoft Office Word</Application>
  <DocSecurity>0</DocSecurity>
  <Lines>300</Lines>
  <Paragraphs>84</Paragraphs>
  <ScaleCrop>false</ScaleCrop>
  <Company>Microsoft</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9527</cp:lastModifiedBy>
  <cp:revision>79</cp:revision>
  <cp:lastPrinted>2024-11-05T11:29:00Z</cp:lastPrinted>
  <dcterms:created xsi:type="dcterms:W3CDTF">2025-01-07T07:25:00Z</dcterms:created>
  <dcterms:modified xsi:type="dcterms:W3CDTF">2025-08-11T06:30:24Z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1574BB8442604721B674CDFD67DE8FC9_13</vt:lpwstr>
  </property>
  <property fmtid="{D5CDD505-2E9C-101B-9397-08002B2CF9AE}" pid="3" name="KSOProductBuildVer">
    <vt:lpwstr>2052-12.1.0.21915</vt:lpwstr>
  </property>
  <property fmtid="{D5CDD505-2E9C-101B-9397-08002B2CF9AE}" pid="4" name="KSOTemplateDocerSaveRecord">
    <vt:lpwstr>eyJoZGlkIjoiMjE2MzBiNjE1MjU5YjllZDU3ZTc5ZmIyMmZkYjdlNjYiLCJ1c2VySWQiOiIxMTQ3NjAzMTczIn0=</vt:lpwstr>
  </property>
</Properties>
</file>