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441283-2025-01992</w:t>
      </w:r>
    </w:p>
    <w:p>
      <w:pPr>
        <w:pStyle w:val="null3"/>
        <w:jc w:val="center"/>
        <w:outlineLvl w:val="3"/>
      </w:pPr>
      <w:r>
        <w:rPr>
          <w:sz w:val="24"/>
          <w:b/>
        </w:rPr>
        <w:t>采购项目编号：</w:t>
      </w:r>
      <w:r>
        <w:rPr>
          <w:sz w:val="24"/>
          <w:b/>
        </w:rPr>
        <w:t>GDZY25CGS035</w:t>
      </w:r>
    </w:p>
    <w:p>
      <w:pPr>
        <w:pStyle w:val="null3"/>
        <w:jc w:val="center"/>
        <w:outlineLvl w:val="3"/>
      </w:pPr>
      <w:r>
        <w:rPr>
          <w:sz w:val="24"/>
          <w:b/>
        </w:rPr>
        <w:t>项目名称：</w:t>
      </w:r>
      <w:r>
        <w:rPr>
          <w:sz w:val="24"/>
          <w:b/>
        </w:rPr>
        <w:t>高要区国家卫生城市公共外环境病媒生物防制服务</w:t>
      </w:r>
    </w:p>
    <w:p>
      <w:pPr>
        <w:pStyle w:val="null3"/>
        <w:jc w:val="center"/>
        <w:outlineLvl w:val="3"/>
      </w:pPr>
      <w:r>
        <w:rPr>
          <w:sz w:val="24"/>
          <w:b/>
        </w:rPr>
        <w:t>采购人：</w:t>
      </w:r>
      <w:r>
        <w:rPr>
          <w:sz w:val="24"/>
          <w:b/>
        </w:rPr>
        <w:t>肇庆市高要区卫生健康局</w:t>
      </w:r>
    </w:p>
    <w:p>
      <w:pPr>
        <w:pStyle w:val="null3"/>
        <w:jc w:val="center"/>
        <w:outlineLvl w:val="3"/>
      </w:pPr>
      <w:r>
        <w:rPr>
          <w:sz w:val="24"/>
          <w:b/>
        </w:rPr>
        <w:t>采购代理机构：</w:t>
      </w:r>
      <w:r>
        <w:rPr>
          <w:sz w:val="24"/>
          <w:b/>
        </w:rPr>
        <w:t>广东智越项目管理有限公司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广东智越项目管理有限公司</w:t>
      </w:r>
      <w:r>
        <w:rPr/>
        <w:t>受</w:t>
      </w:r>
      <w:r>
        <w:rPr/>
        <w:t>肇庆市高要区卫生健康局</w:t>
      </w:r>
      <w:r>
        <w:rPr/>
        <w:t>的委托，采用</w:t>
      </w:r>
      <w:r>
        <w:rPr/>
        <w:t>竞争性磋商</w:t>
      </w:r>
      <w:r>
        <w:rPr/>
        <w:t>方式组织采购</w:t>
      </w:r>
      <w:r>
        <w:rPr/>
        <w:t>高要区国家卫生城市公共外环境病媒生物防制服务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高要区国家卫生城市公共外环境病媒生物防制服务</w:t>
      </w:r>
    </w:p>
    <w:p>
      <w:pPr>
        <w:pStyle w:val="null3"/>
        <w:ind w:firstLine="480"/>
      </w:pPr>
      <w:r>
        <w:rPr/>
        <w:t>采购计划编号：</w:t>
      </w:r>
      <w:r>
        <w:rPr/>
        <w:t>441283-2025-01992</w:t>
      </w:r>
    </w:p>
    <w:p>
      <w:pPr>
        <w:pStyle w:val="null3"/>
        <w:ind w:firstLine="480"/>
      </w:pPr>
      <w:r>
        <w:rPr/>
        <w:t>采购项目编号：</w:t>
      </w:r>
      <w:r>
        <w:rPr/>
        <w:t>GDZY25CGS035</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采购包1(高要区国家卫生城市公共外环境病媒生物防制服务):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高要区国家卫生城市公共外环境病媒生物防制服务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合同履行期限：自签订合同生效之日起一年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2）有依法缴纳税收和社会保障资金的良好记录：投标（响应）文件中提供《资格条件承诺函》，《资格条件承诺函》模板详见公告附件。</w:t>
      </w:r>
    </w:p>
    <w:p>
      <w:pPr>
        <w:pStyle w:val="null3"/>
      </w:pPr>
      <w:r>
        <w:rPr/>
        <w:t>3）具有良好的商业信誉和健全的财务会计制度：投标（响应）文件中提供《资格条件承诺函》，《资格条件承诺函》模板详见公告附件。</w:t>
      </w:r>
    </w:p>
    <w:p>
      <w:pPr>
        <w:pStyle w:val="null3"/>
      </w:pPr>
      <w:r>
        <w:rPr/>
        <w:t>4）履行合同所必需的设备和专业技术能力：投标（响应）文件中提供《资格条件承诺函》，《资格条件承诺函》模板详见公告附件。</w:t>
      </w:r>
    </w:p>
    <w:p>
      <w:pPr>
        <w:pStyle w:val="null3"/>
      </w:pPr>
      <w:r>
        <w:rPr/>
        <w:t>5）参加采购活动前3年内，在经营活动中没有重大违法记录：投标（响应）文件中提供《资格条件承诺函》，《资格条件承诺函》模板详见公告附件。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采购包1（高要区国家卫生城市公共外环境病媒生物防制服务）：</w:t>
      </w:r>
      <w:r>
        <w:rPr/>
        <w:t>参与的供应商（联合体）服务全部由符合政策要求的中小企业承接，标的所属行业为其他未列明行业，供应商应为中小微企业、监狱企业、残疾人福利性单位【提供《中小微企业声明函》或由省级以上监狱管理局、戒毒管理局(含新疆生产建设兵团)出具的投标人属于监狱企业的证明文件或《残疾人福利性单位声明函》】。</w:t>
      </w:r>
    </w:p>
    <w:p>
      <w:pPr>
        <w:pStyle w:val="null3"/>
        <w:outlineLvl w:val="3"/>
      </w:pPr>
      <w:r>
        <w:rPr>
          <w:sz w:val="24"/>
          <w:b/>
        </w:rPr>
        <w:t>3.本项目特定的资格要求：</w:t>
      </w:r>
    </w:p>
    <w:p>
      <w:pPr>
        <w:pStyle w:val="null3"/>
      </w:pPr>
      <w:r>
        <w:rPr/>
        <w:t>采购包1（高要区国家卫生城市公共外环境病媒生物防制服务）：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肇庆市高要区卫生健康局</w:t>
      </w:r>
    </w:p>
    <w:p>
      <w:pPr>
        <w:pStyle w:val="null3"/>
        <w:ind w:firstLine="480"/>
      </w:pPr>
      <w:r>
        <w:rPr/>
        <w:t>地址：</w:t>
      </w:r>
      <w:r>
        <w:rPr/>
        <w:t>肇庆市高要区南岸街道广新一路139号</w:t>
      </w:r>
    </w:p>
    <w:p>
      <w:pPr>
        <w:pStyle w:val="null3"/>
        <w:ind w:firstLine="480"/>
      </w:pPr>
      <w:r>
        <w:rPr/>
        <w:t>联系方式：</w:t>
      </w:r>
      <w:r>
        <w:rPr/>
        <w:t>0758-8397846</w:t>
      </w:r>
    </w:p>
    <w:p>
      <w:pPr>
        <w:pStyle w:val="null3"/>
        <w:outlineLvl w:val="3"/>
      </w:pPr>
      <w:r>
        <w:rPr>
          <w:sz w:val="24"/>
          <w:b/>
        </w:rPr>
        <w:t>2.采购代理机构信息</w:t>
      </w:r>
    </w:p>
    <w:p>
      <w:pPr>
        <w:pStyle w:val="null3"/>
        <w:ind w:firstLine="480"/>
      </w:pPr>
      <w:r>
        <w:rPr/>
        <w:t>名称：</w:t>
      </w:r>
      <w:r>
        <w:rPr/>
        <w:t>广东智越项目管理有限公司</w:t>
      </w:r>
    </w:p>
    <w:p>
      <w:pPr>
        <w:pStyle w:val="null3"/>
        <w:ind w:firstLine="480"/>
      </w:pPr>
      <w:r>
        <w:rPr/>
        <w:t xml:space="preserve"> 地址：</w:t>
      </w:r>
      <w:r>
        <w:rPr/>
        <w:t>广东省肇庆市端州区肇庆市端州区蓝田路南侧蓝塘综合楼二号楼第五层502室</w:t>
      </w:r>
    </w:p>
    <w:p>
      <w:pPr>
        <w:pStyle w:val="null3"/>
        <w:ind w:firstLine="480"/>
      </w:pPr>
      <w:r>
        <w:rPr/>
        <w:t xml:space="preserve"> 联系方式：</w:t>
      </w:r>
      <w:r>
        <w:rPr/>
        <w:t>0758-2283339</w:t>
      </w:r>
    </w:p>
    <w:p>
      <w:pPr>
        <w:pStyle w:val="null3"/>
        <w:outlineLvl w:val="3"/>
      </w:pPr>
      <w:r>
        <w:rPr>
          <w:sz w:val="24"/>
          <w:b/>
        </w:rPr>
        <w:t xml:space="preserve"> 3.项目联系方式</w:t>
      </w:r>
    </w:p>
    <w:p>
      <w:pPr>
        <w:pStyle w:val="null3"/>
        <w:ind w:firstLine="480"/>
      </w:pPr>
      <w:r>
        <w:rPr/>
        <w:t xml:space="preserve"> 项目联系人：</w:t>
      </w:r>
      <w:r>
        <w:rPr/>
        <w:t>吴先生</w:t>
      </w:r>
    </w:p>
    <w:p>
      <w:pPr>
        <w:pStyle w:val="null3"/>
        <w:ind w:firstLine="480"/>
      </w:pPr>
      <w:r>
        <w:rPr/>
        <w:t xml:space="preserve"> 电话：</w:t>
      </w:r>
      <w:r>
        <w:rPr/>
        <w:t>0758-2283339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广东智越项目管理有限公司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肇庆市高要区卫生健康局</w:t>
      </w:r>
      <w:r>
        <w:rPr>
          <w:sz w:val="21"/>
          <w:color w:val="000000"/>
        </w:rPr>
        <w:t>现将</w:t>
      </w:r>
      <w:r>
        <w:rPr>
          <w:sz w:val="21"/>
          <w:color w:val="000000"/>
        </w:rPr>
        <w:t>高要区国家卫生城市公共外环境病媒生物防制服务</w:t>
      </w:r>
      <w:r>
        <w:rPr>
          <w:sz w:val="21"/>
          <w:color w:val="000000"/>
        </w:rPr>
        <w:t>通过竞争性磋商方式，选取一家具有符合本项目的经营范围及履行合同所必需的设备和专业技术能力的优质供应商，为</w:t>
      </w:r>
      <w:r>
        <w:rPr>
          <w:sz w:val="21"/>
          <w:color w:val="000000"/>
        </w:rPr>
        <w:t>肇庆市高要区卫生健康局</w:t>
      </w:r>
      <w:r>
        <w:rPr>
          <w:sz w:val="21"/>
          <w:color w:val="000000"/>
        </w:rPr>
        <w:t>提供公共外环境病媒生物防制服务。</w:t>
      </w:r>
    </w:p>
    <w:p>
      <w:pPr>
        <w:pStyle w:val="null3"/>
      </w:pPr>
      <w:r>
        <w:rPr/>
        <w:t>采购包1（高要区国家卫生城市公共外环境病媒生物防制服务）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自签订合同生效之日起一年</w:t>
            </w:r>
          </w:p>
        </w:tc>
      </w:tr>
      <w:tr>
        <w:tc>
          <w:tcPr>
            <w:tcW w:type="dxa" w:w="4153"/>
          </w:tcPr>
          <w:p>
            <w:pPr>
              <w:pStyle w:val="null3"/>
            </w:pPr>
            <w:r>
              <w:rPr/>
              <w:t>标的提供的地点</w:t>
            </w:r>
          </w:p>
        </w:tc>
        <w:tc>
          <w:tcPr>
            <w:tcW w:type="dxa" w:w="4153"/>
          </w:tcPr>
          <w:p>
            <w:pPr>
              <w:pStyle w:val="null3"/>
            </w:pPr>
            <w:r>
              <w:rPr/>
              <w:t>采购人指定地点，详见服务范围</w:t>
            </w:r>
          </w:p>
        </w:tc>
      </w:tr>
      <w:tr>
        <w:tc>
          <w:tcPr>
            <w:tcW w:type="dxa" w:w="4153"/>
          </w:tcPr>
          <w:p>
            <w:pPr>
              <w:pStyle w:val="null3"/>
            </w:pPr>
            <w:r>
              <w:rPr/>
              <w:t>付款方式</w:t>
            </w:r>
          </w:p>
        </w:tc>
        <w:tc>
          <w:tcPr>
            <w:tcW w:type="dxa" w:w="4153"/>
          </w:tcPr>
          <w:p>
            <w:pPr>
              <w:pStyle w:val="null3"/>
            </w:pPr>
            <w:r>
              <w:rPr/>
              <w:t>1期：支付比例30%,合同签订后，成交供应商提供发票，采购人15天内向成交供应商按合同价的30%支付预付款。</w:t>
            </w:r>
          </w:p>
          <w:p>
            <w:pPr>
              <w:pStyle w:val="null3"/>
            </w:pPr>
            <w:r>
              <w:rPr/>
              <w:t>2期：支付比例60%,在每季度（或每三个月）服务结束并经第三方验收合格后，成交供应商提供发票，采购人15天内支付本季度（三个月）服务费。但累计支付金额不得超过签约合同总价的90%。</w:t>
            </w:r>
          </w:p>
          <w:p>
            <w:pPr>
              <w:pStyle w:val="null3"/>
            </w:pPr>
            <w:r>
              <w:rPr/>
              <w:t>3期：支付比例10%,剩余合同服务金额的10%待合同期满验收合格后，成交供应商提供发票，采购人15天内一次性付清给成交供应商。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1期：服务质量考评办法 1、参与考核的单位进行的考核满分均为百分制，采取倒扣分制。 2、参与考核的单位必须根据高要区国家卫生城市公共外环境病媒生物防制服务管理及考核标准执行。 3、考评要求：根据国家标准，并进行4次考评。按照每次5000.00元作为委托第三方机构考评费用，该项费用包含在本项采购预算中。 4、考核总分以权重比例计算构成，具体比例如下： 1）检查形式：专业考核（60%）；具体操作方法：由采购单位牵头，委托市级以上的有害生物防防制协会或专家库组成专家组根据国家“四害”密度监测标准与方法的相关标准进行专业考核监测，并出具质量考核报告。2）检查形式：日常工作考核（40%）；具体操作方法：由区卫健局爱卫主管部门安排专职人员，负责对除“四害”专业队日常放药、喷洒、治理孳生地、栖生地和成蚊等工作进行跟进并签名确认，每次服务完成后对服务范围内的除“四害”工作进行一次检查考核。 5、每期考核总分作为每期服务费发放的依据。区卫健局爱卫主管部门将专业考核、日常工作考核分数统一汇总，评出成交供应商的考核总分，上报区财政结算中心，根据该期考核结果确定支付的服务费用，并以转账方式支付给成交供应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人员配备要求</w:t>
            </w:r>
          </w:p>
        </w:tc>
        <w:tc>
          <w:tcPr>
            <w:tcW w:type="dxa" w:w="2076"/>
          </w:tcPr>
          <w:p>
            <w:pPr>
              <w:pStyle w:val="null3"/>
              <w:jc w:val="left"/>
            </w:pPr>
            <w:r>
              <w:rPr/>
              <w:t>响应供应商须具备病媒生物防制的技术力量，有从事病媒生物防制项目负责人、技术人员、其他成员等，其中项目负责人（1人）具有公共卫生、病媒生物预防控制、昆虫学、制药工程、农药学相关专业中任意一专业本科或以上学历，具有5年或以上病媒生物预防控制工作经验；技术人员（除项目负责人外）（不少于4人）具有3年或以上病媒生物预防控制工作经验；其他成员根据项目实际情况配备。</w:t>
            </w:r>
          </w:p>
        </w:tc>
      </w:tr>
      <w:tr>
        <w:tc>
          <w:tcPr>
            <w:tcW w:type="dxa" w:w="2076"/>
          </w:tcPr>
          <w:p/>
        </w:tc>
        <w:tc>
          <w:tcPr>
            <w:tcW w:type="dxa" w:w="2076"/>
          </w:tcPr>
          <w:p>
            <w:pPr>
              <w:pStyle w:val="null3"/>
              <w:jc w:val="center"/>
            </w:pPr>
            <w:r>
              <w:rPr/>
              <w:t>2</w:t>
            </w:r>
          </w:p>
        </w:tc>
        <w:tc>
          <w:tcPr>
            <w:tcW w:type="dxa" w:w="2076"/>
          </w:tcPr>
          <w:p>
            <w:pPr>
              <w:pStyle w:val="null3"/>
              <w:jc w:val="left"/>
            </w:pPr>
            <w:r>
              <w:rPr/>
              <w:t>药械及施工车辆配备要求</w:t>
            </w:r>
          </w:p>
        </w:tc>
        <w:tc>
          <w:tcPr>
            <w:tcW w:type="dxa" w:w="2076"/>
          </w:tcPr>
          <w:p>
            <w:pPr>
              <w:pStyle w:val="null3"/>
              <w:jc w:val="left"/>
            </w:pPr>
            <w:r>
              <w:rPr/>
              <w:t>响应供应商须具备病媒生物防制的药械设备，有从事病媒生物防制项目的无人机监测设备、车载式喷雾器、热烟雾机、超低容量喷雾机、常量喷雾机、作业车辆。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高要区国家卫生城市公共外环境病媒生物防制服务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高要区国家卫生城市公共外环境病媒生物防制服务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一、服务内容、期限及频次</w:t>
            </w:r>
          </w:p>
          <w:p>
            <w:pPr>
              <w:pStyle w:val="null3"/>
              <w:jc w:val="left"/>
            </w:pPr>
            <w:r>
              <w:rPr>
                <w:sz w:val="21"/>
                <w:color w:val="000000"/>
              </w:rPr>
              <w:t>1</w:t>
            </w:r>
            <w:r>
              <w:rPr>
                <w:sz w:val="21"/>
                <w:color w:val="000000"/>
              </w:rPr>
              <w:t>、服务内容：建立健全国家卫生城市</w:t>
            </w:r>
            <w:r>
              <w:rPr>
                <w:sz w:val="21"/>
                <w:color w:val="000000"/>
              </w:rPr>
              <w:t>“</w:t>
            </w:r>
            <w:r>
              <w:rPr>
                <w:sz w:val="21"/>
                <w:color w:val="000000"/>
              </w:rPr>
              <w:t>病媒生物预防控制</w:t>
            </w:r>
            <w:r>
              <w:rPr>
                <w:sz w:val="21"/>
                <w:color w:val="000000"/>
              </w:rPr>
              <w:t>”</w:t>
            </w:r>
            <w:r>
              <w:rPr>
                <w:sz w:val="21"/>
                <w:color w:val="000000"/>
              </w:rPr>
              <w:t>内容所需的相关资料；全面投药杀灭鼠、蝇、蚊、蟑螂等病媒生物防制服务工作。</w:t>
            </w:r>
          </w:p>
          <w:p>
            <w:pPr>
              <w:pStyle w:val="null3"/>
              <w:jc w:val="left"/>
            </w:pPr>
            <w:r>
              <w:rPr>
                <w:sz w:val="21"/>
                <w:color w:val="000000"/>
              </w:rPr>
              <w:t>2</w:t>
            </w:r>
            <w:r>
              <w:rPr>
                <w:sz w:val="21"/>
                <w:color w:val="000000"/>
              </w:rPr>
              <w:t>、服务期限：</w:t>
            </w:r>
            <w:r>
              <w:rPr>
                <w:sz w:val="21"/>
                <w:color w:val="000000"/>
              </w:rPr>
              <w:t>自签订合同生效之日起一年</w:t>
            </w:r>
            <w:r>
              <w:rPr>
                <w:sz w:val="21"/>
                <w:color w:val="000000"/>
              </w:rPr>
              <w:t>。</w:t>
            </w:r>
          </w:p>
          <w:p>
            <w:pPr>
              <w:pStyle w:val="null3"/>
              <w:jc w:val="left"/>
            </w:pPr>
            <w:r>
              <w:rPr>
                <w:sz w:val="21"/>
                <w:color w:val="000000"/>
              </w:rPr>
              <w:t>3</w:t>
            </w:r>
            <w:r>
              <w:rPr>
                <w:sz w:val="21"/>
                <w:color w:val="000000"/>
              </w:rPr>
              <w:t>、服务频次：</w:t>
            </w:r>
            <w:r>
              <w:rPr>
                <w:sz w:val="21"/>
                <w:color w:val="000000"/>
              </w:rPr>
              <w:t>肇庆市高要区南岸城区、江口、金渡、马安</w:t>
            </w:r>
            <w:r>
              <w:rPr>
                <w:sz w:val="21"/>
                <w:color w:val="000000"/>
              </w:rPr>
              <w:t>区域</w:t>
            </w:r>
            <w:r>
              <w:rPr>
                <w:sz w:val="21"/>
                <w:color w:val="000000"/>
              </w:rPr>
              <w:t>（</w:t>
            </w:r>
            <w:r>
              <w:rPr>
                <w:sz w:val="21"/>
                <w:color w:val="000000"/>
              </w:rPr>
              <w:t>不含农村部分）</w:t>
            </w:r>
            <w:r>
              <w:rPr>
                <w:sz w:val="21"/>
                <w:color w:val="000000"/>
              </w:rPr>
              <w:t>，根据</w:t>
            </w:r>
            <w:r>
              <w:rPr>
                <w:sz w:val="21"/>
                <w:color w:val="000000"/>
              </w:rPr>
              <w:t>采购人</w:t>
            </w:r>
            <w:r>
              <w:rPr>
                <w:sz w:val="21"/>
                <w:color w:val="000000"/>
              </w:rPr>
              <w:t>需求安排实施，合同期内共服务</w:t>
            </w:r>
            <w:r>
              <w:rPr>
                <w:sz w:val="21"/>
                <w:color w:val="000000"/>
              </w:rPr>
              <w:t>8</w:t>
            </w:r>
            <w:r>
              <w:rPr>
                <w:sz w:val="21"/>
                <w:color w:val="000000"/>
              </w:rPr>
              <w:t>轮。</w:t>
            </w:r>
          </w:p>
          <w:p>
            <w:pPr>
              <w:pStyle w:val="null3"/>
              <w:jc w:val="both"/>
            </w:pPr>
            <w:r>
              <w:rPr>
                <w:sz w:val="21"/>
                <w:color w:val="000000"/>
              </w:rPr>
              <w:t>4</w:t>
            </w:r>
            <w:r>
              <w:rPr>
                <w:sz w:val="21"/>
                <w:color w:val="000000"/>
              </w:rPr>
              <w:t>、服务范围：</w:t>
            </w:r>
            <w:r>
              <w:rPr>
                <w:sz w:val="21"/>
                <w:color w:val="000000"/>
              </w:rPr>
              <w:t>东至江滨二路，南至山口新村，西至广肇高速马安出入口，北至江滨一路</w:t>
            </w:r>
            <w:r>
              <w:rPr>
                <w:sz w:val="21"/>
                <w:color w:val="000000"/>
              </w:rPr>
              <w:t>；</w:t>
            </w:r>
            <w:r>
              <w:rPr>
                <w:sz w:val="21"/>
                <w:color w:val="000000"/>
              </w:rPr>
              <w:t>各个地理方位的主要街道、背街小巷、城中村、闲置</w:t>
            </w:r>
            <w:r>
              <w:rPr>
                <w:sz w:val="21"/>
                <w:color w:val="000000"/>
              </w:rPr>
              <w:t>（</w:t>
            </w:r>
            <w:r>
              <w:rPr>
                <w:sz w:val="21"/>
                <w:color w:val="000000"/>
              </w:rPr>
              <w:t>待建</w:t>
            </w:r>
            <w:r>
              <w:rPr>
                <w:sz w:val="21"/>
                <w:color w:val="000000"/>
              </w:rPr>
              <w:t>）</w:t>
            </w:r>
            <w:r>
              <w:rPr>
                <w:sz w:val="21"/>
                <w:color w:val="000000"/>
              </w:rPr>
              <w:t>地和公园等公共外环境</w:t>
            </w:r>
            <w:r>
              <w:rPr>
                <w:sz w:val="21"/>
                <w:color w:val="000000"/>
              </w:rPr>
              <w:t>。各个地理方位的主要街道、背街小巷、城中村、闲置（待建）地和公园等公共外环境。</w:t>
            </w:r>
          </w:p>
        </w:tc>
      </w:tr>
      <w:tr>
        <w:tc>
          <w:tcPr>
            <w:tcW w:type="dxa" w:w="2076"/>
          </w:tcPr>
          <w:p/>
        </w:tc>
        <w:tc>
          <w:tcPr>
            <w:tcW w:type="dxa" w:w="415"/>
          </w:tcPr>
          <w:p>
            <w:pPr>
              <w:pStyle w:val="null3"/>
            </w:pPr>
            <w:r>
              <w:rPr/>
              <w:t>2</w:t>
            </w:r>
          </w:p>
        </w:tc>
        <w:tc>
          <w:tcPr>
            <w:tcW w:type="dxa" w:w="5814"/>
          </w:tcPr>
          <w:p>
            <w:pPr>
              <w:pStyle w:val="null3"/>
              <w:jc w:val="left"/>
            </w:pPr>
            <w:r>
              <w:rPr>
                <w:sz w:val="21"/>
                <w:b/>
                <w:color w:val="000000"/>
              </w:rPr>
              <w:t>二、详细服务要求</w:t>
            </w:r>
          </w:p>
          <w:tbl>
            <w:tblPr>
              <w:tblInd w:type="dxa" w:w="120"/>
              <w:tblBorders>
                <w:top w:val="none" w:color="000000" w:sz="4"/>
                <w:left w:val="none" w:color="000000" w:sz="4"/>
                <w:bottom w:val="none" w:color="000000" w:sz="4"/>
                <w:right w:val="none" w:color="000000" w:sz="4"/>
                <w:insideH w:val="none"/>
                <w:insideV w:val="none"/>
              </w:tblBorders>
            </w:tblPr>
            <w:tblGrid>
              <w:gridCol w:w="758"/>
              <w:gridCol w:w="1206"/>
              <w:gridCol w:w="2314"/>
              <w:gridCol w:w="1318"/>
            </w:tblGrid>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工作内容</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操作规范和要求</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频次</w:t>
                  </w:r>
                </w:p>
              </w:tc>
            </w:tr>
            <w:tr>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公共外环境统一全面投药灭鼠</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灭鼠</w:t>
                  </w:r>
                  <w:r>
                    <w:rPr>
                      <w:sz w:val="21"/>
                      <w:color w:val="000000"/>
                    </w:rPr>
                    <w:t>8</w:t>
                  </w:r>
                  <w:r>
                    <w:rPr>
                      <w:sz w:val="21"/>
                      <w:color w:val="000000"/>
                    </w:rPr>
                    <w:t>轮</w:t>
                  </w:r>
                  <w:r>
                    <w:rPr>
                      <w:sz w:val="21"/>
                      <w:color w:val="000000"/>
                    </w:rPr>
                    <w:t>，</w:t>
                  </w:r>
                  <w:r>
                    <w:rPr>
                      <w:sz w:val="21"/>
                      <w:color w:val="000000"/>
                    </w:rPr>
                    <w:t>每轮</w:t>
                  </w:r>
                  <w:r>
                    <w:rPr>
                      <w:sz w:val="21"/>
                      <w:color w:val="000000"/>
                    </w:rPr>
                    <w:t>3</w:t>
                  </w:r>
                  <w:r>
                    <w:rPr>
                      <w:sz w:val="21"/>
                      <w:color w:val="000000"/>
                    </w:rPr>
                    <w:t>次（包括安装足量毒鼠筒、投药、补药、清鼠迹、检查等工作），药物必须使用合法灭鼠药物，新鲜、适口性强，投放点多、量饱和，勤跟踪，及时补药。</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日常跟踪公共外环境灭鼠效果。</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每次检查鼠迹，发现鼠迹立即清理并及时投放和补充足量灭鼠毒饵。</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灭鼠投药：每轮投药至少要投放</w:t>
                  </w:r>
                  <w:r>
                    <w:rPr>
                      <w:sz w:val="21"/>
                      <w:color w:val="000000"/>
                    </w:rPr>
                    <w:t>2-3</w:t>
                  </w:r>
                  <w:r>
                    <w:rPr>
                      <w:sz w:val="21"/>
                      <w:color w:val="000000"/>
                    </w:rPr>
                    <w:t>次，吃多少补多少，吃完加倍投放，直至不再盗食</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开展鼠情监测</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每季度对重点单位如食品加工场所、市场、餐饮旅业、学校饭堂、居民住宅区等会同我区相关专业人员按标准要求做好密度监测，并对重点单位做好防鼠设施指导工作。同时，做好监测记录和统计等相关资料。</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一次</w:t>
                  </w:r>
                </w:p>
              </w:tc>
            </w:tr>
            <w:tr>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热烟雾灭成蚊</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用热烟雾机、烟雾剂对下水道、小区绿化丛林、公共车库、阴沟角落等进行地毯式烟薰杀灭成蚊（同时灭蝇、蟑螂）。</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药物滞留喷洒灭成蚊</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用背负式机动、电动喷雾机或大中型园林喷雾机对公园、广场、无物业住宅小区、废品收购站、绿化带进行药物滞留喷洒灭成蚊。要求：每次至少出动</w:t>
                  </w:r>
                  <w:r>
                    <w:rPr>
                      <w:sz w:val="21"/>
                      <w:color w:val="000000"/>
                    </w:rPr>
                    <w:t>8</w:t>
                  </w:r>
                  <w:r>
                    <w:rPr>
                      <w:sz w:val="21"/>
                      <w:color w:val="000000"/>
                    </w:rPr>
                    <w:t>台喷雾机同时进行，另安排</w:t>
                  </w:r>
                  <w:r>
                    <w:rPr>
                      <w:sz w:val="21"/>
                      <w:color w:val="000000"/>
                    </w:rPr>
                    <w:t>1—2</w:t>
                  </w:r>
                  <w:r>
                    <w:rPr>
                      <w:sz w:val="21"/>
                      <w:color w:val="000000"/>
                    </w:rPr>
                    <w:t>人负责后勤保障工作。</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药泡木塞或缓释包控制蚊幼虫</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用卫生杀虫剂充分浸泡过的软木塞、缓释包或灭蚊幼颗粒剂，投放于下水道进水口等蚊虫孳生地，防止蚊幼虫孳生。要求：木塞完全吊放入积水中，每次均用不同颜色的系绳区分，对失效的旧木塞进行回收。</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r>
                    <w:rPr>
                      <w:sz w:val="21"/>
                      <w:color w:val="000000"/>
                    </w:rPr>
                    <w:t>大中型水体防控</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对承包范围内的大中型水体（如死水塘、污水涌等）进行定期跟踪检查，如发现蚊幼虫孳生，立即投药处理。</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各类小积水处理</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对承包范围的公共外环境各类积水进行检查处理，对不能清理的蚊虫孳生地，要采取投药或放养鱼类等方法进行科学防制。</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公厕、垃圾站灭蝇</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用喷雾机定期对市政公厕、中转站、垃圾屋、垃圾池、垃圾桶、垃圾车以及卫生死角、垃圾堆进行空间、滞留喷药灭蝇，在市开展城市管理考评等迎检期间要加强防制。</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vMerge/>
                  <w:tcBorders>
                    <w:top w:val="none" w:color="000000" w:sz="4"/>
                    <w:left w:val="single" w:color="000000" w:sz="4"/>
                    <w:bottom w:val="single" w:color="000000" w:sz="4"/>
                    <w:right w:val="single" w:color="000000" w:sz="4"/>
                  </w:tcBorders>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蝇类孳生地检查处理</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检查处理蝇类孳生地，对不能清理的蝇类孳生地，进行投药防制。</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内容中第</w:t>
                  </w:r>
                  <w:r>
                    <w:rPr>
                      <w:sz w:val="21"/>
                      <w:color w:val="000000"/>
                    </w:rPr>
                    <w:t>3</w:t>
                  </w:r>
                  <w:r>
                    <w:rPr>
                      <w:sz w:val="21"/>
                      <w:color w:val="000000"/>
                    </w:rPr>
                    <w:t>点服务频次要求执行</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下水道灭蟑螂</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对下水道、阴沟角落等进行烟雾灭蟑。</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w:t>
                  </w:r>
                </w:p>
                <w:p>
                  <w:pPr>
                    <w:pStyle w:val="null3"/>
                    <w:jc w:val="center"/>
                  </w:pPr>
                  <w:r>
                    <w:rPr>
                      <w:sz w:val="21"/>
                      <w:color w:val="000000"/>
                    </w:rPr>
                    <w:t>登记</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对消杀工作情况进行登记</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设置专用的消杀情况登记薄，对每次开展消杀工作情况（含日期、地点、消杀内容、消杀人员姓名、使用药物、药量等）进行详细记录。</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每次服务</w:t>
                  </w:r>
                  <w:r>
                    <w:rPr>
                      <w:sz w:val="21"/>
                      <w:color w:val="000000"/>
                    </w:rPr>
                    <w:t>后</w:t>
                  </w:r>
                  <w:r>
                    <w:rPr>
                      <w:sz w:val="21"/>
                      <w:color w:val="000000"/>
                    </w:rPr>
                    <w:t>三天内提供</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密度</w:t>
                  </w:r>
                </w:p>
                <w:p>
                  <w:pPr>
                    <w:pStyle w:val="null3"/>
                    <w:jc w:val="center"/>
                  </w:pPr>
                  <w:r>
                    <w:rPr>
                      <w:sz w:val="21"/>
                      <w:color w:val="000000"/>
                    </w:rPr>
                    <w:t>监测</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定期开展承包区域四害密度监测</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要求开展本承包区域的鼠、蚊、蝇、蟑螂密度监测。要求根据国家制定的标准要求与方法，定期监测一次，准确、如实记录、统计监测情况，每季度将上一轮的监测统计表及用药情况统计表书面报发包人。同时，完善全年的监测资料，建立健全档案专柜保管。</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每季度一次</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应急响应</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如遇重大疫情需应急响应（登革热等传染病高发季节）</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如城区防治范围出现特发事件，可提前进行防制。</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应急响应要</w:t>
                  </w:r>
                  <w:r>
                    <w:rPr>
                      <w:sz w:val="21"/>
                      <w:color w:val="000000"/>
                    </w:rPr>
                    <w:t>1</w:t>
                  </w:r>
                  <w:r>
                    <w:rPr>
                      <w:sz w:val="21"/>
                      <w:color w:val="000000"/>
                    </w:rPr>
                    <w:t>小时内到达</w:t>
                  </w:r>
                </w:p>
              </w:tc>
            </w:tr>
          </w:tbl>
          <w:p/>
        </w:tc>
      </w:tr>
      <w:tr>
        <w:tc>
          <w:tcPr>
            <w:tcW w:type="dxa" w:w="2076"/>
          </w:tcPr>
          <w:p/>
        </w:tc>
        <w:tc>
          <w:tcPr>
            <w:tcW w:type="dxa" w:w="415"/>
          </w:tcPr>
          <w:p>
            <w:pPr>
              <w:pStyle w:val="null3"/>
            </w:pPr>
            <w:r>
              <w:rPr/>
              <w:t>3</w:t>
            </w:r>
          </w:p>
        </w:tc>
        <w:tc>
          <w:tcPr>
            <w:tcW w:type="dxa" w:w="5814"/>
          </w:tcPr>
          <w:p>
            <w:pPr>
              <w:pStyle w:val="null3"/>
              <w:jc w:val="both"/>
            </w:pPr>
            <w:r>
              <w:rPr>
                <w:sz w:val="21"/>
                <w:color w:val="000000"/>
              </w:rPr>
              <w:t>三、</w:t>
            </w:r>
            <w:r>
              <w:rPr>
                <w:sz w:val="21"/>
                <w:b/>
                <w:color w:val="000000"/>
              </w:rPr>
              <w:t>服务质量标准要求</w:t>
            </w:r>
          </w:p>
          <w:p>
            <w:pPr>
              <w:pStyle w:val="null3"/>
              <w:jc w:val="both"/>
            </w:pPr>
            <w:r>
              <w:rPr>
                <w:sz w:val="21"/>
                <w:color w:val="000000"/>
              </w:rPr>
              <w:t>服务范围内的公共外环境病媒生物的质量控制执行如下标准：</w:t>
            </w:r>
          </w:p>
          <w:p>
            <w:pPr>
              <w:pStyle w:val="null3"/>
              <w:jc w:val="both"/>
            </w:pPr>
            <w:r>
              <w:rPr>
                <w:sz w:val="21"/>
                <w:color w:val="000000"/>
              </w:rPr>
              <w:t>1</w:t>
            </w:r>
            <w:r>
              <w:rPr>
                <w:sz w:val="21"/>
                <w:color w:val="000000"/>
              </w:rPr>
              <w:t>、密度水平控制标准：中华人民共和国卫生部、中国国家标准化管理委员会《病媒生物密度控制水平</w:t>
            </w:r>
            <w:r>
              <w:rPr>
                <w:sz w:val="21"/>
                <w:color w:val="000000"/>
              </w:rPr>
              <w:t>—</w:t>
            </w:r>
            <w:r>
              <w:rPr>
                <w:sz w:val="21"/>
                <w:color w:val="000000"/>
              </w:rPr>
              <w:t>鼠类、蚊虫、蝇类、蜚蠊》的</w:t>
            </w:r>
            <w:r>
              <w:rPr>
                <w:sz w:val="21"/>
                <w:color w:val="000000"/>
              </w:rPr>
              <w:t>4</w:t>
            </w:r>
            <w:r>
              <w:rPr>
                <w:sz w:val="21"/>
                <w:color w:val="000000"/>
              </w:rPr>
              <w:t>个国家标准（</w:t>
            </w:r>
            <w:r>
              <w:rPr>
                <w:sz w:val="21"/>
                <w:color w:val="000000"/>
              </w:rPr>
              <w:t>GB</w:t>
            </w:r>
            <w:r>
              <w:rPr>
                <w:sz w:val="21"/>
                <w:color w:val="000000"/>
              </w:rPr>
              <w:t>/</w:t>
            </w:r>
            <w:r>
              <w:rPr>
                <w:sz w:val="21"/>
                <w:color w:val="000000"/>
              </w:rPr>
              <w:t>T</w:t>
            </w:r>
            <w:r>
              <w:rPr>
                <w:sz w:val="21"/>
              </w:rPr>
              <w:t xml:space="preserve"> </w:t>
            </w:r>
            <w:r>
              <w:rPr>
                <w:sz w:val="21"/>
                <w:color w:val="000000"/>
              </w:rPr>
              <w:t>27770</w:t>
            </w:r>
            <w:r>
              <w:rPr>
                <w:sz w:val="21"/>
                <w:color w:val="000000"/>
              </w:rPr>
              <w:t>、</w:t>
            </w:r>
            <w:r>
              <w:rPr>
                <w:sz w:val="21"/>
                <w:color w:val="000000"/>
              </w:rPr>
              <w:t>27771</w:t>
            </w:r>
            <w:r>
              <w:rPr>
                <w:sz w:val="21"/>
                <w:color w:val="000000"/>
              </w:rPr>
              <w:t>、</w:t>
            </w:r>
            <w:r>
              <w:rPr>
                <w:sz w:val="21"/>
                <w:color w:val="000000"/>
              </w:rPr>
              <w:t>27772</w:t>
            </w:r>
            <w:r>
              <w:rPr>
                <w:sz w:val="21"/>
                <w:color w:val="000000"/>
              </w:rPr>
              <w:t>、</w:t>
            </w:r>
            <w:r>
              <w:rPr>
                <w:sz w:val="21"/>
                <w:color w:val="000000"/>
              </w:rPr>
              <w:t>27773</w:t>
            </w:r>
            <w:r>
              <w:rPr>
                <w:sz w:val="21"/>
                <w:color w:val="000000"/>
              </w:rPr>
              <w:t>-2011</w:t>
            </w:r>
            <w:r>
              <w:rPr>
                <w:sz w:val="21"/>
                <w:color w:val="000000"/>
              </w:rPr>
              <w:t>）。鼠类、蚊虫、蝇类、蜚蠊达到</w:t>
            </w:r>
            <w:r>
              <w:rPr>
                <w:sz w:val="21"/>
                <w:color w:val="000000"/>
              </w:rPr>
              <w:t>C</w:t>
            </w:r>
            <w:r>
              <w:rPr>
                <w:sz w:val="21"/>
                <w:color w:val="000000"/>
              </w:rPr>
              <w:t>级或以上。</w:t>
            </w:r>
          </w:p>
          <w:p>
            <w:pPr>
              <w:pStyle w:val="null3"/>
              <w:jc w:val="both"/>
            </w:pPr>
            <w:r>
              <w:rPr>
                <w:sz w:val="21"/>
                <w:color w:val="000000"/>
              </w:rPr>
              <w:t>2</w:t>
            </w:r>
            <w:r>
              <w:rPr>
                <w:sz w:val="21"/>
                <w:color w:val="000000"/>
              </w:rPr>
              <w:t>、密度监测标准：中华人民共和国国家质量监督检验检疫总局、中国国家标准化管理委员会《病媒生物密度监测方法</w:t>
            </w:r>
            <w:r>
              <w:rPr>
                <w:sz w:val="21"/>
                <w:color w:val="000000"/>
              </w:rPr>
              <w:t>—</w:t>
            </w:r>
            <w:r>
              <w:rPr>
                <w:sz w:val="21"/>
                <w:color w:val="000000"/>
              </w:rPr>
              <w:t>蜚蠊、蝇类、蚊虫、鼠类》的</w:t>
            </w:r>
            <w:r>
              <w:rPr>
                <w:sz w:val="21"/>
                <w:color w:val="000000"/>
              </w:rPr>
              <w:t>4</w:t>
            </w:r>
            <w:r>
              <w:rPr>
                <w:sz w:val="21"/>
                <w:color w:val="000000"/>
              </w:rPr>
              <w:t>个国家标准（</w:t>
            </w:r>
            <w:r>
              <w:rPr>
                <w:sz w:val="21"/>
                <w:color w:val="000000"/>
              </w:rPr>
              <w:t>GB</w:t>
            </w:r>
            <w:r>
              <w:rPr>
                <w:sz w:val="21"/>
                <w:color w:val="000000"/>
              </w:rPr>
              <w:t>/</w:t>
            </w:r>
            <w:r>
              <w:rPr>
                <w:sz w:val="21"/>
                <w:color w:val="000000"/>
              </w:rPr>
              <w:t>T</w:t>
            </w:r>
            <w:r>
              <w:rPr>
                <w:sz w:val="21"/>
              </w:rPr>
              <w:t xml:space="preserve"> </w:t>
            </w:r>
            <w:r>
              <w:rPr>
                <w:sz w:val="21"/>
                <w:color w:val="000000"/>
              </w:rPr>
              <w:t>23795</w:t>
            </w:r>
            <w:r>
              <w:rPr>
                <w:sz w:val="21"/>
                <w:color w:val="000000"/>
              </w:rPr>
              <w:t>、</w:t>
            </w:r>
            <w:r>
              <w:rPr>
                <w:sz w:val="21"/>
                <w:color w:val="000000"/>
              </w:rPr>
              <w:t>23796</w:t>
            </w:r>
            <w:r>
              <w:rPr>
                <w:sz w:val="21"/>
                <w:color w:val="000000"/>
              </w:rPr>
              <w:t>、</w:t>
            </w:r>
            <w:r>
              <w:rPr>
                <w:sz w:val="21"/>
                <w:color w:val="000000"/>
              </w:rPr>
              <w:t>23798</w:t>
            </w:r>
            <w:r>
              <w:rPr>
                <w:sz w:val="21"/>
                <w:color w:val="000000"/>
              </w:rPr>
              <w:t>-2009</w:t>
            </w:r>
            <w:r>
              <w:rPr>
                <w:sz w:val="21"/>
                <w:color w:val="000000"/>
              </w:rPr>
              <w:t>；</w:t>
            </w:r>
            <w:r>
              <w:rPr>
                <w:sz w:val="21"/>
                <w:color w:val="000000"/>
              </w:rPr>
              <w:t>GB</w:t>
            </w:r>
            <w:r>
              <w:rPr>
                <w:sz w:val="21"/>
                <w:color w:val="000000"/>
              </w:rPr>
              <w:t>/</w:t>
            </w:r>
            <w:r>
              <w:rPr>
                <w:sz w:val="21"/>
                <w:color w:val="000000"/>
              </w:rPr>
              <w:t>T 23797-2020</w:t>
            </w:r>
            <w:r>
              <w:rPr>
                <w:sz w:val="21"/>
                <w:color w:val="000000"/>
              </w:rPr>
              <w:t>）。</w:t>
            </w:r>
            <w:r>
              <w:rPr>
                <w:sz w:val="21"/>
                <w:color w:val="000000"/>
              </w:rPr>
              <w:t>本需求书依据的</w:t>
            </w:r>
            <w:r>
              <w:rPr>
                <w:sz w:val="21"/>
                <w:color w:val="000000"/>
              </w:rPr>
              <w:t>国家、地方政府以及行业主管部门现行有效的规范、标准、规程和文件，如有更新则按最新的</w:t>
            </w:r>
            <w:r>
              <w:rPr>
                <w:sz w:val="21"/>
                <w:color w:val="000000"/>
              </w:rPr>
              <w:t>文件执行。</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四、药物要求</w:t>
            </w:r>
          </w:p>
          <w:tbl>
            <w:tblPr>
              <w:tblInd w:type="dxa" w:w="120"/>
              <w:tblBorders>
                <w:top w:val="none" w:color="000000" w:sz="4"/>
                <w:left w:val="none" w:color="000000" w:sz="4"/>
                <w:bottom w:val="none" w:color="000000" w:sz="4"/>
                <w:right w:val="none" w:color="000000" w:sz="4"/>
                <w:insideH w:val="none"/>
                <w:insideV w:val="none"/>
              </w:tblBorders>
            </w:tblPr>
            <w:tblGrid>
              <w:gridCol w:w="1490"/>
              <w:gridCol w:w="1769"/>
              <w:gridCol w:w="1232"/>
              <w:gridCol w:w="1104"/>
            </w:tblGrid>
            <w:tr>
              <w:tc>
                <w:tcPr>
                  <w:tcW w:type="dxa" w:w="14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药物名称</w:t>
                  </w:r>
                </w:p>
              </w:tc>
              <w:tc>
                <w:tcPr>
                  <w:tcW w:type="dxa" w:w="17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有效成份及含量</w:t>
                  </w:r>
                </w:p>
              </w:tc>
              <w:tc>
                <w:tcPr>
                  <w:tcW w:type="dxa" w:w="12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灭杀对象</w:t>
                  </w:r>
                </w:p>
              </w:tc>
              <w:tc>
                <w:tcPr>
                  <w:tcW w:type="dxa" w:w="11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剂型</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溴敌隆毒谷</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溴敌隆含量</w:t>
                  </w:r>
                  <w:r>
                    <w:rPr>
                      <w:sz w:val="21"/>
                      <w:color w:val="000000"/>
                    </w:rPr>
                    <w:t>≥0.005%</w:t>
                  </w:r>
                  <w:r>
                    <w:rPr>
                      <w:sz w:val="21"/>
                      <w:color w:val="000000"/>
                    </w:rPr>
                    <w:t>（稻谷）</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毒饵、饵剂</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毒死蜱</w:t>
                  </w:r>
                  <w:r>
                    <w:rPr>
                      <w:sz w:val="21"/>
                      <w:color w:val="000000"/>
                    </w:rPr>
                    <w:t>·</w:t>
                  </w:r>
                  <w:r>
                    <w:rPr>
                      <w:sz w:val="21"/>
                      <w:color w:val="000000"/>
                    </w:rPr>
                    <w:t>高效氯氰菊酯</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 xml:space="preserve"> </w:t>
                  </w:r>
                  <w:r>
                    <w:rPr>
                      <w:sz w:val="21"/>
                      <w:color w:val="000000"/>
                    </w:rPr>
                    <w:t>毒死蜱含量</w:t>
                  </w:r>
                  <w:r>
                    <w:rPr>
                      <w:sz w:val="21"/>
                      <w:color w:val="000000"/>
                    </w:rPr>
                    <w:t xml:space="preserve">≥9%    </w:t>
                  </w:r>
                </w:p>
                <w:p>
                  <w:pPr>
                    <w:pStyle w:val="null3"/>
                    <w:jc w:val="center"/>
                  </w:pPr>
                  <w:r>
                    <w:rPr>
                      <w:sz w:val="21"/>
                      <w:color w:val="000000"/>
                    </w:rPr>
                    <w:t xml:space="preserve"> </w:t>
                  </w:r>
                  <w:r>
                    <w:rPr>
                      <w:sz w:val="21"/>
                      <w:color w:val="000000"/>
                    </w:rPr>
                    <w:t>高效氯氰菊酯含量</w:t>
                  </w:r>
                  <w:r>
                    <w:rPr>
                      <w:sz w:val="21"/>
                      <w:color w:val="000000"/>
                    </w:rPr>
                    <w:t>≥3%</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蚊、蝇</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乳油</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高效氯氰菊酯</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高效氯氰菊酯总含量</w:t>
                  </w:r>
                  <w:r>
                    <w:rPr>
                      <w:sz w:val="21"/>
                      <w:color w:val="000000"/>
                    </w:rPr>
                    <w:t>≥5%</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蚊、蝇、蜚蠊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悬浮剂</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吡丙醚杀虫颗粒</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倍硫磷含量</w:t>
                  </w:r>
                  <w:r>
                    <w:rPr>
                      <w:sz w:val="21"/>
                      <w:color w:val="000000"/>
                    </w:rPr>
                    <w:t>≥4.5%</w:t>
                  </w:r>
                </w:p>
                <w:p>
                  <w:pPr>
                    <w:pStyle w:val="null3"/>
                    <w:jc w:val="center"/>
                  </w:pPr>
                  <w:r>
                    <w:rPr>
                      <w:sz w:val="21"/>
                      <w:color w:val="000000"/>
                    </w:rPr>
                    <w:t>吡丙醚含量</w:t>
                  </w:r>
                  <w:r>
                    <w:rPr>
                      <w:sz w:val="21"/>
                      <w:color w:val="000000"/>
                    </w:rPr>
                    <w:t>≥0.5%</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蚊幼虫、蝇幼虫</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颗粒剂</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热雾剂</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胺菊酯含量</w:t>
                  </w:r>
                  <w:r>
                    <w:rPr>
                      <w:sz w:val="21"/>
                      <w:color w:val="000000"/>
                    </w:rPr>
                    <w:t>≥0.5%</w:t>
                  </w:r>
                </w:p>
                <w:p>
                  <w:pPr>
                    <w:pStyle w:val="null3"/>
                    <w:jc w:val="center"/>
                  </w:pPr>
                  <w:r>
                    <w:rPr>
                      <w:sz w:val="21"/>
                      <w:color w:val="000000"/>
                    </w:rPr>
                    <w:t>氯氰菊酯含量</w:t>
                  </w:r>
                  <w:r>
                    <w:rPr>
                      <w:sz w:val="21"/>
                      <w:color w:val="000000"/>
                    </w:rPr>
                    <w:t>≥1.5%</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蜚蠊、蚊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热雾剂</w:t>
                  </w:r>
                </w:p>
              </w:tc>
            </w:tr>
            <w:tr>
              <w:tc>
                <w:tcPr>
                  <w:tcW w:type="dxa" w:w="14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杀蝇饵剂</w:t>
                  </w:r>
                </w:p>
              </w:tc>
              <w:tc>
                <w:tcPr>
                  <w:tcW w:type="dxa" w:w="1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甲基吡噁磷含量</w:t>
                  </w:r>
                  <w:r>
                    <w:rPr>
                      <w:sz w:val="21"/>
                      <w:color w:val="000000"/>
                    </w:rPr>
                    <w:t>≥1%</w:t>
                  </w:r>
                </w:p>
              </w:tc>
              <w:tc>
                <w:tcPr>
                  <w:tcW w:type="dxa" w:w="1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蝇</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饵剂</w:t>
                  </w:r>
                </w:p>
              </w:tc>
            </w:tr>
          </w:tbl>
          <w:p>
            <w:pPr>
              <w:pStyle w:val="null3"/>
              <w:jc w:val="both"/>
            </w:pPr>
            <w:r>
              <w:rPr>
                <w:sz w:val="21"/>
                <w:color w:val="000000"/>
              </w:rPr>
              <w:t>注：以上药物具有农药</w:t>
            </w:r>
            <w:r>
              <w:rPr>
                <w:sz w:val="21"/>
                <w:color w:val="000000"/>
              </w:rPr>
              <w:t>“</w:t>
            </w:r>
            <w:r>
              <w:rPr>
                <w:sz w:val="21"/>
                <w:color w:val="000000"/>
              </w:rPr>
              <w:t>三证</w:t>
            </w:r>
            <w:r>
              <w:rPr>
                <w:sz w:val="21"/>
                <w:color w:val="000000"/>
              </w:rPr>
              <w:t>”</w:t>
            </w:r>
            <w:r>
              <w:rPr>
                <w:sz w:val="21"/>
                <w:color w:val="000000"/>
              </w:rPr>
              <w:t>。</w:t>
            </w:r>
          </w:p>
        </w:tc>
      </w:tr>
      <w:tr>
        <w:tc>
          <w:tcPr>
            <w:tcW w:type="dxa" w:w="2076"/>
          </w:tcPr>
          <w:p/>
        </w:tc>
        <w:tc>
          <w:tcPr>
            <w:tcW w:type="dxa" w:w="415"/>
          </w:tcPr>
          <w:p>
            <w:pPr>
              <w:pStyle w:val="null3"/>
            </w:pPr>
            <w:r>
              <w:rPr/>
              <w:t>5</w:t>
            </w:r>
          </w:p>
        </w:tc>
        <w:tc>
          <w:tcPr>
            <w:tcW w:type="dxa" w:w="5814"/>
          </w:tcPr>
          <w:p>
            <w:pPr>
              <w:pStyle w:val="null3"/>
              <w:jc w:val="left"/>
            </w:pPr>
            <w:r>
              <w:rPr>
                <w:sz w:val="21"/>
                <w:b/>
                <w:color w:val="000000"/>
              </w:rPr>
              <w:t>五</w:t>
            </w:r>
            <w:r>
              <w:rPr>
                <w:sz w:val="21"/>
                <w:b/>
                <w:color w:val="000000"/>
              </w:rPr>
              <w:t>、</w:t>
            </w:r>
            <w:r>
              <w:rPr>
                <w:sz w:val="21"/>
                <w:b/>
                <w:color w:val="000000"/>
              </w:rPr>
              <w:t>考核制度</w:t>
            </w:r>
          </w:p>
          <w:p>
            <w:pPr>
              <w:pStyle w:val="null3"/>
              <w:ind w:firstLine="420"/>
              <w:jc w:val="both"/>
            </w:pPr>
            <w:r>
              <w:rPr>
                <w:sz w:val="21"/>
                <w:color w:val="000000"/>
              </w:rPr>
              <w:t>对</w:t>
            </w:r>
            <w:r>
              <w:rPr>
                <w:sz w:val="21"/>
                <w:color w:val="000000"/>
              </w:rPr>
              <w:t>高要区国家卫生城市公共外环境病媒生物防制服务</w:t>
            </w:r>
            <w:r>
              <w:rPr>
                <w:sz w:val="21"/>
                <w:color w:val="000000"/>
              </w:rPr>
              <w:t>质量的检查考核采用以下措施实施</w:t>
            </w:r>
            <w:r>
              <w:rPr>
                <w:sz w:val="21"/>
                <w:color w:val="000000"/>
              </w:rPr>
              <w:t>季度考核</w:t>
            </w:r>
            <w:r>
              <w:rPr>
                <w:sz w:val="21"/>
                <w:color w:val="000000"/>
              </w:rPr>
              <w:t>：</w:t>
            </w:r>
          </w:p>
          <w:p>
            <w:pPr>
              <w:pStyle w:val="null3"/>
              <w:ind w:firstLine="420"/>
              <w:jc w:val="both"/>
            </w:pPr>
            <w:r>
              <w:rPr>
                <w:sz w:val="21"/>
                <w:color w:val="000000"/>
              </w:rPr>
              <w:t>1</w:t>
            </w:r>
            <w:r>
              <w:rPr>
                <w:sz w:val="21"/>
                <w:color w:val="000000"/>
              </w:rPr>
              <w:t>、罚则</w:t>
            </w:r>
          </w:p>
          <w:p>
            <w:pPr>
              <w:pStyle w:val="null3"/>
              <w:ind w:firstLine="420"/>
              <w:jc w:val="both"/>
            </w:pPr>
            <w:r>
              <w:rPr>
                <w:sz w:val="21"/>
                <w:color w:val="000000"/>
              </w:rPr>
              <w:t>每期服务费由高要区卫健局爱卫主管部门办审批后，按考核结果支付。</w:t>
            </w:r>
          </w:p>
          <w:p>
            <w:pPr>
              <w:pStyle w:val="null3"/>
              <w:ind w:firstLine="420"/>
              <w:jc w:val="both"/>
            </w:pPr>
            <w:r>
              <w:rPr>
                <w:sz w:val="21"/>
                <w:color w:val="000000"/>
              </w:rPr>
              <w:t>（</w:t>
            </w:r>
            <w:r>
              <w:rPr>
                <w:sz w:val="21"/>
                <w:color w:val="000000"/>
              </w:rPr>
              <w:t>1</w:t>
            </w:r>
            <w:r>
              <w:rPr>
                <w:sz w:val="21"/>
                <w:color w:val="000000"/>
              </w:rPr>
              <w:t>）每期服务费金额与每期管理质量</w:t>
            </w:r>
            <w:r>
              <w:rPr>
                <w:sz w:val="21"/>
                <w:color w:val="000000"/>
              </w:rPr>
              <w:t>考核</w:t>
            </w:r>
            <w:r>
              <w:rPr>
                <w:sz w:val="21"/>
                <w:color w:val="000000"/>
              </w:rPr>
              <w:t>总分挂钩。</w:t>
            </w:r>
          </w:p>
          <w:p>
            <w:pPr>
              <w:pStyle w:val="null3"/>
              <w:ind w:firstLine="420"/>
              <w:jc w:val="both"/>
            </w:pPr>
            <w:r>
              <w:rPr>
                <w:sz w:val="21"/>
                <w:color w:val="000000"/>
              </w:rPr>
              <w:t>（</w:t>
            </w:r>
            <w:r>
              <w:rPr>
                <w:sz w:val="21"/>
                <w:color w:val="000000"/>
              </w:rPr>
              <w:t>2</w:t>
            </w:r>
            <w:r>
              <w:rPr>
                <w:sz w:val="21"/>
                <w:color w:val="000000"/>
              </w:rPr>
              <w:t>）按考核总分情况调整发放每期服务费。经考核评定，考核总分高于或等于</w:t>
            </w:r>
            <w:r>
              <w:rPr>
                <w:sz w:val="21"/>
                <w:color w:val="000000"/>
              </w:rPr>
              <w:t>85</w:t>
            </w:r>
            <w:r>
              <w:rPr>
                <w:sz w:val="21"/>
                <w:color w:val="000000"/>
              </w:rPr>
              <w:t>分的为合格，低于</w:t>
            </w:r>
            <w:r>
              <w:rPr>
                <w:sz w:val="21"/>
                <w:color w:val="000000"/>
              </w:rPr>
              <w:t>85</w:t>
            </w:r>
            <w:r>
              <w:rPr>
                <w:sz w:val="21"/>
                <w:color w:val="000000"/>
              </w:rPr>
              <w:t>分的为不合格。其中，考核总分高于或等于</w:t>
            </w:r>
            <w:r>
              <w:rPr>
                <w:sz w:val="21"/>
                <w:color w:val="000000"/>
              </w:rPr>
              <w:t>85</w:t>
            </w:r>
            <w:r>
              <w:rPr>
                <w:sz w:val="21"/>
                <w:color w:val="000000"/>
              </w:rPr>
              <w:t>分的，不扣减该期服务费；考核总分低于</w:t>
            </w:r>
            <w:r>
              <w:rPr>
                <w:sz w:val="21"/>
                <w:color w:val="000000"/>
              </w:rPr>
              <w:t>85</w:t>
            </w:r>
            <w:r>
              <w:rPr>
                <w:sz w:val="21"/>
                <w:color w:val="000000"/>
              </w:rPr>
              <w:t>分，高于或等于</w:t>
            </w:r>
            <w:r>
              <w:rPr>
                <w:sz w:val="21"/>
                <w:color w:val="000000"/>
              </w:rPr>
              <w:t>60</w:t>
            </w:r>
            <w:r>
              <w:rPr>
                <w:sz w:val="21"/>
                <w:color w:val="000000"/>
              </w:rPr>
              <w:t>分的，每低</w:t>
            </w:r>
            <w:r>
              <w:rPr>
                <w:sz w:val="21"/>
                <w:color w:val="000000"/>
              </w:rPr>
              <w:t>1</w:t>
            </w:r>
            <w:r>
              <w:rPr>
                <w:sz w:val="21"/>
                <w:color w:val="000000"/>
              </w:rPr>
              <w:t>分对应须扣减该期服务费</w:t>
            </w:r>
            <w:r>
              <w:rPr>
                <w:sz w:val="21"/>
                <w:color w:val="000000"/>
              </w:rPr>
              <w:t>1%</w:t>
            </w:r>
            <w:r>
              <w:rPr>
                <w:sz w:val="21"/>
                <w:color w:val="000000"/>
              </w:rPr>
              <w:t>，不足</w:t>
            </w:r>
            <w:r>
              <w:rPr>
                <w:sz w:val="21"/>
                <w:color w:val="000000"/>
              </w:rPr>
              <w:t>1</w:t>
            </w:r>
            <w:r>
              <w:rPr>
                <w:sz w:val="21"/>
                <w:color w:val="000000"/>
              </w:rPr>
              <w:t>分的按</w:t>
            </w:r>
            <w:r>
              <w:rPr>
                <w:sz w:val="21"/>
                <w:color w:val="000000"/>
              </w:rPr>
              <w:t>1</w:t>
            </w:r>
            <w:r>
              <w:rPr>
                <w:sz w:val="21"/>
                <w:color w:val="000000"/>
              </w:rPr>
              <w:t>分计算；考核总分低于</w:t>
            </w:r>
            <w:r>
              <w:rPr>
                <w:sz w:val="21"/>
                <w:color w:val="000000"/>
              </w:rPr>
              <w:t>60</w:t>
            </w:r>
            <w:r>
              <w:rPr>
                <w:sz w:val="21"/>
                <w:color w:val="000000"/>
              </w:rPr>
              <w:t>分，高于或等于</w:t>
            </w:r>
            <w:r>
              <w:rPr>
                <w:sz w:val="21"/>
                <w:color w:val="000000"/>
              </w:rPr>
              <w:t>30</w:t>
            </w:r>
            <w:r>
              <w:rPr>
                <w:sz w:val="21"/>
                <w:color w:val="000000"/>
              </w:rPr>
              <w:t>分的，扣减该期服务费</w:t>
            </w:r>
            <w:r>
              <w:rPr>
                <w:sz w:val="21"/>
                <w:color w:val="000000"/>
              </w:rPr>
              <w:t>50%</w:t>
            </w:r>
            <w:r>
              <w:rPr>
                <w:sz w:val="21"/>
                <w:color w:val="000000"/>
              </w:rPr>
              <w:t>；考核总分低于</w:t>
            </w:r>
            <w:r>
              <w:rPr>
                <w:sz w:val="21"/>
                <w:color w:val="000000"/>
              </w:rPr>
              <w:t>30</w:t>
            </w:r>
            <w:r>
              <w:rPr>
                <w:sz w:val="21"/>
                <w:color w:val="000000"/>
              </w:rPr>
              <w:t>分的，不支付该期服务费。</w:t>
            </w:r>
          </w:p>
          <w:p>
            <w:pPr>
              <w:pStyle w:val="null3"/>
              <w:ind w:firstLine="420"/>
              <w:jc w:val="both"/>
            </w:pPr>
            <w:r>
              <w:rPr>
                <w:sz w:val="21"/>
                <w:color w:val="000000"/>
              </w:rPr>
              <w:t>2</w:t>
            </w:r>
            <w:r>
              <w:rPr>
                <w:sz w:val="21"/>
                <w:color w:val="000000"/>
              </w:rPr>
              <w:t>、合同期内连续两期考核总分低于</w:t>
            </w:r>
            <w:r>
              <w:rPr>
                <w:sz w:val="21"/>
                <w:color w:val="000000"/>
              </w:rPr>
              <w:t>85</w:t>
            </w:r>
            <w:r>
              <w:rPr>
                <w:sz w:val="21"/>
                <w:color w:val="000000"/>
              </w:rPr>
              <w:t>分或出现一期考核总分低于</w:t>
            </w:r>
            <w:r>
              <w:rPr>
                <w:sz w:val="21"/>
                <w:color w:val="000000"/>
              </w:rPr>
              <w:t>60</w:t>
            </w:r>
            <w:r>
              <w:rPr>
                <w:sz w:val="21"/>
                <w:color w:val="000000"/>
              </w:rPr>
              <w:t>分的，采购人有权解除</w:t>
            </w:r>
            <w:r>
              <w:rPr>
                <w:sz w:val="21"/>
                <w:color w:val="000000"/>
              </w:rPr>
              <w:t>成交供应商</w:t>
            </w:r>
            <w:r>
              <w:rPr>
                <w:sz w:val="21"/>
                <w:color w:val="000000"/>
              </w:rPr>
              <w:t>合同。</w:t>
            </w:r>
          </w:p>
          <w:p>
            <w:pPr>
              <w:pStyle w:val="null3"/>
              <w:jc w:val="both"/>
            </w:pPr>
            <w:r>
              <w:rPr>
                <w:sz w:val="21"/>
                <w:color w:val="000000"/>
              </w:rPr>
              <w:t>具体考评方法详见以下</w:t>
            </w:r>
            <w:r>
              <w:rPr>
                <w:sz w:val="21"/>
                <w:color w:val="000000"/>
              </w:rPr>
              <w:t>考评表：</w:t>
            </w:r>
          </w:p>
          <w:p>
            <w:pPr>
              <w:pStyle w:val="null3"/>
              <w:jc w:val="both"/>
            </w:pPr>
            <w:r>
              <w:rPr>
                <w:sz w:val="21"/>
                <w:color w:val="000000"/>
              </w:rPr>
              <w:t>附件一：《公共外环境病媒生物密度监测表》</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390"/>
              <w:gridCol w:w="388"/>
              <w:gridCol w:w="389"/>
              <w:gridCol w:w="389"/>
              <w:gridCol w:w="388"/>
              <w:gridCol w:w="389"/>
              <w:gridCol w:w="389"/>
              <w:gridCol w:w="388"/>
              <w:gridCol w:w="388"/>
              <w:gridCol w:w="388"/>
              <w:gridCol w:w="388"/>
              <w:gridCol w:w="418"/>
              <w:gridCol w:w="496"/>
            </w:tblGrid>
            <w:tr>
              <w:tc>
                <w:tcPr>
                  <w:tcW w:type="dxa" w:w="4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检查场所名称</w:t>
                  </w:r>
                </w:p>
              </w:tc>
              <w:tc>
                <w:tcPr>
                  <w:tcW w:type="dxa" w:w="7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灭鼠检查</w:t>
                  </w:r>
                </w:p>
              </w:tc>
              <w:tc>
                <w:tcPr>
                  <w:tcW w:type="dxa" w:w="7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灭蝇检查</w:t>
                  </w:r>
                </w:p>
              </w:tc>
              <w:tc>
                <w:tcPr>
                  <w:tcW w:type="dxa" w:w="77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both"/>
                  </w:pPr>
                  <w:r>
                    <w:rPr>
                      <w:sz w:val="18"/>
                      <w:color w:val="000000"/>
                    </w:rPr>
                    <w:t>灭蟑检查</w:t>
                  </w:r>
                </w:p>
              </w:tc>
              <w:tc>
                <w:tcPr>
                  <w:tcW w:type="dxa" w:w="285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灭蚊检査</w:t>
                  </w:r>
                </w:p>
              </w:tc>
            </w:tr>
            <w:tr>
              <w:tc>
                <w:tcPr>
                  <w:tcW w:type="dxa" w:w="412"/>
                  <w:vMerge/>
                  <w:tcBorders>
                    <w:top w:val="single" w:color="000000" w:sz="4"/>
                    <w:left w:val="single" w:color="000000" w:sz="4"/>
                    <w:bottom w:val="single" w:color="000000" w:sz="4"/>
                    <w:right w:val="single" w:color="000000" w:sz="4"/>
                  </w:tcBorders>
                </w:tcPr>
                <w:p/>
              </w:tc>
              <w:tc>
                <w:tcPr>
                  <w:tcW w:type="dxa" w:w="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外环境鼠迹</w:t>
                  </w:r>
                </w:p>
              </w:tc>
              <w:tc>
                <w:tcPr>
                  <w:tcW w:type="dxa" w:w="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蝇孽生地</w:t>
                  </w:r>
                </w:p>
              </w:tc>
              <w:tc>
                <w:tcPr>
                  <w:tcW w:type="dxa" w:w="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蟑迹</w:t>
                  </w:r>
                </w:p>
              </w:tc>
              <w:tc>
                <w:tcPr>
                  <w:tcW w:type="dxa" w:w="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小型积水</w:t>
                  </w:r>
                </w:p>
              </w:tc>
              <w:tc>
                <w:tcPr>
                  <w:tcW w:type="dxa" w:w="116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大、中型水体</w:t>
                  </w:r>
                </w:p>
              </w:tc>
              <w:tc>
                <w:tcPr>
                  <w:tcW w:type="dxa" w:w="9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诱蚊（</w:t>
                  </w:r>
                  <w:r>
                    <w:rPr>
                      <w:sz w:val="18"/>
                      <w:color w:val="000000"/>
                    </w:rPr>
                    <w:t>30min)</w:t>
                  </w:r>
                </w:p>
              </w:tc>
            </w:tr>
            <w:tr>
              <w:tc>
                <w:tcPr>
                  <w:tcW w:type="dxa" w:w="412"/>
                  <w:vMerge/>
                  <w:tcBorders>
                    <w:top w:val="single" w:color="000000" w:sz="4"/>
                    <w:left w:val="single" w:color="000000" w:sz="4"/>
                    <w:bottom w:val="single" w:color="000000" w:sz="4"/>
                    <w:right w:val="single" w:color="000000" w:sz="4"/>
                  </w:tcBorders>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延长线</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鼠迹处</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检査</w:t>
                  </w:r>
                </w:p>
                <w:p>
                  <w:pPr>
                    <w:pStyle w:val="null3"/>
                    <w:jc w:val="both"/>
                  </w:pPr>
                  <w:r>
                    <w:rPr>
                      <w:sz w:val="18"/>
                      <w:color w:val="000000"/>
                    </w:rPr>
                    <w:t>处数</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阳性</w:t>
                  </w:r>
                </w:p>
                <w:p>
                  <w:pPr>
                    <w:pStyle w:val="null3"/>
                    <w:jc w:val="both"/>
                  </w:pPr>
                  <w:r>
                    <w:rPr>
                      <w:sz w:val="18"/>
                      <w:color w:val="000000"/>
                    </w:rPr>
                    <w:t>处数</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检查</w:t>
                  </w:r>
                </w:p>
                <w:p>
                  <w:pPr>
                    <w:pStyle w:val="null3"/>
                    <w:jc w:val="both"/>
                  </w:pPr>
                  <w:r>
                    <w:rPr>
                      <w:sz w:val="18"/>
                      <w:color w:val="000000"/>
                    </w:rPr>
                    <w:t>点数</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阳性</w:t>
                  </w:r>
                </w:p>
                <w:p>
                  <w:pPr>
                    <w:pStyle w:val="null3"/>
                    <w:jc w:val="both"/>
                  </w:pPr>
                  <w:r>
                    <w:rPr>
                      <w:sz w:val="18"/>
                      <w:color w:val="000000"/>
                    </w:rPr>
                    <w:t>点数</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延长米</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阳性</w:t>
                  </w:r>
                </w:p>
                <w:p>
                  <w:pPr>
                    <w:pStyle w:val="null3"/>
                    <w:jc w:val="both"/>
                  </w:pPr>
                  <w:r>
                    <w:rPr>
                      <w:sz w:val="18"/>
                      <w:color w:val="000000"/>
                    </w:rPr>
                    <w:t>处数</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采样</w:t>
                  </w:r>
                </w:p>
                <w:p>
                  <w:pPr>
                    <w:pStyle w:val="null3"/>
                    <w:jc w:val="both"/>
                  </w:pPr>
                  <w:r>
                    <w:rPr>
                      <w:sz w:val="18"/>
                      <w:color w:val="000000"/>
                    </w:rPr>
                    <w:t>勺数</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阳性</w:t>
                  </w:r>
                </w:p>
                <w:p>
                  <w:pPr>
                    <w:pStyle w:val="null3"/>
                    <w:jc w:val="both"/>
                  </w:pPr>
                  <w:r>
                    <w:rPr>
                      <w:sz w:val="18"/>
                      <w:color w:val="000000"/>
                    </w:rPr>
                    <w:t>勺数</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幼虫或</w:t>
                  </w:r>
                </w:p>
                <w:p>
                  <w:pPr>
                    <w:pStyle w:val="null3"/>
                    <w:jc w:val="both"/>
                  </w:pPr>
                  <w:r>
                    <w:rPr>
                      <w:sz w:val="18"/>
                      <w:color w:val="000000"/>
                    </w:rPr>
                    <w:t>蛹数</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诱蚊</w:t>
                  </w:r>
                </w:p>
                <w:p>
                  <w:pPr>
                    <w:pStyle w:val="null3"/>
                    <w:jc w:val="both"/>
                  </w:pPr>
                  <w:r>
                    <w:rPr>
                      <w:sz w:val="18"/>
                      <w:color w:val="000000"/>
                    </w:rPr>
                    <w:t>人次</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叮咬成</w:t>
                  </w:r>
                </w:p>
                <w:p>
                  <w:pPr>
                    <w:pStyle w:val="null3"/>
                    <w:jc w:val="both"/>
                  </w:pPr>
                  <w:r>
                    <w:rPr>
                      <w:sz w:val="18"/>
                      <w:color w:val="000000"/>
                    </w:rPr>
                    <w:t>蚊数</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合计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color w:val="000000"/>
              </w:rPr>
              <w:t>统计人：</w:t>
            </w:r>
            <w:r>
              <w:rPr>
                <w:sz w:val="21"/>
                <w:color w:val="000000"/>
              </w:rPr>
              <w:t xml:space="preserve">                                                                                        </w:t>
            </w:r>
            <w:r>
              <w:rPr>
                <w:sz w:val="21"/>
                <w:color w:val="000000"/>
              </w:rPr>
              <w:t>统计日期：</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t xml:space="preserve"> </w:t>
            </w:r>
          </w:p>
          <w:p>
            <w:pPr>
              <w:pStyle w:val="null3"/>
              <w:jc w:val="both"/>
            </w:pPr>
            <w:r>
              <w:rPr>
                <w:sz w:val="21"/>
                <w:color w:val="000000"/>
              </w:rPr>
              <w:t>附件二：《公共外环境病媒生物密度监测汇总表》</w:t>
            </w:r>
          </w:p>
          <w:tbl>
            <w:tblPr>
              <w:tblInd w:type="dxa" w:w="120"/>
              <w:tblBorders>
                <w:top w:val="none" w:color="000000" w:sz="4"/>
                <w:left w:val="none" w:color="000000" w:sz="4"/>
                <w:bottom w:val="none" w:color="000000" w:sz="4"/>
                <w:right w:val="none" w:color="000000" w:sz="4"/>
                <w:insideH w:val="none"/>
                <w:insideV w:val="none"/>
              </w:tblBorders>
            </w:tblPr>
            <w:tblGrid>
              <w:gridCol w:w="633"/>
              <w:gridCol w:w="811"/>
              <w:gridCol w:w="792"/>
              <w:gridCol w:w="755"/>
              <w:gridCol w:w="633"/>
              <w:gridCol w:w="652"/>
              <w:gridCol w:w="614"/>
              <w:gridCol w:w="707"/>
            </w:tblGrid>
            <w:tr>
              <w:tc>
                <w:tcPr>
                  <w:tcW w:type="dxa" w:w="63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标准</w:t>
                  </w:r>
                </w:p>
                <w:p>
                  <w:pPr>
                    <w:pStyle w:val="null3"/>
                    <w:jc w:val="both"/>
                  </w:pPr>
                  <w:r>
                    <w:rPr>
                      <w:sz w:val="18"/>
                      <w:color w:val="000000"/>
                    </w:rPr>
                    <w:t>分级</w:t>
                  </w:r>
                </w:p>
              </w:tc>
              <w:tc>
                <w:tcPr>
                  <w:tcW w:type="dxa" w:w="8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灭鼠检查</w:t>
                  </w:r>
                </w:p>
              </w:tc>
              <w:tc>
                <w:tcPr>
                  <w:tcW w:type="dxa" w:w="7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灭蟑检查</w:t>
                  </w:r>
                </w:p>
              </w:tc>
              <w:tc>
                <w:tcPr>
                  <w:tcW w:type="dxa" w:w="7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灭蝇检査</w:t>
                  </w:r>
                </w:p>
              </w:tc>
              <w:tc>
                <w:tcPr>
                  <w:tcW w:type="dxa" w:w="2606"/>
                  <w:gridSpan w:val="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灭蚊检查</w:t>
                  </w:r>
                </w:p>
              </w:tc>
            </w:tr>
            <w:tr>
              <w:tc>
                <w:tcPr>
                  <w:tcW w:type="dxa" w:w="633"/>
                  <w:vMerge/>
                  <w:tcBorders>
                    <w:top w:val="singl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外环境鼠迹</w:t>
                  </w: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蟑迹</w:t>
                  </w: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蝇孳生地</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小型积水</w:t>
                  </w:r>
                </w:p>
              </w:tc>
              <w:tc>
                <w:tcPr>
                  <w:tcW w:type="dxa" w:w="1266"/>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大、中型水体</w:t>
                  </w:r>
                </w:p>
              </w:tc>
              <w:tc>
                <w:tcPr>
                  <w:tcW w:type="dxa" w:w="7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诱蚊</w:t>
                  </w:r>
                </w:p>
                <w:p>
                  <w:pPr>
                    <w:pStyle w:val="null3"/>
                    <w:jc w:val="both"/>
                  </w:pPr>
                  <w:r>
                    <w:rPr>
                      <w:sz w:val="18"/>
                      <w:color w:val="000000"/>
                    </w:rPr>
                    <w:t>30min</w:t>
                  </w:r>
                </w:p>
              </w:tc>
            </w:tr>
            <w:tr>
              <w:tc>
                <w:tcPr>
                  <w:tcW w:type="dxa" w:w="633"/>
                  <w:vMerge/>
                  <w:tcBorders>
                    <w:top w:val="singl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路径指数</w:t>
                  </w: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查获率％</w:t>
                  </w: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阳性率％</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路径指数</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采样勺指数％</w:t>
                  </w:r>
                </w:p>
              </w:tc>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阳性勺虫数</w:t>
                  </w:r>
                </w:p>
              </w:tc>
              <w:tc>
                <w:tcPr>
                  <w:tcW w:type="dxa" w:w="7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停落指数</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A级</w:t>
                  </w: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w:t>
                  </w: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3</w:t>
                  </w: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0. 1</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w:t>
                  </w:r>
                </w:p>
              </w:tc>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2</w:t>
                  </w:r>
                </w:p>
              </w:tc>
              <w:tc>
                <w:tcPr>
                  <w:tcW w:type="dxa" w:w="7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0.5</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B级</w:t>
                  </w: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3</w:t>
                  </w: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3</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0.5</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3</w:t>
                  </w:r>
                </w:p>
              </w:tc>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7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C级</w:t>
                  </w: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7</w:t>
                  </w: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0.8</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8</w:t>
                  </w:r>
                </w:p>
              </w:tc>
              <w:tc>
                <w:tcPr>
                  <w:tcW w:type="dxa" w:w="7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1.5</w:t>
                  </w: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达到标准级别</w:t>
                  </w: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总体</w:t>
                  </w:r>
                </w:p>
                <w:p>
                  <w:pPr>
                    <w:pStyle w:val="null3"/>
                    <w:jc w:val="both"/>
                  </w:pPr>
                  <w:r>
                    <w:rPr>
                      <w:sz w:val="18"/>
                      <w:color w:val="000000"/>
                    </w:rPr>
                    <w:t>评价</w:t>
                  </w:r>
                </w:p>
              </w:tc>
              <w:tc>
                <w:tcPr>
                  <w:tcW w:type="dxa" w:w="8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606"/>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sz w:val="21"/>
              </w:rPr>
              <w:t xml:space="preserve"> </w:t>
            </w:r>
            <w:r>
              <w:rPr>
                <w:sz w:val="21"/>
                <w:color w:val="000000"/>
              </w:rPr>
              <w:t>统计人：统计日期：</w:t>
            </w:r>
            <w:r>
              <w:rPr>
                <w:sz w:val="21"/>
                <w:color w:val="000000"/>
              </w:rPr>
              <w:t>年</w:t>
            </w:r>
            <w:r>
              <w:rPr>
                <w:sz w:val="21"/>
                <w:color w:val="000000"/>
              </w:rPr>
              <w:t>月</w:t>
            </w:r>
            <w:r>
              <w:rPr>
                <w:sz w:val="21"/>
                <w:color w:val="000000"/>
              </w:rPr>
              <w:t>日</w:t>
            </w:r>
          </w:p>
          <w:p>
            <w:pPr>
              <w:pStyle w:val="null3"/>
              <w:jc w:val="both"/>
            </w:pPr>
            <w:r>
              <w:rPr/>
              <w:t xml:space="preserve"> </w:t>
            </w:r>
          </w:p>
          <w:p>
            <w:pPr>
              <w:pStyle w:val="null3"/>
              <w:jc w:val="both"/>
            </w:pPr>
            <w:r>
              <w:rPr>
                <w:sz w:val="21"/>
                <w:color w:val="000000"/>
              </w:rPr>
              <w:t>附件三：《公共外环境病媒生物防制服务项目专家考评计分表》</w:t>
            </w:r>
          </w:p>
          <w:p>
            <w:pPr>
              <w:pStyle w:val="null3"/>
              <w:jc w:val="left"/>
            </w:pPr>
            <w:r>
              <w:rPr>
                <w:sz w:val="21"/>
                <w:color w:val="000000"/>
              </w:rPr>
              <w:t>考核对象：</w:t>
            </w:r>
            <w:r>
              <w:rPr>
                <w:sz w:val="21"/>
                <w:color w:val="000000"/>
              </w:rPr>
              <w:t xml:space="preserve">             </w:t>
            </w:r>
            <w:r>
              <w:rPr>
                <w:sz w:val="21"/>
                <w:color w:val="000000"/>
              </w:rPr>
              <w:t>本轮服务时间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日</w:t>
            </w:r>
            <w:r>
              <w:rPr>
                <w:sz w:val="21"/>
                <w:color w:val="000000"/>
              </w:rPr>
              <w:t>-月 日</w:t>
            </w:r>
          </w:p>
          <w:tbl>
            <w:tblPr>
              <w:tblInd w:type="dxa" w:w="120"/>
              <w:tblBorders>
                <w:top w:val="none" w:color="000000" w:sz="4"/>
                <w:left w:val="none" w:color="000000" w:sz="4"/>
                <w:bottom w:val="none" w:color="000000" w:sz="4"/>
                <w:right w:val="none" w:color="000000" w:sz="4"/>
                <w:insideH w:val="none"/>
                <w:insideV w:val="none"/>
              </w:tblBorders>
            </w:tblPr>
            <w:tblGrid>
              <w:gridCol w:w="1030"/>
              <w:gridCol w:w="392"/>
              <w:gridCol w:w="2555"/>
              <w:gridCol w:w="528"/>
              <w:gridCol w:w="676"/>
              <w:gridCol w:w="418"/>
            </w:tblGrid>
            <w:tr>
              <w:tc>
                <w:tcPr>
                  <w:tcW w:type="dxa" w:w="103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评价项目</w:t>
                  </w:r>
                </w:p>
              </w:tc>
              <w:tc>
                <w:tcPr>
                  <w:tcW w:type="dxa" w:w="3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标准得分</w:t>
                  </w:r>
                </w:p>
              </w:tc>
              <w:tc>
                <w:tcPr>
                  <w:tcW w:type="dxa" w:w="25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评分内容及计分办法</w:t>
                  </w:r>
                </w:p>
              </w:tc>
              <w:tc>
                <w:tcPr>
                  <w:tcW w:type="dxa" w:w="5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45"/>
                    <w:jc w:val="both"/>
                  </w:pPr>
                  <w:r>
                    <w:rPr>
                      <w:sz w:val="18"/>
                      <w:color w:val="000000"/>
                    </w:rPr>
                    <w:t>实际得分</w:t>
                  </w:r>
                </w:p>
              </w:tc>
              <w:tc>
                <w:tcPr>
                  <w:tcW w:type="dxa" w:w="6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45"/>
                    <w:jc w:val="both"/>
                  </w:pPr>
                  <w:r>
                    <w:rPr>
                      <w:sz w:val="18"/>
                      <w:color w:val="000000"/>
                    </w:rPr>
                    <w:t>举证材料</w:t>
                  </w:r>
                </w:p>
              </w:tc>
              <w:tc>
                <w:tcPr>
                  <w:tcW w:type="dxa" w:w="4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扣分说明</w:t>
                  </w:r>
                </w:p>
              </w:tc>
            </w:tr>
            <w:tr>
              <w:tc>
                <w:tcPr>
                  <w:tcW w:type="dxa" w:w="103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8"/>
                    <w:jc w:val="both"/>
                  </w:pPr>
                  <w:r>
                    <w:rPr>
                      <w:sz w:val="18"/>
                      <w:color w:val="000000"/>
                    </w:rPr>
                    <w:t>1、日常工作</w:t>
                  </w:r>
                </w:p>
                <w:p>
                  <w:pPr>
                    <w:pStyle w:val="null3"/>
                    <w:ind w:firstLine="208"/>
                    <w:jc w:val="both"/>
                  </w:pPr>
                  <w:r>
                    <w:rPr>
                      <w:sz w:val="18"/>
                      <w:color w:val="000000"/>
                    </w:rPr>
                    <w:t>（</w:t>
                  </w:r>
                  <w:r>
                    <w:rPr>
                      <w:sz w:val="18"/>
                      <w:color w:val="000000"/>
                    </w:rPr>
                    <w:t>40%）</w:t>
                  </w:r>
                </w:p>
                <w:p>
                  <w:pPr>
                    <w:pStyle w:val="null3"/>
                    <w:ind w:firstLine="208"/>
                    <w:jc w:val="both"/>
                  </w:p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每次开展服务前，按要求开展本底调查，并提交本底调查资料，缺</w:t>
                  </w:r>
                  <w:r>
                    <w:rPr>
                      <w:sz w:val="18"/>
                      <w:color w:val="000000"/>
                    </w:rPr>
                    <w:t>1次扣2分。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查看记录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2</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每次开展服务前提交服务方案，不提出交不得分。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查看记录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3</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每次服务结束后须提交完整的药物使用表及施工记录表，缺</w:t>
                  </w:r>
                  <w:r>
                    <w:rPr>
                      <w:sz w:val="18"/>
                      <w:color w:val="000000"/>
                    </w:rPr>
                    <w:t>1次扣1分。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3</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每次服务后提供病媒生物密度监测报告</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下水道进水口吊放浸药木塞，大中型水体投药灭蚊幼、不得漏放；发现漏放的要及时补放。如不按要求补放的每次扣</w:t>
                  </w:r>
                  <w:r>
                    <w:rPr>
                      <w:sz w:val="18"/>
                      <w:color w:val="000000"/>
                    </w:rPr>
                    <w:t>1分。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现场抽检</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每次投药灭鼠必须进行</w:t>
                  </w:r>
                  <w:r>
                    <w:rPr>
                      <w:sz w:val="18"/>
                      <w:color w:val="000000"/>
                    </w:rPr>
                    <w:t>2轮以上补投。最后一次补投后要及时堵塞鼠洞。如发现漏投、漏补现象未按要求补投的，每发现1次扣1分。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现场抽检</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每次施工要按照要求配置足够人员；现场施工人员落实到位。发现缺</w:t>
                  </w:r>
                  <w:r>
                    <w:rPr>
                      <w:sz w:val="18"/>
                      <w:color w:val="000000"/>
                    </w:rPr>
                    <w:t>1项扣1分。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现场抽检</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服务使用的药物必须是使用已向区爱卫办提供</w:t>
                  </w:r>
                  <w:r>
                    <w:rPr>
                      <w:sz w:val="18"/>
                      <w:color w:val="000000"/>
                    </w:rPr>
                    <w:t>“三证”备案的药物，否则本项不得分；药物用量是否充足，是否有偷工减料现象，每发现一项扣2分。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査看资料</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2</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遇市民投诉，合同区域内的病媒生物防治效果不良或有不作为、偷工减料等现象，经核实的扣</w:t>
                  </w:r>
                  <w:r>
                    <w:rPr>
                      <w:sz w:val="18"/>
                      <w:color w:val="000000"/>
                    </w:rPr>
                    <w:t>2分处理。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4</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服务过程中各类有效投诉或媒体负面曝光不得超过</w:t>
                  </w:r>
                  <w:r>
                    <w:rPr>
                      <w:sz w:val="18"/>
                      <w:color w:val="000000"/>
                    </w:rPr>
                    <w:t>1宗，每超出1宗扣2分。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3</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对市民投诉</w:t>
                  </w:r>
                  <w:r>
                    <w:rPr>
                      <w:sz w:val="18"/>
                      <w:color w:val="000000"/>
                    </w:rPr>
                    <w:t>“四害”密度高的区域，乙方应2小时内到场处理。如未能按时到达处理，经查属实的扣3分。应急处理效果不理想的扣2分。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情况记录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3</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对于疾控中心监测报告反馈的合同区域内</w:t>
                  </w:r>
                  <w:r>
                    <w:rPr>
                      <w:sz w:val="18"/>
                      <w:color w:val="000000"/>
                    </w:rPr>
                    <w:t>BI指数超出20的区域进行处理。如未能及时处理的每次扣1分。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情况记录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2、专业考核阶（60%）</w:t>
                  </w: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15</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所用的杀虫杀鼠药剂应具有国家规定的有效证件</w:t>
                  </w:r>
                  <w:r>
                    <w:rPr>
                      <w:sz w:val="18"/>
                      <w:color w:val="000000"/>
                    </w:rPr>
                    <w:t>,并严格按照产品使用说明书使用。证照齐全评5分，符合规范使用评5分，药械匹配使用评5分，使用国家违禁药物的，一票否决，直接扣除60分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査看仓库进出记录，用药记录</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10</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鼠类防制效果达到</w:t>
                  </w:r>
                  <w:r>
                    <w:rPr>
                      <w:sz w:val="18"/>
                      <w:color w:val="000000"/>
                    </w:rPr>
                    <w:t>C级以上得分(合同有其他要求的按照合同要求级别）</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现场评估</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10</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蚊虫防制效果达到</w:t>
                  </w:r>
                  <w:r>
                    <w:rPr>
                      <w:sz w:val="18"/>
                      <w:color w:val="000000"/>
                    </w:rPr>
                    <w:t>C级以上得分(合同有其他要求的按 照合同要求级别）</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现场评估</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10</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蝇类防制效果达到</w:t>
                  </w:r>
                  <w:r>
                    <w:rPr>
                      <w:sz w:val="18"/>
                      <w:color w:val="000000"/>
                    </w:rPr>
                    <w:t>C级以上得分(合同有其他要求的按 照合同要求级别）</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现场评估</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10</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蜚蠊防制效果达到</w:t>
                  </w:r>
                  <w:r>
                    <w:rPr>
                      <w:sz w:val="18"/>
                      <w:color w:val="000000"/>
                    </w:rPr>
                    <w:t>C级以上得分(合同有其他要求的按 照合同要求级别）</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现场评估</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30"/>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5</w:t>
                  </w:r>
                </w:p>
              </w:tc>
              <w:tc>
                <w:tcPr>
                  <w:tcW w:type="dxa" w:w="2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向甲方提出专业建议的评</w:t>
                  </w:r>
                  <w:r>
                    <w:rPr>
                      <w:sz w:val="18"/>
                      <w:color w:val="000000"/>
                    </w:rPr>
                    <w:t>5分</w:t>
                  </w:r>
                </w:p>
              </w:tc>
              <w:tc>
                <w:tcPr>
                  <w:tcW w:type="dxa" w:w="5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color w:val="000000"/>
                    </w:rPr>
                    <w:t>查看文件</w:t>
                  </w:r>
                </w:p>
              </w:tc>
              <w:tc>
                <w:tcPr>
                  <w:tcW w:type="dxa" w:w="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both"/>
            </w:pPr>
            <w:r>
              <w:rPr>
                <w:sz w:val="21"/>
              </w:rPr>
              <w:t xml:space="preserve"> </w:t>
            </w:r>
            <w:r>
              <w:rPr>
                <w:sz w:val="21"/>
                <w:color w:val="000000"/>
              </w:rPr>
              <w:t>专评人员签名</w:t>
            </w:r>
            <w:r>
              <w:rPr>
                <w:sz w:val="21"/>
                <w:color w:val="000000"/>
              </w:rPr>
              <w:t>:        考评机构盖章：              日期</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1.采购代理机构：本项目是指广东智越项目管理有限公司，负责整个采购活动的组织，依法负责编制和发布磋商文件，对磋商文件拥有最终的解释权，不以任何身份出任磋商小组成员。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肇庆市高要区卫生健康局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国家发改委办公厅颁布的«国家发改委办公厅关于招标代理服务收费有关问题的通知»（发改办价格[2003]857号）和国家发展改革委关于降低部分建设项目收费标准规范收费行为等有关问题的通知（发改价格[2011]534号）的规定（服务类）标准下浮6.00%收取采购代理服务费（含税）。</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注意事项，根据《肇庆市财政局关于进一步加强政府采购信用评价工作的通知》(肇财采购(2023)26号)的文件精神，请参加本项目响应的供应商下载本公告附件《肇庆市政府采购信用评价指标体系(采购代理机构)》在评价人处填写单位名称，且在第1项至第3项的评价指标填写评分，然后打印并在单位名称上加盖公章，扫描件请随响应文件提交时一并提交。</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广东智越项目管理有限公司</w:t>
      </w:r>
      <w:r>
        <w:rPr/>
        <w:t>代收。具体操作要求详见</w:t>
      </w:r>
      <w:r>
        <w:rPr/>
        <w:t>广东智越项目管理有限公司</w:t>
      </w:r>
      <w:r>
        <w:rPr/>
        <w:t>有关指引，递交事宜请自行咨询</w:t>
      </w:r>
      <w:r>
        <w:rPr/>
        <w:t>广东智越项目管理有限公司</w:t>
      </w:r>
      <w:r>
        <w:rPr/>
        <w:t>；请各供应商在响应文件递交截止时间前按须知前附表规定的金额递交至</w:t>
      </w:r>
      <w:r>
        <w:rPr/>
        <w:t>广东智越项目管理有限公司</w:t>
      </w:r>
      <w:r>
        <w:rPr/>
        <w:t>，到账情况以开启时</w:t>
      </w:r>
      <w:r>
        <w:rPr/>
        <w:t>广东智越项目管理有限公司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政府采购监督管理机构名称：肇庆市高要区政府采购管理办公室</w:t>
      </w:r>
    </w:p>
    <w:p>
      <w:pPr>
        <w:pStyle w:val="null3"/>
      </w:pPr>
      <w:r>
        <w:rPr/>
        <w:t>地 址：肇庆市高要区府前大街102号</w:t>
      </w:r>
    </w:p>
    <w:p>
      <w:pPr>
        <w:pStyle w:val="null3"/>
      </w:pPr>
      <w:r>
        <w:rPr/>
        <w:t>电 话：0758-8399518</w:t>
      </w:r>
    </w:p>
    <w:p>
      <w:pPr>
        <w:pStyle w:val="null3"/>
      </w:pPr>
      <w:r>
        <w:rPr/>
        <w:t>邮 编：526100</w:t>
      </w:r>
    </w:p>
    <w:p>
      <w:pPr>
        <w:pStyle w:val="null3"/>
      </w:pPr>
      <w:r>
        <w:rPr/>
        <w:t>传 真：0758-8399868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高要区国家卫生城市公共外环境病媒生物防制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广东智越项目管理有限公司</w:t>
      </w:r>
      <w:r>
        <w:rPr/>
        <w:t>统一对外发布。</w:t>
      </w:r>
    </w:p>
    <w:p>
      <w:pPr>
        <w:pStyle w:val="null3"/>
        <w:ind w:firstLine="480"/>
      </w:pPr>
      <w:r>
        <w:rPr/>
        <w:t>（2）对</w:t>
      </w:r>
      <w:r>
        <w:rPr/>
        <w:t>广东智越项目管理有限公司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采购包1（高要区国家卫生城市公共外环境病媒生物防制服务）：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采购包1（高要区国家卫生城市公共外环境病媒生物防制服务）：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标的所属行业为其他未列明行业，供应商应为中小微企业、监狱企业、残疾人福利性单位【提供《中小微企业声明函》或由省级以上监狱管理局、戒毒管理局(含新疆生产建设兵团)出具的投标人属于监狱企业的证明文件或《残疾人福利性单位声明函》】。</w:t>
            </w:r>
          </w:p>
        </w:tc>
      </w:tr>
    </w:tbl>
    <w:p>
      <w:pPr>
        <w:pStyle w:val="null3"/>
        <w:ind w:firstLine="480"/>
      </w:pPr>
      <w:r>
        <w:rPr/>
        <w:t>表二符合性审查表：</w:t>
      </w:r>
    </w:p>
    <w:p>
      <w:pPr>
        <w:pStyle w:val="null3"/>
      </w:pPr>
      <w:r>
        <w:rPr/>
        <w:t>采购包1（高要区国家卫生城市公共外环境病媒生物防制服务）：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投标报价唯一，不高于本采购包预算金额</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如果评审委员会（谈判/询价/磋商小组）认为供应商的报价明显低于其他通过符合性审查供应商的报价，有可能影响标的质量或者不能诚信履约的，将要求其在报价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签署和盖章要求</w:t>
            </w:r>
          </w:p>
        </w:tc>
        <w:tc>
          <w:tcPr>
            <w:tcW w:type="dxa" w:w="4238"/>
          </w:tcPr>
          <w:p>
            <w:pPr>
              <w:pStyle w:val="null3"/>
            </w:pPr>
            <w:r>
              <w:rPr/>
              <w:t>符合磋商文件的签署、盖章要求</w:t>
            </w:r>
          </w:p>
        </w:tc>
      </w:tr>
      <w:tr>
        <w:tc>
          <w:tcPr>
            <w:tcW w:type="dxa" w:w="890"/>
          </w:tcPr>
          <w:p>
            <w:pPr>
              <w:pStyle w:val="null3"/>
            </w:pPr>
            <w:r>
              <w:rPr/>
              <w:t>4</w:t>
            </w:r>
          </w:p>
        </w:tc>
        <w:tc>
          <w:tcPr>
            <w:tcW w:type="dxa" w:w="3178"/>
          </w:tcPr>
          <w:p>
            <w:pPr>
              <w:pStyle w:val="null3"/>
            </w:pPr>
            <w:r>
              <w:rPr/>
              <w:t>法定代表人证明书及授权书</w:t>
            </w:r>
          </w:p>
        </w:tc>
        <w:tc>
          <w:tcPr>
            <w:tcW w:type="dxa" w:w="4238"/>
          </w:tcPr>
          <w:p>
            <w:pPr>
              <w:pStyle w:val="null3"/>
            </w:pPr>
            <w:r>
              <w:rPr/>
              <w:t>按磋商文件要求提供有效的法定代表人证明书及授权书</w:t>
            </w:r>
          </w:p>
        </w:tc>
      </w:tr>
      <w:tr>
        <w:tc>
          <w:tcPr>
            <w:tcW w:type="dxa" w:w="890"/>
          </w:tcPr>
          <w:p>
            <w:pPr>
              <w:pStyle w:val="null3"/>
            </w:pPr>
            <w:r>
              <w:rPr/>
              <w:t>5</w:t>
            </w:r>
          </w:p>
        </w:tc>
        <w:tc>
          <w:tcPr>
            <w:tcW w:type="dxa" w:w="3178"/>
          </w:tcPr>
          <w:p>
            <w:pPr>
              <w:pStyle w:val="null3"/>
            </w:pPr>
            <w:r>
              <w:rPr/>
              <w:t>报价有效期</w:t>
            </w:r>
          </w:p>
        </w:tc>
        <w:tc>
          <w:tcPr>
            <w:tcW w:type="dxa" w:w="4238"/>
          </w:tcPr>
          <w:p>
            <w:pPr>
              <w:pStyle w:val="null3"/>
            </w:pPr>
            <w:r>
              <w:rPr/>
              <w:t>报价有效期符合磋商文件要求</w:t>
            </w:r>
          </w:p>
        </w:tc>
      </w:tr>
      <w:tr>
        <w:tc>
          <w:tcPr>
            <w:tcW w:type="dxa" w:w="890"/>
          </w:tcPr>
          <w:p>
            <w:pPr>
              <w:pStyle w:val="null3"/>
            </w:pPr>
            <w:r>
              <w:rPr/>
              <w:t>6</w:t>
            </w:r>
          </w:p>
        </w:tc>
        <w:tc>
          <w:tcPr>
            <w:tcW w:type="dxa" w:w="3178"/>
          </w:tcPr>
          <w:p>
            <w:pPr>
              <w:pStyle w:val="null3"/>
            </w:pPr>
            <w:r>
              <w:rPr/>
              <w:t>未发现无效报价的其他情形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采购包1(高要区国家卫生城市公共外环境病媒生物防制服务):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项目实施的重点、难点和解决方案 (15.0分)</w:t>
            </w:r>
          </w:p>
        </w:tc>
        <w:tc>
          <w:tcPr>
            <w:tcW w:type="dxa" w:w="5076"/>
          </w:tcPr>
          <w:p>
            <w:pPr>
              <w:pStyle w:val="null3"/>
              <w:jc w:val="left"/>
            </w:pPr>
            <w:r>
              <w:rPr/>
              <w:t>根据第二章采购需求中附表一的“服务内容、期限及频次、详细服务要求服务质量标准要求、药物要求”的内容，对供应商提供的项目实施的重点、难点和解决方案（包括但不限于：项目现场的熟悉程度、周边环境状况分析具体程度、重点难点的解决方案等）进行评审： 1、对项目现场十分熟悉、周边环境状况及本项目实施的重点难点分析透彻、完全可行，得15分； 2、对项目现场比较熟悉、周边环境状况及本项目实施的重点难点分析较适合、对重点难点的解决方案基本可行，得11分； 3、对项目现场基本熟悉、周边环境状况及本项目实施的重点难点分析基本完整，项目实施的重点、难点和解决方案可行性一般的，得7分； 4、对项目现场不熟悉、周边环境状况及本项目实施的重点难点分析不完整，项目实施的重点、难点和解决方案可行性差的，得3分；5、没有按要求提供方案的不得分。</w:t>
            </w:r>
          </w:p>
        </w:tc>
      </w:tr>
      <w:tr>
        <w:tc>
          <w:tcPr>
            <w:tcW w:type="dxa" w:w="922"/>
            <w:gridSpan w:val="2"/>
            <w:vMerge/>
          </w:tcPr>
          <w:p/>
        </w:tc>
        <w:tc>
          <w:tcPr>
            <w:tcW w:type="dxa" w:w="2307"/>
          </w:tcPr>
          <w:p>
            <w:pPr>
              <w:pStyle w:val="null3"/>
              <w:jc w:val="left"/>
            </w:pPr>
            <w:r>
              <w:rPr/>
              <w:t>服务实施方案 (15.0分)</w:t>
            </w:r>
          </w:p>
        </w:tc>
        <w:tc>
          <w:tcPr>
            <w:tcW w:type="dxa" w:w="5076"/>
          </w:tcPr>
          <w:p>
            <w:pPr>
              <w:pStyle w:val="null3"/>
              <w:jc w:val="left"/>
            </w:pPr>
            <w:r>
              <w:rPr/>
              <w:t>根据第二章采购需求中附表一的“服务内容、期限及频次、详细服务要求服务质量标准要求、药物要求”的内容，对供应商提供的服务实施方案（包括但不限于：除四害消杀作业等）进行评审： 1、除四害消杀作业方案具有完善的执行性，项目管理与实施进度安排合理、完全满足本项目需求，得15分； 2、除四害消杀作业方案具有较完整的执行性，项目管理与实施进度安排较合理、基本满足本项目需求，得11分； 3、除四害消杀作业方案具有基本执行性，项目管理与实施进度安排基本合理、一般满足本项目需求，得7分； 4、除四害消杀作业方案不具有执行性，项目管理与实施进度安排不合理、不满足本项目需求，得3分； 5、没有按要求提供方案的不得分。</w:t>
            </w:r>
          </w:p>
        </w:tc>
      </w:tr>
      <w:tr>
        <w:tc>
          <w:tcPr>
            <w:tcW w:type="dxa" w:w="922"/>
            <w:gridSpan w:val="2"/>
            <w:vMerge/>
          </w:tcPr>
          <w:p/>
        </w:tc>
        <w:tc>
          <w:tcPr>
            <w:tcW w:type="dxa" w:w="2307"/>
          </w:tcPr>
          <w:p>
            <w:pPr>
              <w:pStyle w:val="null3"/>
              <w:jc w:val="left"/>
            </w:pPr>
            <w:r>
              <w:rPr/>
              <w:t>应急处理方案 (13.0分)</w:t>
            </w:r>
          </w:p>
        </w:tc>
        <w:tc>
          <w:tcPr>
            <w:tcW w:type="dxa" w:w="5076"/>
          </w:tcPr>
          <w:p>
            <w:pPr>
              <w:pStyle w:val="null3"/>
              <w:jc w:val="left"/>
            </w:pPr>
            <w:r>
              <w:rPr/>
              <w:t>根据第二章采购需求中附表一的“服务内容、期限及频次、详细服务要求服务质量标准要求、药物要求、供应商技术人员配备要求、供应商药械及施工车辆配备要求”的内容，对供应商提供的应急处理方案（包括但不限于：应急准备、应急响应、应急处置等）进行评审： 1、应急方案计划周全，人员响应快速，处理措施完善合理，完全满足本项目需求，得13分； 2、应急方案计划较为全面，人员响应较为快速，处理措施较完善合理，基本满足本项目需求，得10分； 3、应急方案计划简单，基本可行，一般满足本项目需求，得7分； 4、应急方案计划简单，不可行，不满足本项目需求，得4分； 5、没有按要求提供方案的不得分。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根据第二章采购需求中附表一的“服务内容、期限及频次、详细服务要求服务质量标准要求、药物要求”的内容，对供应商提供的质量保证措施（包括但不限于：质量检查方案、计划保障、消杀作业安全保障等）进行评审： 1、质量检查方案、计划保障、消杀作业安全保障等质量保证措施详细具体、全面完善、科学合理，完全满足本项目需求的，得12分。 2、质量检查方案、计划保障、消杀作业安全保障等质量保证措施较为详细、完整、合理可行，对项目质量有一定的指导作用，基本符合本项目需求的，得9分。 3.质量检查方案、计划保障、消杀作业安全保障等质量保证措施内容一般、可行性一般，对项目质量的指导性一般，一般满足本项目需求的，得6分。 4、质量检查方案、计划保障、消杀作业安全保障等质量保证措施内容简略、可行性差，对项目质量的指导性差，不满足本项目需求的，得3分。 5、没有按要求提供方案的不得分。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根据响应供应商2022年1月1日至今承接过的同类项目业绩情况进行评分，每项得2分，满分为6分。 注：须提供项目业绩合同复印件作为评审依据，否则本项不得分。</w:t>
            </w:r>
          </w:p>
        </w:tc>
      </w:tr>
      <w:tr>
        <w:tc>
          <w:tcPr>
            <w:tcW w:type="dxa" w:w="922"/>
            <w:gridSpan w:val="2"/>
            <w:vMerge/>
          </w:tcPr>
          <w:p/>
        </w:tc>
        <w:tc>
          <w:tcPr>
            <w:tcW w:type="dxa" w:w="2307"/>
          </w:tcPr>
          <w:p>
            <w:pPr>
              <w:pStyle w:val="null3"/>
              <w:jc w:val="left"/>
            </w:pPr>
            <w:r>
              <w:rPr/>
              <w:t>技术人员配备 (10.0分)</w:t>
            </w:r>
          </w:p>
        </w:tc>
        <w:tc>
          <w:tcPr>
            <w:tcW w:type="dxa" w:w="5076"/>
          </w:tcPr>
          <w:p>
            <w:pPr>
              <w:pStyle w:val="null3"/>
              <w:jc w:val="left"/>
            </w:pPr>
            <w:r>
              <w:rPr/>
              <w:t>根据响应供应商拟投入本项目的人员配备情况进行评分： 1、拟投入本项目的项目负责人：1）具有公共卫生、病媒生物预防控制、昆虫学、制药工程、农药学相关专业中任意一专业本科或以上学历，得2分；2）具有5年或以上病媒生物预防控制工作经验的得2分。 本小项最高得4分。 2、拟派本项目技术人员（除项目负责人外）：具有3年或以上病媒生物预防控制工作经验的得每人得1.5分，本小项最高得6分。 注：本项满分为10分。须提供上述人员身份证复印件；工作经验需提供证明材料（工作履历表）扫描件；项目负责人还须提供学历证书复印件；并提供响应文件截止时间前近三个月任意一个月社保证明复印件作为评审依据，如依法不需要缴纳社会保障资金的，提供相应证明材料，不提供不得分。</w:t>
            </w:r>
          </w:p>
        </w:tc>
      </w:tr>
      <w:tr>
        <w:tc>
          <w:tcPr>
            <w:tcW w:type="dxa" w:w="922"/>
            <w:gridSpan w:val="2"/>
            <w:vMerge/>
          </w:tcPr>
          <w:p/>
        </w:tc>
        <w:tc>
          <w:tcPr>
            <w:tcW w:type="dxa" w:w="2307"/>
          </w:tcPr>
          <w:p>
            <w:pPr>
              <w:pStyle w:val="null3"/>
              <w:jc w:val="left"/>
            </w:pPr>
            <w:r>
              <w:rPr/>
              <w:t>拟投入本项目的药械及作业车辆配备情况 (12.0分)</w:t>
            </w:r>
          </w:p>
        </w:tc>
        <w:tc>
          <w:tcPr>
            <w:tcW w:type="dxa" w:w="5076"/>
          </w:tcPr>
          <w:p>
            <w:pPr>
              <w:pStyle w:val="null3"/>
              <w:jc w:val="left"/>
            </w:pPr>
            <w:r>
              <w:rPr/>
              <w:t>根据供应商针对本项目拟投入的配备情况进行评分： 1）配备无人机监测设备的得2分； 2）配备车载式喷雾器的得2分； 3）配备热烟雾机的得2分；4）配备超低容量喷雾机的得2分；5）配备常量喷雾机的的得2分；6）配备的作业车辆的得2分； 本项最高得12分。 注：（1）药械设备须提供以下证明材料，不提供不得分：①属于自有的需提供响应供应商购置发票复印件。属于租赁的需提供有效的租赁合同复印件。如租赁期未覆盖本项目服务期的，需承诺续租至本项目合同结束（提交承诺函）②设备的图片。 （2）作业车辆须同时提供以下证明材料，且必须是货车或消杀作业车（以车辆登记证或行驶证所载明车辆类型为准，上述车辆不包括用于载人的轿车、客车。）不提供不得分：①属于自有的需提供响应供应商购车发票复印件。属于租赁的需提供有效的租赁合同复印件。如租赁期未覆盖本项目服务期的，需承诺续租至本项目合同结束（提交承诺函）②车辆的《机动车行驶证》复印件（需体现年审在有效期内）③车辆图片（须体现车牌号码）。 （3）没有提供证明材料或材料不齐全不得分。</w:t>
            </w:r>
          </w:p>
        </w:tc>
      </w:tr>
      <w:tr>
        <w:tc>
          <w:tcPr>
            <w:tcW w:type="dxa" w:w="922"/>
            <w:gridSpan w:val="2"/>
            <w:vMerge/>
          </w:tcPr>
          <w:p/>
        </w:tc>
        <w:tc>
          <w:tcPr>
            <w:tcW w:type="dxa" w:w="2307"/>
          </w:tcPr>
          <w:p>
            <w:pPr>
              <w:pStyle w:val="null3"/>
              <w:jc w:val="left"/>
            </w:pPr>
            <w:r>
              <w:rPr/>
              <w:t>采购需求响应程度 (7.0分)</w:t>
            </w:r>
          </w:p>
        </w:tc>
        <w:tc>
          <w:tcPr>
            <w:tcW w:type="dxa" w:w="5076"/>
          </w:tcPr>
          <w:p>
            <w:pPr>
              <w:pStyle w:val="null3"/>
              <w:jc w:val="left"/>
            </w:pPr>
            <w:r>
              <w:rPr/>
              <w:t>根据供应商对采购需求中“具体技术(参数)要求”的响应符合情况进行评审：1）完全响应或正偏离，得7分；2）有 1-2 项条款（含2）不响应或负偏离响应的，得5分； 3）有 3-4 项条款（含4）不响应或负偏离响应的，得3分； 4）超过 4 项条款不响应的或负偏离响应，本项不得分。注：根据响应文件中《技术和服务要求响应表》作为评审依据。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jc w:val="center"/>
      </w:pPr>
      <w:r>
        <w:rPr>
          <w:sz w:val="36"/>
          <w:b/>
        </w:rPr>
        <w:t>高要区国家卫生城市公共外环境病媒生物防制服务</w:t>
      </w:r>
      <w:r>
        <w:rPr>
          <w:sz w:val="36"/>
          <w:b/>
        </w:rPr>
        <w:t>采购合同</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rPr>
        <w:t>：肇庆市高要区卫生健康局</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0758-8392312      </w:t>
      </w:r>
      <w:r>
        <w:rPr>
          <w:sz w:val="21"/>
          <w:color w:val="000000"/>
        </w:rPr>
        <w:t>传  真：      地  址：肇庆市高要区广新一路</w:t>
      </w:r>
      <w:r>
        <w:rPr>
          <w:sz w:val="21"/>
          <w:color w:val="000000"/>
        </w:rPr>
        <w:t>139</w:t>
      </w:r>
      <w:r>
        <w:rPr>
          <w:sz w:val="21"/>
          <w:color w:val="000000"/>
        </w:rPr>
        <w:t>号</w:t>
      </w:r>
    </w:p>
    <w:p>
      <w:pPr>
        <w:pStyle w:val="null3"/>
        <w:jc w:val="both"/>
      </w:pPr>
      <w:r>
        <w:rPr>
          <w:sz w:val="21"/>
          <w:b/>
        </w:rPr>
        <w:t xml:space="preserve"> </w:t>
      </w:r>
    </w:p>
    <w:p>
      <w:pPr>
        <w:pStyle w:val="null3"/>
        <w:jc w:val="both"/>
      </w:pPr>
      <w:r>
        <w:rPr>
          <w:sz w:val="21"/>
          <w:b/>
          <w:color w:val="000000"/>
        </w:rPr>
        <w:t>乙</w:t>
      </w:r>
      <w:r>
        <w:rPr>
          <w:sz w:val="21"/>
          <w:b/>
          <w:color w:val="000000"/>
        </w:rPr>
        <w:t xml:space="preserve">   </w:t>
      </w:r>
      <w:r>
        <w:rPr>
          <w:sz w:val="21"/>
          <w:b/>
          <w:color w:val="000000"/>
        </w:rPr>
        <w:t>方</w:t>
      </w:r>
      <w:r>
        <w:rPr>
          <w:sz w:val="21"/>
          <w:color w:val="000000"/>
        </w:rPr>
        <w:t>（成交供应商）：</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真：</w:t>
      </w:r>
      <w:r>
        <w:rPr>
          <w:sz w:val="21"/>
          <w:color w:val="000000"/>
        </w:rPr>
        <w:t xml:space="preserve">     </w:t>
      </w:r>
      <w:r>
        <w:rPr>
          <w:sz w:val="21"/>
          <w:color w:val="000000"/>
        </w:rPr>
        <w:t>地</w:t>
      </w:r>
      <w:r>
        <w:rPr>
          <w:sz w:val="21"/>
          <w:color w:val="000000"/>
        </w:rPr>
        <w:t>址：</w:t>
      </w:r>
    </w:p>
    <w:p>
      <w:pPr>
        <w:pStyle w:val="null3"/>
        <w:ind w:firstLine="420"/>
        <w:jc w:val="both"/>
      </w:pPr>
      <w:r>
        <w:rPr>
          <w:sz w:val="21"/>
          <w:color w:val="000000"/>
        </w:rPr>
        <w:t>根据</w:t>
      </w:r>
      <w:r>
        <w:rPr>
          <w:sz w:val="21"/>
          <w:color w:val="000000"/>
          <w:u w:val="single"/>
        </w:rPr>
        <w:t>项目名称：</w:t>
      </w:r>
      <w:r>
        <w:rPr>
          <w:sz w:val="21"/>
          <w:color w:val="000000"/>
          <w:u w:val="single"/>
        </w:rPr>
        <w:t>高要区国家卫生城市公共外环境病媒生物防制服务</w:t>
      </w:r>
      <w:r>
        <w:rPr>
          <w:sz w:val="21"/>
          <w:color w:val="000000"/>
          <w:u w:val="single"/>
        </w:rPr>
        <w:t>（项目编号：</w:t>
      </w:r>
      <w:r>
        <w:rPr>
          <w:sz w:val="21"/>
          <w:color w:val="000000"/>
          <w:u w:val="single"/>
        </w:rPr>
        <w:t xml:space="preserve"> )    </w:t>
      </w:r>
      <w:r>
        <w:rPr>
          <w:sz w:val="21"/>
          <w:color w:val="000000"/>
        </w:rPr>
        <w:t>的采购结果，按照《中华人民共和国政府采购法》和《中华人民共和国民法典</w:t>
      </w:r>
      <w:r>
        <w:rPr>
          <w:sz w:val="21"/>
          <w:color w:val="000000"/>
        </w:rPr>
        <w:t>(</w:t>
      </w:r>
      <w:r>
        <w:rPr>
          <w:sz w:val="21"/>
          <w:color w:val="000000"/>
        </w:rPr>
        <w:t>合同编</w:t>
      </w:r>
      <w:r>
        <w:rPr>
          <w:sz w:val="21"/>
          <w:color w:val="000000"/>
        </w:rPr>
        <w:t>)</w:t>
      </w:r>
      <w:r>
        <w:rPr>
          <w:sz w:val="21"/>
          <w:color w:val="000000"/>
        </w:rPr>
        <w:t>》的规定，经双方协商，本着平等互利和诚实信用的原则，一致同意签订本合同如下。</w:t>
      </w:r>
    </w:p>
    <w:p>
      <w:pPr>
        <w:pStyle w:val="null3"/>
        <w:ind w:firstLine="420"/>
        <w:jc w:val="both"/>
      </w:pPr>
      <w:r>
        <w:rPr>
          <w:sz w:val="21"/>
          <w:b/>
          <w:color w:val="000000"/>
        </w:rPr>
        <w:t>一、合同金额</w:t>
      </w:r>
    </w:p>
    <w:p>
      <w:pPr>
        <w:pStyle w:val="null3"/>
        <w:jc w:val="both"/>
      </w:pPr>
      <w:r>
        <w:rPr>
          <w:sz w:val="21"/>
          <w:color w:val="000000"/>
        </w:rPr>
        <w:t>合同金额为（大写）：人民币</w:t>
      </w:r>
      <w:r>
        <w:rPr>
          <w:sz w:val="21"/>
          <w:color w:val="000000"/>
          <w:u w:val="single"/>
        </w:rPr>
        <w:t xml:space="preserve">               </w:t>
      </w:r>
      <w:r>
        <w:rPr>
          <w:sz w:val="21"/>
          <w:color w:val="000000"/>
          <w:u w:val="single"/>
        </w:rPr>
        <w:t>元整（</w:t>
      </w:r>
      <w:r>
        <w:rPr>
          <w:sz w:val="21"/>
          <w:color w:val="000000"/>
        </w:rPr>
        <w:t>￥</w:t>
      </w:r>
      <w:r>
        <w:rPr>
          <w:sz w:val="21"/>
          <w:color w:val="000000"/>
        </w:rPr>
        <w:t xml:space="preserve">     </w:t>
      </w:r>
      <w:r>
        <w:rPr>
          <w:sz w:val="21"/>
          <w:color w:val="000000"/>
        </w:rPr>
        <w:t>元）。</w:t>
      </w:r>
    </w:p>
    <w:p>
      <w:pPr>
        <w:pStyle w:val="null3"/>
        <w:jc w:val="both"/>
      </w:pPr>
      <w:r>
        <w:rPr>
          <w:sz w:val="21"/>
          <w:b/>
          <w:color w:val="000000"/>
        </w:rPr>
        <w:t>二、服务内容、期限及频次</w:t>
      </w:r>
    </w:p>
    <w:p>
      <w:pPr>
        <w:pStyle w:val="null3"/>
        <w:jc w:val="both"/>
      </w:pPr>
      <w:r>
        <w:rPr>
          <w:sz w:val="21"/>
        </w:rPr>
        <w:t>1</w:t>
      </w:r>
      <w:r>
        <w:rPr>
          <w:sz w:val="21"/>
        </w:rPr>
        <w:t>、服务内容：建立健全国家卫生城市</w:t>
      </w:r>
      <w:r>
        <w:rPr>
          <w:sz w:val="21"/>
        </w:rPr>
        <w:t>“</w:t>
      </w:r>
      <w:r>
        <w:rPr>
          <w:sz w:val="21"/>
        </w:rPr>
        <w:t>病媒生物预防控制</w:t>
      </w:r>
      <w:r>
        <w:rPr>
          <w:sz w:val="21"/>
        </w:rPr>
        <w:t>”</w:t>
      </w:r>
      <w:r>
        <w:rPr>
          <w:sz w:val="21"/>
        </w:rPr>
        <w:t>内容所需的相关资料；全面投药杀灭鼠、蝇、蚊、蟑螂等病媒生物防制服务工作。</w:t>
      </w:r>
    </w:p>
    <w:p>
      <w:pPr>
        <w:pStyle w:val="null3"/>
        <w:jc w:val="both"/>
      </w:pPr>
      <w:r>
        <w:rPr>
          <w:sz w:val="21"/>
        </w:rPr>
        <w:t>2</w:t>
      </w:r>
      <w:r>
        <w:rPr>
          <w:sz w:val="21"/>
        </w:rPr>
        <w:t>、服务期限：</w:t>
      </w:r>
      <w:r>
        <w:rPr>
          <w:sz w:val="21"/>
        </w:rPr>
        <w:t>自签订合同生效之日起一年</w:t>
      </w:r>
      <w:r>
        <w:rPr>
          <w:sz w:val="21"/>
        </w:rPr>
        <w:t>。</w:t>
      </w:r>
    </w:p>
    <w:p>
      <w:pPr>
        <w:pStyle w:val="null3"/>
        <w:jc w:val="both"/>
      </w:pPr>
      <w:r>
        <w:rPr>
          <w:sz w:val="21"/>
        </w:rPr>
        <w:t>3</w:t>
      </w:r>
      <w:r>
        <w:rPr>
          <w:sz w:val="21"/>
        </w:rPr>
        <w:t>、服务频次：</w:t>
      </w:r>
      <w:r>
        <w:rPr>
          <w:sz w:val="21"/>
        </w:rPr>
        <w:t>肇庆市高要区南岸城区、江口、金渡、马安区域</w:t>
      </w:r>
      <w:r>
        <w:rPr>
          <w:sz w:val="21"/>
        </w:rPr>
        <w:t>（</w:t>
      </w:r>
      <w:r>
        <w:rPr>
          <w:sz w:val="21"/>
        </w:rPr>
        <w:t>不含农村部分</w:t>
      </w:r>
      <w:r>
        <w:rPr>
          <w:sz w:val="21"/>
        </w:rPr>
        <w:t>）</w:t>
      </w:r>
      <w:r>
        <w:rPr>
          <w:sz w:val="21"/>
        </w:rPr>
        <w:t>，</w:t>
      </w:r>
      <w:r>
        <w:rPr>
          <w:sz w:val="21"/>
          <w:color w:val="000000"/>
        </w:rPr>
        <w:t>根据甲方需求安排实施，合同期内共服务</w:t>
      </w:r>
      <w:r>
        <w:rPr>
          <w:sz w:val="21"/>
          <w:color w:val="000000"/>
        </w:rPr>
        <w:t>8</w:t>
      </w:r>
      <w:r>
        <w:rPr>
          <w:sz w:val="21"/>
          <w:color w:val="000000"/>
        </w:rPr>
        <w:t>轮。</w:t>
      </w:r>
    </w:p>
    <w:p>
      <w:pPr>
        <w:pStyle w:val="null3"/>
        <w:jc w:val="both"/>
      </w:pPr>
      <w:r>
        <w:rPr>
          <w:sz w:val="21"/>
        </w:rPr>
        <w:t>4</w:t>
      </w:r>
      <w:r>
        <w:rPr>
          <w:sz w:val="21"/>
        </w:rPr>
        <w:t>、服务范围：</w:t>
      </w:r>
      <w:r>
        <w:rPr>
          <w:sz w:val="21"/>
        </w:rPr>
        <w:t>东至江滨二路，南至山口新村，西至广肇高速马安出入口，北至江滨一路</w:t>
      </w:r>
      <w:r>
        <w:rPr>
          <w:sz w:val="21"/>
        </w:rPr>
        <w:t>；</w:t>
      </w:r>
      <w:r>
        <w:rPr>
          <w:sz w:val="21"/>
        </w:rPr>
        <w:t>各个地理方位的主要街道、背街小巷、城中村、闲置</w:t>
      </w:r>
      <w:r>
        <w:rPr>
          <w:sz w:val="21"/>
        </w:rPr>
        <w:t>（</w:t>
      </w:r>
      <w:r>
        <w:rPr>
          <w:sz w:val="21"/>
        </w:rPr>
        <w:t>待建</w:t>
      </w:r>
      <w:r>
        <w:rPr>
          <w:sz w:val="21"/>
        </w:rPr>
        <w:t>）</w:t>
      </w:r>
      <w:r>
        <w:rPr>
          <w:sz w:val="21"/>
        </w:rPr>
        <w:t>地和公园等公共外环境。各个地理方位的主要街道、背街小巷、城中村、闲置（待建）地和公园等公共外环境</w:t>
      </w:r>
      <w:r>
        <w:rPr>
          <w:sz w:val="21"/>
        </w:rPr>
        <w:t>。</w:t>
      </w:r>
    </w:p>
    <w:p>
      <w:pPr>
        <w:pStyle w:val="null3"/>
        <w:jc w:val="left"/>
      </w:pPr>
      <w:r>
        <w:rPr>
          <w:sz w:val="21"/>
          <w:b/>
        </w:rPr>
        <w:t>三、详细服务要求</w:t>
      </w:r>
    </w:p>
    <w:p>
      <w:pPr>
        <w:pStyle w:val="null3"/>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25"/>
        <w:gridCol w:w="1789"/>
        <w:gridCol w:w="3434"/>
        <w:gridCol w:w="195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工作内容</w:t>
            </w:r>
          </w:p>
        </w:tc>
        <w:tc>
          <w:tcPr>
            <w:tcW w:type="dxa" w:w="3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操作规范和要求</w:t>
            </w:r>
          </w:p>
        </w:tc>
        <w:tc>
          <w:tcPr>
            <w:tcW w:type="dxa" w:w="1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频次</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公共外环境统一全面投药灭鼠</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灭鼠</w:t>
            </w:r>
            <w:r>
              <w:rPr>
                <w:sz w:val="21"/>
                <w:color w:val="000000"/>
              </w:rPr>
              <w:t>8</w:t>
            </w:r>
            <w:r>
              <w:rPr>
                <w:sz w:val="21"/>
                <w:color w:val="000000"/>
              </w:rPr>
              <w:t>轮</w:t>
            </w:r>
            <w:r>
              <w:rPr>
                <w:sz w:val="21"/>
                <w:color w:val="000000"/>
              </w:rPr>
              <w:t>，</w:t>
            </w:r>
            <w:r>
              <w:rPr>
                <w:sz w:val="21"/>
                <w:color w:val="000000"/>
              </w:rPr>
              <w:t>每轮</w:t>
            </w:r>
            <w:r>
              <w:rPr>
                <w:sz w:val="21"/>
                <w:color w:val="000000"/>
              </w:rPr>
              <w:t>3</w:t>
            </w:r>
            <w:r>
              <w:rPr>
                <w:sz w:val="21"/>
                <w:color w:val="000000"/>
              </w:rPr>
              <w:t>次（包括安装足量毒鼠筒、投药、补药、清鼠迹、检查等工作），药物必须使用合法灭鼠药物，新鲜、适口性强，投放点多、量饱和，勤跟踪，及时补药。</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日常跟踪公共外环境灭鼠效果。</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每次检查鼠迹，发现鼠迹立即清理并及时投放和补充足量灭鼠毒饵。</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灭鼠投药</w:t>
            </w:r>
            <w:r>
              <w:rPr>
                <w:sz w:val="21"/>
                <w:color w:val="000000"/>
              </w:rPr>
              <w:t>:</w:t>
            </w:r>
            <w:r>
              <w:rPr>
                <w:sz w:val="21"/>
                <w:color w:val="000000"/>
              </w:rPr>
              <w:t>每轮投药至少要投放</w:t>
            </w:r>
            <w:r>
              <w:rPr>
                <w:sz w:val="21"/>
                <w:color w:val="000000"/>
              </w:rPr>
              <w:t xml:space="preserve">2-3 </w:t>
            </w:r>
            <w:r>
              <w:rPr>
                <w:sz w:val="21"/>
                <w:color w:val="000000"/>
              </w:rPr>
              <w:t>次，吃多少补多少，吃完加倍投放，直至不</w:t>
            </w:r>
          </w:p>
          <w:p>
            <w:pPr>
              <w:pStyle w:val="null3"/>
              <w:jc w:val="center"/>
            </w:pPr>
            <w:r>
              <w:rPr>
                <w:sz w:val="21"/>
                <w:color w:val="000000"/>
              </w:rPr>
              <w:t>再盗食</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开展鼠情监测</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每季度对重点单位如食品加工场所、市场、餐饮旅业、学校饭堂、居民住宅区等会同我区相关专业人员按标准要求做好密度监测，并对重点单位做好防鼠设施指导工作。同时，做好监测记录和统计等相关资料。</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一次</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热烟雾灭成蚊</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用热烟雾机、烟雾剂对下水道、小区绿化丛林、公共车库、阴沟角落等进行地毯式烟薰杀灭成蚊（同时灭蝇、蟑螂）。</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药物滞留喷洒灭成蚊</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用背负式机动、电动喷雾机或大中型园林喷雾机对公园、广场、无物业住宅小区、废品收购站、绿化带进行药物滞留喷洒灭成蚊。要求：每次至少出动</w:t>
            </w:r>
            <w:r>
              <w:rPr>
                <w:sz w:val="21"/>
                <w:color w:val="000000"/>
              </w:rPr>
              <w:t>8</w:t>
            </w:r>
            <w:r>
              <w:rPr>
                <w:sz w:val="21"/>
                <w:color w:val="000000"/>
              </w:rPr>
              <w:t>台喷雾机同时进行，另安排</w:t>
            </w:r>
            <w:r>
              <w:rPr>
                <w:sz w:val="21"/>
                <w:color w:val="000000"/>
              </w:rPr>
              <w:t>1—2</w:t>
            </w:r>
            <w:r>
              <w:rPr>
                <w:sz w:val="21"/>
                <w:color w:val="000000"/>
              </w:rPr>
              <w:t>人负责后勤保障工作。</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药泡木塞或缓释包控制蚊幼虫</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用卫生杀虫剂充分浸泡过的软木塞、缓释包或灭蚊幼颗粒剂，投放于下水道进水口等蚊虫孳生地，防止蚊幼虫孳生。要求：木塞完全吊放入积水中，每次均用不同颜色的系绳区分，对失效的旧木塞进行回收。</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r>
              <w:rPr>
                <w:sz w:val="21"/>
                <w:color w:val="000000"/>
              </w:rPr>
              <w:t>大中型水体防控</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对承包范围内的大中型水体（如死水塘、污水涌等）进行定期跟踪检查，如发现蚊幼虫孳生，立即投药处理。</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各类小积水处理</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对承包范围的公共外环境各类积水进行检查处理，对不能清理的蚊虫孳生地，要采取投药或放养鱼类等方法进行科学防制。</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公厕、垃圾站灭蝇</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用喷雾机定期对市政公厕、中转站、垃圾屋、垃圾池、垃圾桶、垃圾车以及卫生死角、垃圾堆进行空间、滞留喷药灭蝇，在市开展城市管理考评等迎检期间要加强防制。</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vMerge/>
            <w:tcBorders>
              <w:top w:val="none" w:color="000000" w:sz="4"/>
              <w:left w:val="single" w:color="000000" w:sz="4"/>
              <w:bottom w:val="single" w:color="000000" w:sz="4"/>
              <w:right w:val="single" w:color="000000" w:sz="4"/>
            </w:tcBorders>
          </w:tcP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蝇类孳生地检查处理</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检查处理蝇类孳生地，对不能清理的蝇类孳生地，进行投药防制。</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内容中第</w:t>
            </w:r>
            <w:r>
              <w:rPr>
                <w:sz w:val="21"/>
                <w:color w:val="000000"/>
              </w:rPr>
              <w:t>3</w:t>
            </w:r>
            <w:r>
              <w:rPr>
                <w:sz w:val="21"/>
                <w:color w:val="000000"/>
              </w:rPr>
              <w:t>点服务频次要求执行</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下水道灭蟑螂</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对下水道、阴沟角落等进行烟雾灭蟑。</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w:t>
            </w:r>
            <w:r>
              <w:rPr>
                <w:sz w:val="21"/>
                <w:color w:val="000000"/>
              </w:rPr>
              <w:t>“</w:t>
            </w:r>
            <w:r>
              <w:rPr>
                <w:sz w:val="21"/>
                <w:color w:val="000000"/>
              </w:rPr>
              <w:t>服务内容、期限及频次</w:t>
            </w:r>
            <w:r>
              <w:rPr>
                <w:sz w:val="21"/>
                <w:color w:val="000000"/>
              </w:rPr>
              <w:t>”</w:t>
            </w:r>
            <w:r>
              <w:rPr>
                <w:sz w:val="21"/>
                <w:color w:val="000000"/>
              </w:rPr>
              <w:t>内容中的第</w:t>
            </w:r>
            <w:r>
              <w:rPr>
                <w:sz w:val="21"/>
                <w:color w:val="000000"/>
              </w:rPr>
              <w:t>3</w:t>
            </w:r>
            <w:r>
              <w:rPr>
                <w:sz w:val="21"/>
                <w:color w:val="000000"/>
              </w:rPr>
              <w:t>点服务频次要求执行</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w:t>
            </w:r>
          </w:p>
          <w:p>
            <w:pPr>
              <w:pStyle w:val="null3"/>
              <w:jc w:val="center"/>
            </w:pPr>
            <w:r>
              <w:rPr>
                <w:sz w:val="21"/>
                <w:color w:val="000000"/>
              </w:rPr>
              <w:t>登记</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对消杀工作情况进行登记</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设置专用的消杀情况登记薄，对每次开展消杀工作情况（含日期、地点、消杀内容、消杀人员姓名、使用药物、药量等）进行详细记录。</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每次服务</w:t>
            </w:r>
            <w:r>
              <w:rPr>
                <w:sz w:val="21"/>
                <w:color w:val="000000"/>
              </w:rPr>
              <w:t>后</w:t>
            </w:r>
            <w:r>
              <w:rPr>
                <w:sz w:val="21"/>
                <w:color w:val="000000"/>
              </w:rPr>
              <w:t>三天内提供</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密度</w:t>
            </w:r>
          </w:p>
          <w:p>
            <w:pPr>
              <w:pStyle w:val="null3"/>
              <w:jc w:val="center"/>
            </w:pPr>
            <w:r>
              <w:rPr>
                <w:sz w:val="21"/>
                <w:color w:val="000000"/>
              </w:rPr>
              <w:t>监测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定期开展承包区域四害密度监测</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要求开展本承包区域的鼠、蚊、蝇、蟑螂密度监测。要求根据国家制定的标准要求与方法，定期监测一次，准确、如实记录、统计监测情况，每季度将上一轮的监测统计表及用药情况统计表书面报发包人。同时，完善全年的监测资料，建立健全档案专柜保管。</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每季度一次</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应急响应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如遇重大疫情需应急响应（登革热等传染病高发季节）</w:t>
            </w:r>
          </w:p>
        </w:tc>
        <w:tc>
          <w:tcPr>
            <w:tcW w:type="dxa" w:w="3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如城区防治范围出现特发事件，可提前进行防制。</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应急响应要</w:t>
            </w:r>
            <w:r>
              <w:rPr>
                <w:sz w:val="21"/>
                <w:color w:val="000000"/>
              </w:rPr>
              <w:t>1</w:t>
            </w:r>
            <w:r>
              <w:rPr>
                <w:sz w:val="21"/>
                <w:color w:val="000000"/>
              </w:rPr>
              <w:t>小时内到达</w:t>
            </w:r>
          </w:p>
        </w:tc>
      </w:tr>
    </w:tbl>
    <w:p>
      <w:pPr>
        <w:pStyle w:val="null3"/>
        <w:jc w:val="both"/>
      </w:pPr>
      <w:r>
        <w:rPr>
          <w:sz w:val="21"/>
          <w:b/>
        </w:rPr>
        <w:t>四、服务质量标准要求</w:t>
      </w:r>
    </w:p>
    <w:p>
      <w:pPr>
        <w:pStyle w:val="null3"/>
        <w:ind w:firstLine="420"/>
        <w:jc w:val="both"/>
      </w:pPr>
      <w:r>
        <w:rPr>
          <w:sz w:val="21"/>
        </w:rPr>
        <w:t>服务范围内的公共外环境病媒生物的质量控制执行如下标准：</w:t>
      </w:r>
    </w:p>
    <w:p>
      <w:pPr>
        <w:pStyle w:val="null3"/>
        <w:jc w:val="both"/>
      </w:pPr>
      <w:r>
        <w:rPr>
          <w:sz w:val="21"/>
        </w:rPr>
        <w:t>1</w:t>
      </w:r>
      <w:r>
        <w:rPr>
          <w:sz w:val="21"/>
        </w:rPr>
        <w:t>、密度水平控制标准：中华人民共和国卫生部、中国国家标准化管理委员会《病媒生物密度控制水平</w:t>
      </w:r>
      <w:r>
        <w:rPr>
          <w:sz w:val="21"/>
        </w:rPr>
        <w:t>—</w:t>
      </w:r>
      <w:r>
        <w:rPr>
          <w:sz w:val="21"/>
        </w:rPr>
        <w:t>鼠类、蚊虫、蝇类、蜚蠊》的</w:t>
      </w:r>
      <w:r>
        <w:rPr>
          <w:sz w:val="21"/>
        </w:rPr>
        <w:t>4</w:t>
      </w:r>
      <w:r>
        <w:rPr>
          <w:sz w:val="21"/>
        </w:rPr>
        <w:t>个国家标准</w:t>
      </w:r>
      <w:r>
        <w:rPr>
          <w:sz w:val="21"/>
        </w:rPr>
        <w:t>（</w:t>
      </w:r>
      <w:r>
        <w:rPr>
          <w:sz w:val="21"/>
        </w:rPr>
        <w:t>GB/T27770</w:t>
      </w:r>
      <w:r>
        <w:rPr>
          <w:sz w:val="21"/>
        </w:rPr>
        <w:t>、</w:t>
      </w:r>
      <w:r>
        <w:rPr>
          <w:sz w:val="21"/>
        </w:rPr>
        <w:t>27771</w:t>
      </w:r>
      <w:r>
        <w:rPr>
          <w:sz w:val="21"/>
        </w:rPr>
        <w:t>、</w:t>
      </w:r>
      <w:r>
        <w:rPr>
          <w:sz w:val="21"/>
        </w:rPr>
        <w:t>27772</w:t>
      </w:r>
      <w:r>
        <w:rPr>
          <w:sz w:val="21"/>
        </w:rPr>
        <w:t>、</w:t>
      </w:r>
      <w:r>
        <w:rPr>
          <w:sz w:val="21"/>
        </w:rPr>
        <w:t>27773</w:t>
      </w:r>
      <w:r>
        <w:rPr>
          <w:sz w:val="21"/>
        </w:rPr>
        <w:t>-</w:t>
      </w:r>
      <w:r>
        <w:rPr>
          <w:sz w:val="21"/>
        </w:rPr>
        <w:t>2011</w:t>
      </w:r>
      <w:r>
        <w:rPr>
          <w:sz w:val="21"/>
        </w:rPr>
        <w:t>）。鼠类、蚊虫、蝇类、蜚蠊达到</w:t>
      </w:r>
      <w:r>
        <w:rPr>
          <w:sz w:val="21"/>
        </w:rPr>
        <w:t>C</w:t>
      </w:r>
      <w:r>
        <w:rPr>
          <w:sz w:val="21"/>
        </w:rPr>
        <w:t>级或以上。</w:t>
      </w:r>
    </w:p>
    <w:p>
      <w:pPr>
        <w:pStyle w:val="null3"/>
        <w:jc w:val="both"/>
      </w:pPr>
      <w:r>
        <w:rPr>
          <w:sz w:val="21"/>
        </w:rPr>
        <w:t>2</w:t>
      </w:r>
      <w:r>
        <w:rPr>
          <w:sz w:val="21"/>
        </w:rPr>
        <w:t>、密度监测标准：中华人民共和国国家质量监督检验检疫总局、中国国家标准化管理委员会《病媒生物密度监测方法</w:t>
      </w:r>
      <w:r>
        <w:rPr>
          <w:sz w:val="21"/>
        </w:rPr>
        <w:t>—蜚蠊、蝇类、蚊虫、鼠类》的</w:t>
      </w:r>
      <w:r>
        <w:rPr>
          <w:sz w:val="21"/>
        </w:rPr>
        <w:t>4</w:t>
      </w:r>
      <w:r>
        <w:rPr>
          <w:sz w:val="21"/>
        </w:rPr>
        <w:t>个国家标准（</w:t>
      </w:r>
      <w:r>
        <w:rPr>
          <w:sz w:val="21"/>
        </w:rPr>
        <w:t>GB/T 23795</w:t>
      </w:r>
      <w:r>
        <w:rPr>
          <w:sz w:val="21"/>
        </w:rPr>
        <w:t>、</w:t>
      </w:r>
      <w:r>
        <w:rPr>
          <w:sz w:val="21"/>
        </w:rPr>
        <w:t>23796</w:t>
      </w:r>
      <w:r>
        <w:rPr>
          <w:sz w:val="21"/>
        </w:rPr>
        <w:t>、</w:t>
      </w:r>
      <w:r>
        <w:rPr>
          <w:sz w:val="21"/>
        </w:rPr>
        <w:t>23798-2009</w:t>
      </w:r>
      <w:r>
        <w:rPr>
          <w:sz w:val="21"/>
        </w:rPr>
        <w:t>；</w:t>
      </w:r>
      <w:r>
        <w:rPr>
          <w:sz w:val="21"/>
        </w:rPr>
        <w:t>GB/T 23797-2020</w:t>
      </w:r>
      <w:r>
        <w:rPr>
          <w:sz w:val="21"/>
        </w:rPr>
        <w:t>）</w:t>
      </w:r>
      <w:r>
        <w:rPr>
          <w:sz w:val="21"/>
        </w:rPr>
        <w:t>。</w:t>
      </w:r>
      <w:r>
        <w:rPr>
          <w:sz w:val="21"/>
        </w:rPr>
        <w:t>本</w:t>
      </w:r>
      <w:r>
        <w:rPr>
          <w:sz w:val="21"/>
        </w:rPr>
        <w:t>合同</w:t>
      </w:r>
      <w:r>
        <w:rPr>
          <w:sz w:val="21"/>
        </w:rPr>
        <w:t>依据的国家、地方政府以及行业主管部门现行有效的规范、标准、规程和文件，如有更新则按最新的文件执行。</w:t>
      </w:r>
    </w:p>
    <w:p>
      <w:pPr>
        <w:pStyle w:val="null3"/>
        <w:jc w:val="left"/>
      </w:pPr>
      <w:r>
        <w:rPr>
          <w:sz w:val="21"/>
          <w:b/>
        </w:rPr>
        <w:t>五、付款方式</w:t>
      </w:r>
    </w:p>
    <w:p>
      <w:pPr>
        <w:pStyle w:val="null3"/>
        <w:jc w:val="left"/>
      </w:pPr>
      <w:r>
        <w:rPr>
          <w:sz w:val="21"/>
          <w:color w:val="000000"/>
        </w:rPr>
        <w:t>1</w:t>
      </w:r>
      <w:r>
        <w:rPr>
          <w:sz w:val="21"/>
          <w:color w:val="000000"/>
        </w:rPr>
        <w:t>、</w:t>
      </w:r>
      <w:r>
        <w:rPr>
          <w:sz w:val="21"/>
          <w:color w:val="000000"/>
        </w:rPr>
        <w:t>第</w:t>
      </w:r>
      <w:r>
        <w:rPr>
          <w:sz w:val="21"/>
          <w:color w:val="000000"/>
        </w:rPr>
        <w:t>1</w:t>
      </w:r>
      <w:r>
        <w:rPr>
          <w:sz w:val="21"/>
          <w:color w:val="000000"/>
        </w:rPr>
        <w:t>期为</w:t>
      </w:r>
      <w:r>
        <w:rPr>
          <w:sz w:val="21"/>
          <w:color w:val="000000"/>
        </w:rPr>
        <w:t>(</w:t>
      </w:r>
      <w:r>
        <w:rPr>
          <w:sz w:val="21"/>
          <w:color w:val="000000"/>
        </w:rPr>
        <w:t>预付款</w:t>
      </w:r>
      <w:r>
        <w:rPr>
          <w:sz w:val="21"/>
          <w:color w:val="000000"/>
        </w:rPr>
        <w:t>)</w:t>
      </w:r>
      <w:r>
        <w:rPr>
          <w:sz w:val="21"/>
          <w:color w:val="000000"/>
        </w:rPr>
        <w:t>：支付比例</w:t>
      </w:r>
      <w:r>
        <w:rPr>
          <w:sz w:val="21"/>
          <w:color w:val="000000"/>
        </w:rPr>
        <w:t>30%</w:t>
      </w:r>
      <w:r>
        <w:rPr>
          <w:sz w:val="21"/>
          <w:color w:val="000000"/>
        </w:rPr>
        <w:t>，合同签订后，</w:t>
      </w:r>
      <w:r>
        <w:rPr>
          <w:sz w:val="21"/>
          <w:color w:val="000000"/>
        </w:rPr>
        <w:t>乙方</w:t>
      </w:r>
      <w:r>
        <w:rPr>
          <w:sz w:val="21"/>
          <w:color w:val="000000"/>
        </w:rPr>
        <w:t>提供发票，</w:t>
      </w:r>
      <w:r>
        <w:rPr>
          <w:sz w:val="21"/>
          <w:color w:val="000000"/>
        </w:rPr>
        <w:t>甲方</w:t>
      </w:r>
      <w:r>
        <w:rPr>
          <w:sz w:val="21"/>
          <w:color w:val="000000"/>
        </w:rPr>
        <w:t>15</w:t>
      </w:r>
      <w:r>
        <w:rPr>
          <w:sz w:val="21"/>
          <w:color w:val="000000"/>
        </w:rPr>
        <w:t>天内向</w:t>
      </w:r>
      <w:r>
        <w:rPr>
          <w:sz w:val="21"/>
          <w:color w:val="000000"/>
        </w:rPr>
        <w:t>乙方</w:t>
      </w:r>
      <w:r>
        <w:rPr>
          <w:sz w:val="21"/>
          <w:color w:val="000000"/>
        </w:rPr>
        <w:t>按合同价的</w:t>
      </w:r>
      <w:r>
        <w:rPr>
          <w:sz w:val="21"/>
          <w:color w:val="000000"/>
        </w:rPr>
        <w:t>30%</w:t>
      </w:r>
      <w:r>
        <w:rPr>
          <w:sz w:val="21"/>
          <w:color w:val="000000"/>
        </w:rPr>
        <w:t>支付预付款。</w:t>
      </w:r>
    </w:p>
    <w:p>
      <w:pPr>
        <w:pStyle w:val="null3"/>
        <w:jc w:val="left"/>
      </w:pPr>
      <w:r>
        <w:rPr>
          <w:sz w:val="21"/>
          <w:color w:val="000000"/>
        </w:rPr>
        <w:t>2</w:t>
      </w:r>
      <w:r>
        <w:rPr>
          <w:sz w:val="21"/>
          <w:color w:val="000000"/>
        </w:rPr>
        <w:t>、</w:t>
      </w:r>
      <w:r>
        <w:rPr>
          <w:sz w:val="21"/>
          <w:color w:val="000000"/>
        </w:rPr>
        <w:t>第</w:t>
      </w:r>
      <w:r>
        <w:rPr>
          <w:sz w:val="21"/>
          <w:color w:val="000000"/>
        </w:rPr>
        <w:t>2</w:t>
      </w:r>
      <w:r>
        <w:rPr>
          <w:sz w:val="21"/>
          <w:color w:val="000000"/>
        </w:rPr>
        <w:t>期为</w:t>
      </w:r>
      <w:r>
        <w:rPr>
          <w:sz w:val="21"/>
          <w:color w:val="000000"/>
        </w:rPr>
        <w:t>(</w:t>
      </w:r>
      <w:r>
        <w:rPr>
          <w:sz w:val="21"/>
          <w:color w:val="000000"/>
        </w:rPr>
        <w:t>进度款</w:t>
      </w:r>
      <w:r>
        <w:rPr>
          <w:sz w:val="21"/>
          <w:color w:val="000000"/>
        </w:rPr>
        <w:t>)</w:t>
      </w:r>
      <w:r>
        <w:rPr>
          <w:sz w:val="21"/>
          <w:color w:val="000000"/>
        </w:rPr>
        <w:t>：支付比例</w:t>
      </w:r>
      <w:r>
        <w:rPr>
          <w:sz w:val="21"/>
          <w:color w:val="000000"/>
        </w:rPr>
        <w:t>60%</w:t>
      </w:r>
      <w:r>
        <w:rPr>
          <w:sz w:val="21"/>
          <w:color w:val="000000"/>
        </w:rPr>
        <w:t>，在每季度（或每三个月）服务结束并经第三方验收合格后，</w:t>
      </w:r>
      <w:r>
        <w:rPr>
          <w:sz w:val="21"/>
          <w:color w:val="000000"/>
        </w:rPr>
        <w:t>乙方</w:t>
      </w:r>
      <w:r>
        <w:rPr>
          <w:sz w:val="21"/>
          <w:color w:val="000000"/>
        </w:rPr>
        <w:t>提供发票，</w:t>
      </w:r>
      <w:r>
        <w:rPr>
          <w:sz w:val="21"/>
          <w:color w:val="000000"/>
        </w:rPr>
        <w:t>甲方</w:t>
      </w:r>
      <w:r>
        <w:rPr>
          <w:sz w:val="21"/>
          <w:color w:val="000000"/>
        </w:rPr>
        <w:t>15</w:t>
      </w:r>
      <w:r>
        <w:rPr>
          <w:sz w:val="21"/>
          <w:color w:val="000000"/>
        </w:rPr>
        <w:t>天内支付本季度（三个月）服务费。但累计支付金额不得超过签约合同总价的</w:t>
      </w:r>
      <w:r>
        <w:rPr>
          <w:sz w:val="21"/>
          <w:color w:val="000000"/>
        </w:rPr>
        <w:t>90%</w:t>
      </w:r>
      <w:r>
        <w:rPr>
          <w:sz w:val="21"/>
          <w:color w:val="000000"/>
        </w:rPr>
        <w:t>。</w:t>
      </w:r>
    </w:p>
    <w:p>
      <w:pPr>
        <w:pStyle w:val="null3"/>
        <w:jc w:val="left"/>
      </w:pPr>
      <w:r>
        <w:rPr>
          <w:sz w:val="21"/>
          <w:color w:val="000000"/>
        </w:rPr>
        <w:t>3</w:t>
      </w:r>
      <w:r>
        <w:rPr>
          <w:sz w:val="21"/>
          <w:color w:val="000000"/>
        </w:rPr>
        <w:t>、</w:t>
      </w:r>
      <w:r>
        <w:rPr>
          <w:sz w:val="21"/>
          <w:color w:val="000000"/>
        </w:rPr>
        <w:t>第</w:t>
      </w:r>
      <w:r>
        <w:rPr>
          <w:sz w:val="21"/>
          <w:color w:val="000000"/>
        </w:rPr>
        <w:t>3</w:t>
      </w:r>
      <w:r>
        <w:rPr>
          <w:sz w:val="21"/>
          <w:color w:val="000000"/>
        </w:rPr>
        <w:t>期为</w:t>
      </w:r>
      <w:r>
        <w:rPr>
          <w:sz w:val="21"/>
          <w:color w:val="000000"/>
        </w:rPr>
        <w:t>(</w:t>
      </w:r>
      <w:r>
        <w:rPr>
          <w:sz w:val="21"/>
          <w:color w:val="000000"/>
        </w:rPr>
        <w:t>尾款</w:t>
      </w:r>
      <w:r>
        <w:rPr>
          <w:sz w:val="21"/>
          <w:color w:val="000000"/>
        </w:rPr>
        <w:t>)</w:t>
      </w:r>
      <w:r>
        <w:rPr>
          <w:sz w:val="21"/>
          <w:color w:val="000000"/>
        </w:rPr>
        <w:t>：支付比例</w:t>
      </w:r>
      <w:r>
        <w:rPr>
          <w:sz w:val="21"/>
          <w:color w:val="000000"/>
        </w:rPr>
        <w:t>10%</w:t>
      </w:r>
      <w:r>
        <w:rPr>
          <w:sz w:val="21"/>
          <w:color w:val="000000"/>
        </w:rPr>
        <w:t>，剩余合同服务金额的</w:t>
      </w:r>
      <w:r>
        <w:rPr>
          <w:sz w:val="21"/>
          <w:color w:val="000000"/>
        </w:rPr>
        <w:t>10%</w:t>
      </w:r>
      <w:r>
        <w:rPr>
          <w:sz w:val="21"/>
          <w:color w:val="000000"/>
        </w:rPr>
        <w:t>待合同期满验收合格后，</w:t>
      </w:r>
      <w:r>
        <w:rPr>
          <w:sz w:val="21"/>
          <w:color w:val="000000"/>
        </w:rPr>
        <w:t>乙方</w:t>
      </w:r>
      <w:r>
        <w:rPr>
          <w:sz w:val="21"/>
          <w:color w:val="000000"/>
        </w:rPr>
        <w:t>提供发票，</w:t>
      </w:r>
      <w:r>
        <w:rPr>
          <w:sz w:val="21"/>
          <w:color w:val="000000"/>
        </w:rPr>
        <w:t>甲方</w:t>
      </w:r>
      <w:r>
        <w:rPr>
          <w:sz w:val="21"/>
          <w:color w:val="000000"/>
        </w:rPr>
        <w:t>15</w:t>
      </w:r>
      <w:r>
        <w:rPr>
          <w:sz w:val="21"/>
          <w:color w:val="000000"/>
        </w:rPr>
        <w:t>天内一次性付清给</w:t>
      </w:r>
      <w:r>
        <w:rPr>
          <w:sz w:val="21"/>
          <w:color w:val="000000"/>
        </w:rPr>
        <w:t>乙方</w:t>
      </w:r>
      <w:r>
        <w:rPr>
          <w:sz w:val="21"/>
        </w:rPr>
        <w:t>。</w:t>
      </w:r>
    </w:p>
    <w:p>
      <w:pPr>
        <w:pStyle w:val="null3"/>
        <w:jc w:val="left"/>
      </w:pPr>
      <w:r>
        <w:rPr>
          <w:sz w:val="21"/>
          <w:b/>
        </w:rPr>
        <w:t>六、</w:t>
      </w:r>
      <w:r>
        <w:rPr>
          <w:sz w:val="21"/>
          <w:b/>
        </w:rPr>
        <w:t>验收要求</w:t>
      </w:r>
    </w:p>
    <w:p>
      <w:pPr>
        <w:pStyle w:val="null3"/>
        <w:jc w:val="both"/>
      </w:pPr>
      <w:r>
        <w:rPr>
          <w:sz w:val="21"/>
        </w:rPr>
        <w:t>1</w:t>
      </w:r>
      <w:r>
        <w:rPr>
          <w:sz w:val="21"/>
        </w:rPr>
        <w:t>、参与考核的单位进行的考核满分均为百分制，采取倒扣分制。</w:t>
      </w:r>
    </w:p>
    <w:p>
      <w:pPr>
        <w:pStyle w:val="null3"/>
        <w:jc w:val="both"/>
      </w:pPr>
      <w:r>
        <w:rPr>
          <w:sz w:val="21"/>
        </w:rPr>
        <w:t>2</w:t>
      </w:r>
      <w:r>
        <w:rPr>
          <w:sz w:val="21"/>
        </w:rPr>
        <w:t>、参与考核的单位必须根据</w:t>
      </w:r>
      <w:r>
        <w:rPr>
          <w:sz w:val="21"/>
        </w:rPr>
        <w:t>高要区国家卫生城市公共外环境病媒生物防制服务</w:t>
      </w:r>
      <w:r>
        <w:rPr>
          <w:sz w:val="21"/>
        </w:rPr>
        <w:t>管理及考核标准执行。</w:t>
      </w:r>
    </w:p>
    <w:p>
      <w:pPr>
        <w:pStyle w:val="null3"/>
        <w:jc w:val="both"/>
      </w:pPr>
      <w:r>
        <w:rPr>
          <w:sz w:val="21"/>
        </w:rPr>
        <w:t>3</w:t>
      </w:r>
      <w:r>
        <w:rPr>
          <w:sz w:val="21"/>
        </w:rPr>
        <w:t>、考评</w:t>
      </w:r>
      <w:r>
        <w:rPr>
          <w:sz w:val="21"/>
        </w:rPr>
        <w:t>要求</w:t>
      </w:r>
      <w:r>
        <w:rPr>
          <w:sz w:val="21"/>
        </w:rPr>
        <w:t>：根据国家标准，并进行</w:t>
      </w:r>
      <w:r>
        <w:rPr>
          <w:sz w:val="21"/>
        </w:rPr>
        <w:t>4</w:t>
      </w:r>
      <w:r>
        <w:rPr>
          <w:sz w:val="21"/>
        </w:rPr>
        <w:t>次考评。按照每次</w:t>
      </w:r>
      <w:r>
        <w:rPr>
          <w:sz w:val="21"/>
        </w:rPr>
        <w:t>5</w:t>
      </w:r>
      <w:r>
        <w:rPr>
          <w:sz w:val="21"/>
        </w:rPr>
        <w:t>000.00</w:t>
      </w:r>
      <w:r>
        <w:rPr>
          <w:sz w:val="21"/>
        </w:rPr>
        <w:t>元作为委托第三方机构考评费用，该项费用</w:t>
      </w:r>
      <w:r>
        <w:rPr>
          <w:sz w:val="21"/>
        </w:rPr>
        <w:t>已包含合同金额中</w:t>
      </w:r>
      <w:r>
        <w:rPr>
          <w:sz w:val="21"/>
        </w:rPr>
        <w:t>。</w:t>
      </w:r>
    </w:p>
    <w:p>
      <w:pPr>
        <w:pStyle w:val="null3"/>
        <w:jc w:val="both"/>
      </w:pPr>
      <w:r>
        <w:rPr>
          <w:sz w:val="21"/>
        </w:rPr>
        <w:t>4</w:t>
      </w:r>
      <w:r>
        <w:rPr>
          <w:sz w:val="21"/>
        </w:rPr>
        <w:t>、考核总分以权重比例计算构成，具体比例如下：</w:t>
      </w:r>
    </w:p>
    <w:tbl>
      <w:tblPr>
        <w:tblW w:w="0" w:type="auto"/>
        <w:tblBorders>
          <w:top w:val="none" w:color="000000" w:sz="4"/>
          <w:left w:val="none" w:color="000000" w:sz="4"/>
          <w:bottom w:val="none" w:color="000000" w:sz="4"/>
          <w:right w:val="none" w:color="000000" w:sz="4"/>
          <w:insideH w:val="none"/>
          <w:insideV w:val="none"/>
        </w:tblBorders>
      </w:tblPr>
      <w:tblGrid>
        <w:gridCol w:w="1941"/>
        <w:gridCol w:w="6365"/>
      </w:tblGrid>
      <w:tr>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检查形式</w:t>
            </w:r>
          </w:p>
        </w:tc>
        <w:tc>
          <w:tcPr>
            <w:tcW w:type="dxa" w:w="6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具体操作方法</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专业考核</w:t>
            </w:r>
          </w:p>
          <w:p>
            <w:pPr>
              <w:pStyle w:val="null3"/>
              <w:jc w:val="center"/>
            </w:pPr>
            <w:r>
              <w:rPr>
                <w:sz w:val="21"/>
              </w:rPr>
              <w:t>（</w:t>
            </w:r>
            <w:r>
              <w:rPr>
                <w:sz w:val="21"/>
              </w:rPr>
              <w:t>60%</w:t>
            </w:r>
            <w:r>
              <w:rPr>
                <w:sz w:val="21"/>
              </w:rPr>
              <w:t>）</w:t>
            </w:r>
          </w:p>
        </w:tc>
        <w:tc>
          <w:tcPr>
            <w:tcW w:type="dxa" w:w="6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由采购单位牵头，委托市级以上的有害生物防防制协会或专家库组成专家组根据国家</w:t>
            </w:r>
            <w:r>
              <w:rPr>
                <w:sz w:val="21"/>
              </w:rPr>
              <w:t>“</w:t>
            </w:r>
            <w:r>
              <w:rPr>
                <w:sz w:val="21"/>
              </w:rPr>
              <w:t>四害</w:t>
            </w:r>
            <w:r>
              <w:rPr>
                <w:sz w:val="21"/>
              </w:rPr>
              <w:t>”</w:t>
            </w:r>
            <w:r>
              <w:rPr>
                <w:sz w:val="21"/>
              </w:rPr>
              <w:t>密度监测标准与方法的相关标准进行专业考核监测，并出具质量考核报告。</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日常工作考核</w:t>
            </w:r>
          </w:p>
          <w:p>
            <w:pPr>
              <w:pStyle w:val="null3"/>
              <w:jc w:val="center"/>
            </w:pPr>
            <w:r>
              <w:rPr>
                <w:sz w:val="21"/>
              </w:rPr>
              <w:t>（</w:t>
            </w:r>
            <w:r>
              <w:rPr>
                <w:sz w:val="21"/>
              </w:rPr>
              <w:t>40%</w:t>
            </w:r>
            <w:r>
              <w:rPr>
                <w:sz w:val="21"/>
              </w:rPr>
              <w:t>）</w:t>
            </w:r>
          </w:p>
        </w:tc>
        <w:tc>
          <w:tcPr>
            <w:tcW w:type="dxa" w:w="6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由爱卫主管部门安排专职人员，负责对除</w:t>
            </w:r>
            <w:r>
              <w:rPr>
                <w:sz w:val="21"/>
              </w:rPr>
              <w:t>“</w:t>
            </w:r>
            <w:r>
              <w:rPr>
                <w:sz w:val="21"/>
              </w:rPr>
              <w:t>四害</w:t>
            </w:r>
            <w:r>
              <w:rPr>
                <w:sz w:val="21"/>
              </w:rPr>
              <w:t>”</w:t>
            </w:r>
            <w:r>
              <w:rPr>
                <w:sz w:val="21"/>
              </w:rPr>
              <w:t>专业队日常放药、喷洒、治理孳生地、栖生地和成蚊等工作进行跟进并签名确认，每次服务完成后对服务范围内的除</w:t>
            </w:r>
            <w:r>
              <w:rPr>
                <w:sz w:val="21"/>
              </w:rPr>
              <w:t>“</w:t>
            </w:r>
            <w:r>
              <w:rPr>
                <w:sz w:val="21"/>
              </w:rPr>
              <w:t>四害</w:t>
            </w:r>
            <w:r>
              <w:rPr>
                <w:sz w:val="21"/>
              </w:rPr>
              <w:t>”</w:t>
            </w:r>
            <w:r>
              <w:rPr>
                <w:sz w:val="21"/>
              </w:rPr>
              <w:t>工作进行一次检查考核。</w:t>
            </w:r>
          </w:p>
        </w:tc>
      </w:tr>
    </w:tbl>
    <w:p>
      <w:pPr>
        <w:pStyle w:val="null3"/>
        <w:jc w:val="both"/>
      </w:pPr>
      <w:r>
        <w:rPr>
          <w:sz w:val="21"/>
        </w:rPr>
        <w:t>5</w:t>
      </w:r>
      <w:r>
        <w:rPr>
          <w:sz w:val="21"/>
        </w:rPr>
        <w:t>、每期考核总分作为每期服务费发放的依据。区爱卫部门将专业考核、日常工作考核分数统一汇总，评出</w:t>
      </w:r>
      <w:r>
        <w:rPr>
          <w:sz w:val="21"/>
        </w:rPr>
        <w:t>乙方</w:t>
      </w:r>
      <w:r>
        <w:rPr>
          <w:sz w:val="21"/>
        </w:rPr>
        <w:t>的考核总分，上报区财政结算中心，根据该期考核结果确定支付的服务费用，并以转账方式支付给</w:t>
      </w:r>
      <w:r>
        <w:rPr>
          <w:sz w:val="21"/>
        </w:rPr>
        <w:t>乙方</w:t>
      </w:r>
      <w:r>
        <w:rPr>
          <w:sz w:val="21"/>
        </w:rPr>
        <w:t>。</w:t>
      </w:r>
    </w:p>
    <w:p>
      <w:pPr>
        <w:pStyle w:val="null3"/>
        <w:jc w:val="left"/>
      </w:pPr>
      <w:r>
        <w:rPr>
          <w:sz w:val="21"/>
          <w:b/>
        </w:rPr>
        <w:t>七、</w:t>
      </w:r>
      <w:r>
        <w:rPr>
          <w:sz w:val="21"/>
          <w:b/>
        </w:rPr>
        <w:t>考核制度</w:t>
      </w:r>
    </w:p>
    <w:p>
      <w:pPr>
        <w:pStyle w:val="null3"/>
        <w:ind w:firstLine="420"/>
        <w:jc w:val="both"/>
      </w:pPr>
      <w:r>
        <w:rPr>
          <w:sz w:val="21"/>
        </w:rPr>
        <w:t>对</w:t>
      </w:r>
      <w:r>
        <w:rPr>
          <w:sz w:val="21"/>
        </w:rPr>
        <w:t>高要区国家卫生城市公共外环境病媒生物防制服务</w:t>
      </w:r>
      <w:r>
        <w:rPr>
          <w:sz w:val="21"/>
        </w:rPr>
        <w:t>质量的检查考核采用以下措施实施</w:t>
      </w:r>
      <w:r>
        <w:rPr>
          <w:sz w:val="21"/>
        </w:rPr>
        <w:t>季度考核</w:t>
      </w:r>
      <w:r>
        <w:rPr>
          <w:sz w:val="21"/>
        </w:rPr>
        <w:t>：</w:t>
      </w:r>
    </w:p>
    <w:p>
      <w:pPr>
        <w:pStyle w:val="null3"/>
        <w:ind w:firstLine="420"/>
        <w:jc w:val="both"/>
      </w:pPr>
      <w:r>
        <w:rPr>
          <w:sz w:val="21"/>
        </w:rPr>
        <w:t>1</w:t>
      </w:r>
      <w:r>
        <w:rPr>
          <w:sz w:val="21"/>
        </w:rPr>
        <w:t>、罚则</w:t>
      </w:r>
    </w:p>
    <w:p>
      <w:pPr>
        <w:pStyle w:val="null3"/>
        <w:ind w:firstLine="420"/>
        <w:jc w:val="both"/>
      </w:pPr>
      <w:r>
        <w:rPr>
          <w:sz w:val="21"/>
        </w:rPr>
        <w:t>每期服务费由高要区爱卫办审批后，按考核结果支付。</w:t>
      </w:r>
    </w:p>
    <w:p>
      <w:pPr>
        <w:pStyle w:val="null3"/>
        <w:ind w:firstLine="420"/>
        <w:jc w:val="both"/>
      </w:pPr>
      <w:r>
        <w:rPr>
          <w:sz w:val="21"/>
        </w:rPr>
        <w:t>（</w:t>
      </w:r>
      <w:r>
        <w:rPr>
          <w:sz w:val="21"/>
        </w:rPr>
        <w:t>1</w:t>
      </w:r>
      <w:r>
        <w:rPr>
          <w:sz w:val="21"/>
        </w:rPr>
        <w:t>）每期服务费金额与每期管理质量</w:t>
      </w:r>
      <w:r>
        <w:rPr>
          <w:sz w:val="21"/>
        </w:rPr>
        <w:t>考核</w:t>
      </w:r>
      <w:r>
        <w:rPr>
          <w:sz w:val="21"/>
        </w:rPr>
        <w:t>总分挂钩。</w:t>
      </w:r>
    </w:p>
    <w:p>
      <w:pPr>
        <w:pStyle w:val="null3"/>
        <w:ind w:firstLine="420"/>
        <w:jc w:val="both"/>
      </w:pPr>
      <w:r>
        <w:rPr>
          <w:sz w:val="21"/>
        </w:rPr>
        <w:t>（</w:t>
      </w:r>
      <w:r>
        <w:rPr>
          <w:sz w:val="21"/>
        </w:rPr>
        <w:t>2</w:t>
      </w:r>
      <w:r>
        <w:rPr>
          <w:sz w:val="21"/>
        </w:rPr>
        <w:t>）按考核总分情况调整发放每期服务费。经考核评定，考核总分高于或等于</w:t>
      </w:r>
      <w:r>
        <w:rPr>
          <w:sz w:val="21"/>
        </w:rPr>
        <w:t>85</w:t>
      </w:r>
      <w:r>
        <w:rPr>
          <w:sz w:val="21"/>
        </w:rPr>
        <w:t>分的为合格，低于</w:t>
      </w:r>
      <w:r>
        <w:rPr>
          <w:sz w:val="21"/>
        </w:rPr>
        <w:t>85</w:t>
      </w:r>
      <w:r>
        <w:rPr>
          <w:sz w:val="21"/>
        </w:rPr>
        <w:t>分的为不合格。其中，考核总分高于或等于</w:t>
      </w:r>
      <w:r>
        <w:rPr>
          <w:sz w:val="21"/>
        </w:rPr>
        <w:t>85</w:t>
      </w:r>
      <w:r>
        <w:rPr>
          <w:sz w:val="21"/>
        </w:rPr>
        <w:t>分的，不扣减该期服务费；考核总分低于</w:t>
      </w:r>
      <w:r>
        <w:rPr>
          <w:sz w:val="21"/>
        </w:rPr>
        <w:t>85</w:t>
      </w:r>
      <w:r>
        <w:rPr>
          <w:sz w:val="21"/>
        </w:rPr>
        <w:t>分，高于或等于</w:t>
      </w:r>
      <w:r>
        <w:rPr>
          <w:sz w:val="21"/>
        </w:rPr>
        <w:t>60</w:t>
      </w:r>
      <w:r>
        <w:rPr>
          <w:sz w:val="21"/>
        </w:rPr>
        <w:t>分的，每低</w:t>
      </w:r>
      <w:r>
        <w:rPr>
          <w:sz w:val="21"/>
        </w:rPr>
        <w:t>1</w:t>
      </w:r>
      <w:r>
        <w:rPr>
          <w:sz w:val="21"/>
        </w:rPr>
        <w:t>分对应须扣减该期服务费</w:t>
      </w:r>
      <w:r>
        <w:rPr>
          <w:sz w:val="21"/>
        </w:rPr>
        <w:t>1%</w:t>
      </w:r>
      <w:r>
        <w:rPr>
          <w:sz w:val="21"/>
        </w:rPr>
        <w:t>，不足</w:t>
      </w:r>
      <w:r>
        <w:rPr>
          <w:sz w:val="21"/>
        </w:rPr>
        <w:t>1</w:t>
      </w:r>
      <w:r>
        <w:rPr>
          <w:sz w:val="21"/>
        </w:rPr>
        <w:t>分的按</w:t>
      </w:r>
      <w:r>
        <w:rPr>
          <w:sz w:val="21"/>
        </w:rPr>
        <w:t>1</w:t>
      </w:r>
      <w:r>
        <w:rPr>
          <w:sz w:val="21"/>
        </w:rPr>
        <w:t>分计算；考核总分低于</w:t>
      </w:r>
      <w:r>
        <w:rPr>
          <w:sz w:val="21"/>
        </w:rPr>
        <w:t>60</w:t>
      </w:r>
      <w:r>
        <w:rPr>
          <w:sz w:val="21"/>
        </w:rPr>
        <w:t>分，高于或等于</w:t>
      </w:r>
      <w:r>
        <w:rPr>
          <w:sz w:val="21"/>
        </w:rPr>
        <w:t>30</w:t>
      </w:r>
      <w:r>
        <w:rPr>
          <w:sz w:val="21"/>
        </w:rPr>
        <w:t>分的，扣减该期服务费</w:t>
      </w:r>
      <w:r>
        <w:rPr>
          <w:sz w:val="21"/>
        </w:rPr>
        <w:t>50%</w:t>
      </w:r>
      <w:r>
        <w:rPr>
          <w:sz w:val="21"/>
        </w:rPr>
        <w:t>；考核总分低于</w:t>
      </w:r>
      <w:r>
        <w:rPr>
          <w:sz w:val="21"/>
        </w:rPr>
        <w:t>30</w:t>
      </w:r>
      <w:r>
        <w:rPr>
          <w:sz w:val="21"/>
        </w:rPr>
        <w:t>分的，不支付该期服务费。</w:t>
      </w:r>
    </w:p>
    <w:p>
      <w:pPr>
        <w:pStyle w:val="null3"/>
        <w:ind w:firstLine="420"/>
        <w:jc w:val="both"/>
      </w:pPr>
      <w:r>
        <w:rPr>
          <w:sz w:val="21"/>
        </w:rPr>
        <w:t>2</w:t>
      </w:r>
      <w:r>
        <w:rPr>
          <w:sz w:val="21"/>
        </w:rPr>
        <w:t>、合同期内连续两期考核总分低于</w:t>
      </w:r>
      <w:r>
        <w:rPr>
          <w:sz w:val="21"/>
        </w:rPr>
        <w:t>85</w:t>
      </w:r>
      <w:r>
        <w:rPr>
          <w:sz w:val="21"/>
        </w:rPr>
        <w:t>分或出现一期考核总分低于</w:t>
      </w:r>
      <w:r>
        <w:rPr>
          <w:sz w:val="21"/>
        </w:rPr>
        <w:t>60</w:t>
      </w:r>
      <w:r>
        <w:rPr>
          <w:sz w:val="21"/>
        </w:rPr>
        <w:t>分的，</w:t>
      </w:r>
      <w:r>
        <w:rPr>
          <w:sz w:val="21"/>
        </w:rPr>
        <w:t>甲方</w:t>
      </w:r>
      <w:r>
        <w:rPr>
          <w:sz w:val="21"/>
        </w:rPr>
        <w:t>有权解除</w:t>
      </w:r>
      <w:r>
        <w:rPr>
          <w:sz w:val="21"/>
        </w:rPr>
        <w:t>乙方</w:t>
      </w:r>
      <w:r>
        <w:rPr>
          <w:sz w:val="21"/>
        </w:rPr>
        <w:t>合同。</w:t>
      </w:r>
    </w:p>
    <w:p>
      <w:pPr>
        <w:pStyle w:val="null3"/>
        <w:ind w:firstLine="420"/>
        <w:jc w:val="both"/>
      </w:pPr>
      <w:r>
        <w:rPr>
          <w:sz w:val="21"/>
        </w:rPr>
        <w:t>后附考评表：</w:t>
      </w:r>
    </w:p>
    <w:p>
      <w:pPr>
        <w:pStyle w:val="null3"/>
        <w:ind w:firstLine="420"/>
        <w:jc w:val="both"/>
      </w:pPr>
      <w:r>
        <w:rPr>
          <w:sz w:val="21"/>
        </w:rPr>
        <w:t>附</w:t>
      </w:r>
      <w:r>
        <w:rPr>
          <w:sz w:val="21"/>
        </w:rPr>
        <w:t>件</w:t>
      </w:r>
      <w:r>
        <w:rPr>
          <w:sz w:val="21"/>
        </w:rPr>
        <w:t>一《公共外环境病媒生物密度监测表》</w:t>
      </w:r>
    </w:p>
    <w:p>
      <w:pPr>
        <w:pStyle w:val="null3"/>
        <w:ind w:firstLine="420"/>
        <w:jc w:val="both"/>
      </w:pPr>
      <w:r>
        <w:rPr>
          <w:sz w:val="21"/>
        </w:rPr>
        <w:t>附</w:t>
      </w:r>
      <w:r>
        <w:rPr>
          <w:sz w:val="21"/>
        </w:rPr>
        <w:t>件</w:t>
      </w:r>
      <w:r>
        <w:rPr>
          <w:sz w:val="21"/>
        </w:rPr>
        <w:t>二《公共外环境病媒生物密度监测汇总表》</w:t>
      </w:r>
    </w:p>
    <w:p>
      <w:pPr>
        <w:pStyle w:val="null3"/>
        <w:ind w:firstLine="420"/>
        <w:jc w:val="both"/>
      </w:pPr>
      <w:r>
        <w:rPr>
          <w:sz w:val="21"/>
        </w:rPr>
        <w:t>附</w:t>
      </w:r>
      <w:r>
        <w:rPr>
          <w:sz w:val="21"/>
        </w:rPr>
        <w:t>件</w:t>
      </w:r>
      <w:r>
        <w:rPr>
          <w:sz w:val="21"/>
        </w:rPr>
        <w:t>三《公共外环境病媒生物防制服务项目专家考评计分表》</w:t>
      </w:r>
    </w:p>
    <w:p>
      <w:pPr>
        <w:pStyle w:val="null3"/>
        <w:jc w:val="left"/>
      </w:pPr>
      <w:r>
        <w:rPr>
          <w:sz w:val="21"/>
          <w:b/>
        </w:rPr>
        <w:t>八、违约责任与赔偿损失</w:t>
      </w:r>
    </w:p>
    <w:p>
      <w:pPr>
        <w:pStyle w:val="null3"/>
        <w:ind w:firstLine="411"/>
        <w:jc w:val="both"/>
      </w:pPr>
      <w:r>
        <w:rPr>
          <w:sz w:val="21"/>
          <w:color w:val="000000"/>
        </w:rPr>
        <w:t>1</w:t>
      </w:r>
      <w:r>
        <w:rPr>
          <w:sz w:val="21"/>
          <w:color w:val="000000"/>
        </w:rPr>
        <w:t>、</w:t>
      </w:r>
      <w:r>
        <w:rPr>
          <w:sz w:val="21"/>
          <w:color w:val="000000"/>
        </w:rPr>
        <w:t>乙方提供的服务不符合本合同规定的，甲方有权拒收，并且乙方须向甲方方支付本合同总价</w:t>
      </w:r>
      <w:r>
        <w:rPr>
          <w:sz w:val="21"/>
          <w:color w:val="000000"/>
        </w:rPr>
        <w:t>5%</w:t>
      </w:r>
      <w:r>
        <w:rPr>
          <w:sz w:val="21"/>
          <w:color w:val="000000"/>
        </w:rPr>
        <w:t>的违约金。</w:t>
      </w:r>
    </w:p>
    <w:p>
      <w:pPr>
        <w:pStyle w:val="null3"/>
        <w:ind w:firstLine="411"/>
        <w:jc w:val="both"/>
      </w:pPr>
      <w:r>
        <w:rPr>
          <w:sz w:val="21"/>
          <w:color w:val="000000"/>
        </w:rPr>
        <w:t>2</w:t>
      </w:r>
      <w:r>
        <w:rPr>
          <w:sz w:val="21"/>
          <w:color w:val="000000"/>
        </w:rPr>
        <w:t>、</w:t>
      </w:r>
      <w:r>
        <w:rPr>
          <w:sz w:val="21"/>
          <w:color w:val="000000"/>
        </w:rPr>
        <w:t>乙方未能按本合同规定的交货时间提供服务，从逾期之日起每日按本合同总价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ind w:firstLine="411"/>
        <w:jc w:val="both"/>
      </w:pPr>
      <w:r>
        <w:rPr>
          <w:sz w:val="21"/>
          <w:color w:val="000000"/>
        </w:rPr>
        <w:t>3</w:t>
      </w:r>
      <w:r>
        <w:rPr>
          <w:sz w:val="21"/>
          <w:color w:val="000000"/>
        </w:rPr>
        <w:t>、</w:t>
      </w:r>
      <w:r>
        <w:rPr>
          <w:sz w:val="21"/>
          <w:color w:val="000000"/>
        </w:rPr>
        <w:t>甲方无正当理由拒绝接受服务，到期拒付服务款项的，甲方向乙方偿付本合同总的</w:t>
      </w:r>
      <w:r>
        <w:rPr>
          <w:sz w:val="21"/>
          <w:color w:val="000000"/>
        </w:rPr>
        <w:t>5%</w:t>
      </w:r>
      <w:r>
        <w:rPr>
          <w:sz w:val="21"/>
          <w:color w:val="000000"/>
        </w:rPr>
        <w:t>的违约金。甲方逾期付款，则每日按本合同总价的</w:t>
      </w:r>
      <w:r>
        <w:rPr>
          <w:sz w:val="21"/>
          <w:color w:val="000000"/>
        </w:rPr>
        <w:t>3</w:t>
      </w:r>
      <w:r>
        <w:rPr>
          <w:sz w:val="21"/>
          <w:color w:val="000000"/>
        </w:rPr>
        <w:t>‰向乙方偿付违约金。</w:t>
      </w:r>
    </w:p>
    <w:p>
      <w:pPr>
        <w:pStyle w:val="null3"/>
        <w:ind w:firstLine="411"/>
        <w:jc w:val="both"/>
      </w:pPr>
      <w:r>
        <w:rPr>
          <w:sz w:val="21"/>
          <w:color w:val="000000"/>
        </w:rPr>
        <w:t>4</w:t>
      </w:r>
      <w:r>
        <w:rPr>
          <w:sz w:val="21"/>
          <w:color w:val="000000"/>
        </w:rPr>
        <w:t>、</w:t>
      </w:r>
      <w:r>
        <w:rPr>
          <w:sz w:val="21"/>
          <w:color w:val="000000"/>
        </w:rPr>
        <w:t>对于因甲方原因导致变更、中止或者终止政府采购合同的，甲方应当依照合同约定对乙方受到的损失予以赔偿或者补偿，具体赔偿或补偿金额由双方协商确定。</w:t>
      </w:r>
    </w:p>
    <w:p>
      <w:pPr>
        <w:pStyle w:val="null3"/>
        <w:ind w:firstLine="411"/>
        <w:jc w:val="both"/>
      </w:pPr>
      <w:r>
        <w:rPr>
          <w:sz w:val="21"/>
          <w:color w:val="000000"/>
        </w:rPr>
        <w:t>5</w:t>
      </w:r>
      <w:r>
        <w:rPr>
          <w:sz w:val="21"/>
          <w:color w:val="000000"/>
        </w:rPr>
        <w:t>、</w:t>
      </w:r>
      <w:r>
        <w:rPr>
          <w:sz w:val="21"/>
          <w:color w:val="000000"/>
        </w:rPr>
        <w:t>对于因乙方原因导致变更、中止或者终止政府采购合同的，乙方应当依照合同约定对甲方受到的损失予以赔偿或者补偿，具体赔偿或补偿金额由双方协商确定。</w:t>
      </w:r>
    </w:p>
    <w:p>
      <w:pPr>
        <w:pStyle w:val="null3"/>
        <w:ind w:firstLine="411"/>
        <w:jc w:val="both"/>
      </w:pPr>
      <w:r>
        <w:rPr>
          <w:sz w:val="21"/>
          <w:color w:val="000000"/>
        </w:rPr>
        <w:t>6</w:t>
      </w:r>
      <w:r>
        <w:rPr>
          <w:sz w:val="21"/>
          <w:color w:val="000000"/>
        </w:rPr>
        <w:t>、</w:t>
      </w:r>
      <w:r>
        <w:rPr>
          <w:sz w:val="21"/>
          <w:color w:val="000000"/>
        </w:rPr>
        <w:t>其它违约责任按《中华人民共和国民法典</w:t>
      </w:r>
      <w:r>
        <w:rPr>
          <w:sz w:val="21"/>
          <w:color w:val="000000"/>
        </w:rPr>
        <w:t>(</w:t>
      </w:r>
      <w:r>
        <w:rPr>
          <w:sz w:val="21"/>
          <w:color w:val="000000"/>
        </w:rPr>
        <w:t>合同编</w:t>
      </w:r>
      <w:r>
        <w:rPr>
          <w:sz w:val="21"/>
          <w:color w:val="000000"/>
        </w:rPr>
        <w:t>)</w:t>
      </w:r>
      <w:r>
        <w:rPr>
          <w:sz w:val="21"/>
          <w:color w:val="000000"/>
        </w:rPr>
        <w:t>》处理。</w:t>
      </w:r>
    </w:p>
    <w:p>
      <w:pPr>
        <w:pStyle w:val="null3"/>
        <w:jc w:val="left"/>
      </w:pPr>
      <w:r>
        <w:rPr>
          <w:sz w:val="21"/>
          <w:b/>
        </w:rPr>
        <w:t>九</w:t>
      </w:r>
      <w:r>
        <w:rPr>
          <w:sz w:val="21"/>
          <w:b/>
        </w:rPr>
        <w:t>、争议的解决</w:t>
      </w:r>
    </w:p>
    <w:p>
      <w:pPr>
        <w:pStyle w:val="null3"/>
        <w:ind w:firstLine="411"/>
        <w:jc w:val="both"/>
      </w:pPr>
      <w:r>
        <w:rPr>
          <w:sz w:val="21"/>
          <w:color w:val="000000"/>
        </w:rPr>
        <w:t>合同执行过程中发生的任何争议，如双方不能通过友好协商解决，按相关法律法规处理。</w:t>
      </w:r>
      <w:r>
        <w:rPr>
          <w:sz w:val="21"/>
          <w:color w:val="000000"/>
        </w:rPr>
        <w:t xml:space="preserve">     </w:t>
      </w:r>
    </w:p>
    <w:p>
      <w:pPr>
        <w:pStyle w:val="null3"/>
        <w:jc w:val="left"/>
      </w:pPr>
      <w:r>
        <w:rPr>
          <w:sz w:val="21"/>
          <w:b/>
        </w:rPr>
        <w:t>十、不可抗力</w:t>
      </w:r>
    </w:p>
    <w:p>
      <w:pPr>
        <w:pStyle w:val="null3"/>
        <w:ind w:firstLine="411"/>
        <w:jc w:val="both"/>
      </w:pPr>
      <w:r>
        <w:rPr>
          <w:sz w:val="21"/>
          <w:color w:val="000000"/>
        </w:rPr>
        <w:t>任何一方由于不可抗力原因不能履行合同时，应在不可抗力事件结束后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w:t>
      </w:r>
      <w:r>
        <w:rPr>
          <w:sz w:val="21"/>
          <w:b/>
        </w:rPr>
        <w:t>一</w:t>
      </w:r>
      <w:r>
        <w:rPr>
          <w:sz w:val="21"/>
          <w:b/>
        </w:rPr>
        <w:t>、税费</w:t>
      </w:r>
    </w:p>
    <w:p>
      <w:pPr>
        <w:pStyle w:val="null3"/>
        <w:ind w:firstLine="411"/>
        <w:jc w:val="both"/>
      </w:pPr>
      <w:r>
        <w:rPr>
          <w:sz w:val="21"/>
          <w:color w:val="000000"/>
        </w:rPr>
        <w:t>在中国境内、外发生的与本合同执行有关的一切税费均由乙方负担。</w:t>
      </w:r>
    </w:p>
    <w:p>
      <w:pPr>
        <w:pStyle w:val="null3"/>
        <w:jc w:val="left"/>
      </w:pPr>
      <w:r>
        <w:rPr>
          <w:sz w:val="21"/>
          <w:b/>
        </w:rPr>
        <w:t>十</w:t>
      </w:r>
      <w:r>
        <w:rPr>
          <w:sz w:val="21"/>
          <w:b/>
        </w:rPr>
        <w:t>二</w:t>
      </w:r>
      <w:r>
        <w:rPr>
          <w:sz w:val="21"/>
          <w:b/>
        </w:rPr>
        <w:t>、其它</w:t>
      </w:r>
    </w:p>
    <w:p>
      <w:pPr>
        <w:pStyle w:val="null3"/>
        <w:ind w:firstLine="411"/>
        <w:jc w:val="both"/>
      </w:pPr>
      <w:r>
        <w:rPr>
          <w:sz w:val="21"/>
          <w:color w:val="000000"/>
        </w:rPr>
        <w:t>1</w:t>
      </w:r>
      <w:r>
        <w:rPr>
          <w:sz w:val="21"/>
          <w:color w:val="000000"/>
        </w:rPr>
        <w:t>、</w:t>
      </w:r>
      <w:r>
        <w:rPr>
          <w:sz w:val="21"/>
          <w:color w:val="000000"/>
        </w:rPr>
        <w:t>本合同所有附件、</w:t>
      </w:r>
      <w:r>
        <w:rPr>
          <w:sz w:val="21"/>
          <w:color w:val="000000"/>
        </w:rPr>
        <w:t>竞争性磋商</w:t>
      </w:r>
      <w:r>
        <w:rPr>
          <w:sz w:val="21"/>
          <w:color w:val="000000"/>
        </w:rPr>
        <w:t>文件、</w:t>
      </w:r>
      <w:r>
        <w:rPr>
          <w:sz w:val="21"/>
          <w:color w:val="000000"/>
        </w:rPr>
        <w:t>响应</w:t>
      </w:r>
      <w:r>
        <w:rPr>
          <w:sz w:val="21"/>
          <w:color w:val="000000"/>
        </w:rPr>
        <w:t>文件、中标</w:t>
      </w:r>
      <w:r>
        <w:rPr>
          <w:sz w:val="21"/>
          <w:color w:val="000000"/>
        </w:rPr>
        <w:t>/</w:t>
      </w:r>
      <w:r>
        <w:rPr>
          <w:sz w:val="21"/>
          <w:color w:val="000000"/>
        </w:rPr>
        <w:t>成交</w:t>
      </w:r>
      <w:r>
        <w:rPr>
          <w:sz w:val="21"/>
          <w:color w:val="000000"/>
        </w:rPr>
        <w:t>通知书均为合同的有效组成部分，与本合同具有同等法律效力。</w:t>
      </w:r>
    </w:p>
    <w:p>
      <w:pPr>
        <w:pStyle w:val="null3"/>
        <w:ind w:firstLine="411"/>
        <w:jc w:val="both"/>
      </w:pPr>
      <w:r>
        <w:rPr>
          <w:sz w:val="21"/>
          <w:color w:val="000000"/>
        </w:rPr>
        <w:t>2</w:t>
      </w:r>
      <w:r>
        <w:rPr>
          <w:sz w:val="21"/>
          <w:color w:val="000000"/>
        </w:rPr>
        <w:t>、</w:t>
      </w:r>
      <w:r>
        <w:rPr>
          <w:sz w:val="21"/>
          <w:color w:val="000000"/>
        </w:rPr>
        <w:t>在执行本合同的过程中，所有经双方签署确认的文件（包括会议纪要、补充协议、往来信函）即成为本合同的有效组成部分。</w:t>
      </w:r>
    </w:p>
    <w:p>
      <w:pPr>
        <w:pStyle w:val="null3"/>
        <w:ind w:firstLine="411"/>
        <w:jc w:val="both"/>
      </w:pPr>
      <w:r>
        <w:rPr>
          <w:sz w:val="21"/>
          <w:color w:val="000000"/>
        </w:rPr>
        <w:t>3</w:t>
      </w:r>
      <w:r>
        <w:rPr>
          <w:sz w:val="21"/>
          <w:color w:val="000000"/>
        </w:rPr>
        <w:t>、</w:t>
      </w:r>
      <w:r>
        <w:rPr>
          <w:sz w:val="21"/>
          <w:color w:val="000000"/>
        </w:rPr>
        <w:t>如一方地址、电话、传真号码有变更，应在变更当日内书面通知对方，否则，应承担相应责任。</w:t>
      </w:r>
    </w:p>
    <w:p>
      <w:pPr>
        <w:pStyle w:val="null3"/>
        <w:ind w:firstLine="411"/>
        <w:jc w:val="both"/>
      </w:pPr>
      <w:r>
        <w:rPr>
          <w:sz w:val="21"/>
          <w:color w:val="000000"/>
        </w:rPr>
        <w:t>4</w:t>
      </w:r>
      <w:r>
        <w:rPr>
          <w:sz w:val="21"/>
          <w:color w:val="000000"/>
        </w:rPr>
        <w:t>、</w:t>
      </w:r>
      <w:r>
        <w:rPr>
          <w:sz w:val="21"/>
          <w:color w:val="000000"/>
        </w:rPr>
        <w:t>除甲方事先书面同意外，乙方不得部分或全部转让其应履行的合同项下的义务。</w:t>
      </w:r>
    </w:p>
    <w:p>
      <w:pPr>
        <w:pStyle w:val="null3"/>
        <w:jc w:val="left"/>
      </w:pPr>
      <w:r>
        <w:rPr>
          <w:sz w:val="21"/>
          <w:b/>
        </w:rPr>
        <w:t>十</w:t>
      </w:r>
      <w:r>
        <w:rPr>
          <w:sz w:val="21"/>
          <w:b/>
        </w:rPr>
        <w:t>三</w:t>
      </w:r>
      <w:r>
        <w:rPr>
          <w:sz w:val="21"/>
          <w:b/>
        </w:rPr>
        <w:t>、合同生效</w:t>
      </w:r>
    </w:p>
    <w:p>
      <w:pPr>
        <w:pStyle w:val="null3"/>
        <w:ind w:firstLine="411"/>
        <w:jc w:val="both"/>
      </w:pPr>
      <w:r>
        <w:rPr>
          <w:sz w:val="21"/>
          <w:color w:val="000000"/>
        </w:rPr>
        <w:t>1</w:t>
      </w:r>
      <w:r>
        <w:rPr>
          <w:sz w:val="21"/>
          <w:color w:val="000000"/>
        </w:rPr>
        <w:t>、</w:t>
      </w:r>
      <w:r>
        <w:rPr>
          <w:sz w:val="21"/>
          <w:color w:val="000000"/>
        </w:rPr>
        <w:t>本合同在甲乙双方法人代表或其授权代表签字盖章后生效。</w:t>
      </w:r>
    </w:p>
    <w:p>
      <w:pPr>
        <w:pStyle w:val="null3"/>
        <w:ind w:firstLine="411"/>
        <w:jc w:val="both"/>
      </w:pPr>
      <w:r>
        <w:rPr>
          <w:sz w:val="21"/>
          <w:color w:val="000000"/>
        </w:rPr>
        <w:t>2</w:t>
      </w:r>
      <w:r>
        <w:rPr>
          <w:sz w:val="21"/>
          <w:color w:val="000000"/>
        </w:rPr>
        <w:t>、</w:t>
      </w:r>
      <w:r>
        <w:rPr>
          <w:sz w:val="21"/>
          <w:color w:val="000000"/>
        </w:rPr>
        <w:t>合同一式</w:t>
      </w:r>
      <w:r>
        <w:rPr>
          <w:sz w:val="21"/>
          <w:color w:val="000000"/>
        </w:rPr>
        <w:t xml:space="preserve">    </w:t>
      </w:r>
      <w:r>
        <w:rPr>
          <w:sz w:val="21"/>
          <w:color w:val="000000"/>
        </w:rPr>
        <w:t>份</w:t>
      </w:r>
      <w:r>
        <w:rPr>
          <w:sz w:val="21"/>
          <w:color w:val="000000"/>
        </w:rPr>
        <w:t>。</w:t>
      </w:r>
    </w:p>
    <w:p>
      <w:pPr>
        <w:pStyle w:val="null3"/>
        <w:ind w:firstLine="411"/>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甲方授权代表（签字）：</w:t>
      </w:r>
      <w:r>
        <w:rPr>
          <w:sz w:val="21"/>
          <w:color w:val="000000"/>
        </w:rPr>
        <w:t xml:space="preserve">                     </w:t>
      </w:r>
      <w:r>
        <w:rPr>
          <w:sz w:val="21"/>
          <w:color w:val="000000"/>
        </w:rPr>
        <w:t>乙方授权代表（签字）：</w:t>
      </w:r>
    </w:p>
    <w:p>
      <w:pPr>
        <w:pStyle w:val="null3"/>
        <w:jc w:val="both"/>
      </w:pPr>
      <w:r>
        <w:rPr>
          <w:sz w:val="21"/>
          <w:color w:val="000000"/>
        </w:rPr>
        <w:t>地</w:t>
      </w:r>
      <w:r>
        <w:rPr>
          <w:sz w:val="21"/>
          <w:color w:val="000000"/>
        </w:rPr>
        <w:t xml:space="preserve">    </w:t>
      </w:r>
      <w:r>
        <w:rPr>
          <w:sz w:val="21"/>
          <w:color w:val="000000"/>
        </w:rPr>
        <w:t>址：肇庆市高要区广新一路</w:t>
      </w:r>
      <w:r>
        <w:rPr>
          <w:sz w:val="21"/>
          <w:color w:val="000000"/>
        </w:rPr>
        <w:t>139</w:t>
      </w:r>
      <w:r>
        <w:rPr>
          <w:sz w:val="21"/>
          <w:color w:val="000000"/>
        </w:rPr>
        <w:t>号     地     址：</w:t>
      </w:r>
    </w:p>
    <w:p>
      <w:pPr>
        <w:pStyle w:val="null3"/>
        <w:jc w:val="both"/>
      </w:pPr>
      <w:r>
        <w:rPr>
          <w:sz w:val="21"/>
          <w:color w:val="000000"/>
        </w:rPr>
        <w:t>邮政编码：</w:t>
      </w:r>
      <w:r>
        <w:rPr>
          <w:sz w:val="21"/>
          <w:color w:val="000000"/>
        </w:rPr>
        <w:t xml:space="preserve">                                </w:t>
      </w:r>
      <w:r>
        <w:rPr>
          <w:sz w:val="21"/>
          <w:color w:val="000000"/>
        </w:rPr>
        <w:t>邮政编码：</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0758-8392312                    </w:t>
      </w:r>
      <w:r>
        <w:rPr>
          <w:sz w:val="21"/>
          <w:color w:val="000000"/>
        </w:rPr>
        <w:t>电     话：</w:t>
      </w:r>
    </w:p>
    <w:p>
      <w:pPr>
        <w:pStyle w:val="null3"/>
        <w:jc w:val="both"/>
      </w:pP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w:t>
      </w:r>
    </w:p>
    <w:p>
      <w:pPr>
        <w:pStyle w:val="null3"/>
        <w:jc w:val="both"/>
      </w:pPr>
      <w:r>
        <w:rPr>
          <w:sz w:val="21"/>
          <w:color w:val="000000"/>
        </w:rPr>
        <w:t>开户银行：</w:t>
      </w:r>
      <w:r>
        <w:rPr>
          <w:sz w:val="21"/>
          <w:color w:val="000000"/>
        </w:rPr>
        <w:t xml:space="preserve">                                </w:t>
      </w:r>
      <w:r>
        <w:rPr>
          <w:sz w:val="21"/>
          <w:color w:val="000000"/>
        </w:rPr>
        <w:t>开户银行：</w:t>
      </w:r>
    </w:p>
    <w:p>
      <w:pPr>
        <w:pStyle w:val="null3"/>
        <w:jc w:val="both"/>
      </w:pPr>
      <w:r>
        <w:rPr>
          <w:sz w:val="21"/>
          <w:color w:val="000000"/>
        </w:rPr>
        <w:t>开户帐号：</w:t>
      </w:r>
      <w:r>
        <w:rPr>
          <w:sz w:val="21"/>
          <w:color w:val="000000"/>
        </w:rPr>
        <w:t xml:space="preserve">                                </w:t>
      </w:r>
      <w:r>
        <w:rPr>
          <w:sz w:val="21"/>
          <w:color w:val="000000"/>
        </w:rPr>
        <w:t>开户帐号：</w:t>
      </w:r>
    </w:p>
    <w:p>
      <w:pPr>
        <w:pStyle w:val="null3"/>
        <w:jc w:val="both"/>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p>
    <w:p>
      <w:pPr>
        <w:pStyle w:val="null3"/>
        <w:jc w:val="both"/>
      </w:pPr>
      <w:r>
        <w:rPr/>
        <w:t xml:space="preserve"> </w:t>
      </w:r>
    </w:p>
    <w:p>
      <w:pPr>
        <w:pStyle w:val="null3"/>
        <w:jc w:val="both"/>
      </w:pPr>
      <w:r>
        <w:rPr>
          <w:sz w:val="24"/>
        </w:rPr>
        <w:t>附件一：</w:t>
      </w:r>
    </w:p>
    <w:p>
      <w:pPr>
        <w:pStyle w:val="null3"/>
        <w:jc w:val="both"/>
      </w:pPr>
      <w:r>
        <w:rPr>
          <w:sz w:val="24"/>
        </w:rPr>
        <w:t>《公共外环境病媒生物密度监测表》</w:t>
      </w:r>
    </w:p>
    <w:tbl>
      <w:tblPr>
        <w:tblW w:w="0" w:type="auto"/>
        <w:tblBorders>
          <w:top w:val="none" w:color="000000" w:sz="4"/>
          <w:left w:val="none" w:color="000000" w:sz="4"/>
          <w:bottom w:val="none" w:color="000000" w:sz="4"/>
          <w:right w:val="none" w:color="000000" w:sz="4"/>
          <w:insideH w:val="none"/>
          <w:insideV w:val="none"/>
        </w:tblBorders>
      </w:tblPr>
      <w:tblGrid>
        <w:gridCol w:w="2027"/>
        <w:gridCol w:w="625"/>
        <w:gridCol w:w="427"/>
        <w:gridCol w:w="533"/>
        <w:gridCol w:w="533"/>
        <w:gridCol w:w="427"/>
        <w:gridCol w:w="533"/>
        <w:gridCol w:w="533"/>
        <w:gridCol w:w="427"/>
        <w:gridCol w:w="427"/>
        <w:gridCol w:w="427"/>
        <w:gridCol w:w="427"/>
        <w:gridCol w:w="427"/>
        <w:gridCol w:w="533"/>
      </w:tblGrid>
      <w:tr>
        <w:tc>
          <w:tcPr>
            <w:tcW w:type="dxa" w:w="20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检查场所名称</w:t>
            </w:r>
          </w:p>
        </w:tc>
        <w:tc>
          <w:tcPr>
            <w:tcW w:type="dxa" w:w="10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灭鼠检查</w:t>
            </w:r>
          </w:p>
        </w:tc>
        <w:tc>
          <w:tcPr>
            <w:tcW w:type="dxa" w:w="10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灭蝇检查</w:t>
            </w:r>
          </w:p>
        </w:tc>
        <w:tc>
          <w:tcPr>
            <w:tcW w:type="dxa" w:w="9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both"/>
            </w:pPr>
            <w:r>
              <w:rPr>
                <w:sz w:val="18"/>
              </w:rPr>
              <w:t>灭蟑检查</w:t>
            </w:r>
          </w:p>
        </w:tc>
        <w:tc>
          <w:tcPr>
            <w:tcW w:type="dxa" w:w="3201"/>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灭蚊检査</w:t>
            </w:r>
          </w:p>
        </w:tc>
      </w:tr>
      <w:tr>
        <w:tc>
          <w:tcPr>
            <w:tcW w:type="dxa" w:w="2027"/>
            <w:vMerge/>
            <w:tcBorders>
              <w:top w:val="single" w:color="000000" w:sz="4"/>
              <w:left w:val="single" w:color="000000" w:sz="4"/>
              <w:bottom w:val="single" w:color="000000" w:sz="4"/>
              <w:right w:val="single" w:color="000000" w:sz="4"/>
            </w:tcBorders>
          </w:tcPr>
          <w:p/>
        </w:tc>
        <w:tc>
          <w:tcPr>
            <w:tcW w:type="dxa" w:w="10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外环境鼠迹</w:t>
            </w:r>
          </w:p>
        </w:tc>
        <w:tc>
          <w:tcPr>
            <w:tcW w:type="dxa" w:w="10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蝇孽生地</w:t>
            </w:r>
          </w:p>
        </w:tc>
        <w:tc>
          <w:tcPr>
            <w:tcW w:type="dxa" w:w="9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蟑迹</w:t>
            </w:r>
          </w:p>
        </w:tc>
        <w:tc>
          <w:tcPr>
            <w:tcW w:type="dxa" w:w="9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小型积水</w:t>
            </w:r>
          </w:p>
        </w:tc>
        <w:tc>
          <w:tcPr>
            <w:tcW w:type="dxa" w:w="128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大、中型水体</w:t>
            </w:r>
          </w:p>
        </w:tc>
        <w:tc>
          <w:tcPr>
            <w:tcW w:type="dxa" w:w="9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诱蚊（</w:t>
            </w:r>
            <w:r>
              <w:rPr>
                <w:sz w:val="18"/>
              </w:rPr>
              <w:t>30min)</w:t>
            </w:r>
          </w:p>
        </w:tc>
      </w:tr>
      <w:tr>
        <w:tc>
          <w:tcPr>
            <w:tcW w:type="dxa" w:w="2027"/>
            <w:vMerge/>
            <w:tcBorders>
              <w:top w:val="singl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延长线</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鼠迹处</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检査</w:t>
            </w:r>
          </w:p>
          <w:p>
            <w:pPr>
              <w:pStyle w:val="null3"/>
              <w:jc w:val="both"/>
            </w:pPr>
            <w:r>
              <w:rPr>
                <w:sz w:val="18"/>
              </w:rPr>
              <w:t>处数</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阳性</w:t>
            </w:r>
          </w:p>
          <w:p>
            <w:pPr>
              <w:pStyle w:val="null3"/>
              <w:jc w:val="both"/>
            </w:pPr>
            <w:r>
              <w:rPr>
                <w:sz w:val="18"/>
              </w:rPr>
              <w:t>处数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w:t>
            </w:r>
          </w:p>
          <w:p>
            <w:pPr>
              <w:pStyle w:val="null3"/>
              <w:jc w:val="both"/>
            </w:pPr>
            <w:r>
              <w:rPr>
                <w:sz w:val="18"/>
              </w:rPr>
              <w:t>点数</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阳性</w:t>
            </w:r>
          </w:p>
          <w:p>
            <w:pPr>
              <w:pStyle w:val="null3"/>
              <w:jc w:val="both"/>
            </w:pPr>
            <w:r>
              <w:rPr>
                <w:sz w:val="18"/>
              </w:rPr>
              <w:t>点数</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延长米</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阳性</w:t>
            </w:r>
          </w:p>
          <w:p>
            <w:pPr>
              <w:pStyle w:val="null3"/>
              <w:jc w:val="both"/>
            </w:pPr>
            <w:r>
              <w:rPr>
                <w:sz w:val="18"/>
              </w:rPr>
              <w:t>处数</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采样</w:t>
            </w:r>
          </w:p>
          <w:p>
            <w:pPr>
              <w:pStyle w:val="null3"/>
              <w:jc w:val="both"/>
            </w:pPr>
            <w:r>
              <w:rPr>
                <w:sz w:val="18"/>
              </w:rPr>
              <w:t>勺数</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阳性</w:t>
            </w:r>
          </w:p>
          <w:p>
            <w:pPr>
              <w:pStyle w:val="null3"/>
              <w:jc w:val="both"/>
            </w:pPr>
            <w:r>
              <w:rPr>
                <w:sz w:val="18"/>
              </w:rPr>
              <w:t>勺数</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幼虫或</w:t>
            </w:r>
          </w:p>
          <w:p>
            <w:pPr>
              <w:pStyle w:val="null3"/>
              <w:jc w:val="both"/>
            </w:pPr>
            <w:r>
              <w:rPr>
                <w:sz w:val="18"/>
              </w:rPr>
              <w:t>蛹数</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诱蚊</w:t>
            </w:r>
          </w:p>
          <w:p>
            <w:pPr>
              <w:pStyle w:val="null3"/>
              <w:jc w:val="both"/>
            </w:pPr>
            <w:r>
              <w:rPr>
                <w:sz w:val="18"/>
              </w:rPr>
              <w:t>人次</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叮咬成</w:t>
            </w:r>
          </w:p>
          <w:p>
            <w:pPr>
              <w:pStyle w:val="null3"/>
              <w:jc w:val="both"/>
            </w:pPr>
            <w:r>
              <w:rPr>
                <w:sz w:val="18"/>
              </w:rPr>
              <w:t>蚊数</w:t>
            </w: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合计</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18"/>
        </w:rPr>
        <w:t>统计人：</w:t>
      </w:r>
      <w:r>
        <w:rPr>
          <w:sz w:val="18"/>
        </w:rPr>
        <w:t xml:space="preserve">                                                                                        </w:t>
      </w:r>
      <w:r>
        <w:rPr>
          <w:sz w:val="18"/>
        </w:rPr>
        <w:t>统计日期：</w:t>
      </w:r>
      <w:r>
        <w:rPr>
          <w:sz w:val="18"/>
        </w:rPr>
        <w:t>年</w:t>
      </w:r>
      <w:r>
        <w:rPr>
          <w:sz w:val="18"/>
        </w:rPr>
        <w:t xml:space="preserve">  </w:t>
      </w:r>
      <w:r>
        <w:rPr>
          <w:sz w:val="18"/>
        </w:rPr>
        <w:t>月</w:t>
      </w:r>
      <w:r>
        <w:rPr>
          <w:sz w:val="18"/>
        </w:rPr>
        <w:t xml:space="preserve">   </w:t>
      </w:r>
      <w:r>
        <w:rPr>
          <w:sz w:val="18"/>
        </w:rPr>
        <w:t>日</w:t>
      </w:r>
    </w:p>
    <w:p>
      <w:pPr>
        <w:pStyle w:val="null3"/>
        <w:jc w:val="both"/>
      </w:pPr>
      <w:r>
        <w:rPr>
          <w:sz w:val="21"/>
        </w:rPr>
        <w:t xml:space="preserve"> </w:t>
      </w:r>
    </w:p>
    <w:p>
      <w:pPr>
        <w:pStyle w:val="null3"/>
        <w:jc w:val="both"/>
      </w:pPr>
      <w:r>
        <w:rPr/>
        <w:t xml:space="preserve"> </w:t>
      </w:r>
    </w:p>
    <w:p>
      <w:pPr>
        <w:pStyle w:val="null3"/>
        <w:jc w:val="both"/>
      </w:pPr>
      <w:r>
        <w:rPr>
          <w:sz w:val="21"/>
        </w:rPr>
        <w:t>附件二：《公共外环境病媒生物密度监测汇总表》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941"/>
        <w:gridCol w:w="1367"/>
        <w:gridCol w:w="1321"/>
        <w:gridCol w:w="1230"/>
        <w:gridCol w:w="820"/>
        <w:gridCol w:w="987"/>
        <w:gridCol w:w="896"/>
        <w:gridCol w:w="744"/>
      </w:tblGrid>
      <w:tr>
        <w:tc>
          <w:tcPr>
            <w:tcW w:type="dxa" w:w="941"/>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标准</w:t>
            </w:r>
          </w:p>
          <w:p>
            <w:pPr>
              <w:pStyle w:val="null3"/>
              <w:jc w:val="both"/>
            </w:pPr>
            <w:r>
              <w:rPr>
                <w:sz w:val="18"/>
              </w:rPr>
              <w:t>分级</w:t>
            </w:r>
          </w:p>
        </w:tc>
        <w:tc>
          <w:tcPr>
            <w:tcW w:type="dxa" w:w="13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灭鼠检查</w:t>
            </w:r>
          </w:p>
        </w:tc>
        <w:tc>
          <w:tcPr>
            <w:tcW w:type="dxa" w:w="13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灭蟑检查</w:t>
            </w:r>
          </w:p>
        </w:tc>
        <w:tc>
          <w:tcPr>
            <w:tcW w:type="dxa" w:w="123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灭蝇检査</w:t>
            </w:r>
          </w:p>
        </w:tc>
        <w:tc>
          <w:tcPr>
            <w:tcW w:type="dxa" w:w="3447"/>
            <w:gridSpan w:val="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灭蚊检查</w:t>
            </w:r>
          </w:p>
        </w:tc>
      </w:tr>
      <w:tr>
        <w:tc>
          <w:tcPr>
            <w:tcW w:type="dxa" w:w="941"/>
            <w:vMerge/>
            <w:tcBorders>
              <w:top w:val="single" w:color="000000" w:sz="4"/>
              <w:left w:val="single" w:color="000000" w:sz="4"/>
              <w:bottom w:val="single" w:color="000000" w:sz="4"/>
              <w:right w:val="single" w:color="000000" w:sz="4"/>
            </w:tcBorders>
          </w:tcP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外环境鼠迹</w:t>
            </w: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蟑迹</w:t>
            </w: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蝇孳生地</w:t>
            </w: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小型积水</w:t>
            </w:r>
          </w:p>
        </w:tc>
        <w:tc>
          <w:tcPr>
            <w:tcW w:type="dxa" w:w="1883"/>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大、中型水体</w:t>
            </w:r>
          </w:p>
        </w:tc>
        <w:tc>
          <w:tcPr>
            <w:tcW w:type="dxa" w:w="7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诱蚊</w:t>
            </w:r>
          </w:p>
          <w:p>
            <w:pPr>
              <w:pStyle w:val="null3"/>
              <w:jc w:val="both"/>
            </w:pPr>
            <w:r>
              <w:rPr>
                <w:sz w:val="18"/>
              </w:rPr>
              <w:t>30min</w:t>
            </w:r>
          </w:p>
        </w:tc>
      </w:tr>
      <w:tr>
        <w:tc>
          <w:tcPr>
            <w:tcW w:type="dxa" w:w="941"/>
            <w:vMerge/>
            <w:tcBorders>
              <w:top w:val="single" w:color="000000" w:sz="4"/>
              <w:left w:val="single" w:color="000000" w:sz="4"/>
              <w:bottom w:val="single" w:color="000000" w:sz="4"/>
              <w:right w:val="single" w:color="000000" w:sz="4"/>
            </w:tcBorders>
          </w:tcP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路径指数</w:t>
            </w: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查获率％</w:t>
            </w: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阳性率％</w:t>
            </w: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路径指数</w:t>
            </w:r>
          </w:p>
        </w:tc>
        <w:tc>
          <w:tcPr>
            <w:tcW w:type="dxa" w:w="9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采样勺指数％</w:t>
            </w:r>
          </w:p>
        </w:tc>
        <w:tc>
          <w:tcPr>
            <w:tcW w:type="dxa" w:w="8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阳性勺虫数</w:t>
            </w:r>
          </w:p>
        </w:tc>
        <w:tc>
          <w:tcPr>
            <w:tcW w:type="dxa" w:w="7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停落指数</w:t>
            </w:r>
          </w:p>
        </w:tc>
      </w:tr>
      <w:tr>
        <w:tc>
          <w:tcPr>
            <w:tcW w:type="dxa" w:w="9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A级</w:t>
            </w: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w:t>
            </w: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3</w:t>
            </w: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w:t>
            </w: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0. 1</w:t>
            </w:r>
          </w:p>
        </w:tc>
        <w:tc>
          <w:tcPr>
            <w:tcW w:type="dxa" w:w="9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w:t>
            </w:r>
          </w:p>
        </w:tc>
        <w:tc>
          <w:tcPr>
            <w:tcW w:type="dxa" w:w="8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2</w:t>
            </w:r>
          </w:p>
        </w:tc>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0.5</w:t>
            </w:r>
          </w:p>
        </w:tc>
      </w:tr>
      <w:tr>
        <w:tc>
          <w:tcPr>
            <w:tcW w:type="dxa" w:w="9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B级</w:t>
            </w: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3</w:t>
            </w: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3</w:t>
            </w: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0.5</w:t>
            </w:r>
          </w:p>
        </w:tc>
        <w:tc>
          <w:tcPr>
            <w:tcW w:type="dxa" w:w="9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3</w:t>
            </w:r>
          </w:p>
        </w:tc>
        <w:tc>
          <w:tcPr>
            <w:tcW w:type="dxa" w:w="8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w:t>
            </w:r>
          </w:p>
        </w:tc>
      </w:tr>
      <w:tr>
        <w:tc>
          <w:tcPr>
            <w:tcW w:type="dxa" w:w="9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C级</w:t>
            </w: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7</w:t>
            </w: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0.8</w:t>
            </w:r>
          </w:p>
        </w:tc>
        <w:tc>
          <w:tcPr>
            <w:tcW w:type="dxa" w:w="9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8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8</w:t>
            </w:r>
          </w:p>
        </w:tc>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1.5</w:t>
            </w:r>
          </w:p>
        </w:tc>
      </w:tr>
      <w:tr>
        <w:tc>
          <w:tcPr>
            <w:tcW w:type="dxa" w:w="9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达到标准级别</w:t>
            </w: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总体</w:t>
            </w:r>
          </w:p>
          <w:p>
            <w:pPr>
              <w:pStyle w:val="null3"/>
              <w:jc w:val="both"/>
            </w:pPr>
            <w:r>
              <w:rPr>
                <w:sz w:val="18"/>
              </w:rPr>
              <w:t>评价</w:t>
            </w:r>
          </w:p>
        </w:tc>
        <w:tc>
          <w:tcPr>
            <w:tcW w:type="dxa" w:w="13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344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sz w:val="21"/>
        </w:rPr>
        <w:t xml:space="preserve"> </w:t>
      </w:r>
    </w:p>
    <w:p>
      <w:pPr>
        <w:pStyle w:val="null3"/>
        <w:jc w:val="both"/>
      </w:pPr>
      <w:r>
        <w:rPr>
          <w:sz w:val="21"/>
        </w:rPr>
        <w:t>统计人：统计日期：</w:t>
      </w:r>
      <w:r>
        <w:rPr>
          <w:sz w:val="21"/>
        </w:rPr>
        <w:t>年</w:t>
      </w:r>
      <w:r>
        <w:rPr>
          <w:sz w:val="21"/>
        </w:rPr>
        <w:t>月</w:t>
      </w:r>
      <w:r>
        <w:rPr>
          <w:sz w:val="21"/>
        </w:rPr>
        <w:t>日</w:t>
      </w:r>
    </w:p>
    <w:p>
      <w:pPr>
        <w:pStyle w:val="null3"/>
        <w:jc w:val="both"/>
      </w:pPr>
      <w:r>
        <w:rPr/>
        <w:t xml:space="preserve"> </w:t>
      </w:r>
    </w:p>
    <w:p>
      <w:pPr>
        <w:pStyle w:val="null3"/>
        <w:jc w:val="both"/>
      </w:pPr>
      <w:r>
        <w:rPr>
          <w:sz w:val="21"/>
        </w:rPr>
        <w:t>附件三：《公共外环境病媒生物防制服务项目专家考评计分表》</w:t>
      </w:r>
    </w:p>
    <w:p>
      <w:pPr>
        <w:pStyle w:val="null3"/>
        <w:jc w:val="left"/>
      </w:pPr>
      <w:r>
        <w:rPr>
          <w:sz w:val="21"/>
        </w:rPr>
        <w:t>考核对象：</w:t>
      </w:r>
      <w:r>
        <w:rPr>
          <w:sz w:val="21"/>
        </w:rPr>
        <w:t xml:space="preserve">                       </w:t>
      </w:r>
      <w:r>
        <w:rPr>
          <w:sz w:val="21"/>
        </w:rPr>
        <w:t>本轮服务时间</w:t>
      </w:r>
      <w:r>
        <w:rPr>
          <w:sz w:val="21"/>
        </w:rPr>
        <w:t xml:space="preserve">   </w:t>
      </w:r>
      <w:r>
        <w:rPr>
          <w:sz w:val="21"/>
        </w:rPr>
        <w:t>年</w:t>
      </w:r>
      <w:r>
        <w:rPr>
          <w:sz w:val="21"/>
        </w:rPr>
        <w:t xml:space="preserve">  </w:t>
      </w:r>
      <w:r>
        <w:rPr>
          <w:sz w:val="21"/>
        </w:rPr>
        <w:t>月</w:t>
      </w:r>
      <w:r>
        <w:rPr>
          <w:sz w:val="21"/>
        </w:rPr>
        <w:t>日</w:t>
      </w:r>
      <w:r>
        <w:rPr>
          <w:sz w:val="21"/>
        </w:rPr>
        <w:t>-月 日</w:t>
      </w:r>
    </w:p>
    <w:tbl>
      <w:tblPr>
        <w:tblW w:w="0" w:type="auto"/>
        <w:tblBorders>
          <w:top w:val="none" w:color="000000" w:sz="4"/>
          <w:left w:val="none" w:color="000000" w:sz="4"/>
          <w:bottom w:val="none" w:color="000000" w:sz="4"/>
          <w:right w:val="none" w:color="000000" w:sz="4"/>
          <w:insideH w:val="none"/>
          <w:insideV w:val="none"/>
        </w:tblBorders>
      </w:tblPr>
      <w:tblGrid>
        <w:gridCol w:w="802"/>
        <w:gridCol w:w="408"/>
        <w:gridCol w:w="5356"/>
        <w:gridCol w:w="424"/>
        <w:gridCol w:w="847"/>
        <w:gridCol w:w="469"/>
      </w:tblGrid>
      <w:tr>
        <w:tc>
          <w:tcPr>
            <w:tcW w:type="dxa" w:w="80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评价项目</w:t>
            </w:r>
          </w:p>
        </w:tc>
        <w:tc>
          <w:tcPr>
            <w:tcW w:type="dxa" w:w="40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标准得分</w:t>
            </w:r>
          </w:p>
        </w:tc>
        <w:tc>
          <w:tcPr>
            <w:tcW w:type="dxa" w:w="53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评分内容及计分办法</w:t>
            </w:r>
          </w:p>
        </w:tc>
        <w:tc>
          <w:tcPr>
            <w:tcW w:type="dxa" w:w="4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45"/>
              <w:jc w:val="both"/>
            </w:pPr>
            <w:r>
              <w:rPr>
                <w:sz w:val="18"/>
              </w:rPr>
              <w:t>实际得分</w:t>
            </w:r>
          </w:p>
        </w:tc>
        <w:tc>
          <w:tcPr>
            <w:tcW w:type="dxa" w:w="8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45"/>
              <w:jc w:val="both"/>
            </w:pPr>
            <w:r>
              <w:rPr>
                <w:sz w:val="18"/>
              </w:rPr>
              <w:t>举证材料</w:t>
            </w:r>
          </w:p>
        </w:tc>
        <w:tc>
          <w:tcPr>
            <w:tcW w:type="dxa" w:w="4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扣分说明</w:t>
            </w:r>
          </w:p>
        </w:tc>
      </w:tr>
      <w:tr>
        <w:tc>
          <w:tcPr>
            <w:tcW w:type="dxa" w:w="80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8"/>
              <w:jc w:val="both"/>
            </w:pPr>
            <w:r>
              <w:rPr>
                <w:sz w:val="18"/>
              </w:rPr>
              <w:t>1、日常工作</w:t>
            </w:r>
          </w:p>
          <w:p>
            <w:pPr>
              <w:pStyle w:val="null3"/>
              <w:ind w:firstLine="208"/>
              <w:jc w:val="both"/>
            </w:pPr>
            <w:r>
              <w:rPr>
                <w:sz w:val="18"/>
              </w:rPr>
              <w:t>（</w:t>
            </w:r>
            <w:r>
              <w:rPr>
                <w:sz w:val="18"/>
              </w:rPr>
              <w:t>40%）</w:t>
            </w:r>
          </w:p>
          <w:p>
            <w:pPr>
              <w:pStyle w:val="null3"/>
              <w:ind w:firstLine="208"/>
              <w:jc w:val="both"/>
            </w:p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每次开展服务前，按要求开展本底调查，并提交本底调查资料，缺</w:t>
            </w:r>
            <w:r>
              <w:rPr>
                <w:sz w:val="18"/>
              </w:rPr>
              <w:t>1次扣2分。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查看记录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2</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每次开展服务前提交服务方案，不提出交不得分。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查看记录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3</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每次服务结束后须提交完整的药物使用表及施工记录表，缺</w:t>
            </w:r>
            <w:r>
              <w:rPr>
                <w:sz w:val="18"/>
              </w:rPr>
              <w:t>1次扣1分。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3</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每次服务后提供病媒生物密度监测报告</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下水道进水口吊放浸药木塞，大中型水体投药灭蚊幼、不得漏放；发现漏放的要及时补放。如不按要求补放的每次扣</w:t>
            </w:r>
            <w:r>
              <w:rPr>
                <w:sz w:val="18"/>
              </w:rPr>
              <w:t>1分。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现场抽检</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每次投药灭鼠必须进行</w:t>
            </w:r>
            <w:r>
              <w:rPr>
                <w:sz w:val="18"/>
              </w:rPr>
              <w:t>2轮以上补投。最后一次补投后要及时堵塞鼠洞。如发现漏投、漏补现象未按要求补投的，每发现1次扣1分。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现场抽检</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每次施工要按照要求配置足够人员；现场施工人员落实到位。发现缺</w:t>
            </w:r>
            <w:r>
              <w:rPr>
                <w:sz w:val="18"/>
              </w:rPr>
              <w:t>1项扣1分。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现场抽检</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服务使用的药物必须是使用已向区爱卫办提供</w:t>
            </w:r>
            <w:r>
              <w:rPr>
                <w:sz w:val="18"/>
              </w:rPr>
              <w:t>“三证”备案的药物，否则本项不得分；药物用量是否充足，是否有偷工减料现象，每发现一项扣2分。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査看资料</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2</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遇市民投诉，合同区域内的病媒生物防治效果不良或有不作为、偷工减料等现象，经核实的扣</w:t>
            </w:r>
            <w:r>
              <w:rPr>
                <w:sz w:val="18"/>
              </w:rPr>
              <w:t>2分处理。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服务过程中各类有效投诉或媒体负面曝光不得超过</w:t>
            </w:r>
            <w:r>
              <w:rPr>
                <w:sz w:val="18"/>
              </w:rPr>
              <w:t>1宗，每超出1宗扣2分。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3</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对市民投诉</w:t>
            </w:r>
            <w:r>
              <w:rPr>
                <w:sz w:val="18"/>
              </w:rPr>
              <w:t>“四害”密度高的区域，乙方应2小时内到场处理。如未能按时到达处理，经查属实的扣3分。应急处理效果不理想的扣2分。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情况记录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3</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对于疾控中心监测报告反馈的合同区域内</w:t>
            </w:r>
            <w:r>
              <w:rPr>
                <w:sz w:val="18"/>
              </w:rPr>
              <w:t>BI指数超出20的区域进行处理。如未能及时处理的每次扣1分。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情况记录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2、专业考核阶（60%）</w:t>
            </w: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15</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所用的杀虫杀鼠药剂应具有国家规定的有效证件</w:t>
            </w:r>
            <w:r>
              <w:rPr>
                <w:sz w:val="18"/>
              </w:rPr>
              <w:t>,并严格按照产品使用说明书使用。证照齐全评5分，符合规范使用评5分，药械匹配使用评5分，使用国家违禁药物的，一票否决，直接扣除60分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査看仓库进出记录，用药记录</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10</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鼠类防制效果达到</w:t>
            </w:r>
            <w:r>
              <w:rPr>
                <w:sz w:val="18"/>
              </w:rPr>
              <w:t>C级以上得分(合同有其他要求的按照合同要求级别）</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现场评估</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10</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蚊虫防制效果达到</w:t>
            </w:r>
            <w:r>
              <w:rPr>
                <w:sz w:val="18"/>
              </w:rPr>
              <w:t>C级以上得分(合同有其他要求的按 照合同要求级别）</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现场评估</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10</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蝇类防制效果达到</w:t>
            </w:r>
            <w:r>
              <w:rPr>
                <w:sz w:val="18"/>
              </w:rPr>
              <w:t>C级以上得分(合同有其他要求的按 照合同要求级别）</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现场评估</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10</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蜚蠊防制效果达到</w:t>
            </w:r>
            <w:r>
              <w:rPr>
                <w:sz w:val="18"/>
              </w:rPr>
              <w:t>C级以上得分(合同有其他要求的按 照合同要求级别）</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现场评估</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02"/>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5</w:t>
            </w:r>
          </w:p>
        </w:tc>
        <w:tc>
          <w:tcPr>
            <w:tcW w:type="dxa" w:w="5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向甲方提出专业建议的评</w:t>
            </w:r>
            <w:r>
              <w:rPr>
                <w:sz w:val="18"/>
              </w:rPr>
              <w:t>5分</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8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8"/>
              </w:rPr>
              <w:t>查看文件</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both"/>
      </w:pPr>
      <w:r>
        <w:rPr>
          <w:sz w:val="21"/>
        </w:rPr>
        <w:t xml:space="preserve"> </w:t>
      </w:r>
    </w:p>
    <w:p>
      <w:pPr>
        <w:pStyle w:val="null3"/>
        <w:jc w:val="both"/>
      </w:pPr>
      <w:r>
        <w:rPr>
          <w:sz w:val="21"/>
        </w:rPr>
        <w:t>专评人员签名</w:t>
      </w:r>
      <w:r>
        <w:rPr>
          <w:sz w:val="21"/>
        </w:rPr>
        <w:t>:          考评机构盖章：               日期</w:t>
      </w:r>
      <w:r>
        <w:rPr>
          <w:sz w:val="21"/>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441283-2025-01992</w:t>
      </w:r>
    </w:p>
    <w:p>
      <w:pPr>
        <w:pStyle w:val="null3"/>
        <w:jc w:val="center"/>
        <w:outlineLvl w:val="3"/>
      </w:pPr>
      <w:r>
        <w:rPr>
          <w:sz w:val="24"/>
          <w:b/>
        </w:rPr>
        <w:t>采购项目编号：</w:t>
      </w:r>
      <w:r>
        <w:rPr>
          <w:sz w:val="24"/>
          <w:b/>
        </w:rPr>
        <w:t>GDZY25CGS035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广东智越项目管理有限公司</w:t>
      </w:r>
    </w:p>
    <w:p>
      <w:pPr>
        <w:pStyle w:val="null3"/>
        <w:ind w:firstLine="480"/>
      </w:pPr>
      <w:r>
        <w:rPr/>
        <w:t xml:space="preserve"> 你方组织的</w:t>
      </w:r>
      <w:r>
        <w:rPr>
          <w:u w:val="single"/>
        </w:rPr>
        <w:t>“</w:t>
      </w:r>
      <w:r>
        <w:rPr>
          <w:u w:val="single"/>
        </w:rPr>
        <w:t>高要区国家卫生城市公共外环境病媒生物防制服务</w:t>
      </w:r>
      <w:r>
        <w:rPr>
          <w:u w:val="single"/>
        </w:rPr>
        <w:t>”</w:t>
      </w:r>
      <w:r>
        <w:rPr/>
        <w:t>项目的竞争性磋商[采购项目编号为：</w:t>
      </w:r>
      <w:r>
        <w:rPr>
          <w:u w:val="single"/>
        </w:rPr>
        <w:t>GDZY25CGS035</w:t>
      </w:r>
      <w:r>
        <w:rPr/>
        <w:t>]，我方愿参与响应。</w:t>
      </w:r>
    </w:p>
    <w:p>
      <w:pPr>
        <w:pStyle w:val="null3"/>
        <w:ind w:firstLine="480"/>
      </w:pPr>
      <w:r>
        <w:rPr/>
        <w:t>我方确认收到贵方提供的</w:t>
      </w:r>
      <w:r>
        <w:rPr>
          <w:u w:val="single"/>
        </w:rPr>
        <w:t>“</w:t>
      </w:r>
      <w:r>
        <w:rPr>
          <w:u w:val="single"/>
        </w:rPr>
        <w:t>高要区国家卫生城市公共外环境病媒生物防制服务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广东智越项目管理有限公司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高要区国家卫生城市公共外环境病媒生物防制服务</w:t>
      </w:r>
      <w:r>
        <w:rPr/>
        <w:t>”项目采购[采购项目编号为</w:t>
      </w:r>
      <w:r>
        <w:rPr/>
        <w:t>GDZY25CGS035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肇庆市高要区卫生健康局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广东智越项目管理有限公司</w:t>
      </w:r>
    </w:p>
    <w:p>
      <w:pPr>
        <w:pStyle w:val="null3"/>
        <w:ind w:firstLine="480"/>
      </w:pPr>
      <w:r>
        <w:rPr/>
        <w:t>我单位参加贵公司组织的</w:t>
      </w:r>
      <w:r>
        <w:rPr/>
        <w:t>高要区国家卫生城市公共外环境病媒生物防制服务</w:t>
      </w:r>
      <w:r>
        <w:rPr/>
        <w:t>（采购项目编号：</w:t>
      </w:r>
      <w:r>
        <w:rPr/>
        <w:t>GDZY25CGS035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广东智越项目管理有限公司</w:t>
      </w:r>
    </w:p>
    <w:p>
      <w:pPr>
        <w:pStyle w:val="null3"/>
        <w:ind w:firstLine="480"/>
      </w:pPr>
      <w:r>
        <w:rPr/>
        <w:t>我单位已登记并准备参与“</w:t>
      </w:r>
      <w:r>
        <w:rPr/>
        <w:t>高要区国家卫生城市公共外环境病媒生物防制服务</w:t>
      </w:r>
      <w:r>
        <w:rPr/>
        <w:t>”项目（采购项目编号：</w:t>
      </w:r>
      <w:r>
        <w:rPr/>
        <w:t>GDZY25CGS035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