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A714C">
      <w:pPr>
        <w:pageBreakBefore w:val="0"/>
        <w:widowControl w:val="0"/>
        <w:wordWrap/>
        <w:overflowPunct/>
        <w:topLinePunct w:val="0"/>
        <w:bidi w:val="0"/>
        <w:spacing w:before="78" w:line="220" w:lineRule="auto"/>
        <w:jc w:val="center"/>
        <w:outlineLvl w:val="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一、</w:t>
      </w: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采购</w:t>
      </w:r>
      <w:r>
        <w:rPr>
          <w:rFonts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需求表</w:t>
      </w:r>
    </w:p>
    <w:p w14:paraId="00D6E72B">
      <w:pPr>
        <w:pageBreakBefore w:val="0"/>
        <w:widowControl w:val="0"/>
        <w:wordWrap/>
        <w:overflowPunct/>
        <w:topLinePunct w:val="0"/>
        <w:bidi w:val="0"/>
        <w:spacing w:before="64"/>
        <w:rPr>
          <w:color w:val="auto"/>
          <w:highlight w:val="none"/>
        </w:rPr>
      </w:pPr>
    </w:p>
    <w:tbl>
      <w:tblPr>
        <w:tblStyle w:val="6"/>
        <w:tblW w:w="9015" w:type="dxa"/>
        <w:tblInd w:w="-3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8"/>
        <w:gridCol w:w="817"/>
        <w:gridCol w:w="6150"/>
      </w:tblGrid>
      <w:tr w14:paraId="1C866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2" w:hRule="atLeast"/>
        </w:trPr>
        <w:tc>
          <w:tcPr>
            <w:tcW w:w="2048" w:type="dxa"/>
            <w:tcBorders>
              <w:right w:val="nil"/>
            </w:tcBorders>
          </w:tcPr>
          <w:p w14:paraId="27CEC85E">
            <w:pPr>
              <w:pageBreakBefore w:val="0"/>
              <w:widowControl w:val="0"/>
              <w:wordWrap/>
              <w:overflowPunct/>
              <w:topLinePunct w:val="0"/>
              <w:bidi w:val="0"/>
              <w:spacing w:before="183" w:line="223" w:lineRule="auto"/>
              <w:ind w:left="1091"/>
              <w:rPr>
                <w:rFonts w:ascii="宋体" w:hAnsi="宋体" w:eastAsia="宋体" w:cs="宋体"/>
                <w:color w:val="auto"/>
                <w:sz w:val="24"/>
                <w:szCs w:val="24"/>
                <w:highlight w:val="none"/>
              </w:rPr>
            </w:pPr>
            <w:r>
              <w:rPr>
                <w:color w:val="auto"/>
                <w:highlight w:val="none"/>
              </w:rPr>
              <w:drawing>
                <wp:anchor distT="0" distB="0" distL="0" distR="0" simplePos="0" relativeHeight="251660288" behindDoc="1" locked="0" layoutInCell="1" allowOverlap="1">
                  <wp:simplePos x="0" y="0"/>
                  <wp:positionH relativeFrom="column">
                    <wp:posOffset>6985</wp:posOffset>
                  </wp:positionH>
                  <wp:positionV relativeFrom="paragraph">
                    <wp:posOffset>0</wp:posOffset>
                  </wp:positionV>
                  <wp:extent cx="1805305" cy="1485265"/>
                  <wp:effectExtent l="0" t="0" r="4445" b="635"/>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
                          <a:stretch>
                            <a:fillRect/>
                          </a:stretch>
                        </pic:blipFill>
                        <pic:spPr>
                          <a:xfrm>
                            <a:off x="0" y="0"/>
                            <a:ext cx="1805051" cy="1485442"/>
                          </a:xfrm>
                          <a:prstGeom prst="rect">
                            <a:avLst/>
                          </a:prstGeom>
                        </pic:spPr>
                      </pic:pic>
                    </a:graphicData>
                  </a:graphic>
                </wp:anchor>
              </w:drawing>
            </w:r>
            <w:r>
              <w:rPr>
                <w:rFonts w:ascii="宋体" w:hAnsi="宋体" w:eastAsia="宋体" w:cs="宋体"/>
                <w:color w:val="auto"/>
                <w:sz w:val="24"/>
                <w:szCs w:val="24"/>
                <w:highlight w:val="none"/>
              </w:rPr>
              <w:t>名</w:t>
            </w:r>
          </w:p>
          <w:p w14:paraId="6C82F925">
            <w:pPr>
              <w:pStyle w:val="7"/>
              <w:pageBreakBefore w:val="0"/>
              <w:widowControl w:val="0"/>
              <w:wordWrap/>
              <w:overflowPunct/>
              <w:topLinePunct w:val="0"/>
              <w:bidi w:val="0"/>
              <w:spacing w:line="245" w:lineRule="auto"/>
              <w:rPr>
                <w:color w:val="auto"/>
                <w:highlight w:val="none"/>
              </w:rPr>
            </w:pPr>
          </w:p>
          <w:p w14:paraId="40F7ED8D">
            <w:pPr>
              <w:pStyle w:val="7"/>
              <w:pageBreakBefore w:val="0"/>
              <w:widowControl w:val="0"/>
              <w:wordWrap/>
              <w:overflowPunct/>
              <w:topLinePunct w:val="0"/>
              <w:bidi w:val="0"/>
              <w:spacing w:line="246" w:lineRule="auto"/>
              <w:rPr>
                <w:color w:val="auto"/>
                <w:highlight w:val="none"/>
              </w:rPr>
            </w:pPr>
          </w:p>
          <w:p w14:paraId="22D0E8F0">
            <w:pPr>
              <w:pageBreakBefore w:val="0"/>
              <w:widowControl w:val="0"/>
              <w:wordWrap/>
              <w:overflowPunct/>
              <w:topLinePunct w:val="0"/>
              <w:bidi w:val="0"/>
              <w:spacing w:before="78" w:line="219" w:lineRule="auto"/>
              <w:ind w:left="481"/>
              <w:rPr>
                <w:rFonts w:ascii="宋体" w:hAnsi="宋体" w:eastAsia="宋体" w:cs="宋体"/>
                <w:color w:val="auto"/>
                <w:sz w:val="24"/>
                <w:szCs w:val="24"/>
                <w:highlight w:val="none"/>
              </w:rPr>
            </w:pPr>
            <w:r>
              <w:rPr>
                <w:rFonts w:ascii="宋体" w:hAnsi="宋体" w:eastAsia="宋体" w:cs="宋体"/>
                <w:color w:val="auto"/>
                <w:sz w:val="24"/>
                <w:szCs w:val="24"/>
                <w:highlight w:val="none"/>
              </w:rPr>
              <w:t>内</w:t>
            </w:r>
          </w:p>
          <w:p w14:paraId="2CCD6524">
            <w:pPr>
              <w:pStyle w:val="7"/>
              <w:pageBreakBefore w:val="0"/>
              <w:widowControl w:val="0"/>
              <w:wordWrap/>
              <w:overflowPunct/>
              <w:topLinePunct w:val="0"/>
              <w:bidi w:val="0"/>
              <w:spacing w:line="338" w:lineRule="auto"/>
              <w:rPr>
                <w:color w:val="auto"/>
                <w:highlight w:val="none"/>
              </w:rPr>
            </w:pPr>
          </w:p>
          <w:p w14:paraId="56739E74">
            <w:pPr>
              <w:pageBreakBefore w:val="0"/>
              <w:widowControl w:val="0"/>
              <w:wordWrap/>
              <w:overflowPunct/>
              <w:topLinePunct w:val="0"/>
              <w:bidi w:val="0"/>
              <w:spacing w:before="78" w:line="220" w:lineRule="auto"/>
              <w:ind w:left="1311"/>
              <w:rPr>
                <w:rFonts w:ascii="宋体" w:hAnsi="宋体" w:eastAsia="宋体" w:cs="宋体"/>
                <w:color w:val="auto"/>
                <w:sz w:val="24"/>
                <w:szCs w:val="24"/>
                <w:highlight w:val="none"/>
              </w:rPr>
            </w:pPr>
            <w:r>
              <w:rPr>
                <w:rFonts w:ascii="宋体" w:hAnsi="宋体" w:eastAsia="宋体" w:cs="宋体"/>
                <w:color w:val="auto"/>
                <w:sz w:val="24"/>
                <w:szCs w:val="24"/>
                <w:highlight w:val="none"/>
              </w:rPr>
              <w:t>容</w:t>
            </w:r>
          </w:p>
        </w:tc>
        <w:tc>
          <w:tcPr>
            <w:tcW w:w="817" w:type="dxa"/>
            <w:tcBorders>
              <w:left w:val="nil"/>
            </w:tcBorders>
          </w:tcPr>
          <w:p w14:paraId="12B26195">
            <w:pPr>
              <w:pStyle w:val="7"/>
              <w:pageBreakBefore w:val="0"/>
              <w:widowControl w:val="0"/>
              <w:wordWrap/>
              <w:overflowPunct/>
              <w:topLinePunct w:val="0"/>
              <w:bidi w:val="0"/>
              <w:spacing w:line="263" w:lineRule="auto"/>
              <w:rPr>
                <w:color w:val="auto"/>
                <w:highlight w:val="none"/>
              </w:rPr>
            </w:pPr>
          </w:p>
          <w:p w14:paraId="0743B18A">
            <w:pPr>
              <w:pStyle w:val="7"/>
              <w:pageBreakBefore w:val="0"/>
              <w:widowControl w:val="0"/>
              <w:wordWrap/>
              <w:overflowPunct/>
              <w:topLinePunct w:val="0"/>
              <w:bidi w:val="0"/>
              <w:spacing w:line="263" w:lineRule="auto"/>
              <w:rPr>
                <w:color w:val="auto"/>
                <w:highlight w:val="none"/>
              </w:rPr>
            </w:pPr>
          </w:p>
          <w:p w14:paraId="144BF3D0">
            <w:pPr>
              <w:pStyle w:val="7"/>
              <w:pageBreakBefore w:val="0"/>
              <w:widowControl w:val="0"/>
              <w:wordWrap/>
              <w:overflowPunct/>
              <w:topLinePunct w:val="0"/>
              <w:bidi w:val="0"/>
              <w:spacing w:line="264" w:lineRule="auto"/>
              <w:rPr>
                <w:color w:val="auto"/>
                <w:highlight w:val="none"/>
              </w:rPr>
            </w:pPr>
          </w:p>
          <w:p w14:paraId="537402C6">
            <w:pPr>
              <w:pageBreakBefore w:val="0"/>
              <w:widowControl w:val="0"/>
              <w:wordWrap/>
              <w:overflowPunct/>
              <w:topLinePunct w:val="0"/>
              <w:bidi w:val="0"/>
              <w:spacing w:before="78" w:line="221" w:lineRule="auto"/>
              <w:ind w:left="192"/>
              <w:rPr>
                <w:rFonts w:ascii="宋体" w:hAnsi="宋体" w:eastAsia="宋体" w:cs="宋体"/>
                <w:color w:val="auto"/>
                <w:sz w:val="24"/>
                <w:szCs w:val="24"/>
                <w:highlight w:val="none"/>
              </w:rPr>
            </w:pPr>
            <w:r>
              <w:rPr>
                <w:rFonts w:ascii="宋体" w:hAnsi="宋体" w:eastAsia="宋体" w:cs="宋体"/>
                <w:color w:val="auto"/>
                <w:sz w:val="24"/>
                <w:szCs w:val="24"/>
                <w:highlight w:val="none"/>
              </w:rPr>
              <w:t>称</w:t>
            </w:r>
          </w:p>
        </w:tc>
        <w:tc>
          <w:tcPr>
            <w:tcW w:w="6150" w:type="dxa"/>
            <w:vAlign w:val="center"/>
          </w:tcPr>
          <w:p w14:paraId="4DBF2736">
            <w:pPr>
              <w:pageBreakBefore w:val="0"/>
              <w:widowControl w:val="0"/>
              <w:wordWrap/>
              <w:overflowPunct/>
              <w:topLinePunct w:val="0"/>
              <w:bidi w:val="0"/>
              <w:spacing w:before="253" w:line="219" w:lineRule="auto"/>
              <w:ind w:left="220" w:leftChars="0" w:firstLine="0" w:firstLineChars="0"/>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2025年上栗县公共外环境病媒生物防制服务采购项目</w:t>
            </w:r>
          </w:p>
          <w:p w14:paraId="7503A59A">
            <w:pPr>
              <w:pStyle w:val="7"/>
              <w:pageBreakBefore w:val="0"/>
              <w:widowControl w:val="0"/>
              <w:wordWrap/>
              <w:overflowPunct/>
              <w:topLinePunct w:val="0"/>
              <w:bidi w:val="0"/>
              <w:jc w:val="center"/>
              <w:rPr>
                <w:color w:val="auto"/>
                <w:highlight w:val="none"/>
              </w:rPr>
            </w:pPr>
          </w:p>
        </w:tc>
      </w:tr>
      <w:tr w14:paraId="23D2D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865" w:type="dxa"/>
            <w:gridSpan w:val="2"/>
          </w:tcPr>
          <w:p w14:paraId="4F837650">
            <w:pPr>
              <w:pageBreakBefore w:val="0"/>
              <w:widowControl w:val="0"/>
              <w:wordWrap/>
              <w:overflowPunct/>
              <w:topLinePunct w:val="0"/>
              <w:bidi w:val="0"/>
              <w:spacing w:before="253" w:line="219" w:lineRule="auto"/>
              <w:ind w:left="118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数量</w:t>
            </w:r>
          </w:p>
        </w:tc>
        <w:tc>
          <w:tcPr>
            <w:tcW w:w="6150" w:type="dxa"/>
            <w:vAlign w:val="center"/>
          </w:tcPr>
          <w:p w14:paraId="0E4CD573">
            <w:pPr>
              <w:pStyle w:val="7"/>
              <w:pageBreakBefore w:val="0"/>
              <w:widowControl w:val="0"/>
              <w:wordWrap/>
              <w:overflowPunct/>
              <w:topLinePunct w:val="0"/>
              <w:bidi w:val="0"/>
              <w:jc w:val="center"/>
              <w:rPr>
                <w:rFonts w:hint="default" w:eastAsia="宋体"/>
                <w:color w:val="auto"/>
                <w:highlight w:val="none"/>
                <w:lang w:val="en-US" w:eastAsia="zh-CN"/>
              </w:rPr>
            </w:pPr>
            <w:r>
              <w:rPr>
                <w:rFonts w:hint="eastAsia" w:eastAsia="宋体"/>
                <w:color w:val="auto"/>
                <w:highlight w:val="none"/>
                <w:lang w:val="en-US" w:eastAsia="zh-CN"/>
              </w:rPr>
              <w:t>1项</w:t>
            </w:r>
          </w:p>
        </w:tc>
      </w:tr>
      <w:tr w14:paraId="612DA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865" w:type="dxa"/>
            <w:gridSpan w:val="2"/>
          </w:tcPr>
          <w:p w14:paraId="74E77148">
            <w:pPr>
              <w:pageBreakBefore w:val="0"/>
              <w:widowControl w:val="0"/>
              <w:wordWrap/>
              <w:overflowPunct/>
              <w:topLinePunct w:val="0"/>
              <w:bidi w:val="0"/>
              <w:spacing w:before="253" w:line="219" w:lineRule="auto"/>
              <w:ind w:left="1071"/>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val="en-US" w:eastAsia="zh-CN"/>
              </w:rPr>
              <w:t>服务</w:t>
            </w:r>
            <w:r>
              <w:rPr>
                <w:rFonts w:ascii="宋体" w:hAnsi="宋体" w:eastAsia="宋体" w:cs="宋体"/>
                <w:color w:val="auto"/>
                <w:spacing w:val="-5"/>
                <w:sz w:val="24"/>
                <w:szCs w:val="24"/>
                <w:highlight w:val="none"/>
              </w:rPr>
              <w:t>期</w:t>
            </w:r>
          </w:p>
        </w:tc>
        <w:tc>
          <w:tcPr>
            <w:tcW w:w="6150" w:type="dxa"/>
            <w:vAlign w:val="center"/>
          </w:tcPr>
          <w:p w14:paraId="2856DFA6">
            <w:pPr>
              <w:pStyle w:val="7"/>
              <w:pageBreakBefore w:val="0"/>
              <w:widowControl w:val="0"/>
              <w:wordWrap/>
              <w:overflowPunct/>
              <w:topLinePunct w:val="0"/>
              <w:bidi w:val="0"/>
              <w:jc w:val="center"/>
              <w:rPr>
                <w:color w:val="auto"/>
                <w:highlight w:val="none"/>
              </w:rPr>
            </w:pPr>
            <w:r>
              <w:rPr>
                <w:rFonts w:hint="eastAsia" w:ascii="宋体" w:hAnsi="宋体" w:eastAsia="宋体" w:cs="宋体"/>
                <w:sz w:val="24"/>
                <w:szCs w:val="24"/>
              </w:rPr>
              <w:t>合同签订之日起，1 年免费服务</w:t>
            </w:r>
          </w:p>
        </w:tc>
      </w:tr>
      <w:tr w14:paraId="19CBE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865" w:type="dxa"/>
            <w:gridSpan w:val="2"/>
          </w:tcPr>
          <w:p w14:paraId="69591CCF">
            <w:pPr>
              <w:pageBreakBefore w:val="0"/>
              <w:widowControl w:val="0"/>
              <w:wordWrap/>
              <w:overflowPunct/>
              <w:topLinePunct w:val="0"/>
              <w:bidi w:val="0"/>
              <w:spacing w:before="256" w:line="219" w:lineRule="auto"/>
              <w:ind w:left="951"/>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服务</w:t>
            </w:r>
            <w:r>
              <w:rPr>
                <w:rFonts w:ascii="宋体" w:hAnsi="宋体" w:eastAsia="宋体" w:cs="宋体"/>
                <w:color w:val="auto"/>
                <w:spacing w:val="-4"/>
                <w:sz w:val="24"/>
                <w:szCs w:val="24"/>
                <w:highlight w:val="none"/>
              </w:rPr>
              <w:t>地点</w:t>
            </w:r>
          </w:p>
        </w:tc>
        <w:tc>
          <w:tcPr>
            <w:tcW w:w="6150" w:type="dxa"/>
            <w:vAlign w:val="center"/>
          </w:tcPr>
          <w:p w14:paraId="4BB6DCE7">
            <w:pPr>
              <w:pStyle w:val="7"/>
              <w:pageBreakBefore w:val="0"/>
              <w:widowControl w:val="0"/>
              <w:wordWrap/>
              <w:overflowPunct/>
              <w:topLinePunct w:val="0"/>
              <w:bidi w:val="0"/>
              <w:jc w:val="center"/>
              <w:rPr>
                <w:rFonts w:hint="default" w:eastAsia="宋体"/>
                <w:color w:val="auto"/>
                <w:highlight w:val="none"/>
                <w:lang w:val="en-US" w:eastAsia="zh-CN"/>
              </w:rPr>
            </w:pPr>
            <w:r>
              <w:rPr>
                <w:rFonts w:hint="eastAsia" w:eastAsia="宋体"/>
                <w:color w:val="auto"/>
                <w:highlight w:val="none"/>
                <w:lang w:val="en-US" w:eastAsia="zh-CN"/>
              </w:rPr>
              <w:t>采购人指认地址</w:t>
            </w:r>
          </w:p>
        </w:tc>
      </w:tr>
      <w:tr w14:paraId="31E85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2865" w:type="dxa"/>
            <w:gridSpan w:val="2"/>
          </w:tcPr>
          <w:p w14:paraId="62C91BD2">
            <w:pPr>
              <w:pageBreakBefore w:val="0"/>
              <w:widowControl w:val="0"/>
              <w:wordWrap/>
              <w:overflowPunct/>
              <w:topLinePunct w:val="0"/>
              <w:bidi w:val="0"/>
              <w:spacing w:before="256" w:line="221" w:lineRule="auto"/>
              <w:ind w:left="118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备注</w:t>
            </w:r>
          </w:p>
        </w:tc>
        <w:tc>
          <w:tcPr>
            <w:tcW w:w="6150" w:type="dxa"/>
            <w:vAlign w:val="center"/>
          </w:tcPr>
          <w:p w14:paraId="350793D5">
            <w:pPr>
              <w:pStyle w:val="7"/>
              <w:pageBreakBefore w:val="0"/>
              <w:widowControl w:val="0"/>
              <w:wordWrap/>
              <w:overflowPunct/>
              <w:topLinePunct w:val="0"/>
              <w:bidi w:val="0"/>
              <w:jc w:val="center"/>
              <w:rPr>
                <w:color w:val="auto"/>
                <w:highlight w:val="none"/>
              </w:rPr>
            </w:pPr>
          </w:p>
        </w:tc>
      </w:tr>
    </w:tbl>
    <w:p w14:paraId="4F86D054">
      <w:pPr>
        <w:pageBreakBefore w:val="0"/>
        <w:widowControl w:val="0"/>
        <w:wordWrap/>
        <w:overflowPunct/>
        <w:topLinePunct w:val="0"/>
        <w:bidi w:val="0"/>
        <w:rPr>
          <w:color w:val="auto"/>
          <w:highlight w:val="none"/>
        </w:rPr>
      </w:pPr>
    </w:p>
    <w:p w14:paraId="0C0723DB">
      <w:pPr>
        <w:pageBreakBefore w:val="0"/>
        <w:widowControl w:val="0"/>
        <w:wordWrap/>
        <w:overflowPunct/>
        <w:topLinePunct w:val="0"/>
        <w:bidi w:val="0"/>
        <w:rPr>
          <w:color w:val="auto"/>
          <w:highlight w:val="none"/>
        </w:rPr>
        <w:sectPr>
          <w:footerReference r:id="rId3" w:type="default"/>
          <w:pgSz w:w="11906" w:h="16839"/>
          <w:pgMar w:top="1232" w:right="1786" w:bottom="1156" w:left="1786" w:header="0" w:footer="994" w:gutter="0"/>
          <w:pgNumType w:fmt="decimal"/>
          <w:cols w:space="720" w:num="1"/>
        </w:sectPr>
      </w:pPr>
      <w:bookmarkStart w:id="1" w:name="_GoBack"/>
      <w:bookmarkEnd w:id="1"/>
    </w:p>
    <w:p w14:paraId="63C46ABF">
      <w:pPr>
        <w:pageBreakBefore w:val="0"/>
        <w:widowControl w:val="0"/>
        <w:wordWrap/>
        <w:overflowPunct/>
        <w:topLinePunct w:val="0"/>
        <w:bidi w:val="0"/>
        <w:spacing w:before="47" w:line="219" w:lineRule="auto"/>
        <w:ind w:left="3805"/>
        <w:outlineLvl w:val="1"/>
        <w:rPr>
          <w:rFonts w:ascii="宋体" w:hAnsi="宋体" w:eastAsia="宋体" w:cs="宋体"/>
          <w:color w:val="auto"/>
          <w:sz w:val="24"/>
          <w:szCs w:val="24"/>
          <w:highlight w:val="none"/>
        </w:rPr>
      </w:pPr>
      <w:bookmarkStart w:id="0" w:name="bookmark81"/>
      <w:bookmarkEnd w:id="0"/>
      <w:r>
        <w:rPr>
          <w:rFonts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二、采购</w:t>
      </w: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要</w:t>
      </w:r>
      <w:r>
        <w:rPr>
          <w:rFonts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求</w:t>
      </w:r>
    </w:p>
    <w:p w14:paraId="0D9C0787">
      <w:pPr>
        <w:pageBreakBefore w:val="0"/>
        <w:widowControl w:val="0"/>
        <w:wordWrap/>
        <w:overflowPunct/>
        <w:topLinePunct w:val="0"/>
        <w:bidi w:val="0"/>
        <w:spacing w:line="258" w:lineRule="auto"/>
        <w:rPr>
          <w:color w:val="auto"/>
          <w:highlight w:val="none"/>
        </w:rPr>
      </w:pPr>
    </w:p>
    <w:p w14:paraId="70BC2B8E">
      <w:pPr>
        <w:spacing w:before="304" w:line="360" w:lineRule="auto"/>
        <w:ind w:left="691"/>
        <w:rPr>
          <w:rFonts w:hint="default" w:ascii="宋体" w:hAnsi="宋体" w:eastAsia="宋体" w:cs="宋体"/>
          <w:sz w:val="24"/>
          <w:szCs w:val="24"/>
          <w:lang w:val="en-US" w:eastAsia="zh-CN"/>
        </w:rPr>
      </w:pPr>
      <w:r>
        <w:rPr>
          <w:rFonts w:hint="eastAsia" w:ascii="宋体" w:hAnsi="宋体" w:eastAsia="宋体" w:cs="宋体"/>
          <w:b/>
          <w:bCs/>
          <w:spacing w:val="-3"/>
          <w:sz w:val="24"/>
          <w:szCs w:val="24"/>
        </w:rPr>
        <w:t>一、</w:t>
      </w:r>
      <w:r>
        <w:rPr>
          <w:rFonts w:hint="eastAsia" w:ascii="宋体" w:hAnsi="宋体" w:eastAsia="宋体" w:cs="宋体"/>
          <w:b/>
          <w:bCs/>
          <w:spacing w:val="-3"/>
          <w:sz w:val="24"/>
          <w:szCs w:val="24"/>
          <w:lang w:val="en-US" w:eastAsia="zh-CN"/>
        </w:rPr>
        <w:t>服务要求</w:t>
      </w:r>
    </w:p>
    <w:p w14:paraId="05CC1525">
      <w:pPr>
        <w:spacing w:before="305" w:line="360" w:lineRule="auto"/>
        <w:ind w:left="771"/>
        <w:rPr>
          <w:rFonts w:hint="eastAsia" w:ascii="宋体" w:hAnsi="宋体" w:eastAsia="宋体" w:cs="宋体"/>
          <w:sz w:val="24"/>
          <w:szCs w:val="24"/>
        </w:rPr>
      </w:pPr>
      <w:r>
        <w:rPr>
          <w:rFonts w:hint="eastAsia" w:ascii="宋体" w:hAnsi="宋体" w:eastAsia="宋体" w:cs="宋体"/>
          <w:b/>
          <w:bCs/>
          <w:spacing w:val="-7"/>
          <w:sz w:val="24"/>
          <w:szCs w:val="24"/>
        </w:rPr>
        <w:t>(一）防制服务区域及内容</w:t>
      </w:r>
    </w:p>
    <w:p w14:paraId="6D863E6F">
      <w:pPr>
        <w:tabs>
          <w:tab w:val="left" w:pos="9020"/>
        </w:tabs>
        <w:spacing w:before="297" w:line="360" w:lineRule="auto"/>
        <w:ind w:left="250" w:right="277" w:rightChars="0" w:firstLine="360"/>
        <w:rPr>
          <w:rFonts w:hint="eastAsia" w:ascii="宋体" w:hAnsi="宋体" w:eastAsia="宋体" w:cs="宋体"/>
          <w:sz w:val="24"/>
          <w:szCs w:val="24"/>
        </w:rPr>
      </w:pPr>
      <w:r>
        <w:rPr>
          <w:rFonts w:hint="eastAsia" w:ascii="宋体" w:hAnsi="宋体" w:eastAsia="宋体" w:cs="宋体"/>
          <w:sz w:val="24"/>
          <w:szCs w:val="24"/>
        </w:rPr>
        <w:t>上栗县城区</w:t>
      </w:r>
      <w:r>
        <w:rPr>
          <w:rFonts w:hint="eastAsia" w:ascii="宋体" w:hAnsi="宋体" w:eastAsia="宋体" w:cs="宋体"/>
          <w:spacing w:val="-29"/>
          <w:sz w:val="24"/>
          <w:szCs w:val="24"/>
        </w:rPr>
        <w:t xml:space="preserve"> </w:t>
      </w:r>
      <w:r>
        <w:rPr>
          <w:rFonts w:hint="eastAsia" w:ascii="宋体" w:hAnsi="宋体" w:eastAsia="宋体" w:cs="宋体"/>
          <w:sz w:val="24"/>
          <w:szCs w:val="24"/>
        </w:rPr>
        <w:t>6.5</w:t>
      </w:r>
      <w:r>
        <w:rPr>
          <w:rFonts w:hint="eastAsia" w:ascii="宋体" w:hAnsi="宋体" w:eastAsia="宋体" w:cs="宋体"/>
          <w:spacing w:val="-51"/>
          <w:sz w:val="24"/>
          <w:szCs w:val="24"/>
        </w:rPr>
        <w:t xml:space="preserve"> </w:t>
      </w:r>
      <w:r>
        <w:rPr>
          <w:rFonts w:hint="eastAsia" w:ascii="宋体" w:hAnsi="宋体" w:eastAsia="宋体" w:cs="宋体"/>
          <w:sz w:val="24"/>
          <w:szCs w:val="24"/>
        </w:rPr>
        <w:t xml:space="preserve">平方公里无主公共区域：如城市公共绿地、绿化带（坪）、 </w:t>
      </w:r>
      <w:r>
        <w:rPr>
          <w:rFonts w:hint="eastAsia" w:ascii="宋体" w:hAnsi="宋体" w:eastAsia="宋体" w:cs="宋体"/>
          <w:spacing w:val="-7"/>
          <w:sz w:val="24"/>
          <w:szCs w:val="24"/>
        </w:rPr>
        <w:t>市政主次干道、背街小巷两侧、公园广场、江河两</w:t>
      </w:r>
      <w:r>
        <w:rPr>
          <w:rFonts w:hint="eastAsia" w:ascii="宋体" w:hAnsi="宋体" w:eastAsia="宋体" w:cs="宋体"/>
          <w:spacing w:val="-8"/>
          <w:sz w:val="24"/>
          <w:szCs w:val="24"/>
        </w:rPr>
        <w:t>岸、农贸市场、垃圾站（点）、</w:t>
      </w:r>
      <w:r>
        <w:rPr>
          <w:rFonts w:hint="eastAsia" w:ascii="宋体" w:hAnsi="宋体" w:eastAsia="宋体" w:cs="宋体"/>
          <w:sz w:val="24"/>
          <w:szCs w:val="24"/>
        </w:rPr>
        <w:t xml:space="preserve"> </w:t>
      </w:r>
      <w:r>
        <w:rPr>
          <w:rFonts w:hint="eastAsia" w:ascii="宋体" w:hAnsi="宋体" w:eastAsia="宋体" w:cs="宋体"/>
          <w:spacing w:val="-3"/>
          <w:sz w:val="24"/>
          <w:szCs w:val="24"/>
        </w:rPr>
        <w:t>公共厕所、下水道、留泥井、无物业管理居民区、城区大中型水体等场所的病媒</w:t>
      </w:r>
      <w:r>
        <w:rPr>
          <w:rFonts w:hint="eastAsia" w:ascii="宋体" w:hAnsi="宋体" w:eastAsia="宋体" w:cs="宋体"/>
          <w:spacing w:val="-2"/>
          <w:sz w:val="24"/>
          <w:szCs w:val="24"/>
        </w:rPr>
        <w:t>生物防制服务。</w:t>
      </w:r>
    </w:p>
    <w:p w14:paraId="66A457DB">
      <w:pPr>
        <w:spacing w:line="360" w:lineRule="auto"/>
        <w:ind w:left="740"/>
        <w:rPr>
          <w:rFonts w:hint="eastAsia" w:ascii="宋体" w:hAnsi="宋体" w:eastAsia="宋体" w:cs="宋体"/>
          <w:sz w:val="24"/>
          <w:szCs w:val="24"/>
        </w:rPr>
      </w:pPr>
      <w:r>
        <w:rPr>
          <w:rFonts w:hint="eastAsia" w:ascii="宋体" w:hAnsi="宋体" w:eastAsia="宋体" w:cs="宋体"/>
          <w:b/>
          <w:bCs/>
          <w:spacing w:val="-4"/>
          <w:sz w:val="24"/>
          <w:szCs w:val="24"/>
        </w:rPr>
        <w:t>（二）防制质量及要求</w:t>
      </w:r>
    </w:p>
    <w:p w14:paraId="4B2136C4">
      <w:pPr>
        <w:spacing w:before="291" w:line="360" w:lineRule="auto"/>
        <w:ind w:left="249" w:right="239" w:firstLine="479"/>
        <w:rPr>
          <w:rFonts w:hint="eastAsia" w:ascii="宋体" w:hAnsi="宋体" w:eastAsia="宋体" w:cs="宋体"/>
          <w:sz w:val="24"/>
          <w:szCs w:val="24"/>
        </w:rPr>
      </w:pPr>
      <w:r>
        <w:rPr>
          <w:rFonts w:hint="eastAsia" w:ascii="宋体" w:hAnsi="宋体" w:eastAsia="宋体" w:cs="宋体"/>
          <w:spacing w:val="-4"/>
          <w:sz w:val="24"/>
          <w:szCs w:val="24"/>
        </w:rPr>
        <w:t>承包防制区域鼠、蟑、蚊、蝇四害密度控制水平达到国家</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C</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级标准；确保防</w:t>
      </w:r>
      <w:r>
        <w:rPr>
          <w:rFonts w:hint="eastAsia" w:ascii="宋体" w:hAnsi="宋体" w:eastAsia="宋体" w:cs="宋体"/>
          <w:spacing w:val="-1"/>
          <w:sz w:val="24"/>
          <w:szCs w:val="24"/>
        </w:rPr>
        <w:t>制区域病媒生物防制通过省、市各项检查达标通过。</w:t>
      </w:r>
    </w:p>
    <w:p w14:paraId="1BF825DE">
      <w:pPr>
        <w:spacing w:line="360" w:lineRule="auto"/>
        <w:ind w:left="740"/>
        <w:rPr>
          <w:rFonts w:hint="eastAsia" w:ascii="宋体" w:hAnsi="宋体" w:eastAsia="宋体" w:cs="宋体"/>
          <w:sz w:val="24"/>
          <w:szCs w:val="24"/>
        </w:rPr>
      </w:pPr>
      <w:r>
        <w:rPr>
          <w:rFonts w:hint="eastAsia" w:ascii="宋体" w:hAnsi="宋体" w:eastAsia="宋体" w:cs="宋体"/>
          <w:b/>
          <w:bCs/>
          <w:spacing w:val="-5"/>
          <w:sz w:val="24"/>
          <w:szCs w:val="24"/>
        </w:rPr>
        <w:t>（三）用药标准</w:t>
      </w:r>
    </w:p>
    <w:p w14:paraId="6E5A94D5">
      <w:pPr>
        <w:spacing w:before="295" w:line="360" w:lineRule="auto"/>
        <w:ind w:left="248" w:right="239" w:firstLine="482"/>
        <w:jc w:val="both"/>
        <w:rPr>
          <w:rFonts w:hint="eastAsia" w:ascii="宋体" w:hAnsi="宋体" w:eastAsia="宋体" w:cs="宋体"/>
          <w:sz w:val="24"/>
          <w:szCs w:val="24"/>
        </w:rPr>
      </w:pPr>
      <w:r>
        <w:rPr>
          <w:rFonts w:hint="eastAsia" w:ascii="宋体" w:hAnsi="宋体" w:eastAsia="宋体" w:cs="宋体"/>
          <w:spacing w:val="-3"/>
          <w:sz w:val="24"/>
          <w:szCs w:val="24"/>
        </w:rPr>
        <w:t>投标单位必须注重科学合理用药，不得使用假药、国家禁</w:t>
      </w:r>
      <w:r>
        <w:rPr>
          <w:rFonts w:hint="eastAsia" w:ascii="宋体" w:hAnsi="宋体" w:eastAsia="宋体" w:cs="宋体"/>
          <w:spacing w:val="-4"/>
          <w:sz w:val="24"/>
          <w:szCs w:val="24"/>
        </w:rPr>
        <w:t>用的药物，并须确</w:t>
      </w:r>
      <w:r>
        <w:rPr>
          <w:rFonts w:hint="eastAsia" w:ascii="宋体" w:hAnsi="宋体" w:eastAsia="宋体" w:cs="宋体"/>
          <w:sz w:val="24"/>
          <w:szCs w:val="24"/>
        </w:rPr>
        <w:t xml:space="preserve"> </w:t>
      </w:r>
      <w:r>
        <w:rPr>
          <w:rFonts w:hint="eastAsia" w:ascii="宋体" w:hAnsi="宋体" w:eastAsia="宋体" w:cs="宋体"/>
          <w:spacing w:val="2"/>
          <w:sz w:val="24"/>
          <w:szCs w:val="24"/>
        </w:rPr>
        <w:t>保药物来源和质量正当可靠。使用的药物必须符合</w:t>
      </w:r>
      <w:r>
        <w:rPr>
          <w:rFonts w:hint="eastAsia" w:ascii="宋体" w:hAnsi="宋体" w:eastAsia="宋体" w:cs="宋体"/>
          <w:spacing w:val="-51"/>
          <w:sz w:val="24"/>
          <w:szCs w:val="24"/>
        </w:rPr>
        <w:t xml:space="preserve"> </w:t>
      </w:r>
      <w:r>
        <w:rPr>
          <w:rFonts w:hint="eastAsia" w:ascii="宋体" w:hAnsi="宋体" w:eastAsia="宋体" w:cs="宋体"/>
          <w:sz w:val="24"/>
          <w:szCs w:val="24"/>
        </w:rPr>
        <w:t>GB</w:t>
      </w:r>
      <w:r>
        <w:rPr>
          <w:rFonts w:hint="eastAsia" w:ascii="宋体" w:hAnsi="宋体" w:eastAsia="宋体" w:cs="宋体"/>
          <w:spacing w:val="2"/>
          <w:sz w:val="24"/>
          <w:szCs w:val="24"/>
        </w:rPr>
        <w:t>/T2</w:t>
      </w:r>
      <w:r>
        <w:rPr>
          <w:rFonts w:hint="eastAsia" w:ascii="宋体" w:hAnsi="宋体" w:eastAsia="宋体" w:cs="宋体"/>
          <w:spacing w:val="1"/>
          <w:sz w:val="24"/>
          <w:szCs w:val="24"/>
        </w:rPr>
        <w:t>7777-2011《杀鼠剂安</w:t>
      </w:r>
      <w:r>
        <w:rPr>
          <w:rFonts w:hint="eastAsia" w:ascii="宋体" w:hAnsi="宋体" w:eastAsia="宋体" w:cs="宋体"/>
          <w:sz w:val="24"/>
          <w:szCs w:val="24"/>
        </w:rPr>
        <w:t xml:space="preserve"> </w:t>
      </w:r>
      <w:r>
        <w:rPr>
          <w:rFonts w:hint="eastAsia" w:ascii="宋体" w:hAnsi="宋体" w:eastAsia="宋体" w:cs="宋体"/>
          <w:spacing w:val="-4"/>
          <w:sz w:val="24"/>
          <w:szCs w:val="24"/>
        </w:rPr>
        <w:t>全使用准则》与</w:t>
      </w:r>
      <w:r>
        <w:rPr>
          <w:rFonts w:hint="eastAsia" w:ascii="宋体" w:hAnsi="宋体" w:eastAsia="宋体" w:cs="宋体"/>
          <w:spacing w:val="-53"/>
          <w:sz w:val="24"/>
          <w:szCs w:val="24"/>
        </w:rPr>
        <w:t xml:space="preserve"> </w:t>
      </w:r>
      <w:r>
        <w:rPr>
          <w:rFonts w:hint="eastAsia" w:ascii="宋体" w:hAnsi="宋体" w:eastAsia="宋体" w:cs="宋体"/>
          <w:spacing w:val="-4"/>
          <w:sz w:val="24"/>
          <w:szCs w:val="24"/>
        </w:rPr>
        <w:t>GB/T27779-2011《卫生杀虫剂安全使用准则》的要求，达</w:t>
      </w:r>
      <w:r>
        <w:rPr>
          <w:rFonts w:hint="eastAsia" w:ascii="宋体" w:hAnsi="宋体" w:eastAsia="宋体" w:cs="宋体"/>
          <w:spacing w:val="-5"/>
          <w:sz w:val="24"/>
          <w:szCs w:val="24"/>
        </w:rPr>
        <w:t>到“安</w:t>
      </w:r>
      <w:r>
        <w:rPr>
          <w:rFonts w:hint="eastAsia" w:ascii="宋体" w:hAnsi="宋体" w:eastAsia="宋体" w:cs="宋体"/>
          <w:sz w:val="24"/>
          <w:szCs w:val="24"/>
        </w:rPr>
        <w:t xml:space="preserve"> </w:t>
      </w:r>
      <w:r>
        <w:rPr>
          <w:rFonts w:hint="eastAsia" w:ascii="宋体" w:hAnsi="宋体" w:eastAsia="宋体" w:cs="宋体"/>
          <w:spacing w:val="-4"/>
          <w:sz w:val="24"/>
          <w:szCs w:val="24"/>
        </w:rPr>
        <w:t>全、高效、环保</w:t>
      </w:r>
      <w:r>
        <w:rPr>
          <w:rFonts w:hint="eastAsia" w:ascii="宋体" w:hAnsi="宋体" w:eastAsia="宋体" w:cs="宋体"/>
          <w:spacing w:val="-84"/>
          <w:sz w:val="24"/>
          <w:szCs w:val="24"/>
        </w:rPr>
        <w:t xml:space="preserve"> </w:t>
      </w:r>
      <w:r>
        <w:rPr>
          <w:rFonts w:hint="eastAsia" w:ascii="宋体" w:hAnsi="宋体" w:eastAsia="宋体" w:cs="宋体"/>
          <w:spacing w:val="-4"/>
          <w:sz w:val="24"/>
          <w:szCs w:val="24"/>
        </w:rPr>
        <w:t>”并交替使用药物防止产生耐药性的要求。为保证用药质量，本</w:t>
      </w:r>
      <w:r>
        <w:rPr>
          <w:rFonts w:hint="eastAsia" w:ascii="宋体" w:hAnsi="宋体" w:eastAsia="宋体" w:cs="宋体"/>
          <w:sz w:val="24"/>
          <w:szCs w:val="24"/>
        </w:rPr>
        <w:t xml:space="preserve"> </w:t>
      </w:r>
      <w:r>
        <w:rPr>
          <w:rFonts w:hint="eastAsia" w:ascii="宋体" w:hAnsi="宋体" w:eastAsia="宋体" w:cs="宋体"/>
          <w:spacing w:val="-1"/>
          <w:sz w:val="24"/>
          <w:szCs w:val="24"/>
        </w:rPr>
        <w:t>项目主要化学药物必须按照以下标准和要求执行。</w:t>
      </w:r>
    </w:p>
    <w:tbl>
      <w:tblPr>
        <w:tblStyle w:val="6"/>
        <w:tblW w:w="875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6"/>
        <w:gridCol w:w="1805"/>
        <w:gridCol w:w="2563"/>
        <w:gridCol w:w="1218"/>
        <w:gridCol w:w="2477"/>
      </w:tblGrid>
      <w:tr w14:paraId="68B38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96" w:type="dxa"/>
            <w:tcBorders>
              <w:top w:val="single" w:color="000000" w:sz="10" w:space="0"/>
              <w:left w:val="single" w:color="000000" w:sz="10" w:space="0"/>
            </w:tcBorders>
            <w:noWrap w:val="0"/>
            <w:vAlign w:val="top"/>
          </w:tcPr>
          <w:p w14:paraId="0AE07D13">
            <w:pPr>
              <w:pStyle w:val="7"/>
              <w:spacing w:before="158" w:line="360" w:lineRule="auto"/>
              <w:ind w:left="128"/>
              <w:rPr>
                <w:rFonts w:hint="eastAsia" w:ascii="宋体" w:hAnsi="宋体" w:eastAsia="宋体" w:cs="宋体"/>
                <w:sz w:val="24"/>
                <w:szCs w:val="24"/>
              </w:rPr>
            </w:pPr>
            <w:r>
              <w:rPr>
                <w:rFonts w:hint="eastAsia" w:ascii="宋体" w:hAnsi="宋体" w:eastAsia="宋体" w:cs="宋体"/>
                <w:spacing w:val="5"/>
                <w:sz w:val="24"/>
                <w:szCs w:val="24"/>
              </w:rPr>
              <w:t>序号</w:t>
            </w:r>
          </w:p>
        </w:tc>
        <w:tc>
          <w:tcPr>
            <w:tcW w:w="1805" w:type="dxa"/>
            <w:tcBorders>
              <w:top w:val="single" w:color="000000" w:sz="10" w:space="0"/>
            </w:tcBorders>
            <w:noWrap w:val="0"/>
            <w:vAlign w:val="top"/>
          </w:tcPr>
          <w:p w14:paraId="76848B8F">
            <w:pPr>
              <w:pStyle w:val="7"/>
              <w:spacing w:before="172" w:line="360" w:lineRule="auto"/>
              <w:ind w:left="482"/>
              <w:rPr>
                <w:rFonts w:hint="eastAsia" w:ascii="宋体" w:hAnsi="宋体" w:eastAsia="宋体" w:cs="宋体"/>
                <w:sz w:val="24"/>
                <w:szCs w:val="24"/>
              </w:rPr>
            </w:pPr>
            <w:r>
              <w:rPr>
                <w:rFonts w:hint="eastAsia" w:ascii="宋体" w:hAnsi="宋体" w:eastAsia="宋体" w:cs="宋体"/>
                <w:spacing w:val="6"/>
                <w:sz w:val="24"/>
                <w:szCs w:val="24"/>
              </w:rPr>
              <w:t>药品名称</w:t>
            </w:r>
          </w:p>
        </w:tc>
        <w:tc>
          <w:tcPr>
            <w:tcW w:w="2563" w:type="dxa"/>
            <w:tcBorders>
              <w:top w:val="single" w:color="000000" w:sz="10" w:space="0"/>
            </w:tcBorders>
            <w:noWrap w:val="0"/>
            <w:vAlign w:val="top"/>
          </w:tcPr>
          <w:p w14:paraId="0998BFEF">
            <w:pPr>
              <w:pStyle w:val="7"/>
              <w:spacing w:before="172" w:line="360" w:lineRule="auto"/>
              <w:ind w:left="729"/>
              <w:rPr>
                <w:rFonts w:hint="eastAsia" w:ascii="宋体" w:hAnsi="宋体" w:eastAsia="宋体" w:cs="宋体"/>
                <w:sz w:val="24"/>
                <w:szCs w:val="24"/>
              </w:rPr>
            </w:pPr>
            <w:r>
              <w:rPr>
                <w:rFonts w:hint="eastAsia" w:ascii="宋体" w:hAnsi="宋体" w:eastAsia="宋体" w:cs="宋体"/>
                <w:spacing w:val="8"/>
                <w:sz w:val="24"/>
                <w:szCs w:val="24"/>
              </w:rPr>
              <w:t>有效成份含量</w:t>
            </w:r>
          </w:p>
        </w:tc>
        <w:tc>
          <w:tcPr>
            <w:tcW w:w="1218" w:type="dxa"/>
            <w:tcBorders>
              <w:top w:val="single" w:color="000000" w:sz="10" w:space="0"/>
            </w:tcBorders>
            <w:noWrap w:val="0"/>
            <w:vAlign w:val="top"/>
          </w:tcPr>
          <w:p w14:paraId="55EB456E">
            <w:pPr>
              <w:pStyle w:val="7"/>
              <w:spacing w:before="172" w:line="360" w:lineRule="auto"/>
              <w:ind w:left="334"/>
              <w:rPr>
                <w:rFonts w:hint="eastAsia" w:ascii="宋体" w:hAnsi="宋体" w:eastAsia="宋体" w:cs="宋体"/>
                <w:sz w:val="24"/>
                <w:szCs w:val="24"/>
              </w:rPr>
            </w:pPr>
            <w:r>
              <w:rPr>
                <w:rFonts w:hint="eastAsia" w:ascii="宋体" w:hAnsi="宋体" w:eastAsia="宋体" w:cs="宋体"/>
                <w:spacing w:val="4"/>
                <w:sz w:val="24"/>
                <w:szCs w:val="24"/>
              </w:rPr>
              <w:t>剂型</w:t>
            </w:r>
          </w:p>
        </w:tc>
        <w:tc>
          <w:tcPr>
            <w:tcW w:w="2477" w:type="dxa"/>
            <w:tcBorders>
              <w:top w:val="single" w:color="000000" w:sz="10" w:space="0"/>
              <w:right w:val="single" w:color="000000" w:sz="10" w:space="0"/>
            </w:tcBorders>
            <w:noWrap w:val="0"/>
            <w:vAlign w:val="top"/>
          </w:tcPr>
          <w:p w14:paraId="1129987E">
            <w:pPr>
              <w:pStyle w:val="7"/>
              <w:spacing w:before="172" w:line="360" w:lineRule="auto"/>
              <w:ind w:left="1037"/>
              <w:rPr>
                <w:rFonts w:hint="eastAsia" w:ascii="宋体" w:hAnsi="宋体" w:eastAsia="宋体" w:cs="宋体"/>
                <w:sz w:val="24"/>
                <w:szCs w:val="24"/>
              </w:rPr>
            </w:pPr>
            <w:r>
              <w:rPr>
                <w:rFonts w:hint="eastAsia" w:ascii="宋体" w:hAnsi="宋体" w:eastAsia="宋体" w:cs="宋体"/>
                <w:spacing w:val="3"/>
                <w:sz w:val="24"/>
                <w:szCs w:val="24"/>
              </w:rPr>
              <w:t>说明</w:t>
            </w:r>
          </w:p>
        </w:tc>
      </w:tr>
      <w:tr w14:paraId="5BD04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96" w:type="dxa"/>
            <w:tcBorders>
              <w:left w:val="single" w:color="000000" w:sz="10" w:space="0"/>
            </w:tcBorders>
            <w:noWrap w:val="0"/>
            <w:vAlign w:val="top"/>
          </w:tcPr>
          <w:p w14:paraId="75E5560C">
            <w:pPr>
              <w:pStyle w:val="7"/>
              <w:spacing w:before="256" w:line="360" w:lineRule="auto"/>
              <w:ind w:left="302"/>
              <w:rPr>
                <w:rFonts w:hint="eastAsia" w:ascii="宋体" w:hAnsi="宋体" w:eastAsia="宋体" w:cs="宋体"/>
                <w:sz w:val="24"/>
                <w:szCs w:val="24"/>
              </w:rPr>
            </w:pPr>
            <w:r>
              <w:rPr>
                <w:rFonts w:hint="eastAsia" w:ascii="宋体" w:hAnsi="宋体" w:eastAsia="宋体" w:cs="宋体"/>
                <w:position w:val="1"/>
                <w:sz w:val="24"/>
                <w:szCs w:val="24"/>
              </w:rPr>
              <w:t>1</w:t>
            </w:r>
          </w:p>
        </w:tc>
        <w:tc>
          <w:tcPr>
            <w:tcW w:w="1805" w:type="dxa"/>
            <w:noWrap w:val="0"/>
            <w:vAlign w:val="center"/>
          </w:tcPr>
          <w:p w14:paraId="737F452B">
            <w:pPr>
              <w:widowControl/>
              <w:adjustRightInd w:val="0"/>
              <w:snapToGrid w:val="0"/>
              <w:spacing w:before="31" w:beforeLines="10" w:after="31" w:afterLines="10" w:line="360" w:lineRule="auto"/>
              <w:jc w:val="center"/>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z w:val="24"/>
                <w:szCs w:val="24"/>
              </w:rPr>
              <w:t>溴鼠灵毒饵</w:t>
            </w:r>
          </w:p>
        </w:tc>
        <w:tc>
          <w:tcPr>
            <w:tcW w:w="2563" w:type="dxa"/>
            <w:noWrap w:val="0"/>
            <w:vAlign w:val="center"/>
          </w:tcPr>
          <w:p w14:paraId="7E3D9B26">
            <w:pPr>
              <w:spacing w:before="105" w:line="360" w:lineRule="auto"/>
              <w:ind w:right="620"/>
              <w:jc w:val="center"/>
              <w:rPr>
                <w:rFonts w:hint="eastAsia" w:ascii="宋体" w:hAnsi="宋体" w:eastAsia="宋体" w:cs="宋体"/>
                <w:sz w:val="24"/>
                <w:szCs w:val="24"/>
              </w:rPr>
            </w:pPr>
            <w:r>
              <w:rPr>
                <w:rFonts w:hint="eastAsia" w:ascii="宋体" w:hAnsi="宋体" w:eastAsia="宋体" w:cs="宋体"/>
                <w:sz w:val="24"/>
                <w:szCs w:val="24"/>
              </w:rPr>
              <w:t>溴鼠灵</w:t>
            </w:r>
            <w:r>
              <w:rPr>
                <w:rFonts w:hint="eastAsia" w:ascii="宋体" w:hAnsi="宋体" w:eastAsia="宋体" w:cs="宋体"/>
                <w:sz w:val="24"/>
                <w:szCs w:val="24"/>
                <w:lang w:val="en-US" w:eastAsia="zh-CN"/>
              </w:rPr>
              <w:t>≥</w:t>
            </w:r>
            <w:r>
              <w:rPr>
                <w:rFonts w:hint="eastAsia" w:ascii="宋体" w:hAnsi="宋体" w:eastAsia="宋体" w:cs="宋体"/>
                <w:sz w:val="24"/>
                <w:szCs w:val="24"/>
              </w:rPr>
              <w:t>0.005%</w:t>
            </w:r>
          </w:p>
          <w:p w14:paraId="2CE1C043">
            <w:pPr>
              <w:spacing w:before="105" w:line="360" w:lineRule="auto"/>
              <w:ind w:right="620"/>
              <w:jc w:val="center"/>
              <w:rPr>
                <w:rFonts w:hint="eastAsia" w:ascii="宋体" w:hAnsi="宋体" w:eastAsia="宋体" w:cs="宋体"/>
                <w:sz w:val="24"/>
                <w:szCs w:val="24"/>
              </w:rPr>
            </w:pPr>
            <w:r>
              <w:rPr>
                <w:rFonts w:hint="eastAsia" w:ascii="宋体" w:hAnsi="宋体" w:eastAsia="宋体" w:cs="宋体"/>
                <w:sz w:val="24"/>
                <w:szCs w:val="24"/>
              </w:rPr>
              <w:t>备注:新鲜稻谷</w:t>
            </w:r>
          </w:p>
        </w:tc>
        <w:tc>
          <w:tcPr>
            <w:tcW w:w="1218" w:type="dxa"/>
            <w:noWrap w:val="0"/>
            <w:vAlign w:val="top"/>
          </w:tcPr>
          <w:p w14:paraId="022204B5">
            <w:pPr>
              <w:spacing w:before="255" w:line="360" w:lineRule="auto"/>
              <w:ind w:left="335"/>
              <w:rPr>
                <w:rFonts w:hint="eastAsia" w:ascii="宋体" w:hAnsi="宋体" w:eastAsia="宋体" w:cs="宋体"/>
                <w:sz w:val="24"/>
                <w:szCs w:val="24"/>
              </w:rPr>
            </w:pPr>
            <w:r>
              <w:rPr>
                <w:rFonts w:hint="eastAsia" w:ascii="宋体" w:hAnsi="宋体" w:eastAsia="宋体" w:cs="宋体"/>
                <w:sz w:val="24"/>
                <w:szCs w:val="24"/>
              </w:rPr>
              <w:t>毒饵</w:t>
            </w:r>
          </w:p>
        </w:tc>
        <w:tc>
          <w:tcPr>
            <w:tcW w:w="2477" w:type="dxa"/>
            <w:tcBorders>
              <w:right w:val="single" w:color="000000" w:sz="10" w:space="0"/>
            </w:tcBorders>
            <w:noWrap w:val="0"/>
            <w:vAlign w:val="top"/>
          </w:tcPr>
          <w:p w14:paraId="40A0677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灭鼠药物，灭鼠毒饵站内使用</w:t>
            </w:r>
          </w:p>
        </w:tc>
      </w:tr>
      <w:tr w14:paraId="007B5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696" w:type="dxa"/>
            <w:tcBorders>
              <w:left w:val="single" w:color="000000" w:sz="10" w:space="0"/>
            </w:tcBorders>
            <w:noWrap w:val="0"/>
            <w:vAlign w:val="top"/>
          </w:tcPr>
          <w:p w14:paraId="0BFA0460">
            <w:pPr>
              <w:pStyle w:val="7"/>
              <w:spacing w:before="262" w:line="360" w:lineRule="auto"/>
              <w:ind w:left="289"/>
              <w:rPr>
                <w:rFonts w:hint="eastAsia" w:ascii="宋体" w:hAnsi="宋体" w:eastAsia="宋体" w:cs="宋体"/>
                <w:sz w:val="24"/>
                <w:szCs w:val="24"/>
              </w:rPr>
            </w:pPr>
            <w:r>
              <w:rPr>
                <w:rFonts w:hint="eastAsia" w:ascii="宋体" w:hAnsi="宋体" w:eastAsia="宋体" w:cs="宋体"/>
                <w:position w:val="1"/>
                <w:sz w:val="24"/>
                <w:szCs w:val="24"/>
              </w:rPr>
              <w:t>2</w:t>
            </w:r>
          </w:p>
        </w:tc>
        <w:tc>
          <w:tcPr>
            <w:tcW w:w="1805" w:type="dxa"/>
            <w:noWrap w:val="0"/>
            <w:vAlign w:val="center"/>
          </w:tcPr>
          <w:p w14:paraId="795DD60B">
            <w:pPr>
              <w:widowControl/>
              <w:adjustRightInd w:val="0"/>
              <w:snapToGrid w:val="0"/>
              <w:spacing w:before="31" w:beforeLines="10" w:after="31" w:afterLines="10" w:line="360" w:lineRule="auto"/>
              <w:jc w:val="center"/>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z w:val="24"/>
                <w:szCs w:val="24"/>
              </w:rPr>
              <w:t>溴鼠灵毒饵</w:t>
            </w:r>
          </w:p>
        </w:tc>
        <w:tc>
          <w:tcPr>
            <w:tcW w:w="2563" w:type="dxa"/>
            <w:noWrap w:val="0"/>
            <w:vAlign w:val="center"/>
          </w:tcPr>
          <w:p w14:paraId="2779CFD5">
            <w:pPr>
              <w:spacing w:before="111" w:line="360" w:lineRule="auto"/>
              <w:ind w:right="516"/>
              <w:jc w:val="center"/>
              <w:rPr>
                <w:rFonts w:hint="eastAsia" w:ascii="宋体" w:hAnsi="宋体" w:eastAsia="宋体" w:cs="宋体"/>
                <w:sz w:val="24"/>
                <w:szCs w:val="24"/>
              </w:rPr>
            </w:pPr>
            <w:r>
              <w:rPr>
                <w:rFonts w:hint="eastAsia" w:ascii="宋体" w:hAnsi="宋体" w:eastAsia="宋体" w:cs="宋体"/>
                <w:sz w:val="24"/>
                <w:szCs w:val="24"/>
              </w:rPr>
              <w:t>溴鼠灵</w:t>
            </w:r>
            <w:r>
              <w:rPr>
                <w:rFonts w:hint="eastAsia" w:ascii="宋体" w:hAnsi="宋体" w:eastAsia="宋体" w:cs="宋体"/>
                <w:sz w:val="24"/>
                <w:szCs w:val="24"/>
                <w:lang w:val="en-US" w:eastAsia="zh-CN"/>
              </w:rPr>
              <w:t>≥</w:t>
            </w:r>
            <w:r>
              <w:rPr>
                <w:rFonts w:hint="eastAsia" w:ascii="宋体" w:hAnsi="宋体" w:eastAsia="宋体" w:cs="宋体"/>
                <w:sz w:val="24"/>
                <w:szCs w:val="24"/>
              </w:rPr>
              <w:t>0.005%</w:t>
            </w:r>
          </w:p>
          <w:p w14:paraId="15DC00FE">
            <w:pPr>
              <w:pStyle w:val="2"/>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备注：</w:t>
            </w:r>
            <w:r>
              <w:rPr>
                <w:rFonts w:hint="eastAsia" w:ascii="宋体" w:hAnsi="宋体" w:eastAsia="宋体" w:cs="宋体"/>
                <w:sz w:val="24"/>
                <w:szCs w:val="24"/>
              </w:rPr>
              <w:t>蜡块或蜡丸</w:t>
            </w:r>
          </w:p>
        </w:tc>
        <w:tc>
          <w:tcPr>
            <w:tcW w:w="1218" w:type="dxa"/>
            <w:noWrap w:val="0"/>
            <w:vAlign w:val="top"/>
          </w:tcPr>
          <w:p w14:paraId="34C2AAE3">
            <w:pPr>
              <w:spacing w:before="262" w:line="360" w:lineRule="auto"/>
              <w:ind w:left="335"/>
              <w:rPr>
                <w:rFonts w:hint="eastAsia" w:ascii="宋体" w:hAnsi="宋体" w:eastAsia="宋体" w:cs="宋体"/>
                <w:sz w:val="24"/>
                <w:szCs w:val="24"/>
              </w:rPr>
            </w:pPr>
            <w:r>
              <w:rPr>
                <w:rFonts w:hint="eastAsia" w:ascii="宋体" w:hAnsi="宋体" w:eastAsia="宋体" w:cs="宋体"/>
                <w:sz w:val="24"/>
                <w:szCs w:val="24"/>
              </w:rPr>
              <w:t>毒饵</w:t>
            </w:r>
          </w:p>
        </w:tc>
        <w:tc>
          <w:tcPr>
            <w:tcW w:w="2477" w:type="dxa"/>
            <w:tcBorders>
              <w:right w:val="single" w:color="000000" w:sz="10" w:space="0"/>
            </w:tcBorders>
            <w:noWrap w:val="0"/>
            <w:vAlign w:val="top"/>
          </w:tcPr>
          <w:p w14:paraId="0084BA3E">
            <w:pPr>
              <w:spacing w:before="139" w:line="360" w:lineRule="auto"/>
              <w:ind w:right="97"/>
              <w:jc w:val="left"/>
              <w:rPr>
                <w:rFonts w:hint="eastAsia" w:ascii="宋体" w:hAnsi="宋体" w:eastAsia="宋体" w:cs="宋体"/>
                <w:sz w:val="24"/>
                <w:szCs w:val="24"/>
              </w:rPr>
            </w:pPr>
            <w:r>
              <w:rPr>
                <w:rFonts w:hint="eastAsia" w:ascii="宋体" w:hAnsi="宋体" w:eastAsia="宋体" w:cs="宋体"/>
                <w:sz w:val="24"/>
                <w:szCs w:val="24"/>
              </w:rPr>
              <w:t>灭鼠药物，下水道及潮湿场所使用</w:t>
            </w:r>
          </w:p>
        </w:tc>
      </w:tr>
      <w:tr w14:paraId="54BE8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696" w:type="dxa"/>
            <w:tcBorders>
              <w:left w:val="single" w:color="000000" w:sz="10" w:space="0"/>
            </w:tcBorders>
            <w:noWrap w:val="0"/>
            <w:vAlign w:val="top"/>
          </w:tcPr>
          <w:p w14:paraId="5A812878">
            <w:pPr>
              <w:pStyle w:val="7"/>
              <w:spacing w:before="265" w:line="360" w:lineRule="auto"/>
              <w:ind w:left="291"/>
              <w:rPr>
                <w:rFonts w:hint="eastAsia" w:ascii="宋体" w:hAnsi="宋体" w:eastAsia="宋体" w:cs="宋体"/>
                <w:sz w:val="24"/>
                <w:szCs w:val="24"/>
              </w:rPr>
            </w:pPr>
            <w:r>
              <w:rPr>
                <w:rFonts w:hint="eastAsia" w:ascii="宋体" w:hAnsi="宋体" w:eastAsia="宋体" w:cs="宋体"/>
                <w:position w:val="1"/>
                <w:sz w:val="24"/>
                <w:szCs w:val="24"/>
              </w:rPr>
              <w:t>3</w:t>
            </w:r>
          </w:p>
        </w:tc>
        <w:tc>
          <w:tcPr>
            <w:tcW w:w="1805" w:type="dxa"/>
            <w:noWrap w:val="0"/>
            <w:vAlign w:val="center"/>
          </w:tcPr>
          <w:p w14:paraId="7D9B2F37">
            <w:pPr>
              <w:widowControl/>
              <w:adjustRightInd w:val="0"/>
              <w:snapToGrid w:val="0"/>
              <w:spacing w:before="31" w:beforeLines="10" w:after="31" w:afterLines="10" w:line="360" w:lineRule="auto"/>
              <w:jc w:val="center"/>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z w:val="24"/>
                <w:szCs w:val="24"/>
              </w:rPr>
              <w:t>杀虫饵剂</w:t>
            </w:r>
          </w:p>
        </w:tc>
        <w:tc>
          <w:tcPr>
            <w:tcW w:w="2563" w:type="dxa"/>
            <w:noWrap w:val="0"/>
            <w:vAlign w:val="center"/>
          </w:tcPr>
          <w:p w14:paraId="70830A6E">
            <w:pPr>
              <w:spacing w:before="264" w:line="360" w:lineRule="auto"/>
              <w:jc w:val="center"/>
              <w:rPr>
                <w:rFonts w:hint="eastAsia" w:ascii="宋体" w:hAnsi="宋体" w:eastAsia="宋体" w:cs="宋体"/>
                <w:sz w:val="24"/>
                <w:szCs w:val="24"/>
              </w:rPr>
            </w:pPr>
            <w:r>
              <w:rPr>
                <w:rFonts w:hint="eastAsia" w:ascii="宋体" w:hAnsi="宋体" w:eastAsia="宋体" w:cs="宋体"/>
                <w:sz w:val="24"/>
                <w:szCs w:val="24"/>
              </w:rPr>
              <w:t>吡虫啉总含量</w:t>
            </w:r>
            <w:r>
              <w:rPr>
                <w:rFonts w:hint="eastAsia" w:ascii="宋体" w:hAnsi="宋体" w:eastAsia="宋体" w:cs="宋体"/>
                <w:sz w:val="24"/>
                <w:szCs w:val="24"/>
                <w:lang w:val="en-US" w:eastAsia="zh-CN"/>
              </w:rPr>
              <w:t>≥</w:t>
            </w:r>
            <w:r>
              <w:rPr>
                <w:rFonts w:hint="eastAsia" w:ascii="宋体" w:hAnsi="宋体" w:eastAsia="宋体" w:cs="宋体"/>
                <w:sz w:val="24"/>
                <w:szCs w:val="24"/>
              </w:rPr>
              <w:t>2%</w:t>
            </w:r>
          </w:p>
        </w:tc>
        <w:tc>
          <w:tcPr>
            <w:tcW w:w="1218" w:type="dxa"/>
            <w:noWrap w:val="0"/>
            <w:vAlign w:val="top"/>
          </w:tcPr>
          <w:p w14:paraId="51B2C3E0">
            <w:pPr>
              <w:spacing w:before="28" w:line="360" w:lineRule="auto"/>
              <w:rPr>
                <w:rFonts w:hint="eastAsia" w:ascii="宋体" w:hAnsi="宋体" w:eastAsia="宋体" w:cs="宋体"/>
                <w:sz w:val="24"/>
                <w:szCs w:val="24"/>
              </w:rPr>
            </w:pPr>
            <w:r>
              <w:rPr>
                <w:rFonts w:hint="eastAsia" w:ascii="宋体" w:hAnsi="宋体" w:eastAsia="宋体" w:cs="宋体"/>
                <w:sz w:val="24"/>
                <w:szCs w:val="24"/>
              </w:rPr>
              <w:t>饵剂或胶饵</w:t>
            </w:r>
          </w:p>
        </w:tc>
        <w:tc>
          <w:tcPr>
            <w:tcW w:w="2477" w:type="dxa"/>
            <w:tcBorders>
              <w:right w:val="single" w:color="000000" w:sz="10" w:space="0"/>
            </w:tcBorders>
            <w:noWrap w:val="0"/>
            <w:vAlign w:val="top"/>
          </w:tcPr>
          <w:p w14:paraId="000B32C9">
            <w:pPr>
              <w:spacing w:before="264" w:line="360" w:lineRule="auto"/>
              <w:jc w:val="center"/>
              <w:rPr>
                <w:rFonts w:hint="eastAsia" w:ascii="宋体" w:hAnsi="宋体" w:eastAsia="宋体" w:cs="宋体"/>
                <w:sz w:val="24"/>
                <w:szCs w:val="24"/>
              </w:rPr>
            </w:pPr>
            <w:r>
              <w:rPr>
                <w:rFonts w:hint="eastAsia" w:ascii="宋体" w:hAnsi="宋体" w:eastAsia="宋体" w:cs="宋体"/>
                <w:sz w:val="24"/>
                <w:szCs w:val="24"/>
              </w:rPr>
              <w:t>灭蟑螂</w:t>
            </w:r>
          </w:p>
        </w:tc>
      </w:tr>
      <w:tr w14:paraId="0FBE2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696" w:type="dxa"/>
            <w:tcBorders>
              <w:left w:val="single" w:color="000000" w:sz="10" w:space="0"/>
            </w:tcBorders>
            <w:noWrap w:val="0"/>
            <w:vAlign w:val="top"/>
          </w:tcPr>
          <w:p w14:paraId="67567F54">
            <w:pPr>
              <w:pStyle w:val="7"/>
              <w:spacing w:before="270" w:line="360" w:lineRule="auto"/>
              <w:ind w:left="286"/>
              <w:rPr>
                <w:rFonts w:hint="eastAsia" w:ascii="宋体" w:hAnsi="宋体" w:eastAsia="宋体" w:cs="宋体"/>
                <w:sz w:val="24"/>
                <w:szCs w:val="24"/>
              </w:rPr>
            </w:pPr>
            <w:r>
              <w:rPr>
                <w:rFonts w:hint="eastAsia" w:ascii="宋体" w:hAnsi="宋体" w:eastAsia="宋体" w:cs="宋体"/>
                <w:position w:val="1"/>
                <w:sz w:val="24"/>
                <w:szCs w:val="24"/>
              </w:rPr>
              <w:t>4</w:t>
            </w:r>
          </w:p>
        </w:tc>
        <w:tc>
          <w:tcPr>
            <w:tcW w:w="1805" w:type="dxa"/>
            <w:noWrap w:val="0"/>
            <w:vAlign w:val="center"/>
          </w:tcPr>
          <w:p w14:paraId="61D21276">
            <w:pPr>
              <w:widowControl/>
              <w:adjustRightInd w:val="0"/>
              <w:snapToGrid w:val="0"/>
              <w:spacing w:before="31" w:beforeLines="10" w:after="31" w:afterLines="10" w:line="360" w:lineRule="auto"/>
              <w:jc w:val="center"/>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z w:val="24"/>
                <w:szCs w:val="24"/>
              </w:rPr>
              <w:t>杀蟑胶饵</w:t>
            </w:r>
          </w:p>
        </w:tc>
        <w:tc>
          <w:tcPr>
            <w:tcW w:w="2563" w:type="dxa"/>
            <w:noWrap w:val="0"/>
            <w:vAlign w:val="center"/>
          </w:tcPr>
          <w:p w14:paraId="34C7D527">
            <w:pPr>
              <w:spacing w:before="270" w:line="360" w:lineRule="auto"/>
              <w:jc w:val="center"/>
              <w:rPr>
                <w:rFonts w:hint="eastAsia" w:ascii="宋体" w:hAnsi="宋体" w:eastAsia="宋体" w:cs="宋体"/>
                <w:sz w:val="24"/>
                <w:szCs w:val="24"/>
              </w:rPr>
            </w:pPr>
            <w:r>
              <w:rPr>
                <w:rFonts w:hint="eastAsia" w:ascii="宋体" w:hAnsi="宋体" w:eastAsia="宋体" w:cs="宋体"/>
                <w:sz w:val="24"/>
                <w:szCs w:val="24"/>
              </w:rPr>
              <w:t>氟虫腈总含量</w:t>
            </w:r>
            <w:r>
              <w:rPr>
                <w:rFonts w:hint="eastAsia" w:ascii="宋体" w:hAnsi="宋体" w:eastAsia="宋体" w:cs="宋体"/>
                <w:sz w:val="24"/>
                <w:szCs w:val="24"/>
                <w:lang w:val="en-US" w:eastAsia="zh-CN"/>
              </w:rPr>
              <w:t>≥</w:t>
            </w:r>
            <w:r>
              <w:rPr>
                <w:rFonts w:hint="eastAsia" w:ascii="宋体" w:hAnsi="宋体" w:eastAsia="宋体" w:cs="宋体"/>
                <w:sz w:val="24"/>
                <w:szCs w:val="24"/>
              </w:rPr>
              <w:t>0.05%</w:t>
            </w:r>
          </w:p>
        </w:tc>
        <w:tc>
          <w:tcPr>
            <w:tcW w:w="1218" w:type="dxa"/>
            <w:noWrap w:val="0"/>
            <w:vAlign w:val="top"/>
          </w:tcPr>
          <w:p w14:paraId="1690D8A6">
            <w:pPr>
              <w:spacing w:before="25" w:line="360" w:lineRule="auto"/>
              <w:rPr>
                <w:rFonts w:hint="eastAsia" w:ascii="宋体" w:hAnsi="宋体" w:eastAsia="宋体" w:cs="宋体"/>
                <w:sz w:val="24"/>
                <w:szCs w:val="24"/>
              </w:rPr>
            </w:pPr>
            <w:r>
              <w:rPr>
                <w:rFonts w:hint="eastAsia" w:ascii="宋体" w:hAnsi="宋体" w:eastAsia="宋体" w:cs="宋体"/>
                <w:sz w:val="24"/>
                <w:szCs w:val="24"/>
              </w:rPr>
              <w:t>饵剂或胶饵</w:t>
            </w:r>
          </w:p>
        </w:tc>
        <w:tc>
          <w:tcPr>
            <w:tcW w:w="2477" w:type="dxa"/>
            <w:tcBorders>
              <w:right w:val="single" w:color="000000" w:sz="10" w:space="0"/>
            </w:tcBorders>
            <w:noWrap w:val="0"/>
            <w:vAlign w:val="top"/>
          </w:tcPr>
          <w:p w14:paraId="6494A9C8">
            <w:pPr>
              <w:spacing w:before="270" w:line="360" w:lineRule="auto"/>
              <w:jc w:val="center"/>
              <w:rPr>
                <w:rFonts w:hint="eastAsia" w:ascii="宋体" w:hAnsi="宋体" w:eastAsia="宋体" w:cs="宋体"/>
                <w:sz w:val="24"/>
                <w:szCs w:val="24"/>
              </w:rPr>
            </w:pPr>
            <w:r>
              <w:rPr>
                <w:rFonts w:hint="eastAsia" w:ascii="宋体" w:hAnsi="宋体" w:eastAsia="宋体" w:cs="宋体"/>
                <w:sz w:val="24"/>
                <w:szCs w:val="24"/>
              </w:rPr>
              <w:t>灭蟑螂</w:t>
            </w:r>
          </w:p>
        </w:tc>
      </w:tr>
      <w:tr w14:paraId="62E41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696" w:type="dxa"/>
            <w:tcBorders>
              <w:left w:val="single" w:color="000000" w:sz="10" w:space="0"/>
              <w:bottom w:val="single" w:color="000000" w:sz="10" w:space="0"/>
            </w:tcBorders>
            <w:noWrap w:val="0"/>
            <w:vAlign w:val="top"/>
          </w:tcPr>
          <w:p w14:paraId="0BD7C89C">
            <w:pPr>
              <w:pStyle w:val="7"/>
              <w:spacing w:before="273" w:line="360" w:lineRule="auto"/>
              <w:ind w:left="291"/>
              <w:rPr>
                <w:rFonts w:hint="eastAsia" w:ascii="宋体" w:hAnsi="宋体" w:eastAsia="宋体" w:cs="宋体"/>
                <w:sz w:val="24"/>
                <w:szCs w:val="24"/>
              </w:rPr>
            </w:pPr>
            <w:r>
              <w:rPr>
                <w:rFonts w:hint="eastAsia" w:ascii="宋体" w:hAnsi="宋体" w:eastAsia="宋体" w:cs="宋体"/>
                <w:position w:val="1"/>
                <w:sz w:val="24"/>
                <w:szCs w:val="24"/>
              </w:rPr>
              <w:t>5</w:t>
            </w:r>
          </w:p>
        </w:tc>
        <w:tc>
          <w:tcPr>
            <w:tcW w:w="1805" w:type="dxa"/>
            <w:tcBorders>
              <w:bottom w:val="single" w:color="000000" w:sz="10" w:space="0"/>
            </w:tcBorders>
            <w:noWrap w:val="0"/>
            <w:vAlign w:val="center"/>
          </w:tcPr>
          <w:p w14:paraId="2797A3C5">
            <w:pPr>
              <w:widowControl/>
              <w:adjustRightInd w:val="0"/>
              <w:snapToGrid w:val="0"/>
              <w:spacing w:before="31" w:beforeLines="10" w:after="31" w:afterLines="10" w:line="360" w:lineRule="auto"/>
              <w:jc w:val="center"/>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z w:val="24"/>
                <w:szCs w:val="24"/>
                <w:lang w:val="en-US" w:eastAsia="zh-CN"/>
              </w:rPr>
              <w:t>杀虫热雾剂</w:t>
            </w:r>
          </w:p>
        </w:tc>
        <w:tc>
          <w:tcPr>
            <w:tcW w:w="2563" w:type="dxa"/>
            <w:tcBorders>
              <w:bottom w:val="single" w:color="000000" w:sz="10" w:space="0"/>
            </w:tcBorders>
            <w:noWrap w:val="0"/>
            <w:vAlign w:val="center"/>
          </w:tcPr>
          <w:p w14:paraId="6377B150">
            <w:pPr>
              <w:spacing w:before="136" w:line="360" w:lineRule="auto"/>
              <w:ind w:right="201"/>
              <w:jc w:val="center"/>
              <w:rPr>
                <w:rFonts w:hint="eastAsia" w:ascii="宋体" w:hAnsi="宋体" w:eastAsia="宋体" w:cs="宋体"/>
                <w:sz w:val="24"/>
                <w:szCs w:val="24"/>
              </w:rPr>
            </w:pPr>
            <w:r>
              <w:rPr>
                <w:rFonts w:hint="eastAsia" w:ascii="宋体" w:hAnsi="宋体" w:eastAsia="宋体" w:cs="宋体"/>
                <w:sz w:val="24"/>
                <w:szCs w:val="24"/>
              </w:rPr>
              <w:t>高效氯氰菊酯与残杀威复配总含量</w:t>
            </w:r>
            <w:r>
              <w:rPr>
                <w:rFonts w:hint="eastAsia" w:ascii="宋体" w:hAnsi="宋体" w:eastAsia="宋体" w:cs="宋体"/>
                <w:sz w:val="24"/>
                <w:szCs w:val="24"/>
                <w:lang w:val="en-US" w:eastAsia="zh-CN"/>
              </w:rPr>
              <w:t>≥</w:t>
            </w:r>
            <w:r>
              <w:rPr>
                <w:rFonts w:hint="eastAsia" w:ascii="宋体" w:hAnsi="宋体" w:eastAsia="宋体" w:cs="宋体"/>
                <w:sz w:val="24"/>
                <w:szCs w:val="24"/>
              </w:rPr>
              <w:t>1.7%</w:t>
            </w:r>
          </w:p>
        </w:tc>
        <w:tc>
          <w:tcPr>
            <w:tcW w:w="1218" w:type="dxa"/>
            <w:tcBorders>
              <w:bottom w:val="single" w:color="000000" w:sz="10" w:space="0"/>
            </w:tcBorders>
            <w:noWrap w:val="0"/>
            <w:vAlign w:val="top"/>
          </w:tcPr>
          <w:p w14:paraId="465829D2">
            <w:pPr>
              <w:spacing w:before="273" w:line="360" w:lineRule="auto"/>
              <w:ind w:left="232"/>
              <w:rPr>
                <w:rFonts w:hint="eastAsia" w:ascii="宋体" w:hAnsi="宋体" w:eastAsia="宋体" w:cs="宋体"/>
                <w:sz w:val="24"/>
                <w:szCs w:val="24"/>
              </w:rPr>
            </w:pPr>
            <w:r>
              <w:rPr>
                <w:rFonts w:hint="eastAsia" w:ascii="宋体" w:hAnsi="宋体" w:eastAsia="宋体" w:cs="宋体"/>
                <w:sz w:val="24"/>
                <w:szCs w:val="24"/>
              </w:rPr>
              <w:t>热雾剂</w:t>
            </w:r>
          </w:p>
        </w:tc>
        <w:tc>
          <w:tcPr>
            <w:tcW w:w="2477" w:type="dxa"/>
            <w:tcBorders>
              <w:bottom w:val="single" w:color="000000" w:sz="10" w:space="0"/>
              <w:right w:val="single" w:color="000000" w:sz="10" w:space="0"/>
            </w:tcBorders>
            <w:noWrap w:val="0"/>
            <w:vAlign w:val="top"/>
          </w:tcPr>
          <w:p w14:paraId="07BF5EE4">
            <w:pPr>
              <w:spacing w:before="272" w:line="360" w:lineRule="auto"/>
              <w:jc w:val="center"/>
              <w:rPr>
                <w:rFonts w:hint="eastAsia" w:ascii="宋体" w:hAnsi="宋体" w:eastAsia="宋体" w:cs="宋体"/>
                <w:sz w:val="24"/>
                <w:szCs w:val="24"/>
              </w:rPr>
            </w:pPr>
            <w:r>
              <w:rPr>
                <w:rFonts w:hint="eastAsia" w:ascii="宋体" w:hAnsi="宋体" w:eastAsia="宋体" w:cs="宋体"/>
                <w:sz w:val="24"/>
                <w:szCs w:val="24"/>
              </w:rPr>
              <w:t>烟熏下水道灭蚊、蟑</w:t>
            </w:r>
          </w:p>
        </w:tc>
      </w:tr>
      <w:tr w14:paraId="34009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0" w:type="auto"/>
            <w:noWrap w:val="0"/>
            <w:vAlign w:val="top"/>
          </w:tcPr>
          <w:p w14:paraId="55BDDB12">
            <w:pPr>
              <w:pStyle w:val="7"/>
              <w:spacing w:before="273" w:line="360" w:lineRule="auto"/>
              <w:ind w:left="29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0" w:type="auto"/>
            <w:noWrap w:val="0"/>
            <w:vAlign w:val="center"/>
          </w:tcPr>
          <w:p w14:paraId="513B4EA8">
            <w:pPr>
              <w:widowControl/>
              <w:adjustRightInd w:val="0"/>
              <w:snapToGrid w:val="0"/>
              <w:spacing w:before="31" w:beforeLines="10" w:after="31" w:afterLines="10" w:line="360" w:lineRule="auto"/>
              <w:jc w:val="center"/>
              <w:rPr>
                <w:rFonts w:hint="eastAsia" w:ascii="宋体" w:hAnsi="宋体" w:eastAsia="宋体" w:cs="宋体"/>
                <w:snapToGrid w:val="0"/>
                <w:color w:val="000000"/>
                <w:kern w:val="0"/>
                <w:sz w:val="24"/>
                <w:szCs w:val="24"/>
                <w:highlight w:val="yellow"/>
                <w:lang w:val="en-US" w:eastAsia="en-US" w:bidi="ar-SA"/>
              </w:rPr>
            </w:pPr>
            <w:r>
              <w:rPr>
                <w:rFonts w:hint="eastAsia" w:ascii="宋体" w:hAnsi="宋体" w:eastAsia="宋体" w:cs="宋体"/>
                <w:sz w:val="24"/>
                <w:szCs w:val="24"/>
              </w:rPr>
              <w:t>杀虫颗粒剂</w:t>
            </w:r>
          </w:p>
        </w:tc>
        <w:tc>
          <w:tcPr>
            <w:tcW w:w="2563" w:type="dxa"/>
            <w:noWrap w:val="0"/>
            <w:vAlign w:val="center"/>
          </w:tcPr>
          <w:p w14:paraId="614901A6">
            <w:pPr>
              <w:spacing w:before="136" w:line="360" w:lineRule="auto"/>
              <w:ind w:left="623" w:right="201" w:hanging="414"/>
              <w:jc w:val="center"/>
              <w:rPr>
                <w:rFonts w:hint="eastAsia" w:ascii="宋体" w:hAnsi="宋体" w:eastAsia="宋体" w:cs="宋体"/>
                <w:sz w:val="24"/>
                <w:szCs w:val="24"/>
              </w:rPr>
            </w:pPr>
            <w:r>
              <w:rPr>
                <w:rFonts w:hint="eastAsia" w:ascii="宋体" w:hAnsi="宋体" w:eastAsia="宋体" w:cs="宋体"/>
                <w:sz w:val="24"/>
                <w:szCs w:val="24"/>
              </w:rPr>
              <w:t>吡丙醚总含量≥0.5%</w:t>
            </w:r>
          </w:p>
        </w:tc>
        <w:tc>
          <w:tcPr>
            <w:tcW w:w="1218" w:type="dxa"/>
            <w:noWrap w:val="0"/>
            <w:vAlign w:val="top"/>
          </w:tcPr>
          <w:p w14:paraId="2293B8BA">
            <w:pPr>
              <w:spacing w:before="273" w:line="360" w:lineRule="auto"/>
              <w:ind w:left="232"/>
              <w:rPr>
                <w:rFonts w:hint="eastAsia" w:ascii="宋体" w:hAnsi="宋体" w:eastAsia="宋体" w:cs="宋体"/>
                <w:sz w:val="24"/>
                <w:szCs w:val="24"/>
              </w:rPr>
            </w:pPr>
            <w:r>
              <w:rPr>
                <w:rFonts w:hint="eastAsia" w:ascii="宋体" w:hAnsi="宋体" w:eastAsia="宋体" w:cs="宋体"/>
                <w:sz w:val="24"/>
                <w:szCs w:val="24"/>
              </w:rPr>
              <w:t>颗粒剂</w:t>
            </w:r>
          </w:p>
        </w:tc>
        <w:tc>
          <w:tcPr>
            <w:tcW w:w="0" w:type="auto"/>
            <w:noWrap w:val="0"/>
            <w:vAlign w:val="top"/>
          </w:tcPr>
          <w:p w14:paraId="3253CF0B">
            <w:pPr>
              <w:spacing w:before="272" w:line="360" w:lineRule="auto"/>
              <w:jc w:val="both"/>
              <w:rPr>
                <w:rFonts w:hint="eastAsia" w:ascii="宋体" w:hAnsi="宋体" w:eastAsia="宋体" w:cs="宋体"/>
                <w:sz w:val="24"/>
                <w:szCs w:val="24"/>
              </w:rPr>
            </w:pPr>
            <w:r>
              <w:rPr>
                <w:rFonts w:hint="eastAsia" w:ascii="宋体" w:hAnsi="宋体" w:eastAsia="宋体" w:cs="宋体"/>
                <w:sz w:val="24"/>
                <w:szCs w:val="24"/>
              </w:rPr>
              <w:t>化学类水体灭蚊、蝇幼虫</w:t>
            </w:r>
          </w:p>
        </w:tc>
      </w:tr>
      <w:tr w14:paraId="26F35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trPr>
        <w:tc>
          <w:tcPr>
            <w:tcW w:w="0" w:type="auto"/>
            <w:noWrap w:val="0"/>
            <w:vAlign w:val="top"/>
          </w:tcPr>
          <w:p w14:paraId="79AE33A0">
            <w:pPr>
              <w:pStyle w:val="7"/>
              <w:spacing w:before="273" w:line="360" w:lineRule="auto"/>
              <w:ind w:left="29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0" w:type="auto"/>
            <w:noWrap w:val="0"/>
            <w:vAlign w:val="center"/>
          </w:tcPr>
          <w:p w14:paraId="16634CB4">
            <w:pPr>
              <w:widowControl/>
              <w:adjustRightInd w:val="0"/>
              <w:snapToGrid w:val="0"/>
              <w:spacing w:before="31" w:beforeLines="10" w:after="31" w:afterLines="10" w:line="360"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rPr>
              <w:t>高效氟氯氰菊酯悬浮剂</w:t>
            </w:r>
          </w:p>
        </w:tc>
        <w:tc>
          <w:tcPr>
            <w:tcW w:w="2563" w:type="dxa"/>
            <w:noWrap w:val="0"/>
            <w:vAlign w:val="center"/>
          </w:tcPr>
          <w:p w14:paraId="57358806">
            <w:pPr>
              <w:spacing w:before="136" w:line="360" w:lineRule="auto"/>
              <w:ind w:left="623" w:right="201" w:hanging="414"/>
              <w:jc w:val="center"/>
              <w:rPr>
                <w:rFonts w:hint="eastAsia" w:ascii="宋体" w:hAnsi="宋体" w:eastAsia="宋体" w:cs="宋体"/>
                <w:sz w:val="24"/>
                <w:szCs w:val="24"/>
              </w:rPr>
            </w:pPr>
            <w:r>
              <w:rPr>
                <w:rFonts w:hint="eastAsia" w:ascii="宋体" w:hAnsi="宋体" w:eastAsia="宋体" w:cs="宋体"/>
                <w:sz w:val="24"/>
                <w:szCs w:val="24"/>
              </w:rPr>
              <w:t>高效氟氯氰菊酯总含量≥12.5%</w:t>
            </w:r>
          </w:p>
        </w:tc>
        <w:tc>
          <w:tcPr>
            <w:tcW w:w="1218" w:type="dxa"/>
            <w:noWrap w:val="0"/>
            <w:vAlign w:val="top"/>
          </w:tcPr>
          <w:p w14:paraId="4404B197">
            <w:pPr>
              <w:spacing w:before="273" w:line="360" w:lineRule="auto"/>
              <w:ind w:left="232"/>
              <w:rPr>
                <w:rFonts w:hint="eastAsia" w:ascii="宋体" w:hAnsi="宋体" w:eastAsia="宋体" w:cs="宋体"/>
                <w:sz w:val="24"/>
                <w:szCs w:val="24"/>
              </w:rPr>
            </w:pPr>
            <w:r>
              <w:rPr>
                <w:rFonts w:hint="eastAsia" w:ascii="宋体" w:hAnsi="宋体" w:eastAsia="宋体" w:cs="宋体"/>
                <w:sz w:val="24"/>
                <w:szCs w:val="24"/>
              </w:rPr>
              <w:t>悬浮剂</w:t>
            </w:r>
          </w:p>
        </w:tc>
        <w:tc>
          <w:tcPr>
            <w:tcW w:w="0" w:type="auto"/>
            <w:noWrap w:val="0"/>
            <w:vAlign w:val="top"/>
          </w:tcPr>
          <w:p w14:paraId="6CEBA5B1">
            <w:pPr>
              <w:spacing w:before="272" w:line="360" w:lineRule="auto"/>
              <w:ind w:left="301"/>
              <w:jc w:val="center"/>
              <w:rPr>
                <w:rFonts w:hint="eastAsia" w:ascii="宋体" w:hAnsi="宋体" w:eastAsia="宋体" w:cs="宋体"/>
                <w:sz w:val="24"/>
                <w:szCs w:val="24"/>
              </w:rPr>
            </w:pPr>
            <w:r>
              <w:rPr>
                <w:rFonts w:hint="eastAsia" w:ascii="宋体" w:hAnsi="宋体" w:eastAsia="宋体" w:cs="宋体"/>
                <w:sz w:val="24"/>
                <w:szCs w:val="24"/>
              </w:rPr>
              <w:t>室内外灭成蚊、蝇等</w:t>
            </w:r>
          </w:p>
        </w:tc>
      </w:tr>
      <w:tr w14:paraId="54982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0" w:type="auto"/>
            <w:noWrap w:val="0"/>
            <w:vAlign w:val="top"/>
          </w:tcPr>
          <w:p w14:paraId="2D631B6A">
            <w:pPr>
              <w:pStyle w:val="7"/>
              <w:spacing w:before="273" w:line="360" w:lineRule="auto"/>
              <w:ind w:left="29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0" w:type="auto"/>
            <w:noWrap w:val="0"/>
            <w:vAlign w:val="center"/>
          </w:tcPr>
          <w:p w14:paraId="201170FD">
            <w:pPr>
              <w:widowControl/>
              <w:adjustRightInd w:val="0"/>
              <w:snapToGrid w:val="0"/>
              <w:spacing w:before="31" w:beforeLines="10" w:after="31" w:afterLines="10"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sz w:val="24"/>
                <w:szCs w:val="24"/>
              </w:rPr>
              <w:t>氯菊·四氟醚水乳剂</w:t>
            </w:r>
          </w:p>
        </w:tc>
        <w:tc>
          <w:tcPr>
            <w:tcW w:w="2563" w:type="dxa"/>
            <w:noWrap w:val="0"/>
            <w:vAlign w:val="center"/>
          </w:tcPr>
          <w:p w14:paraId="652AA8C7">
            <w:pPr>
              <w:spacing w:before="136" w:line="360" w:lineRule="auto"/>
              <w:ind w:left="623" w:right="201" w:hanging="414"/>
              <w:jc w:val="center"/>
              <w:rPr>
                <w:rFonts w:hint="eastAsia" w:ascii="宋体" w:hAnsi="宋体" w:eastAsia="宋体" w:cs="宋体"/>
                <w:sz w:val="24"/>
                <w:szCs w:val="24"/>
              </w:rPr>
            </w:pPr>
            <w:r>
              <w:rPr>
                <w:rFonts w:hint="eastAsia" w:ascii="宋体" w:hAnsi="宋体" w:eastAsia="宋体" w:cs="宋体"/>
                <w:sz w:val="24"/>
                <w:szCs w:val="24"/>
              </w:rPr>
              <w:t>氯菊酯与四氟醚菊酯复配总含量</w:t>
            </w:r>
            <w:r>
              <w:rPr>
                <w:rFonts w:hint="eastAsia" w:ascii="宋体" w:hAnsi="宋体" w:eastAsia="宋体" w:cs="宋体"/>
                <w:sz w:val="24"/>
                <w:szCs w:val="24"/>
                <w:lang w:val="en-US" w:eastAsia="zh-CN"/>
              </w:rPr>
              <w:t>≥</w:t>
            </w:r>
            <w:r>
              <w:rPr>
                <w:rFonts w:hint="eastAsia" w:ascii="宋体" w:hAnsi="宋体" w:eastAsia="宋体" w:cs="宋体"/>
                <w:sz w:val="24"/>
                <w:szCs w:val="24"/>
              </w:rPr>
              <w:t>5%</w:t>
            </w:r>
          </w:p>
        </w:tc>
        <w:tc>
          <w:tcPr>
            <w:tcW w:w="1218" w:type="dxa"/>
            <w:noWrap w:val="0"/>
            <w:vAlign w:val="top"/>
          </w:tcPr>
          <w:p w14:paraId="0BA67021">
            <w:pPr>
              <w:spacing w:before="273" w:line="360" w:lineRule="auto"/>
              <w:ind w:left="232"/>
              <w:rPr>
                <w:rFonts w:hint="eastAsia" w:ascii="宋体" w:hAnsi="宋体" w:eastAsia="宋体" w:cs="宋体"/>
                <w:sz w:val="24"/>
                <w:szCs w:val="24"/>
              </w:rPr>
            </w:pPr>
            <w:r>
              <w:rPr>
                <w:rFonts w:hint="eastAsia" w:ascii="宋体" w:hAnsi="宋体" w:eastAsia="宋体" w:cs="宋体"/>
                <w:sz w:val="24"/>
                <w:szCs w:val="24"/>
              </w:rPr>
              <w:t>水乳剂</w:t>
            </w:r>
          </w:p>
        </w:tc>
        <w:tc>
          <w:tcPr>
            <w:tcW w:w="0" w:type="auto"/>
            <w:noWrap w:val="0"/>
            <w:vAlign w:val="top"/>
          </w:tcPr>
          <w:p w14:paraId="5A425E02">
            <w:pPr>
              <w:spacing w:before="272" w:line="360" w:lineRule="auto"/>
              <w:ind w:left="301"/>
              <w:jc w:val="center"/>
              <w:rPr>
                <w:rFonts w:hint="eastAsia" w:ascii="宋体" w:hAnsi="宋体" w:eastAsia="宋体" w:cs="宋体"/>
                <w:sz w:val="24"/>
                <w:szCs w:val="24"/>
              </w:rPr>
            </w:pPr>
            <w:r>
              <w:rPr>
                <w:rFonts w:hint="eastAsia" w:ascii="宋体" w:hAnsi="宋体" w:eastAsia="宋体" w:cs="宋体"/>
                <w:sz w:val="24"/>
                <w:szCs w:val="24"/>
              </w:rPr>
              <w:t>室内外灭成蚊、蝇等</w:t>
            </w:r>
          </w:p>
        </w:tc>
      </w:tr>
      <w:tr w14:paraId="79994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0" w:type="auto"/>
            <w:noWrap w:val="0"/>
            <w:vAlign w:val="top"/>
          </w:tcPr>
          <w:p w14:paraId="229ED174">
            <w:pPr>
              <w:pStyle w:val="7"/>
              <w:spacing w:before="273" w:line="360" w:lineRule="auto"/>
              <w:ind w:left="29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0" w:type="auto"/>
            <w:noWrap w:val="0"/>
            <w:vAlign w:val="center"/>
          </w:tcPr>
          <w:p w14:paraId="105FF67C">
            <w:pPr>
              <w:widowControl/>
              <w:adjustRightInd w:val="0"/>
              <w:snapToGrid w:val="0"/>
              <w:spacing w:before="31" w:beforeLines="10" w:after="31" w:afterLines="10"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sz w:val="24"/>
                <w:szCs w:val="24"/>
              </w:rPr>
              <w:t>高效氯氟氰菊酯</w:t>
            </w:r>
          </w:p>
        </w:tc>
        <w:tc>
          <w:tcPr>
            <w:tcW w:w="2563" w:type="dxa"/>
            <w:noWrap w:val="0"/>
            <w:vAlign w:val="center"/>
          </w:tcPr>
          <w:p w14:paraId="63884F78">
            <w:pPr>
              <w:spacing w:before="136" w:line="360" w:lineRule="auto"/>
              <w:ind w:left="623" w:right="201" w:hanging="414"/>
              <w:jc w:val="center"/>
              <w:rPr>
                <w:rFonts w:hint="eastAsia" w:ascii="宋体" w:hAnsi="宋体" w:eastAsia="宋体" w:cs="宋体"/>
                <w:sz w:val="24"/>
                <w:szCs w:val="24"/>
              </w:rPr>
            </w:pPr>
            <w:r>
              <w:rPr>
                <w:rFonts w:hint="eastAsia" w:ascii="宋体" w:hAnsi="宋体" w:eastAsia="宋体" w:cs="宋体"/>
                <w:sz w:val="24"/>
                <w:szCs w:val="24"/>
              </w:rPr>
              <w:t>高效氯氟氰菊酯总含量≥10%</w:t>
            </w:r>
          </w:p>
        </w:tc>
        <w:tc>
          <w:tcPr>
            <w:tcW w:w="1218" w:type="dxa"/>
            <w:noWrap w:val="0"/>
            <w:vAlign w:val="top"/>
          </w:tcPr>
          <w:p w14:paraId="0059D987">
            <w:pPr>
              <w:spacing w:before="273" w:line="360" w:lineRule="auto"/>
              <w:rPr>
                <w:rFonts w:hint="eastAsia" w:ascii="宋体" w:hAnsi="宋体" w:eastAsia="宋体" w:cs="宋体"/>
                <w:sz w:val="24"/>
                <w:szCs w:val="24"/>
              </w:rPr>
            </w:pPr>
            <w:r>
              <w:rPr>
                <w:rFonts w:hint="eastAsia" w:ascii="宋体" w:hAnsi="宋体" w:eastAsia="宋体" w:cs="宋体"/>
                <w:sz w:val="24"/>
                <w:szCs w:val="24"/>
              </w:rPr>
              <w:t>可湿性粉剂</w:t>
            </w:r>
          </w:p>
        </w:tc>
        <w:tc>
          <w:tcPr>
            <w:tcW w:w="0" w:type="auto"/>
            <w:noWrap w:val="0"/>
            <w:vAlign w:val="top"/>
          </w:tcPr>
          <w:p w14:paraId="3F2374A0">
            <w:pPr>
              <w:spacing w:before="272" w:line="360" w:lineRule="auto"/>
              <w:ind w:left="301"/>
              <w:jc w:val="center"/>
              <w:rPr>
                <w:rFonts w:hint="eastAsia" w:ascii="宋体" w:hAnsi="宋体" w:eastAsia="宋体" w:cs="宋体"/>
                <w:sz w:val="24"/>
                <w:szCs w:val="24"/>
              </w:rPr>
            </w:pPr>
            <w:r>
              <w:rPr>
                <w:rFonts w:hint="eastAsia" w:ascii="宋体" w:hAnsi="宋体" w:eastAsia="宋体" w:cs="宋体"/>
                <w:sz w:val="24"/>
                <w:szCs w:val="24"/>
              </w:rPr>
              <w:t>室内外灭成蚊、蝇等</w:t>
            </w:r>
          </w:p>
        </w:tc>
      </w:tr>
    </w:tbl>
    <w:p w14:paraId="69A81927">
      <w:pPr>
        <w:spacing w:before="115" w:line="360" w:lineRule="auto"/>
        <w:ind w:firstLine="510" w:firstLineChars="200"/>
        <w:rPr>
          <w:rFonts w:hint="eastAsia" w:ascii="宋体" w:hAnsi="宋体" w:eastAsia="宋体" w:cs="宋体"/>
          <w:sz w:val="24"/>
          <w:szCs w:val="24"/>
        </w:rPr>
      </w:pPr>
      <w:r>
        <w:rPr>
          <w:rFonts w:hint="eastAsia" w:ascii="宋体" w:hAnsi="宋体" w:eastAsia="宋体" w:cs="宋体"/>
          <w:b/>
          <w:bCs/>
          <w:spacing w:val="7"/>
          <w:sz w:val="24"/>
          <w:szCs w:val="24"/>
          <w:lang w:val="en-US" w:eastAsia="zh-CN"/>
        </w:rPr>
        <w:t>注：</w:t>
      </w:r>
      <w:r>
        <w:rPr>
          <w:rFonts w:hint="eastAsia" w:ascii="宋体" w:hAnsi="宋体" w:eastAsia="宋体" w:cs="宋体"/>
          <w:b/>
          <w:bCs/>
          <w:spacing w:val="7"/>
          <w:sz w:val="24"/>
          <w:szCs w:val="24"/>
        </w:rPr>
        <w:t>以上药品须提供以下资料复印件并加盖</w:t>
      </w:r>
      <w:r>
        <w:rPr>
          <w:rFonts w:hint="eastAsia" w:ascii="宋体" w:hAnsi="宋体" w:eastAsia="宋体" w:cs="宋体"/>
          <w:b/>
          <w:bCs/>
          <w:spacing w:val="6"/>
          <w:sz w:val="24"/>
          <w:szCs w:val="24"/>
        </w:rPr>
        <w:t>药品厂家公章。</w:t>
      </w:r>
    </w:p>
    <w:p w14:paraId="3CED887F">
      <w:pPr>
        <w:spacing w:before="193" w:line="360" w:lineRule="auto"/>
        <w:ind w:left="683"/>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23"/>
          <w:sz w:val="24"/>
          <w:szCs w:val="24"/>
        </w:rPr>
        <w:t xml:space="preserve"> </w:t>
      </w:r>
      <w:r>
        <w:rPr>
          <w:rFonts w:hint="eastAsia" w:ascii="宋体" w:hAnsi="宋体" w:eastAsia="宋体" w:cs="宋体"/>
          <w:spacing w:val="5"/>
          <w:sz w:val="24"/>
          <w:szCs w:val="24"/>
        </w:rPr>
        <w:t>、农业部颁发的农药登记证。</w:t>
      </w:r>
    </w:p>
    <w:p w14:paraId="1E00C0C6">
      <w:pPr>
        <w:spacing w:before="221" w:line="360" w:lineRule="auto"/>
        <w:ind w:left="663"/>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14"/>
          <w:sz w:val="24"/>
          <w:szCs w:val="24"/>
        </w:rPr>
        <w:t xml:space="preserve"> </w:t>
      </w:r>
      <w:r>
        <w:rPr>
          <w:rFonts w:hint="eastAsia" w:ascii="宋体" w:hAnsi="宋体" w:eastAsia="宋体" w:cs="宋体"/>
          <w:spacing w:val="7"/>
          <w:sz w:val="24"/>
          <w:szCs w:val="24"/>
        </w:rPr>
        <w:t>、省级农业部门颁发的农药生产许可证。</w:t>
      </w:r>
    </w:p>
    <w:p w14:paraId="380A96E8">
      <w:pPr>
        <w:spacing w:before="221" w:line="360" w:lineRule="auto"/>
        <w:ind w:left="667"/>
        <w:rPr>
          <w:rFonts w:hint="eastAsia" w:ascii="宋体" w:hAnsi="宋体" w:eastAsia="宋体" w:cs="宋体"/>
          <w:spacing w:val="8"/>
          <w:sz w:val="24"/>
          <w:szCs w:val="24"/>
        </w:rPr>
      </w:pPr>
      <w:r>
        <w:rPr>
          <w:rFonts w:hint="eastAsia" w:ascii="宋体" w:hAnsi="宋体" w:eastAsia="宋体" w:cs="宋体"/>
          <w:spacing w:val="8"/>
          <w:sz w:val="24"/>
          <w:szCs w:val="24"/>
        </w:rPr>
        <w:t>3</w:t>
      </w:r>
      <w:r>
        <w:rPr>
          <w:rFonts w:hint="eastAsia" w:ascii="宋体" w:hAnsi="宋体" w:eastAsia="宋体" w:cs="宋体"/>
          <w:spacing w:val="-9"/>
          <w:sz w:val="24"/>
          <w:szCs w:val="24"/>
        </w:rPr>
        <w:t xml:space="preserve"> </w:t>
      </w:r>
      <w:r>
        <w:rPr>
          <w:rFonts w:hint="eastAsia" w:ascii="宋体" w:hAnsi="宋体" w:eastAsia="宋体" w:cs="宋体"/>
          <w:spacing w:val="8"/>
          <w:sz w:val="24"/>
          <w:szCs w:val="24"/>
        </w:rPr>
        <w:t>、生产厂家为供应商提供本项目药品的供货承诺书，并加盖厂家红色公章。</w:t>
      </w:r>
    </w:p>
    <w:p w14:paraId="7409B46A">
      <w:pPr>
        <w:spacing w:before="78" w:line="360" w:lineRule="auto"/>
        <w:ind w:left="500"/>
        <w:rPr>
          <w:rFonts w:hint="eastAsia" w:ascii="宋体" w:hAnsi="宋体" w:eastAsia="宋体" w:cs="宋体"/>
          <w:sz w:val="24"/>
          <w:szCs w:val="24"/>
        </w:rPr>
      </w:pPr>
      <w:r>
        <w:rPr>
          <w:rFonts w:hint="eastAsia" w:ascii="宋体" w:hAnsi="宋体" w:eastAsia="宋体" w:cs="宋体"/>
          <w:b/>
          <w:bCs/>
          <w:spacing w:val="-4"/>
          <w:sz w:val="24"/>
          <w:szCs w:val="24"/>
        </w:rPr>
        <w:t>（四）防制周期和要求</w:t>
      </w:r>
    </w:p>
    <w:p w14:paraId="6FECBA54">
      <w:pPr>
        <w:spacing w:before="296" w:line="360" w:lineRule="auto"/>
        <w:ind w:left="252" w:right="239" w:firstLine="49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1、每年为</w:t>
      </w:r>
      <w:r>
        <w:rPr>
          <w:rFonts w:hint="eastAsia" w:ascii="宋体" w:hAnsi="宋体" w:eastAsia="宋体" w:cs="宋体"/>
          <w:spacing w:val="-30"/>
          <w:sz w:val="24"/>
          <w:szCs w:val="24"/>
          <w:highlight w:val="none"/>
        </w:rPr>
        <w:t xml:space="preserve"> </w:t>
      </w:r>
      <w:r>
        <w:rPr>
          <w:rFonts w:hint="eastAsia" w:ascii="宋体" w:hAnsi="宋体" w:eastAsia="宋体" w:cs="宋体"/>
          <w:spacing w:val="-2"/>
          <w:sz w:val="24"/>
          <w:szCs w:val="24"/>
          <w:highlight w:val="none"/>
        </w:rPr>
        <w:t>1</w:t>
      </w:r>
      <w:r>
        <w:rPr>
          <w:rFonts w:hint="eastAsia" w:ascii="宋体" w:hAnsi="宋体" w:eastAsia="宋体" w:cs="宋体"/>
          <w:spacing w:val="-51"/>
          <w:sz w:val="24"/>
          <w:szCs w:val="24"/>
          <w:highlight w:val="none"/>
        </w:rPr>
        <w:t xml:space="preserve"> </w:t>
      </w:r>
      <w:r>
        <w:rPr>
          <w:rFonts w:hint="eastAsia" w:ascii="宋体" w:hAnsi="宋体" w:eastAsia="宋体" w:cs="宋体"/>
          <w:spacing w:val="-2"/>
          <w:sz w:val="24"/>
          <w:szCs w:val="24"/>
          <w:highlight w:val="none"/>
        </w:rPr>
        <w:t>个防制服务周期，每年至少开展</w:t>
      </w:r>
      <w:r>
        <w:rPr>
          <w:rFonts w:hint="eastAsia" w:ascii="宋体" w:hAnsi="宋体" w:eastAsia="宋体" w:cs="宋体"/>
          <w:spacing w:val="-43"/>
          <w:sz w:val="24"/>
          <w:szCs w:val="24"/>
          <w:highlight w:val="none"/>
        </w:rPr>
        <w:t xml:space="preserve"> </w:t>
      </w:r>
      <w:r>
        <w:rPr>
          <w:rFonts w:hint="eastAsia" w:ascii="宋体" w:hAnsi="宋体" w:eastAsia="宋体" w:cs="宋体"/>
          <w:spacing w:val="-2"/>
          <w:sz w:val="24"/>
          <w:szCs w:val="24"/>
          <w:highlight w:val="none"/>
        </w:rPr>
        <w:t>3</w:t>
      </w:r>
      <w:r>
        <w:rPr>
          <w:rFonts w:hint="eastAsia" w:ascii="宋体" w:hAnsi="宋体" w:eastAsia="宋体" w:cs="宋体"/>
          <w:spacing w:val="-44"/>
          <w:sz w:val="24"/>
          <w:szCs w:val="24"/>
          <w:highlight w:val="none"/>
        </w:rPr>
        <w:t xml:space="preserve"> </w:t>
      </w:r>
      <w:r>
        <w:rPr>
          <w:rFonts w:hint="eastAsia" w:ascii="宋体" w:hAnsi="宋体" w:eastAsia="宋体" w:cs="宋体"/>
          <w:spacing w:val="-2"/>
          <w:sz w:val="24"/>
          <w:szCs w:val="24"/>
          <w:highlight w:val="none"/>
        </w:rPr>
        <w:t>次集中防</w:t>
      </w:r>
      <w:r>
        <w:rPr>
          <w:rFonts w:hint="eastAsia" w:ascii="宋体" w:hAnsi="宋体" w:eastAsia="宋体" w:cs="宋体"/>
          <w:spacing w:val="-3"/>
          <w:sz w:val="24"/>
          <w:szCs w:val="24"/>
          <w:highlight w:val="none"/>
        </w:rPr>
        <w:t>制工作（即：春季</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灭鼠、夏季灭蚊蝇蟑、秋季灭鼠工作）和日常防制，4-10</w:t>
      </w:r>
      <w:r>
        <w:rPr>
          <w:rFonts w:hint="eastAsia" w:ascii="宋体" w:hAnsi="宋体" w:eastAsia="宋体" w:cs="宋体"/>
          <w:spacing w:val="-44"/>
          <w:sz w:val="24"/>
          <w:szCs w:val="24"/>
          <w:highlight w:val="none"/>
        </w:rPr>
        <w:t xml:space="preserve"> </w:t>
      </w:r>
      <w:r>
        <w:rPr>
          <w:rFonts w:hint="eastAsia" w:ascii="宋体" w:hAnsi="宋体" w:eastAsia="宋体" w:cs="宋体"/>
          <w:spacing w:val="-8"/>
          <w:sz w:val="24"/>
          <w:szCs w:val="24"/>
          <w:highlight w:val="none"/>
        </w:rPr>
        <w:t>月</w:t>
      </w:r>
      <w:r>
        <w:rPr>
          <w:rFonts w:hint="eastAsia" w:ascii="宋体" w:hAnsi="宋体" w:eastAsia="宋体" w:cs="宋体"/>
          <w:spacing w:val="-9"/>
          <w:sz w:val="24"/>
          <w:szCs w:val="24"/>
          <w:highlight w:val="none"/>
        </w:rPr>
        <w:t>份每月至少</w:t>
      </w:r>
      <w:r>
        <w:rPr>
          <w:rFonts w:hint="eastAsia" w:ascii="宋体" w:hAnsi="宋体" w:eastAsia="宋体" w:cs="宋体"/>
          <w:spacing w:val="-48"/>
          <w:sz w:val="24"/>
          <w:szCs w:val="24"/>
          <w:highlight w:val="none"/>
        </w:rPr>
        <w:t xml:space="preserve"> </w:t>
      </w:r>
      <w:r>
        <w:rPr>
          <w:rFonts w:hint="eastAsia" w:ascii="宋体" w:hAnsi="宋体" w:eastAsia="宋体" w:cs="宋体"/>
          <w:spacing w:val="-9"/>
          <w:sz w:val="24"/>
          <w:szCs w:val="24"/>
          <w:highlight w:val="none"/>
        </w:rPr>
        <w:t>2</w:t>
      </w:r>
      <w:r>
        <w:rPr>
          <w:rFonts w:hint="eastAsia" w:ascii="宋体" w:hAnsi="宋体" w:eastAsia="宋体" w:cs="宋体"/>
          <w:spacing w:val="-44"/>
          <w:sz w:val="24"/>
          <w:szCs w:val="24"/>
          <w:highlight w:val="none"/>
        </w:rPr>
        <w:t xml:space="preserve"> </w:t>
      </w:r>
      <w:r>
        <w:rPr>
          <w:rFonts w:hint="eastAsia" w:ascii="宋体" w:hAnsi="宋体" w:eastAsia="宋体" w:cs="宋体"/>
          <w:spacing w:val="-9"/>
          <w:sz w:val="24"/>
          <w:szCs w:val="24"/>
          <w:highlight w:val="none"/>
        </w:rPr>
        <w:t>次,11-3</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月每月至少</w:t>
      </w:r>
      <w:r>
        <w:rPr>
          <w:rFonts w:hint="eastAsia" w:ascii="宋体" w:hAnsi="宋体" w:eastAsia="宋体" w:cs="宋体"/>
          <w:spacing w:val="-29"/>
          <w:sz w:val="24"/>
          <w:szCs w:val="24"/>
          <w:highlight w:val="none"/>
        </w:rPr>
        <w:t xml:space="preserve"> </w:t>
      </w:r>
      <w:r>
        <w:rPr>
          <w:rFonts w:hint="eastAsia" w:ascii="宋体" w:hAnsi="宋体" w:eastAsia="宋体" w:cs="宋体"/>
          <w:spacing w:val="-5"/>
          <w:sz w:val="24"/>
          <w:szCs w:val="24"/>
          <w:highlight w:val="none"/>
        </w:rPr>
        <w:t>1</w:t>
      </w:r>
      <w:r>
        <w:rPr>
          <w:rFonts w:hint="eastAsia" w:ascii="宋体" w:hAnsi="宋体" w:eastAsia="宋体" w:cs="宋体"/>
          <w:spacing w:val="-44"/>
          <w:sz w:val="24"/>
          <w:szCs w:val="24"/>
          <w:highlight w:val="none"/>
        </w:rPr>
        <w:t xml:space="preserve"> </w:t>
      </w:r>
      <w:r>
        <w:rPr>
          <w:rFonts w:hint="eastAsia" w:ascii="宋体" w:hAnsi="宋体" w:eastAsia="宋体" w:cs="宋体"/>
          <w:spacing w:val="-5"/>
          <w:sz w:val="24"/>
          <w:szCs w:val="24"/>
          <w:highlight w:val="none"/>
        </w:rPr>
        <w:t>次,)和4次应急消杀(应急消杀包括病媒生物消杀和重大传染病流行期间应急消杀，必须在4小时内到场)（全年至少</w:t>
      </w:r>
      <w:r>
        <w:rPr>
          <w:rFonts w:hint="eastAsia" w:ascii="宋体" w:hAnsi="宋体" w:eastAsia="宋体" w:cs="宋体"/>
          <w:spacing w:val="-48"/>
          <w:sz w:val="24"/>
          <w:szCs w:val="24"/>
          <w:highlight w:val="none"/>
        </w:rPr>
        <w:t xml:space="preserve"> </w:t>
      </w:r>
      <w:r>
        <w:rPr>
          <w:rFonts w:hint="eastAsia" w:ascii="宋体" w:hAnsi="宋体" w:eastAsia="宋体" w:cs="宋体"/>
          <w:spacing w:val="-5"/>
          <w:sz w:val="24"/>
          <w:szCs w:val="24"/>
          <w:highlight w:val="none"/>
        </w:rPr>
        <w:t>2</w:t>
      </w:r>
      <w:r>
        <w:rPr>
          <w:rFonts w:hint="eastAsia" w:cs="宋体"/>
          <w:spacing w:val="-5"/>
          <w:sz w:val="24"/>
          <w:szCs w:val="24"/>
          <w:highlight w:val="none"/>
          <w:lang w:val="en-US" w:eastAsia="zh-CN"/>
        </w:rPr>
        <w:t>6</w:t>
      </w:r>
      <w:r>
        <w:rPr>
          <w:rFonts w:hint="eastAsia" w:ascii="宋体" w:hAnsi="宋体" w:eastAsia="宋体" w:cs="宋体"/>
          <w:spacing w:val="-5"/>
          <w:sz w:val="24"/>
          <w:szCs w:val="24"/>
          <w:highlight w:val="none"/>
        </w:rPr>
        <w:t>次）。</w:t>
      </w:r>
    </w:p>
    <w:p w14:paraId="6DFE65E9">
      <w:pPr>
        <w:spacing w:before="300" w:line="360" w:lineRule="auto"/>
        <w:ind w:left="268" w:right="241" w:firstLine="463"/>
        <w:rPr>
          <w:rFonts w:hint="eastAsia" w:ascii="宋体" w:hAnsi="宋体" w:eastAsia="宋体" w:cs="宋体"/>
          <w:sz w:val="24"/>
          <w:szCs w:val="24"/>
        </w:rPr>
      </w:pPr>
      <w:r>
        <w:rPr>
          <w:rFonts w:hint="eastAsia" w:ascii="宋体" w:hAnsi="宋体" w:eastAsia="宋体" w:cs="宋体"/>
          <w:sz w:val="24"/>
          <w:szCs w:val="24"/>
        </w:rPr>
        <w:t>2、中标单位不得将本项目分包与转包，否则招标方将终止合同，由此造成</w:t>
      </w:r>
      <w:r>
        <w:rPr>
          <w:rFonts w:hint="eastAsia" w:ascii="宋体" w:hAnsi="宋体" w:eastAsia="宋体" w:cs="宋体"/>
          <w:spacing w:val="10"/>
          <w:sz w:val="24"/>
          <w:szCs w:val="24"/>
        </w:rPr>
        <w:t xml:space="preserve"> </w:t>
      </w:r>
      <w:r>
        <w:rPr>
          <w:rFonts w:hint="eastAsia" w:ascii="宋体" w:hAnsi="宋体" w:eastAsia="宋体" w:cs="宋体"/>
          <w:spacing w:val="-3"/>
          <w:sz w:val="24"/>
          <w:szCs w:val="24"/>
        </w:rPr>
        <w:t>的一切损失由中标单位负责。</w:t>
      </w:r>
    </w:p>
    <w:p w14:paraId="4829C0DD">
      <w:pPr>
        <w:spacing w:before="296" w:line="360" w:lineRule="auto"/>
        <w:ind w:left="733"/>
        <w:rPr>
          <w:rFonts w:hint="eastAsia" w:ascii="宋体" w:hAnsi="宋体" w:eastAsia="宋体" w:cs="宋体"/>
          <w:sz w:val="24"/>
          <w:szCs w:val="24"/>
        </w:rPr>
      </w:pPr>
      <w:r>
        <w:rPr>
          <w:rFonts w:hint="eastAsia" w:ascii="宋体" w:hAnsi="宋体" w:eastAsia="宋体" w:cs="宋体"/>
          <w:spacing w:val="-1"/>
          <w:sz w:val="24"/>
          <w:szCs w:val="24"/>
        </w:rPr>
        <w:t>3、员工须持证上岗，规范操作，文明作业；</w:t>
      </w:r>
    </w:p>
    <w:p w14:paraId="789FFA1D">
      <w:pPr>
        <w:spacing w:before="298" w:line="360" w:lineRule="auto"/>
        <w:ind w:left="248" w:right="239" w:firstLine="479"/>
        <w:rPr>
          <w:rFonts w:hint="eastAsia" w:ascii="宋体" w:hAnsi="宋体" w:eastAsia="宋体" w:cs="宋体"/>
          <w:sz w:val="24"/>
          <w:szCs w:val="24"/>
        </w:rPr>
      </w:pPr>
      <w:r>
        <w:rPr>
          <w:rFonts w:hint="eastAsia" w:ascii="宋体" w:hAnsi="宋体" w:eastAsia="宋体" w:cs="宋体"/>
          <w:sz w:val="24"/>
          <w:szCs w:val="24"/>
        </w:rPr>
        <w:t>4、中标公司必须制定突发事件应急预案；在提供药物投放服务时，必须作</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好宣传和技术指导工作，注意安全，预防人畜误食鼠药中毒事件发生，以及对发</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生误食中毒事件进行及时处理，并承担因宣传和指导不力造成环境污染和人畜误</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食中毒所产生的后果；</w:t>
      </w:r>
    </w:p>
    <w:p w14:paraId="6EC10B0A">
      <w:pPr>
        <w:spacing w:before="294" w:line="360" w:lineRule="auto"/>
        <w:ind w:left="248" w:right="241" w:firstLine="484"/>
        <w:rPr>
          <w:rFonts w:hint="eastAsia" w:ascii="宋体" w:hAnsi="宋体" w:eastAsia="宋体" w:cs="宋体"/>
          <w:sz w:val="24"/>
          <w:szCs w:val="24"/>
        </w:rPr>
      </w:pPr>
      <w:r>
        <w:rPr>
          <w:rFonts w:hint="eastAsia" w:ascii="宋体" w:hAnsi="宋体" w:eastAsia="宋体" w:cs="宋体"/>
          <w:sz w:val="24"/>
          <w:szCs w:val="24"/>
        </w:rPr>
        <w:t>5、中标公司在提供药物投放服务时，必须按规定投放，确保消杀药物的投</w:t>
      </w:r>
      <w:r>
        <w:rPr>
          <w:rFonts w:hint="eastAsia" w:ascii="宋体" w:hAnsi="宋体" w:eastAsia="宋体" w:cs="宋体"/>
          <w:spacing w:val="8"/>
          <w:sz w:val="24"/>
          <w:szCs w:val="24"/>
        </w:rPr>
        <w:t xml:space="preserve"> </w:t>
      </w:r>
      <w:r>
        <w:rPr>
          <w:rFonts w:hint="eastAsia" w:ascii="宋体" w:hAnsi="宋体" w:eastAsia="宋体" w:cs="宋体"/>
          <w:spacing w:val="-1"/>
          <w:sz w:val="24"/>
          <w:szCs w:val="24"/>
        </w:rPr>
        <w:t>放量、到位率、覆盖率符合要求并作好相关文字记录，保留备查。</w:t>
      </w:r>
    </w:p>
    <w:p w14:paraId="3C659A7B">
      <w:pPr>
        <w:spacing w:before="294" w:line="360" w:lineRule="auto"/>
        <w:ind w:left="248" w:right="241" w:firstLine="484"/>
        <w:rPr>
          <w:rFonts w:hint="eastAsia" w:ascii="宋体" w:hAnsi="宋体" w:eastAsia="宋体" w:cs="宋体"/>
          <w:sz w:val="24"/>
          <w:szCs w:val="24"/>
        </w:rPr>
      </w:pPr>
      <w:r>
        <w:rPr>
          <w:rFonts w:hint="eastAsia" w:ascii="宋体" w:hAnsi="宋体" w:eastAsia="宋体" w:cs="宋体"/>
          <w:sz w:val="24"/>
          <w:szCs w:val="24"/>
        </w:rPr>
        <w:t>6、服务期内药物使用必须符合国家规定的病媒生物防治用药，安全规范用 药，严禁使用国家明令禁止使用的药物，如发生人、畜食中毒，经权威部门鉴定 属于属乙方使用禁用药物，乙方需要承担全部责任。</w:t>
      </w:r>
    </w:p>
    <w:p w14:paraId="176BBB34">
      <w:pPr>
        <w:spacing w:before="267" w:line="360" w:lineRule="auto"/>
        <w:ind w:left="474"/>
        <w:rPr>
          <w:rFonts w:hint="eastAsia" w:ascii="宋体" w:hAnsi="宋体" w:eastAsia="宋体" w:cs="宋体"/>
          <w:sz w:val="24"/>
          <w:szCs w:val="24"/>
        </w:rPr>
      </w:pPr>
      <w:r>
        <w:rPr>
          <w:rFonts w:hint="eastAsia" w:ascii="宋体" w:hAnsi="宋体" w:eastAsia="宋体" w:cs="宋体"/>
          <w:b/>
          <w:bCs/>
          <w:spacing w:val="-5"/>
          <w:sz w:val="24"/>
          <w:szCs w:val="24"/>
        </w:rPr>
        <w:t>（五）防制服务方案</w:t>
      </w:r>
    </w:p>
    <w:p w14:paraId="6937B8F6">
      <w:pPr>
        <w:spacing w:before="295" w:line="360" w:lineRule="auto"/>
        <w:ind w:left="25" w:right="40" w:firstLine="495"/>
        <w:rPr>
          <w:rFonts w:hint="eastAsia" w:ascii="宋体" w:hAnsi="宋体" w:eastAsia="宋体" w:cs="宋体"/>
          <w:sz w:val="24"/>
          <w:szCs w:val="24"/>
        </w:rPr>
      </w:pPr>
      <w:r>
        <w:rPr>
          <w:rFonts w:hint="eastAsia" w:ascii="宋体" w:hAnsi="宋体" w:eastAsia="宋体" w:cs="宋体"/>
          <w:spacing w:val="-1"/>
          <w:sz w:val="24"/>
          <w:szCs w:val="24"/>
        </w:rPr>
        <w:t>1、投标人须针对本项目编制体现出的对服务区内外环境特点了解程度的技</w:t>
      </w:r>
      <w:r>
        <w:rPr>
          <w:rFonts w:hint="eastAsia" w:ascii="宋体" w:hAnsi="宋体" w:eastAsia="宋体" w:cs="宋体"/>
          <w:spacing w:val="4"/>
          <w:sz w:val="24"/>
          <w:szCs w:val="24"/>
        </w:rPr>
        <w:t xml:space="preserve"> </w:t>
      </w:r>
      <w:r>
        <w:rPr>
          <w:rFonts w:hint="eastAsia" w:ascii="宋体" w:hAnsi="宋体" w:eastAsia="宋体" w:cs="宋体"/>
          <w:spacing w:val="-2"/>
          <w:sz w:val="24"/>
          <w:szCs w:val="24"/>
        </w:rPr>
        <w:t>术方案、实施方案；</w:t>
      </w:r>
    </w:p>
    <w:p w14:paraId="1697092D">
      <w:pPr>
        <w:spacing w:before="292" w:line="360" w:lineRule="auto"/>
        <w:ind w:left="24" w:right="40" w:firstLine="481"/>
        <w:rPr>
          <w:rFonts w:hint="eastAsia" w:ascii="宋体" w:hAnsi="宋体" w:eastAsia="宋体" w:cs="宋体"/>
          <w:sz w:val="24"/>
          <w:szCs w:val="24"/>
        </w:rPr>
      </w:pPr>
      <w:r>
        <w:rPr>
          <w:rFonts w:hint="eastAsia" w:ascii="宋体" w:hAnsi="宋体" w:eastAsia="宋体" w:cs="宋体"/>
          <w:sz w:val="24"/>
          <w:szCs w:val="24"/>
        </w:rPr>
        <w:t>2、投标人针对本项目编制防制服务技术方</w:t>
      </w:r>
      <w:r>
        <w:rPr>
          <w:rFonts w:hint="eastAsia" w:ascii="宋体" w:hAnsi="宋体" w:eastAsia="宋体" w:cs="宋体"/>
          <w:spacing w:val="-1"/>
          <w:sz w:val="24"/>
          <w:szCs w:val="24"/>
        </w:rPr>
        <w:t>案，在技术方案中体现出的对防</w:t>
      </w:r>
      <w:r>
        <w:rPr>
          <w:rFonts w:hint="eastAsia" w:ascii="宋体" w:hAnsi="宋体" w:eastAsia="宋体" w:cs="宋体"/>
          <w:sz w:val="24"/>
          <w:szCs w:val="24"/>
        </w:rPr>
        <w:t xml:space="preserve"> </w:t>
      </w:r>
      <w:r>
        <w:rPr>
          <w:rFonts w:hint="eastAsia" w:ascii="宋体" w:hAnsi="宋体" w:eastAsia="宋体" w:cs="宋体"/>
          <w:spacing w:val="-1"/>
          <w:sz w:val="24"/>
          <w:szCs w:val="24"/>
        </w:rPr>
        <w:t>制对象、种类、熏杀防制方法科学的熟悉程度；</w:t>
      </w:r>
    </w:p>
    <w:p w14:paraId="3C5529BC">
      <w:pPr>
        <w:spacing w:before="295" w:line="360" w:lineRule="auto"/>
        <w:ind w:left="24" w:right="40" w:firstLine="483"/>
        <w:rPr>
          <w:rFonts w:hint="eastAsia" w:ascii="宋体" w:hAnsi="宋体" w:eastAsia="宋体" w:cs="宋体"/>
          <w:sz w:val="24"/>
          <w:szCs w:val="24"/>
        </w:rPr>
      </w:pPr>
      <w:r>
        <w:rPr>
          <w:rFonts w:hint="eastAsia" w:ascii="宋体" w:hAnsi="宋体" w:eastAsia="宋体" w:cs="宋体"/>
          <w:spacing w:val="-1"/>
          <w:sz w:val="24"/>
          <w:szCs w:val="24"/>
        </w:rPr>
        <w:t>3、投标人针对本项目配置选择药械（物）合理，药品、药物在防制过程中</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使用的分配情况，对不同环境的用药量及方法科学合理性；</w:t>
      </w:r>
    </w:p>
    <w:p w14:paraId="72B13ACD">
      <w:pPr>
        <w:spacing w:before="296" w:line="360" w:lineRule="auto"/>
        <w:ind w:left="44" w:right="40" w:firstLine="458"/>
        <w:rPr>
          <w:rFonts w:hint="eastAsia" w:ascii="宋体" w:hAnsi="宋体" w:eastAsia="宋体" w:cs="宋体"/>
          <w:sz w:val="24"/>
          <w:szCs w:val="24"/>
        </w:rPr>
      </w:pPr>
      <w:r>
        <w:rPr>
          <w:rFonts w:hint="eastAsia" w:ascii="宋体" w:hAnsi="宋体" w:eastAsia="宋体" w:cs="宋体"/>
          <w:sz w:val="24"/>
          <w:szCs w:val="24"/>
        </w:rPr>
        <w:t>4、投标人针对本项目编制技术服务方案、技术方案</w:t>
      </w:r>
      <w:r>
        <w:rPr>
          <w:rFonts w:hint="eastAsia" w:ascii="宋体" w:hAnsi="宋体" w:eastAsia="宋体" w:cs="宋体"/>
          <w:spacing w:val="-1"/>
          <w:sz w:val="24"/>
          <w:szCs w:val="24"/>
        </w:rPr>
        <w:t>，技术服务方案中体现</w:t>
      </w:r>
      <w:r>
        <w:rPr>
          <w:rFonts w:hint="eastAsia" w:ascii="宋体" w:hAnsi="宋体" w:eastAsia="宋体" w:cs="宋体"/>
          <w:sz w:val="24"/>
          <w:szCs w:val="24"/>
        </w:rPr>
        <w:t xml:space="preserve"> </w:t>
      </w:r>
      <w:r>
        <w:rPr>
          <w:rFonts w:hint="eastAsia" w:ascii="宋体" w:hAnsi="宋体" w:eastAsia="宋体" w:cs="宋体"/>
          <w:spacing w:val="-2"/>
          <w:sz w:val="24"/>
          <w:szCs w:val="24"/>
        </w:rPr>
        <w:t>出的所采取的技术和方法的环境适应性；</w:t>
      </w:r>
    </w:p>
    <w:p w14:paraId="35498282">
      <w:pPr>
        <w:spacing w:before="294" w:line="360" w:lineRule="auto"/>
        <w:ind w:left="24" w:right="13" w:firstLine="483"/>
        <w:rPr>
          <w:rFonts w:hint="eastAsia" w:ascii="宋体" w:hAnsi="宋体" w:eastAsia="宋体" w:cs="宋体"/>
          <w:sz w:val="24"/>
          <w:szCs w:val="24"/>
        </w:rPr>
      </w:pPr>
      <w:r>
        <w:rPr>
          <w:rFonts w:hint="eastAsia" w:ascii="宋体" w:hAnsi="宋体" w:eastAsia="宋体" w:cs="宋体"/>
          <w:spacing w:val="-1"/>
          <w:sz w:val="24"/>
          <w:szCs w:val="24"/>
        </w:rPr>
        <w:t>5、针对本项目编制完整的服务实施方案，实施方案描述的实施病媒生物防</w:t>
      </w:r>
      <w:r>
        <w:rPr>
          <w:rFonts w:hint="eastAsia" w:ascii="宋体" w:hAnsi="宋体" w:eastAsia="宋体" w:cs="宋体"/>
          <w:spacing w:val="17"/>
          <w:sz w:val="24"/>
          <w:szCs w:val="24"/>
        </w:rPr>
        <w:t xml:space="preserve"> </w:t>
      </w:r>
      <w:r>
        <w:rPr>
          <w:rFonts w:hint="eastAsia" w:ascii="宋体" w:hAnsi="宋体" w:eastAsia="宋体" w:cs="宋体"/>
          <w:spacing w:val="-3"/>
          <w:sz w:val="24"/>
          <w:szCs w:val="24"/>
        </w:rPr>
        <w:t>制工作内容完整，包括人员培训、质量管理等，人员时间安排妥当，突出日常性</w:t>
      </w:r>
      <w:r>
        <w:rPr>
          <w:rFonts w:hint="eastAsia" w:ascii="宋体" w:hAnsi="宋体" w:eastAsia="宋体" w:cs="宋体"/>
          <w:sz w:val="24"/>
          <w:szCs w:val="24"/>
        </w:rPr>
        <w:t xml:space="preserve"> </w:t>
      </w:r>
      <w:r>
        <w:rPr>
          <w:rFonts w:hint="eastAsia" w:ascii="宋体" w:hAnsi="宋体" w:eastAsia="宋体" w:cs="宋体"/>
          <w:spacing w:val="-1"/>
          <w:sz w:val="24"/>
          <w:szCs w:val="24"/>
        </w:rPr>
        <w:t>工作，防制工作中时间进度安排、资料收集和分析情况。</w:t>
      </w:r>
    </w:p>
    <w:p w14:paraId="209A816D">
      <w:pPr>
        <w:spacing w:before="294" w:line="360" w:lineRule="auto"/>
        <w:ind w:left="517"/>
        <w:rPr>
          <w:rFonts w:hint="eastAsia" w:ascii="宋体" w:hAnsi="宋体" w:eastAsia="宋体" w:cs="宋体"/>
          <w:sz w:val="24"/>
          <w:szCs w:val="24"/>
        </w:rPr>
      </w:pPr>
      <w:r>
        <w:rPr>
          <w:rFonts w:hint="eastAsia" w:ascii="宋体" w:hAnsi="宋体" w:eastAsia="宋体" w:cs="宋体"/>
          <w:b/>
          <w:bCs/>
          <w:spacing w:val="-3"/>
          <w:sz w:val="24"/>
          <w:szCs w:val="24"/>
        </w:rPr>
        <w:t>（六）突发公共卫生事件应急措施方案</w:t>
      </w:r>
    </w:p>
    <w:p w14:paraId="67FF82DE">
      <w:pPr>
        <w:spacing w:before="295" w:line="360" w:lineRule="auto"/>
        <w:ind w:left="22" w:right="16" w:firstLine="498"/>
        <w:rPr>
          <w:rFonts w:hint="eastAsia" w:ascii="宋体" w:hAnsi="宋体" w:eastAsia="宋体" w:cs="宋体"/>
          <w:sz w:val="24"/>
          <w:szCs w:val="24"/>
        </w:rPr>
      </w:pPr>
      <w:r>
        <w:rPr>
          <w:rFonts w:hint="eastAsia" w:ascii="宋体" w:hAnsi="宋体" w:eastAsia="宋体" w:cs="宋体"/>
          <w:sz w:val="24"/>
          <w:szCs w:val="24"/>
        </w:rPr>
        <w:t>1、投标人针对本项目编制突发公共卫生事件应急措施方案，须</w:t>
      </w:r>
      <w:r>
        <w:rPr>
          <w:rFonts w:hint="eastAsia" w:ascii="宋体" w:hAnsi="宋体" w:eastAsia="宋体" w:cs="宋体"/>
          <w:spacing w:val="-1"/>
          <w:sz w:val="24"/>
          <w:szCs w:val="24"/>
        </w:rPr>
        <w:t>提供突发公</w:t>
      </w:r>
      <w:r>
        <w:rPr>
          <w:rFonts w:hint="eastAsia" w:ascii="宋体" w:hAnsi="宋体" w:eastAsia="宋体" w:cs="宋体"/>
          <w:sz w:val="24"/>
          <w:szCs w:val="24"/>
        </w:rPr>
        <w:t xml:space="preserve"> 共卫生事件应急措施方案，方案切实可行，有很强的</w:t>
      </w:r>
      <w:r>
        <w:rPr>
          <w:rFonts w:hint="eastAsia" w:ascii="宋体" w:hAnsi="宋体" w:eastAsia="宋体" w:cs="宋体"/>
          <w:spacing w:val="-1"/>
          <w:sz w:val="24"/>
          <w:szCs w:val="24"/>
        </w:rPr>
        <w:t>操作性和针对性方案。</w:t>
      </w:r>
    </w:p>
    <w:p w14:paraId="7CC096F8">
      <w:pPr>
        <w:spacing w:line="360" w:lineRule="auto"/>
        <w:ind w:left="517"/>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（七）项目实施要求</w:t>
      </w:r>
    </w:p>
    <w:p w14:paraId="72349741">
      <w:pPr>
        <w:spacing w:before="295" w:line="360" w:lineRule="auto"/>
        <w:ind w:left="25" w:right="16" w:firstLine="495"/>
        <w:rPr>
          <w:rFonts w:hint="eastAsia" w:ascii="宋体" w:hAnsi="宋体" w:eastAsia="宋体" w:cs="宋体"/>
          <w:sz w:val="24"/>
          <w:szCs w:val="24"/>
          <w:highlight w:val="none"/>
        </w:rPr>
      </w:pPr>
      <w:r>
        <w:rPr>
          <w:rFonts w:hint="eastAsia" w:ascii="宋体" w:hAnsi="宋体" w:eastAsia="宋体" w:cs="宋体"/>
          <w:sz w:val="24"/>
          <w:szCs w:val="24"/>
          <w:highlight w:val="none"/>
        </w:rPr>
        <w:t>1、中标人负责提供本项目中采购人所需要的灭鼠灭蟑灭蚊蝇药</w:t>
      </w:r>
      <w:r>
        <w:rPr>
          <w:rFonts w:hint="eastAsia" w:ascii="宋体" w:hAnsi="宋体" w:eastAsia="宋体" w:cs="宋体"/>
          <w:spacing w:val="-1"/>
          <w:sz w:val="24"/>
          <w:szCs w:val="24"/>
          <w:highlight w:val="none"/>
        </w:rPr>
        <w:t>物消杀及技</w:t>
      </w:r>
      <w:r>
        <w:rPr>
          <w:rFonts w:hint="eastAsia" w:ascii="宋体" w:hAnsi="宋体" w:eastAsia="宋体" w:cs="宋体"/>
          <w:spacing w:val="-3"/>
          <w:sz w:val="24"/>
          <w:szCs w:val="24"/>
          <w:highlight w:val="none"/>
        </w:rPr>
        <w:t>术服务。</w:t>
      </w:r>
    </w:p>
    <w:p w14:paraId="32E32147">
      <w:pPr>
        <w:spacing w:before="292" w:line="360" w:lineRule="auto"/>
        <w:ind w:left="50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2、中标人保证按投标文件中的服务承诺提供良好的服务。</w:t>
      </w:r>
    </w:p>
    <w:p w14:paraId="1D7C30B8">
      <w:pPr>
        <w:spacing w:before="296" w:line="360" w:lineRule="auto"/>
        <w:ind w:left="24" w:right="16" w:firstLine="483"/>
        <w:rPr>
          <w:rFonts w:hint="eastAsia" w:ascii="宋体" w:hAnsi="宋体" w:eastAsia="宋体" w:cs="宋体"/>
          <w:sz w:val="24"/>
          <w:szCs w:val="24"/>
          <w:highlight w:val="none"/>
        </w:rPr>
      </w:pPr>
      <w:r>
        <w:rPr>
          <w:rFonts w:hint="eastAsia" w:ascii="宋体" w:hAnsi="宋体" w:eastAsia="宋体" w:cs="宋体"/>
          <w:sz w:val="24"/>
          <w:szCs w:val="24"/>
          <w:highlight w:val="none"/>
        </w:rPr>
        <w:t>3、中标人工作人员在实施服务时应统一着装、佩证上岗、明确任务、文明作业。填写服务登记卡，并请采购人有关人员签</w:t>
      </w:r>
      <w:r>
        <w:rPr>
          <w:rFonts w:hint="eastAsia" w:ascii="宋体" w:hAnsi="宋体" w:eastAsia="宋体" w:cs="宋体"/>
          <w:spacing w:val="-1"/>
          <w:sz w:val="24"/>
          <w:szCs w:val="24"/>
          <w:highlight w:val="none"/>
        </w:rPr>
        <w:t>字，作为当次服务的凭据。</w:t>
      </w:r>
    </w:p>
    <w:p w14:paraId="77296AA2">
      <w:pPr>
        <w:spacing w:before="295" w:line="360" w:lineRule="auto"/>
        <w:ind w:left="43" w:right="16" w:firstLine="459"/>
        <w:rPr>
          <w:rFonts w:hint="eastAsia" w:ascii="宋体" w:hAnsi="宋体" w:eastAsia="宋体" w:cs="宋体"/>
          <w:sz w:val="24"/>
          <w:szCs w:val="24"/>
          <w:highlight w:val="none"/>
        </w:rPr>
      </w:pPr>
      <w:r>
        <w:rPr>
          <w:rFonts w:hint="eastAsia" w:ascii="宋体" w:hAnsi="宋体" w:eastAsia="宋体" w:cs="宋体"/>
          <w:sz w:val="24"/>
          <w:szCs w:val="24"/>
          <w:highlight w:val="none"/>
        </w:rPr>
        <w:t>4、注意药物的使用安全，投（施）药后需防护的部位和措施，应采取有效</w:t>
      </w:r>
      <w:r>
        <w:rPr>
          <w:rFonts w:hint="eastAsia" w:ascii="宋体" w:hAnsi="宋体" w:eastAsia="宋体" w:cs="宋体"/>
          <w:spacing w:val="-1"/>
          <w:sz w:val="24"/>
          <w:szCs w:val="24"/>
          <w:highlight w:val="none"/>
        </w:rPr>
        <w:t>的防护和措施，及时向采购人报告并向市民发布</w:t>
      </w:r>
      <w:r>
        <w:rPr>
          <w:rFonts w:hint="eastAsia" w:ascii="宋体" w:hAnsi="宋体" w:eastAsia="宋体" w:cs="宋体"/>
          <w:spacing w:val="-2"/>
          <w:sz w:val="24"/>
          <w:szCs w:val="24"/>
          <w:highlight w:val="none"/>
        </w:rPr>
        <w:t>提醒事项。</w:t>
      </w:r>
    </w:p>
    <w:p w14:paraId="0025E719">
      <w:pPr>
        <w:spacing w:before="298" w:line="360" w:lineRule="auto"/>
        <w:ind w:left="50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5、事先作好投药前温馨提示，不能对市民造成影响。</w:t>
      </w:r>
    </w:p>
    <w:p w14:paraId="485EA200">
      <w:pPr>
        <w:spacing w:before="266" w:line="360" w:lineRule="auto"/>
        <w:ind w:left="50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6、确保对服务辖区内的动、植物及公共设施不造成损害。</w:t>
      </w:r>
    </w:p>
    <w:p w14:paraId="443A8250">
      <w:pPr>
        <w:spacing w:before="296" w:line="360" w:lineRule="auto"/>
        <w:ind w:left="24" w:right="63" w:firstLine="484"/>
        <w:rPr>
          <w:rFonts w:hint="eastAsia" w:ascii="宋体" w:hAnsi="宋体" w:eastAsia="宋体" w:cs="宋体"/>
          <w:spacing w:val="-1"/>
          <w:sz w:val="24"/>
          <w:szCs w:val="24"/>
          <w:highlight w:val="none"/>
        </w:rPr>
      </w:pPr>
      <w:r>
        <w:rPr>
          <w:rFonts w:hint="eastAsia" w:ascii="宋体" w:hAnsi="宋体" w:eastAsia="宋体" w:cs="宋体"/>
          <w:sz w:val="24"/>
          <w:szCs w:val="24"/>
          <w:highlight w:val="none"/>
        </w:rPr>
        <w:t>7、确保施工安全，若因施工原因造成的安全事故及存在安全隐患造成自身</w:t>
      </w:r>
      <w:r>
        <w:rPr>
          <w:rFonts w:hint="eastAsia" w:ascii="宋体" w:hAnsi="宋体" w:eastAsia="宋体" w:cs="宋体"/>
          <w:spacing w:val="7"/>
          <w:sz w:val="24"/>
          <w:szCs w:val="24"/>
          <w:highlight w:val="none"/>
        </w:rPr>
        <w:t xml:space="preserve"> </w:t>
      </w:r>
      <w:r>
        <w:rPr>
          <w:rFonts w:hint="eastAsia" w:ascii="宋体" w:hAnsi="宋体" w:eastAsia="宋体" w:cs="宋体"/>
          <w:spacing w:val="-1"/>
          <w:sz w:val="24"/>
          <w:szCs w:val="24"/>
          <w:highlight w:val="none"/>
        </w:rPr>
        <w:t>和他人人身财产损害，其责任均由投标人承担。</w:t>
      </w:r>
    </w:p>
    <w:p w14:paraId="3CF3B711">
      <w:pPr>
        <w:spacing w:line="360" w:lineRule="auto"/>
        <w:ind w:left="517"/>
        <w:rPr>
          <w:rFonts w:hint="eastAsia" w:ascii="宋体" w:hAnsi="宋体" w:eastAsia="宋体" w:cs="宋体"/>
          <w:b/>
          <w:bCs/>
          <w:spacing w:val="-5"/>
          <w:sz w:val="24"/>
          <w:szCs w:val="24"/>
          <w:highlight w:val="none"/>
          <w:lang w:eastAsia="zh-CN"/>
        </w:rPr>
      </w:pPr>
    </w:p>
    <w:p w14:paraId="620CCF9C">
      <w:pPr>
        <w:spacing w:line="360" w:lineRule="auto"/>
        <w:ind w:left="517"/>
        <w:rPr>
          <w:rFonts w:hint="default" w:ascii="宋体" w:hAnsi="宋体" w:eastAsia="宋体" w:cs="宋体"/>
          <w:b/>
          <w:bCs/>
          <w:spacing w:val="-3"/>
          <w:sz w:val="24"/>
          <w:szCs w:val="24"/>
          <w:highlight w:val="none"/>
          <w:lang w:val="en-US" w:eastAsia="zh-CN"/>
        </w:rPr>
      </w:pPr>
      <w:r>
        <w:rPr>
          <w:rFonts w:hint="eastAsia" w:ascii="宋体" w:hAnsi="宋体" w:eastAsia="宋体" w:cs="宋体"/>
          <w:b/>
          <w:bCs/>
          <w:spacing w:val="-5"/>
          <w:sz w:val="24"/>
          <w:szCs w:val="24"/>
          <w:highlight w:val="none"/>
          <w:lang w:eastAsia="zh-CN"/>
        </w:rPr>
        <w:t>（</w:t>
      </w:r>
      <w:r>
        <w:rPr>
          <w:rFonts w:hint="eastAsia" w:ascii="宋体" w:hAnsi="宋体" w:eastAsia="宋体" w:cs="宋体"/>
          <w:b/>
          <w:bCs/>
          <w:spacing w:val="-5"/>
          <w:sz w:val="24"/>
          <w:szCs w:val="24"/>
          <w:highlight w:val="none"/>
          <w:lang w:val="en-US" w:eastAsia="zh-CN"/>
        </w:rPr>
        <w:t>八）</w:t>
      </w:r>
      <w:r>
        <w:rPr>
          <w:rFonts w:hint="default" w:ascii="宋体" w:hAnsi="宋体" w:eastAsia="宋体" w:cs="宋体"/>
          <w:b/>
          <w:bCs/>
          <w:spacing w:val="-3"/>
          <w:sz w:val="24"/>
          <w:szCs w:val="24"/>
          <w:highlight w:val="none"/>
          <w:lang w:val="en-US" w:eastAsia="zh-CN"/>
        </w:rPr>
        <w:t>消杀服务质量监管及处罚</w:t>
      </w:r>
    </w:p>
    <w:p w14:paraId="5FDA6D5B">
      <w:pPr>
        <w:spacing w:before="296" w:line="360" w:lineRule="auto"/>
        <w:ind w:left="24" w:right="63" w:firstLine="484"/>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1、确保防制服务区域鼠、蚊、蝇、蟑密度常态化保持在国家病媒生物密度控制水平C 级或更高。</w:t>
      </w:r>
    </w:p>
    <w:p w14:paraId="1A706EB1">
      <w:pPr>
        <w:spacing w:before="296" w:line="360" w:lineRule="auto"/>
        <w:ind w:left="24" w:right="63" w:firstLine="484"/>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2.在合同期内集中防制或日常防制后，服务区域鼠、蚊、蝇、蟑密度未达到国家 C级标准，扣除合同服务费的5%，并重新开展消杀，直至达到国家C级标准为止。</w:t>
      </w:r>
    </w:p>
    <w:p w14:paraId="4507467D">
      <w:pPr>
        <w:spacing w:before="296" w:line="360" w:lineRule="auto"/>
        <w:ind w:left="24" w:right="63" w:firstLine="484"/>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3.每次应急防制后，防制服务区域鼠、蚊、蝇、蟑密度未达到国家C级标准，扣除合同服务费的 10%。</w:t>
      </w:r>
    </w:p>
    <w:p w14:paraId="0E5D09F7">
      <w:pPr>
        <w:spacing w:before="296" w:line="360" w:lineRule="auto"/>
        <w:ind w:left="24" w:right="63" w:firstLine="484"/>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4.防制服务区域发现主要问题导致病媒生物防制工作不能通过卫生城市评审的，扣除合同服务费的 25%，且立即整改，开展消杀防制，直至达到国家、省、市的检査要求为止。</w:t>
      </w:r>
    </w:p>
    <w:p w14:paraId="497612EB">
      <w:pPr>
        <w:spacing w:before="296" w:line="360" w:lineRule="auto"/>
        <w:ind w:left="24" w:right="63" w:firstLine="484"/>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5.</w:t>
      </w:r>
      <w:r>
        <w:rPr>
          <w:rFonts w:hint="eastAsia" w:ascii="宋体" w:hAnsi="宋体" w:eastAsia="宋体" w:cs="宋体"/>
          <w:sz w:val="24"/>
          <w:szCs w:val="24"/>
          <w:highlight w:val="none"/>
          <w:lang w:val="en-US" w:eastAsia="zh-CN"/>
        </w:rPr>
        <w:t>在合同期内发生市级以上新闻媒体曝光造成不良影响，或省、市提出书面批评的，每发生一起扣除合同服务费的 10%。</w:t>
      </w:r>
    </w:p>
    <w:p w14:paraId="18603272">
      <w:pPr>
        <w:spacing w:before="296" w:line="360" w:lineRule="auto"/>
        <w:ind w:left="24" w:right="63" w:firstLine="484"/>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药品安全使用管理：发现中标公司使用违禁药品或未经采购人批准擅自使用，采购人有权终止合同关系，并拒付所有合同服务费，造成后果的，将依法追究法律责任。药品储存、分发、使用、回收和出入库登记、药品消杀记录等制度不落实，药械使用不科学、不规范，消杀人员防护不到位，每发生一例扣除 1000 元合同服务费。因施药问题 造成人员和财产损失安全事故的，由中标公司负全部责任，并承担所有损失和赔偿。</w:t>
      </w:r>
    </w:p>
    <w:p w14:paraId="35D85708">
      <w:pPr>
        <w:spacing w:before="293" w:line="360" w:lineRule="auto"/>
        <w:ind w:left="517"/>
        <w:rPr>
          <w:rFonts w:hint="eastAsia" w:ascii="宋体" w:hAnsi="宋体" w:eastAsia="宋体" w:cs="宋体"/>
          <w:b/>
          <w:bCs/>
          <w:spacing w:val="-5"/>
          <w:sz w:val="24"/>
          <w:szCs w:val="24"/>
          <w:highlight w:val="none"/>
        </w:rPr>
      </w:pPr>
      <w:r>
        <w:rPr>
          <w:rFonts w:hint="eastAsia" w:ascii="宋体" w:hAnsi="宋体" w:eastAsia="宋体" w:cs="宋体"/>
          <w:b/>
          <w:bCs/>
          <w:spacing w:val="-5"/>
          <w:sz w:val="24"/>
          <w:szCs w:val="24"/>
          <w:highlight w:val="none"/>
          <w:lang w:val="en-US" w:eastAsia="zh-CN"/>
        </w:rPr>
        <w:t>（九）服务设备设施要求</w:t>
      </w:r>
    </w:p>
    <w:p w14:paraId="6991E68B">
      <w:pPr>
        <w:spacing w:before="296" w:line="360" w:lineRule="auto"/>
        <w:ind w:left="24" w:right="63" w:firstLine="484"/>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1.为确保本项目施工质量，投标人承诺为本项目投入3台手动喷雾器，1台超低容量喷雾器，2台机动喷雾器，2台热烟雾机。</w:t>
      </w:r>
    </w:p>
    <w:p w14:paraId="023687F9">
      <w:pPr>
        <w:spacing w:before="293" w:line="360" w:lineRule="auto"/>
        <w:ind w:left="517"/>
        <w:rPr>
          <w:rFonts w:hint="eastAsia" w:ascii="宋体" w:hAnsi="宋体" w:eastAsia="宋体" w:cs="宋体"/>
          <w:sz w:val="24"/>
          <w:szCs w:val="24"/>
        </w:rPr>
      </w:pPr>
      <w:r>
        <w:rPr>
          <w:rFonts w:hint="eastAsia" w:ascii="宋体" w:hAnsi="宋体" w:eastAsia="宋体" w:cs="宋体"/>
          <w:b/>
          <w:bCs/>
          <w:spacing w:val="-5"/>
          <w:sz w:val="24"/>
          <w:szCs w:val="24"/>
        </w:rPr>
        <w:t>（</w:t>
      </w:r>
      <w:r>
        <w:rPr>
          <w:rFonts w:hint="eastAsia" w:cs="宋体"/>
          <w:b/>
          <w:bCs/>
          <w:spacing w:val="-5"/>
          <w:sz w:val="24"/>
          <w:szCs w:val="24"/>
          <w:lang w:val="en-US" w:eastAsia="zh-CN"/>
        </w:rPr>
        <w:t>十</w:t>
      </w:r>
      <w:r>
        <w:rPr>
          <w:rFonts w:hint="eastAsia" w:ascii="宋体" w:hAnsi="宋体" w:eastAsia="宋体" w:cs="宋体"/>
          <w:b/>
          <w:bCs/>
          <w:spacing w:val="-5"/>
          <w:sz w:val="24"/>
          <w:szCs w:val="24"/>
        </w:rPr>
        <w:t>）现场勘察</w:t>
      </w:r>
    </w:p>
    <w:p w14:paraId="13DEF56D">
      <w:pPr>
        <w:spacing w:before="295" w:line="360" w:lineRule="auto"/>
        <w:ind w:left="24" w:right="7" w:firstLine="496"/>
        <w:rPr>
          <w:rFonts w:hint="eastAsia" w:ascii="宋体" w:hAnsi="宋体" w:eastAsia="宋体" w:cs="宋体"/>
          <w:sz w:val="24"/>
          <w:szCs w:val="24"/>
        </w:rPr>
      </w:pPr>
      <w:r>
        <w:rPr>
          <w:rFonts w:hint="eastAsia" w:ascii="宋体" w:hAnsi="宋体" w:eastAsia="宋体" w:cs="宋体"/>
          <w:sz w:val="24"/>
          <w:szCs w:val="24"/>
        </w:rPr>
        <w:t>1、投标人必须对项目实施现场和周围环境进行周密的勘察和研</w:t>
      </w:r>
      <w:r>
        <w:rPr>
          <w:rFonts w:hint="eastAsia" w:ascii="宋体" w:hAnsi="宋体" w:eastAsia="宋体" w:cs="宋体"/>
          <w:spacing w:val="-1"/>
          <w:sz w:val="24"/>
          <w:szCs w:val="24"/>
        </w:rPr>
        <w:t>究，以获取</w:t>
      </w:r>
      <w:r>
        <w:rPr>
          <w:rFonts w:hint="eastAsia" w:ascii="宋体" w:hAnsi="宋体" w:eastAsia="宋体" w:cs="宋体"/>
          <w:spacing w:val="-3"/>
          <w:sz w:val="24"/>
          <w:szCs w:val="24"/>
        </w:rPr>
        <w:t>编制投标文件及进行投标所需的所有资料。中标后签订合同时和实施过程中，中</w:t>
      </w:r>
      <w:r>
        <w:rPr>
          <w:rFonts w:hint="eastAsia" w:ascii="宋体" w:hAnsi="宋体" w:eastAsia="宋体" w:cs="宋体"/>
          <w:spacing w:val="-2"/>
          <w:sz w:val="24"/>
          <w:szCs w:val="24"/>
        </w:rPr>
        <w:t>标人不得以不完全了解现场情况为由，提出任何形式的增加造价或索赔的要求。</w:t>
      </w:r>
    </w:p>
    <w:p w14:paraId="6F6396FC">
      <w:pPr>
        <w:spacing w:before="297" w:line="360" w:lineRule="auto"/>
        <w:ind w:left="465"/>
        <w:rPr>
          <w:rFonts w:hint="eastAsia" w:ascii="宋体" w:hAnsi="宋体" w:eastAsia="宋体" w:cs="宋体"/>
          <w:sz w:val="24"/>
          <w:szCs w:val="24"/>
        </w:rPr>
      </w:pPr>
      <w:r>
        <w:rPr>
          <w:rFonts w:hint="eastAsia" w:ascii="宋体" w:hAnsi="宋体" w:eastAsia="宋体" w:cs="宋体"/>
          <w:spacing w:val="-1"/>
          <w:sz w:val="24"/>
          <w:szCs w:val="24"/>
        </w:rPr>
        <w:t>2、投标人在现场勘察中所发生的意外事件自行负责。</w:t>
      </w:r>
    </w:p>
    <w:p w14:paraId="4A8D9ED4">
      <w:pPr>
        <w:spacing w:before="296" w:line="360" w:lineRule="auto"/>
        <w:ind w:left="467"/>
        <w:rPr>
          <w:rFonts w:hint="eastAsia" w:ascii="宋体" w:hAnsi="宋体" w:eastAsia="宋体" w:cs="宋体"/>
          <w:sz w:val="24"/>
          <w:szCs w:val="24"/>
        </w:rPr>
      </w:pPr>
      <w:r>
        <w:rPr>
          <w:rFonts w:hint="eastAsia" w:ascii="宋体" w:hAnsi="宋体" w:eastAsia="宋体" w:cs="宋体"/>
          <w:spacing w:val="-1"/>
          <w:sz w:val="24"/>
          <w:szCs w:val="24"/>
        </w:rPr>
        <w:t>3、投标人现场勘察的一切费用自理。</w:t>
      </w:r>
    </w:p>
    <w:p w14:paraId="63C430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51A52">
    <w:pPr>
      <w:pStyle w:val="3"/>
      <w:rPr>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64A25">
                          <w:pPr>
                            <w:pStyle w:val="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7D164A25">
                    <w:pPr>
                      <w:pStyle w:val="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8529D"/>
    <w:rsid w:val="52085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left="105" w:firstLine="690"/>
    </w:pPr>
    <w:rPr>
      <w:sz w:val="32"/>
    </w:rPr>
  </w:style>
  <w:style w:type="paragraph" w:styleId="3">
    <w:name w:val="footer"/>
    <w:basedOn w:val="1"/>
    <w:qFormat/>
    <w:uiPriority w:val="0"/>
    <w:pPr>
      <w:tabs>
        <w:tab w:val="center" w:pos="4153"/>
        <w:tab w:val="right" w:pos="8306"/>
      </w:tabs>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2025-07-29T11:10:00Z</dcterms:created>
  <dc:creator>JD</dc:creator>
  <cp:lastModifiedBy>JD</cp:lastModifiedBy>
  <dcterms:modified xsi:type="dcterms:W3CDTF">2025-07-29T11:11:07Z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A1B07135F6194DA98DCE80E944BEEE1A_11</vt:lpwstr>
  </property>
  <property fmtid="{D5CDD505-2E9C-101B-9397-08002B2CF9AE}" pid="4" name="KSOTemplateDocerSaveRecord">
    <vt:lpwstr>eyJoZGlkIjoiYmJlNGVhYmI3YTAwNTVkZjYxNDU4ZDI4ZWY0MTBlNjQiLCJ1c2VySWQiOiIxMTk3OTg5MjQyIn0=</vt:lpwstr>
  </property>
</Properties>
</file>