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3C676">
      <w:pPr>
        <w:widowControl/>
        <w:shd w:val="clear" w:color="auto" w:fill="FFFFFF"/>
        <w:jc w:val="center"/>
        <w:rPr>
          <w:rFonts w:ascii="微软雅黑" w:hAnsi="微软雅黑" w:eastAsia="微软雅黑" w:cs="微软雅黑"/>
          <w:b/>
          <w:sz w:val="44"/>
          <w:szCs w:val="44"/>
        </w:rPr>
      </w:pPr>
      <w:r>
        <w:rPr>
          <w:rFonts w:hint="eastAsia" w:ascii="微软雅黑" w:hAnsi="微软雅黑" w:eastAsia="微软雅黑" w:cs="微软雅黑"/>
          <w:b/>
          <w:sz w:val="44"/>
          <w:szCs w:val="44"/>
        </w:rPr>
        <w:t>2025年度电解铝业务部厂区四害消杀服务项目招标公告</w:t>
      </w:r>
    </w:p>
    <w:p w14:paraId="1487B7D9">
      <w:pPr>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采购类别：服务类（注：新用户时请选择此类别，否则无法报名）</w:t>
      </w:r>
    </w:p>
    <w:p w14:paraId="59DA98B0">
      <w:pPr>
        <w:widowControl/>
        <w:shd w:val="clear" w:color="auto" w:fill="FFFFFF"/>
        <w:rPr>
          <w:rFonts w:ascii="微软雅黑" w:hAnsi="微软雅黑" w:eastAsia="微软雅黑" w:cs="微软雅黑"/>
          <w:b/>
          <w:sz w:val="24"/>
          <w:szCs w:val="24"/>
        </w:rPr>
      </w:pPr>
      <w:r>
        <w:rPr>
          <w:rFonts w:hint="eastAsia" w:ascii="微软雅黑" w:hAnsi="微软雅黑" w:eastAsia="微软雅黑" w:cs="微软雅黑"/>
          <w:b/>
          <w:sz w:val="24"/>
          <w:szCs w:val="24"/>
        </w:rPr>
        <w:t>1.项目名称：</w:t>
      </w:r>
      <w:r>
        <w:rPr>
          <w:rFonts w:hint="eastAsia" w:ascii="微软雅黑" w:hAnsi="微软雅黑" w:eastAsia="微软雅黑" w:cs="微软雅黑"/>
          <w:b/>
          <w:kern w:val="0"/>
          <w:sz w:val="28"/>
          <w:szCs w:val="28"/>
        </w:rPr>
        <w:t>2025年度电解铝业务部厂区四害消杀服务项目</w:t>
      </w:r>
    </w:p>
    <w:p w14:paraId="3C407E49">
      <w:pPr>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2.项目概况与招标范围</w:t>
      </w:r>
    </w:p>
    <w:p w14:paraId="1218A29B">
      <w:pPr>
        <w:spacing w:line="440" w:lineRule="exact"/>
        <w:rPr>
          <w:rFonts w:ascii="微软雅黑" w:hAnsi="微软雅黑" w:eastAsia="微软雅黑" w:cs="微软雅黑"/>
          <w:sz w:val="24"/>
          <w:szCs w:val="24"/>
        </w:rPr>
      </w:pPr>
      <w:r>
        <w:rPr>
          <w:rFonts w:hint="eastAsia" w:ascii="微软雅黑" w:hAnsi="微软雅黑" w:eastAsia="微软雅黑" w:cs="微软雅黑"/>
          <w:sz w:val="24"/>
          <w:szCs w:val="24"/>
        </w:rPr>
        <w:t>2.1</w:t>
      </w:r>
      <w:r>
        <w:rPr>
          <w:rFonts w:hint="eastAsia" w:ascii="微软雅黑" w:hAnsi="微软雅黑" w:eastAsia="微软雅黑" w:cs="微软雅黑"/>
          <w:color w:val="000000"/>
          <w:sz w:val="24"/>
          <w:szCs w:val="24"/>
        </w:rPr>
        <w:t>项目概</w:t>
      </w:r>
      <w:r>
        <w:rPr>
          <w:rFonts w:hint="eastAsia" w:ascii="微软雅黑" w:hAnsi="微软雅黑" w:eastAsia="微软雅黑" w:cs="微软雅黑"/>
          <w:sz w:val="24"/>
          <w:szCs w:val="24"/>
        </w:rPr>
        <w:t>况：</w:t>
      </w:r>
    </w:p>
    <w:p w14:paraId="3060D9A7">
      <w:pPr>
        <w:spacing w:line="440" w:lineRule="exact"/>
        <w:ind w:firstLine="480" w:firstLineChars="200"/>
        <w:rPr>
          <w:rFonts w:ascii="微软雅黑" w:hAnsi="微软雅黑" w:eastAsia="微软雅黑" w:cs="Times New Roman"/>
          <w:sz w:val="24"/>
          <w:szCs w:val="28"/>
        </w:rPr>
      </w:pPr>
      <w:r>
        <w:rPr>
          <w:rFonts w:hint="eastAsia" w:ascii="微软雅黑" w:hAnsi="微软雅黑" w:eastAsia="微软雅黑" w:cs="微软雅黑"/>
          <w:sz w:val="24"/>
        </w:rPr>
        <w:t>吉利百矿集团电解铝业务部下辖四个电解铝厂，分别是广西百矿铝业有限公司（以下简称“田阳铝厂”）、广西德保百矿铝业有限公司（以下简称“德保铝厂”）及广西隆林百矿铝业有限公司（以下简称“隆林铝厂”）。广西田林百矿铝业有限公司（以下简称“田林铝厂”），其中，田阳铝厂位于广西百色市田阳区头塘镇；德保铝厂位于百色市德保县城关镇；隆林铝厂位于百色市隆林各族自治县平班镇母姑村下寨屯（登高工业园区内）。田林铝厂位于百色市田林县旧州镇百矿集团经济产业园东南侧230米。现就2024年电解铝业务部厂区四害消杀服务采购项目进行招标，欢迎有实力的公司参与此次招标活动。</w:t>
      </w:r>
    </w:p>
    <w:p w14:paraId="0057B1C8">
      <w:pPr>
        <w:spacing w:line="440" w:lineRule="exact"/>
        <w:rPr>
          <w:rFonts w:ascii="微软雅黑" w:hAnsi="微软雅黑" w:eastAsia="微软雅黑" w:cs="微软雅黑"/>
          <w:sz w:val="24"/>
          <w:szCs w:val="24"/>
        </w:rPr>
      </w:pPr>
      <w:r>
        <w:rPr>
          <w:rFonts w:hint="eastAsia" w:ascii="微软雅黑" w:hAnsi="微软雅黑" w:eastAsia="微软雅黑" w:cs="微软雅黑"/>
          <w:sz w:val="24"/>
          <w:szCs w:val="24"/>
        </w:rPr>
        <w:t>2.2招标范围：</w:t>
      </w:r>
    </w:p>
    <w:tbl>
      <w:tblPr>
        <w:tblStyle w:val="6"/>
        <w:tblpPr w:leftFromText="180" w:rightFromText="180" w:vertAnchor="text" w:tblpXSpec="center" w:tblpY="1"/>
        <w:tblOverlap w:val="never"/>
        <w:tblW w:w="10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664"/>
        <w:gridCol w:w="4330"/>
        <w:gridCol w:w="900"/>
        <w:gridCol w:w="840"/>
        <w:gridCol w:w="1860"/>
      </w:tblGrid>
      <w:tr w14:paraId="20B5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778DB8D6">
            <w:pPr>
              <w:tabs>
                <w:tab w:val="left" w:pos="270"/>
                <w:tab w:val="center" w:pos="1394"/>
              </w:tabs>
              <w:spacing w:line="440" w:lineRule="exact"/>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1664" w:type="dxa"/>
            <w:vAlign w:val="center"/>
          </w:tcPr>
          <w:p w14:paraId="7FD4B57B">
            <w:pPr>
              <w:tabs>
                <w:tab w:val="left" w:pos="270"/>
                <w:tab w:val="center" w:pos="1394"/>
              </w:tabs>
              <w:spacing w:line="440" w:lineRule="exact"/>
              <w:jc w:val="center"/>
              <w:rPr>
                <w:rFonts w:ascii="微软雅黑" w:hAnsi="微软雅黑" w:eastAsia="微软雅黑" w:cs="微软雅黑"/>
                <w:sz w:val="24"/>
              </w:rPr>
            </w:pPr>
            <w:r>
              <w:rPr>
                <w:rFonts w:hint="eastAsia" w:ascii="微软雅黑" w:hAnsi="微软雅黑" w:eastAsia="微软雅黑" w:cs="微软雅黑"/>
                <w:sz w:val="24"/>
              </w:rPr>
              <w:t>标段</w:t>
            </w:r>
          </w:p>
        </w:tc>
        <w:tc>
          <w:tcPr>
            <w:tcW w:w="4330" w:type="dxa"/>
            <w:vAlign w:val="center"/>
          </w:tcPr>
          <w:p w14:paraId="3A8B2188">
            <w:pPr>
              <w:spacing w:line="440" w:lineRule="exact"/>
              <w:ind w:left="-120" w:leftChars="-57" w:right="-107" w:rightChars="-51"/>
              <w:jc w:val="center"/>
              <w:rPr>
                <w:rFonts w:ascii="微软雅黑" w:hAnsi="微软雅黑" w:eastAsia="微软雅黑" w:cs="微软雅黑"/>
                <w:sz w:val="24"/>
              </w:rPr>
            </w:pPr>
            <w:r>
              <w:rPr>
                <w:rFonts w:hint="eastAsia" w:ascii="微软雅黑" w:hAnsi="微软雅黑" w:eastAsia="微软雅黑" w:cs="微软雅黑"/>
                <w:sz w:val="24"/>
              </w:rPr>
              <w:t>名称</w:t>
            </w:r>
          </w:p>
        </w:tc>
        <w:tc>
          <w:tcPr>
            <w:tcW w:w="900" w:type="dxa"/>
            <w:vAlign w:val="center"/>
          </w:tcPr>
          <w:p w14:paraId="4D1BA64E">
            <w:pPr>
              <w:spacing w:line="440" w:lineRule="exact"/>
              <w:ind w:left="-120" w:leftChars="-57" w:right="-107" w:rightChars="-51"/>
              <w:jc w:val="center"/>
              <w:rPr>
                <w:rFonts w:ascii="微软雅黑" w:hAnsi="微软雅黑" w:eastAsia="微软雅黑" w:cs="微软雅黑"/>
                <w:sz w:val="24"/>
              </w:rPr>
            </w:pPr>
            <w:r>
              <w:rPr>
                <w:rFonts w:hint="eastAsia" w:ascii="微软雅黑" w:hAnsi="微软雅黑" w:eastAsia="微软雅黑" w:cs="微软雅黑"/>
                <w:sz w:val="24"/>
              </w:rPr>
              <w:t>单位</w:t>
            </w:r>
          </w:p>
        </w:tc>
        <w:tc>
          <w:tcPr>
            <w:tcW w:w="840" w:type="dxa"/>
            <w:vAlign w:val="center"/>
          </w:tcPr>
          <w:p w14:paraId="54A05EC2">
            <w:pPr>
              <w:spacing w:line="440" w:lineRule="exact"/>
              <w:jc w:val="center"/>
              <w:rPr>
                <w:rFonts w:ascii="微软雅黑" w:hAnsi="微软雅黑" w:eastAsia="微软雅黑" w:cs="微软雅黑"/>
                <w:sz w:val="24"/>
              </w:rPr>
            </w:pPr>
            <w:r>
              <w:rPr>
                <w:rFonts w:hint="eastAsia" w:ascii="微软雅黑" w:hAnsi="微软雅黑" w:eastAsia="微软雅黑" w:cs="微软雅黑"/>
                <w:sz w:val="24"/>
              </w:rPr>
              <w:t>数量</w:t>
            </w:r>
          </w:p>
        </w:tc>
        <w:tc>
          <w:tcPr>
            <w:tcW w:w="1860" w:type="dxa"/>
            <w:vAlign w:val="center"/>
          </w:tcPr>
          <w:p w14:paraId="05403BB2">
            <w:pPr>
              <w:spacing w:line="440" w:lineRule="exact"/>
              <w:jc w:val="center"/>
              <w:rPr>
                <w:rFonts w:ascii="微软雅黑" w:hAnsi="微软雅黑" w:eastAsia="微软雅黑" w:cs="微软雅黑"/>
                <w:sz w:val="24"/>
              </w:rPr>
            </w:pPr>
            <w:r>
              <w:rPr>
                <w:rFonts w:hint="eastAsia" w:ascii="微软雅黑" w:hAnsi="微软雅黑" w:eastAsia="微软雅黑" w:cs="微软雅黑"/>
                <w:sz w:val="24"/>
              </w:rPr>
              <w:t>备注</w:t>
            </w:r>
          </w:p>
        </w:tc>
      </w:tr>
      <w:tr w14:paraId="51DE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vAlign w:val="center"/>
          </w:tcPr>
          <w:p w14:paraId="4B750643">
            <w:pPr>
              <w:spacing w:line="44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664" w:type="dxa"/>
            <w:vAlign w:val="center"/>
          </w:tcPr>
          <w:p w14:paraId="08CAA77D">
            <w:pPr>
              <w:spacing w:line="440" w:lineRule="exact"/>
              <w:jc w:val="center"/>
              <w:rPr>
                <w:rFonts w:ascii="微软雅黑" w:hAnsi="微软雅黑" w:eastAsia="微软雅黑" w:cs="微软雅黑"/>
                <w:bCs/>
                <w:sz w:val="24"/>
                <w:szCs w:val="24"/>
              </w:rPr>
            </w:pPr>
            <w:r>
              <w:rPr>
                <w:rFonts w:hint="eastAsia" w:ascii="微软雅黑" w:hAnsi="微软雅黑" w:eastAsia="微软雅黑" w:cs="微软雅黑"/>
                <w:bCs/>
                <w:sz w:val="24"/>
                <w:szCs w:val="24"/>
              </w:rPr>
              <w:t>标段一</w:t>
            </w:r>
          </w:p>
        </w:tc>
        <w:tc>
          <w:tcPr>
            <w:tcW w:w="4330" w:type="dxa"/>
            <w:vAlign w:val="center"/>
          </w:tcPr>
          <w:p w14:paraId="07765456">
            <w:pPr>
              <w:spacing w:line="440" w:lineRule="exact"/>
              <w:jc w:val="center"/>
              <w:rPr>
                <w:rFonts w:ascii="微软雅黑" w:hAnsi="微软雅黑" w:eastAsia="微软雅黑" w:cs="微软雅黑"/>
                <w:sz w:val="24"/>
                <w:szCs w:val="24"/>
              </w:rPr>
            </w:pPr>
            <w:r>
              <w:rPr>
                <w:rFonts w:ascii="微软雅黑" w:hAnsi="微软雅黑" w:eastAsia="微软雅黑" w:cs="微软雅黑"/>
                <w:sz w:val="24"/>
                <w:szCs w:val="24"/>
              </w:rPr>
              <w:t>202</w:t>
            </w:r>
            <w:r>
              <w:rPr>
                <w:rFonts w:hint="eastAsia" w:ascii="微软雅黑" w:hAnsi="微软雅黑" w:eastAsia="微软雅黑" w:cs="微软雅黑"/>
                <w:sz w:val="24"/>
                <w:szCs w:val="24"/>
              </w:rPr>
              <w:t>5</w:t>
            </w:r>
            <w:r>
              <w:rPr>
                <w:rFonts w:ascii="微软雅黑" w:hAnsi="微软雅黑" w:eastAsia="微软雅黑" w:cs="微软雅黑"/>
                <w:sz w:val="24"/>
                <w:szCs w:val="24"/>
              </w:rPr>
              <w:t>年电解铝业务部厂区四害消杀服务</w:t>
            </w:r>
            <w:r>
              <w:rPr>
                <w:rFonts w:hint="eastAsia" w:ascii="微软雅黑" w:hAnsi="微软雅黑" w:eastAsia="微软雅黑" w:cs="微软雅黑"/>
                <w:sz w:val="24"/>
                <w:szCs w:val="24"/>
              </w:rPr>
              <w:t>项目</w:t>
            </w:r>
          </w:p>
        </w:tc>
        <w:tc>
          <w:tcPr>
            <w:tcW w:w="900" w:type="dxa"/>
            <w:vAlign w:val="center"/>
          </w:tcPr>
          <w:p w14:paraId="3B2245A6">
            <w:pPr>
              <w:spacing w:line="440" w:lineRule="exact"/>
              <w:jc w:val="center"/>
            </w:pPr>
            <w:r>
              <w:rPr>
                <w:rFonts w:hint="eastAsia" w:ascii="微软雅黑" w:hAnsi="微软雅黑" w:eastAsia="微软雅黑" w:cs="微软雅黑"/>
                <w:sz w:val="24"/>
                <w:szCs w:val="24"/>
              </w:rPr>
              <w:t>批</w:t>
            </w:r>
          </w:p>
        </w:tc>
        <w:tc>
          <w:tcPr>
            <w:tcW w:w="840" w:type="dxa"/>
            <w:vAlign w:val="center"/>
          </w:tcPr>
          <w:p w14:paraId="2B919595">
            <w:pPr>
              <w:pStyle w:val="3"/>
              <w:ind w:firstLine="0" w:firstLineChars="0"/>
              <w:jc w:val="center"/>
              <w:rPr>
                <w:rFonts w:ascii="微软雅黑" w:hAnsi="微软雅黑" w:eastAsia="微软雅黑" w:cs="微软雅黑"/>
                <w:sz w:val="22"/>
                <w:szCs w:val="24"/>
              </w:rPr>
            </w:pPr>
            <w:r>
              <w:rPr>
                <w:rFonts w:hint="eastAsia" w:ascii="微软雅黑" w:hAnsi="微软雅黑" w:eastAsia="微软雅黑" w:cs="微软雅黑"/>
                <w:sz w:val="22"/>
                <w:szCs w:val="24"/>
              </w:rPr>
              <w:t>1</w:t>
            </w:r>
          </w:p>
        </w:tc>
        <w:tc>
          <w:tcPr>
            <w:tcW w:w="1860" w:type="dxa"/>
            <w:vAlign w:val="center"/>
          </w:tcPr>
          <w:p w14:paraId="5AFBBFC6">
            <w:pPr>
              <w:pStyle w:val="3"/>
              <w:ind w:firstLine="0" w:firstLineChars="0"/>
              <w:jc w:val="center"/>
              <w:rPr>
                <w:rFonts w:ascii="微软雅黑" w:hAnsi="微软雅黑" w:eastAsia="微软雅黑" w:cs="微软雅黑"/>
                <w:sz w:val="22"/>
                <w:szCs w:val="24"/>
              </w:rPr>
            </w:pPr>
            <w:r>
              <w:rPr>
                <w:rFonts w:hint="eastAsia" w:ascii="微软雅黑" w:hAnsi="微软雅黑" w:eastAsia="微软雅黑" w:cs="微软雅黑"/>
                <w:sz w:val="22"/>
                <w:szCs w:val="24"/>
              </w:rPr>
              <w:t>详见按技术要求</w:t>
            </w:r>
          </w:p>
        </w:tc>
      </w:tr>
    </w:tbl>
    <w:p w14:paraId="3D17FD16">
      <w:pPr>
        <w:spacing w:line="440" w:lineRule="exact"/>
        <w:rPr>
          <w:rFonts w:ascii="微软雅黑" w:hAnsi="微软雅黑" w:eastAsia="微软雅黑" w:cs="微软雅黑"/>
          <w:sz w:val="24"/>
          <w:szCs w:val="24"/>
        </w:rPr>
      </w:pPr>
      <w:r>
        <w:rPr>
          <w:rFonts w:hint="eastAsia" w:ascii="微软雅黑" w:hAnsi="微软雅黑" w:eastAsia="微软雅黑" w:cs="微软雅黑"/>
          <w:sz w:val="24"/>
          <w:szCs w:val="24"/>
        </w:rPr>
        <w:t>2.3服务地点</w:t>
      </w:r>
    </w:p>
    <w:p w14:paraId="17D030A5">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百色市田阳区头塘镇广西百矿铝业有限公司；</w:t>
      </w:r>
    </w:p>
    <w:p w14:paraId="1822ACF5">
      <w:pPr>
        <w:spacing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百色市德保县城关镇广西德保百矿铝业有限公司；</w:t>
      </w:r>
    </w:p>
    <w:p w14:paraId="1368EF8A">
      <w:pPr>
        <w:spacing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rPr>
        <w:t>百色市隆林各族自治县平班镇母姑村下寨屯（登高工业园区内）广西隆林百矿铝业有限公司</w:t>
      </w:r>
      <w:r>
        <w:rPr>
          <w:rFonts w:hint="eastAsia" w:ascii="微软雅黑" w:hAnsi="微软雅黑" w:eastAsia="微软雅黑" w:cs="微软雅黑"/>
          <w:sz w:val="24"/>
          <w:szCs w:val="24"/>
        </w:rPr>
        <w:t>。</w:t>
      </w:r>
    </w:p>
    <w:p w14:paraId="592CEDA3">
      <w:pPr>
        <w:pStyle w:val="2"/>
        <w:ind w:firstLine="480" w:firstLineChars="200"/>
        <w:rPr>
          <w:rFonts w:ascii="微软雅黑" w:hAnsi="微软雅黑" w:eastAsia="微软雅黑" w:cs="微软雅黑"/>
          <w:color w:val="auto"/>
        </w:rPr>
      </w:pPr>
      <w:r>
        <w:rPr>
          <w:rFonts w:hint="eastAsia" w:ascii="微软雅黑" w:hAnsi="微软雅黑" w:eastAsia="微软雅黑" w:cs="微软雅黑"/>
          <w:color w:val="auto"/>
        </w:rPr>
        <w:t>百色市田林县旧州镇百矿集团经济产业园东南侧230米。</w:t>
      </w:r>
    </w:p>
    <w:p w14:paraId="0547E9C0">
      <w:pPr>
        <w:pStyle w:val="2"/>
        <w:rPr>
          <w:rFonts w:ascii="微软雅黑" w:hAnsi="微软雅黑" w:eastAsia="微软雅黑" w:cs="微软雅黑"/>
          <w:color w:val="auto"/>
        </w:rPr>
      </w:pPr>
      <w:r>
        <w:rPr>
          <w:rFonts w:hint="eastAsia" w:ascii="微软雅黑" w:hAnsi="微软雅黑" w:eastAsia="微软雅黑" w:cs="微软雅黑"/>
          <w:color w:val="auto"/>
        </w:rPr>
        <w:t>2.4服务时间：1年</w:t>
      </w:r>
    </w:p>
    <w:p w14:paraId="45807A62">
      <w:pPr>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3.投标人资格要求</w:t>
      </w:r>
    </w:p>
    <w:p w14:paraId="45E711C3">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本次招标要求投标人具备以下资质。</w:t>
      </w:r>
    </w:p>
    <w:p w14:paraId="58F5A2F5">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3.1、在中国境内注册，有独立法人资格和承担民事责任的能力。</w:t>
      </w:r>
    </w:p>
    <w:p w14:paraId="683CCF17">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3.2、投标方营业执照包含灭四害消杀等相关经营范围，近3年不少于2个四害消杀服务业绩（业绩须附列表及对应列表的合同原件扫描件。合同原件扫描件含首尾页、能反应合同主体内容、签字盖章页，否则按无效业绩处理）。</w:t>
      </w:r>
    </w:p>
    <w:p w14:paraId="3D62F6B3">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3.3、近年来有较好业绩且无不良行为记录。</w:t>
      </w:r>
    </w:p>
    <w:p w14:paraId="13B20A04">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3.4、具有良好的商业信誉和健全的财务会计制度，提供经第三方审计的近三年财务审计报告或税务系统下载的企业年度财务报表（申报系统上导出的资产负债表、利润表/损益表、现金流量表）；</w:t>
      </w:r>
    </w:p>
    <w:p w14:paraId="76C9719D">
      <w:pPr>
        <w:spacing w:line="440" w:lineRule="exact"/>
      </w:pPr>
      <w:r>
        <w:rPr>
          <w:rFonts w:hint="eastAsia" w:ascii="微软雅黑" w:hAnsi="微软雅黑" w:eastAsia="微软雅黑" w:cs="微软雅黑"/>
          <w:bCs/>
          <w:sz w:val="24"/>
          <w:szCs w:val="24"/>
        </w:rPr>
        <w:t>3.5、本次招标不接受分包/转包。</w:t>
      </w:r>
    </w:p>
    <w:p w14:paraId="4501C863">
      <w:pPr>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4.投标报名</w:t>
      </w:r>
    </w:p>
    <w:p w14:paraId="33BAB31B">
      <w:pPr>
        <w:spacing w:line="440" w:lineRule="exact"/>
        <w:rPr>
          <w:rFonts w:ascii="微软雅黑" w:hAnsi="微软雅黑" w:eastAsia="微软雅黑" w:cs="微软雅黑"/>
          <w:b/>
          <w:bCs/>
          <w:sz w:val="24"/>
          <w:szCs w:val="24"/>
        </w:rPr>
      </w:pPr>
      <w:r>
        <w:rPr>
          <w:rFonts w:hint="eastAsia" w:ascii="微软雅黑" w:hAnsi="微软雅黑" w:eastAsia="微软雅黑" w:cs="微软雅黑"/>
          <w:b/>
          <w:bCs/>
          <w:sz w:val="24"/>
          <w:szCs w:val="24"/>
        </w:rPr>
        <w:t>4.1报名方式</w:t>
      </w:r>
    </w:p>
    <w:p w14:paraId="039891E9">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4.1.1 *凡有意参加报名的投标人，请至吉利控股集团招标采购平台</w:t>
      </w:r>
      <w:r>
        <w:rPr>
          <w:rStyle w:val="8"/>
          <w:rFonts w:hint="eastAsia" w:ascii="微软雅黑" w:hAnsi="微软雅黑" w:eastAsia="微软雅黑" w:cs="微软雅黑"/>
          <w:color w:val="454D54"/>
          <w:sz w:val="24"/>
          <w:szCs w:val="24"/>
        </w:rPr>
        <w:t>（</w:t>
      </w:r>
      <w:r>
        <w:rPr>
          <w:rFonts w:hint="eastAsia" w:ascii="微软雅黑" w:hAnsi="微软雅黑" w:eastAsia="微软雅黑" w:cs="微软雅黑"/>
          <w:bCs/>
          <w:sz w:val="24"/>
          <w:szCs w:val="24"/>
        </w:rPr>
        <w:t>glzb.geely.com</w:t>
      </w:r>
      <w:r>
        <w:rPr>
          <w:rStyle w:val="8"/>
          <w:rFonts w:hint="eastAsia" w:ascii="微软雅黑" w:hAnsi="微软雅黑" w:eastAsia="微软雅黑" w:cs="微软雅黑"/>
          <w:color w:val="454D54"/>
          <w:sz w:val="24"/>
          <w:szCs w:val="24"/>
        </w:rPr>
        <w:t>）</w:t>
      </w:r>
      <w:r>
        <w:rPr>
          <w:rFonts w:hint="eastAsia" w:ascii="微软雅黑" w:hAnsi="微软雅黑" w:eastAsia="微软雅黑" w:cs="微软雅黑"/>
          <w:bCs/>
          <w:sz w:val="24"/>
          <w:szCs w:val="24"/>
        </w:rPr>
        <w:t>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报名的，视作无效报名。</w:t>
      </w:r>
    </w:p>
    <w:p w14:paraId="2BE32683">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4.1.2 *报名截止时间：</w:t>
      </w:r>
      <w:r>
        <w:rPr>
          <w:rFonts w:hint="eastAsia" w:ascii="微软雅黑" w:hAnsi="微软雅黑" w:eastAsia="微软雅黑" w:cs="微软雅黑"/>
          <w:b/>
          <w:sz w:val="24"/>
          <w:szCs w:val="24"/>
        </w:rPr>
        <w:t>2025年</w:t>
      </w:r>
      <w:r>
        <w:rPr>
          <w:rFonts w:hint="eastAsia" w:ascii="微软雅黑" w:hAnsi="微软雅黑" w:eastAsia="微软雅黑" w:cs="微软雅黑"/>
          <w:b/>
          <w:sz w:val="24"/>
          <w:szCs w:val="24"/>
          <w:u w:val="single"/>
        </w:rPr>
        <w:t xml:space="preserve"> 8</w:t>
      </w:r>
      <w:r>
        <w:rPr>
          <w:rFonts w:hint="eastAsia" w:ascii="微软雅黑" w:hAnsi="微软雅黑" w:eastAsia="微软雅黑" w:cs="微软雅黑"/>
          <w:b/>
          <w:sz w:val="24"/>
          <w:szCs w:val="24"/>
        </w:rPr>
        <w:t>月</w:t>
      </w:r>
      <w:r>
        <w:rPr>
          <w:rFonts w:ascii="微软雅黑" w:hAnsi="微软雅黑" w:eastAsia="微软雅黑" w:cs="微软雅黑"/>
          <w:b/>
          <w:sz w:val="24"/>
          <w:szCs w:val="24"/>
          <w:u w:val="single"/>
        </w:rPr>
        <w:t>4</w:t>
      </w:r>
      <w:r>
        <w:rPr>
          <w:rFonts w:hint="eastAsia" w:ascii="微软雅黑" w:hAnsi="微软雅黑" w:eastAsia="微软雅黑" w:cs="微软雅黑"/>
          <w:b/>
          <w:sz w:val="24"/>
          <w:szCs w:val="24"/>
        </w:rPr>
        <w:t>日</w:t>
      </w:r>
      <w:r>
        <w:rPr>
          <w:rFonts w:hint="eastAsia" w:ascii="微软雅黑" w:hAnsi="微软雅黑" w:eastAsia="微软雅黑" w:cs="微软雅黑"/>
          <w:bCs/>
          <w:sz w:val="24"/>
          <w:szCs w:val="24"/>
        </w:rPr>
        <w:t>。</w:t>
      </w:r>
    </w:p>
    <w:p w14:paraId="66777737">
      <w:pPr>
        <w:spacing w:line="440" w:lineRule="exact"/>
        <w:rPr>
          <w:rFonts w:ascii="微软雅黑" w:hAnsi="微软雅黑" w:eastAsia="微软雅黑" w:cs="微软雅黑"/>
          <w:b/>
          <w:bCs/>
          <w:sz w:val="24"/>
          <w:szCs w:val="24"/>
        </w:rPr>
      </w:pPr>
      <w:r>
        <w:rPr>
          <w:rFonts w:hint="eastAsia" w:ascii="微软雅黑" w:hAnsi="微软雅黑" w:eastAsia="微软雅黑" w:cs="微软雅黑"/>
          <w:b/>
          <w:bCs/>
          <w:sz w:val="24"/>
          <w:szCs w:val="24"/>
        </w:rPr>
        <w:t>4.2报名资料</w:t>
      </w:r>
    </w:p>
    <w:p w14:paraId="2C7D72EF">
      <w:pPr>
        <w:pStyle w:val="2"/>
        <w:rPr>
          <w:rFonts w:ascii="微软雅黑" w:hAnsi="微软雅黑" w:eastAsia="微软雅黑" w:cs="微软雅黑"/>
          <w:kern w:val="2"/>
        </w:rPr>
      </w:pPr>
      <w:r>
        <w:rPr>
          <w:rFonts w:hint="eastAsia" w:ascii="微软雅黑" w:hAnsi="微软雅黑" w:eastAsia="微软雅黑" w:cs="微软雅黑"/>
          <w:kern w:val="2"/>
        </w:rPr>
        <w:t>投标人须提供的报名资料包括：</w:t>
      </w:r>
    </w:p>
    <w:p w14:paraId="0D924E16">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4.2.1三证合一的营业执</w:t>
      </w:r>
      <w:r>
        <w:rPr>
          <w:rFonts w:hint="eastAsia" w:ascii="微软雅黑" w:hAnsi="微软雅黑" w:eastAsia="微软雅黑" w:cs="微软雅黑"/>
          <w:kern w:val="0"/>
          <w:sz w:val="24"/>
          <w:szCs w:val="24"/>
        </w:rPr>
        <w:t>照副本(有效期内)；</w:t>
      </w:r>
    </w:p>
    <w:p w14:paraId="023CA2C1">
      <w:pPr>
        <w:spacing w:line="440" w:lineRule="exact"/>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sz w:val="24"/>
          <w:szCs w:val="24"/>
        </w:rPr>
        <w:t>4.2.2</w:t>
      </w:r>
      <w:r>
        <w:rPr>
          <w:rFonts w:hint="eastAsia" w:ascii="微软雅黑" w:hAnsi="微软雅黑" w:eastAsia="微软雅黑" w:cs="微软雅黑"/>
          <w:bCs/>
          <w:color w:val="000000" w:themeColor="text1"/>
          <w:sz w:val="24"/>
          <w:szCs w:val="24"/>
          <w14:textFill>
            <w14:solidFill>
              <w14:schemeClr w14:val="tx1"/>
            </w14:solidFill>
          </w14:textFill>
        </w:rPr>
        <w:t>类似项目业绩证明及证明材料（提供合同扫描件，涉及机密部分可隐去）；</w:t>
      </w:r>
    </w:p>
    <w:p w14:paraId="41AE1E11">
      <w:pPr>
        <w:spacing w:line="440" w:lineRule="exact"/>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sz w:val="24"/>
          <w:szCs w:val="24"/>
        </w:rPr>
        <w:t>4.2.3经第三方审计的近三年财务审计报告或税务系统下载的企业年度财务报表（申报系统上导出的资产负债表、利润表/损益表、现金流量表）</w:t>
      </w:r>
      <w:r>
        <w:rPr>
          <w:rFonts w:hint="eastAsia" w:ascii="微软雅黑" w:hAnsi="微软雅黑" w:eastAsia="微软雅黑" w:cs="微软雅黑"/>
          <w:bCs/>
          <w:color w:val="000000" w:themeColor="text1"/>
          <w:sz w:val="24"/>
          <w:szCs w:val="24"/>
          <w14:textFill>
            <w14:solidFill>
              <w14:schemeClr w14:val="tx1"/>
            </w14:solidFill>
          </w14:textFill>
        </w:rPr>
        <w:t xml:space="preserve">； </w:t>
      </w:r>
    </w:p>
    <w:p w14:paraId="0EB7318D">
      <w:pPr>
        <w:spacing w:line="440" w:lineRule="exact"/>
        <w:rPr>
          <w:rFonts w:ascii="微软雅黑" w:hAnsi="微软雅黑" w:eastAsia="微软雅黑" w:cs="微软雅黑"/>
        </w:rPr>
      </w:pPr>
      <w:r>
        <w:rPr>
          <w:rFonts w:hint="eastAsia" w:ascii="微软雅黑" w:hAnsi="微软雅黑" w:eastAsia="微软雅黑" w:cs="微软雅黑"/>
          <w:bCs/>
          <w:sz w:val="24"/>
          <w:szCs w:val="24"/>
        </w:rPr>
        <w:t>4.2.4</w:t>
      </w:r>
      <w:r>
        <w:rPr>
          <w:rFonts w:hint="eastAsia" w:ascii="微软雅黑" w:hAnsi="微软雅黑" w:eastAsia="微软雅黑" w:cs="微软雅黑"/>
          <w:bCs/>
          <w:color w:val="000000" w:themeColor="text1"/>
          <w:sz w:val="24"/>
          <w:szCs w:val="24"/>
          <w14:textFill>
            <w14:solidFill>
              <w14:schemeClr w14:val="tx1"/>
            </w14:solidFill>
          </w14:textFill>
        </w:rPr>
        <w:t>法人授权委托书、被委托人身份证原件及复印件；</w:t>
      </w:r>
    </w:p>
    <w:p w14:paraId="11BCC9EE">
      <w:pPr>
        <w:adjustRightInd w:val="0"/>
        <w:snapToGrid w:val="0"/>
        <w:rPr>
          <w:rFonts w:ascii="微软雅黑" w:hAnsi="微软雅黑" w:eastAsia="微软雅黑" w:cs="微软雅黑"/>
          <w:b/>
          <w:sz w:val="24"/>
          <w:szCs w:val="24"/>
        </w:rPr>
      </w:pPr>
      <w:r>
        <w:rPr>
          <w:rFonts w:hint="eastAsia" w:ascii="微软雅黑" w:hAnsi="微软雅黑" w:eastAsia="微软雅黑" w:cs="微软雅黑"/>
          <w:b/>
          <w:sz w:val="24"/>
          <w:szCs w:val="24"/>
        </w:rPr>
        <w:t>4.3提交材料要求</w:t>
      </w:r>
    </w:p>
    <w:p w14:paraId="2783F867">
      <w:pPr>
        <w:adjustRightInd w:val="0"/>
        <w:snapToGrid w:val="0"/>
        <w:rPr>
          <w:rFonts w:ascii="微软雅黑" w:hAnsi="微软雅黑" w:eastAsia="微软雅黑" w:cs="微软雅黑"/>
          <w:bCs/>
          <w:sz w:val="24"/>
          <w:szCs w:val="24"/>
        </w:rPr>
      </w:pPr>
      <w:r>
        <w:rPr>
          <w:rFonts w:hint="eastAsia" w:ascii="微软雅黑" w:hAnsi="微软雅黑" w:eastAsia="微软雅黑" w:cs="微软雅黑"/>
          <w:bCs/>
          <w:sz w:val="24"/>
          <w:szCs w:val="24"/>
        </w:rPr>
        <w:t>a、合同请扫描成一份PDF文件，严禁将合同分成一张张图片上传；</w:t>
      </w:r>
    </w:p>
    <w:p w14:paraId="2CBBE982">
      <w:pPr>
        <w:adjustRightInd w:val="0"/>
        <w:snapToGrid w:val="0"/>
        <w:rPr>
          <w:rFonts w:ascii="微软雅黑" w:hAnsi="微软雅黑" w:eastAsia="微软雅黑" w:cs="微软雅黑"/>
          <w:bCs/>
          <w:sz w:val="24"/>
          <w:szCs w:val="24"/>
        </w:rPr>
      </w:pPr>
      <w:r>
        <w:rPr>
          <w:rFonts w:hint="eastAsia" w:ascii="微软雅黑" w:hAnsi="微软雅黑" w:eastAsia="微软雅黑" w:cs="微软雅黑"/>
          <w:bCs/>
          <w:sz w:val="24"/>
          <w:szCs w:val="24"/>
        </w:rPr>
        <w:t>b、请提供合同原件扫描件、合同扫描件需体现合作对象、合作时间、服务内容等信息（价格部分可隐藏）；</w:t>
      </w:r>
    </w:p>
    <w:p w14:paraId="38FACB5A">
      <w:pPr>
        <w:adjustRightInd w:val="0"/>
        <w:snapToGrid w:val="0"/>
        <w:rPr>
          <w:rFonts w:ascii="微软雅黑" w:hAnsi="微软雅黑" w:eastAsia="微软雅黑" w:cs="微软雅黑"/>
          <w:bCs/>
          <w:sz w:val="24"/>
          <w:szCs w:val="24"/>
        </w:rPr>
      </w:pPr>
      <w:r>
        <w:rPr>
          <w:rFonts w:hint="eastAsia" w:ascii="微软雅黑" w:hAnsi="微软雅黑" w:eastAsia="微软雅黑" w:cs="微软雅黑"/>
          <w:bCs/>
          <w:sz w:val="24"/>
          <w:szCs w:val="24"/>
        </w:rPr>
        <w:t>c、合同扫描件请命名：XXXX公司+与XXXX公司合作合同（合同内容：XXX，机组装机容量：XXX），如：广西百矿铝业有限公司+与广西百色银海发电有限公司合作合同（合同内容：XXX；）；</w:t>
      </w:r>
    </w:p>
    <w:p w14:paraId="3E5D9E85">
      <w:pPr>
        <w:adjustRightInd w:val="0"/>
        <w:snapToGrid w:val="0"/>
        <w:rPr>
          <w:rFonts w:ascii="微软雅黑" w:hAnsi="微软雅黑" w:eastAsia="微软雅黑" w:cs="微软雅黑"/>
          <w:bCs/>
          <w:sz w:val="24"/>
          <w:szCs w:val="24"/>
        </w:rPr>
      </w:pPr>
      <w:r>
        <w:rPr>
          <w:rFonts w:hint="eastAsia" w:ascii="微软雅黑" w:hAnsi="微软雅黑" w:eastAsia="微软雅黑" w:cs="微软雅黑"/>
          <w:bCs/>
          <w:sz w:val="24"/>
          <w:szCs w:val="24"/>
        </w:rPr>
        <w:t>备注：1、请供应商务必按照要求提交业绩材料，如因供应商提交的材料不符合要求而造成供应商被淘汰，招标方不承担任何责任。以上资料扫描命名打包，报名资料需在报名截止时间前上传，逾期报名无效。2、投标人若主动放弃投标(含末提交资料、未缴保证金、主动放弃等)截止前向招标人提供书面声明放弃文件，表明意愿及原因，并加盖公章。</w:t>
      </w:r>
    </w:p>
    <w:p w14:paraId="560674F1">
      <w:pPr>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5.招标文件的获取</w:t>
      </w:r>
    </w:p>
    <w:p w14:paraId="2CA71616">
      <w:pPr>
        <w:adjustRightInd w:val="0"/>
        <w:snapToGrid w:val="0"/>
        <w:rPr>
          <w:rFonts w:ascii="微软雅黑" w:hAnsi="微软雅黑" w:eastAsia="微软雅黑" w:cs="微软雅黑"/>
          <w:bCs/>
          <w:sz w:val="24"/>
          <w:szCs w:val="24"/>
        </w:rPr>
      </w:pPr>
      <w:r>
        <w:rPr>
          <w:rFonts w:hint="eastAsia" w:ascii="微软雅黑" w:hAnsi="微软雅黑" w:eastAsia="微软雅黑" w:cs="微软雅黑"/>
          <w:bCs/>
          <w:sz w:val="24"/>
          <w:szCs w:val="24"/>
        </w:rPr>
        <w:t>5.1报名截止后，对所有报名单位进行资格初审，初审合格后购买招标文件；</w:t>
      </w:r>
    </w:p>
    <w:p w14:paraId="234B1058">
      <w:pPr>
        <w:adjustRightInd w:val="0"/>
        <w:snapToGrid w:val="0"/>
        <w:rPr>
          <w:rFonts w:ascii="微软雅黑" w:hAnsi="微软雅黑" w:eastAsia="微软雅黑" w:cs="微软雅黑"/>
          <w:b/>
          <w:sz w:val="24"/>
          <w:szCs w:val="24"/>
        </w:rPr>
      </w:pPr>
      <w:r>
        <w:rPr>
          <w:rFonts w:hint="eastAsia" w:ascii="微软雅黑" w:hAnsi="微软雅黑" w:eastAsia="微软雅黑" w:cs="微软雅黑"/>
          <w:bCs/>
          <w:sz w:val="24"/>
          <w:szCs w:val="24"/>
        </w:rPr>
        <w:t>5.2招标文件</w:t>
      </w:r>
      <w:r>
        <w:rPr>
          <w:rFonts w:hint="eastAsia" w:ascii="微软雅黑" w:hAnsi="微软雅黑" w:eastAsia="微软雅黑" w:cs="微软雅黑"/>
          <w:b/>
          <w:sz w:val="24"/>
          <w:szCs w:val="24"/>
        </w:rPr>
        <w:t>每套售价100元</w:t>
      </w:r>
      <w:r>
        <w:rPr>
          <w:rFonts w:hint="eastAsia" w:ascii="微软雅黑" w:hAnsi="微软雅黑" w:eastAsia="微软雅黑" w:cs="微软雅黑"/>
          <w:bCs/>
          <w:sz w:val="24"/>
          <w:szCs w:val="24"/>
        </w:rPr>
        <w:t>，售后不退。汇款时注明</w:t>
      </w:r>
      <w:r>
        <w:rPr>
          <w:rFonts w:hint="eastAsia" w:ascii="微软雅黑" w:hAnsi="微软雅黑" w:eastAsia="微软雅黑" w:cs="微软雅黑"/>
          <w:b/>
          <w:sz w:val="24"/>
          <w:szCs w:val="24"/>
        </w:rPr>
        <w:t>2025年度电解铝业务部厂区四害消杀服务项目</w:t>
      </w:r>
    </w:p>
    <w:p w14:paraId="125D463B">
      <w:pPr>
        <w:adjustRightInd w:val="0"/>
        <w:snapToGrid w:val="0"/>
        <w:rPr>
          <w:rFonts w:ascii="微软雅黑" w:hAnsi="微软雅黑" w:eastAsia="微软雅黑" w:cs="微软雅黑"/>
          <w:bCs/>
          <w:sz w:val="24"/>
          <w:szCs w:val="24"/>
        </w:rPr>
      </w:pPr>
      <w:r>
        <w:rPr>
          <w:rFonts w:hint="eastAsia" w:ascii="微软雅黑" w:hAnsi="微软雅黑" w:eastAsia="微软雅黑" w:cs="微软雅黑"/>
          <w:bCs/>
          <w:sz w:val="24"/>
          <w:szCs w:val="24"/>
        </w:rPr>
        <w:t>招标文件费用；</w:t>
      </w:r>
    </w:p>
    <w:p w14:paraId="6EC7F568">
      <w:pPr>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6.发布公告的媒介</w:t>
      </w:r>
    </w:p>
    <w:p w14:paraId="576A94FB">
      <w:pPr>
        <w:spacing w:line="44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本次招标公告只在吉利控股集团招标平台glzb.geely.com上发布，其他媒体转载无效。</w:t>
      </w:r>
    </w:p>
    <w:p w14:paraId="392CAA7C">
      <w:pPr>
        <w:spacing w:line="44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7.联系方式</w:t>
      </w:r>
    </w:p>
    <w:p w14:paraId="1EF64E4D">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招标人：</w:t>
      </w:r>
      <w:r>
        <w:rPr>
          <w:rFonts w:hint="eastAsia" w:ascii="微软雅黑" w:hAnsi="微软雅黑" w:eastAsia="微软雅黑" w:cs="微软雅黑"/>
          <w:sz w:val="24"/>
        </w:rPr>
        <w:t>广西百矿铝业有限公司、广西德保百矿铝业有限公司，广西隆林百矿铝业有限公司</w:t>
      </w:r>
      <w:r>
        <w:rPr>
          <w:rFonts w:hint="eastAsia" w:ascii="微软雅黑" w:hAnsi="微软雅黑" w:eastAsia="微软雅黑" w:cs="微软雅黑"/>
          <w:sz w:val="24"/>
          <w:szCs w:val="24"/>
        </w:rPr>
        <w:t>；</w:t>
      </w:r>
      <w:r>
        <w:rPr>
          <w:rFonts w:hint="eastAsia" w:ascii="微软雅黑" w:hAnsi="微软雅黑" w:eastAsia="微软雅黑" w:cs="微软雅黑"/>
          <w:sz w:val="24"/>
        </w:rPr>
        <w:t>广西田林百矿铝业有限公司.</w:t>
      </w:r>
    </w:p>
    <w:p w14:paraId="07A54C93">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招标人地址：</w:t>
      </w:r>
      <w:r>
        <w:rPr>
          <w:rFonts w:hint="eastAsia" w:ascii="微软雅黑" w:hAnsi="微软雅黑" w:eastAsia="微软雅黑" w:cs="微软雅黑"/>
          <w:sz w:val="24"/>
        </w:rPr>
        <w:t>百色市田阳区头塘镇、百色市德保县城关镇、百色市隆林各族自治县平班镇母姑村下寨屯（登高工业园区内）</w:t>
      </w:r>
      <w:r>
        <w:rPr>
          <w:rFonts w:hint="eastAsia" w:ascii="微软雅黑" w:hAnsi="微软雅黑" w:eastAsia="微软雅黑" w:cs="Times New Roman"/>
          <w:sz w:val="24"/>
          <w:szCs w:val="28"/>
        </w:rPr>
        <w:t>；</w:t>
      </w:r>
      <w:r>
        <w:rPr>
          <w:rFonts w:hint="eastAsia" w:ascii="微软雅黑" w:hAnsi="微软雅黑" w:eastAsia="微软雅黑" w:cs="微软雅黑"/>
          <w:sz w:val="24"/>
        </w:rPr>
        <w:t>百色市田林县旧州镇百矿集团经济产业园东南侧230米。</w:t>
      </w:r>
    </w:p>
    <w:p w14:paraId="00CB19A0">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招标组织单位：吉利百矿集团有限公司</w:t>
      </w:r>
    </w:p>
    <w:p w14:paraId="5AFC393B">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招标组织单位地址（开标地址）：广西百色市右江区永安大道1号(四塘镇)吉利百矿集团有限公司</w:t>
      </w:r>
    </w:p>
    <w:p w14:paraId="7EB05E1C">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商务：江泽朝 手机号：13517712918  Zechao.Jiang@geely.com</w:t>
      </w:r>
    </w:p>
    <w:p w14:paraId="19E869ED">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技术：张贵植  手机号：18778688199  Guizhi.Zhang@geely.com</w:t>
      </w:r>
    </w:p>
    <w:p w14:paraId="0EB93EA9">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开户户名：广西百矿铝业有限公司</w:t>
      </w:r>
    </w:p>
    <w:p w14:paraId="6419EBD7">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开户银行：</w:t>
      </w:r>
      <w:r>
        <w:rPr>
          <w:rFonts w:hint="eastAsia" w:ascii="微软雅黑" w:hAnsi="微软雅黑" w:eastAsia="微软雅黑" w:cs="微软雅黑"/>
          <w:bCs/>
          <w:sz w:val="24"/>
          <w:szCs w:val="24"/>
          <w:u w:val="single"/>
        </w:rPr>
        <w:t>中国建设银行股份有限公司百色分行</w:t>
      </w:r>
    </w:p>
    <w:p w14:paraId="51D26E77">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开户账号：45001676101050707075</w:t>
      </w:r>
    </w:p>
    <w:p w14:paraId="7CD6DA31">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注：无论投标结果如何，投标人自行承担所有与参加投标活动有关的全部费用。</w:t>
      </w:r>
    </w:p>
    <w:p w14:paraId="5892F60B">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投诉、举报电话：0571-28098168（吉利科技工程与招标管理部）。</w:t>
      </w:r>
    </w:p>
    <w:p w14:paraId="21E4B4C8">
      <w:pPr>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举报邮箱：geelytech.bid@geely.com。</w:t>
      </w:r>
    </w:p>
    <w:p w14:paraId="780E16F0">
      <w:pPr>
        <w:spacing w:line="440" w:lineRule="exact"/>
        <w:ind w:left="-840" w:leftChars="-400" w:firstLine="132" w:firstLineChars="55"/>
        <w:jc w:val="right"/>
        <w:rPr>
          <w:rFonts w:ascii="微软雅黑" w:hAnsi="微软雅黑" w:eastAsia="微软雅黑" w:cs="微软雅黑"/>
          <w:bCs/>
          <w:sz w:val="24"/>
          <w:szCs w:val="24"/>
        </w:rPr>
      </w:pPr>
    </w:p>
    <w:p w14:paraId="4DB47DD5">
      <w:pPr>
        <w:spacing w:line="440" w:lineRule="exact"/>
        <w:ind w:left="-840" w:leftChars="-400" w:firstLine="132" w:firstLineChars="55"/>
        <w:jc w:val="right"/>
        <w:rPr>
          <w:rFonts w:ascii="微软雅黑" w:hAnsi="微软雅黑" w:eastAsia="微软雅黑" w:cs="微软雅黑"/>
          <w:color w:val="000000"/>
          <w:kern w:val="0"/>
          <w:sz w:val="24"/>
          <w:szCs w:val="24"/>
        </w:rPr>
      </w:pPr>
      <w:r>
        <w:rPr>
          <w:rFonts w:hint="eastAsia" w:ascii="微软雅黑" w:hAnsi="微软雅黑" w:eastAsia="微软雅黑" w:cs="微软雅黑"/>
          <w:bCs/>
          <w:sz w:val="24"/>
          <w:szCs w:val="24"/>
        </w:rPr>
        <w:t>招标组织单位：吉利百矿集团有限有限公司</w:t>
      </w:r>
    </w:p>
    <w:p w14:paraId="4EB0D7C6">
      <w:pPr>
        <w:widowControl/>
        <w:spacing w:line="440" w:lineRule="exact"/>
        <w:ind w:left="-840" w:leftChars="-400" w:right="480" w:firstLine="132" w:firstLineChars="55"/>
        <w:jc w:val="right"/>
        <w:rPr>
          <w:rFonts w:ascii="宋体" w:hAnsi="宋体" w:eastAsia="宋体" w:cs="宋体"/>
          <w:kern w:val="0"/>
          <w:sz w:val="24"/>
          <w:szCs w:val="24"/>
        </w:rPr>
      </w:pPr>
      <w:r>
        <w:rPr>
          <w:rFonts w:hint="eastAsia" w:ascii="微软雅黑" w:hAnsi="微软雅黑" w:eastAsia="微软雅黑" w:cs="微软雅黑"/>
          <w:kern w:val="0"/>
          <w:sz w:val="24"/>
          <w:szCs w:val="24"/>
        </w:rPr>
        <w:t>日期：</w:t>
      </w:r>
      <w:r>
        <w:rPr>
          <w:rFonts w:hint="eastAsia" w:ascii="微软雅黑" w:hAnsi="微软雅黑" w:eastAsia="微软雅黑" w:cs="微软雅黑"/>
          <w:kern w:val="0"/>
          <w:sz w:val="24"/>
          <w:szCs w:val="24"/>
          <w:u w:val="single"/>
        </w:rPr>
        <w:t>2025</w:t>
      </w:r>
      <w:r>
        <w:rPr>
          <w:rFonts w:hint="eastAsia" w:ascii="微软雅黑" w:hAnsi="微软雅黑" w:eastAsia="微软雅黑" w:cs="微软雅黑"/>
          <w:kern w:val="0"/>
          <w:sz w:val="24"/>
          <w:szCs w:val="24"/>
        </w:rPr>
        <w:t>年</w:t>
      </w:r>
      <w:r>
        <w:rPr>
          <w:rFonts w:hint="eastAsia" w:ascii="微软雅黑" w:hAnsi="微软雅黑" w:eastAsia="微软雅黑" w:cs="微软雅黑"/>
          <w:kern w:val="0"/>
          <w:sz w:val="24"/>
          <w:szCs w:val="24"/>
          <w:u w:val="single"/>
        </w:rPr>
        <w:t xml:space="preserve"> 7</w:t>
      </w:r>
      <w:r>
        <w:rPr>
          <w:rFonts w:hint="eastAsia" w:ascii="微软雅黑" w:hAnsi="微软雅黑" w:eastAsia="微软雅黑" w:cs="微软雅黑"/>
          <w:kern w:val="0"/>
          <w:sz w:val="24"/>
          <w:szCs w:val="24"/>
        </w:rPr>
        <w:t>月</w:t>
      </w:r>
      <w:r>
        <w:rPr>
          <w:rFonts w:ascii="微软雅黑" w:hAnsi="微软雅黑" w:eastAsia="微软雅黑" w:cs="微软雅黑"/>
          <w:kern w:val="0"/>
          <w:sz w:val="24"/>
          <w:szCs w:val="24"/>
          <w:u w:val="single"/>
        </w:rPr>
        <w:t>30</w:t>
      </w:r>
      <w:r>
        <w:rPr>
          <w:rFonts w:hint="eastAsia" w:ascii="微软雅黑" w:hAnsi="微软雅黑" w:eastAsia="微软雅黑" w:cs="微软雅黑"/>
          <w:kern w:val="0"/>
          <w:sz w:val="24"/>
          <w:szCs w:val="24"/>
          <w:u w:val="single"/>
        </w:rPr>
        <w:t xml:space="preserve"> </w:t>
      </w:r>
      <w:r>
        <w:rPr>
          <w:rFonts w:hint="eastAsia" w:ascii="微软雅黑" w:hAnsi="微软雅黑" w:eastAsia="微软雅黑" w:cs="微软雅黑"/>
          <w:kern w:val="0"/>
          <w:sz w:val="24"/>
          <w:szCs w:val="24"/>
        </w:rPr>
        <w:t>日</w:t>
      </w:r>
    </w:p>
    <w:p w14:paraId="6032875B">
      <w:pPr>
        <w:spacing w:line="440" w:lineRule="exact"/>
        <w:rPr>
          <w:rFonts w:ascii="微软雅黑" w:hAnsi="微软雅黑" w:eastAsia="微软雅黑" w:cs="微软雅黑"/>
          <w:color w:val="FF0000"/>
          <w:sz w:val="24"/>
          <w:szCs w:val="24"/>
        </w:rPr>
      </w:pPr>
    </w:p>
    <w:p w14:paraId="18D3DA28">
      <w:bookmarkStart w:id="0" w:name="_GoBack"/>
      <w:bookmarkEnd w:id="0"/>
    </w:p>
    <w:sectPr>
      <w:headerReference r:id="rId5"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14:paraId="5C67C75E">
        <w:pPr>
          <w:pStyle w:val="4"/>
          <w:jc w:val="center"/>
        </w:pPr>
        <w:r>
          <w:fldChar w:fldCharType="begin"/>
        </w:r>
        <w:r>
          <w:instrText xml:space="preserve">PAGE   \* MERGEFORMAT</w:instrText>
        </w:r>
        <w:r>
          <w:fldChar w:fldCharType="separate"/>
        </w:r>
        <w:r>
          <w:rPr>
            <w:lang w:val="zh-CN"/>
          </w:rPr>
          <w:t>3</w:t>
        </w:r>
        <w:r>
          <w:fldChar w:fldCharType="end"/>
        </w:r>
      </w:p>
    </w:sdtContent>
  </w:sdt>
  <w:p w14:paraId="55D4B07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2D8D4">
    <w:pPr>
      <w:pStyle w:val="4"/>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9088B">
    <w:pPr>
      <w:pStyle w:val="5"/>
      <w:jc w:val="both"/>
    </w:pPr>
    <w:r>
      <w:drawing>
        <wp:inline distT="0" distB="0" distL="0" distR="0">
          <wp:extent cx="1304290" cy="313690"/>
          <wp:effectExtent l="0" t="0" r="1016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04762" cy="314286"/>
                  </a:xfrm>
                  <a:prstGeom prst="rect">
                    <a:avLst/>
                  </a:prstGeom>
                </pic:spPr>
              </pic:pic>
            </a:graphicData>
          </a:graphic>
        </wp:inline>
      </w:drawing>
    </w:r>
  </w:p>
  <w:p w14:paraId="457FD3FD">
    <w:r>
      <w:drawing>
        <wp:anchor distT="0" distB="0" distL="114300" distR="114300" simplePos="0" relativeHeight="251660288" behindDoc="0" locked="0" layoutInCell="1" allowOverlap="1">
          <wp:simplePos x="0" y="0"/>
          <wp:positionH relativeFrom="page">
            <wp:align>right</wp:align>
          </wp:positionH>
          <wp:positionV relativeFrom="page">
            <wp:align>top</wp:align>
          </wp:positionV>
          <wp:extent cx="1524000" cy="711200"/>
          <wp:effectExtent l="0" t="0" r="0" b="0"/>
          <wp:wrapNone/>
          <wp:docPr id="3" name="图片 2" descr="Title: Eayslink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Title: EayslinkWatermark"/>
                  <pic:cNvPicPr>
                    <a:picLocks noChangeAspect="1"/>
                  </pic:cNvPicPr>
                </pic:nvPicPr>
                <pic:blipFill>
                  <a:blip r:embed="rId2"/>
                  <a:stretch>
                    <a:fillRect/>
                  </a:stretch>
                </pic:blipFill>
                <pic:spPr>
                  <a:xfrm>
                    <a:off x="0" y="0"/>
                    <a:ext cx="1524000" cy="7112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2FBC1">
    <w:pPr>
      <w:pStyle w:val="5"/>
    </w:pPr>
  </w:p>
  <w:p w14:paraId="53FE4E00"/>
  <w:p w14:paraId="2C83C14C"/>
  <w:p w14:paraId="238EB20D"/>
  <w:p w14:paraId="6E571E3D"/>
  <w:p w14:paraId="4F22AE1E"/>
  <w:p w14:paraId="11CF7F0B"/>
  <w:p w14:paraId="57447DEF"/>
  <w:p w14:paraId="50073187">
    <w:r>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1524000" cy="711200"/>
          <wp:effectExtent l="0" t="0" r="0" b="0"/>
          <wp:wrapNone/>
          <wp:docPr id="4" name="EayslinkWatermark" descr="Title: Eayslink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yslinkWatermark" descr="Title: EayslinkWatermark"/>
                  <pic:cNvPicPr>
                    <a:picLocks noChangeAspect="1"/>
                  </pic:cNvPicPr>
                </pic:nvPicPr>
                <pic:blipFill>
                  <a:blip r:embed="rId1"/>
                  <a:stretch>
                    <a:fillRect/>
                  </a:stretch>
                </pic:blipFill>
                <pic:spPr>
                  <a:xfrm>
                    <a:off x="0" y="0"/>
                    <a:ext cx="1524000" cy="7112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17C19">
    <w:pPr>
      <w:pStyle w:val="5"/>
    </w:pPr>
  </w:p>
  <w:p w14:paraId="4BA79563"/>
  <w:p w14:paraId="4FEC42F3"/>
  <w:p w14:paraId="5FB6E9FA"/>
  <w:p w14:paraId="5731341E"/>
  <w:p w14:paraId="21E2135A"/>
  <w:p w14:paraId="59FFBA5E"/>
  <w:p w14:paraId="0C79FA93"/>
  <w:p w14:paraId="7C25EDAA">
    <w:r>
      <w:drawing>
        <wp:anchor distT="0" distB="0" distL="114300" distR="114300" simplePos="0" relativeHeight="251661312" behindDoc="0" locked="0" layoutInCell="1" allowOverlap="1">
          <wp:simplePos x="0" y="0"/>
          <wp:positionH relativeFrom="page">
            <wp:align>right</wp:align>
          </wp:positionH>
          <wp:positionV relativeFrom="page">
            <wp:align>top</wp:align>
          </wp:positionV>
          <wp:extent cx="1524000" cy="711200"/>
          <wp:effectExtent l="0" t="0" r="0" b="0"/>
          <wp:wrapNone/>
          <wp:docPr id="2" name="图片 1" descr="Title: Eayslink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Title: EayslinkWatermark"/>
                  <pic:cNvPicPr>
                    <a:picLocks noChangeAspect="1"/>
                  </pic:cNvPicPr>
                </pic:nvPicPr>
                <pic:blipFill>
                  <a:blip r:embed="rId1"/>
                  <a:stretch>
                    <a:fillRect/>
                  </a:stretch>
                </pic:blipFill>
                <pic:spPr>
                  <a:xfrm>
                    <a:off x="0" y="0"/>
                    <a:ext cx="1524000" cy="7112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4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Normal Indent"/>
    <w:basedOn w:val="1"/>
    <w:qFormat/>
    <w:uiPriority w:val="0"/>
    <w:pPr>
      <w:ind w:firstLine="420" w:firstLine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2025-07-30T09:24:59Z</dcterms:created>
  <dc:creator>asus</dc:creator>
  <cp:lastModifiedBy>WPS_1657525492</cp:lastModifiedBy>
  <dcterms:modified xsi:type="dcterms:W3CDTF">2025-07-30T09:25:25Z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eyJoZGlkIjoiMGM5MDcwYzEzMjNkY2ZmNGVmMTk4YjgzOTZjNmI0ODkiLCJ1c2VySWQiOiIxMzkxNzQxNjQ1In0=</vt:lpwstr>
  </property>
  <property fmtid="{D5CDD505-2E9C-101B-9397-08002B2CF9AE}" pid="4" name="ICV">
    <vt:lpwstr>1BE2C3B87108437282226EB1F141B742_12</vt:lpwstr>
  </property>
</Properties>
</file>