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28"/>
          <w:szCs w:val="36"/>
          <w:lang w:val="en-US" w:eastAsia="zh-CN"/>
        </w:rPr>
      </w:pPr>
      <w:r>
        <w:rPr>
          <w:rFonts w:hint="eastAsia"/>
          <w:b/>
          <w:bCs/>
          <w:sz w:val="28"/>
          <w:szCs w:val="36"/>
          <w:lang w:val="en-US" w:eastAsia="zh-CN"/>
        </w:rPr>
        <w:t>南宁市第九人民医院有害生物防治服务采购项目评分标准表</w:t>
      </w:r>
    </w:p>
    <w:tbl>
      <w:tblPr>
        <w:tblStyle w:val="5"/>
        <w:tblW w:w="96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65"/>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43" w:type="dxa"/>
            <w:vAlign w:val="center"/>
          </w:tcPr>
          <w:p>
            <w:pPr>
              <w:widowControl/>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65" w:type="dxa"/>
            <w:vAlign w:val="center"/>
          </w:tcPr>
          <w:p>
            <w:pPr>
              <w:widowControl/>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7296" w:type="dxa"/>
            <w:vAlign w:val="center"/>
          </w:tcPr>
          <w:p>
            <w:pPr>
              <w:widowControl/>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43" w:type="dxa"/>
            <w:vAlign w:val="center"/>
          </w:tcPr>
          <w:p>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65" w:type="dxa"/>
            <w:vAlign w:val="center"/>
          </w:tcPr>
          <w:p>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p>
            <w:pPr>
              <w:widowControl/>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7296" w:type="dxa"/>
            <w:vAlign w:val="top"/>
          </w:tcPr>
          <w:p>
            <w:pPr>
              <w:pStyle w:val="3"/>
              <w:spacing w:line="40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报价得分=（基准价/最后报价）×</w:t>
            </w:r>
            <w:r>
              <w:rPr>
                <w:rFonts w:hint="eastAsia" w:ascii="宋体" w:hAnsi="宋体" w:eastAsia="宋体" w:cs="宋体"/>
                <w:bCs/>
                <w:color w:val="auto"/>
                <w:kern w:val="2"/>
                <w:sz w:val="21"/>
                <w:szCs w:val="21"/>
                <w:highlight w:val="none"/>
                <w:u w:val="singl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43" w:type="dxa"/>
            <w:vAlign w:val="center"/>
          </w:tcPr>
          <w:p>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465" w:type="dxa"/>
            <w:vAlign w:val="center"/>
          </w:tcPr>
          <w:p>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7296" w:type="dxa"/>
            <w:vAlign w:val="top"/>
          </w:tcPr>
          <w:p>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43" w:type="dxa"/>
            <w:vAlign w:val="center"/>
          </w:tcPr>
          <w:p>
            <w:pPr>
              <w:spacing w:line="400" w:lineRule="exact"/>
              <w:ind w:left="-105" w:leftChars="-50" w:right="-105" w:rightChars="-5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p>
            <w:pPr>
              <w:spacing w:line="400" w:lineRule="exact"/>
              <w:ind w:left="-105" w:leftChars="-50" w:right="-105" w:rightChars="-50"/>
              <w:jc w:val="center"/>
              <w:rPr>
                <w:rFonts w:hint="eastAsia" w:ascii="宋体" w:hAnsi="宋体" w:eastAsia="宋体" w:cs="宋体"/>
                <w:bCs/>
                <w:color w:val="auto"/>
                <w:kern w:val="0"/>
                <w:sz w:val="21"/>
                <w:szCs w:val="21"/>
                <w:highlight w:val="none"/>
              </w:rPr>
            </w:pPr>
          </w:p>
        </w:tc>
        <w:tc>
          <w:tcPr>
            <w:tcW w:w="1465" w:type="dxa"/>
            <w:vAlign w:val="center"/>
          </w:tcPr>
          <w:p>
            <w:pPr>
              <w:spacing w:line="400" w:lineRule="exact"/>
              <w:jc w:val="center"/>
              <w:rPr>
                <w:rFonts w:hint="eastAsia" w:ascii="宋体" w:hAnsi="宋体" w:eastAsia="宋体" w:cs="宋体"/>
                <w:bCs/>
                <w:color w:val="auto"/>
                <w:kern w:val="0"/>
                <w:sz w:val="21"/>
                <w:szCs w:val="21"/>
                <w:highlight w:val="none"/>
              </w:rPr>
            </w:pPr>
          </w:p>
          <w:p>
            <w:pPr>
              <w:spacing w:line="400" w:lineRule="exact"/>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技术方案分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7296" w:type="dxa"/>
            <w:vAlign w:val="center"/>
          </w:tcPr>
          <w:p>
            <w:pPr>
              <w:adjustRightInd w:val="0"/>
              <w:snapToGrid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技术方案中对使用器械，药物描述简单，选用说明模糊，可实施性一般的；</w:t>
            </w:r>
          </w:p>
          <w:p>
            <w:pPr>
              <w:adjustRightInd w:val="0"/>
              <w:snapToGrid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技术方案中对使用器械，药物描述清晰，选用说明明确，对竞争性磋商文件响应及可实施性较好；</w:t>
            </w:r>
          </w:p>
          <w:p>
            <w:pPr>
              <w:adjustRightInd w:val="0"/>
              <w:snapToGrid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提供详细、全面、完善的技术方案，同时在结合本项目涉及的环境及虫害现状、采购人需求、安全性、合理性、有效性等方面体现出方案的可实施性的；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43" w:type="dxa"/>
            <w:vAlign w:val="center"/>
          </w:tcPr>
          <w:p>
            <w:pPr>
              <w:spacing w:line="400" w:lineRule="exact"/>
              <w:ind w:left="-105" w:leftChars="-50" w:right="-105" w:rightChars="-50"/>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2.2</w:t>
            </w:r>
          </w:p>
        </w:tc>
        <w:tc>
          <w:tcPr>
            <w:tcW w:w="1465" w:type="dxa"/>
            <w:vAlign w:val="center"/>
          </w:tcPr>
          <w:p>
            <w:pPr>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实施方案分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7296" w:type="dxa"/>
            <w:vAlign w:val="center"/>
          </w:tcPr>
          <w:p>
            <w:pPr>
              <w:pStyle w:val="3"/>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一档（</w:t>
            </w:r>
            <w:r>
              <w:rPr>
                <w:rFonts w:hint="eastAsia"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分）</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实施方案中消杀工序，操作规程描述简单，可实施性一般的；</w:t>
            </w:r>
          </w:p>
          <w:p>
            <w:pPr>
              <w:pStyle w:val="3"/>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二档（</w:t>
            </w:r>
            <w:r>
              <w:rPr>
                <w:rFonts w:hint="eastAsia" w:hAnsi="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rPr>
              <w:t>分）</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实施方案中消杀工序，操作规程描述比较详细，对竞</w:t>
            </w:r>
            <w:bookmarkStart w:id="0" w:name="_GoBack"/>
            <w:bookmarkEnd w:id="0"/>
            <w:r>
              <w:rPr>
                <w:rFonts w:hint="eastAsia" w:ascii="宋体" w:hAnsi="宋体" w:eastAsia="宋体" w:cs="宋体"/>
                <w:bCs/>
                <w:color w:val="auto"/>
                <w:kern w:val="2"/>
                <w:sz w:val="21"/>
                <w:szCs w:val="21"/>
                <w:highlight w:val="none"/>
              </w:rPr>
              <w:t>争性磋商文件响应及可实施性较好的；</w:t>
            </w:r>
          </w:p>
          <w:p>
            <w:pPr>
              <w:pStyle w:val="3"/>
              <w:spacing w:line="42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2"/>
                <w:sz w:val="21"/>
                <w:szCs w:val="21"/>
                <w:highlight w:val="none"/>
              </w:rPr>
              <w:t>三档（</w:t>
            </w:r>
            <w:r>
              <w:rPr>
                <w:rFonts w:hint="eastAsia" w:hAnsi="宋体" w:cs="宋体"/>
                <w:bCs/>
                <w:color w:val="auto"/>
                <w:kern w:val="2"/>
                <w:sz w:val="21"/>
                <w:szCs w:val="21"/>
                <w:highlight w:val="none"/>
                <w:lang w:val="en-US" w:eastAsia="zh-CN"/>
              </w:rPr>
              <w:t>15</w:t>
            </w:r>
            <w:r>
              <w:rPr>
                <w:rFonts w:hint="eastAsia" w:ascii="宋体" w:hAnsi="宋体" w:eastAsia="宋体" w:cs="宋体"/>
                <w:bCs/>
                <w:color w:val="auto"/>
                <w:kern w:val="2"/>
                <w:sz w:val="21"/>
                <w:szCs w:val="21"/>
                <w:highlight w:val="none"/>
              </w:rPr>
              <w:t>分）</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在满足</w:t>
            </w:r>
            <w:r>
              <w:rPr>
                <w:rFonts w:hint="eastAsia" w:hAnsi="宋体" w:eastAsia="宋体" w:cs="宋体"/>
                <w:bCs/>
                <w:color w:val="auto"/>
                <w:kern w:val="2"/>
                <w:sz w:val="21"/>
                <w:szCs w:val="21"/>
                <w:highlight w:val="none"/>
                <w:lang w:val="en-US" w:eastAsia="zh-CN"/>
              </w:rPr>
              <w:t>二档</w:t>
            </w:r>
            <w:r>
              <w:rPr>
                <w:rFonts w:hint="eastAsia" w:ascii="宋体" w:hAnsi="宋体" w:eastAsia="宋体" w:cs="宋体"/>
                <w:bCs/>
                <w:color w:val="auto"/>
                <w:kern w:val="2"/>
                <w:sz w:val="21"/>
                <w:szCs w:val="21"/>
                <w:highlight w:val="none"/>
              </w:rPr>
              <w:t>的条件下，能够结合本项目涉及的环境及虫害现状，对竞争性磋商文件完全响应并提供详细、有效、全面、完善的实施方案；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jc w:val="center"/>
        </w:trPr>
        <w:tc>
          <w:tcPr>
            <w:tcW w:w="843" w:type="dxa"/>
            <w:vAlign w:val="center"/>
          </w:tcPr>
          <w:p>
            <w:pPr>
              <w:spacing w:line="400" w:lineRule="exact"/>
              <w:ind w:left="-105" w:leftChars="-50" w:right="-105" w:rightChars="-50"/>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c>
          <w:tcPr>
            <w:tcW w:w="1465" w:type="dxa"/>
            <w:vAlign w:val="center"/>
          </w:tcPr>
          <w:p>
            <w:pPr>
              <w:spacing w:line="400" w:lineRule="exact"/>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质量控制及售后服务承诺</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bCs/>
                <w:color w:val="auto"/>
                <w:kern w:val="0"/>
                <w:sz w:val="21"/>
                <w:szCs w:val="21"/>
                <w:highlight w:val="none"/>
                <w:lang w:eastAsia="zh-CN"/>
              </w:rPr>
              <w:t>）</w:t>
            </w:r>
          </w:p>
        </w:tc>
        <w:tc>
          <w:tcPr>
            <w:tcW w:w="7296" w:type="dxa"/>
            <w:vAlign w:val="center"/>
          </w:tcPr>
          <w:p>
            <w:pPr>
              <w:pStyle w:val="3"/>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一档（</w:t>
            </w:r>
            <w:r>
              <w:rPr>
                <w:rFonts w:hint="eastAsia" w:hAnsi="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rPr>
              <w:t>分）</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供应商针对本项目的质量控制及售后服务承诺比较简单，基本满足要求的；</w:t>
            </w:r>
          </w:p>
          <w:p>
            <w:pPr>
              <w:pStyle w:val="3"/>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二档（</w:t>
            </w:r>
            <w:r>
              <w:rPr>
                <w:rFonts w:hint="eastAsia" w:hAnsi="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rPr>
              <w:t>分</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供应商针对本项目的质量控制及售后服务承诺比较详细，能较好的保障项目的质量，售后服务承诺较好的；</w:t>
            </w:r>
          </w:p>
          <w:p>
            <w:pPr>
              <w:pStyle w:val="3"/>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三档（</w:t>
            </w:r>
            <w:r>
              <w:rPr>
                <w:rFonts w:hint="eastAsia" w:ascii="宋体" w:hAnsi="宋体" w:eastAsia="宋体" w:cs="宋体"/>
                <w:bCs/>
                <w:color w:val="auto"/>
                <w:kern w:val="2"/>
                <w:sz w:val="21"/>
                <w:szCs w:val="21"/>
                <w:highlight w:val="none"/>
                <w:lang w:val="en-US" w:eastAsia="zh-CN"/>
              </w:rPr>
              <w:t>1</w:t>
            </w:r>
            <w:r>
              <w:rPr>
                <w:rFonts w:hint="eastAsia"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分）</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供应商针对本项目的质量控制及售后服务承诺详细、具体，能很好的保证项目的质量，售后服务承诺最好且切实可行的；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3" w:type="dxa"/>
            <w:vAlign w:val="center"/>
          </w:tcPr>
          <w:p>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2.4</w:t>
            </w:r>
          </w:p>
        </w:tc>
        <w:tc>
          <w:tcPr>
            <w:tcW w:w="1465" w:type="dxa"/>
            <w:vAlign w:val="center"/>
          </w:tcPr>
          <w:p>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default" w:ascii="宋体" w:hAnsi="宋体" w:eastAsia="宋体" w:cs="宋体"/>
                <w:color w:val="auto"/>
                <w:sz w:val="21"/>
                <w:szCs w:val="21"/>
                <w:highlight w:val="none"/>
                <w:lang w:val="en-US" w:eastAsia="zh-CN"/>
              </w:rPr>
              <w:t>突发关联事项应急处置分</w:t>
            </w:r>
            <w:r>
              <w:rPr>
                <w:rFonts w:hint="eastAsia" w:ascii="宋体" w:hAnsi="宋体" w:cs="宋体"/>
                <w:color w:val="auto"/>
                <w:sz w:val="21"/>
                <w:szCs w:val="21"/>
                <w:highlight w:val="none"/>
                <w:lang w:val="en-US" w:eastAsia="zh-CN"/>
              </w:rPr>
              <w:t>（6分）</w:t>
            </w:r>
          </w:p>
        </w:tc>
        <w:tc>
          <w:tcPr>
            <w:tcW w:w="7296" w:type="dxa"/>
            <w:vAlign w:val="center"/>
          </w:tcPr>
          <w:p>
            <w:pPr>
              <w:pStyle w:val="3"/>
              <w:numPr>
                <w:ilvl w:val="0"/>
                <w:numId w:val="1"/>
              </w:numPr>
              <w:shd w:val="clear" w:color="auto" w:fill="FFFFFF"/>
              <w:spacing w:line="500" w:lineRule="exact"/>
              <w:rPr>
                <w:rFonts w:hint="eastAsia"/>
                <w:color w:val="auto"/>
                <w:highlight w:val="none"/>
                <w:lang w:eastAsia="zh-CN"/>
              </w:rPr>
            </w:pPr>
            <w:r>
              <w:rPr>
                <w:rFonts w:hint="eastAsia"/>
                <w:color w:val="auto"/>
                <w:highlight w:val="none"/>
                <w:lang w:eastAsia="zh-CN"/>
              </w:rPr>
              <w:t>服务期间至灭后四害密度监测期间</w:t>
            </w:r>
            <w:r>
              <w:rPr>
                <w:rFonts w:hint="default"/>
                <w:color w:val="auto"/>
                <w:highlight w:val="none"/>
              </w:rPr>
              <w:t>能承诺在</w:t>
            </w:r>
            <w:r>
              <w:rPr>
                <w:rFonts w:hint="eastAsia"/>
                <w:color w:val="auto"/>
                <w:highlight w:val="none"/>
                <w:lang w:eastAsia="zh-CN"/>
              </w:rPr>
              <w:t>采购单位</w:t>
            </w:r>
            <w:r>
              <w:rPr>
                <w:rFonts w:hint="default"/>
                <w:color w:val="auto"/>
                <w:highlight w:val="none"/>
              </w:rPr>
              <w:t>发现特殊疫情或者是需要</w:t>
            </w:r>
            <w:r>
              <w:rPr>
                <w:rFonts w:hint="eastAsia"/>
                <w:color w:val="auto"/>
                <w:highlight w:val="none"/>
                <w:lang w:eastAsia="zh-CN"/>
              </w:rPr>
              <w:t>成交供应商</w:t>
            </w:r>
            <w:r>
              <w:rPr>
                <w:rFonts w:hint="default"/>
                <w:color w:val="auto"/>
                <w:highlight w:val="none"/>
              </w:rPr>
              <w:t>及时到场的特殊情况</w:t>
            </w:r>
            <w:r>
              <w:rPr>
                <w:rFonts w:hint="eastAsia"/>
                <w:color w:val="auto"/>
                <w:highlight w:val="none"/>
                <w:lang w:eastAsia="zh-CN"/>
              </w:rPr>
              <w:t>（群众投诉、反映，检查发现问题等）</w:t>
            </w:r>
            <w:r>
              <w:rPr>
                <w:rFonts w:hint="default"/>
                <w:color w:val="auto"/>
                <w:highlight w:val="none"/>
              </w:rPr>
              <w:t>时</w:t>
            </w:r>
            <w:r>
              <w:rPr>
                <w:rFonts w:hint="default"/>
                <w:color w:val="auto"/>
                <w:highlight w:val="none"/>
                <w:lang w:eastAsia="zh-CN"/>
              </w:rPr>
              <w:t>，</w:t>
            </w:r>
            <w:r>
              <w:rPr>
                <w:rFonts w:hint="default" w:ascii="Arial" w:hAnsi="Arial" w:cs="Arial"/>
                <w:color w:val="auto"/>
                <w:highlight w:val="none"/>
              </w:rPr>
              <w:t>≦</w:t>
            </w:r>
            <w:r>
              <w:rPr>
                <w:rFonts w:hint="eastAsia"/>
                <w:color w:val="auto"/>
                <w:highlight w:val="none"/>
                <w:lang w:val="en-US" w:eastAsia="zh-CN"/>
              </w:rPr>
              <w:t>7</w:t>
            </w:r>
            <w:r>
              <w:rPr>
                <w:rFonts w:hint="default"/>
                <w:color w:val="auto"/>
                <w:highlight w:val="none"/>
              </w:rPr>
              <w:t>个小时到达并采取相应措施，予以处理解决的，得</w:t>
            </w:r>
            <w:r>
              <w:rPr>
                <w:rFonts w:hint="eastAsia"/>
                <w:color w:val="auto"/>
                <w:highlight w:val="none"/>
                <w:lang w:val="en-US" w:eastAsia="zh-CN"/>
              </w:rPr>
              <w:t>2</w:t>
            </w:r>
            <w:r>
              <w:rPr>
                <w:rFonts w:hint="default"/>
                <w:color w:val="auto"/>
                <w:highlight w:val="none"/>
              </w:rPr>
              <w:t>分</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）服务期间至灭后四害密度监测期间</w:t>
            </w:r>
            <w:r>
              <w:rPr>
                <w:rFonts w:hint="default"/>
                <w:color w:val="auto"/>
                <w:highlight w:val="none"/>
              </w:rPr>
              <w:t>能承诺在</w:t>
            </w:r>
            <w:r>
              <w:rPr>
                <w:rFonts w:hint="eastAsia"/>
                <w:color w:val="auto"/>
                <w:highlight w:val="none"/>
                <w:lang w:eastAsia="zh-CN"/>
              </w:rPr>
              <w:t>采购单位</w:t>
            </w:r>
            <w:r>
              <w:rPr>
                <w:rFonts w:hint="default"/>
                <w:color w:val="auto"/>
                <w:highlight w:val="none"/>
              </w:rPr>
              <w:t>发现特殊疫情或者是需要</w:t>
            </w:r>
            <w:r>
              <w:rPr>
                <w:rFonts w:hint="eastAsia"/>
                <w:color w:val="auto"/>
                <w:highlight w:val="none"/>
                <w:lang w:eastAsia="zh-CN"/>
              </w:rPr>
              <w:t>成交供应商</w:t>
            </w:r>
            <w:r>
              <w:rPr>
                <w:rFonts w:hint="default"/>
                <w:color w:val="auto"/>
                <w:highlight w:val="none"/>
              </w:rPr>
              <w:t>及时到场的特殊情况</w:t>
            </w:r>
            <w:r>
              <w:rPr>
                <w:rFonts w:hint="eastAsia"/>
                <w:color w:val="auto"/>
                <w:highlight w:val="none"/>
                <w:lang w:eastAsia="zh-CN"/>
              </w:rPr>
              <w:t>（群众投诉、反映，检查发现问题等）</w:t>
            </w:r>
            <w:r>
              <w:rPr>
                <w:rFonts w:hint="default"/>
                <w:color w:val="auto"/>
                <w:highlight w:val="none"/>
              </w:rPr>
              <w:t>时</w:t>
            </w:r>
            <w:r>
              <w:rPr>
                <w:rFonts w:hint="default"/>
                <w:color w:val="auto"/>
                <w:highlight w:val="none"/>
                <w:lang w:eastAsia="zh-CN"/>
              </w:rPr>
              <w:t>，</w:t>
            </w:r>
            <w:r>
              <w:rPr>
                <w:rFonts w:hint="eastAsia"/>
                <w:color w:val="auto"/>
                <w:highlight w:val="none"/>
                <w:lang w:eastAsia="zh-CN"/>
              </w:rPr>
              <w:t>能在</w:t>
            </w:r>
            <w:r>
              <w:rPr>
                <w:rFonts w:hint="default" w:ascii="Arial" w:hAnsi="Arial" w:cs="Arial"/>
                <w:color w:val="auto"/>
                <w:highlight w:val="none"/>
              </w:rPr>
              <w:t>≦</w:t>
            </w:r>
            <w:r>
              <w:rPr>
                <w:rFonts w:hint="eastAsia"/>
                <w:color w:val="auto"/>
                <w:highlight w:val="none"/>
                <w:lang w:val="en-US" w:eastAsia="zh-CN"/>
              </w:rPr>
              <w:t>5</w:t>
            </w:r>
            <w:r>
              <w:rPr>
                <w:rFonts w:hint="default"/>
                <w:color w:val="auto"/>
                <w:highlight w:val="none"/>
              </w:rPr>
              <w:t>个小时</w:t>
            </w:r>
            <w:r>
              <w:rPr>
                <w:rFonts w:hint="eastAsia"/>
                <w:color w:val="auto"/>
                <w:highlight w:val="none"/>
                <w:lang w:eastAsia="zh-CN"/>
              </w:rPr>
              <w:t>内</w:t>
            </w:r>
            <w:r>
              <w:rPr>
                <w:rFonts w:hint="default"/>
                <w:color w:val="auto"/>
                <w:highlight w:val="none"/>
              </w:rPr>
              <w:t>到达并采取相应措施，予以处理解决的，得</w:t>
            </w:r>
            <w:r>
              <w:rPr>
                <w:rFonts w:hint="eastAsia"/>
                <w:color w:val="auto"/>
                <w:highlight w:val="none"/>
                <w:lang w:val="en-US" w:eastAsia="zh-CN"/>
              </w:rPr>
              <w:t>4</w:t>
            </w:r>
            <w:r>
              <w:rPr>
                <w:rFonts w:hint="default"/>
                <w:color w:val="auto"/>
                <w:highlight w:val="none"/>
              </w:rPr>
              <w:t>分</w:t>
            </w:r>
            <w:r>
              <w:rPr>
                <w:rFonts w:hint="eastAsia"/>
                <w:color w:val="auto"/>
                <w:highlight w:val="none"/>
                <w:lang w:eastAsia="zh-CN"/>
              </w:rPr>
              <w:t>。</w:t>
            </w:r>
          </w:p>
          <w:p>
            <w:pPr>
              <w:pStyle w:val="3"/>
              <w:numPr>
                <w:ilvl w:val="0"/>
                <w:numId w:val="0"/>
              </w:numPr>
              <w:shd w:val="clear" w:color="auto" w:fill="FFFFFF"/>
              <w:spacing w:line="500" w:lineRule="exact"/>
              <w:ind w:leftChars="0"/>
              <w:rPr>
                <w:rFonts w:hint="eastAsia" w:eastAsia="宋体"/>
                <w:color w:val="auto"/>
                <w:highlight w:val="none"/>
                <w:lang w:val="en-US" w:eastAsia="zh-CN"/>
              </w:rPr>
            </w:pPr>
            <w:r>
              <w:rPr>
                <w:rFonts w:hint="eastAsia" w:ascii="宋体" w:hAnsi="宋体" w:cs="宋体"/>
                <w:color w:val="auto"/>
                <w:szCs w:val="21"/>
                <w:highlight w:val="none"/>
                <w:lang w:eastAsia="zh-CN"/>
              </w:rPr>
              <w:t>（</w:t>
            </w:r>
            <w:r>
              <w:rPr>
                <w:rFonts w:hint="eastAsia"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color w:val="auto"/>
                <w:highlight w:val="none"/>
                <w:lang w:eastAsia="zh-CN"/>
              </w:rPr>
              <w:t>服务期间至灭后四害密度监测期间</w:t>
            </w:r>
            <w:r>
              <w:rPr>
                <w:rFonts w:hint="default" w:ascii="宋体" w:hAnsi="Courier New" w:eastAsia="宋体" w:cs="Times New Roman"/>
                <w:color w:val="auto"/>
                <w:kern w:val="0"/>
                <w:sz w:val="20"/>
                <w:szCs w:val="21"/>
                <w:highlight w:val="none"/>
                <w:lang w:val="en-US" w:eastAsia="zh-CN" w:bidi="ar-SA"/>
              </w:rPr>
              <w:t>能承诺在</w:t>
            </w:r>
            <w:r>
              <w:rPr>
                <w:rFonts w:hint="eastAsia" w:ascii="宋体" w:hAnsi="Courier New" w:eastAsia="宋体" w:cs="Times New Roman"/>
                <w:color w:val="auto"/>
                <w:kern w:val="0"/>
                <w:sz w:val="20"/>
                <w:szCs w:val="21"/>
                <w:highlight w:val="none"/>
                <w:lang w:val="en-US" w:eastAsia="zh-CN" w:bidi="ar-SA"/>
              </w:rPr>
              <w:t>采购单位</w:t>
            </w:r>
            <w:r>
              <w:rPr>
                <w:rFonts w:hint="default" w:ascii="宋体" w:hAnsi="Courier New" w:eastAsia="宋体" w:cs="Times New Roman"/>
                <w:color w:val="auto"/>
                <w:kern w:val="0"/>
                <w:sz w:val="20"/>
                <w:szCs w:val="21"/>
                <w:highlight w:val="none"/>
                <w:lang w:val="en-US" w:eastAsia="zh-CN" w:bidi="ar-SA"/>
              </w:rPr>
              <w:t>发现特殊疫情或者是需要</w:t>
            </w:r>
            <w:r>
              <w:rPr>
                <w:rFonts w:hint="eastAsia" w:ascii="宋体" w:hAnsi="Courier New" w:eastAsia="宋体" w:cs="Times New Roman"/>
                <w:color w:val="auto"/>
                <w:kern w:val="0"/>
                <w:sz w:val="20"/>
                <w:szCs w:val="21"/>
                <w:highlight w:val="none"/>
                <w:lang w:val="en-US" w:eastAsia="zh-CN" w:bidi="ar-SA"/>
              </w:rPr>
              <w:t>成交供应商</w:t>
            </w:r>
            <w:r>
              <w:rPr>
                <w:rFonts w:hint="default" w:ascii="宋体" w:hAnsi="Courier New" w:eastAsia="宋体" w:cs="Times New Roman"/>
                <w:color w:val="auto"/>
                <w:kern w:val="0"/>
                <w:sz w:val="20"/>
                <w:szCs w:val="21"/>
                <w:highlight w:val="none"/>
                <w:lang w:val="en-US" w:eastAsia="zh-CN" w:bidi="ar-SA"/>
              </w:rPr>
              <w:t>及时到场的特殊情况</w:t>
            </w:r>
            <w:r>
              <w:rPr>
                <w:rFonts w:hint="eastAsia" w:ascii="宋体" w:hAnsi="Courier New" w:eastAsia="宋体" w:cs="Times New Roman"/>
                <w:color w:val="auto"/>
                <w:kern w:val="0"/>
                <w:sz w:val="20"/>
                <w:szCs w:val="21"/>
                <w:highlight w:val="none"/>
                <w:lang w:val="en-US" w:eastAsia="zh-CN" w:bidi="ar-SA"/>
              </w:rPr>
              <w:t>（群众投诉、反映</w:t>
            </w:r>
            <w:r>
              <w:rPr>
                <w:rFonts w:hint="eastAsia" w:cs="Times New Roman"/>
                <w:color w:val="auto"/>
                <w:kern w:val="0"/>
                <w:sz w:val="20"/>
                <w:szCs w:val="21"/>
                <w:highlight w:val="none"/>
                <w:lang w:val="en-US" w:eastAsia="zh-CN" w:bidi="ar-SA"/>
              </w:rPr>
              <w:t>问题</w:t>
            </w:r>
            <w:r>
              <w:rPr>
                <w:rFonts w:hint="eastAsia" w:ascii="宋体" w:hAnsi="Courier New" w:eastAsia="宋体" w:cs="Times New Roman"/>
                <w:color w:val="auto"/>
                <w:kern w:val="0"/>
                <w:sz w:val="20"/>
                <w:szCs w:val="21"/>
                <w:highlight w:val="none"/>
                <w:lang w:val="en-US" w:eastAsia="zh-CN" w:bidi="ar-SA"/>
              </w:rPr>
              <w:t>，检查发现问题等）</w:t>
            </w:r>
            <w:r>
              <w:rPr>
                <w:rFonts w:hint="default" w:ascii="宋体" w:hAnsi="Courier New" w:eastAsia="宋体" w:cs="Times New Roman"/>
                <w:color w:val="auto"/>
                <w:kern w:val="0"/>
                <w:sz w:val="20"/>
                <w:szCs w:val="21"/>
                <w:highlight w:val="none"/>
                <w:lang w:val="en-US" w:eastAsia="zh-CN" w:bidi="ar-SA"/>
              </w:rPr>
              <w:t>时，能在</w:t>
            </w:r>
            <w:r>
              <w:rPr>
                <w:rFonts w:hint="default" w:ascii="Arial" w:hAnsi="Arial" w:cs="Arial"/>
                <w:color w:val="auto"/>
                <w:highlight w:val="none"/>
              </w:rPr>
              <w:t>≦</w:t>
            </w:r>
            <w:r>
              <w:rPr>
                <w:rFonts w:hint="eastAsia" w:cs="Times New Roman"/>
                <w:color w:val="auto"/>
                <w:kern w:val="0"/>
                <w:sz w:val="20"/>
                <w:szCs w:val="21"/>
                <w:highlight w:val="none"/>
                <w:lang w:val="en-US" w:eastAsia="zh-CN" w:bidi="ar-SA"/>
              </w:rPr>
              <w:t>3</w:t>
            </w:r>
            <w:r>
              <w:rPr>
                <w:rFonts w:hint="default" w:ascii="宋体" w:hAnsi="Courier New" w:eastAsia="宋体" w:cs="Times New Roman"/>
                <w:color w:val="auto"/>
                <w:kern w:val="0"/>
                <w:sz w:val="20"/>
                <w:szCs w:val="21"/>
                <w:highlight w:val="none"/>
                <w:lang w:val="en-US" w:eastAsia="zh-CN" w:bidi="ar-SA"/>
              </w:rPr>
              <w:t>个小时内到达并采取相应措施，予以处理解决的，得</w:t>
            </w:r>
            <w:r>
              <w:rPr>
                <w:rFonts w:hint="eastAsia" w:cs="Times New Roman"/>
                <w:color w:val="auto"/>
                <w:kern w:val="0"/>
                <w:sz w:val="20"/>
                <w:szCs w:val="21"/>
                <w:highlight w:val="none"/>
                <w:lang w:val="en-US" w:eastAsia="zh-CN" w:bidi="ar-SA"/>
              </w:rPr>
              <w:t>6</w:t>
            </w:r>
            <w:r>
              <w:rPr>
                <w:rFonts w:hint="default" w:ascii="宋体" w:hAnsi="Courier New" w:eastAsia="宋体" w:cs="Times New Roman"/>
                <w:color w:val="auto"/>
                <w:kern w:val="0"/>
                <w:sz w:val="20"/>
                <w:szCs w:val="21"/>
                <w:highlight w:val="none"/>
                <w:lang w:val="en-US" w:eastAsia="zh-CN" w:bidi="ar-SA"/>
              </w:rPr>
              <w:t>分</w:t>
            </w:r>
            <w:r>
              <w:rPr>
                <w:rFonts w:hint="eastAsia" w:ascii="宋体" w:hAnsi="Courier New" w:cs="Times New Roman"/>
                <w:color w:val="auto"/>
                <w:kern w:val="0"/>
                <w:sz w:val="20"/>
                <w:szCs w:val="21"/>
                <w:highlight w:val="none"/>
                <w:lang w:val="en-US" w:eastAsia="zh-CN" w:bidi="ar-SA"/>
              </w:rPr>
              <w:t>。</w:t>
            </w:r>
          </w:p>
          <w:p>
            <w:pPr>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3" w:type="dxa"/>
            <w:vAlign w:val="center"/>
          </w:tcPr>
          <w:p>
            <w:pPr>
              <w:widowControl/>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5</w:t>
            </w:r>
          </w:p>
        </w:tc>
        <w:tc>
          <w:tcPr>
            <w:tcW w:w="1465" w:type="dxa"/>
            <w:vAlign w:val="center"/>
          </w:tcPr>
          <w:p>
            <w:pPr>
              <w:widowControl/>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人员方案分</w:t>
            </w:r>
            <w:r>
              <w:rPr>
                <w:rFonts w:hint="eastAsia" w:ascii="宋体" w:hAnsi="宋体" w:eastAsia="宋体" w:cs="宋体"/>
                <w:bCs/>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15</w:t>
            </w:r>
            <w:r>
              <w:rPr>
                <w:rFonts w:hint="eastAsia" w:ascii="宋体" w:hAnsi="宋体" w:eastAsia="宋体" w:cs="宋体"/>
                <w:bCs/>
                <w:color w:val="auto"/>
                <w:kern w:val="2"/>
                <w:sz w:val="21"/>
                <w:szCs w:val="21"/>
                <w:highlight w:val="none"/>
                <w:lang w:val="en-US" w:eastAsia="zh-CN" w:bidi="ar-SA"/>
              </w:rPr>
              <w:t>分）</w:t>
            </w:r>
          </w:p>
        </w:tc>
        <w:tc>
          <w:tcPr>
            <w:tcW w:w="7296" w:type="dxa"/>
            <w:vAlign w:val="center"/>
          </w:tcPr>
          <w:p>
            <w:pPr>
              <w:pStyle w:val="3"/>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一档(</w:t>
            </w:r>
            <w:r>
              <w:rPr>
                <w:rFonts w:hint="eastAsia"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分)：技术负责人具有大专（含大专）及以上学历；投入人员有</w:t>
            </w:r>
            <w:r>
              <w:rPr>
                <w:rFonts w:hint="eastAsia"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rPr>
              <w:t>人以上（含</w:t>
            </w:r>
            <w:r>
              <w:rPr>
                <w:rFonts w:hint="eastAsia"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rPr>
              <w:t>人）具有有害生物防制员证，其中</w:t>
            </w:r>
            <w:r>
              <w:rPr>
                <w:rFonts w:hint="eastAsia" w:hAnsi="宋体" w:eastAsia="宋体" w:cs="宋体"/>
                <w:bCs/>
                <w:color w:val="auto"/>
                <w:kern w:val="2"/>
                <w:sz w:val="21"/>
                <w:szCs w:val="21"/>
                <w:highlight w:val="none"/>
                <w:lang w:val="en-US" w:eastAsia="zh-CN"/>
              </w:rPr>
              <w:t>至少</w:t>
            </w:r>
            <w:r>
              <w:rPr>
                <w:rFonts w:hint="eastAsia" w:ascii="宋体" w:hAnsi="宋体" w:eastAsia="宋体" w:cs="宋体"/>
                <w:bCs/>
                <w:color w:val="auto"/>
                <w:kern w:val="2"/>
                <w:sz w:val="21"/>
                <w:szCs w:val="21"/>
                <w:highlight w:val="none"/>
              </w:rPr>
              <w:t>1人具有四级（中级）及以上有害生物防制员证书；</w:t>
            </w:r>
          </w:p>
          <w:p>
            <w:pPr>
              <w:pStyle w:val="3"/>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二档(</w:t>
            </w:r>
            <w:r>
              <w:rPr>
                <w:rFonts w:hint="eastAsia" w:hAnsi="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rPr>
              <w:t>分)：技术负责人具有大专（含大专）及以上学历；投入人员有</w:t>
            </w:r>
            <w:r>
              <w:rPr>
                <w:rFonts w:hint="eastAsia"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人以上（含</w:t>
            </w:r>
            <w:r>
              <w:rPr>
                <w:rFonts w:hint="eastAsia"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人）具有有害生物防制员证，其中</w:t>
            </w:r>
            <w:r>
              <w:rPr>
                <w:rFonts w:hint="eastAsia"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人（含</w:t>
            </w:r>
            <w:r>
              <w:rPr>
                <w:rFonts w:hint="eastAsia"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人）以上具有四级（中级）及以上有害生物防制员证书；</w:t>
            </w:r>
          </w:p>
          <w:p>
            <w:pPr>
              <w:pStyle w:val="3"/>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三档(</w:t>
            </w:r>
            <w:r>
              <w:rPr>
                <w:rFonts w:hint="eastAsia" w:hAnsi="宋体" w:cs="宋体"/>
                <w:bCs/>
                <w:color w:val="auto"/>
                <w:kern w:val="2"/>
                <w:sz w:val="21"/>
                <w:szCs w:val="21"/>
                <w:highlight w:val="none"/>
                <w:lang w:val="en-US" w:eastAsia="zh-CN"/>
              </w:rPr>
              <w:t>15</w:t>
            </w:r>
            <w:r>
              <w:rPr>
                <w:rFonts w:hint="eastAsia" w:ascii="宋体" w:hAnsi="宋体" w:eastAsia="宋体" w:cs="宋体"/>
                <w:bCs/>
                <w:color w:val="auto"/>
                <w:kern w:val="2"/>
                <w:sz w:val="21"/>
                <w:szCs w:val="21"/>
                <w:highlight w:val="none"/>
              </w:rPr>
              <w:t>分)：技术负责人具有大专（含大专）及以上学历；投入人员有</w:t>
            </w:r>
            <w:r>
              <w:rPr>
                <w:rFonts w:hint="eastAsia" w:hAnsi="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rPr>
              <w:t>人以上（含</w:t>
            </w:r>
            <w:r>
              <w:rPr>
                <w:rFonts w:hint="eastAsia" w:hAnsi="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rPr>
              <w:t>人）具有有害生物防制员证，其中3人（含3人）以上具有四级（中级）及以上有害生物防制员证书；</w:t>
            </w:r>
          </w:p>
          <w:p>
            <w:pPr>
              <w:pStyle w:val="3"/>
              <w:spacing w:line="420" w:lineRule="exact"/>
              <w:ind w:firstLine="422" w:firstLineChars="20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注：1、上述人员具有有害生物防制员相应证书的，提供证书复印件并加盖供应商公章。</w:t>
            </w:r>
          </w:p>
          <w:p>
            <w:pPr>
              <w:pStyle w:val="3"/>
              <w:spacing w:line="420" w:lineRule="exact"/>
              <w:ind w:firstLine="422" w:firstLineChars="200"/>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rPr>
              <w:t>2、</w:t>
            </w:r>
            <w:r>
              <w:rPr>
                <w:rFonts w:hint="eastAsia" w:hAnsi="宋体" w:eastAsia="宋体" w:cs="宋体"/>
                <w:b/>
                <w:bCs w:val="0"/>
                <w:color w:val="auto"/>
                <w:kern w:val="2"/>
                <w:sz w:val="21"/>
                <w:szCs w:val="21"/>
                <w:highlight w:val="none"/>
                <w:lang w:val="en-US" w:eastAsia="zh-CN"/>
              </w:rPr>
              <w:t>提交</w:t>
            </w:r>
            <w:r>
              <w:rPr>
                <w:rFonts w:hint="eastAsia" w:ascii="宋体" w:hAnsi="宋体" w:eastAsia="宋体" w:cs="宋体"/>
                <w:b/>
                <w:bCs w:val="0"/>
                <w:color w:val="auto"/>
                <w:kern w:val="2"/>
                <w:sz w:val="21"/>
                <w:szCs w:val="21"/>
                <w:highlight w:val="none"/>
              </w:rPr>
              <w:t>截止日期前半年内任意连续三个月由</w:t>
            </w:r>
            <w:r>
              <w:rPr>
                <w:rFonts w:hint="eastAsia" w:hAnsi="宋体" w:eastAsia="宋体" w:cs="宋体"/>
                <w:b/>
                <w:bCs w:val="0"/>
                <w:color w:val="auto"/>
                <w:kern w:val="2"/>
                <w:sz w:val="21"/>
                <w:szCs w:val="21"/>
                <w:highlight w:val="none"/>
                <w:lang w:val="en-US" w:eastAsia="zh-CN"/>
              </w:rPr>
              <w:t>供应商</w:t>
            </w:r>
            <w:r>
              <w:rPr>
                <w:rFonts w:hint="eastAsia" w:ascii="宋体" w:hAnsi="宋体" w:eastAsia="宋体" w:cs="宋体"/>
                <w:b/>
                <w:bCs w:val="0"/>
                <w:color w:val="auto"/>
                <w:kern w:val="2"/>
                <w:sz w:val="21"/>
                <w:szCs w:val="21"/>
                <w:highlight w:val="none"/>
              </w:rPr>
              <w:t>购买社保证明</w:t>
            </w:r>
            <w:r>
              <w:rPr>
                <w:rFonts w:hint="eastAsia" w:hAnsi="宋体" w:eastAsia="宋体" w:cs="宋体"/>
                <w:b/>
                <w:bCs w:val="0"/>
                <w:color w:val="auto"/>
                <w:kern w:val="2"/>
                <w:sz w:val="21"/>
                <w:szCs w:val="21"/>
                <w:highlight w:val="none"/>
                <w:lang w:eastAsia="zh-CN"/>
              </w:rPr>
              <w:t>或缴纳发票</w:t>
            </w:r>
            <w:r>
              <w:rPr>
                <w:rFonts w:hint="eastAsia" w:ascii="宋体" w:hAnsi="宋体" w:eastAsia="宋体" w:cs="宋体"/>
                <w:b/>
                <w:bCs w:val="0"/>
                <w:color w:val="auto"/>
                <w:kern w:val="2"/>
                <w:sz w:val="21"/>
                <w:szCs w:val="21"/>
                <w:highlight w:val="none"/>
              </w:rPr>
              <w:t>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3" w:type="dxa"/>
            <w:vAlign w:val="center"/>
          </w:tcPr>
          <w:p>
            <w:pPr>
              <w:widowControl/>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465" w:type="dxa"/>
            <w:vAlign w:val="center"/>
          </w:tcPr>
          <w:p>
            <w:pPr>
              <w:widowControl/>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sz w:val="21"/>
                <w:szCs w:val="21"/>
                <w:highlight w:val="none"/>
              </w:rPr>
              <w:t>商务分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17份</w:t>
            </w:r>
            <w:r>
              <w:rPr>
                <w:rFonts w:hint="eastAsia" w:ascii="宋体" w:hAnsi="宋体" w:cs="宋体"/>
                <w:bCs/>
                <w:color w:val="auto"/>
                <w:sz w:val="21"/>
                <w:szCs w:val="21"/>
                <w:highlight w:val="none"/>
                <w:lang w:eastAsia="zh-CN"/>
              </w:rPr>
              <w:t>）</w:t>
            </w:r>
          </w:p>
        </w:tc>
        <w:tc>
          <w:tcPr>
            <w:tcW w:w="7296" w:type="dxa"/>
            <w:vAlign w:val="center"/>
          </w:tcPr>
          <w:p>
            <w:pPr>
              <w:pStyle w:val="3"/>
              <w:spacing w:line="420" w:lineRule="exact"/>
              <w:ind w:firstLine="2520" w:firstLineChars="1200"/>
              <w:rPr>
                <w:rFonts w:hint="eastAsia" w:ascii="宋体" w:hAnsi="宋体" w:eastAsia="宋体" w:cs="宋体"/>
                <w:b/>
                <w:bCs w:val="0"/>
                <w:color w:val="auto"/>
                <w:kern w:val="2"/>
                <w:sz w:val="21"/>
                <w:szCs w:val="21"/>
                <w:highlight w:val="none"/>
              </w:rPr>
            </w:pPr>
            <w:r>
              <w:rPr>
                <w:rFonts w:hint="eastAsia" w:ascii="宋体" w:hAnsi="宋体" w:eastAsia="宋体" w:cs="宋体"/>
                <w:color w:val="auto"/>
                <w:kern w:val="0"/>
                <w:sz w:val="21"/>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3" w:type="dxa"/>
            <w:vAlign w:val="center"/>
          </w:tcPr>
          <w:p>
            <w:pPr>
              <w:widowControl/>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1</w:t>
            </w:r>
          </w:p>
        </w:tc>
        <w:tc>
          <w:tcPr>
            <w:tcW w:w="1465" w:type="dxa"/>
            <w:vAlign w:val="center"/>
          </w:tcPr>
          <w:p>
            <w:pPr>
              <w:widowControl/>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设备方案分</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7296" w:type="dxa"/>
            <w:vAlign w:val="center"/>
          </w:tcPr>
          <w:p>
            <w:pPr>
              <w:pStyle w:val="3"/>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一档（</w:t>
            </w:r>
            <w:r>
              <w:rPr>
                <w:rFonts w:hint="eastAsia" w:hAnsi="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lang w:val="en-US" w:eastAsia="zh-CN"/>
              </w:rPr>
              <w:t>分）：</w:t>
            </w:r>
            <w:r>
              <w:rPr>
                <w:rFonts w:hint="eastAsia" w:ascii="宋体" w:hAnsi="宋体" w:eastAsia="宋体" w:cs="宋体"/>
                <w:bCs/>
                <w:color w:val="auto"/>
                <w:kern w:val="2"/>
                <w:sz w:val="21"/>
                <w:szCs w:val="21"/>
                <w:highlight w:val="none"/>
              </w:rPr>
              <w:t>设备配置基本满足</w:t>
            </w:r>
            <w:r>
              <w:rPr>
                <w:rFonts w:hint="eastAsia" w:ascii="宋体" w:hAnsi="宋体" w:eastAsia="宋体" w:cs="宋体"/>
                <w:bCs/>
                <w:color w:val="auto"/>
                <w:kern w:val="2"/>
                <w:sz w:val="21"/>
                <w:szCs w:val="21"/>
                <w:highlight w:val="none"/>
                <w:lang w:val="en-US" w:eastAsia="zh-CN"/>
              </w:rPr>
              <w:t>采购</w:t>
            </w:r>
            <w:r>
              <w:rPr>
                <w:rFonts w:hint="eastAsia" w:ascii="宋体" w:hAnsi="宋体" w:eastAsia="宋体" w:cs="宋体"/>
                <w:bCs/>
                <w:color w:val="auto"/>
                <w:kern w:val="2"/>
                <w:sz w:val="21"/>
                <w:szCs w:val="21"/>
                <w:highlight w:val="none"/>
              </w:rPr>
              <w:t>文件要求：超低容量喷雾器不少于4台；热烟雾机不少于4台；消杀作业车辆不少于3辆；手推式机动喷雾机不少于4台，手压式喷雾器</w:t>
            </w:r>
            <w:r>
              <w:rPr>
                <w:rFonts w:hint="eastAsia" w:ascii="宋体" w:hAnsi="宋体" w:eastAsia="宋体" w:cs="宋体"/>
                <w:bCs/>
                <w:color w:val="auto"/>
                <w:kern w:val="2"/>
                <w:sz w:val="21"/>
                <w:szCs w:val="21"/>
                <w:highlight w:val="none"/>
                <w:lang w:val="en-US" w:eastAsia="zh-CN"/>
              </w:rPr>
              <w:t>不少于</w:t>
            </w:r>
            <w:r>
              <w:rPr>
                <w:rFonts w:hint="eastAsia" w:ascii="宋体" w:hAnsi="宋体" w:eastAsia="宋体" w:cs="宋体"/>
                <w:bCs/>
                <w:color w:val="auto"/>
                <w:kern w:val="2"/>
                <w:sz w:val="21"/>
                <w:szCs w:val="21"/>
                <w:highlight w:val="none"/>
              </w:rPr>
              <w:t>4台。</w:t>
            </w:r>
          </w:p>
          <w:p>
            <w:pPr>
              <w:pStyle w:val="3"/>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二档（</w:t>
            </w:r>
            <w:r>
              <w:rPr>
                <w:rFonts w:hint="eastAsia" w:hAnsi="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lang w:val="en-US" w:eastAsia="zh-CN"/>
              </w:rPr>
              <w:t>分）：</w:t>
            </w:r>
            <w:r>
              <w:rPr>
                <w:rFonts w:hint="eastAsia" w:ascii="宋体" w:hAnsi="宋体" w:eastAsia="宋体" w:cs="宋体"/>
                <w:bCs/>
                <w:color w:val="auto"/>
                <w:kern w:val="2"/>
                <w:sz w:val="21"/>
                <w:szCs w:val="21"/>
                <w:highlight w:val="none"/>
              </w:rPr>
              <w:t>部分设备配置优于</w:t>
            </w:r>
            <w:r>
              <w:rPr>
                <w:rFonts w:hint="eastAsia" w:ascii="宋体" w:hAnsi="宋体" w:eastAsia="宋体" w:cs="宋体"/>
                <w:bCs/>
                <w:color w:val="auto"/>
                <w:kern w:val="2"/>
                <w:sz w:val="21"/>
                <w:szCs w:val="21"/>
                <w:highlight w:val="none"/>
                <w:lang w:val="en-US" w:eastAsia="zh-CN"/>
              </w:rPr>
              <w:t>采购</w:t>
            </w:r>
            <w:r>
              <w:rPr>
                <w:rFonts w:hint="eastAsia" w:ascii="宋体" w:hAnsi="宋体" w:eastAsia="宋体" w:cs="宋体"/>
                <w:bCs/>
                <w:color w:val="auto"/>
                <w:kern w:val="2"/>
                <w:sz w:val="21"/>
                <w:szCs w:val="21"/>
                <w:highlight w:val="none"/>
              </w:rPr>
              <w:t>文件要求：超低容量喷雾器不少于5台；热烟雾机不少于5台；消杀作业车辆不少于4辆；手推式机动喷雾机不少于5台，手压式喷雾器</w:t>
            </w:r>
            <w:r>
              <w:rPr>
                <w:rFonts w:hint="eastAsia" w:ascii="宋体" w:hAnsi="宋体" w:eastAsia="宋体" w:cs="宋体"/>
                <w:bCs/>
                <w:color w:val="auto"/>
                <w:kern w:val="2"/>
                <w:sz w:val="21"/>
                <w:szCs w:val="21"/>
                <w:highlight w:val="none"/>
                <w:lang w:val="en-US" w:eastAsia="zh-CN"/>
              </w:rPr>
              <w:t>不少于</w:t>
            </w:r>
            <w:r>
              <w:rPr>
                <w:rFonts w:hint="eastAsia" w:ascii="宋体" w:hAnsi="宋体" w:eastAsia="宋体" w:cs="宋体"/>
                <w:bCs/>
                <w:color w:val="auto"/>
                <w:kern w:val="2"/>
                <w:sz w:val="21"/>
                <w:szCs w:val="21"/>
                <w:highlight w:val="none"/>
              </w:rPr>
              <w:t>5台，车载大功率喷雾机不少于1台。</w:t>
            </w:r>
          </w:p>
          <w:p>
            <w:pPr>
              <w:pStyle w:val="3"/>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三档（</w:t>
            </w:r>
            <w:r>
              <w:rPr>
                <w:rFonts w:hint="eastAsia" w:hAnsi="宋体" w:cs="宋体"/>
                <w:bCs/>
                <w:color w:val="auto"/>
                <w:kern w:val="2"/>
                <w:sz w:val="21"/>
                <w:szCs w:val="21"/>
                <w:highlight w:val="none"/>
                <w:lang w:val="en-US" w:eastAsia="zh-CN"/>
              </w:rPr>
              <w:t>12</w:t>
            </w:r>
            <w:r>
              <w:rPr>
                <w:rFonts w:hint="eastAsia" w:ascii="宋体" w:hAnsi="宋体" w:eastAsia="宋体" w:cs="宋体"/>
                <w:bCs/>
                <w:color w:val="auto"/>
                <w:kern w:val="2"/>
                <w:sz w:val="21"/>
                <w:szCs w:val="21"/>
                <w:highlight w:val="none"/>
                <w:lang w:val="en-US" w:eastAsia="zh-CN"/>
              </w:rPr>
              <w:t>分）：</w:t>
            </w:r>
            <w:r>
              <w:rPr>
                <w:rFonts w:hint="eastAsia" w:ascii="宋体" w:hAnsi="宋体" w:eastAsia="宋体" w:cs="宋体"/>
                <w:bCs/>
                <w:color w:val="auto"/>
                <w:kern w:val="2"/>
                <w:sz w:val="21"/>
                <w:szCs w:val="21"/>
                <w:highlight w:val="none"/>
              </w:rPr>
              <w:t>所有设备配置优于</w:t>
            </w:r>
            <w:r>
              <w:rPr>
                <w:rFonts w:hint="eastAsia" w:ascii="宋体" w:hAnsi="宋体" w:eastAsia="宋体" w:cs="宋体"/>
                <w:bCs/>
                <w:color w:val="auto"/>
                <w:kern w:val="2"/>
                <w:sz w:val="21"/>
                <w:szCs w:val="21"/>
                <w:highlight w:val="none"/>
                <w:lang w:val="en-US" w:eastAsia="zh-CN"/>
              </w:rPr>
              <w:t>采购</w:t>
            </w:r>
            <w:r>
              <w:rPr>
                <w:rFonts w:hint="eastAsia" w:ascii="宋体" w:hAnsi="宋体" w:eastAsia="宋体" w:cs="宋体"/>
                <w:bCs/>
                <w:color w:val="auto"/>
                <w:kern w:val="2"/>
                <w:sz w:val="21"/>
                <w:szCs w:val="21"/>
                <w:highlight w:val="none"/>
              </w:rPr>
              <w:t>文件要求：超低容量喷雾器不少于6台；热烟雾机不少于6台；消杀作业车辆不少于5辆；手推式机动喷雾机不少于6台，手压式喷雾器</w:t>
            </w:r>
            <w:r>
              <w:rPr>
                <w:rFonts w:hint="eastAsia" w:ascii="宋体" w:hAnsi="宋体" w:eastAsia="宋体" w:cs="宋体"/>
                <w:bCs/>
                <w:color w:val="auto"/>
                <w:kern w:val="2"/>
                <w:sz w:val="21"/>
                <w:szCs w:val="21"/>
                <w:highlight w:val="none"/>
                <w:lang w:val="en-US" w:eastAsia="zh-CN"/>
              </w:rPr>
              <w:t>不少于</w:t>
            </w:r>
            <w:r>
              <w:rPr>
                <w:rFonts w:hint="eastAsia" w:ascii="宋体" w:hAnsi="宋体" w:eastAsia="宋体" w:cs="宋体"/>
                <w:bCs/>
                <w:color w:val="auto"/>
                <w:kern w:val="2"/>
                <w:sz w:val="21"/>
                <w:szCs w:val="21"/>
                <w:highlight w:val="none"/>
              </w:rPr>
              <w:t>6台，车载大功率喷雾机不少于2台。</w:t>
            </w:r>
          </w:p>
          <w:p>
            <w:pPr>
              <w:pStyle w:val="3"/>
              <w:spacing w:line="420" w:lineRule="exact"/>
              <w:ind w:firstLine="422" w:firstLineChars="200"/>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rPr>
              <w:t>注：响应文件中提供各项设备、车辆均以</w:t>
            </w:r>
            <w:r>
              <w:rPr>
                <w:rFonts w:hint="eastAsia" w:ascii="宋体" w:hAnsi="宋体" w:eastAsia="宋体" w:cs="宋体"/>
                <w:b/>
                <w:bCs w:val="0"/>
                <w:color w:val="auto"/>
                <w:kern w:val="2"/>
                <w:sz w:val="21"/>
                <w:szCs w:val="21"/>
                <w:highlight w:val="none"/>
                <w:lang w:val="en-US" w:eastAsia="zh-CN"/>
              </w:rPr>
              <w:t>供应商</w:t>
            </w:r>
            <w:r>
              <w:rPr>
                <w:rFonts w:hint="eastAsia" w:ascii="宋体" w:hAnsi="宋体" w:eastAsia="宋体" w:cs="宋体"/>
                <w:b/>
                <w:bCs w:val="0"/>
                <w:color w:val="auto"/>
                <w:kern w:val="2"/>
                <w:sz w:val="21"/>
                <w:szCs w:val="21"/>
                <w:highlight w:val="none"/>
              </w:rPr>
              <w:t>单位全称采购，提供购买发票、行驶证复印件</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lang w:val="en-US" w:eastAsia="zh-CN"/>
              </w:rPr>
              <w:t>如有</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lang w:val="en-US" w:eastAsia="zh-CN"/>
              </w:rPr>
              <w:t>加盖供应商公章</w:t>
            </w:r>
            <w:r>
              <w:rPr>
                <w:rFonts w:hint="eastAsia" w:ascii="宋体" w:hAnsi="宋体" w:eastAsia="宋体" w:cs="宋体"/>
                <w:b/>
                <w:bCs w:val="0"/>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3" w:type="dxa"/>
            <w:vAlign w:val="center"/>
          </w:tcPr>
          <w:p>
            <w:pPr>
              <w:widowControl/>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2</w:t>
            </w:r>
          </w:p>
        </w:tc>
        <w:tc>
          <w:tcPr>
            <w:tcW w:w="1465" w:type="dxa"/>
            <w:vAlign w:val="center"/>
          </w:tcPr>
          <w:p>
            <w:pPr>
              <w:widowControl/>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资质实力分（</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tc>
        <w:tc>
          <w:tcPr>
            <w:tcW w:w="7296" w:type="dxa"/>
            <w:vAlign w:val="center"/>
          </w:tcPr>
          <w:p>
            <w:pPr>
              <w:pStyle w:val="3"/>
              <w:spacing w:line="420" w:lineRule="exact"/>
              <w:ind w:firstLine="420" w:firstLineChars="200"/>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（1）供应商获得ISO9000系列国际质量体系、ISO14000环境管理体系认证、通过职业健康管理体系认证证书，每提供一个得1分，满分</w:t>
            </w:r>
            <w:r>
              <w:rPr>
                <w:rFonts w:hint="eastAsia"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分。</w:t>
            </w:r>
          </w:p>
          <w:p>
            <w:pPr>
              <w:rPr>
                <w:rFonts w:hint="eastAsia"/>
                <w:color w:val="auto"/>
                <w:highlight w:val="none"/>
              </w:rPr>
            </w:pPr>
          </w:p>
          <w:p>
            <w:pPr>
              <w:pStyle w:val="3"/>
              <w:shd w:val="clear" w:color="auto" w:fill="FFFFFF"/>
              <w:spacing w:line="500" w:lineRule="exact"/>
              <w:ind w:firstLine="422" w:firstLineChars="200"/>
              <w:rPr>
                <w:rFonts w:hint="eastAsia" w:ascii="宋体" w:hAnsi="宋体" w:eastAsia="宋体" w:cs="宋体"/>
                <w:b/>
                <w:bCs w:val="0"/>
                <w:color w:val="auto"/>
                <w:kern w:val="2"/>
                <w:sz w:val="21"/>
                <w:szCs w:val="21"/>
                <w:highlight w:val="none"/>
              </w:rPr>
            </w:pPr>
            <w:r>
              <w:rPr>
                <w:rFonts w:hint="eastAsia" w:ascii="Times New Roman" w:hAnsi="Times New Roman"/>
                <w:b/>
                <w:bCs/>
                <w:color w:val="auto"/>
                <w:kern w:val="2"/>
                <w:sz w:val="21"/>
                <w:szCs w:val="22"/>
                <w:highlight w:val="none"/>
                <w:lang w:val="en-US" w:eastAsia="zh-CN"/>
              </w:rPr>
              <w:t>注：须</w:t>
            </w:r>
            <w:r>
              <w:rPr>
                <w:rFonts w:hint="eastAsia" w:ascii="Times New Roman" w:hAnsi="Times New Roman"/>
                <w:b/>
                <w:bCs/>
                <w:color w:val="auto"/>
                <w:kern w:val="2"/>
                <w:sz w:val="21"/>
                <w:szCs w:val="22"/>
                <w:highlight w:val="none"/>
              </w:rPr>
              <w:t>提供</w:t>
            </w:r>
            <w:r>
              <w:rPr>
                <w:rFonts w:hint="eastAsia" w:ascii="Times New Roman" w:hAnsi="Times New Roman"/>
                <w:b/>
                <w:bCs/>
                <w:color w:val="auto"/>
                <w:kern w:val="2"/>
                <w:sz w:val="21"/>
                <w:szCs w:val="22"/>
                <w:highlight w:val="none"/>
                <w:lang w:val="en-US" w:eastAsia="zh-CN"/>
              </w:rPr>
              <w:t>以上证书复印件及在中国国家认证认可监督管理委员会官网公示查询www.cnca.gov.cn的查询结果截图并加盖供应商公章，不提供不得分</w:t>
            </w:r>
            <w:r>
              <w:rPr>
                <w:rFonts w:hint="eastAsia" w:ascii="Times New Roman" w:hAnsi="Times New Roman"/>
                <w:b/>
                <w:bCs/>
                <w:color w:val="auto"/>
                <w:kern w:val="2"/>
                <w:sz w:val="21"/>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3" w:type="dxa"/>
            <w:vAlign w:val="center"/>
          </w:tcPr>
          <w:p>
            <w:pPr>
              <w:widowControl/>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3.3</w:t>
            </w:r>
          </w:p>
        </w:tc>
        <w:tc>
          <w:tcPr>
            <w:tcW w:w="1465" w:type="dxa"/>
            <w:vAlign w:val="center"/>
          </w:tcPr>
          <w:p>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业绩分</w:t>
            </w:r>
          </w:p>
          <w:p>
            <w:pPr>
              <w:widowControl/>
              <w:spacing w:line="40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296" w:type="dxa"/>
            <w:vAlign w:val="center"/>
          </w:tcPr>
          <w:p>
            <w:pPr>
              <w:pStyle w:val="3"/>
              <w:spacing w:line="420" w:lineRule="exact"/>
              <w:ind w:firstLine="420" w:firstLineChars="200"/>
              <w:rPr>
                <w:rFonts w:hint="eastAsia" w:hAnsi="宋体" w:eastAsia="宋体" w:cs="宋体"/>
                <w:b w:val="0"/>
                <w:bCs/>
                <w:color w:val="auto"/>
                <w:kern w:val="2"/>
                <w:sz w:val="21"/>
                <w:szCs w:val="21"/>
                <w:highlight w:val="none"/>
                <w:lang w:eastAsia="zh-CN"/>
              </w:rPr>
            </w:pPr>
            <w:r>
              <w:rPr>
                <w:rFonts w:hint="eastAsia" w:hAnsi="宋体" w:eastAsia="宋体" w:cs="宋体"/>
                <w:b w:val="0"/>
                <w:bCs/>
                <w:color w:val="auto"/>
                <w:kern w:val="2"/>
                <w:sz w:val="21"/>
                <w:szCs w:val="21"/>
                <w:highlight w:val="none"/>
                <w:lang w:val="en-US" w:eastAsia="zh-CN"/>
              </w:rPr>
              <w:t>供应商</w:t>
            </w:r>
            <w:r>
              <w:rPr>
                <w:rFonts w:hint="eastAsia" w:ascii="宋体" w:hAnsi="宋体" w:eastAsia="宋体" w:cs="宋体"/>
                <w:b w:val="0"/>
                <w:bCs/>
                <w:color w:val="auto"/>
                <w:kern w:val="2"/>
                <w:sz w:val="21"/>
                <w:szCs w:val="21"/>
                <w:highlight w:val="none"/>
              </w:rPr>
              <w:t>自202</w:t>
            </w:r>
            <w:r>
              <w:rPr>
                <w:rFonts w:hint="eastAsia" w:hAnsi="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rPr>
              <w:t>年以来取得过同类服务项目，以签订的合同为准，每项得</w:t>
            </w:r>
            <w:r>
              <w:rPr>
                <w:rFonts w:hint="eastAsia" w:hAnsi="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分</w:t>
            </w:r>
            <w:r>
              <w:rPr>
                <w:rFonts w:hint="eastAsia" w:hAnsi="宋体" w:eastAsia="宋体" w:cs="宋体"/>
                <w:b w:val="0"/>
                <w:bCs/>
                <w:color w:val="auto"/>
                <w:kern w:val="2"/>
                <w:sz w:val="21"/>
                <w:szCs w:val="21"/>
                <w:highlight w:val="none"/>
                <w:lang w:eastAsia="zh-CN"/>
              </w:rPr>
              <w:t>，</w:t>
            </w:r>
            <w:r>
              <w:rPr>
                <w:rFonts w:hint="eastAsia" w:ascii="宋体" w:hAnsi="宋体" w:eastAsia="宋体" w:cs="宋体"/>
                <w:b w:val="0"/>
                <w:bCs/>
                <w:color w:val="auto"/>
                <w:kern w:val="2"/>
                <w:sz w:val="21"/>
                <w:szCs w:val="21"/>
                <w:highlight w:val="none"/>
              </w:rPr>
              <w:t>满分</w:t>
            </w:r>
            <w:r>
              <w:rPr>
                <w:rFonts w:hint="eastAsia" w:hAnsi="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rPr>
              <w:t>分</w:t>
            </w:r>
            <w:r>
              <w:rPr>
                <w:rFonts w:hint="eastAsia" w:hAnsi="宋体" w:eastAsia="宋体" w:cs="宋体"/>
                <w:b w:val="0"/>
                <w:bCs/>
                <w:color w:val="auto"/>
                <w:kern w:val="2"/>
                <w:sz w:val="21"/>
                <w:szCs w:val="21"/>
                <w:highlight w:val="none"/>
                <w:lang w:eastAsia="zh-CN"/>
              </w:rPr>
              <w:t>。</w:t>
            </w:r>
          </w:p>
          <w:p>
            <w:pPr>
              <w:pStyle w:val="3"/>
              <w:spacing w:line="420" w:lineRule="exact"/>
              <w:ind w:firstLine="422"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
                <w:bCs w:val="0"/>
                <w:color w:val="auto"/>
                <w:kern w:val="2"/>
                <w:sz w:val="21"/>
                <w:szCs w:val="21"/>
                <w:highlight w:val="none"/>
              </w:rPr>
              <w:t>注：须附合同</w:t>
            </w:r>
            <w:r>
              <w:rPr>
                <w:rFonts w:hint="eastAsia" w:hAnsi="宋体" w:eastAsia="宋体" w:cs="宋体"/>
                <w:b/>
                <w:bCs w:val="0"/>
                <w:color w:val="auto"/>
                <w:kern w:val="2"/>
                <w:sz w:val="21"/>
                <w:szCs w:val="21"/>
                <w:highlight w:val="none"/>
                <w:lang w:val="en-US" w:eastAsia="zh-CN"/>
              </w:rPr>
              <w:t>或中标通知书</w:t>
            </w:r>
            <w:r>
              <w:rPr>
                <w:rFonts w:hint="eastAsia" w:ascii="宋体" w:hAnsi="宋体" w:eastAsia="宋体" w:cs="宋体"/>
                <w:b/>
                <w:bCs w:val="0"/>
                <w:color w:val="auto"/>
                <w:kern w:val="2"/>
                <w:sz w:val="21"/>
                <w:szCs w:val="21"/>
                <w:highlight w:val="none"/>
              </w:rPr>
              <w:t>复印件</w:t>
            </w:r>
            <w:r>
              <w:rPr>
                <w:rFonts w:hint="eastAsia" w:hAnsi="宋体" w:eastAsia="宋体" w:cs="宋体"/>
                <w:b/>
                <w:bCs w:val="0"/>
                <w:color w:val="auto"/>
                <w:kern w:val="2"/>
                <w:sz w:val="21"/>
                <w:szCs w:val="21"/>
                <w:highlight w:val="none"/>
                <w:lang w:val="en-US" w:eastAsia="zh-CN"/>
              </w:rPr>
              <w:t>并</w:t>
            </w:r>
            <w:r>
              <w:rPr>
                <w:rFonts w:hint="eastAsia" w:ascii="宋体" w:hAnsi="宋体" w:eastAsia="宋体" w:cs="宋体"/>
                <w:b/>
                <w:bCs w:val="0"/>
                <w:color w:val="auto"/>
                <w:kern w:val="2"/>
                <w:sz w:val="21"/>
                <w:szCs w:val="21"/>
                <w:highlight w:val="none"/>
              </w:rPr>
              <w:t>加盖供应商公章，不提供不得分</w:t>
            </w:r>
            <w:r>
              <w:rPr>
                <w:rFonts w:hint="eastAsia" w:hAnsi="宋体" w:eastAsia="宋体" w:cs="宋体"/>
                <w:b/>
                <w:bCs w:val="0"/>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9604" w:type="dxa"/>
            <w:gridSpan w:val="3"/>
            <w:vAlign w:val="top"/>
          </w:tcPr>
          <w:p>
            <w:pPr>
              <w:pStyle w:val="3"/>
              <w:spacing w:line="40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总得分＝1＋2＋3</w:t>
            </w:r>
          </w:p>
        </w:tc>
      </w:tr>
    </w:tbl>
    <w:p/>
    <w:p>
      <w:pPr>
        <w:pStyle w:val="2"/>
      </w:pPr>
    </w:p>
    <w:sectPr>
      <w:pgSz w:w="11906" w:h="16838"/>
      <w:pgMar w:top="1247" w:right="1247" w:bottom="1247" w:left="124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iti SC Medium">
    <w:altName w:val="仿宋"/>
    <w:panose1 w:val="00000000000000000000"/>
    <w:charset w:val="86"/>
    <w:family w:val="auto"/>
    <w:pitch w:val="default"/>
    <w:sig w:usb0="00000000" w:usb1="00000000" w:usb2="00000000" w:usb3="00000000" w:csb0="203E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sans-serif">
    <w:altName w:val="微软雅黑"/>
    <w:panose1 w:val="00000000000000000000"/>
    <w:charset w:val="00"/>
    <w:family w:val="auto"/>
    <w:pitch w:val="default"/>
    <w:sig w:usb0="00000000" w:usb1="00000000" w:usb2="00000000" w:usb3="00000000" w:csb0="00040001" w:csb1="00000000"/>
  </w:font>
  <w:font w:name="思源黑体">
    <w:altName w:val="黑体"/>
    <w:panose1 w:val="020B0400000000000000"/>
    <w:charset w:val="86"/>
    <w:family w:val="auto"/>
    <w:pitch w:val="default"/>
    <w:sig w:usb0="00000000" w:usb1="00000000" w:usb2="00000016" w:usb3="00000000" w:csb0="60060107"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66A74"/>
    <w:multiLevelType w:val="singleLevel"/>
    <w:tmpl w:val="FFF66A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F6535"/>
    <w:rsid w:val="0E4872A5"/>
    <w:rsid w:val="1CD61E30"/>
    <w:rsid w:val="1F367EE7"/>
    <w:rsid w:val="337D6F97"/>
    <w:rsid w:val="46FC6D86"/>
    <w:rsid w:val="6AB9298B"/>
    <w:rsid w:val="6ED835CB"/>
    <w:rsid w:val="742E1773"/>
    <w:rsid w:val="78CB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BodyTextIndent2"/>
    <w:basedOn w:val="1"/>
    <w:qFormat/>
    <w:uiPriority w:val="0"/>
    <w:pPr>
      <w:spacing w:line="240" w:lineRule="auto"/>
      <w:ind w:firstLine="412" w:firstLineChars="196"/>
      <w:jc w:val="both"/>
    </w:pPr>
  </w:style>
  <w:style w:type="paragraph" w:styleId="3">
    <w:name w:val="Plain Text"/>
    <w:basedOn w:val="1"/>
    <w:next w:val="1"/>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2025-07-16T08:05:10Z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