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93184">
      <w:pPr>
        <w:adjustRightInd w:val="0"/>
        <w:snapToGrid w:val="0"/>
        <w:spacing w:line="560" w:lineRule="exact"/>
        <w:jc w:val="center"/>
        <w:rPr>
          <w:rFonts w:ascii="方正小标宋简体" w:hAnsi="方正小标宋简体" w:eastAsia="方正小标宋简体"/>
          <w:sz w:val="24"/>
          <w:szCs w:val="72"/>
          <w:highlight w:val="none"/>
        </w:rPr>
      </w:pPr>
    </w:p>
    <w:p w14:paraId="298EDA8C">
      <w:pPr>
        <w:adjustRightInd w:val="0"/>
        <w:snapToGrid w:val="0"/>
        <w:spacing w:line="560" w:lineRule="exact"/>
        <w:jc w:val="center"/>
        <w:rPr>
          <w:rFonts w:ascii="方正小标宋简体" w:hAnsi="方正小标宋简体" w:eastAsia="方正小标宋简体"/>
          <w:szCs w:val="72"/>
          <w:highlight w:val="none"/>
        </w:rPr>
      </w:pPr>
    </w:p>
    <w:p w14:paraId="0DB9C0ED">
      <w:pPr>
        <w:adjustRightInd w:val="0"/>
        <w:snapToGrid w:val="0"/>
        <w:spacing w:line="560" w:lineRule="exact"/>
        <w:jc w:val="center"/>
        <w:rPr>
          <w:rFonts w:ascii="方正小标宋简体" w:hAnsi="方正小标宋简体" w:eastAsia="方正小标宋简体"/>
          <w:szCs w:val="72"/>
          <w:highlight w:val="none"/>
        </w:rPr>
      </w:pPr>
    </w:p>
    <w:p w14:paraId="5E0C5C95">
      <w:pPr>
        <w:adjustRightInd w:val="0"/>
        <w:snapToGrid w:val="0"/>
        <w:spacing w:line="560" w:lineRule="exact"/>
        <w:jc w:val="center"/>
        <w:rPr>
          <w:rFonts w:ascii="方正小标宋简体" w:hAnsi="方正小标宋简体" w:eastAsia="方正小标宋简体"/>
          <w:szCs w:val="72"/>
          <w:highlight w:val="none"/>
        </w:rPr>
      </w:pPr>
    </w:p>
    <w:p w14:paraId="01D8EE7F">
      <w:pPr>
        <w:adjustRightInd w:val="0"/>
        <w:snapToGrid w:val="0"/>
        <w:spacing w:line="1600" w:lineRule="atLeast"/>
        <w:jc w:val="center"/>
        <w:rPr>
          <w:rFonts w:ascii="方正小标宋简体" w:hAnsi="方正小标宋简体" w:eastAsia="方正小标宋简体"/>
          <w:sz w:val="72"/>
          <w:szCs w:val="72"/>
          <w:highlight w:val="none"/>
        </w:rPr>
      </w:pPr>
      <w:r>
        <w:rPr>
          <w:rFonts w:hint="eastAsia" w:ascii="方正小标宋简体" w:hAnsi="方正小标宋简体" w:eastAsia="方正小标宋简体"/>
          <w:sz w:val="72"/>
          <w:szCs w:val="72"/>
          <w:highlight w:val="none"/>
        </w:rPr>
        <w:t>广州医科大学附属市八医院</w:t>
      </w:r>
    </w:p>
    <w:p w14:paraId="01E791D0">
      <w:pPr>
        <w:adjustRightInd w:val="0"/>
        <w:snapToGrid w:val="0"/>
        <w:spacing w:line="1600" w:lineRule="atLeast"/>
        <w:jc w:val="center"/>
        <w:rPr>
          <w:rFonts w:hint="eastAsia" w:ascii="方正小标宋简体" w:hAnsi="方正小标宋简体" w:eastAsia="方正小标宋简体"/>
          <w:sz w:val="72"/>
          <w:szCs w:val="72"/>
          <w:highlight w:val="none"/>
          <w:lang w:val="en-US" w:eastAsia="zh-CN"/>
        </w:rPr>
      </w:pPr>
      <w:r>
        <w:rPr>
          <w:rFonts w:hint="eastAsia" w:ascii="方正小标宋简体" w:hAnsi="方正小标宋简体" w:eastAsia="方正小标宋简体"/>
          <w:sz w:val="72"/>
          <w:szCs w:val="72"/>
          <w:highlight w:val="none"/>
          <w:lang w:val="en-US" w:eastAsia="zh-CN"/>
        </w:rPr>
        <w:t>采购需求</w:t>
      </w:r>
    </w:p>
    <w:p w14:paraId="4543BDFB">
      <w:pPr>
        <w:adjustRightInd w:val="0"/>
        <w:snapToGrid w:val="0"/>
        <w:jc w:val="center"/>
        <w:rPr>
          <w:rFonts w:ascii="黑体" w:hAnsi="黑体" w:eastAsia="黑体"/>
          <w:bCs/>
          <w:color w:val="000000"/>
          <w:sz w:val="28"/>
          <w:szCs w:val="28"/>
          <w:highlight w:val="none"/>
        </w:rPr>
      </w:pPr>
    </w:p>
    <w:p w14:paraId="64708F4A">
      <w:pPr>
        <w:adjustRightInd w:val="0"/>
        <w:snapToGrid w:val="0"/>
        <w:jc w:val="center"/>
        <w:rPr>
          <w:rFonts w:ascii="黑体" w:hAnsi="黑体" w:eastAsia="黑体"/>
          <w:bCs/>
          <w:color w:val="000000"/>
          <w:sz w:val="28"/>
          <w:szCs w:val="28"/>
          <w:highlight w:val="none"/>
        </w:rPr>
      </w:pPr>
    </w:p>
    <w:p w14:paraId="5F81D5CA">
      <w:pPr>
        <w:adjustRightInd w:val="0"/>
        <w:snapToGrid w:val="0"/>
        <w:spacing w:line="500" w:lineRule="exact"/>
        <w:ind w:firstLine="560" w:firstLineChars="200"/>
        <w:jc w:val="center"/>
        <w:rPr>
          <w:rFonts w:asciiTheme="minorEastAsia" w:hAnsiTheme="minorEastAsia" w:eastAsiaTheme="minorEastAsia"/>
          <w:bCs/>
          <w:color w:val="000000"/>
          <w:sz w:val="28"/>
          <w:szCs w:val="28"/>
          <w:highlight w:val="none"/>
        </w:rPr>
      </w:pPr>
    </w:p>
    <w:p w14:paraId="3B428EE5">
      <w:pPr>
        <w:pStyle w:val="3"/>
        <w:rPr>
          <w:rFonts w:asciiTheme="minorEastAsia" w:hAnsiTheme="minorEastAsia" w:eastAsiaTheme="minorEastAsia"/>
          <w:bCs/>
          <w:color w:val="000000"/>
          <w:sz w:val="28"/>
          <w:szCs w:val="28"/>
          <w:highlight w:val="none"/>
        </w:rPr>
      </w:pPr>
    </w:p>
    <w:p w14:paraId="5CB63553"/>
    <w:tbl>
      <w:tblPr>
        <w:tblStyle w:val="22"/>
        <w:tblpPr w:leftFromText="180" w:rightFromText="180" w:vertAnchor="text" w:horzAnchor="page" w:tblpX="1589" w:tblpY="47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4"/>
        <w:gridCol w:w="6856"/>
      </w:tblGrid>
      <w:tr w14:paraId="5216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16" w:type="pct"/>
            <w:tcBorders>
              <w:tl2br w:val="nil"/>
              <w:tr2bl w:val="nil"/>
            </w:tcBorders>
            <w:vAlign w:val="center"/>
          </w:tcPr>
          <w:p w14:paraId="66041B8F">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vertAlign w:val="baseline"/>
              </w:rPr>
            </w:pPr>
            <w:r>
              <w:rPr>
                <w:rFonts w:hint="eastAsia" w:ascii="黑体" w:hAnsi="黑体" w:eastAsia="黑体" w:cs="黑体"/>
                <w:bCs/>
                <w:color w:val="auto"/>
                <w:sz w:val="28"/>
                <w:szCs w:val="28"/>
                <w:highlight w:val="none"/>
                <w:lang w:val="en-US" w:eastAsia="zh-CN"/>
              </w:rPr>
              <w:t>项目编号：</w:t>
            </w:r>
          </w:p>
        </w:tc>
        <w:tc>
          <w:tcPr>
            <w:tcW w:w="3783" w:type="pct"/>
            <w:tcBorders>
              <w:bottom w:val="single" w:color="auto" w:sz="4" w:space="0"/>
            </w:tcBorders>
            <w:vAlign w:val="center"/>
          </w:tcPr>
          <w:p w14:paraId="40041A99">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Cs/>
                <w:color w:val="000000"/>
                <w:sz w:val="28"/>
                <w:szCs w:val="28"/>
                <w:highlight w:val="none"/>
                <w:vertAlign w:val="baseline"/>
                <w:lang w:val="en-US" w:eastAsia="zh-CN"/>
              </w:rPr>
            </w:pPr>
            <w:r>
              <w:rPr>
                <w:rFonts w:hint="eastAsia" w:ascii="黑体" w:hAnsi="黑体" w:eastAsia="黑体" w:cs="黑体"/>
                <w:bCs/>
                <w:color w:val="000000"/>
                <w:sz w:val="28"/>
                <w:szCs w:val="28"/>
                <w:highlight w:val="none"/>
                <w:vertAlign w:val="baseline"/>
                <w:lang w:val="en-US" w:eastAsia="zh-CN"/>
              </w:rPr>
              <w:t>CG2025129</w:t>
            </w:r>
          </w:p>
        </w:tc>
      </w:tr>
      <w:tr w14:paraId="0279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6" w:type="pct"/>
            <w:tcBorders>
              <w:tl2br w:val="nil"/>
              <w:tr2bl w:val="nil"/>
            </w:tcBorders>
            <w:vAlign w:val="center"/>
          </w:tcPr>
          <w:p w14:paraId="28AF557F">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vertAlign w:val="baseline"/>
              </w:rPr>
            </w:pPr>
            <w:r>
              <w:rPr>
                <w:rFonts w:hint="eastAsia" w:ascii="黑体" w:hAnsi="黑体" w:eastAsia="黑体" w:cs="黑体"/>
                <w:bCs/>
                <w:color w:val="auto"/>
                <w:sz w:val="28"/>
                <w:szCs w:val="28"/>
                <w:highlight w:val="none"/>
                <w:lang w:val="en-US" w:eastAsia="zh-CN"/>
              </w:rPr>
              <w:t>项目名称：</w:t>
            </w:r>
          </w:p>
        </w:tc>
        <w:tc>
          <w:tcPr>
            <w:tcW w:w="3783" w:type="pct"/>
            <w:tcBorders>
              <w:top w:val="single" w:color="auto" w:sz="4" w:space="0"/>
              <w:bottom w:val="single" w:color="auto" w:sz="4" w:space="0"/>
            </w:tcBorders>
            <w:vAlign w:val="center"/>
          </w:tcPr>
          <w:p w14:paraId="04CB83B7">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000000"/>
                <w:sz w:val="28"/>
                <w:szCs w:val="28"/>
                <w:highlight w:val="none"/>
                <w:vertAlign w:val="baseline"/>
              </w:rPr>
            </w:pPr>
            <w:r>
              <w:rPr>
                <w:rFonts w:hint="eastAsia" w:ascii="黑体" w:hAnsi="黑体" w:eastAsia="黑体" w:cs="黑体"/>
                <w:bCs/>
                <w:color w:val="auto"/>
                <w:sz w:val="28"/>
                <w:szCs w:val="28"/>
                <w:highlight w:val="none"/>
                <w:lang w:val="en-US" w:eastAsia="zh-CN"/>
              </w:rPr>
              <w:t>灭治红白蚁、除四害服务采购项目</w:t>
            </w:r>
          </w:p>
        </w:tc>
      </w:tr>
    </w:tbl>
    <w:p w14:paraId="454F0CA1">
      <w:pPr>
        <w:adjustRightInd w:val="0"/>
        <w:snapToGrid w:val="0"/>
        <w:spacing w:line="500" w:lineRule="exact"/>
        <w:ind w:firstLine="560" w:firstLineChars="200"/>
        <w:jc w:val="center"/>
        <w:rPr>
          <w:rFonts w:asciiTheme="minorEastAsia" w:hAnsiTheme="minorEastAsia" w:eastAsiaTheme="minorEastAsia"/>
          <w:bCs/>
          <w:color w:val="000000"/>
          <w:sz w:val="28"/>
          <w:szCs w:val="28"/>
          <w:highlight w:val="none"/>
        </w:rPr>
      </w:pPr>
    </w:p>
    <w:p w14:paraId="0C15D999">
      <w:pPr>
        <w:pStyle w:val="10"/>
        <w:rPr>
          <w:rFonts w:asciiTheme="minorEastAsia" w:hAnsiTheme="minorEastAsia" w:eastAsiaTheme="minorEastAsia"/>
          <w:bCs/>
          <w:color w:val="000000"/>
          <w:sz w:val="28"/>
          <w:szCs w:val="28"/>
          <w:highlight w:val="none"/>
        </w:rPr>
      </w:pPr>
    </w:p>
    <w:p w14:paraId="3B7B36F0">
      <w:pPr>
        <w:spacing w:line="360" w:lineRule="auto"/>
        <w:ind w:firstLine="640" w:firstLineChars="200"/>
        <w:jc w:val="center"/>
        <w:rPr>
          <w:rFonts w:hint="default" w:ascii="黑体" w:hAnsi="黑体" w:eastAsia="黑体" w:cs="黑体"/>
          <w:bCs/>
          <w:sz w:val="32"/>
          <w:szCs w:val="32"/>
          <w:highlight w:val="none"/>
          <w:lang w:val="en-US" w:eastAsia="zh-CN"/>
        </w:rPr>
      </w:pPr>
    </w:p>
    <w:p w14:paraId="0874334C">
      <w:pPr>
        <w:spacing w:line="360" w:lineRule="auto"/>
        <w:ind w:firstLine="640" w:firstLineChars="200"/>
        <w:jc w:val="center"/>
        <w:rPr>
          <w:sz w:val="32"/>
          <w:szCs w:val="32"/>
        </w:rPr>
      </w:pPr>
    </w:p>
    <w:p w14:paraId="5E3DD638">
      <w:pPr>
        <w:pStyle w:val="43"/>
        <w:jc w:val="center"/>
        <w:rPr>
          <w:rFonts w:ascii="Calibri" w:hAnsi="Calibri" w:eastAsia="宋体" w:cs="Times New Roman"/>
          <w:color w:val="auto"/>
          <w:kern w:val="2"/>
          <w:sz w:val="21"/>
          <w:szCs w:val="21"/>
          <w:highlight w:val="none"/>
          <w:lang w:val="zh-CN"/>
        </w:rPr>
        <w:sectPr>
          <w:type w:val="continuous"/>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pPr>
    </w:p>
    <w:sdt>
      <w:sdtPr>
        <w:rPr>
          <w:rFonts w:ascii="Calibri" w:hAnsi="Calibri" w:eastAsia="宋体" w:cs="Times New Roman"/>
          <w:color w:val="auto"/>
          <w:kern w:val="2"/>
          <w:sz w:val="21"/>
          <w:szCs w:val="21"/>
          <w:highlight w:val="none"/>
          <w:lang w:val="zh-CN"/>
        </w:rPr>
        <w:id w:val="-587458371"/>
        <w:docPartObj>
          <w:docPartGallery w:val="Table of Contents"/>
          <w:docPartUnique/>
        </w:docPartObj>
      </w:sdtPr>
      <w:sdtEndPr>
        <w:rPr>
          <w:rFonts w:ascii="Calibri" w:hAnsi="Calibri" w:eastAsia="宋体" w:cs="Times New Roman"/>
          <w:b/>
          <w:bCs/>
          <w:color w:val="auto"/>
          <w:kern w:val="2"/>
          <w:sz w:val="21"/>
          <w:szCs w:val="21"/>
          <w:highlight w:val="none"/>
          <w:lang w:val="zh-CN"/>
        </w:rPr>
      </w:sdtEndPr>
      <w:sdtContent>
        <w:p w14:paraId="55F85392">
          <w:pPr>
            <w:pStyle w:val="43"/>
            <w:jc w:val="center"/>
            <w:rPr>
              <w:rFonts w:ascii="黑体" w:hAnsi="黑体" w:eastAsia="黑体"/>
              <w:color w:val="000000" w:themeColor="text1"/>
              <w:sz w:val="44"/>
              <w:highlight w:val="none"/>
              <w:lang w:val="zh-CN"/>
              <w14:textFill>
                <w14:solidFill>
                  <w14:schemeClr w14:val="tx1"/>
                </w14:solidFill>
              </w14:textFill>
            </w:rPr>
          </w:pPr>
          <w:r>
            <w:rPr>
              <w:rFonts w:ascii="黑体" w:hAnsi="黑体" w:eastAsia="黑体"/>
              <w:color w:val="000000" w:themeColor="text1"/>
              <w:sz w:val="44"/>
              <w:highlight w:val="none"/>
              <w:lang w:val="zh-CN"/>
              <w14:textFill>
                <w14:solidFill>
                  <w14:schemeClr w14:val="tx1"/>
                </w14:solidFill>
              </w14:textFill>
            </w:rPr>
            <w:t>目</w:t>
          </w:r>
          <w:r>
            <w:rPr>
              <w:rFonts w:hint="eastAsia" w:ascii="黑体" w:hAnsi="黑体" w:eastAsia="黑体"/>
              <w:color w:val="000000" w:themeColor="text1"/>
              <w:sz w:val="44"/>
              <w:highlight w:val="none"/>
              <w:lang w:val="zh-CN"/>
              <w14:textFill>
                <w14:solidFill>
                  <w14:schemeClr w14:val="tx1"/>
                </w14:solidFill>
              </w14:textFill>
            </w:rPr>
            <w:t xml:space="preserve"> </w:t>
          </w:r>
          <w:r>
            <w:rPr>
              <w:rFonts w:ascii="黑体" w:hAnsi="黑体" w:eastAsia="黑体"/>
              <w:color w:val="000000" w:themeColor="text1"/>
              <w:sz w:val="44"/>
              <w:highlight w:val="none"/>
              <w:lang w:val="zh-CN"/>
              <w14:textFill>
                <w14:solidFill>
                  <w14:schemeClr w14:val="tx1"/>
                </w14:solidFill>
              </w14:textFill>
            </w:rPr>
            <w:t xml:space="preserve"> 录</w:t>
          </w:r>
        </w:p>
        <w:p w14:paraId="1F242F45">
          <w:pPr>
            <w:spacing w:line="320" w:lineRule="exact"/>
            <w:rPr>
              <w:highlight w:val="none"/>
              <w:lang w:val="zh-CN"/>
            </w:rPr>
          </w:pPr>
        </w:p>
        <w:p w14:paraId="6CFBD800">
          <w:pPr>
            <w:pStyle w:val="17"/>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_Toc28663 </w:instrText>
          </w:r>
          <w:r>
            <w:rPr>
              <w:highlight w:val="none"/>
            </w:rPr>
            <w:fldChar w:fldCharType="separate"/>
          </w:r>
          <w:r>
            <w:rPr>
              <w:rFonts w:hint="eastAsia" w:ascii="方正小标宋简体" w:hAnsi="方正小标宋简体" w:eastAsia="方正小标宋简体"/>
              <w:highlight w:val="none"/>
              <w:lang w:val="en-US" w:eastAsia="zh-CN"/>
            </w:rPr>
            <w:t>第一章 谈判邀请</w:t>
          </w:r>
          <w:r>
            <w:tab/>
          </w:r>
          <w:r>
            <w:fldChar w:fldCharType="begin"/>
          </w:r>
          <w:r>
            <w:instrText xml:space="preserve"> PAGEREF _Toc28663 \h </w:instrText>
          </w:r>
          <w:r>
            <w:fldChar w:fldCharType="separate"/>
          </w:r>
          <w:r>
            <w:t>- 1 -</w:t>
          </w:r>
          <w:r>
            <w:fldChar w:fldCharType="end"/>
          </w:r>
          <w:r>
            <w:rPr>
              <w:highlight w:val="none"/>
            </w:rPr>
            <w:fldChar w:fldCharType="end"/>
          </w:r>
        </w:p>
        <w:p w14:paraId="22A6E9D9">
          <w:pPr>
            <w:pStyle w:val="18"/>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_Toc21988 </w:instrText>
          </w:r>
          <w:r>
            <w:rPr>
              <w:highlight w:val="none"/>
            </w:rPr>
            <w:fldChar w:fldCharType="separate"/>
          </w:r>
          <w:r>
            <w:rPr>
              <w:rFonts w:hint="eastAsia" w:ascii="黑体" w:hAnsi="黑体" w:eastAsia="黑体"/>
              <w:szCs w:val="32"/>
              <w:highlight w:val="none"/>
              <w:lang w:val="en-US" w:eastAsia="zh-CN"/>
            </w:rPr>
            <w:t>一、项目概述</w:t>
          </w:r>
          <w:r>
            <w:tab/>
          </w:r>
          <w:r>
            <w:fldChar w:fldCharType="begin"/>
          </w:r>
          <w:r>
            <w:instrText xml:space="preserve"> PAGEREF _Toc21988 \h </w:instrText>
          </w:r>
          <w:r>
            <w:fldChar w:fldCharType="separate"/>
          </w:r>
          <w:r>
            <w:t>- 1 -</w:t>
          </w:r>
          <w:r>
            <w:fldChar w:fldCharType="end"/>
          </w:r>
          <w:r>
            <w:rPr>
              <w:highlight w:val="none"/>
            </w:rPr>
            <w:fldChar w:fldCharType="end"/>
          </w:r>
        </w:p>
        <w:p w14:paraId="45D24F63">
          <w:pPr>
            <w:pStyle w:val="18"/>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_Toc12677 </w:instrText>
          </w:r>
          <w:r>
            <w:rPr>
              <w:highlight w:val="none"/>
            </w:rPr>
            <w:fldChar w:fldCharType="separate"/>
          </w:r>
          <w:r>
            <w:rPr>
              <w:rFonts w:hint="eastAsia" w:ascii="黑体" w:hAnsi="黑体" w:eastAsia="黑体"/>
              <w:szCs w:val="32"/>
              <w:highlight w:val="none"/>
            </w:rPr>
            <w:t>二、</w:t>
          </w:r>
          <w:r>
            <w:rPr>
              <w:rFonts w:hint="eastAsia" w:ascii="黑体" w:hAnsi="黑体" w:eastAsia="黑体"/>
              <w:szCs w:val="32"/>
              <w:highlight w:val="none"/>
              <w:lang w:val="en-US" w:eastAsia="zh-CN"/>
            </w:rPr>
            <w:t>项目内容及需求情况</w:t>
          </w:r>
          <w:r>
            <w:tab/>
          </w:r>
          <w:r>
            <w:fldChar w:fldCharType="begin"/>
          </w:r>
          <w:r>
            <w:instrText xml:space="preserve"> PAGEREF _Toc12677 \h </w:instrText>
          </w:r>
          <w:r>
            <w:fldChar w:fldCharType="separate"/>
          </w:r>
          <w:r>
            <w:t>- 1 -</w:t>
          </w:r>
          <w:r>
            <w:fldChar w:fldCharType="end"/>
          </w:r>
          <w:r>
            <w:rPr>
              <w:highlight w:val="none"/>
            </w:rPr>
            <w:fldChar w:fldCharType="end"/>
          </w:r>
        </w:p>
        <w:p w14:paraId="19CBCB44">
          <w:pPr>
            <w:pStyle w:val="18"/>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_Toc19099 </w:instrText>
          </w:r>
          <w:r>
            <w:rPr>
              <w:highlight w:val="none"/>
            </w:rPr>
            <w:fldChar w:fldCharType="separate"/>
          </w:r>
          <w:r>
            <w:rPr>
              <w:rFonts w:hint="eastAsia" w:ascii="黑体" w:hAnsi="黑体" w:eastAsia="黑体"/>
              <w:szCs w:val="32"/>
              <w:highlight w:val="none"/>
              <w:lang w:val="en-US" w:eastAsia="zh-CN"/>
            </w:rPr>
            <w:t>三、本项目联系方式</w:t>
          </w:r>
          <w:r>
            <w:tab/>
          </w:r>
          <w:r>
            <w:fldChar w:fldCharType="begin"/>
          </w:r>
          <w:r>
            <w:instrText xml:space="preserve"> PAGEREF _Toc19099 \h </w:instrText>
          </w:r>
          <w:r>
            <w:fldChar w:fldCharType="separate"/>
          </w:r>
          <w:r>
            <w:t>- 1 -</w:t>
          </w:r>
          <w:r>
            <w:fldChar w:fldCharType="end"/>
          </w:r>
          <w:r>
            <w:rPr>
              <w:highlight w:val="none"/>
            </w:rPr>
            <w:fldChar w:fldCharType="end"/>
          </w:r>
        </w:p>
        <w:p w14:paraId="33B1C830">
          <w:pPr>
            <w:pStyle w:val="17"/>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_Toc16089 </w:instrText>
          </w:r>
          <w:r>
            <w:rPr>
              <w:highlight w:val="none"/>
            </w:rPr>
            <w:fldChar w:fldCharType="separate"/>
          </w:r>
          <w:r>
            <w:rPr>
              <w:rFonts w:hint="eastAsia" w:ascii="方正小标宋简体" w:hAnsi="方正小标宋简体" w:eastAsia="方正小标宋简体"/>
              <w:highlight w:val="none"/>
              <w:lang w:val="en-US" w:eastAsia="zh-CN"/>
            </w:rPr>
            <w:t>第二章</w:t>
          </w:r>
          <w:r>
            <w:rPr>
              <w:rFonts w:hint="default" w:ascii="方正小标宋简体" w:hAnsi="方正小标宋简体" w:eastAsia="方正小标宋简体"/>
              <w:highlight w:val="none"/>
              <w:lang w:val="en-US" w:eastAsia="zh-CN"/>
            </w:rPr>
            <w:t xml:space="preserve"> </w:t>
          </w:r>
          <w:r>
            <w:rPr>
              <w:rFonts w:hint="eastAsia" w:ascii="方正小标宋简体" w:hAnsi="方正小标宋简体" w:eastAsia="方正小标宋简体"/>
              <w:highlight w:val="none"/>
            </w:rPr>
            <w:t>采购需求</w:t>
          </w:r>
          <w:r>
            <w:tab/>
          </w:r>
          <w:r>
            <w:fldChar w:fldCharType="begin"/>
          </w:r>
          <w:r>
            <w:instrText xml:space="preserve"> PAGEREF _Toc16089 \h </w:instrText>
          </w:r>
          <w:r>
            <w:fldChar w:fldCharType="separate"/>
          </w:r>
          <w:r>
            <w:t>- 2 -</w:t>
          </w:r>
          <w:r>
            <w:fldChar w:fldCharType="end"/>
          </w:r>
          <w:r>
            <w:rPr>
              <w:highlight w:val="none"/>
            </w:rPr>
            <w:fldChar w:fldCharType="end"/>
          </w:r>
        </w:p>
        <w:p w14:paraId="50111D93">
          <w:pPr>
            <w:pStyle w:val="18"/>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_Toc6475 </w:instrText>
          </w:r>
          <w:r>
            <w:rPr>
              <w:highlight w:val="none"/>
            </w:rPr>
            <w:fldChar w:fldCharType="separate"/>
          </w:r>
          <w:r>
            <w:rPr>
              <w:rFonts w:hint="eastAsia" w:ascii="黑体" w:hAnsi="黑体" w:eastAsia="黑体"/>
              <w:szCs w:val="32"/>
              <w:highlight w:val="none"/>
              <w:lang w:val="en-US" w:eastAsia="zh-CN"/>
            </w:rPr>
            <w:t>一、主要商务要求</w:t>
          </w:r>
          <w:r>
            <w:tab/>
          </w:r>
          <w:r>
            <w:fldChar w:fldCharType="begin"/>
          </w:r>
          <w:r>
            <w:instrText xml:space="preserve"> PAGEREF _Toc6475 \h </w:instrText>
          </w:r>
          <w:r>
            <w:fldChar w:fldCharType="separate"/>
          </w:r>
          <w:r>
            <w:t>- 2 -</w:t>
          </w:r>
          <w:r>
            <w:fldChar w:fldCharType="end"/>
          </w:r>
          <w:r>
            <w:rPr>
              <w:highlight w:val="none"/>
            </w:rPr>
            <w:fldChar w:fldCharType="end"/>
          </w:r>
        </w:p>
        <w:p w14:paraId="1F5FB0FE">
          <w:pPr>
            <w:pStyle w:val="18"/>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_Toc17251 </w:instrText>
          </w:r>
          <w:r>
            <w:rPr>
              <w:highlight w:val="none"/>
            </w:rPr>
            <w:fldChar w:fldCharType="separate"/>
          </w:r>
          <w:r>
            <w:rPr>
              <w:rFonts w:hint="eastAsia" w:ascii="黑体" w:hAnsi="黑体" w:eastAsia="黑体"/>
              <w:szCs w:val="32"/>
              <w:highlight w:val="none"/>
              <w:lang w:val="en-US" w:eastAsia="zh-CN"/>
            </w:rPr>
            <w:t>二、技术标准与要求</w:t>
          </w:r>
          <w:r>
            <w:tab/>
          </w:r>
          <w:r>
            <w:fldChar w:fldCharType="begin"/>
          </w:r>
          <w:r>
            <w:instrText xml:space="preserve"> PAGEREF _Toc17251 \h </w:instrText>
          </w:r>
          <w:r>
            <w:fldChar w:fldCharType="separate"/>
          </w:r>
          <w:r>
            <w:t>- 3 -</w:t>
          </w:r>
          <w:r>
            <w:fldChar w:fldCharType="end"/>
          </w:r>
          <w:r>
            <w:rPr>
              <w:highlight w:val="none"/>
            </w:rPr>
            <w:fldChar w:fldCharType="end"/>
          </w:r>
        </w:p>
        <w:p w14:paraId="1307E926">
          <w:pPr>
            <w:pStyle w:val="17"/>
            <w:keepNext w:val="0"/>
            <w:keepLines w:val="0"/>
            <w:pageBreakBefore w:val="0"/>
            <w:widowControl w:val="0"/>
            <w:tabs>
              <w:tab w:val="right" w:leader="dot" w:pos="8844"/>
            </w:tabs>
            <w:kinsoku/>
            <w:wordWrap/>
            <w:overflowPunct/>
            <w:topLinePunct w:val="0"/>
            <w:autoSpaceDE/>
            <w:autoSpaceDN/>
            <w:bidi w:val="0"/>
            <w:adjustRightInd/>
            <w:snapToGrid/>
            <w:spacing w:line="1000" w:lineRule="exact"/>
            <w:textAlignment w:val="auto"/>
          </w:pPr>
          <w:r>
            <w:rPr>
              <w:highlight w:val="none"/>
            </w:rPr>
            <w:fldChar w:fldCharType="begin"/>
          </w:r>
          <w:r>
            <w:rPr>
              <w:highlight w:val="none"/>
            </w:rPr>
            <w:instrText xml:space="preserve"> HYPERLINK \l _Toc15360 </w:instrText>
          </w:r>
          <w:r>
            <w:rPr>
              <w:highlight w:val="none"/>
            </w:rPr>
            <w:fldChar w:fldCharType="separate"/>
          </w:r>
          <w:r>
            <w:rPr>
              <w:rFonts w:hint="eastAsia" w:ascii="方正小标宋简体" w:hAnsi="方正小标宋简体" w:eastAsia="方正小标宋简体"/>
              <w:highlight w:val="none"/>
              <w:lang w:val="en-US" w:eastAsia="zh-CN"/>
            </w:rPr>
            <w:t>第三章</w:t>
          </w:r>
          <w:r>
            <w:rPr>
              <w:rFonts w:hint="default" w:ascii="方正小标宋简体" w:hAnsi="方正小标宋简体" w:eastAsia="方正小标宋简体"/>
              <w:highlight w:val="none"/>
              <w:lang w:val="en-US" w:eastAsia="zh-CN"/>
            </w:rPr>
            <w:t xml:space="preserve"> </w:t>
          </w:r>
          <w:r>
            <w:rPr>
              <w:rFonts w:hint="eastAsia" w:ascii="方正小标宋简体" w:hAnsi="方正小标宋简体" w:eastAsia="方正小标宋简体"/>
              <w:highlight w:val="none"/>
              <w:lang w:val="en-US" w:eastAsia="zh-CN"/>
            </w:rPr>
            <w:t>评分标准</w:t>
          </w:r>
          <w:r>
            <w:tab/>
          </w:r>
          <w:r>
            <w:fldChar w:fldCharType="begin"/>
          </w:r>
          <w:r>
            <w:instrText xml:space="preserve"> PAGEREF _Toc15360 \h </w:instrText>
          </w:r>
          <w:r>
            <w:fldChar w:fldCharType="separate"/>
          </w:r>
          <w:r>
            <w:t>- 15 -</w:t>
          </w:r>
          <w:r>
            <w:fldChar w:fldCharType="end"/>
          </w:r>
          <w:r>
            <w:rPr>
              <w:highlight w:val="none"/>
            </w:rPr>
            <w:fldChar w:fldCharType="end"/>
          </w:r>
        </w:p>
        <w:p w14:paraId="4AF745DB">
          <w:pPr>
            <w:spacing w:line="480" w:lineRule="exact"/>
            <w:rPr>
              <w:rFonts w:hint="eastAsia"/>
            </w:rPr>
          </w:pPr>
          <w:r>
            <w:rPr>
              <w:highlight w:val="none"/>
            </w:rPr>
            <w:fldChar w:fldCharType="end"/>
          </w:r>
        </w:p>
      </w:sdtContent>
    </w:sdt>
    <w:p w14:paraId="6EFCEA95">
      <w:pPr>
        <w:bidi w:val="0"/>
        <w:rPr>
          <w:rFonts w:hint="eastAsia"/>
        </w:rPr>
      </w:pPr>
    </w:p>
    <w:p w14:paraId="77D4B976">
      <w:pPr>
        <w:bidi w:val="0"/>
        <w:rPr>
          <w:rFonts w:hint="eastAsia"/>
        </w:rPr>
      </w:pPr>
    </w:p>
    <w:p w14:paraId="427C449A">
      <w:pPr>
        <w:bidi w:val="0"/>
        <w:rPr>
          <w:rFonts w:hint="eastAsia"/>
        </w:rPr>
      </w:pPr>
    </w:p>
    <w:p w14:paraId="71D986F2">
      <w:pPr>
        <w:bidi w:val="0"/>
        <w:rPr>
          <w:rFonts w:hint="eastAsia"/>
        </w:rPr>
      </w:pPr>
    </w:p>
    <w:p w14:paraId="4B551643">
      <w:pPr>
        <w:bidi w:val="0"/>
        <w:rPr>
          <w:rFonts w:hint="eastAsia"/>
        </w:rPr>
      </w:pPr>
    </w:p>
    <w:p w14:paraId="2925DCA2">
      <w:pPr>
        <w:bidi w:val="0"/>
        <w:rPr>
          <w:rFonts w:hint="eastAsia"/>
        </w:rPr>
      </w:pPr>
    </w:p>
    <w:p w14:paraId="43C62C93">
      <w:pPr>
        <w:bidi w:val="0"/>
        <w:rPr>
          <w:rFonts w:hint="eastAsia"/>
        </w:rPr>
      </w:pPr>
    </w:p>
    <w:p w14:paraId="07ADBB3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b w:val="0"/>
          <w:highlight w:val="none"/>
          <w:lang w:val="en-US" w:eastAsia="zh-CN"/>
        </w:rPr>
        <w:sectPr>
          <w:footerReference r:id="rId3" w:type="default"/>
          <w:footerReference r:id="rId4" w:type="even"/>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pPr>
    </w:p>
    <w:p w14:paraId="5397B502">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b w:val="0"/>
          <w:highlight w:val="none"/>
          <w:lang w:val="en-US" w:eastAsia="zh-CN"/>
        </w:rPr>
      </w:pPr>
      <w:bookmarkStart w:id="0" w:name="_Toc28663"/>
      <w:r>
        <w:rPr>
          <w:rFonts w:hint="eastAsia" w:ascii="方正小标宋简体" w:hAnsi="方正小标宋简体" w:eastAsia="方正小标宋简体"/>
          <w:b w:val="0"/>
          <w:highlight w:val="none"/>
          <w:lang w:val="en-US" w:eastAsia="zh-CN"/>
        </w:rPr>
        <w:t>第一章 谈判邀请</w:t>
      </w:r>
      <w:bookmarkEnd w:id="0"/>
    </w:p>
    <w:p w14:paraId="7D1CDD9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我院</w:t>
      </w:r>
      <w:r>
        <w:rPr>
          <w:rFonts w:hint="eastAsia" w:ascii="仿宋" w:hAnsi="仿宋" w:cs="仿宋"/>
          <w:bCs w:val="0"/>
          <w:color w:val="auto"/>
          <w:kern w:val="2"/>
          <w:sz w:val="32"/>
          <w:szCs w:val="32"/>
          <w:highlight w:val="none"/>
          <w:lang w:val="en-US" w:eastAsia="zh-CN" w:bidi="ar-SA"/>
        </w:rPr>
        <w:t>采用院内谈判的方式组织采购灭治红白蚁、除四害服务采购项目，欢迎符合资格条件的国内供应商参加谈判。</w:t>
      </w:r>
    </w:p>
    <w:p w14:paraId="62F2AFC3">
      <w:pPr>
        <w:pStyle w:val="3"/>
        <w:pageBreakBefore w:val="0"/>
        <w:widowControl w:val="0"/>
        <w:kinsoku/>
        <w:wordWrap/>
        <w:overflowPunct/>
        <w:topLinePunct w:val="0"/>
        <w:autoSpaceDE/>
        <w:autoSpaceDN/>
        <w:bidi w:val="0"/>
        <w:spacing w:before="0" w:after="0" w:line="500" w:lineRule="exact"/>
        <w:ind w:firstLine="640" w:firstLineChars="200"/>
        <w:textAlignment w:val="auto"/>
        <w:rPr>
          <w:rFonts w:hint="default" w:ascii="黑体" w:hAnsi="黑体" w:eastAsia="黑体"/>
          <w:b w:val="0"/>
          <w:color w:val="auto"/>
          <w:sz w:val="32"/>
          <w:szCs w:val="32"/>
          <w:highlight w:val="none"/>
          <w:lang w:val="en-US" w:eastAsia="zh-CN"/>
        </w:rPr>
      </w:pPr>
      <w:bookmarkStart w:id="1" w:name="_Toc21988"/>
      <w:r>
        <w:rPr>
          <w:rFonts w:hint="eastAsia" w:ascii="黑体" w:hAnsi="黑体" w:eastAsia="黑体"/>
          <w:b w:val="0"/>
          <w:color w:val="auto"/>
          <w:sz w:val="32"/>
          <w:szCs w:val="32"/>
          <w:highlight w:val="none"/>
          <w:lang w:val="en-US" w:eastAsia="zh-CN"/>
        </w:rPr>
        <w:t>一、项目概述</w:t>
      </w:r>
      <w:bookmarkEnd w:id="1"/>
    </w:p>
    <w:p w14:paraId="1FBA9E7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（一）项目编号：CG2025129</w:t>
      </w:r>
    </w:p>
    <w:p w14:paraId="6267EE1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（二）项目名称：灭治红白蚁、除四害服务采购项目</w:t>
      </w:r>
    </w:p>
    <w:p w14:paraId="035EA14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（三）采购方式：院内谈判</w:t>
      </w:r>
    </w:p>
    <w:p w14:paraId="63999E2D">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（四）最高限价：人民币480,000元</w:t>
      </w:r>
    </w:p>
    <w:p w14:paraId="73348E9A">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（五）评审办法：综合评分法</w:t>
      </w:r>
    </w:p>
    <w:p w14:paraId="6E74DF7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（六）报价形式：总价</w:t>
      </w:r>
    </w:p>
    <w:p w14:paraId="6C5A67F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cs="仿宋"/>
          <w:bCs w:val="0"/>
          <w:color w:val="auto"/>
          <w:kern w:val="2"/>
          <w:sz w:val="32"/>
          <w:szCs w:val="32"/>
          <w:highlight w:val="none"/>
          <w:lang w:val="en-US" w:eastAsia="zh-CN" w:bidi="ar-SA"/>
        </w:rPr>
      </w:pPr>
      <w:r>
        <w:rPr>
          <w:rFonts w:hint="eastAsia" w:ascii="仿宋" w:hAnsi="仿宋" w:cs="仿宋"/>
          <w:bCs w:val="0"/>
          <w:color w:val="auto"/>
          <w:kern w:val="2"/>
          <w:sz w:val="32"/>
          <w:szCs w:val="32"/>
          <w:highlight w:val="none"/>
          <w:lang w:val="en-US" w:eastAsia="zh-CN" w:bidi="ar-SA"/>
        </w:rPr>
        <w:t>（七）报价要求：各项报价不超过最高限价</w:t>
      </w:r>
    </w:p>
    <w:p w14:paraId="3EA83E5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color w:val="auto"/>
          <w:sz w:val="32"/>
          <w:szCs w:val="32"/>
          <w:lang w:val="en-US" w:eastAsia="zh-CN"/>
        </w:rPr>
      </w:pPr>
      <w:r>
        <w:rPr>
          <w:rFonts w:hint="eastAsia" w:ascii="仿宋" w:hAnsi="仿宋" w:cs="仿宋"/>
          <w:bCs w:val="0"/>
          <w:color w:val="auto"/>
          <w:kern w:val="2"/>
          <w:sz w:val="32"/>
          <w:szCs w:val="32"/>
          <w:highlight w:val="none"/>
          <w:lang w:val="en-US" w:eastAsia="zh-CN" w:bidi="ar-SA"/>
        </w:rPr>
        <w:t>（八）现场踏勘：无现场踏勘</w:t>
      </w:r>
    </w:p>
    <w:p w14:paraId="7574462D">
      <w:pPr>
        <w:pStyle w:val="3"/>
        <w:pageBreakBefore w:val="0"/>
        <w:widowControl w:val="0"/>
        <w:kinsoku/>
        <w:wordWrap/>
        <w:overflowPunct/>
        <w:topLinePunct w:val="0"/>
        <w:autoSpaceDE/>
        <w:autoSpaceDN/>
        <w:bidi w:val="0"/>
        <w:spacing w:before="0" w:after="0" w:line="500" w:lineRule="exact"/>
        <w:ind w:firstLine="640" w:firstLineChars="200"/>
        <w:textAlignment w:val="auto"/>
        <w:rPr>
          <w:rFonts w:hint="eastAsia"/>
          <w:color w:val="auto"/>
          <w:sz w:val="32"/>
          <w:szCs w:val="32"/>
          <w:lang w:val="en-US" w:eastAsia="zh-CN"/>
        </w:rPr>
      </w:pPr>
      <w:bookmarkStart w:id="2" w:name="_Toc12677"/>
      <w:r>
        <w:rPr>
          <w:rFonts w:hint="eastAsia" w:ascii="黑体" w:hAnsi="黑体" w:eastAsia="黑体"/>
          <w:b w:val="0"/>
          <w:color w:val="auto"/>
          <w:sz w:val="32"/>
          <w:szCs w:val="32"/>
          <w:highlight w:val="none"/>
        </w:rPr>
        <w:t>二、</w:t>
      </w:r>
      <w:r>
        <w:rPr>
          <w:rFonts w:hint="eastAsia" w:ascii="黑体" w:hAnsi="黑体" w:eastAsia="黑体"/>
          <w:b w:val="0"/>
          <w:color w:val="auto"/>
          <w:sz w:val="32"/>
          <w:szCs w:val="32"/>
          <w:highlight w:val="none"/>
          <w:lang w:val="en-US" w:eastAsia="zh-CN"/>
        </w:rPr>
        <w:t>项目内容及需求情况</w:t>
      </w:r>
      <w:bookmarkEnd w:id="2"/>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951"/>
        <w:gridCol w:w="1640"/>
        <w:gridCol w:w="2499"/>
        <w:gridCol w:w="2327"/>
      </w:tblGrid>
      <w:tr w14:paraId="1448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9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2488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楷体" w:hAnsi="楷体" w:eastAsia="楷体" w:cs="楷体"/>
                <w:i w:val="0"/>
                <w:iCs w:val="0"/>
                <w:color w:val="auto"/>
                <w:sz w:val="28"/>
                <w:szCs w:val="28"/>
                <w:u w:val="none"/>
              </w:rPr>
            </w:pPr>
            <w:r>
              <w:rPr>
                <w:rFonts w:hint="eastAsia" w:ascii="黑体" w:hAnsi="黑体" w:eastAsia="黑体" w:cs="黑体"/>
                <w:color w:val="auto"/>
                <w:sz w:val="28"/>
                <w:szCs w:val="28"/>
                <w:vertAlign w:val="baseline"/>
                <w:lang w:val="en-US" w:eastAsia="zh-CN"/>
              </w:rPr>
              <w:t>采购标的</w:t>
            </w:r>
          </w:p>
        </w:tc>
        <w:tc>
          <w:tcPr>
            <w:tcW w:w="52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6B0E4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楷体" w:hAnsi="楷体" w:eastAsia="楷体" w:cs="楷体"/>
                <w:i w:val="0"/>
                <w:iCs w:val="0"/>
                <w:color w:val="auto"/>
                <w:sz w:val="28"/>
                <w:szCs w:val="28"/>
                <w:u w:val="none"/>
              </w:rPr>
            </w:pPr>
            <w:r>
              <w:rPr>
                <w:rFonts w:hint="eastAsia" w:ascii="黑体" w:hAnsi="黑体" w:eastAsia="黑体" w:cs="黑体"/>
                <w:color w:val="auto"/>
                <w:sz w:val="28"/>
                <w:szCs w:val="28"/>
                <w:vertAlign w:val="baseline"/>
                <w:lang w:val="en-US" w:eastAsia="zh-CN"/>
              </w:rPr>
              <w:t>数量</w:t>
            </w:r>
          </w:p>
        </w:tc>
        <w:tc>
          <w:tcPr>
            <w:tcW w:w="9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5FF1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Style w:val="48"/>
                <w:rFonts w:hint="default"/>
                <w:color w:val="auto"/>
                <w:kern w:val="2"/>
                <w:lang w:val="en-US" w:eastAsia="zh-CN" w:bidi="ar"/>
              </w:rPr>
            </w:pPr>
            <w:r>
              <w:rPr>
                <w:rFonts w:hint="eastAsia" w:ascii="黑体" w:hAnsi="黑体" w:eastAsia="黑体" w:cs="黑体"/>
                <w:color w:val="auto"/>
                <w:sz w:val="28"/>
                <w:szCs w:val="28"/>
                <w:vertAlign w:val="baseline"/>
                <w:lang w:val="en-US" w:eastAsia="zh-CN"/>
              </w:rPr>
              <w:t>计量单位</w:t>
            </w:r>
          </w:p>
        </w:tc>
        <w:tc>
          <w:tcPr>
            <w:tcW w:w="13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87F0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标的最高限价</w:t>
            </w:r>
          </w:p>
          <w:p w14:paraId="2380C6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Style w:val="48"/>
                <w:rFonts w:hint="default"/>
                <w:color w:val="auto"/>
                <w:lang w:val="en-US" w:eastAsia="zh-CN" w:bidi="ar"/>
              </w:rPr>
            </w:pPr>
            <w:r>
              <w:rPr>
                <w:rFonts w:hint="eastAsia" w:ascii="黑体" w:hAnsi="黑体" w:eastAsia="黑体" w:cs="黑体"/>
                <w:color w:val="auto"/>
                <w:sz w:val="28"/>
                <w:szCs w:val="28"/>
                <w:vertAlign w:val="baseline"/>
                <w:lang w:val="en-US" w:eastAsia="zh-CN"/>
              </w:rPr>
              <w:t>（人民币/元）</w:t>
            </w:r>
          </w:p>
        </w:tc>
        <w:tc>
          <w:tcPr>
            <w:tcW w:w="128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5CB3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技术规格参数</w:t>
            </w:r>
          </w:p>
          <w:p w14:paraId="73BCB6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及要求</w:t>
            </w:r>
          </w:p>
        </w:tc>
      </w:tr>
      <w:tr w14:paraId="56F11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90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F1609B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auto"/>
                <w:sz w:val="28"/>
                <w:szCs w:val="28"/>
                <w:u w:val="none"/>
              </w:rPr>
            </w:pPr>
            <w:r>
              <w:rPr>
                <w:rFonts w:hint="eastAsia" w:ascii="楷体" w:hAnsi="楷体" w:eastAsia="楷体" w:cs="楷体"/>
                <w:i w:val="0"/>
                <w:iCs w:val="0"/>
                <w:color w:val="auto"/>
                <w:sz w:val="28"/>
                <w:szCs w:val="28"/>
                <w:u w:val="none"/>
              </w:rPr>
              <w:t>灭治红白蚁、除四害服务</w:t>
            </w:r>
          </w:p>
        </w:tc>
        <w:tc>
          <w:tcPr>
            <w:tcW w:w="525" w:type="pct"/>
            <w:tcBorders>
              <w:top w:val="nil"/>
              <w:left w:val="single" w:color="000000" w:sz="8" w:space="0"/>
              <w:bottom w:val="single" w:color="000000" w:sz="8" w:space="0"/>
              <w:right w:val="single" w:color="000000" w:sz="8" w:space="0"/>
            </w:tcBorders>
            <w:shd w:val="clear" w:color="auto" w:fill="auto"/>
            <w:vAlign w:val="center"/>
          </w:tcPr>
          <w:p w14:paraId="35CFDD7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auto"/>
                <w:sz w:val="28"/>
                <w:szCs w:val="28"/>
                <w:u w:val="none"/>
                <w:lang w:val="en-US" w:eastAsia="zh-CN"/>
              </w:rPr>
            </w:pPr>
            <w:r>
              <w:rPr>
                <w:rFonts w:hint="eastAsia" w:ascii="仿宋" w:hAnsi="仿宋" w:cs="仿宋"/>
                <w:i w:val="0"/>
                <w:iCs w:val="0"/>
                <w:color w:val="auto"/>
                <w:sz w:val="28"/>
                <w:szCs w:val="28"/>
                <w:u w:val="none"/>
                <w:lang w:val="en-US" w:eastAsia="zh-CN"/>
              </w:rPr>
              <w:t>1</w:t>
            </w:r>
          </w:p>
        </w:tc>
        <w:tc>
          <w:tcPr>
            <w:tcW w:w="905" w:type="pct"/>
            <w:tcBorders>
              <w:top w:val="nil"/>
              <w:left w:val="single" w:color="000000" w:sz="8" w:space="0"/>
              <w:bottom w:val="single" w:color="000000" w:sz="8" w:space="0"/>
              <w:right w:val="single" w:color="000000" w:sz="8" w:space="0"/>
            </w:tcBorders>
            <w:shd w:val="clear" w:color="auto" w:fill="auto"/>
            <w:vAlign w:val="center"/>
          </w:tcPr>
          <w:p w14:paraId="0D3F0B2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auto"/>
                <w:sz w:val="28"/>
                <w:szCs w:val="28"/>
                <w:u w:val="none"/>
                <w:lang w:val="en-US" w:eastAsia="zh-CN"/>
              </w:rPr>
            </w:pPr>
            <w:r>
              <w:rPr>
                <w:rFonts w:hint="eastAsia" w:ascii="仿宋" w:hAnsi="仿宋" w:cs="仿宋"/>
                <w:color w:val="auto"/>
                <w:sz w:val="28"/>
                <w:szCs w:val="20"/>
                <w:vertAlign w:val="baseline"/>
                <w:lang w:val="en-US" w:eastAsia="zh-CN"/>
              </w:rPr>
              <w:t>项</w:t>
            </w:r>
          </w:p>
        </w:tc>
        <w:tc>
          <w:tcPr>
            <w:tcW w:w="1379" w:type="pct"/>
            <w:tcBorders>
              <w:top w:val="nil"/>
              <w:left w:val="single" w:color="000000" w:sz="8" w:space="0"/>
              <w:bottom w:val="single" w:color="000000" w:sz="8" w:space="0"/>
              <w:right w:val="single" w:color="000000" w:sz="8" w:space="0"/>
            </w:tcBorders>
            <w:shd w:val="clear" w:color="auto" w:fill="auto"/>
            <w:vAlign w:val="center"/>
          </w:tcPr>
          <w:p w14:paraId="47ACA58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auto"/>
                <w:sz w:val="28"/>
                <w:szCs w:val="28"/>
                <w:u w:val="none"/>
                <w:lang w:val="en-US" w:eastAsia="zh-CN"/>
              </w:rPr>
            </w:pPr>
            <w:r>
              <w:rPr>
                <w:rFonts w:hint="eastAsia" w:ascii="仿宋" w:hAnsi="仿宋" w:cs="仿宋"/>
                <w:color w:val="auto"/>
                <w:sz w:val="28"/>
                <w:szCs w:val="20"/>
                <w:vertAlign w:val="baseline"/>
                <w:lang w:val="en-US" w:eastAsia="zh-CN"/>
              </w:rPr>
              <w:t>480</w:t>
            </w:r>
            <w:r>
              <w:rPr>
                <w:rFonts w:hint="eastAsia" w:ascii="仿宋" w:hAnsi="仿宋" w:eastAsia="仿宋" w:cs="仿宋"/>
                <w:color w:val="auto"/>
                <w:sz w:val="28"/>
                <w:szCs w:val="20"/>
                <w:vertAlign w:val="baseline"/>
                <w:lang w:val="en-US" w:eastAsia="zh-CN"/>
              </w:rPr>
              <w:t>,</w:t>
            </w:r>
            <w:r>
              <w:rPr>
                <w:rFonts w:hint="eastAsia" w:ascii="仿宋" w:hAnsi="仿宋" w:cs="仿宋"/>
                <w:color w:val="auto"/>
                <w:sz w:val="28"/>
                <w:szCs w:val="20"/>
                <w:vertAlign w:val="baseline"/>
                <w:lang w:val="en-US" w:eastAsia="zh-CN"/>
              </w:rPr>
              <w:t>000</w:t>
            </w:r>
            <w:r>
              <w:rPr>
                <w:rFonts w:hint="eastAsia" w:ascii="仿宋" w:hAnsi="仿宋" w:eastAsia="仿宋" w:cs="仿宋"/>
                <w:color w:val="auto"/>
                <w:sz w:val="28"/>
                <w:szCs w:val="20"/>
                <w:vertAlign w:val="baseline"/>
                <w:lang w:val="en-US" w:eastAsia="zh-CN"/>
              </w:rPr>
              <w:t>.</w:t>
            </w:r>
            <w:r>
              <w:rPr>
                <w:rFonts w:hint="eastAsia" w:ascii="仿宋" w:hAnsi="仿宋" w:cs="仿宋"/>
                <w:color w:val="auto"/>
                <w:sz w:val="28"/>
                <w:szCs w:val="20"/>
                <w:vertAlign w:val="baseline"/>
                <w:lang w:val="en-US" w:eastAsia="zh-CN"/>
              </w:rPr>
              <w:t>00</w:t>
            </w:r>
          </w:p>
        </w:tc>
        <w:tc>
          <w:tcPr>
            <w:tcW w:w="1284" w:type="pct"/>
            <w:tcBorders>
              <w:top w:val="nil"/>
              <w:left w:val="single" w:color="000000" w:sz="8" w:space="0"/>
              <w:bottom w:val="single" w:color="000000" w:sz="8" w:space="0"/>
              <w:right w:val="single" w:color="000000" w:sz="8" w:space="0"/>
            </w:tcBorders>
            <w:shd w:val="clear" w:color="auto" w:fill="auto"/>
            <w:vAlign w:val="center"/>
          </w:tcPr>
          <w:p w14:paraId="5FF6A08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auto"/>
                <w:sz w:val="28"/>
                <w:szCs w:val="28"/>
                <w:u w:val="none"/>
                <w:lang w:val="en-US" w:eastAsia="zh-CN"/>
              </w:rPr>
            </w:pPr>
            <w:r>
              <w:rPr>
                <w:rFonts w:hint="eastAsia" w:ascii="仿宋" w:hAnsi="仿宋" w:eastAsia="仿宋" w:cs="仿宋"/>
                <w:color w:val="auto"/>
                <w:sz w:val="28"/>
                <w:szCs w:val="20"/>
                <w:vertAlign w:val="baseline"/>
                <w:lang w:val="en-US" w:eastAsia="zh-CN"/>
              </w:rPr>
              <w:t>详见第</w:t>
            </w:r>
            <w:r>
              <w:rPr>
                <w:rFonts w:hint="eastAsia" w:ascii="仿宋" w:hAnsi="仿宋" w:cs="仿宋"/>
                <w:color w:val="auto"/>
                <w:sz w:val="28"/>
                <w:szCs w:val="20"/>
                <w:vertAlign w:val="baseline"/>
                <w:lang w:val="en-US" w:eastAsia="zh-CN"/>
              </w:rPr>
              <w:t>二</w:t>
            </w:r>
            <w:r>
              <w:rPr>
                <w:rFonts w:hint="eastAsia" w:ascii="仿宋" w:hAnsi="仿宋" w:eastAsia="仿宋" w:cs="仿宋"/>
                <w:color w:val="auto"/>
                <w:sz w:val="28"/>
                <w:szCs w:val="20"/>
                <w:vertAlign w:val="baseline"/>
                <w:lang w:val="en-US" w:eastAsia="zh-CN"/>
              </w:rPr>
              <w:t>章</w:t>
            </w:r>
          </w:p>
        </w:tc>
      </w:tr>
    </w:tbl>
    <w:p w14:paraId="4EAD324D">
      <w:pPr>
        <w:pStyle w:val="3"/>
        <w:pageBreakBefore w:val="0"/>
        <w:widowControl w:val="0"/>
        <w:kinsoku/>
        <w:wordWrap/>
        <w:overflowPunct/>
        <w:topLinePunct w:val="0"/>
        <w:autoSpaceDE/>
        <w:autoSpaceDN/>
        <w:bidi w:val="0"/>
        <w:adjustRightInd/>
        <w:snapToGrid/>
        <w:spacing w:before="0" w:after="0" w:line="480" w:lineRule="exact"/>
        <w:ind w:firstLine="640" w:firstLineChars="200"/>
        <w:textAlignment w:val="auto"/>
        <w:rPr>
          <w:rFonts w:hint="eastAsia" w:ascii="黑体" w:hAnsi="黑体" w:eastAsia="黑体"/>
          <w:b w:val="0"/>
          <w:sz w:val="32"/>
          <w:szCs w:val="32"/>
          <w:highlight w:val="none"/>
          <w:lang w:val="en-US" w:eastAsia="zh-CN"/>
        </w:rPr>
      </w:pPr>
      <w:bookmarkStart w:id="3" w:name="_Toc19099"/>
      <w:r>
        <w:rPr>
          <w:rFonts w:hint="eastAsia" w:ascii="黑体" w:hAnsi="黑体" w:eastAsia="黑体"/>
          <w:b w:val="0"/>
          <w:sz w:val="32"/>
          <w:szCs w:val="32"/>
          <w:highlight w:val="none"/>
          <w:lang w:val="en-US" w:eastAsia="zh-CN"/>
        </w:rPr>
        <w:t>三、本项目联系方式</w:t>
      </w:r>
      <w:bookmarkEnd w:id="3"/>
    </w:p>
    <w:p w14:paraId="69F6C649">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Cs w:val="0"/>
          <w:color w:val="000000"/>
          <w:kern w:val="2"/>
          <w:sz w:val="32"/>
          <w:szCs w:val="32"/>
          <w:highlight w:val="none"/>
          <w:lang w:val="en-US" w:eastAsia="zh-CN" w:bidi="ar-SA"/>
        </w:rPr>
      </w:pPr>
      <w:r>
        <w:rPr>
          <w:rFonts w:hint="eastAsia" w:ascii="仿宋" w:hAnsi="仿宋" w:eastAsia="仿宋" w:cs="仿宋"/>
          <w:bCs w:val="0"/>
          <w:color w:val="000000"/>
          <w:kern w:val="2"/>
          <w:sz w:val="32"/>
          <w:szCs w:val="32"/>
          <w:highlight w:val="none"/>
          <w:lang w:val="en-US" w:eastAsia="zh-CN" w:bidi="ar-SA"/>
        </w:rPr>
        <w:t>（一）</w:t>
      </w:r>
      <w:r>
        <w:rPr>
          <w:rFonts w:hint="eastAsia" w:ascii="仿宋" w:hAnsi="仿宋" w:eastAsia="仿宋" w:cs="仿宋"/>
          <w:sz w:val="32"/>
          <w:szCs w:val="32"/>
        </w:rPr>
        <w:t>采购需求</w:t>
      </w:r>
    </w:p>
    <w:p w14:paraId="306CF16D">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Cs w:val="0"/>
          <w:color w:val="auto"/>
          <w:kern w:val="2"/>
          <w:sz w:val="32"/>
          <w:szCs w:val="32"/>
          <w:highlight w:val="none"/>
          <w:lang w:val="en-US" w:eastAsia="zh-CN" w:bidi="ar-SA"/>
        </w:rPr>
      </w:pPr>
      <w:r>
        <w:rPr>
          <w:rFonts w:hint="eastAsia" w:ascii="仿宋" w:hAnsi="仿宋" w:eastAsia="仿宋" w:cs="仿宋"/>
          <w:bCs w:val="0"/>
          <w:color w:val="auto"/>
          <w:kern w:val="2"/>
          <w:sz w:val="32"/>
          <w:szCs w:val="32"/>
          <w:highlight w:val="none"/>
          <w:lang w:val="en-US" w:eastAsia="zh-CN" w:bidi="ar-SA"/>
        </w:rPr>
        <w:t>1.联系人：黄老师</w:t>
      </w:r>
    </w:p>
    <w:p w14:paraId="0062A04F">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Cs w:val="0"/>
          <w:color w:val="auto"/>
          <w:kern w:val="2"/>
          <w:sz w:val="32"/>
          <w:szCs w:val="32"/>
          <w:highlight w:val="none"/>
          <w:lang w:val="en-US" w:eastAsia="zh-CN" w:bidi="ar-SA"/>
        </w:rPr>
      </w:pPr>
      <w:r>
        <w:rPr>
          <w:rFonts w:hint="eastAsia" w:ascii="仿宋" w:hAnsi="仿宋" w:eastAsia="仿宋" w:cs="仿宋"/>
          <w:bCs w:val="0"/>
          <w:color w:val="auto"/>
          <w:kern w:val="2"/>
          <w:sz w:val="32"/>
          <w:szCs w:val="32"/>
          <w:highlight w:val="none"/>
          <w:lang w:val="en-US" w:eastAsia="zh-CN" w:bidi="ar-SA"/>
        </w:rPr>
        <w:t>2.电话：020-</w:t>
      </w:r>
      <w:r>
        <w:rPr>
          <w:rFonts w:hint="eastAsia" w:ascii="仿宋" w:hAnsi="仿宋" w:eastAsia="仿宋" w:cs="仿宋"/>
          <w:color w:val="auto"/>
          <w:sz w:val="32"/>
          <w:szCs w:val="32"/>
          <w:highlight w:val="none"/>
          <w:lang w:val="en-US" w:eastAsia="zh-CN"/>
        </w:rPr>
        <w:t>36548989</w:t>
      </w:r>
    </w:p>
    <w:p w14:paraId="26F07EF4">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val="0"/>
          <w:color w:val="000000"/>
          <w:kern w:val="2"/>
          <w:sz w:val="32"/>
          <w:szCs w:val="32"/>
          <w:highlight w:val="none"/>
          <w:lang w:val="en-US" w:eastAsia="zh-CN" w:bidi="ar-SA"/>
        </w:rPr>
        <w:t>（二）</w:t>
      </w:r>
      <w:r>
        <w:rPr>
          <w:rFonts w:hint="eastAsia" w:ascii="仿宋" w:hAnsi="仿宋" w:cs="仿宋"/>
          <w:sz w:val="32"/>
          <w:szCs w:val="32"/>
          <w:lang w:val="en-US" w:eastAsia="zh-CN"/>
        </w:rPr>
        <w:t>响应</w:t>
      </w:r>
      <w:r>
        <w:rPr>
          <w:rFonts w:hint="eastAsia" w:ascii="仿宋" w:hAnsi="仿宋" w:eastAsia="仿宋" w:cs="仿宋"/>
          <w:sz w:val="32"/>
          <w:szCs w:val="32"/>
        </w:rPr>
        <w:t>文件格式、要求</w:t>
      </w:r>
    </w:p>
    <w:p w14:paraId="48E27DFF">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bCs w:val="0"/>
          <w:color w:val="auto"/>
          <w:kern w:val="2"/>
          <w:sz w:val="32"/>
          <w:szCs w:val="32"/>
          <w:highlight w:val="none"/>
          <w:lang w:val="en-US" w:eastAsia="zh-CN" w:bidi="ar-SA"/>
        </w:rPr>
      </w:pPr>
      <w:r>
        <w:rPr>
          <w:rFonts w:hint="eastAsia" w:ascii="仿宋" w:hAnsi="仿宋" w:eastAsia="仿宋" w:cs="仿宋"/>
          <w:bCs w:val="0"/>
          <w:color w:val="000000"/>
          <w:kern w:val="2"/>
          <w:sz w:val="32"/>
          <w:szCs w:val="32"/>
          <w:highlight w:val="none"/>
          <w:lang w:val="en-US" w:eastAsia="zh-CN" w:bidi="ar-SA"/>
        </w:rPr>
        <w:t>1</w:t>
      </w:r>
      <w:r>
        <w:rPr>
          <w:rFonts w:hint="eastAsia" w:ascii="仿宋" w:hAnsi="仿宋" w:eastAsia="仿宋" w:cs="仿宋"/>
          <w:bCs w:val="0"/>
          <w:color w:val="auto"/>
          <w:kern w:val="2"/>
          <w:sz w:val="32"/>
          <w:szCs w:val="32"/>
          <w:highlight w:val="none"/>
          <w:lang w:val="en-US" w:eastAsia="zh-CN" w:bidi="ar-SA"/>
        </w:rPr>
        <w:t>.联系人：余老师</w:t>
      </w:r>
    </w:p>
    <w:p w14:paraId="1B650B9D">
      <w:pPr>
        <w:pStyle w:val="10"/>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Cs w:val="0"/>
          <w:color w:val="auto"/>
          <w:kern w:val="2"/>
          <w:sz w:val="32"/>
          <w:szCs w:val="32"/>
          <w:highlight w:val="none"/>
          <w:lang w:val="en-US" w:eastAsia="zh-CN" w:bidi="ar-SA"/>
        </w:rPr>
      </w:pPr>
      <w:r>
        <w:rPr>
          <w:rFonts w:hint="eastAsia" w:ascii="仿宋" w:hAnsi="仿宋" w:eastAsia="仿宋" w:cs="仿宋"/>
          <w:bCs w:val="0"/>
          <w:color w:val="auto"/>
          <w:kern w:val="2"/>
          <w:sz w:val="32"/>
          <w:szCs w:val="32"/>
          <w:highlight w:val="none"/>
          <w:lang w:val="en-US" w:eastAsia="zh-CN" w:bidi="ar-SA"/>
        </w:rPr>
        <w:t>2.电话：020-37431446</w:t>
      </w:r>
    </w:p>
    <w:p w14:paraId="627E54F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lang w:val="en-US" w:eastAsia="zh-CN"/>
        </w:rPr>
      </w:pPr>
      <w:r>
        <w:rPr>
          <w:rFonts w:hint="eastAsia" w:ascii="仿宋" w:hAnsi="仿宋" w:eastAsia="仿宋" w:cs="仿宋"/>
          <w:sz w:val="32"/>
          <w:szCs w:val="32"/>
          <w:lang w:eastAsia="zh-CN"/>
        </w:rPr>
        <w:t>（</w:t>
      </w:r>
      <w:r>
        <w:rPr>
          <w:rFonts w:hint="eastAsia" w:ascii="仿宋" w:hAnsi="仿宋" w:cs="仿宋"/>
          <w:sz w:val="32"/>
          <w:szCs w:val="32"/>
          <w:lang w:val="en-US" w:eastAsia="zh-CN"/>
        </w:rPr>
        <w:t>联系</w:t>
      </w:r>
      <w:r>
        <w:rPr>
          <w:rFonts w:hint="eastAsia" w:ascii="仿宋" w:hAnsi="仿宋" w:eastAsia="仿宋" w:cs="仿宋"/>
          <w:sz w:val="32"/>
          <w:szCs w:val="32"/>
          <w:lang w:val="en-US" w:eastAsia="zh-CN"/>
        </w:rPr>
        <w:t>时间</w:t>
      </w:r>
      <w:r>
        <w:rPr>
          <w:rFonts w:hint="eastAsia" w:ascii="仿宋" w:hAnsi="仿宋" w:cs="仿宋"/>
          <w:sz w:val="32"/>
          <w:szCs w:val="32"/>
          <w:lang w:val="en-US" w:eastAsia="zh-CN"/>
        </w:rPr>
        <w:t>段</w:t>
      </w:r>
      <w:r>
        <w:rPr>
          <w:rFonts w:hint="eastAsia" w:ascii="仿宋" w:hAnsi="仿宋" w:eastAsia="仿宋" w:cs="仿宋"/>
          <w:sz w:val="32"/>
          <w:szCs w:val="32"/>
          <w:lang w:val="en-US" w:eastAsia="zh-CN"/>
        </w:rPr>
        <w:t>：法定工作日，8:00-12:00；14:30-17:30）</w:t>
      </w:r>
    </w:p>
    <w:p w14:paraId="6A133518">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b w:val="0"/>
          <w:highlight w:val="none"/>
        </w:rPr>
      </w:pPr>
      <w:bookmarkStart w:id="4" w:name="_Toc16089"/>
      <w:r>
        <w:rPr>
          <w:rFonts w:hint="eastAsia" w:ascii="方正小标宋简体" w:hAnsi="方正小标宋简体" w:eastAsia="方正小标宋简体"/>
          <w:b w:val="0"/>
          <w:highlight w:val="none"/>
          <w:lang w:val="en-US" w:eastAsia="zh-CN"/>
        </w:rPr>
        <w:t>第二章</w:t>
      </w:r>
      <w:r>
        <w:rPr>
          <w:rFonts w:hint="default" w:ascii="方正小标宋简体" w:hAnsi="方正小标宋简体" w:eastAsia="方正小标宋简体"/>
          <w:b w:val="0"/>
          <w:highlight w:val="none"/>
          <w:lang w:val="en-US" w:eastAsia="zh-CN"/>
        </w:rPr>
        <w:t xml:space="preserve"> </w:t>
      </w:r>
      <w:r>
        <w:rPr>
          <w:rFonts w:hint="eastAsia" w:ascii="方正小标宋简体" w:hAnsi="方正小标宋简体" w:eastAsia="方正小标宋简体"/>
          <w:b w:val="0"/>
          <w:highlight w:val="none"/>
        </w:rPr>
        <w:t>采购需求</w:t>
      </w:r>
      <w:bookmarkEnd w:id="4"/>
    </w:p>
    <w:p w14:paraId="7D4A8A61">
      <w:pPr>
        <w:pStyle w:val="3"/>
        <w:spacing w:before="0" w:after="0" w:line="560" w:lineRule="exact"/>
        <w:ind w:firstLine="640" w:firstLineChars="200"/>
        <w:rPr>
          <w:rFonts w:hint="eastAsia" w:ascii="黑体" w:hAnsi="黑体" w:eastAsia="黑体"/>
          <w:b w:val="0"/>
          <w:sz w:val="32"/>
          <w:szCs w:val="32"/>
          <w:highlight w:val="none"/>
          <w:lang w:val="en-US" w:eastAsia="zh-CN"/>
        </w:rPr>
      </w:pPr>
      <w:bookmarkStart w:id="5" w:name="_Toc6475"/>
      <w:r>
        <w:rPr>
          <w:rFonts w:hint="eastAsia" w:ascii="黑体" w:hAnsi="黑体" w:eastAsia="黑体"/>
          <w:b w:val="0"/>
          <w:sz w:val="32"/>
          <w:szCs w:val="32"/>
          <w:highlight w:val="none"/>
          <w:lang w:val="en-US" w:eastAsia="zh-CN"/>
        </w:rPr>
        <w:t>一、主要商务要求</w:t>
      </w:r>
      <w:bookmarkEnd w:id="5"/>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78"/>
        <w:gridCol w:w="5682"/>
      </w:tblGrid>
      <w:tr w14:paraId="6C159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1864" w:type="pct"/>
            <w:vAlign w:val="center"/>
          </w:tcPr>
          <w:p w14:paraId="3A8CD8A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标的提供时间</w:t>
            </w:r>
          </w:p>
        </w:tc>
        <w:tc>
          <w:tcPr>
            <w:tcW w:w="3135" w:type="pct"/>
            <w:vAlign w:val="center"/>
          </w:tcPr>
          <w:p w14:paraId="16E81FF5">
            <w:pPr>
              <w:keepNext w:val="0"/>
              <w:keepLines w:val="0"/>
              <w:pageBreakBefore w:val="0"/>
              <w:kinsoku/>
              <w:wordWrap/>
              <w:overflowPunct/>
              <w:topLinePunct w:val="0"/>
              <w:autoSpaceDE/>
              <w:autoSpaceDN/>
              <w:bidi w:val="0"/>
              <w:adjustRightInd/>
              <w:snapToGrid/>
              <w:spacing w:line="360" w:lineRule="exact"/>
              <w:jc w:val="left"/>
              <w:rPr>
                <w:color w:val="auto"/>
                <w:sz w:val="28"/>
                <w:szCs w:val="28"/>
                <w:highlight w:val="none"/>
              </w:rPr>
            </w:pPr>
            <w:r>
              <w:rPr>
                <w:rFonts w:hint="eastAsia"/>
                <w:color w:val="auto"/>
                <w:sz w:val="28"/>
                <w:szCs w:val="28"/>
                <w:highlight w:val="none"/>
                <w:lang w:val="en-US" w:eastAsia="zh-CN"/>
              </w:rPr>
              <w:t>自合同签订之日起2年</w:t>
            </w:r>
          </w:p>
        </w:tc>
      </w:tr>
      <w:tr w14:paraId="1CADB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64" w:type="pct"/>
            <w:vAlign w:val="center"/>
          </w:tcPr>
          <w:p w14:paraId="447F26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auto"/>
                <w:sz w:val="28"/>
                <w:szCs w:val="28"/>
              </w:rPr>
              <w:t>标的提供地点</w:t>
            </w:r>
          </w:p>
        </w:tc>
        <w:tc>
          <w:tcPr>
            <w:tcW w:w="3135" w:type="pct"/>
            <w:vAlign w:val="center"/>
          </w:tcPr>
          <w:p w14:paraId="32866EA4">
            <w:pPr>
              <w:keepNext w:val="0"/>
              <w:keepLines w:val="0"/>
              <w:pageBreakBefore w:val="0"/>
              <w:kinsoku/>
              <w:wordWrap/>
              <w:overflowPunct/>
              <w:topLinePunct w:val="0"/>
              <w:autoSpaceDE/>
              <w:autoSpaceDN/>
              <w:bidi w:val="0"/>
              <w:adjustRightInd/>
              <w:snapToGrid/>
              <w:spacing w:line="360" w:lineRule="exact"/>
              <w:jc w:val="left"/>
              <w:rPr>
                <w:sz w:val="28"/>
                <w:szCs w:val="28"/>
                <w:highlight w:val="none"/>
              </w:rPr>
            </w:pPr>
            <w:r>
              <w:rPr>
                <w:rFonts w:hint="eastAsia"/>
                <w:sz w:val="28"/>
                <w:szCs w:val="28"/>
                <w:highlight w:val="none"/>
                <w:lang w:val="en-US" w:eastAsia="zh-CN"/>
              </w:rPr>
              <w:t>采购人指定地点</w:t>
            </w:r>
          </w:p>
        </w:tc>
      </w:tr>
      <w:tr w14:paraId="60EC6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4" w:type="pct"/>
            <w:vAlign w:val="center"/>
          </w:tcPr>
          <w:p w14:paraId="22E512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auto"/>
                <w:sz w:val="28"/>
                <w:szCs w:val="28"/>
                <w:lang w:val="en-US" w:eastAsia="zh-CN"/>
              </w:rPr>
              <w:t>付款方式</w:t>
            </w:r>
          </w:p>
        </w:tc>
        <w:tc>
          <w:tcPr>
            <w:tcW w:w="3135" w:type="pct"/>
            <w:vAlign w:val="center"/>
          </w:tcPr>
          <w:p w14:paraId="7808DE5A">
            <w:pPr>
              <w:keepNext w:val="0"/>
              <w:keepLines w:val="0"/>
              <w:pageBreakBefore w:val="0"/>
              <w:kinsoku/>
              <w:wordWrap/>
              <w:overflowPunct/>
              <w:topLinePunct w:val="0"/>
              <w:autoSpaceDE/>
              <w:autoSpaceDN/>
              <w:bidi w:val="0"/>
              <w:adjustRightInd/>
              <w:snapToGrid/>
              <w:spacing w:line="360" w:lineRule="exact"/>
              <w:jc w:val="left"/>
              <w:rPr>
                <w:rFonts w:hint="eastAsia"/>
                <w:sz w:val="28"/>
                <w:szCs w:val="28"/>
                <w:highlight w:val="none"/>
              </w:rPr>
            </w:pPr>
            <w:r>
              <w:rPr>
                <w:rFonts w:hint="eastAsia"/>
                <w:sz w:val="28"/>
                <w:szCs w:val="28"/>
                <w:highlight w:val="none"/>
              </w:rPr>
              <w:t>（一）在服务期内，甲方支付给乙方的管理服务费总金额为¥</w:t>
            </w:r>
            <w:r>
              <w:rPr>
                <w:rFonts w:hint="eastAsia"/>
                <w:sz w:val="28"/>
                <w:szCs w:val="28"/>
                <w:highlight w:val="none"/>
                <w:u w:val="single"/>
              </w:rPr>
              <w:t xml:space="preserve">     </w:t>
            </w:r>
            <w:r>
              <w:rPr>
                <w:rFonts w:hint="eastAsia"/>
                <w:sz w:val="28"/>
                <w:szCs w:val="28"/>
                <w:highlight w:val="none"/>
              </w:rPr>
              <w:t>，大写人民币               整。此费用甲方分24次支付，每次支付金额为¥</w:t>
            </w:r>
            <w:r>
              <w:rPr>
                <w:rFonts w:hint="eastAsia"/>
                <w:sz w:val="28"/>
                <w:szCs w:val="28"/>
                <w:highlight w:val="none"/>
                <w:u w:val="single"/>
              </w:rPr>
              <w:t xml:space="preserve">      </w:t>
            </w:r>
            <w:r>
              <w:rPr>
                <w:rFonts w:hint="eastAsia"/>
                <w:sz w:val="28"/>
                <w:szCs w:val="28"/>
                <w:highlight w:val="none"/>
              </w:rPr>
              <w:t>。</w:t>
            </w:r>
          </w:p>
          <w:p w14:paraId="018BE657">
            <w:pPr>
              <w:keepNext w:val="0"/>
              <w:keepLines w:val="0"/>
              <w:pageBreakBefore w:val="0"/>
              <w:kinsoku/>
              <w:wordWrap/>
              <w:overflowPunct/>
              <w:topLinePunct w:val="0"/>
              <w:autoSpaceDE/>
              <w:autoSpaceDN/>
              <w:bidi w:val="0"/>
              <w:adjustRightInd/>
              <w:snapToGrid/>
              <w:spacing w:line="360" w:lineRule="exact"/>
              <w:jc w:val="left"/>
              <w:rPr>
                <w:sz w:val="28"/>
                <w:szCs w:val="28"/>
                <w:highlight w:val="none"/>
              </w:rPr>
            </w:pPr>
            <w:r>
              <w:rPr>
                <w:rFonts w:hint="eastAsia"/>
                <w:sz w:val="28"/>
                <w:szCs w:val="28"/>
                <w:highlight w:val="none"/>
              </w:rPr>
              <w:t xml:space="preserve">（二）甲方于每月25日前（如遇节假日顺延至第一个工作日）向乙方支付上个月的服务费，如乙方提供服务不足一个月时按日计算。乙方需在甲方办理支付手续前10个工作日内提供等额的合规发票，以便甲方及时办理支付手续。结算时乙方应同时日常工作台账、月满意度调查表、考核表等。 </w:t>
            </w:r>
          </w:p>
        </w:tc>
      </w:tr>
      <w:tr w14:paraId="27748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64" w:type="pct"/>
            <w:vAlign w:val="center"/>
          </w:tcPr>
          <w:p w14:paraId="7C998F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auto"/>
                <w:sz w:val="28"/>
                <w:szCs w:val="28"/>
                <w:lang w:val="en-US" w:eastAsia="zh-CN"/>
              </w:rPr>
              <w:t>履约保证金</w:t>
            </w:r>
          </w:p>
        </w:tc>
        <w:tc>
          <w:tcPr>
            <w:tcW w:w="3135" w:type="pct"/>
            <w:vAlign w:val="center"/>
          </w:tcPr>
          <w:p w14:paraId="662E4D83">
            <w:pPr>
              <w:keepNext w:val="0"/>
              <w:keepLines w:val="0"/>
              <w:pageBreakBefore w:val="0"/>
              <w:kinsoku/>
              <w:wordWrap/>
              <w:overflowPunct/>
              <w:topLinePunct w:val="0"/>
              <w:autoSpaceDE/>
              <w:autoSpaceDN/>
              <w:bidi w:val="0"/>
              <w:adjustRightInd/>
              <w:snapToGrid/>
              <w:spacing w:line="360" w:lineRule="exact"/>
              <w:jc w:val="left"/>
              <w:rPr>
                <w:rFonts w:hint="eastAsia"/>
                <w:sz w:val="28"/>
                <w:szCs w:val="28"/>
                <w:highlight w:val="none"/>
                <w:lang w:val="en-US" w:eastAsia="zh-CN"/>
              </w:rPr>
            </w:pPr>
            <w:r>
              <w:rPr>
                <w:rFonts w:hint="eastAsia"/>
                <w:sz w:val="28"/>
                <w:szCs w:val="28"/>
                <w:highlight w:val="none"/>
                <w:lang w:val="en-US" w:eastAsia="zh-CN"/>
              </w:rPr>
              <w:t>不收取。</w:t>
            </w:r>
          </w:p>
        </w:tc>
      </w:tr>
      <w:tr w14:paraId="2AAA2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4" w:type="pct"/>
            <w:vAlign w:val="center"/>
          </w:tcPr>
          <w:p w14:paraId="3EB385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b w:val="0"/>
                <w:bCs w:val="0"/>
                <w:color w:val="FF0000"/>
                <w:sz w:val="28"/>
                <w:szCs w:val="28"/>
                <w:lang w:val="en-US" w:eastAsia="zh-CN"/>
              </w:rPr>
            </w:pPr>
            <w:r>
              <w:rPr>
                <w:rFonts w:hint="eastAsia" w:ascii="黑体" w:hAnsi="黑体" w:eastAsia="黑体" w:cs="黑体"/>
                <w:b w:val="0"/>
                <w:bCs w:val="0"/>
                <w:color w:val="auto"/>
                <w:sz w:val="28"/>
                <w:szCs w:val="28"/>
                <w:lang w:val="en-US" w:eastAsia="zh-CN"/>
              </w:rPr>
              <w:t>其他</w:t>
            </w:r>
          </w:p>
        </w:tc>
        <w:tc>
          <w:tcPr>
            <w:tcW w:w="3135" w:type="pct"/>
            <w:vAlign w:val="center"/>
          </w:tcPr>
          <w:p w14:paraId="3BE517DF">
            <w:pPr>
              <w:keepNext w:val="0"/>
              <w:keepLines w:val="0"/>
              <w:pageBreakBefore w:val="0"/>
              <w:kinsoku/>
              <w:wordWrap/>
              <w:overflowPunct/>
              <w:topLinePunct w:val="0"/>
              <w:autoSpaceDE/>
              <w:autoSpaceDN/>
              <w:bidi w:val="0"/>
              <w:adjustRightInd/>
              <w:snapToGrid/>
              <w:spacing w:line="360" w:lineRule="exact"/>
              <w:jc w:val="left"/>
              <w:rPr>
                <w:rFonts w:hint="eastAsia"/>
                <w:sz w:val="28"/>
                <w:szCs w:val="28"/>
                <w:highlight w:val="none"/>
              </w:rPr>
            </w:pPr>
            <w:r>
              <w:rPr>
                <w:rFonts w:hint="eastAsia"/>
                <w:sz w:val="28"/>
                <w:szCs w:val="28"/>
                <w:highlight w:val="none"/>
              </w:rPr>
              <w:t>1．</w:t>
            </w:r>
            <w:r>
              <w:rPr>
                <w:rFonts w:hint="eastAsia"/>
                <w:sz w:val="28"/>
                <w:szCs w:val="28"/>
                <w:highlight w:val="none"/>
                <w:lang w:eastAsia="zh-CN"/>
              </w:rPr>
              <w:t>供应商</w:t>
            </w:r>
            <w:r>
              <w:rPr>
                <w:rFonts w:hint="eastAsia"/>
                <w:sz w:val="28"/>
                <w:szCs w:val="28"/>
                <w:highlight w:val="none"/>
              </w:rPr>
              <w:t>承诺若违反</w:t>
            </w:r>
            <w:r>
              <w:rPr>
                <w:rFonts w:hint="eastAsia"/>
                <w:sz w:val="28"/>
                <w:szCs w:val="28"/>
                <w:highlight w:val="none"/>
                <w:lang w:eastAsia="zh-CN"/>
              </w:rPr>
              <w:t>采购文件</w:t>
            </w:r>
            <w:r>
              <w:rPr>
                <w:rFonts w:hint="eastAsia"/>
                <w:sz w:val="28"/>
                <w:szCs w:val="28"/>
                <w:highlight w:val="none"/>
              </w:rPr>
              <w:t>规定，所提供的服务未达到</w:t>
            </w:r>
            <w:r>
              <w:rPr>
                <w:rFonts w:hint="eastAsia"/>
                <w:sz w:val="28"/>
                <w:szCs w:val="28"/>
                <w:highlight w:val="none"/>
                <w:lang w:eastAsia="zh-CN"/>
              </w:rPr>
              <w:t>采购文件</w:t>
            </w:r>
            <w:r>
              <w:rPr>
                <w:rFonts w:hint="eastAsia"/>
                <w:sz w:val="28"/>
                <w:szCs w:val="28"/>
                <w:highlight w:val="none"/>
              </w:rPr>
              <w:t>要求，采购人书面提出整改通知，累计提出达三次，</w:t>
            </w:r>
            <w:r>
              <w:rPr>
                <w:rFonts w:hint="eastAsia"/>
                <w:sz w:val="28"/>
                <w:szCs w:val="28"/>
                <w:highlight w:val="none"/>
                <w:lang w:eastAsia="zh-CN"/>
              </w:rPr>
              <w:t>供应商</w:t>
            </w:r>
            <w:r>
              <w:rPr>
                <w:rFonts w:hint="eastAsia"/>
                <w:sz w:val="28"/>
                <w:szCs w:val="28"/>
                <w:highlight w:val="none"/>
              </w:rPr>
              <w:t>未按要求及时整改的，采购人有权终止合同，由此造成采购人经济损失的，</w:t>
            </w:r>
            <w:r>
              <w:rPr>
                <w:rFonts w:hint="eastAsia"/>
                <w:sz w:val="28"/>
                <w:szCs w:val="28"/>
                <w:highlight w:val="none"/>
                <w:lang w:eastAsia="zh-CN"/>
              </w:rPr>
              <w:t>供应商</w:t>
            </w:r>
            <w:r>
              <w:rPr>
                <w:rFonts w:hint="eastAsia"/>
                <w:sz w:val="28"/>
                <w:szCs w:val="28"/>
                <w:highlight w:val="none"/>
              </w:rPr>
              <w:t>应给予赔偿。</w:t>
            </w:r>
          </w:p>
          <w:p w14:paraId="0F5A4947">
            <w:pPr>
              <w:keepNext w:val="0"/>
              <w:keepLines w:val="0"/>
              <w:pageBreakBefore w:val="0"/>
              <w:kinsoku/>
              <w:wordWrap/>
              <w:overflowPunct/>
              <w:topLinePunct w:val="0"/>
              <w:autoSpaceDE/>
              <w:autoSpaceDN/>
              <w:bidi w:val="0"/>
              <w:adjustRightInd/>
              <w:snapToGrid/>
              <w:spacing w:line="360" w:lineRule="exact"/>
              <w:jc w:val="left"/>
              <w:rPr>
                <w:rFonts w:hint="eastAsia"/>
                <w:sz w:val="28"/>
                <w:szCs w:val="28"/>
                <w:highlight w:val="none"/>
              </w:rPr>
            </w:pPr>
            <w:r>
              <w:rPr>
                <w:rFonts w:hint="eastAsia"/>
                <w:sz w:val="28"/>
                <w:szCs w:val="28"/>
                <w:highlight w:val="none"/>
              </w:rPr>
              <w:t>2．★如遇虫媒传染病疫情或上级单位要求等突发公共卫生事件，</w:t>
            </w:r>
            <w:r>
              <w:rPr>
                <w:rFonts w:hint="eastAsia"/>
                <w:sz w:val="28"/>
                <w:szCs w:val="28"/>
                <w:highlight w:val="none"/>
                <w:lang w:eastAsia="zh-CN"/>
              </w:rPr>
              <w:t>供应商</w:t>
            </w:r>
            <w:r>
              <w:rPr>
                <w:rFonts w:hint="eastAsia"/>
                <w:sz w:val="28"/>
                <w:szCs w:val="28"/>
                <w:highlight w:val="none"/>
              </w:rPr>
              <w:t>没有履行合同内容、</w:t>
            </w:r>
            <w:r>
              <w:rPr>
                <w:rFonts w:hint="eastAsia"/>
                <w:sz w:val="28"/>
                <w:szCs w:val="28"/>
                <w:highlight w:val="none"/>
                <w:lang w:eastAsia="zh-CN"/>
              </w:rPr>
              <w:t>采购文件</w:t>
            </w:r>
            <w:r>
              <w:rPr>
                <w:rFonts w:hint="eastAsia"/>
                <w:sz w:val="28"/>
                <w:szCs w:val="28"/>
                <w:highlight w:val="none"/>
              </w:rPr>
              <w:t>内容，或不符合上级单位（如广州市卫计委、广州市政府、广州市爱卫办等上级政府部门）考核要求的，扣除</w:t>
            </w:r>
            <w:r>
              <w:rPr>
                <w:rFonts w:hint="eastAsia"/>
                <w:sz w:val="28"/>
                <w:szCs w:val="28"/>
                <w:highlight w:val="none"/>
                <w:lang w:eastAsia="zh-CN"/>
              </w:rPr>
              <w:t>供应商</w:t>
            </w:r>
            <w:r>
              <w:rPr>
                <w:rFonts w:hint="eastAsia"/>
                <w:sz w:val="28"/>
                <w:szCs w:val="28"/>
                <w:highlight w:val="none"/>
              </w:rPr>
              <w:t>当月所有服务费用，同时采购人有权单方面终止合同。</w:t>
            </w:r>
          </w:p>
          <w:p w14:paraId="675CE1CE">
            <w:pPr>
              <w:keepNext w:val="0"/>
              <w:keepLines w:val="0"/>
              <w:pageBreakBefore w:val="0"/>
              <w:kinsoku/>
              <w:wordWrap/>
              <w:overflowPunct/>
              <w:topLinePunct w:val="0"/>
              <w:autoSpaceDE/>
              <w:autoSpaceDN/>
              <w:bidi w:val="0"/>
              <w:adjustRightInd/>
              <w:snapToGrid/>
              <w:spacing w:line="360" w:lineRule="exact"/>
              <w:jc w:val="left"/>
              <w:rPr>
                <w:sz w:val="28"/>
                <w:szCs w:val="28"/>
                <w:highlight w:val="none"/>
              </w:rPr>
            </w:pPr>
            <w:r>
              <w:rPr>
                <w:rFonts w:hint="eastAsia"/>
                <w:sz w:val="28"/>
                <w:szCs w:val="28"/>
                <w:highlight w:val="none"/>
              </w:rPr>
              <w:t>3．★</w:t>
            </w:r>
            <w:r>
              <w:rPr>
                <w:rFonts w:hint="eastAsia"/>
                <w:sz w:val="28"/>
                <w:szCs w:val="28"/>
                <w:highlight w:val="none"/>
                <w:lang w:eastAsia="zh-CN"/>
              </w:rPr>
              <w:t>供应商</w:t>
            </w:r>
            <w:r>
              <w:rPr>
                <w:rFonts w:hint="eastAsia"/>
                <w:sz w:val="28"/>
                <w:szCs w:val="28"/>
                <w:highlight w:val="none"/>
              </w:rPr>
              <w:t>承诺在服务期内，因服务质量未达到国标、省标要求，导致被检查时不合格，责任由</w:t>
            </w:r>
            <w:r>
              <w:rPr>
                <w:rFonts w:hint="eastAsia"/>
                <w:sz w:val="28"/>
                <w:szCs w:val="28"/>
                <w:highlight w:val="none"/>
                <w:lang w:eastAsia="zh-CN"/>
              </w:rPr>
              <w:t>供应商</w:t>
            </w:r>
            <w:r>
              <w:rPr>
                <w:rFonts w:hint="eastAsia"/>
                <w:sz w:val="28"/>
                <w:szCs w:val="28"/>
                <w:highlight w:val="none"/>
              </w:rPr>
              <w:t>承担（包括整改报告、罚款等相关处罚），扣除</w:t>
            </w:r>
            <w:r>
              <w:rPr>
                <w:rFonts w:hint="eastAsia"/>
                <w:sz w:val="28"/>
                <w:szCs w:val="28"/>
                <w:highlight w:val="none"/>
                <w:lang w:eastAsia="zh-CN"/>
              </w:rPr>
              <w:t>供应商</w:t>
            </w:r>
            <w:r>
              <w:rPr>
                <w:rFonts w:hint="eastAsia"/>
                <w:sz w:val="28"/>
                <w:szCs w:val="28"/>
                <w:highlight w:val="none"/>
              </w:rPr>
              <w:t>当月所有服务费用，同时采购人有权终止合同。</w:t>
            </w:r>
          </w:p>
        </w:tc>
      </w:tr>
    </w:tbl>
    <w:p w14:paraId="06714297">
      <w:pPr>
        <w:pStyle w:val="3"/>
        <w:spacing w:before="0" w:after="0" w:line="560" w:lineRule="exact"/>
        <w:ind w:firstLine="640" w:firstLineChars="200"/>
        <w:rPr>
          <w:rFonts w:hint="default"/>
          <w:color w:val="auto"/>
          <w:sz w:val="32"/>
          <w:szCs w:val="32"/>
          <w:lang w:val="en-US" w:eastAsia="zh-CN"/>
        </w:rPr>
      </w:pPr>
      <w:bookmarkStart w:id="6" w:name="_Toc17251"/>
      <w:r>
        <w:rPr>
          <w:rFonts w:hint="eastAsia" w:ascii="黑体" w:hAnsi="黑体" w:eastAsia="黑体"/>
          <w:b w:val="0"/>
          <w:color w:val="auto"/>
          <w:sz w:val="32"/>
          <w:szCs w:val="32"/>
          <w:highlight w:val="none"/>
          <w:lang w:val="en-US" w:eastAsia="zh-CN"/>
        </w:rPr>
        <w:t>二、技术标准与要求</w:t>
      </w:r>
      <w:bookmarkEnd w:id="6"/>
    </w:p>
    <w:tbl>
      <w:tblPr>
        <w:tblStyle w:val="21"/>
        <w:tblW w:w="506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02"/>
        <w:gridCol w:w="3117"/>
        <w:gridCol w:w="730"/>
        <w:gridCol w:w="928"/>
        <w:gridCol w:w="1809"/>
        <w:gridCol w:w="1602"/>
      </w:tblGrid>
      <w:tr w14:paraId="7510F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46" w:type="pct"/>
            <w:tcBorders>
              <w:tl2br w:val="nil"/>
              <w:tr2bl w:val="nil"/>
            </w:tcBorders>
            <w:shd w:val="clear" w:color="auto" w:fill="FFFFFF"/>
            <w:noWrap w:val="0"/>
            <w:tcMar>
              <w:top w:w="15" w:type="dxa"/>
              <w:left w:w="15" w:type="dxa"/>
              <w:right w:w="15" w:type="dxa"/>
            </w:tcMar>
            <w:vAlign w:val="center"/>
          </w:tcPr>
          <w:p w14:paraId="6DAA6B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1733" w:type="pct"/>
            <w:tcBorders>
              <w:tl2br w:val="nil"/>
              <w:tr2bl w:val="nil"/>
            </w:tcBorders>
            <w:shd w:val="clear" w:color="auto" w:fill="FFFFFF"/>
            <w:noWrap w:val="0"/>
            <w:tcMar>
              <w:top w:w="15" w:type="dxa"/>
              <w:left w:w="15" w:type="dxa"/>
              <w:right w:w="15" w:type="dxa"/>
            </w:tcMar>
            <w:vAlign w:val="center"/>
          </w:tcPr>
          <w:p w14:paraId="0F777E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rPr>
            </w:pPr>
            <w:r>
              <w:rPr>
                <w:rFonts w:hint="eastAsia" w:ascii="黑体" w:hAnsi="黑体" w:eastAsia="黑体" w:cs="黑体"/>
                <w:b w:val="0"/>
                <w:bCs w:val="0"/>
                <w:sz w:val="28"/>
                <w:szCs w:val="28"/>
                <w:lang w:val="en-US" w:eastAsia="zh-CN"/>
              </w:rPr>
              <w:t>采购标的</w:t>
            </w:r>
          </w:p>
        </w:tc>
        <w:tc>
          <w:tcPr>
            <w:tcW w:w="406" w:type="pct"/>
            <w:tcBorders>
              <w:tl2br w:val="nil"/>
              <w:tr2bl w:val="nil"/>
            </w:tcBorders>
            <w:shd w:val="clear" w:color="auto" w:fill="FFFFFF"/>
            <w:noWrap w:val="0"/>
            <w:tcMar>
              <w:top w:w="15" w:type="dxa"/>
              <w:left w:w="15" w:type="dxa"/>
              <w:right w:w="15" w:type="dxa"/>
            </w:tcMar>
            <w:vAlign w:val="center"/>
          </w:tcPr>
          <w:p w14:paraId="1FD59D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数量</w:t>
            </w:r>
          </w:p>
        </w:tc>
        <w:tc>
          <w:tcPr>
            <w:tcW w:w="516" w:type="pct"/>
            <w:tcBorders>
              <w:tl2br w:val="nil"/>
              <w:tr2bl w:val="nil"/>
            </w:tcBorders>
            <w:shd w:val="clear" w:color="auto" w:fill="FFFFFF"/>
            <w:noWrap w:val="0"/>
            <w:tcMar>
              <w:top w:w="15" w:type="dxa"/>
              <w:left w:w="15" w:type="dxa"/>
              <w:right w:w="15" w:type="dxa"/>
            </w:tcMar>
            <w:vAlign w:val="center"/>
          </w:tcPr>
          <w:p w14:paraId="1BD5C8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单位</w:t>
            </w:r>
          </w:p>
        </w:tc>
        <w:tc>
          <w:tcPr>
            <w:tcW w:w="1006" w:type="pct"/>
            <w:tcBorders>
              <w:tl2br w:val="nil"/>
              <w:tr2bl w:val="nil"/>
            </w:tcBorders>
            <w:shd w:val="clear" w:color="auto" w:fill="FFFFFF"/>
            <w:noWrap w:val="0"/>
            <w:tcMar>
              <w:top w:w="15" w:type="dxa"/>
              <w:left w:w="15" w:type="dxa"/>
              <w:right w:w="15" w:type="dxa"/>
            </w:tcMar>
            <w:vAlign w:val="center"/>
          </w:tcPr>
          <w:p w14:paraId="08FC3B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总价最高限价</w:t>
            </w:r>
          </w:p>
        </w:tc>
        <w:tc>
          <w:tcPr>
            <w:tcW w:w="890" w:type="pct"/>
            <w:tcBorders>
              <w:tl2br w:val="nil"/>
              <w:tr2bl w:val="nil"/>
            </w:tcBorders>
            <w:shd w:val="clear" w:color="auto" w:fill="FFFFFF"/>
            <w:noWrap w:val="0"/>
            <w:tcMar>
              <w:top w:w="15" w:type="dxa"/>
              <w:left w:w="15" w:type="dxa"/>
              <w:right w:w="15" w:type="dxa"/>
            </w:tcMar>
            <w:vAlign w:val="center"/>
          </w:tcPr>
          <w:p w14:paraId="1B775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技术要求</w:t>
            </w:r>
          </w:p>
        </w:tc>
      </w:tr>
      <w:tr w14:paraId="56FCE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446" w:type="pct"/>
            <w:tcBorders>
              <w:tl2br w:val="nil"/>
              <w:tr2bl w:val="nil"/>
            </w:tcBorders>
            <w:shd w:val="clear" w:color="auto" w:fill="FFFFFF"/>
            <w:noWrap w:val="0"/>
            <w:tcMar>
              <w:top w:w="15" w:type="dxa"/>
              <w:left w:w="15" w:type="dxa"/>
              <w:right w:w="15" w:type="dxa"/>
            </w:tcMar>
            <w:vAlign w:val="center"/>
          </w:tcPr>
          <w:p w14:paraId="4B9523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1</w:t>
            </w:r>
          </w:p>
        </w:tc>
        <w:tc>
          <w:tcPr>
            <w:tcW w:w="1733" w:type="pct"/>
            <w:tcBorders>
              <w:tl2br w:val="nil"/>
              <w:tr2bl w:val="nil"/>
            </w:tcBorders>
            <w:shd w:val="clear" w:color="auto" w:fill="FFFFFF"/>
            <w:noWrap w:val="0"/>
            <w:tcMar>
              <w:top w:w="15" w:type="dxa"/>
              <w:left w:w="15" w:type="dxa"/>
              <w:right w:w="15" w:type="dxa"/>
            </w:tcMar>
            <w:vAlign w:val="center"/>
          </w:tcPr>
          <w:p w14:paraId="6606BE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灭治红白蚁、除四害服务</w:t>
            </w:r>
          </w:p>
        </w:tc>
        <w:tc>
          <w:tcPr>
            <w:tcW w:w="406" w:type="pct"/>
            <w:tcBorders>
              <w:tl2br w:val="nil"/>
              <w:tr2bl w:val="nil"/>
            </w:tcBorders>
            <w:shd w:val="clear" w:color="auto" w:fill="FFFFFF"/>
            <w:noWrap w:val="0"/>
            <w:tcMar>
              <w:top w:w="15" w:type="dxa"/>
              <w:left w:w="15" w:type="dxa"/>
              <w:right w:w="15" w:type="dxa"/>
            </w:tcMar>
            <w:vAlign w:val="center"/>
          </w:tcPr>
          <w:p w14:paraId="61489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仿宋" w:hAnsi="仿宋" w:eastAsia="仿宋" w:cs="仿宋"/>
                <w:color w:val="auto"/>
                <w:kern w:val="0"/>
                <w:sz w:val="28"/>
                <w:szCs w:val="28"/>
                <w:highlight w:val="none"/>
                <w:lang w:val="en-US" w:eastAsia="zh-CN" w:bidi="ar"/>
              </w:rPr>
            </w:pPr>
            <w:r>
              <w:rPr>
                <w:rFonts w:hint="eastAsia" w:ascii="仿宋" w:hAnsi="仿宋" w:cs="仿宋"/>
                <w:color w:val="auto"/>
                <w:kern w:val="0"/>
                <w:sz w:val="28"/>
                <w:szCs w:val="28"/>
                <w:highlight w:val="none"/>
                <w:lang w:val="en-US" w:eastAsia="zh-CN" w:bidi="ar"/>
              </w:rPr>
              <w:t>1</w:t>
            </w:r>
          </w:p>
        </w:tc>
        <w:tc>
          <w:tcPr>
            <w:tcW w:w="516" w:type="pct"/>
            <w:tcBorders>
              <w:tl2br w:val="nil"/>
              <w:tr2bl w:val="nil"/>
            </w:tcBorders>
            <w:shd w:val="clear" w:color="auto" w:fill="FFFFFF"/>
            <w:noWrap w:val="0"/>
            <w:tcMar>
              <w:top w:w="15" w:type="dxa"/>
              <w:left w:w="15" w:type="dxa"/>
              <w:right w:w="15" w:type="dxa"/>
            </w:tcMar>
            <w:vAlign w:val="center"/>
          </w:tcPr>
          <w:p w14:paraId="608549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仿宋" w:hAnsi="仿宋" w:eastAsia="仿宋" w:cs="仿宋"/>
                <w:color w:val="auto"/>
                <w:kern w:val="0"/>
                <w:sz w:val="28"/>
                <w:szCs w:val="28"/>
                <w:highlight w:val="none"/>
                <w:lang w:val="en-US" w:eastAsia="zh-CN" w:bidi="ar"/>
              </w:rPr>
            </w:pPr>
            <w:r>
              <w:rPr>
                <w:rFonts w:hint="eastAsia" w:ascii="仿宋" w:hAnsi="仿宋" w:cs="仿宋"/>
                <w:color w:val="auto"/>
                <w:kern w:val="0"/>
                <w:sz w:val="28"/>
                <w:szCs w:val="28"/>
                <w:highlight w:val="none"/>
                <w:lang w:val="en-US" w:eastAsia="zh-CN" w:bidi="ar"/>
              </w:rPr>
              <w:t>项</w:t>
            </w:r>
          </w:p>
        </w:tc>
        <w:tc>
          <w:tcPr>
            <w:tcW w:w="1006" w:type="pct"/>
            <w:tcBorders>
              <w:tl2br w:val="nil"/>
              <w:tr2bl w:val="nil"/>
            </w:tcBorders>
            <w:shd w:val="clear" w:color="auto" w:fill="FFFFFF"/>
            <w:noWrap w:val="0"/>
            <w:tcMar>
              <w:top w:w="15" w:type="dxa"/>
              <w:left w:w="15" w:type="dxa"/>
              <w:right w:w="15" w:type="dxa"/>
            </w:tcMar>
            <w:vAlign w:val="center"/>
          </w:tcPr>
          <w:p w14:paraId="556105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仿宋" w:hAnsi="仿宋" w:eastAsia="仿宋" w:cs="仿宋"/>
                <w:color w:val="auto"/>
                <w:kern w:val="0"/>
                <w:sz w:val="28"/>
                <w:szCs w:val="28"/>
                <w:highlight w:val="none"/>
                <w:lang w:val="en-US" w:eastAsia="zh-CN" w:bidi="ar"/>
              </w:rPr>
            </w:pPr>
            <w:r>
              <w:rPr>
                <w:rFonts w:hint="eastAsia" w:ascii="仿宋" w:hAnsi="仿宋" w:cs="仿宋"/>
                <w:color w:val="auto"/>
                <w:kern w:val="0"/>
                <w:sz w:val="28"/>
                <w:szCs w:val="28"/>
                <w:highlight w:val="none"/>
                <w:lang w:val="en-US" w:eastAsia="zh-CN" w:bidi="ar"/>
              </w:rPr>
              <w:t>480,000</w:t>
            </w:r>
          </w:p>
        </w:tc>
        <w:tc>
          <w:tcPr>
            <w:tcW w:w="890" w:type="pct"/>
            <w:tcBorders>
              <w:tl2br w:val="nil"/>
              <w:tr2bl w:val="nil"/>
            </w:tcBorders>
            <w:shd w:val="clear" w:color="auto" w:fill="FFFFFF"/>
            <w:noWrap w:val="0"/>
            <w:tcMar>
              <w:top w:w="15" w:type="dxa"/>
              <w:left w:w="15" w:type="dxa"/>
              <w:right w:w="15" w:type="dxa"/>
            </w:tcMar>
            <w:vAlign w:val="center"/>
          </w:tcPr>
          <w:p w14:paraId="7CB3C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详见附表一</w:t>
            </w:r>
          </w:p>
        </w:tc>
      </w:tr>
    </w:tbl>
    <w:p w14:paraId="264B13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本表所列价格均为人民币，货币单位：人民币/元。</w:t>
      </w:r>
    </w:p>
    <w:p w14:paraId="1677AC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cs="仿宋"/>
          <w:bCs w:val="0"/>
          <w:color w:val="000000"/>
          <w:kern w:val="2"/>
          <w:sz w:val="32"/>
          <w:szCs w:val="32"/>
          <w:highlight w:val="none"/>
          <w:lang w:val="en-US" w:eastAsia="zh-CN" w:bidi="ar-SA"/>
        </w:rPr>
      </w:pPr>
      <w:r>
        <w:rPr>
          <w:rFonts w:hint="eastAsia" w:ascii="仿宋" w:hAnsi="仿宋" w:cs="仿宋"/>
          <w:bCs w:val="0"/>
          <w:color w:val="000000"/>
          <w:kern w:val="2"/>
          <w:sz w:val="32"/>
          <w:szCs w:val="32"/>
          <w:highlight w:val="none"/>
          <w:lang w:val="en-US" w:eastAsia="zh-CN" w:bidi="ar-SA"/>
        </w:rPr>
        <w:t>附表一</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0"/>
      </w:tblGrid>
      <w:tr w14:paraId="4803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3"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CEB1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技术和服务要求</w:t>
            </w:r>
          </w:p>
        </w:tc>
      </w:tr>
      <w:tr w14:paraId="278D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AF97E9">
            <w:pPr>
              <w:keepNext w:val="0"/>
              <w:keepLines w:val="0"/>
              <w:pageBreakBefore w:val="0"/>
              <w:numPr>
                <w:ilvl w:val="0"/>
                <w:numId w:val="0"/>
              </w:numPr>
              <w:tabs>
                <w:tab w:val="left" w:pos="84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b/>
                <w:kern w:val="2"/>
                <w:sz w:val="24"/>
              </w:rPr>
            </w:pPr>
            <w:r>
              <w:rPr>
                <w:rFonts w:hint="eastAsia" w:ascii="宋体" w:hAnsi="宋体" w:eastAsiaTheme="minorEastAsia" w:cstheme="minorBidi"/>
                <w:b/>
                <w:kern w:val="2"/>
                <w:sz w:val="24"/>
                <w:szCs w:val="24"/>
                <w:lang w:val="en-US" w:eastAsia="zh-CN" w:bidi="ar-SA"/>
              </w:rPr>
              <w:t>一、</w:t>
            </w:r>
            <w:r>
              <w:rPr>
                <w:rFonts w:hint="eastAsia" w:ascii="宋体" w:hAnsi="宋体"/>
                <w:b/>
                <w:kern w:val="2"/>
                <w:sz w:val="24"/>
              </w:rPr>
              <w:t>项目基本概况</w:t>
            </w:r>
          </w:p>
          <w:p w14:paraId="793A12A7">
            <w:pPr>
              <w:pStyle w:val="13"/>
              <w:keepNext w:val="0"/>
              <w:keepLines w:val="0"/>
              <w:pageBreakBefore w:val="0"/>
              <w:numPr>
                <w:ilvl w:val="0"/>
                <w:numId w:val="0"/>
              </w:numPr>
              <w:tabs>
                <w:tab w:val="left" w:pos="540"/>
                <w:tab w:val="left" w:pos="993"/>
              </w:tabs>
              <w:kinsoku/>
              <w:wordWrap/>
              <w:overflowPunct/>
              <w:topLinePunct w:val="0"/>
              <w:autoSpaceDE/>
              <w:autoSpaceDN/>
              <w:bidi w:val="0"/>
              <w:adjustRightInd/>
              <w:snapToGrid w:val="0"/>
              <w:spacing w:line="360" w:lineRule="exact"/>
              <w:ind w:left="840" w:leftChars="0" w:firstLine="0" w:firstLineChars="0"/>
              <w:textAlignment w:val="auto"/>
              <w:rPr>
                <w:rFonts w:hAnsi="宋体"/>
                <w:sz w:val="24"/>
              </w:rPr>
            </w:pPr>
            <w:r>
              <w:rPr>
                <w:rFonts w:hint="eastAsia" w:ascii="宋体" w:hAnsi="宋体" w:eastAsia="宋体" w:cs="Courier New"/>
                <w:kern w:val="2"/>
                <w:sz w:val="24"/>
                <w:szCs w:val="21"/>
                <w:lang w:val="en-US" w:eastAsia="zh-CN" w:bidi="ar-SA"/>
              </w:rPr>
              <w:t>(一)</w:t>
            </w:r>
            <w:r>
              <w:rPr>
                <w:rFonts w:hAnsi="宋体"/>
                <w:sz w:val="24"/>
              </w:rPr>
              <w:t>服务要求</w:t>
            </w:r>
            <w:r>
              <w:rPr>
                <w:rFonts w:hint="eastAsia" w:hAnsi="宋体"/>
                <w:sz w:val="24"/>
              </w:rPr>
              <w:t>：“除四害”服务按《广州市除四害管理规定》、《广东省爱国卫生工作条例》、《广州市灭鼠灭虫服务行业管理办法》及本项目合同的有关要求和标准，确保在服务当日“四害”消杀的效果，控制在达标范围内。</w:t>
            </w:r>
          </w:p>
          <w:p w14:paraId="66E338B9">
            <w:pPr>
              <w:pStyle w:val="13"/>
              <w:keepNext w:val="0"/>
              <w:keepLines w:val="0"/>
              <w:pageBreakBefore w:val="0"/>
              <w:numPr>
                <w:ilvl w:val="0"/>
                <w:numId w:val="0"/>
              </w:numPr>
              <w:tabs>
                <w:tab w:val="left" w:pos="993"/>
              </w:tabs>
              <w:kinsoku/>
              <w:wordWrap/>
              <w:overflowPunct/>
              <w:topLinePunct w:val="0"/>
              <w:autoSpaceDE/>
              <w:autoSpaceDN/>
              <w:bidi w:val="0"/>
              <w:adjustRightInd/>
              <w:snapToGrid w:val="0"/>
              <w:spacing w:line="360" w:lineRule="exact"/>
              <w:ind w:left="840" w:leftChars="0" w:firstLine="0" w:firstLineChars="0"/>
              <w:textAlignment w:val="auto"/>
              <w:rPr>
                <w:rFonts w:hAnsi="宋体"/>
                <w:sz w:val="24"/>
              </w:rPr>
            </w:pPr>
            <w:r>
              <w:rPr>
                <w:rFonts w:hint="eastAsia" w:ascii="宋体" w:hAnsi="宋体" w:eastAsia="宋体" w:cs="Courier New"/>
                <w:kern w:val="2"/>
                <w:sz w:val="24"/>
                <w:szCs w:val="21"/>
                <w:lang w:val="en-US" w:eastAsia="zh-CN" w:bidi="ar-SA"/>
              </w:rPr>
              <w:t>(二)</w:t>
            </w:r>
            <w:r>
              <w:rPr>
                <w:rFonts w:hAnsi="宋体"/>
                <w:sz w:val="24"/>
              </w:rPr>
              <w:t>服务标准</w:t>
            </w:r>
            <w:r>
              <w:rPr>
                <w:rFonts w:hint="eastAsia" w:hAnsi="宋体"/>
                <w:sz w:val="24"/>
              </w:rPr>
              <w:t>：每次作业完成后，</w:t>
            </w:r>
            <w:r>
              <w:rPr>
                <w:rFonts w:hint="eastAsia" w:hAnsi="宋体"/>
                <w:sz w:val="24"/>
                <w:lang w:eastAsia="zh-CN"/>
              </w:rPr>
              <w:t>供应商</w:t>
            </w:r>
            <w:r>
              <w:rPr>
                <w:rFonts w:hint="eastAsia" w:hAnsi="宋体"/>
                <w:sz w:val="24"/>
              </w:rPr>
              <w:t>需将“灭治红白蚁”、“灭治蚊子”“灭治苍蝇”、“灭治老鼠”、“灭治蟑螂”服务记录表提供给采购人确认。岗位服务人员要严格遵守灭鼠杀虫防治技术操作规程文明作业，穿着统一工作服和佩戴工作证。</w:t>
            </w:r>
            <w:r>
              <w:rPr>
                <w:rFonts w:hint="eastAsia" w:hAnsi="宋体"/>
                <w:sz w:val="24"/>
                <w:lang w:eastAsia="zh-CN"/>
              </w:rPr>
              <w:t>供应商</w:t>
            </w:r>
            <w:r>
              <w:rPr>
                <w:rFonts w:hint="eastAsia" w:hAnsi="宋体"/>
                <w:sz w:val="24"/>
              </w:rPr>
              <w:t>在为采购人提供服务工作中应严格遵守采购人的各项规章制度。</w:t>
            </w:r>
          </w:p>
          <w:p w14:paraId="4516DBDF">
            <w:pPr>
              <w:keepNext w:val="0"/>
              <w:keepLines w:val="0"/>
              <w:pageBreakBefore w:val="0"/>
              <w:numPr>
                <w:ilvl w:val="0"/>
                <w:numId w:val="0"/>
              </w:numPr>
              <w:tabs>
                <w:tab w:val="left" w:pos="84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b/>
                <w:kern w:val="2"/>
                <w:sz w:val="24"/>
              </w:rPr>
            </w:pPr>
            <w:r>
              <w:rPr>
                <w:rFonts w:hint="eastAsia" w:ascii="宋体" w:hAnsi="宋体" w:eastAsiaTheme="minorEastAsia" w:cstheme="minorBidi"/>
                <w:b/>
                <w:kern w:val="2"/>
                <w:sz w:val="24"/>
                <w:szCs w:val="24"/>
                <w:lang w:val="en-US" w:eastAsia="zh-CN" w:bidi="ar-SA"/>
              </w:rPr>
              <w:t>二、</w:t>
            </w:r>
            <w:r>
              <w:rPr>
                <w:rFonts w:hint="eastAsia" w:ascii="宋体" w:hAnsi="宋体"/>
                <w:b/>
                <w:kern w:val="2"/>
                <w:sz w:val="24"/>
              </w:rPr>
              <w:t>基本准则</w:t>
            </w:r>
          </w:p>
          <w:p w14:paraId="796B90F0">
            <w:pPr>
              <w:keepNext w:val="0"/>
              <w:keepLines w:val="0"/>
              <w:pageBreakBefore w:val="0"/>
              <w:numPr>
                <w:ilvl w:val="0"/>
                <w:numId w:val="0"/>
              </w:numPr>
              <w:tabs>
                <w:tab w:val="left" w:pos="64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cs="仿宋"/>
                <w:kern w:val="2"/>
                <w:sz w:val="24"/>
              </w:rPr>
            </w:pPr>
            <w:bookmarkStart w:id="7" w:name="_Toc344194003"/>
            <w:r>
              <w:rPr>
                <w:rFonts w:hint="default" w:ascii="宋体" w:hAnsi="宋体" w:cs="仿宋" w:eastAsiaTheme="minorEastAsia"/>
                <w:kern w:val="2"/>
                <w:sz w:val="24"/>
                <w:szCs w:val="24"/>
                <w:lang w:val="en-US" w:eastAsia="zh-CN" w:bidi="ar-SA"/>
              </w:rPr>
              <w:t>1．</w:t>
            </w:r>
            <w:r>
              <w:rPr>
                <w:rFonts w:hint="eastAsia" w:ascii="宋体" w:hAnsi="宋体" w:cs="仿宋"/>
                <w:kern w:val="2"/>
                <w:sz w:val="24"/>
              </w:rPr>
              <w:t>本项目为</w:t>
            </w:r>
            <w:r>
              <w:rPr>
                <w:rFonts w:hint="eastAsia" w:ascii="宋体" w:hAnsi="宋体" w:cs="仿宋"/>
                <w:kern w:val="2"/>
                <w:sz w:val="24"/>
                <w:lang w:eastAsia="zh-CN"/>
              </w:rPr>
              <w:t>广州医科大学附属市八医院</w:t>
            </w:r>
            <w:r>
              <w:rPr>
                <w:rFonts w:hint="eastAsia" w:ascii="宋体" w:hAnsi="宋体"/>
                <w:bCs/>
                <w:kern w:val="2"/>
                <w:sz w:val="24"/>
              </w:rPr>
              <w:t>灭治红白蚁、除四害服务服务</w:t>
            </w:r>
            <w:r>
              <w:rPr>
                <w:rFonts w:hint="eastAsia" w:ascii="宋体" w:hAnsi="宋体" w:cs="仿宋"/>
                <w:kern w:val="2"/>
                <w:sz w:val="24"/>
              </w:rPr>
              <w:t>项目，</w:t>
            </w:r>
            <w:r>
              <w:rPr>
                <w:rFonts w:hint="eastAsia" w:ascii="宋体" w:hAnsi="宋体" w:cs="仿宋"/>
                <w:kern w:val="2"/>
                <w:sz w:val="24"/>
                <w:lang w:eastAsia="zh-CN"/>
              </w:rPr>
              <w:t>供应商</w:t>
            </w:r>
            <w:r>
              <w:rPr>
                <w:rFonts w:hint="eastAsia" w:ascii="宋体" w:hAnsi="宋体" w:cs="仿宋"/>
                <w:kern w:val="2"/>
                <w:sz w:val="24"/>
              </w:rPr>
              <w:t>必须对本项目整体报价，不得拆分。</w:t>
            </w:r>
            <w:bookmarkEnd w:id="7"/>
          </w:p>
          <w:p w14:paraId="595E6D73">
            <w:pPr>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exact"/>
              <w:ind w:left="0" w:leftChars="0" w:firstLine="0" w:firstLineChars="0"/>
              <w:textAlignment w:val="auto"/>
              <w:outlineLvl w:val="1"/>
              <w:rPr>
                <w:rFonts w:hint="eastAsia" w:ascii="宋体" w:hAnsi="宋体" w:cs="仿宋"/>
                <w:kern w:val="2"/>
                <w:sz w:val="24"/>
              </w:rPr>
            </w:pPr>
            <w:bookmarkStart w:id="8" w:name="_Toc344194004"/>
            <w:r>
              <w:rPr>
                <w:rFonts w:hint="default" w:ascii="宋体" w:hAnsi="宋体" w:cs="仿宋" w:eastAsiaTheme="minorEastAsia"/>
                <w:kern w:val="2"/>
                <w:sz w:val="24"/>
                <w:szCs w:val="24"/>
                <w:lang w:val="en-US" w:eastAsia="zh-CN" w:bidi="ar-SA"/>
              </w:rPr>
              <w:t>2．</w:t>
            </w:r>
            <w:r>
              <w:rPr>
                <w:rFonts w:hint="eastAsia" w:ascii="宋体" w:hAnsi="宋体" w:cs="仿宋"/>
                <w:kern w:val="2"/>
                <w:sz w:val="24"/>
              </w:rPr>
              <w:t>本项目</w:t>
            </w:r>
            <w:r>
              <w:rPr>
                <w:rFonts w:hint="eastAsia" w:ascii="宋体" w:hAnsi="宋体" w:cs="仿宋"/>
                <w:kern w:val="2"/>
                <w:sz w:val="24"/>
                <w:lang w:val="en-US" w:eastAsia="zh-CN"/>
              </w:rPr>
              <w:t>采购</w:t>
            </w:r>
            <w:r>
              <w:rPr>
                <w:rFonts w:hint="eastAsia" w:ascii="宋体" w:hAnsi="宋体" w:cs="仿宋"/>
                <w:kern w:val="2"/>
                <w:sz w:val="24"/>
              </w:rPr>
              <w:t>内容及范围：广州市白云区华英路8号所属范围内的</w:t>
            </w:r>
            <w:bookmarkEnd w:id="8"/>
            <w:r>
              <w:rPr>
                <w:rFonts w:hint="eastAsia" w:ascii="宋体" w:hAnsi="宋体" w:cs="仿宋"/>
                <w:kern w:val="2"/>
                <w:sz w:val="24"/>
              </w:rPr>
              <w:t>内所有的区域，具体范围情况如下：</w:t>
            </w:r>
            <w:r>
              <w:rPr>
                <w:rFonts w:hint="eastAsia" w:ascii="宋体" w:hAnsi="宋体" w:cs="仿宋"/>
                <w:kern w:val="2"/>
                <w:sz w:val="24"/>
                <w:highlight w:val="none"/>
              </w:rPr>
              <w:t>建筑面积</w:t>
            </w:r>
            <w:r>
              <w:rPr>
                <w:rFonts w:hint="eastAsia" w:ascii="宋体" w:hAnsi="宋体" w:cs="仿宋"/>
                <w:kern w:val="2"/>
                <w:sz w:val="24"/>
              </w:rPr>
              <w:t>约1</w:t>
            </w:r>
            <w:r>
              <w:rPr>
                <w:rFonts w:hint="eastAsia" w:ascii="宋体" w:hAnsi="宋体" w:cs="仿宋"/>
                <w:kern w:val="2"/>
                <w:sz w:val="24"/>
                <w:lang w:val="en-US" w:eastAsia="zh-CN"/>
              </w:rPr>
              <w:t>7</w:t>
            </w:r>
            <w:r>
              <w:rPr>
                <w:rFonts w:hint="eastAsia" w:ascii="宋体" w:hAnsi="宋体" w:cs="仿宋"/>
                <w:kern w:val="2"/>
                <w:sz w:val="24"/>
              </w:rPr>
              <w:t>万平方米</w:t>
            </w:r>
            <w:r>
              <w:rPr>
                <w:rFonts w:hint="eastAsia" w:ascii="宋体" w:hAnsi="宋体" w:cs="仿宋"/>
                <w:kern w:val="2"/>
                <w:sz w:val="24"/>
                <w:lang w:eastAsia="zh-CN"/>
              </w:rPr>
              <w:t>、</w:t>
            </w:r>
            <w:r>
              <w:rPr>
                <w:rFonts w:hint="eastAsia" w:ascii="宋体" w:hAnsi="宋体"/>
                <w:kern w:val="2"/>
                <w:sz w:val="24"/>
              </w:rPr>
              <w:t>占地面积约13.5万平方米</w:t>
            </w:r>
            <w:r>
              <w:rPr>
                <w:rFonts w:hint="eastAsia" w:ascii="宋体" w:hAnsi="宋体"/>
                <w:kern w:val="2"/>
                <w:sz w:val="24"/>
                <w:lang w:eastAsia="zh-CN"/>
              </w:rPr>
              <w:t>。</w:t>
            </w:r>
          </w:p>
          <w:p w14:paraId="2173C9C5">
            <w:pPr>
              <w:keepNext w:val="0"/>
              <w:keepLines w:val="0"/>
              <w:pageBreakBefore w:val="0"/>
              <w:numPr>
                <w:ilvl w:val="0"/>
                <w:numId w:val="0"/>
              </w:numPr>
              <w:tabs>
                <w:tab w:val="left" w:pos="72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cs="仿宋"/>
                <w:kern w:val="2"/>
                <w:sz w:val="24"/>
              </w:rPr>
            </w:pPr>
            <w:bookmarkStart w:id="9" w:name="_Toc344194005"/>
            <w:r>
              <w:rPr>
                <w:rFonts w:hint="default" w:ascii="宋体" w:hAnsi="宋体" w:cs="仿宋" w:eastAsiaTheme="minorEastAsia"/>
                <w:kern w:val="2"/>
                <w:sz w:val="24"/>
                <w:szCs w:val="24"/>
                <w:lang w:val="en-US" w:eastAsia="zh-CN" w:bidi="ar-SA"/>
              </w:rPr>
              <w:t>3．</w:t>
            </w:r>
            <w:r>
              <w:rPr>
                <w:rFonts w:hint="eastAsia" w:ascii="宋体" w:hAnsi="宋体" w:cs="仿宋"/>
                <w:kern w:val="2"/>
                <w:sz w:val="24"/>
              </w:rPr>
              <w:t>本采用总价包干的服务方式，</w:t>
            </w:r>
            <w:r>
              <w:rPr>
                <w:rFonts w:hint="eastAsia" w:ascii="宋体" w:hAnsi="宋体" w:cs="仿宋"/>
                <w:kern w:val="2"/>
                <w:sz w:val="24"/>
                <w:lang w:eastAsia="zh-CN"/>
              </w:rPr>
              <w:t>供应商</w:t>
            </w:r>
            <w:r>
              <w:rPr>
                <w:rFonts w:hint="eastAsia" w:ascii="宋体" w:hAnsi="宋体" w:cs="仿宋"/>
                <w:kern w:val="2"/>
                <w:sz w:val="24"/>
              </w:rPr>
              <w:t>的报价总价应包含但不限于：</w:t>
            </w:r>
            <w:r>
              <w:rPr>
                <w:rFonts w:hint="eastAsia" w:ascii="宋体" w:hAnsi="宋体" w:cs="仿宋"/>
                <w:snapToGrid w:val="0"/>
                <w:kern w:val="2"/>
                <w:sz w:val="24"/>
              </w:rPr>
              <w:t>劳务、管理、利润、保险、税金、工具设备及设备燃料、政策性文件规定的各项应有费用，</w:t>
            </w:r>
            <w:r>
              <w:rPr>
                <w:rFonts w:hint="eastAsia" w:ascii="宋体" w:hAnsi="宋体" w:cs="仿宋"/>
                <w:kern w:val="2"/>
                <w:sz w:val="24"/>
              </w:rPr>
              <w:t>服务期内均按上述内容支付费用，不再额外支付及调整。</w:t>
            </w:r>
            <w:bookmarkEnd w:id="9"/>
          </w:p>
          <w:p w14:paraId="16B41AA6">
            <w:pPr>
              <w:keepNext w:val="0"/>
              <w:keepLines w:val="0"/>
              <w:pageBreakBefore w:val="0"/>
              <w:numPr>
                <w:ilvl w:val="0"/>
                <w:numId w:val="0"/>
              </w:numPr>
              <w:tabs>
                <w:tab w:val="left" w:pos="84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b/>
                <w:kern w:val="2"/>
                <w:sz w:val="24"/>
              </w:rPr>
            </w:pPr>
            <w:r>
              <w:rPr>
                <w:rFonts w:hint="eastAsia" w:ascii="宋体" w:hAnsi="宋体" w:eastAsiaTheme="minorEastAsia" w:cstheme="minorBidi"/>
                <w:b/>
                <w:kern w:val="2"/>
                <w:sz w:val="24"/>
                <w:szCs w:val="24"/>
                <w:lang w:val="en-US" w:eastAsia="zh-CN" w:bidi="ar-SA"/>
              </w:rPr>
              <w:t>三、</w:t>
            </w:r>
            <w:r>
              <w:rPr>
                <w:rFonts w:hint="eastAsia" w:ascii="宋体" w:hAnsi="宋体"/>
                <w:b/>
                <w:kern w:val="2"/>
                <w:sz w:val="24"/>
              </w:rPr>
              <w:t>服务内容要求</w:t>
            </w:r>
          </w:p>
          <w:p w14:paraId="154BDD6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w:t>
            </w:r>
            <w:r>
              <w:rPr>
                <w:rFonts w:hint="eastAsia" w:ascii="宋体" w:hAnsi="宋体" w:cs="宋体"/>
                <w:kern w:val="2"/>
                <w:sz w:val="24"/>
              </w:rPr>
              <w:t>负责服务的地址及范围：白云区华英路8号采购人所属范围内所有的区域灭治白蚁、蚊子、蟑螂、苍蝇、老鼠、红蚁服务。</w:t>
            </w:r>
          </w:p>
          <w:p w14:paraId="217351C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w:t>
            </w:r>
            <w:r>
              <w:rPr>
                <w:rFonts w:hint="eastAsia" w:ascii="宋体" w:hAnsi="宋体"/>
                <w:bCs/>
                <w:color w:val="000000"/>
                <w:kern w:val="2"/>
                <w:sz w:val="24"/>
              </w:rPr>
              <w:t>★</w:t>
            </w:r>
            <w:r>
              <w:rPr>
                <w:rFonts w:hint="eastAsia" w:ascii="宋体" w:hAnsi="宋体" w:cs="宋体"/>
                <w:kern w:val="2"/>
                <w:sz w:val="24"/>
              </w:rPr>
              <w:t>合同期内，</w:t>
            </w:r>
            <w:r>
              <w:rPr>
                <w:rFonts w:hint="eastAsia" w:ascii="宋体" w:hAnsi="宋体" w:cs="宋体"/>
                <w:kern w:val="2"/>
                <w:sz w:val="24"/>
                <w:lang w:eastAsia="zh-CN"/>
              </w:rPr>
              <w:t>供应商</w:t>
            </w:r>
            <w:r>
              <w:rPr>
                <w:rFonts w:hint="eastAsia" w:ascii="宋体" w:hAnsi="宋体" w:cs="宋体"/>
                <w:kern w:val="2"/>
                <w:sz w:val="24"/>
              </w:rPr>
              <w:t>承诺为采购人提供每天固定一人的驻点服务，</w:t>
            </w:r>
            <w:r>
              <w:rPr>
                <w:rFonts w:hint="eastAsia" w:ascii="宋体" w:hAnsi="宋体" w:cs="宋体"/>
                <w:kern w:val="2"/>
                <w:sz w:val="24"/>
                <w:lang w:eastAsia="zh-CN"/>
              </w:rPr>
              <w:t>其余时间</w:t>
            </w:r>
            <w:r>
              <w:rPr>
                <w:rFonts w:hint="eastAsia" w:ascii="宋体" w:hAnsi="宋体" w:cs="宋体"/>
                <w:kern w:val="2"/>
                <w:sz w:val="24"/>
                <w:lang w:val="en-US" w:eastAsia="zh-CN"/>
              </w:rPr>
              <w:t>段</w:t>
            </w:r>
            <w:r>
              <w:rPr>
                <w:rFonts w:hint="eastAsia" w:ascii="宋体" w:hAnsi="宋体" w:cs="宋体"/>
                <w:kern w:val="2"/>
                <w:sz w:val="24"/>
                <w:lang w:eastAsia="zh-CN"/>
              </w:rPr>
              <w:t>需</w:t>
            </w:r>
            <w:r>
              <w:rPr>
                <w:rFonts w:hint="eastAsia" w:ascii="宋体" w:hAnsi="宋体" w:cs="宋体"/>
                <w:kern w:val="2"/>
                <w:sz w:val="24"/>
              </w:rPr>
              <w:t>两小时内响应。</w:t>
            </w:r>
            <w:r>
              <w:rPr>
                <w:rFonts w:hint="eastAsia" w:ascii="宋体" w:hAnsi="宋体" w:cs="宋体"/>
                <w:kern w:val="2"/>
                <w:sz w:val="24"/>
                <w:lang w:val="en-US" w:eastAsia="zh-CN"/>
              </w:rPr>
              <w:t>驻场</w:t>
            </w:r>
            <w:r>
              <w:rPr>
                <w:rFonts w:hint="eastAsia" w:ascii="宋体" w:hAnsi="宋体" w:cs="宋体"/>
                <w:kern w:val="2"/>
                <w:sz w:val="24"/>
              </w:rPr>
              <w:t>时间：上午8:00—12:00；下午14:30—17:30（如遇大型检查，</w:t>
            </w:r>
            <w:r>
              <w:rPr>
                <w:rFonts w:hint="eastAsia" w:ascii="宋体" w:hAnsi="宋体" w:cs="宋体"/>
                <w:kern w:val="2"/>
                <w:sz w:val="24"/>
                <w:lang w:eastAsia="zh-CN"/>
              </w:rPr>
              <w:t>供应商</w:t>
            </w:r>
            <w:r>
              <w:rPr>
                <w:rFonts w:hint="eastAsia" w:ascii="宋体" w:hAnsi="宋体" w:cs="宋体"/>
                <w:kern w:val="2"/>
                <w:sz w:val="24"/>
              </w:rPr>
              <w:t>需配合做好相关的迎检工作）。</w:t>
            </w:r>
          </w:p>
          <w:p w14:paraId="2B86FF18">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3．</w:t>
            </w:r>
            <w:r>
              <w:rPr>
                <w:rFonts w:hint="eastAsia" w:ascii="宋体" w:hAnsi="宋体" w:cs="宋体"/>
                <w:kern w:val="2"/>
                <w:sz w:val="24"/>
              </w:rPr>
              <w:t>在合同期间，如出现</w:t>
            </w:r>
            <w:r>
              <w:rPr>
                <w:rFonts w:hint="eastAsia" w:ascii="宋体" w:hAnsi="宋体" w:cs="宋体"/>
                <w:kern w:val="2"/>
                <w:sz w:val="24"/>
                <w:lang w:eastAsia="zh-CN"/>
              </w:rPr>
              <w:t>供应商</w:t>
            </w:r>
            <w:r>
              <w:rPr>
                <w:rFonts w:hint="eastAsia" w:ascii="宋体" w:hAnsi="宋体" w:cs="宋体"/>
                <w:kern w:val="2"/>
                <w:sz w:val="24"/>
              </w:rPr>
              <w:t>负责的地址及范围不属于采购人管理范围内时，</w:t>
            </w:r>
            <w:r>
              <w:rPr>
                <w:rFonts w:hint="eastAsia" w:ascii="宋体" w:hAnsi="宋体" w:cs="宋体"/>
                <w:kern w:val="2"/>
                <w:sz w:val="24"/>
                <w:lang w:eastAsia="zh-CN"/>
              </w:rPr>
              <w:t>供应商</w:t>
            </w:r>
            <w:r>
              <w:rPr>
                <w:rFonts w:hint="eastAsia" w:ascii="宋体" w:hAnsi="宋体" w:cs="宋体"/>
                <w:kern w:val="2"/>
                <w:sz w:val="24"/>
              </w:rPr>
              <w:t>需取消该地址及范围的服务且相应减少该地址及范围的服务费用。</w:t>
            </w:r>
          </w:p>
          <w:p w14:paraId="63AE9FC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4．</w:t>
            </w:r>
            <w:r>
              <w:rPr>
                <w:rFonts w:hint="eastAsia" w:ascii="宋体" w:hAnsi="宋体" w:cs="宋体" w:eastAsiaTheme="minorEastAsia"/>
                <w:kern w:val="2"/>
                <w:sz w:val="24"/>
                <w:lang w:eastAsia="zh-CN"/>
              </w:rPr>
              <w:t>供应商</w:t>
            </w:r>
            <w:r>
              <w:rPr>
                <w:rFonts w:hint="eastAsia" w:ascii="宋体" w:hAnsi="宋体" w:cs="宋体"/>
                <w:kern w:val="2"/>
                <w:sz w:val="24"/>
              </w:rPr>
              <w:t>应为本项目同时提供背负式超低容量喷雾，热烟雾机，车载式超低容量喷雾机。</w:t>
            </w:r>
          </w:p>
          <w:p w14:paraId="6D04530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5．</w:t>
            </w:r>
            <w:r>
              <w:rPr>
                <w:rFonts w:hint="eastAsia" w:ascii="宋体" w:hAnsi="宋体" w:cs="宋体" w:eastAsiaTheme="minorEastAsia"/>
                <w:kern w:val="2"/>
                <w:sz w:val="24"/>
                <w:lang w:eastAsia="zh-CN"/>
              </w:rPr>
              <w:t>供应商</w:t>
            </w:r>
            <w:r>
              <w:rPr>
                <w:rFonts w:hint="eastAsia" w:ascii="宋体" w:hAnsi="宋体" w:cs="宋体"/>
                <w:kern w:val="2"/>
                <w:sz w:val="24"/>
              </w:rPr>
              <w:t>应具备完善的环境管理体系、职业健康安全管理体系及质量管理体系。</w:t>
            </w:r>
          </w:p>
          <w:p w14:paraId="46C042CA">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6．</w:t>
            </w:r>
            <w:r>
              <w:rPr>
                <w:rFonts w:hint="eastAsia" w:ascii="宋体" w:hAnsi="宋体" w:cs="宋体"/>
                <w:kern w:val="2"/>
                <w:sz w:val="24"/>
              </w:rPr>
              <w:t>为保障</w:t>
            </w:r>
            <w:r>
              <w:rPr>
                <w:rFonts w:hint="eastAsia" w:ascii="宋体" w:hAnsi="宋体" w:cs="宋体"/>
                <w:kern w:val="2"/>
                <w:sz w:val="24"/>
                <w:lang w:eastAsia="zh-CN"/>
              </w:rPr>
              <w:t>供应商</w:t>
            </w:r>
            <w:r>
              <w:rPr>
                <w:rFonts w:hint="eastAsia" w:ascii="宋体" w:hAnsi="宋体" w:cs="宋体"/>
                <w:kern w:val="2"/>
                <w:sz w:val="24"/>
              </w:rPr>
              <w:t>实际服务能力，</w:t>
            </w:r>
            <w:r>
              <w:rPr>
                <w:rFonts w:hint="eastAsia" w:ascii="宋体" w:hAnsi="宋体" w:cs="宋体"/>
                <w:kern w:val="2"/>
                <w:sz w:val="24"/>
                <w:lang w:eastAsia="zh-CN"/>
              </w:rPr>
              <w:t>供应商</w:t>
            </w:r>
            <w:r>
              <w:rPr>
                <w:rFonts w:hint="eastAsia" w:ascii="宋体" w:hAnsi="宋体" w:cs="宋体"/>
                <w:kern w:val="2"/>
                <w:sz w:val="24"/>
              </w:rPr>
              <w:t>应具备有害生物防制服务机构服务能力证书。其中，拟投入消杀技术人员应具备国家人力资源和社会保障单位颁发的有害生物防制员职业资格证书。</w:t>
            </w:r>
          </w:p>
          <w:p w14:paraId="3B5C84A2">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7．</w:t>
            </w:r>
            <w:r>
              <w:rPr>
                <w:rFonts w:hint="eastAsia" w:ascii="宋体" w:hAnsi="宋体" w:cs="宋体"/>
                <w:kern w:val="2"/>
                <w:sz w:val="24"/>
              </w:rPr>
              <w:t>为保障本项目顺利展开，</w:t>
            </w:r>
            <w:r>
              <w:rPr>
                <w:rFonts w:hint="eastAsia" w:ascii="宋体" w:hAnsi="宋体" w:cs="宋体"/>
                <w:kern w:val="2"/>
                <w:sz w:val="24"/>
                <w:lang w:eastAsia="zh-CN"/>
              </w:rPr>
              <w:t>供应商</w:t>
            </w:r>
            <w:r>
              <w:rPr>
                <w:rFonts w:hint="eastAsia" w:ascii="宋体" w:hAnsi="宋体" w:cs="宋体"/>
                <w:kern w:val="2"/>
                <w:sz w:val="24"/>
              </w:rPr>
              <w:t>应提供应急服务响应方案，内容包含但不限于特色服务方案；突发事件的处理措施；应急预案等。</w:t>
            </w:r>
          </w:p>
          <w:p w14:paraId="76F55AEE">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8．</w:t>
            </w:r>
            <w:r>
              <w:rPr>
                <w:rFonts w:hint="eastAsia" w:ascii="宋体" w:hAnsi="宋体" w:cs="宋体" w:eastAsiaTheme="minorEastAsia"/>
                <w:kern w:val="2"/>
                <w:sz w:val="24"/>
                <w:lang w:eastAsia="zh-CN"/>
              </w:rPr>
              <w:t>供应商</w:t>
            </w:r>
            <w:r>
              <w:rPr>
                <w:rFonts w:hint="eastAsia" w:ascii="宋体" w:hAnsi="宋体" w:cs="宋体"/>
                <w:kern w:val="2"/>
                <w:sz w:val="24"/>
              </w:rPr>
              <w:t>派出的专业操作人员需持有有害生物防制协会或白蚁防治行业协会颁发的上岗证，对本项目合同约定的服务范围进行白蚁、蚊子、蟑螂、苍蝇、老鼠、红蚁的服务工作，采用物理防治与化学防治相结合的方式。</w:t>
            </w:r>
          </w:p>
          <w:p w14:paraId="15079C45">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9．</w:t>
            </w:r>
            <w:r>
              <w:rPr>
                <w:rFonts w:hint="eastAsia" w:ascii="宋体" w:hAnsi="宋体" w:cs="宋体"/>
                <w:kern w:val="2"/>
                <w:sz w:val="24"/>
              </w:rPr>
              <w:t>具体服务工作要求</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7037"/>
            </w:tblGrid>
            <w:tr w14:paraId="2880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 w:type="pct"/>
                  <w:vAlign w:val="center"/>
                </w:tcPr>
                <w:p w14:paraId="15D901B7">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bCs/>
                      <w:kern w:val="2"/>
                      <w:sz w:val="24"/>
                    </w:rPr>
                  </w:pPr>
                  <w:r>
                    <w:rPr>
                      <w:rFonts w:hint="eastAsia" w:ascii="宋体" w:hAnsi="宋体" w:cs="宋体"/>
                      <w:b/>
                      <w:bCs/>
                      <w:kern w:val="2"/>
                      <w:sz w:val="24"/>
                    </w:rPr>
                    <w:t>类型</w:t>
                  </w:r>
                </w:p>
              </w:tc>
              <w:tc>
                <w:tcPr>
                  <w:tcW w:w="3982" w:type="pct"/>
                  <w:vAlign w:val="center"/>
                </w:tcPr>
                <w:p w14:paraId="2494618A">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bCs/>
                      <w:kern w:val="2"/>
                      <w:sz w:val="24"/>
                    </w:rPr>
                  </w:pPr>
                  <w:r>
                    <w:rPr>
                      <w:rFonts w:hint="eastAsia" w:ascii="宋体" w:hAnsi="宋体" w:cs="宋体"/>
                      <w:b/>
                      <w:bCs/>
                      <w:kern w:val="2"/>
                      <w:sz w:val="24"/>
                    </w:rPr>
                    <w:t>具体服务工作要求</w:t>
                  </w:r>
                </w:p>
              </w:tc>
            </w:tr>
            <w:tr w14:paraId="1825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017" w:type="pct"/>
                  <w:vAlign w:val="center"/>
                </w:tcPr>
                <w:p w14:paraId="22AEB7B3">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kern w:val="2"/>
                      <w:sz w:val="24"/>
                    </w:rPr>
                  </w:pPr>
                  <w:r>
                    <w:rPr>
                      <w:rFonts w:hint="eastAsia" w:ascii="宋体" w:hAnsi="宋体" w:cs="宋体"/>
                      <w:kern w:val="2"/>
                      <w:sz w:val="24"/>
                    </w:rPr>
                    <w:t>灭治蚊子、苍蝇</w:t>
                  </w:r>
                </w:p>
              </w:tc>
              <w:tc>
                <w:tcPr>
                  <w:tcW w:w="3982" w:type="pct"/>
                  <w:vAlign w:val="center"/>
                </w:tcPr>
                <w:p w14:paraId="02BBB2C6">
                  <w:pPr>
                    <w:keepNext w:val="0"/>
                    <w:keepLines w:val="0"/>
                    <w:pageBreakBefore w:val="0"/>
                    <w:widowControl/>
                    <w:numPr>
                      <w:ilvl w:val="0"/>
                      <w:numId w:val="1"/>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lang w:val="en-US" w:eastAsia="zh-CN"/>
                    </w:rPr>
                    <w:t>每个星期的星期五</w:t>
                  </w:r>
                  <w:r>
                    <w:rPr>
                      <w:rFonts w:hint="eastAsia" w:ascii="宋体" w:hAnsi="宋体" w:cs="宋体"/>
                      <w:kern w:val="2"/>
                      <w:sz w:val="24"/>
                    </w:rPr>
                    <w:t>对全院区室内室外进行</w:t>
                  </w:r>
                  <w:r>
                    <w:rPr>
                      <w:rFonts w:hint="eastAsia" w:ascii="宋体" w:hAnsi="宋体" w:cs="宋体"/>
                      <w:kern w:val="2"/>
                      <w:sz w:val="24"/>
                      <w:lang w:val="en-US" w:eastAsia="zh-CN"/>
                    </w:rPr>
                    <w:t>一</w:t>
                  </w:r>
                  <w:r>
                    <w:rPr>
                      <w:rFonts w:hint="eastAsia" w:ascii="宋体" w:hAnsi="宋体" w:cs="宋体"/>
                      <w:kern w:val="2"/>
                      <w:sz w:val="24"/>
                    </w:rPr>
                    <w:t>次灭蚊灭蝇消杀，</w:t>
                  </w:r>
                  <w:r>
                    <w:rPr>
                      <w:rFonts w:hint="eastAsia" w:ascii="宋体" w:hAnsi="宋体" w:cs="宋体"/>
                      <w:kern w:val="2"/>
                      <w:sz w:val="24"/>
                      <w:lang w:val="en-US" w:eastAsia="zh-CN"/>
                    </w:rPr>
                    <w:t>需</w:t>
                  </w:r>
                  <w:r>
                    <w:rPr>
                      <w:rFonts w:hint="eastAsia" w:ascii="宋体" w:hAnsi="宋体" w:cs="宋体"/>
                      <w:kern w:val="2"/>
                      <w:sz w:val="24"/>
                    </w:rPr>
                    <w:t>至少</w:t>
                  </w:r>
                  <w:r>
                    <w:rPr>
                      <w:rFonts w:hint="eastAsia" w:ascii="宋体" w:hAnsi="宋体" w:cs="宋体"/>
                      <w:kern w:val="2"/>
                      <w:sz w:val="24"/>
                      <w:highlight w:val="none"/>
                    </w:rPr>
                    <w:t>有4名消杀</w:t>
                  </w:r>
                  <w:r>
                    <w:rPr>
                      <w:rFonts w:hint="eastAsia" w:ascii="宋体" w:hAnsi="宋体" w:cs="宋体"/>
                      <w:kern w:val="2"/>
                      <w:sz w:val="24"/>
                    </w:rPr>
                    <w:t>人员参与</w:t>
                  </w:r>
                  <w:r>
                    <w:rPr>
                      <w:rFonts w:hint="eastAsia" w:ascii="宋体" w:hAnsi="宋体" w:cs="宋体"/>
                      <w:kern w:val="2"/>
                      <w:sz w:val="24"/>
                      <w:lang w:eastAsia="zh-CN"/>
                    </w:rPr>
                    <w:t>。</w:t>
                  </w:r>
                  <w:r>
                    <w:rPr>
                      <w:rFonts w:hint="eastAsia" w:ascii="宋体" w:hAnsi="宋体" w:cs="宋体"/>
                      <w:kern w:val="2"/>
                      <w:sz w:val="24"/>
                      <w:lang w:val="en-US" w:eastAsia="zh-CN"/>
                    </w:rPr>
                    <w:t>如遇节假日可提前或顺延，需提前跟采购人报备及同意。如遇蚊虫高峰期不少于2次/周。</w:t>
                  </w:r>
                </w:p>
                <w:p w14:paraId="4071A88A">
                  <w:pPr>
                    <w:keepNext w:val="0"/>
                    <w:keepLines w:val="0"/>
                    <w:pageBreakBefore w:val="0"/>
                    <w:widowControl/>
                    <w:numPr>
                      <w:ilvl w:val="0"/>
                      <w:numId w:val="1"/>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针对采购人提出有蚊子、苍蝇的位置</w:t>
                  </w:r>
                  <w:r>
                    <w:rPr>
                      <w:rFonts w:hint="eastAsia" w:ascii="宋体" w:hAnsi="宋体" w:cs="宋体"/>
                      <w:kern w:val="2"/>
                      <w:sz w:val="24"/>
                      <w:lang w:eastAsia="zh-CN"/>
                    </w:rPr>
                    <w:t>：</w:t>
                  </w:r>
                  <w:r>
                    <w:rPr>
                      <w:rFonts w:hint="eastAsia" w:ascii="宋体" w:hAnsi="宋体" w:cs="宋体"/>
                      <w:kern w:val="2"/>
                      <w:sz w:val="24"/>
                      <w:lang w:val="en-US" w:eastAsia="zh-CN"/>
                    </w:rPr>
                    <w:t>供应商在驻场工作时间段需在20分钟内</w:t>
                  </w:r>
                  <w:r>
                    <w:rPr>
                      <w:rFonts w:hint="eastAsia" w:ascii="宋体" w:hAnsi="宋体" w:cs="宋体"/>
                      <w:kern w:val="2"/>
                      <w:sz w:val="24"/>
                    </w:rPr>
                    <w:t>派出人员到采购人指定位置灭治蚊子、苍蝇</w:t>
                  </w:r>
                  <w:r>
                    <w:rPr>
                      <w:rFonts w:hint="eastAsia" w:ascii="宋体" w:hAnsi="宋体" w:cs="宋体"/>
                      <w:kern w:val="2"/>
                      <w:sz w:val="24"/>
                      <w:lang w:eastAsia="zh-CN"/>
                    </w:rPr>
                    <w:t>；</w:t>
                  </w:r>
                  <w:r>
                    <w:rPr>
                      <w:rFonts w:hint="eastAsia" w:ascii="宋体" w:hAnsi="宋体" w:cs="宋体"/>
                      <w:kern w:val="2"/>
                      <w:sz w:val="24"/>
                      <w:lang w:val="en-US" w:eastAsia="zh-CN"/>
                    </w:rPr>
                    <w:t>其余时间段</w:t>
                  </w:r>
                  <w:r>
                    <w:rPr>
                      <w:rFonts w:hint="eastAsia" w:ascii="宋体" w:hAnsi="宋体" w:cs="宋体"/>
                      <w:kern w:val="2"/>
                      <w:sz w:val="24"/>
                    </w:rPr>
                    <w:t>需在2小时内派出人员到采购人指定位置灭治蚊子、苍蝇</w:t>
                  </w:r>
                  <w:r>
                    <w:rPr>
                      <w:rFonts w:hint="eastAsia" w:ascii="宋体" w:hAnsi="宋体" w:cs="宋体"/>
                      <w:kern w:val="2"/>
                      <w:sz w:val="24"/>
                      <w:lang w:eastAsia="zh-CN"/>
                    </w:rPr>
                    <w:t>。</w:t>
                  </w:r>
                </w:p>
                <w:p w14:paraId="530FE217">
                  <w:pPr>
                    <w:keepNext w:val="0"/>
                    <w:keepLines w:val="0"/>
                    <w:pageBreakBefore w:val="0"/>
                    <w:widowControl/>
                    <w:numPr>
                      <w:ilvl w:val="0"/>
                      <w:numId w:val="1"/>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lang w:val="en-US" w:eastAsia="zh-CN"/>
                    </w:rPr>
                    <w:t>所使用药剂至少每两个月更换一次。</w:t>
                  </w:r>
                </w:p>
              </w:tc>
            </w:tr>
            <w:tr w14:paraId="77E6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vAlign w:val="center"/>
                </w:tcPr>
                <w:p w14:paraId="7A531AAF">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kern w:val="2"/>
                      <w:sz w:val="24"/>
                    </w:rPr>
                  </w:pPr>
                  <w:r>
                    <w:rPr>
                      <w:rFonts w:hint="eastAsia" w:ascii="宋体" w:hAnsi="宋体" w:cs="宋体"/>
                      <w:kern w:val="2"/>
                      <w:sz w:val="24"/>
                    </w:rPr>
                    <w:t>灭治红白蚁</w:t>
                  </w:r>
                </w:p>
              </w:tc>
              <w:tc>
                <w:tcPr>
                  <w:tcW w:w="3982" w:type="pct"/>
                  <w:vAlign w:val="center"/>
                </w:tcPr>
                <w:p w14:paraId="44C3056D">
                  <w:pPr>
                    <w:keepNext w:val="0"/>
                    <w:keepLines w:val="0"/>
                    <w:pageBreakBefore w:val="0"/>
                    <w:widowControl/>
                    <w:numPr>
                      <w:ilvl w:val="0"/>
                      <w:numId w:val="2"/>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每月对全院进行一次红白蚁防治</w:t>
                  </w:r>
                  <w:r>
                    <w:rPr>
                      <w:rFonts w:hint="eastAsia" w:ascii="宋体" w:hAnsi="宋体" w:cs="宋体"/>
                      <w:kern w:val="2"/>
                      <w:sz w:val="24"/>
                      <w:lang w:eastAsia="zh-CN"/>
                    </w:rPr>
                    <w:t>。</w:t>
                  </w:r>
                </w:p>
                <w:p w14:paraId="5510B9D3">
                  <w:pPr>
                    <w:keepNext w:val="0"/>
                    <w:keepLines w:val="0"/>
                    <w:pageBreakBefore w:val="0"/>
                    <w:widowControl/>
                    <w:numPr>
                      <w:ilvl w:val="0"/>
                      <w:numId w:val="2"/>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针对采购人发现有红白蚁位置</w:t>
                  </w:r>
                  <w:r>
                    <w:rPr>
                      <w:rFonts w:hint="eastAsia" w:ascii="宋体" w:hAnsi="宋体" w:cs="宋体"/>
                      <w:kern w:val="2"/>
                      <w:sz w:val="24"/>
                      <w:lang w:eastAsia="zh-CN"/>
                    </w:rPr>
                    <w:t>：供应商</w:t>
                  </w:r>
                  <w:r>
                    <w:rPr>
                      <w:rFonts w:hint="eastAsia" w:ascii="宋体" w:hAnsi="宋体" w:cs="宋体"/>
                      <w:kern w:val="2"/>
                      <w:sz w:val="24"/>
                      <w:lang w:val="en-US" w:eastAsia="zh-CN"/>
                    </w:rPr>
                    <w:t>在驻场工作时间段需在20分钟内</w:t>
                  </w:r>
                  <w:r>
                    <w:rPr>
                      <w:rFonts w:hint="eastAsia" w:ascii="宋体" w:hAnsi="宋体" w:cs="宋体"/>
                      <w:kern w:val="2"/>
                      <w:sz w:val="24"/>
                    </w:rPr>
                    <w:t>派出人员到采购人指定位置灭治红白蚁</w:t>
                  </w:r>
                  <w:r>
                    <w:rPr>
                      <w:rFonts w:hint="eastAsia" w:ascii="宋体" w:hAnsi="宋体" w:cs="宋体"/>
                      <w:kern w:val="2"/>
                      <w:sz w:val="24"/>
                      <w:lang w:eastAsia="zh-CN"/>
                    </w:rPr>
                    <w:t>；</w:t>
                  </w:r>
                  <w:r>
                    <w:rPr>
                      <w:rFonts w:hint="eastAsia" w:ascii="宋体" w:hAnsi="宋体" w:cs="宋体"/>
                      <w:kern w:val="2"/>
                      <w:sz w:val="24"/>
                      <w:lang w:val="en-US" w:eastAsia="zh-CN"/>
                    </w:rPr>
                    <w:t>其余时间段</w:t>
                  </w:r>
                  <w:r>
                    <w:rPr>
                      <w:rFonts w:hint="eastAsia" w:ascii="宋体" w:hAnsi="宋体" w:cs="宋体"/>
                      <w:kern w:val="2"/>
                      <w:sz w:val="24"/>
                    </w:rPr>
                    <w:t>需在2小时内派出人员到采购人指定位置灭治红白蚁。</w:t>
                  </w:r>
                </w:p>
              </w:tc>
            </w:tr>
            <w:tr w14:paraId="1374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vAlign w:val="center"/>
                </w:tcPr>
                <w:p w14:paraId="3DCB6E0F">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kern w:val="2"/>
                      <w:sz w:val="24"/>
                    </w:rPr>
                  </w:pPr>
                  <w:r>
                    <w:rPr>
                      <w:rFonts w:hint="eastAsia" w:ascii="宋体" w:hAnsi="宋体" w:cs="宋体"/>
                      <w:kern w:val="2"/>
                      <w:sz w:val="24"/>
                    </w:rPr>
                    <w:t>灭治老鼠</w:t>
                  </w:r>
                </w:p>
              </w:tc>
              <w:tc>
                <w:tcPr>
                  <w:tcW w:w="3982" w:type="pct"/>
                  <w:vAlign w:val="center"/>
                </w:tcPr>
                <w:p w14:paraId="21F29E29">
                  <w:pPr>
                    <w:keepNext w:val="0"/>
                    <w:keepLines w:val="0"/>
                    <w:pageBreakBefore w:val="0"/>
                    <w:widowControl/>
                    <w:numPr>
                      <w:ilvl w:val="0"/>
                      <w:numId w:val="3"/>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每月对院区室外地域的鼠迹情况全面检查四次，发现鼠洞及时施放灭鼠毒饵，灭鼠后将鼠洞堵塞</w:t>
                  </w:r>
                  <w:r>
                    <w:rPr>
                      <w:rFonts w:hint="eastAsia" w:ascii="宋体" w:hAnsi="宋体" w:cs="宋体"/>
                      <w:kern w:val="2"/>
                      <w:sz w:val="24"/>
                      <w:lang w:eastAsia="zh-CN"/>
                    </w:rPr>
                    <w:t>。</w:t>
                  </w:r>
                </w:p>
                <w:p w14:paraId="10A34A3D">
                  <w:pPr>
                    <w:keepNext w:val="0"/>
                    <w:keepLines w:val="0"/>
                    <w:pageBreakBefore w:val="0"/>
                    <w:widowControl/>
                    <w:numPr>
                      <w:ilvl w:val="0"/>
                      <w:numId w:val="3"/>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每月对下水道沙井施放烟熏灭杀老鼠四次</w:t>
                  </w:r>
                  <w:r>
                    <w:rPr>
                      <w:rFonts w:hint="eastAsia" w:ascii="宋体" w:hAnsi="宋体" w:cs="宋体"/>
                      <w:kern w:val="2"/>
                      <w:sz w:val="24"/>
                      <w:lang w:eastAsia="zh-CN"/>
                    </w:rPr>
                    <w:t>。</w:t>
                  </w:r>
                </w:p>
                <w:p w14:paraId="214FC942">
                  <w:pPr>
                    <w:keepNext w:val="0"/>
                    <w:keepLines w:val="0"/>
                    <w:pageBreakBefore w:val="0"/>
                    <w:widowControl/>
                    <w:numPr>
                      <w:ilvl w:val="0"/>
                      <w:numId w:val="3"/>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lang w:eastAsia="zh-CN"/>
                    </w:rPr>
                    <w:t>供应商</w:t>
                  </w:r>
                  <w:r>
                    <w:rPr>
                      <w:rFonts w:hint="eastAsia" w:ascii="宋体" w:hAnsi="宋体" w:cs="宋体"/>
                      <w:kern w:val="2"/>
                      <w:sz w:val="24"/>
                    </w:rPr>
                    <w:t>承诺签订合同后第一个月内在</w:t>
                  </w:r>
                  <w:r>
                    <w:rPr>
                      <w:rFonts w:hint="eastAsia" w:ascii="宋体" w:hAnsi="宋体" w:cs="宋体"/>
                      <w:kern w:val="2"/>
                      <w:sz w:val="24"/>
                      <w:lang w:val="en-US" w:eastAsia="zh-CN"/>
                    </w:rPr>
                    <w:t>对全院区</w:t>
                  </w:r>
                  <w:r>
                    <w:rPr>
                      <w:rFonts w:hint="eastAsia" w:ascii="宋体" w:hAnsi="宋体" w:cs="宋体"/>
                      <w:kern w:val="2"/>
                      <w:sz w:val="24"/>
                    </w:rPr>
                    <w:t>鼠类容易栖息、隐藏的楼房外围放置老鼠屋诱饵盒</w:t>
                  </w:r>
                  <w:r>
                    <w:rPr>
                      <w:rFonts w:hint="eastAsia" w:ascii="宋体" w:hAnsi="宋体" w:cs="宋体"/>
                      <w:kern w:val="2"/>
                      <w:sz w:val="24"/>
                      <w:lang w:val="en-US" w:eastAsia="zh-CN"/>
                    </w:rPr>
                    <w:t>及</w:t>
                  </w:r>
                  <w:r>
                    <w:rPr>
                      <w:rFonts w:hint="eastAsia" w:ascii="宋体" w:hAnsi="宋体" w:cs="宋体"/>
                      <w:kern w:val="2"/>
                      <w:sz w:val="24"/>
                    </w:rPr>
                    <w:t>在诱饵盒放置不同种类的灭鼠毒饵，</w:t>
                  </w:r>
                  <w:r>
                    <w:rPr>
                      <w:rFonts w:hint="eastAsia" w:ascii="宋体" w:hAnsi="宋体" w:cs="宋体"/>
                      <w:kern w:val="2"/>
                      <w:sz w:val="24"/>
                      <w:lang w:val="en-US" w:eastAsia="zh-CN"/>
                    </w:rPr>
                    <w:t>鼠饵屋数量不低于110个，并将布控点制作图纸，电子版及纸质版交采购人</w:t>
                  </w:r>
                  <w:r>
                    <w:rPr>
                      <w:rFonts w:hint="eastAsia" w:ascii="宋体" w:hAnsi="宋体" w:cs="宋体"/>
                      <w:kern w:val="2"/>
                      <w:sz w:val="24"/>
                      <w:lang w:eastAsia="zh-CN"/>
                    </w:rPr>
                    <w:t>。</w:t>
                  </w:r>
                </w:p>
                <w:p w14:paraId="455CEC10">
                  <w:pPr>
                    <w:keepNext w:val="0"/>
                    <w:keepLines w:val="0"/>
                    <w:pageBreakBefore w:val="0"/>
                    <w:widowControl/>
                    <w:numPr>
                      <w:ilvl w:val="0"/>
                      <w:numId w:val="3"/>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每月对放置老鼠屋诱饵盒的位置进行两次检查，并对损坏或不足的老鼠屋诱饵盒进行及时补充及更换。</w:t>
                  </w:r>
                </w:p>
                <w:p w14:paraId="64DD9073">
                  <w:pPr>
                    <w:keepNext w:val="0"/>
                    <w:keepLines w:val="0"/>
                    <w:pageBreakBefore w:val="0"/>
                    <w:widowControl/>
                    <w:numPr>
                      <w:ilvl w:val="0"/>
                      <w:numId w:val="3"/>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针对采购人提出有老鼠的位置</w:t>
                  </w:r>
                  <w:r>
                    <w:rPr>
                      <w:rFonts w:hint="eastAsia" w:ascii="宋体" w:hAnsi="宋体" w:cs="宋体"/>
                      <w:kern w:val="2"/>
                      <w:sz w:val="24"/>
                      <w:lang w:eastAsia="zh-CN"/>
                    </w:rPr>
                    <w:t>：供应商</w:t>
                  </w:r>
                  <w:r>
                    <w:rPr>
                      <w:rFonts w:hint="eastAsia" w:ascii="宋体" w:hAnsi="宋体" w:cs="宋体"/>
                      <w:kern w:val="2"/>
                      <w:sz w:val="24"/>
                      <w:lang w:val="en-US" w:eastAsia="zh-CN"/>
                    </w:rPr>
                    <w:t>在驻场工作时间段需在20分钟内</w:t>
                  </w:r>
                  <w:r>
                    <w:rPr>
                      <w:rFonts w:hint="eastAsia" w:ascii="宋体" w:hAnsi="宋体" w:cs="宋体"/>
                      <w:kern w:val="2"/>
                      <w:sz w:val="24"/>
                    </w:rPr>
                    <w:t>派出人员到采购指定位置灭治老鼠</w:t>
                  </w:r>
                  <w:r>
                    <w:rPr>
                      <w:rFonts w:hint="eastAsia" w:ascii="宋体" w:hAnsi="宋体" w:cs="宋体"/>
                      <w:kern w:val="2"/>
                      <w:sz w:val="24"/>
                      <w:lang w:eastAsia="zh-CN"/>
                    </w:rPr>
                    <w:t>；</w:t>
                  </w:r>
                  <w:r>
                    <w:rPr>
                      <w:rFonts w:hint="eastAsia" w:ascii="宋体" w:hAnsi="宋体" w:cs="宋体"/>
                      <w:kern w:val="2"/>
                      <w:sz w:val="24"/>
                      <w:lang w:val="en-US" w:eastAsia="zh-CN"/>
                    </w:rPr>
                    <w:t>其余时间段</w:t>
                  </w:r>
                  <w:r>
                    <w:rPr>
                      <w:rFonts w:hint="eastAsia" w:ascii="宋体" w:hAnsi="宋体" w:cs="宋体"/>
                      <w:kern w:val="2"/>
                      <w:sz w:val="24"/>
                    </w:rPr>
                    <w:t>需在2小时内派出人员到采购指定位置灭治老鼠。</w:t>
                  </w:r>
                </w:p>
              </w:tc>
            </w:tr>
            <w:tr w14:paraId="3E5D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1017" w:type="pct"/>
                  <w:vAlign w:val="center"/>
                </w:tcPr>
                <w:p w14:paraId="0F527384">
                  <w:pPr>
                    <w:keepNext w:val="0"/>
                    <w:keepLines w:val="0"/>
                    <w:pageBreakBefore w:val="0"/>
                    <w:widowControl/>
                    <w:tabs>
                      <w:tab w:val="left" w:pos="0"/>
                    </w:tabs>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kern w:val="2"/>
                      <w:sz w:val="24"/>
                    </w:rPr>
                  </w:pPr>
                  <w:r>
                    <w:rPr>
                      <w:rFonts w:hint="eastAsia" w:ascii="宋体" w:hAnsi="宋体" w:cs="宋体"/>
                      <w:kern w:val="2"/>
                      <w:sz w:val="24"/>
                    </w:rPr>
                    <w:t>灭治蟑螂</w:t>
                  </w:r>
                </w:p>
              </w:tc>
              <w:tc>
                <w:tcPr>
                  <w:tcW w:w="3982" w:type="pct"/>
                  <w:vAlign w:val="center"/>
                </w:tcPr>
                <w:p w14:paraId="55989A6C">
                  <w:pPr>
                    <w:keepNext w:val="0"/>
                    <w:keepLines w:val="0"/>
                    <w:pageBreakBefore w:val="0"/>
                    <w:widowControl/>
                    <w:numPr>
                      <w:ilvl w:val="0"/>
                      <w:numId w:val="4"/>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每月对下水道沙井施放烟熏灭杀蟑螂四次</w:t>
                  </w:r>
                  <w:r>
                    <w:rPr>
                      <w:rFonts w:hint="eastAsia" w:ascii="宋体" w:hAnsi="宋体" w:cs="宋体"/>
                      <w:kern w:val="2"/>
                      <w:sz w:val="24"/>
                      <w:lang w:eastAsia="zh-CN"/>
                    </w:rPr>
                    <w:t>。</w:t>
                  </w:r>
                </w:p>
                <w:p w14:paraId="6E06ABBB">
                  <w:pPr>
                    <w:keepNext w:val="0"/>
                    <w:keepLines w:val="0"/>
                    <w:pageBreakBefore w:val="0"/>
                    <w:widowControl/>
                    <w:numPr>
                      <w:ilvl w:val="0"/>
                      <w:numId w:val="4"/>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每月对全院进行两次蟑螂防治</w:t>
                  </w:r>
                  <w:r>
                    <w:rPr>
                      <w:rFonts w:hint="eastAsia" w:ascii="宋体" w:hAnsi="宋体" w:cs="宋体"/>
                      <w:kern w:val="2"/>
                      <w:sz w:val="24"/>
                      <w:lang w:eastAsia="zh-CN"/>
                    </w:rPr>
                    <w:t>。</w:t>
                  </w:r>
                </w:p>
                <w:p w14:paraId="44AD9E14">
                  <w:pPr>
                    <w:keepNext w:val="0"/>
                    <w:keepLines w:val="0"/>
                    <w:pageBreakBefore w:val="0"/>
                    <w:widowControl/>
                    <w:numPr>
                      <w:ilvl w:val="0"/>
                      <w:numId w:val="4"/>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lang w:eastAsia="zh-CN"/>
                    </w:rPr>
                    <w:t>供应商</w:t>
                  </w:r>
                  <w:r>
                    <w:rPr>
                      <w:rFonts w:hint="eastAsia" w:ascii="宋体" w:hAnsi="宋体" w:cs="宋体"/>
                      <w:kern w:val="2"/>
                      <w:sz w:val="24"/>
                    </w:rPr>
                    <w:t>承诺签订合同后第一个月内在食堂厨房、药房、宿舍、病房等蟑螂容易栖息、隐藏的楼房进行一次全面的检查灭治</w:t>
                  </w:r>
                  <w:r>
                    <w:rPr>
                      <w:rFonts w:hint="eastAsia" w:ascii="宋体" w:hAnsi="宋体" w:cs="宋体"/>
                      <w:kern w:val="2"/>
                      <w:sz w:val="24"/>
                      <w:lang w:eastAsia="zh-CN"/>
                    </w:rPr>
                    <w:t>。</w:t>
                  </w:r>
                </w:p>
                <w:p w14:paraId="347A4ACE">
                  <w:pPr>
                    <w:keepNext w:val="0"/>
                    <w:keepLines w:val="0"/>
                    <w:pageBreakBefore w:val="0"/>
                    <w:widowControl/>
                    <w:numPr>
                      <w:ilvl w:val="0"/>
                      <w:numId w:val="4"/>
                    </w:numPr>
                    <w:tabs>
                      <w:tab w:val="left" w:pos="0"/>
                    </w:tabs>
                    <w:kinsoku/>
                    <w:wordWrap/>
                    <w:overflowPunct/>
                    <w:topLinePunct w:val="0"/>
                    <w:autoSpaceDE/>
                    <w:autoSpaceDN/>
                    <w:bidi w:val="0"/>
                    <w:adjustRightInd/>
                    <w:snapToGrid w:val="0"/>
                    <w:spacing w:line="360" w:lineRule="exact"/>
                    <w:ind w:firstLine="0" w:firstLineChars="0"/>
                    <w:jc w:val="left"/>
                    <w:textAlignment w:val="auto"/>
                    <w:rPr>
                      <w:rFonts w:ascii="宋体" w:hAnsi="宋体" w:cs="宋体"/>
                      <w:kern w:val="2"/>
                      <w:sz w:val="24"/>
                    </w:rPr>
                  </w:pPr>
                  <w:r>
                    <w:rPr>
                      <w:rFonts w:hint="eastAsia" w:ascii="宋体" w:hAnsi="宋体" w:cs="宋体"/>
                      <w:kern w:val="2"/>
                      <w:sz w:val="24"/>
                    </w:rPr>
                    <w:t>针对采购人提出有蟑螂的位置</w:t>
                  </w:r>
                  <w:r>
                    <w:rPr>
                      <w:rFonts w:hint="eastAsia" w:ascii="宋体" w:hAnsi="宋体" w:cs="宋体"/>
                      <w:kern w:val="2"/>
                      <w:sz w:val="24"/>
                      <w:lang w:eastAsia="zh-CN"/>
                    </w:rPr>
                    <w:t>：供应商</w:t>
                  </w:r>
                  <w:r>
                    <w:rPr>
                      <w:rFonts w:hint="eastAsia" w:ascii="宋体" w:hAnsi="宋体" w:cs="宋体"/>
                      <w:kern w:val="2"/>
                      <w:sz w:val="24"/>
                      <w:lang w:val="en-US" w:eastAsia="zh-CN"/>
                    </w:rPr>
                    <w:t>在驻场工作时间段需在20分钟内</w:t>
                  </w:r>
                  <w:r>
                    <w:rPr>
                      <w:rFonts w:hint="eastAsia" w:ascii="宋体" w:hAnsi="宋体" w:cs="宋体"/>
                      <w:kern w:val="2"/>
                      <w:sz w:val="24"/>
                    </w:rPr>
                    <w:t>派出人员到采购指定位置灭治蟑螂</w:t>
                  </w:r>
                  <w:r>
                    <w:rPr>
                      <w:rFonts w:hint="eastAsia" w:ascii="宋体" w:hAnsi="宋体" w:cs="宋体"/>
                      <w:kern w:val="2"/>
                      <w:sz w:val="24"/>
                      <w:lang w:eastAsia="zh-CN"/>
                    </w:rPr>
                    <w:t>；</w:t>
                  </w:r>
                  <w:r>
                    <w:rPr>
                      <w:rFonts w:hint="eastAsia" w:ascii="宋体" w:hAnsi="宋体" w:cs="宋体"/>
                      <w:kern w:val="2"/>
                      <w:sz w:val="24"/>
                      <w:lang w:val="en-US" w:eastAsia="zh-CN"/>
                    </w:rPr>
                    <w:t>其余时间段</w:t>
                  </w:r>
                  <w:r>
                    <w:rPr>
                      <w:rFonts w:hint="eastAsia" w:ascii="宋体" w:hAnsi="宋体" w:cs="宋体"/>
                      <w:kern w:val="2"/>
                      <w:sz w:val="24"/>
                    </w:rPr>
                    <w:t>需在2小时内派出人员到采购指定位置灭治蟑螂。</w:t>
                  </w:r>
                </w:p>
              </w:tc>
            </w:tr>
          </w:tbl>
          <w:p w14:paraId="1E8FFBBA">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10．</w:t>
            </w:r>
            <w:r>
              <w:rPr>
                <w:rFonts w:hint="eastAsia" w:ascii="宋体" w:hAnsi="宋体"/>
                <w:bCs/>
                <w:color w:val="000000"/>
                <w:kern w:val="2"/>
                <w:sz w:val="24"/>
              </w:rPr>
              <w:t>★</w:t>
            </w:r>
            <w:r>
              <w:rPr>
                <w:rFonts w:hint="eastAsia" w:ascii="宋体" w:hAnsi="宋体" w:cs="宋体"/>
                <w:kern w:val="2"/>
                <w:sz w:val="24"/>
                <w:lang w:eastAsia="zh-CN"/>
              </w:rPr>
              <w:t>供应商</w:t>
            </w:r>
            <w:r>
              <w:rPr>
                <w:rFonts w:hint="eastAsia" w:ascii="宋体" w:hAnsi="宋体" w:cs="宋体"/>
                <w:kern w:val="2"/>
                <w:sz w:val="24"/>
              </w:rPr>
              <w:t>承诺如遇虫媒传染病疫情或上级单位要求等突发公共卫生事件，</w:t>
            </w:r>
            <w:r>
              <w:rPr>
                <w:rFonts w:hint="eastAsia" w:ascii="宋体" w:hAnsi="宋体" w:cs="宋体"/>
                <w:kern w:val="2"/>
                <w:sz w:val="24"/>
                <w:lang w:eastAsia="zh-CN"/>
              </w:rPr>
              <w:t>供应商</w:t>
            </w:r>
            <w:r>
              <w:rPr>
                <w:rFonts w:hint="eastAsia" w:ascii="宋体" w:hAnsi="宋体" w:cs="宋体"/>
                <w:kern w:val="2"/>
                <w:sz w:val="24"/>
              </w:rPr>
              <w:t>需根据采购人或上级单位（如广州市卫计委、广州市政府、广州市爱卫办等上级政府部门）要求进行灭治工作。</w:t>
            </w:r>
          </w:p>
          <w:p w14:paraId="6CA01FE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11．</w:t>
            </w:r>
            <w:r>
              <w:rPr>
                <w:rFonts w:hint="eastAsia" w:ascii="宋体" w:hAnsi="宋体" w:cs="宋体"/>
                <w:kern w:val="2"/>
                <w:sz w:val="24"/>
              </w:rPr>
              <w:t>室内外灭鼠的操作要求：室内天花板灭鼠用诱饵盒、粘鼠胶粘捕、堵截老鼠进入室内途径和检查堵截已入室老鼠串走路径的方法。每次进行灭鼠时，由</w:t>
            </w:r>
            <w:r>
              <w:rPr>
                <w:rFonts w:hint="eastAsia" w:ascii="宋体" w:hAnsi="宋体" w:cs="宋体"/>
                <w:kern w:val="2"/>
                <w:sz w:val="24"/>
                <w:lang w:eastAsia="zh-CN"/>
              </w:rPr>
              <w:t>供应商</w:t>
            </w:r>
            <w:r>
              <w:rPr>
                <w:rFonts w:hint="eastAsia" w:ascii="宋体" w:hAnsi="宋体" w:cs="宋体"/>
                <w:kern w:val="2"/>
                <w:sz w:val="24"/>
              </w:rPr>
              <w:t>负责记录跟进好已放灭鼠器具品种数量效果，达到效果即将灭鼠器具撤走。</w:t>
            </w:r>
          </w:p>
          <w:p w14:paraId="5B0E59A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12．</w:t>
            </w:r>
            <w:r>
              <w:rPr>
                <w:rFonts w:hint="eastAsia" w:ascii="宋体" w:hAnsi="宋体" w:cs="宋体" w:eastAsiaTheme="minorEastAsia"/>
                <w:kern w:val="2"/>
                <w:sz w:val="24"/>
                <w:lang w:eastAsia="zh-CN"/>
              </w:rPr>
              <w:t>供应商</w:t>
            </w:r>
            <w:r>
              <w:rPr>
                <w:rFonts w:hint="eastAsia" w:ascii="宋体" w:hAnsi="宋体" w:cs="宋体"/>
                <w:kern w:val="2"/>
                <w:sz w:val="24"/>
              </w:rPr>
              <w:t>根据有关法律法规及本项目合同的约定，制订管理制度，编制管理年度计划，并经采购人审定后实施。</w:t>
            </w:r>
          </w:p>
          <w:p w14:paraId="1DF76A4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13．</w:t>
            </w:r>
            <w:r>
              <w:rPr>
                <w:rFonts w:hint="eastAsia" w:ascii="宋体" w:hAnsi="宋体" w:cs="宋体" w:eastAsiaTheme="minorEastAsia"/>
                <w:kern w:val="2"/>
                <w:sz w:val="24"/>
                <w:lang w:eastAsia="zh-CN"/>
              </w:rPr>
              <w:t>供应商</w:t>
            </w:r>
            <w:r>
              <w:rPr>
                <w:rFonts w:hint="eastAsia" w:ascii="宋体" w:hAnsi="宋体" w:cs="宋体"/>
                <w:kern w:val="2"/>
                <w:sz w:val="24"/>
              </w:rPr>
              <w:t>不得转包或分包项目内容，</w:t>
            </w:r>
            <w:r>
              <w:rPr>
                <w:rFonts w:hint="eastAsia" w:ascii="宋体" w:hAnsi="宋体" w:cs="宋体"/>
                <w:kern w:val="2"/>
                <w:sz w:val="24"/>
                <w:lang w:eastAsia="zh-CN"/>
              </w:rPr>
              <w:t>供应商</w:t>
            </w:r>
            <w:r>
              <w:rPr>
                <w:rFonts w:hint="eastAsia" w:ascii="宋体" w:hAnsi="宋体" w:cs="宋体"/>
                <w:kern w:val="2"/>
                <w:sz w:val="24"/>
              </w:rPr>
              <w:t>转包或分包项目内容的，采购人有权解除合同，并限期</w:t>
            </w:r>
            <w:r>
              <w:rPr>
                <w:rFonts w:hint="eastAsia" w:ascii="宋体" w:hAnsi="宋体" w:cs="宋体"/>
                <w:kern w:val="2"/>
                <w:sz w:val="24"/>
                <w:lang w:eastAsia="zh-CN"/>
              </w:rPr>
              <w:t>供应商</w:t>
            </w:r>
            <w:r>
              <w:rPr>
                <w:rFonts w:hint="eastAsia" w:ascii="宋体" w:hAnsi="宋体" w:cs="宋体"/>
                <w:kern w:val="2"/>
                <w:sz w:val="24"/>
              </w:rPr>
              <w:t>在规定的时间内移交项目及有关档案资料，同时采购人不予退还履约保证金。</w:t>
            </w:r>
          </w:p>
          <w:p w14:paraId="3920CB8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14．</w:t>
            </w:r>
            <w:r>
              <w:rPr>
                <w:rFonts w:hint="eastAsia" w:ascii="宋体" w:hAnsi="宋体" w:cs="宋体"/>
                <w:kern w:val="2"/>
                <w:sz w:val="24"/>
              </w:rPr>
              <w:t>在服务期内，</w:t>
            </w:r>
            <w:r>
              <w:rPr>
                <w:rFonts w:hint="eastAsia" w:ascii="宋体" w:hAnsi="宋体" w:cs="宋体"/>
                <w:kern w:val="2"/>
                <w:sz w:val="24"/>
                <w:lang w:eastAsia="zh-CN"/>
              </w:rPr>
              <w:t>供应商</w:t>
            </w:r>
            <w:r>
              <w:rPr>
                <w:rFonts w:hint="eastAsia" w:ascii="宋体" w:hAnsi="宋体" w:cs="宋体"/>
                <w:kern w:val="2"/>
                <w:sz w:val="24"/>
              </w:rPr>
              <w:t>必须做好工作人员所需要的安全教育及安全措施，保证工作人员的安全，</w:t>
            </w:r>
            <w:r>
              <w:rPr>
                <w:rFonts w:hint="eastAsia" w:ascii="宋体" w:hAnsi="宋体" w:cs="宋体"/>
                <w:kern w:val="2"/>
                <w:sz w:val="24"/>
                <w:lang w:eastAsia="zh-CN"/>
              </w:rPr>
              <w:t>供应商</w:t>
            </w:r>
            <w:r>
              <w:rPr>
                <w:rFonts w:hint="eastAsia" w:ascii="宋体" w:hAnsi="宋体" w:cs="宋体"/>
                <w:kern w:val="2"/>
                <w:sz w:val="24"/>
              </w:rPr>
              <w:t>工作人员在采购人工作范围内发生事故的一切责任由</w:t>
            </w:r>
            <w:r>
              <w:rPr>
                <w:rFonts w:hint="eastAsia" w:ascii="宋体" w:hAnsi="宋体" w:cs="宋体"/>
                <w:kern w:val="2"/>
                <w:sz w:val="24"/>
                <w:lang w:eastAsia="zh-CN"/>
              </w:rPr>
              <w:t>供应商</w:t>
            </w:r>
            <w:r>
              <w:rPr>
                <w:rFonts w:hint="eastAsia" w:ascii="宋体" w:hAnsi="宋体" w:cs="宋体"/>
                <w:kern w:val="2"/>
                <w:sz w:val="24"/>
              </w:rPr>
              <w:t>负责。</w:t>
            </w:r>
          </w:p>
          <w:p w14:paraId="47A6CDF4">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15．</w:t>
            </w:r>
            <w:r>
              <w:rPr>
                <w:rFonts w:hint="eastAsia" w:ascii="宋体" w:hAnsi="宋体" w:cs="宋体" w:eastAsiaTheme="minorEastAsia"/>
                <w:kern w:val="2"/>
                <w:sz w:val="24"/>
                <w:lang w:eastAsia="zh-CN"/>
              </w:rPr>
              <w:t>供应商</w:t>
            </w:r>
            <w:r>
              <w:rPr>
                <w:rFonts w:hint="eastAsia" w:ascii="宋体" w:hAnsi="宋体" w:cs="宋体"/>
                <w:kern w:val="2"/>
                <w:sz w:val="24"/>
              </w:rPr>
              <w:t>的服务人员要有符合国家规定的上岗证，要严格审查，没有刑事犯罪记录，重要岗位人员聘用要经采购人审定，同时，</w:t>
            </w:r>
            <w:r>
              <w:rPr>
                <w:rFonts w:hint="eastAsia" w:ascii="宋体" w:hAnsi="宋体" w:cs="宋体"/>
                <w:kern w:val="2"/>
                <w:sz w:val="24"/>
                <w:lang w:eastAsia="zh-CN"/>
              </w:rPr>
              <w:t>供应商</w:t>
            </w:r>
            <w:r>
              <w:rPr>
                <w:rFonts w:hint="eastAsia" w:ascii="宋体" w:hAnsi="宋体" w:cs="宋体"/>
                <w:kern w:val="2"/>
                <w:sz w:val="24"/>
              </w:rPr>
              <w:t>的服务人员须听从采购人调动指挥。</w:t>
            </w:r>
          </w:p>
          <w:p w14:paraId="5771A74E">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16．</w:t>
            </w:r>
            <w:r>
              <w:rPr>
                <w:rFonts w:hint="eastAsia" w:ascii="宋体" w:hAnsi="宋体" w:cs="宋体" w:eastAsiaTheme="minorEastAsia"/>
                <w:kern w:val="2"/>
                <w:sz w:val="24"/>
                <w:lang w:eastAsia="zh-CN"/>
              </w:rPr>
              <w:t>供应商</w:t>
            </w:r>
            <w:r>
              <w:rPr>
                <w:rFonts w:hint="eastAsia" w:ascii="宋体" w:hAnsi="宋体" w:cs="宋体"/>
                <w:kern w:val="2"/>
                <w:sz w:val="24"/>
              </w:rPr>
              <w:t>员工的工资、社会保险等福利，必须符合国家有关规定。</w:t>
            </w:r>
          </w:p>
          <w:p w14:paraId="6315836F">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17．</w:t>
            </w:r>
            <w:r>
              <w:rPr>
                <w:rFonts w:hint="eastAsia" w:ascii="宋体" w:hAnsi="宋体" w:cs="宋体"/>
                <w:kern w:val="2"/>
                <w:sz w:val="24"/>
              </w:rPr>
              <w:t>本项目合同终止时，</w:t>
            </w:r>
            <w:r>
              <w:rPr>
                <w:rFonts w:hint="eastAsia" w:ascii="宋体" w:hAnsi="宋体" w:cs="宋体"/>
                <w:kern w:val="2"/>
                <w:sz w:val="24"/>
                <w:lang w:eastAsia="zh-CN"/>
              </w:rPr>
              <w:t>供应商</w:t>
            </w:r>
            <w:r>
              <w:rPr>
                <w:rFonts w:hint="eastAsia" w:ascii="宋体" w:hAnsi="宋体" w:cs="宋体"/>
                <w:kern w:val="2"/>
                <w:sz w:val="24"/>
              </w:rPr>
              <w:t>必须在采购人要求的时间内及时移交物业，并向采购人移交全部有关档案资料。</w:t>
            </w:r>
          </w:p>
          <w:p w14:paraId="16515450">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18．</w:t>
            </w:r>
            <w:r>
              <w:rPr>
                <w:rFonts w:hint="eastAsia" w:ascii="宋体" w:hAnsi="宋体" w:cs="宋体"/>
                <w:kern w:val="2"/>
                <w:sz w:val="24"/>
              </w:rPr>
              <w:t>“除四害”服务按《广州市除四害管理规定》、《广东省爱国卫生工作条例》、《广州市灭鼠灭虫服务行业管理办法》及本项目合同的有关要求和标准，确保在服务当日“四害”消杀的效果，控制在达标范围内。</w:t>
            </w:r>
          </w:p>
          <w:p w14:paraId="56D3491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19．</w:t>
            </w:r>
            <w:r>
              <w:rPr>
                <w:rFonts w:hint="eastAsia" w:ascii="宋体" w:hAnsi="宋体" w:cs="宋体"/>
                <w:kern w:val="2"/>
                <w:sz w:val="24"/>
              </w:rPr>
              <w:t>每次作业完成后，</w:t>
            </w:r>
            <w:r>
              <w:rPr>
                <w:rFonts w:hint="eastAsia" w:ascii="宋体" w:hAnsi="宋体" w:cs="宋体"/>
                <w:kern w:val="2"/>
                <w:sz w:val="24"/>
                <w:lang w:eastAsia="zh-CN"/>
              </w:rPr>
              <w:t>供应商</w:t>
            </w:r>
            <w:r>
              <w:rPr>
                <w:rFonts w:hint="eastAsia" w:ascii="宋体" w:hAnsi="宋体" w:cs="宋体"/>
                <w:kern w:val="2"/>
                <w:sz w:val="24"/>
              </w:rPr>
              <w:t>需将“灭治红白蚁”、“灭治蚊子”“灭治苍蝇”、“灭治老鼠”、“灭治蟑螂”服务记录表提供给采购人确认。</w:t>
            </w:r>
          </w:p>
          <w:p w14:paraId="66C4B5DE">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20．</w:t>
            </w:r>
            <w:r>
              <w:rPr>
                <w:rFonts w:hint="eastAsia" w:ascii="宋体" w:hAnsi="宋体" w:cs="宋体"/>
                <w:kern w:val="2"/>
                <w:sz w:val="24"/>
              </w:rPr>
              <w:t>岗位服务人员要严格遵守灭鼠杀虫防治技术操作规程文明作业，穿着统一工作服和佩戴工作证。</w:t>
            </w:r>
          </w:p>
          <w:p w14:paraId="3A014A74">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21．</w:t>
            </w:r>
            <w:r>
              <w:rPr>
                <w:rFonts w:hint="eastAsia" w:ascii="宋体" w:hAnsi="宋体" w:cs="宋体" w:eastAsiaTheme="minorEastAsia"/>
                <w:kern w:val="2"/>
                <w:sz w:val="24"/>
                <w:lang w:eastAsia="zh-CN"/>
              </w:rPr>
              <w:t>供应商</w:t>
            </w:r>
            <w:r>
              <w:rPr>
                <w:rFonts w:hint="eastAsia" w:ascii="宋体" w:hAnsi="宋体" w:cs="宋体"/>
                <w:kern w:val="2"/>
                <w:sz w:val="24"/>
              </w:rPr>
              <w:t>在为采购人提供服务工作中应严格遵守采购人的各项规章制度。</w:t>
            </w:r>
          </w:p>
          <w:p w14:paraId="0345E5F2">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22．</w:t>
            </w:r>
            <w:r>
              <w:rPr>
                <w:rFonts w:hint="eastAsia" w:ascii="宋体" w:hAnsi="宋体" w:cs="宋体"/>
                <w:kern w:val="2"/>
                <w:sz w:val="24"/>
              </w:rPr>
              <w:t>有责任建议和指导采购人防鼠、防蚊设施的安装和做好日常鼠虫害防治的巩固、宣传工作。建议采购人对容易滋生虫害的场地进行改造。</w:t>
            </w:r>
          </w:p>
          <w:p w14:paraId="5BA6D2EA">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23．</w:t>
            </w:r>
            <w:r>
              <w:rPr>
                <w:rFonts w:hint="eastAsia" w:ascii="宋体" w:hAnsi="宋体" w:cs="宋体"/>
                <w:kern w:val="2"/>
                <w:sz w:val="24"/>
              </w:rPr>
              <w:t>每次消杀前至少提前24小时通知采购人，并确认采购人已做好“四害消杀”通知公告后方可实施消杀工作；同时注意药物的使用安全，对投（施）药时需要防护的部分，应向采购人提出，并采取有效的防护措施。</w:t>
            </w:r>
          </w:p>
          <w:p w14:paraId="1290E07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24．</w:t>
            </w:r>
            <w:r>
              <w:rPr>
                <w:rFonts w:hint="eastAsia" w:ascii="宋体" w:hAnsi="宋体" w:cs="宋体"/>
                <w:kern w:val="2"/>
                <w:sz w:val="24"/>
              </w:rPr>
              <w:t>所使用的药物按国家规定要有“三证”或使用全国或市爱卫会专家委员会推荐和认定的药物。</w:t>
            </w:r>
            <w:r>
              <w:rPr>
                <w:rFonts w:hint="eastAsia" w:ascii="宋体" w:hAnsi="宋体" w:cs="宋体"/>
                <w:kern w:val="2"/>
                <w:sz w:val="24"/>
                <w:lang w:eastAsia="zh-CN"/>
              </w:rPr>
              <w:t>供应商</w:t>
            </w:r>
            <w:r>
              <w:rPr>
                <w:rFonts w:hint="eastAsia" w:ascii="宋体" w:hAnsi="宋体" w:cs="宋体"/>
                <w:kern w:val="2"/>
                <w:sz w:val="24"/>
              </w:rPr>
              <w:t>应确保用药安全，不能发生意外，如因</w:t>
            </w:r>
            <w:r>
              <w:rPr>
                <w:rFonts w:hint="eastAsia" w:ascii="宋体" w:hAnsi="宋体" w:cs="宋体"/>
                <w:kern w:val="2"/>
                <w:sz w:val="24"/>
                <w:lang w:eastAsia="zh-CN"/>
              </w:rPr>
              <w:t>供应商</w:t>
            </w:r>
            <w:r>
              <w:rPr>
                <w:rFonts w:hint="eastAsia" w:ascii="宋体" w:hAnsi="宋体" w:cs="宋体"/>
                <w:kern w:val="2"/>
                <w:sz w:val="24"/>
              </w:rPr>
              <w:t>药物使用或保管不当引起人中毒的，应承担所产生的费用和连带的赔偿责任，但不含采购人和第三方人员故意行为。</w:t>
            </w:r>
          </w:p>
          <w:p w14:paraId="5BC3776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25．</w:t>
            </w:r>
            <w:r>
              <w:rPr>
                <w:rFonts w:hint="eastAsia" w:ascii="宋体" w:hAnsi="宋体" w:cs="宋体" w:eastAsiaTheme="minorEastAsia"/>
                <w:kern w:val="2"/>
                <w:sz w:val="24"/>
                <w:lang w:eastAsia="zh-CN"/>
              </w:rPr>
              <w:t>供应商</w:t>
            </w:r>
            <w:r>
              <w:rPr>
                <w:rFonts w:hint="eastAsia" w:ascii="宋体" w:hAnsi="宋体" w:cs="宋体"/>
                <w:kern w:val="2"/>
                <w:sz w:val="24"/>
              </w:rPr>
              <w:t>保证施工人员的操守，不能发生偷盗或损坏办公室内物品、医院货品或场区设施的行为。如确有证据证明</w:t>
            </w:r>
            <w:r>
              <w:rPr>
                <w:rFonts w:hint="eastAsia" w:ascii="宋体" w:hAnsi="宋体" w:cs="宋体"/>
                <w:kern w:val="2"/>
                <w:sz w:val="24"/>
                <w:lang w:eastAsia="zh-CN"/>
              </w:rPr>
              <w:t>供应商</w:t>
            </w:r>
            <w:r>
              <w:rPr>
                <w:rFonts w:hint="eastAsia" w:ascii="宋体" w:hAnsi="宋体" w:cs="宋体"/>
                <w:kern w:val="2"/>
                <w:sz w:val="24"/>
              </w:rPr>
              <w:t>人员偷窃或损坏行为的，</w:t>
            </w:r>
            <w:r>
              <w:rPr>
                <w:rFonts w:hint="eastAsia" w:ascii="宋体" w:hAnsi="宋体" w:cs="宋体"/>
                <w:kern w:val="2"/>
                <w:sz w:val="24"/>
                <w:lang w:eastAsia="zh-CN"/>
              </w:rPr>
              <w:t>供应商</w:t>
            </w:r>
            <w:r>
              <w:rPr>
                <w:rFonts w:hint="eastAsia" w:ascii="宋体" w:hAnsi="宋体" w:cs="宋体"/>
                <w:kern w:val="2"/>
                <w:sz w:val="24"/>
              </w:rPr>
              <w:t>应照价赔偿并将盗窃人员送公安机关处理。</w:t>
            </w:r>
          </w:p>
          <w:p w14:paraId="728C27E3">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26．</w:t>
            </w:r>
            <w:r>
              <w:rPr>
                <w:rFonts w:hint="eastAsia" w:ascii="宋体" w:hAnsi="宋体" w:cs="宋体" w:eastAsiaTheme="minorEastAsia"/>
                <w:kern w:val="2"/>
                <w:sz w:val="24"/>
                <w:lang w:eastAsia="zh-CN"/>
              </w:rPr>
              <w:t>供应商</w:t>
            </w:r>
            <w:r>
              <w:rPr>
                <w:rFonts w:hint="eastAsia" w:ascii="宋体" w:hAnsi="宋体" w:cs="宋体"/>
                <w:kern w:val="2"/>
                <w:sz w:val="24"/>
              </w:rPr>
              <w:t>承诺协助采购人健全“除四害”效果质量监管制度，在食堂、机房、康复楼等多功能室机房、药房、仓库、医院医疗废物暂存间等容易出现鼠害区域监测点，利用防治毒盒等方法，监测控制老鼠密度。每次布药后三天内将残留鼠药全部清理干净收回，并作报废处理，同时收集所有被杀死的老鼠，将死鼠撤出院区统一焚烧深埋。</w:t>
            </w:r>
          </w:p>
          <w:p w14:paraId="2DDB30FE">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1"/>
              <w:rPr>
                <w:rFonts w:ascii="宋体" w:hAnsi="宋体" w:cs="宋体"/>
                <w:kern w:val="2"/>
                <w:sz w:val="24"/>
              </w:rPr>
            </w:pPr>
            <w:r>
              <w:rPr>
                <w:rFonts w:hint="default" w:ascii="宋体" w:hAnsi="宋体" w:cs="宋体" w:eastAsiaTheme="minorEastAsia"/>
                <w:kern w:val="2"/>
                <w:sz w:val="24"/>
                <w:szCs w:val="24"/>
                <w:lang w:val="en-US" w:eastAsia="zh-CN" w:bidi="ar-SA"/>
              </w:rPr>
              <w:t>27．</w:t>
            </w:r>
            <w:r>
              <w:rPr>
                <w:rFonts w:hint="eastAsia" w:ascii="宋体" w:hAnsi="宋体" w:cs="宋体" w:eastAsiaTheme="minorEastAsia"/>
                <w:kern w:val="2"/>
                <w:sz w:val="24"/>
                <w:lang w:eastAsia="zh-CN"/>
              </w:rPr>
              <w:t>供应商</w:t>
            </w:r>
            <w:r>
              <w:rPr>
                <w:rFonts w:hint="eastAsia" w:ascii="宋体" w:hAnsi="宋体" w:cs="宋体"/>
                <w:kern w:val="2"/>
                <w:sz w:val="24"/>
              </w:rPr>
              <w:t>承诺用于在采购人的“灭白蚁、红蚁”、“除四害”的药物，必须是高效低毒、安全、对人畜及环境无害、无味且符合国家“三证”或使用全国或市爱卫会专家委员会推荐和认定的药物。不同场所不同时期根据现场需要选用不同药剂交替或综合使用，按照厂家规定剂量和施药方法，保证效果，具体参考药剂如下：</w:t>
            </w:r>
          </w:p>
          <w:p w14:paraId="632A15A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bookmarkStart w:id="10" w:name="_Hlk65230201"/>
            <w:r>
              <w:rPr>
                <w:rFonts w:hint="default" w:ascii="宋体" w:hAnsi="宋体" w:cs="宋体" w:eastAsiaTheme="minorEastAsia"/>
                <w:kern w:val="2"/>
                <w:sz w:val="24"/>
                <w:szCs w:val="24"/>
                <w:lang w:val="en-US" w:eastAsia="zh-CN" w:bidi="ar-SA"/>
              </w:rPr>
              <w:t>1)</w:t>
            </w:r>
            <w:r>
              <w:rPr>
                <w:rFonts w:hint="eastAsia" w:ascii="宋体" w:hAnsi="宋体" w:cs="宋体"/>
                <w:kern w:val="2"/>
                <w:sz w:val="24"/>
              </w:rPr>
              <w:t>灭鼠：</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所选用产品质量应相当或优于以下参考内容：0.005%氟鼠灵；0.005%溴鼠灵、鼠板、其它捕鼠器械，根据场地及采购人意愿选择施药或投放器械。</w:t>
            </w:r>
          </w:p>
          <w:p w14:paraId="611ECFC2">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default" w:ascii="宋体" w:hAnsi="宋体" w:cs="宋体" w:eastAsiaTheme="minorEastAsia"/>
                <w:kern w:val="2"/>
                <w:sz w:val="24"/>
                <w:szCs w:val="24"/>
                <w:lang w:val="en-US" w:eastAsia="zh-CN" w:bidi="ar-SA"/>
              </w:rPr>
              <w:t>2)</w:t>
            </w:r>
            <w:r>
              <w:rPr>
                <w:rFonts w:hint="eastAsia" w:ascii="宋体" w:hAnsi="宋体" w:cs="宋体"/>
                <w:kern w:val="2"/>
                <w:sz w:val="24"/>
              </w:rPr>
              <w:t>灭蚊蝇：</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所选用产品质量应相当或优于以下参考内容：氨基甲酸酯类或除虫菊酯类药物。2.5%高效氯氟氰菊酯；氟氯氰菊酯；甲基嘧啶磷；5%倍硫磷。灭幼虫和成虫相结合，控制滋生源，保持长效。</w:t>
            </w:r>
          </w:p>
          <w:p w14:paraId="35DEA2D1">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default" w:ascii="宋体" w:hAnsi="宋体" w:cs="宋体" w:eastAsiaTheme="minorEastAsia"/>
                <w:kern w:val="2"/>
                <w:sz w:val="24"/>
                <w:szCs w:val="24"/>
                <w:lang w:val="en-US" w:eastAsia="zh-CN" w:bidi="ar-SA"/>
              </w:rPr>
              <w:t>3)</w:t>
            </w:r>
            <w:r>
              <w:rPr>
                <w:rFonts w:hint="eastAsia" w:ascii="宋体" w:hAnsi="宋体" w:cs="宋体"/>
                <w:kern w:val="2"/>
                <w:sz w:val="24"/>
              </w:rPr>
              <w:t>灭蟑螂：</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所选用产品质量应相当或优于以下参考内容：10%高效氟氯氰菊酯21%吡虫啉；2.15%吡虫啉；溴氰菊酯；5%残杀威5%右旋苯醚氰菊酯。使用无污染长效超低毒粘着传染剂型为主。</w:t>
            </w:r>
          </w:p>
          <w:p w14:paraId="4B9A7BEA">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default" w:ascii="宋体" w:hAnsi="宋体" w:cs="宋体" w:eastAsiaTheme="minorEastAsia"/>
                <w:kern w:val="2"/>
                <w:sz w:val="24"/>
                <w:szCs w:val="24"/>
                <w:lang w:val="en-US" w:eastAsia="zh-CN" w:bidi="ar-SA"/>
              </w:rPr>
              <w:t>4)</w:t>
            </w:r>
            <w:r>
              <w:rPr>
                <w:rFonts w:hint="eastAsia" w:ascii="宋体" w:hAnsi="宋体" w:cs="宋体"/>
                <w:kern w:val="2"/>
                <w:sz w:val="24"/>
              </w:rPr>
              <w:t>白蚁：</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所选用产品质量应相当或优于以下参考内容：10%高效氟氯氰菊酯21%吡虫啉。采用诱杀、诱杀等科学的白蚁防治方法，确保没有白蚁出现。</w:t>
            </w:r>
          </w:p>
          <w:bookmarkEnd w:id="10"/>
          <w:p w14:paraId="3C1A7FE0">
            <w:pPr>
              <w:keepNext w:val="0"/>
              <w:keepLines w:val="0"/>
              <w:pageBreakBefore w:val="0"/>
              <w:numPr>
                <w:ilvl w:val="0"/>
                <w:numId w:val="0"/>
              </w:numPr>
              <w:tabs>
                <w:tab w:val="left" w:pos="840"/>
              </w:tabs>
              <w:kinsoku/>
              <w:wordWrap/>
              <w:overflowPunct/>
              <w:topLinePunct w:val="0"/>
              <w:autoSpaceDE/>
              <w:autoSpaceDN/>
              <w:bidi w:val="0"/>
              <w:adjustRightInd/>
              <w:snapToGrid w:val="0"/>
              <w:spacing w:line="360" w:lineRule="exact"/>
              <w:ind w:left="0" w:leftChars="0" w:firstLine="0" w:firstLineChars="0"/>
              <w:textAlignment w:val="auto"/>
              <w:outlineLvl w:val="1"/>
              <w:rPr>
                <w:rFonts w:ascii="宋体" w:hAnsi="宋体"/>
                <w:b/>
                <w:kern w:val="2"/>
                <w:sz w:val="24"/>
              </w:rPr>
            </w:pPr>
            <w:r>
              <w:rPr>
                <w:rFonts w:hint="eastAsia" w:ascii="宋体" w:hAnsi="宋体" w:eastAsiaTheme="minorEastAsia" w:cstheme="minorBidi"/>
                <w:b/>
                <w:kern w:val="2"/>
                <w:sz w:val="24"/>
                <w:szCs w:val="24"/>
                <w:lang w:val="en-US" w:eastAsia="zh-CN" w:bidi="ar-SA"/>
              </w:rPr>
              <w:t>四、</w:t>
            </w:r>
            <w:r>
              <w:rPr>
                <w:rFonts w:hint="eastAsia" w:ascii="宋体" w:hAnsi="宋体"/>
                <w:b/>
                <w:kern w:val="2"/>
                <w:sz w:val="24"/>
              </w:rPr>
              <w:t>服务质量</w:t>
            </w:r>
          </w:p>
          <w:p w14:paraId="027ADC1D">
            <w:pPr>
              <w:keepNext w:val="0"/>
              <w:keepLines w:val="0"/>
              <w:pageBreakBefore w:val="0"/>
              <w:numPr>
                <w:ilvl w:val="0"/>
                <w:numId w:val="0"/>
              </w:numPr>
              <w:tabs>
                <w:tab w:val="left" w:pos="3780"/>
              </w:tabs>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cs="宋体" w:eastAsiaTheme="minorEastAsia"/>
                <w:kern w:val="2"/>
                <w:sz w:val="24"/>
                <w:szCs w:val="24"/>
                <w:lang w:val="en-US" w:eastAsia="zh-CN" w:bidi="ar-SA"/>
              </w:rPr>
              <w:t>（一）</w:t>
            </w:r>
            <w:r>
              <w:rPr>
                <w:rFonts w:hint="eastAsia" w:ascii="宋体" w:hAnsi="宋体" w:cs="宋体"/>
                <w:kern w:val="2"/>
                <w:sz w:val="24"/>
              </w:rPr>
              <w:t>灭蚊和灭蝇：达到国家爱卫会创建卫生城市的要求和标准；</w:t>
            </w:r>
          </w:p>
          <w:p w14:paraId="3B416220">
            <w:pPr>
              <w:keepNext w:val="0"/>
              <w:keepLines w:val="0"/>
              <w:pageBreakBefore w:val="0"/>
              <w:numPr>
                <w:ilvl w:val="0"/>
                <w:numId w:val="0"/>
              </w:numPr>
              <w:tabs>
                <w:tab w:val="left" w:pos="3780"/>
              </w:tabs>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cs="宋体" w:eastAsiaTheme="minorEastAsia"/>
                <w:kern w:val="2"/>
                <w:sz w:val="24"/>
                <w:szCs w:val="24"/>
                <w:lang w:val="en-US" w:eastAsia="zh-CN" w:bidi="ar-SA"/>
              </w:rPr>
              <w:t>（二）</w:t>
            </w:r>
            <w:r>
              <w:rPr>
                <w:rFonts w:hint="eastAsia" w:ascii="宋体" w:hAnsi="宋体" w:cs="宋体"/>
                <w:kern w:val="2"/>
                <w:sz w:val="24"/>
              </w:rPr>
              <w:t>四害密度应达到《中华人民共和国国家标准病媒生物密度控制水平》（GB/T</w:t>
            </w:r>
            <w:r>
              <w:rPr>
                <w:rFonts w:ascii="宋体" w:hAnsi="宋体" w:cs="宋体"/>
                <w:kern w:val="2"/>
                <w:sz w:val="24"/>
              </w:rPr>
              <w:t xml:space="preserve"> </w:t>
            </w:r>
            <w:r>
              <w:rPr>
                <w:rFonts w:hint="eastAsia" w:ascii="宋体" w:hAnsi="宋体" w:cs="宋体"/>
                <w:kern w:val="2"/>
                <w:sz w:val="24"/>
              </w:rPr>
              <w:t>27770-2011鼠类”、“GB/T</w:t>
            </w:r>
            <w:r>
              <w:rPr>
                <w:rFonts w:ascii="宋体" w:hAnsi="宋体" w:cs="宋体"/>
                <w:kern w:val="2"/>
                <w:sz w:val="24"/>
              </w:rPr>
              <w:t xml:space="preserve"> </w:t>
            </w:r>
            <w:r>
              <w:rPr>
                <w:rFonts w:hint="eastAsia" w:ascii="宋体" w:hAnsi="宋体" w:cs="宋体"/>
                <w:kern w:val="2"/>
                <w:sz w:val="24"/>
              </w:rPr>
              <w:t>27771-2011蚊虫”、“GB/T</w:t>
            </w:r>
            <w:r>
              <w:rPr>
                <w:rFonts w:ascii="宋体" w:hAnsi="宋体" w:cs="宋体"/>
                <w:kern w:val="2"/>
                <w:sz w:val="24"/>
              </w:rPr>
              <w:t xml:space="preserve"> </w:t>
            </w:r>
            <w:r>
              <w:rPr>
                <w:rFonts w:hint="eastAsia" w:ascii="宋体" w:hAnsi="宋体" w:cs="宋体"/>
                <w:kern w:val="2"/>
                <w:sz w:val="24"/>
              </w:rPr>
              <w:t>27772-2011蝇类”、“GB/T</w:t>
            </w:r>
            <w:r>
              <w:rPr>
                <w:rFonts w:ascii="宋体" w:hAnsi="宋体" w:cs="宋体"/>
                <w:kern w:val="2"/>
                <w:sz w:val="24"/>
              </w:rPr>
              <w:t xml:space="preserve"> </w:t>
            </w:r>
            <w:r>
              <w:rPr>
                <w:rFonts w:hint="eastAsia" w:ascii="宋体" w:hAnsi="宋体" w:cs="宋体"/>
                <w:kern w:val="2"/>
                <w:sz w:val="24"/>
              </w:rPr>
              <w:t>27773-2011蜚蠊）规定的要求，具体如下：</w:t>
            </w:r>
          </w:p>
          <w:tbl>
            <w:tblPr>
              <w:tblStyle w:val="5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42"/>
              <w:gridCol w:w="6921"/>
            </w:tblGrid>
            <w:tr w14:paraId="6BFD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9" w:type="pct"/>
                  <w:vAlign w:val="center"/>
                </w:tcPr>
                <w:p w14:paraId="30BF29B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b/>
                      <w:kern w:val="2"/>
                      <w:sz w:val="24"/>
                    </w:rPr>
                    <w:t>序号</w:t>
                  </w:r>
                </w:p>
              </w:tc>
              <w:tc>
                <w:tcPr>
                  <w:tcW w:w="703" w:type="pct"/>
                  <w:vAlign w:val="center"/>
                </w:tcPr>
                <w:p w14:paraId="7EF8921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b/>
                      <w:kern w:val="2"/>
                      <w:sz w:val="24"/>
                    </w:rPr>
                    <w:t>标准</w:t>
                  </w:r>
                </w:p>
              </w:tc>
              <w:tc>
                <w:tcPr>
                  <w:tcW w:w="3917" w:type="pct"/>
                  <w:vAlign w:val="center"/>
                </w:tcPr>
                <w:p w14:paraId="49668FC2">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b/>
                      <w:kern w:val="2"/>
                      <w:sz w:val="24"/>
                    </w:rPr>
                    <w:t>标准内容</w:t>
                  </w:r>
                </w:p>
              </w:tc>
            </w:tr>
            <w:tr w14:paraId="5844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9" w:type="pct"/>
                  <w:vAlign w:val="center"/>
                </w:tcPr>
                <w:p w14:paraId="16ABE803">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Cs/>
                      <w:kern w:val="2"/>
                      <w:sz w:val="24"/>
                    </w:rPr>
                  </w:pPr>
                  <w:r>
                    <w:rPr>
                      <w:rFonts w:hint="eastAsia" w:ascii="宋体" w:hAnsi="宋体" w:cs="宋体"/>
                      <w:bCs/>
                      <w:kern w:val="2"/>
                      <w:sz w:val="24"/>
                    </w:rPr>
                    <w:t>1</w:t>
                  </w:r>
                </w:p>
              </w:tc>
              <w:tc>
                <w:tcPr>
                  <w:tcW w:w="703" w:type="pct"/>
                  <w:vAlign w:val="center"/>
                </w:tcPr>
                <w:p w14:paraId="6B142E38">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sz w:val="24"/>
                      <w:lang w:bidi="ar"/>
                    </w:rPr>
                    <w:t>灭鼠标准</w:t>
                  </w:r>
                </w:p>
              </w:tc>
              <w:tc>
                <w:tcPr>
                  <w:tcW w:w="3917" w:type="pct"/>
                  <w:vAlign w:val="center"/>
                </w:tcPr>
                <w:p w14:paraId="261E0718">
                  <w:pPr>
                    <w:keepNext w:val="0"/>
                    <w:keepLines w:val="0"/>
                    <w:pageBreakBefore w:val="0"/>
                    <w:numPr>
                      <w:ilvl w:val="0"/>
                      <w:numId w:val="5"/>
                    </w:numPr>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室内鼠密度，采用粉迹法或鼠迹法检测，鼠迹阳性率≤3%；室外鼠密度，采用鼠迹法检测，路径指数≤3处。</w:t>
                  </w:r>
                </w:p>
                <w:p w14:paraId="4838D494">
                  <w:pPr>
                    <w:keepNext w:val="0"/>
                    <w:keepLines w:val="0"/>
                    <w:pageBreakBefore w:val="0"/>
                    <w:numPr>
                      <w:ilvl w:val="0"/>
                      <w:numId w:val="5"/>
                    </w:numPr>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kern w:val="2"/>
                      <w:sz w:val="24"/>
                    </w:rPr>
                    <w:t>厨房、工作间（仓库）、厅、房内无鼠迹，院里各楼房室内鼠密度不超过国家规定的标准。</w:t>
                  </w:r>
                </w:p>
                <w:p w14:paraId="765C26E2">
                  <w:pPr>
                    <w:keepNext w:val="0"/>
                    <w:keepLines w:val="0"/>
                    <w:pageBreakBefore w:val="0"/>
                    <w:numPr>
                      <w:ilvl w:val="0"/>
                      <w:numId w:val="5"/>
                    </w:numPr>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15平方米标准房间布放20×20厘米滑石粉板两块，一夜后阳性粉块不超过3%；有鼠洞、鼠粪、鼠咬痕等鼠迹的房间不超过2%；重点单位和一般单位的重点场所（厨房、食品仓库、配电房）防鼠设施不合格处不超过5%。</w:t>
                  </w:r>
                </w:p>
                <w:p w14:paraId="6FFAFCD8">
                  <w:pPr>
                    <w:keepNext w:val="0"/>
                    <w:keepLines w:val="0"/>
                    <w:pageBreakBefore w:val="0"/>
                    <w:numPr>
                      <w:ilvl w:val="0"/>
                      <w:numId w:val="5"/>
                    </w:numPr>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不同类型的外环境累计2000延长米,鼠迹不超过5处。其计算方式：鼠迹阳性的以5米为一处；防鼠设施按15平方米为一处。</w:t>
                  </w:r>
                </w:p>
              </w:tc>
            </w:tr>
            <w:tr w14:paraId="2FA3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9" w:type="pct"/>
                  <w:vAlign w:val="center"/>
                </w:tcPr>
                <w:p w14:paraId="07542166">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Cs/>
                      <w:kern w:val="2"/>
                      <w:sz w:val="24"/>
                    </w:rPr>
                  </w:pPr>
                  <w:r>
                    <w:rPr>
                      <w:rFonts w:hint="eastAsia" w:ascii="宋体" w:hAnsi="宋体" w:cs="宋体"/>
                      <w:bCs/>
                      <w:kern w:val="2"/>
                      <w:sz w:val="24"/>
                    </w:rPr>
                    <w:t>2</w:t>
                  </w:r>
                </w:p>
              </w:tc>
              <w:tc>
                <w:tcPr>
                  <w:tcW w:w="703" w:type="pct"/>
                  <w:vAlign w:val="center"/>
                </w:tcPr>
                <w:p w14:paraId="78441A9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sz w:val="24"/>
                      <w:lang w:bidi="ar"/>
                    </w:rPr>
                    <w:t>灭蚊标准</w:t>
                  </w:r>
                </w:p>
              </w:tc>
              <w:tc>
                <w:tcPr>
                  <w:tcW w:w="3917" w:type="pct"/>
                  <w:vAlign w:val="center"/>
                </w:tcPr>
                <w:p w14:paraId="4A3A427B">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（1）积水阳性密度，采用路径法检测，蚊虫路径指数≤0.8；成蚊密度，采用人诱停落法检测，停落指数≤1.5。</w:t>
                  </w:r>
                </w:p>
                <w:p w14:paraId="556EBE13">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（2）每百间厅、房有成蚊的不超过10间，每间有成蚊不超过3只。</w:t>
                  </w:r>
                </w:p>
                <w:p w14:paraId="57A0C1DD">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（3）室内外周围五米的环境各种存水容器和积水中，蚊幼及蛹的阳性率不超过3%。</w:t>
                  </w:r>
                </w:p>
                <w:p w14:paraId="63E4DFA6">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（4）用500毫升收集勺采集城区内大中型水体中的蚊幼或蛹阳性率不超过3%，阳性勺内幼虫或蛹的平均数不超过５只。</w:t>
                  </w:r>
                </w:p>
                <w:p w14:paraId="77189B32">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（5）特殊场所白天人诱蚊30分钟，平均每人次诱获成蚊数不超过１只。</w:t>
                  </w:r>
                </w:p>
              </w:tc>
            </w:tr>
            <w:tr w14:paraId="6A1B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9" w:type="pct"/>
                  <w:vAlign w:val="center"/>
                </w:tcPr>
                <w:p w14:paraId="45C00FA1">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Cs/>
                      <w:kern w:val="2"/>
                      <w:sz w:val="24"/>
                    </w:rPr>
                  </w:pPr>
                  <w:r>
                    <w:rPr>
                      <w:rFonts w:hint="eastAsia" w:ascii="宋体" w:hAnsi="宋体" w:cs="宋体"/>
                      <w:bCs/>
                      <w:kern w:val="2"/>
                      <w:sz w:val="24"/>
                    </w:rPr>
                    <w:t>3</w:t>
                  </w:r>
                </w:p>
              </w:tc>
              <w:tc>
                <w:tcPr>
                  <w:tcW w:w="703" w:type="pct"/>
                  <w:vAlign w:val="center"/>
                </w:tcPr>
                <w:p w14:paraId="7947437E">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sz w:val="24"/>
                      <w:lang w:bidi="ar"/>
                    </w:rPr>
                    <w:t>灭蝇标准</w:t>
                  </w:r>
                </w:p>
              </w:tc>
              <w:tc>
                <w:tcPr>
                  <w:tcW w:w="3917" w:type="pct"/>
                  <w:vAlign w:val="center"/>
                </w:tcPr>
                <w:p w14:paraId="258EC032">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（1）采用目测法检测，成蝇密度阳性率≤3%，阳性间蝇密度≤3只/间。</w:t>
                  </w:r>
                </w:p>
                <w:p w14:paraId="4E5A49AC">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（2）院区有成蝇的厅、房低于3%，有蝇房间的成蝇不超过2只；</w:t>
                  </w:r>
                </w:p>
                <w:p w14:paraId="55311370">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（3）重点部位有蝇房间不超过1%，其它部位不超过3%，平均每阳性房间不超过3只；</w:t>
                  </w:r>
                </w:p>
                <w:p w14:paraId="38F6A11B">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（4）重点部位和一般部位的重点场所（厨房、加工、销售直接入口的摊档）防蝇设施不合格房间不超过5%;</w:t>
                  </w:r>
                </w:p>
                <w:p w14:paraId="60978DA0">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（5）加工、销售直接入口食品的场所不得有蝇。（以15平方米折算为1间）。</w:t>
                  </w:r>
                </w:p>
                <w:p w14:paraId="2F8B843F">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sz w:val="24"/>
                      <w:lang w:bidi="ar"/>
                    </w:rPr>
                  </w:pPr>
                  <w:r>
                    <w:rPr>
                      <w:rFonts w:hint="eastAsia" w:ascii="宋体" w:hAnsi="宋体" w:cs="宋体"/>
                      <w:sz w:val="24"/>
                      <w:lang w:bidi="ar"/>
                    </w:rPr>
                    <w:t>（6）蝇类孳生地得到有效治理，幼虫和蛹的检出率不超过3%。</w:t>
                  </w:r>
                </w:p>
              </w:tc>
            </w:tr>
            <w:tr w14:paraId="5EEB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79" w:type="pct"/>
                  <w:vAlign w:val="center"/>
                </w:tcPr>
                <w:p w14:paraId="40C5772D">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Cs/>
                      <w:kern w:val="2"/>
                      <w:sz w:val="24"/>
                    </w:rPr>
                  </w:pPr>
                  <w:r>
                    <w:rPr>
                      <w:rFonts w:hint="eastAsia" w:ascii="宋体" w:hAnsi="宋体" w:cs="宋体"/>
                      <w:bCs/>
                      <w:kern w:val="2"/>
                      <w:sz w:val="24"/>
                    </w:rPr>
                    <w:t>4</w:t>
                  </w:r>
                </w:p>
              </w:tc>
              <w:tc>
                <w:tcPr>
                  <w:tcW w:w="703" w:type="pct"/>
                  <w:vAlign w:val="center"/>
                </w:tcPr>
                <w:p w14:paraId="6D1A4616">
                  <w:pPr>
                    <w:keepNext w:val="0"/>
                    <w:keepLines w:val="0"/>
                    <w:pageBreakBefore w:val="0"/>
                    <w:kinsoku/>
                    <w:wordWrap/>
                    <w:overflowPunct/>
                    <w:topLinePunct w:val="0"/>
                    <w:autoSpaceDE/>
                    <w:autoSpaceDN/>
                    <w:bidi w:val="0"/>
                    <w:adjustRightInd/>
                    <w:snapToGrid w:val="0"/>
                    <w:spacing w:line="360" w:lineRule="exact"/>
                    <w:ind w:firstLine="0" w:firstLineChars="0"/>
                    <w:jc w:val="center"/>
                    <w:textAlignment w:val="auto"/>
                    <w:rPr>
                      <w:rFonts w:ascii="宋体" w:hAnsi="宋体" w:cs="宋体"/>
                      <w:b/>
                      <w:kern w:val="2"/>
                      <w:sz w:val="24"/>
                    </w:rPr>
                  </w:pPr>
                  <w:r>
                    <w:rPr>
                      <w:rFonts w:hint="eastAsia" w:ascii="宋体" w:hAnsi="宋体" w:cs="宋体"/>
                      <w:sz w:val="24"/>
                      <w:lang w:bidi="ar"/>
                    </w:rPr>
                    <w:t>灭蟑标准</w:t>
                  </w:r>
                </w:p>
              </w:tc>
              <w:tc>
                <w:tcPr>
                  <w:tcW w:w="3917" w:type="pct"/>
                  <w:vAlign w:val="center"/>
                </w:tcPr>
                <w:p w14:paraId="68808130">
                  <w:pPr>
                    <w:keepNext w:val="0"/>
                    <w:keepLines w:val="0"/>
                    <w:pageBreakBefore w:val="0"/>
                    <w:widowControl/>
                    <w:numPr>
                      <w:ilvl w:val="0"/>
                      <w:numId w:val="6"/>
                    </w:numPr>
                    <w:kinsoku/>
                    <w:wordWrap/>
                    <w:overflowPunct/>
                    <w:topLinePunct w:val="0"/>
                    <w:autoSpaceDE/>
                    <w:autoSpaceDN/>
                    <w:bidi w:val="0"/>
                    <w:adjustRightInd/>
                    <w:snapToGrid w:val="0"/>
                    <w:spacing w:line="360" w:lineRule="exact"/>
                    <w:ind w:left="0" w:firstLine="0" w:firstLineChars="0"/>
                    <w:textAlignment w:val="auto"/>
                    <w:rPr>
                      <w:rFonts w:ascii="宋体" w:hAnsi="宋体" w:cs="宋体"/>
                      <w:sz w:val="24"/>
                      <w:lang w:bidi="ar"/>
                    </w:rPr>
                  </w:pPr>
                  <w:r>
                    <w:rPr>
                      <w:rFonts w:hint="eastAsia" w:ascii="宋体" w:hAnsi="宋体" w:cs="宋体"/>
                      <w:sz w:val="24"/>
                      <w:lang w:bidi="ar"/>
                    </w:rPr>
                    <w:t>采用目测法检测，成（若）虫侵害率≤3%，卵鞘查获率≤2%，蟑迹查获率≤5%。</w:t>
                  </w:r>
                </w:p>
                <w:p w14:paraId="0F3FA910">
                  <w:pPr>
                    <w:keepNext w:val="0"/>
                    <w:keepLines w:val="0"/>
                    <w:pageBreakBefore w:val="0"/>
                    <w:widowControl/>
                    <w:numPr>
                      <w:ilvl w:val="0"/>
                      <w:numId w:val="6"/>
                    </w:numPr>
                    <w:kinsoku/>
                    <w:wordWrap/>
                    <w:overflowPunct/>
                    <w:topLinePunct w:val="0"/>
                    <w:autoSpaceDE/>
                    <w:autoSpaceDN/>
                    <w:bidi w:val="0"/>
                    <w:adjustRightInd/>
                    <w:snapToGrid w:val="0"/>
                    <w:spacing w:line="360" w:lineRule="exact"/>
                    <w:ind w:left="0" w:firstLine="0" w:firstLineChars="0"/>
                    <w:textAlignment w:val="auto"/>
                    <w:rPr>
                      <w:rFonts w:ascii="宋体" w:hAnsi="宋体" w:cs="宋体"/>
                      <w:kern w:val="2"/>
                      <w:sz w:val="24"/>
                    </w:rPr>
                  </w:pPr>
                  <w:r>
                    <w:rPr>
                      <w:rFonts w:hint="eastAsia" w:ascii="宋体" w:hAnsi="宋体" w:cs="宋体"/>
                      <w:kern w:val="2"/>
                      <w:sz w:val="24"/>
                    </w:rPr>
                    <w:t>厨房、工作间（仓库）、厅、房无蟑螂。</w:t>
                  </w:r>
                </w:p>
                <w:p w14:paraId="03169310">
                  <w:pPr>
                    <w:keepNext w:val="0"/>
                    <w:keepLines w:val="0"/>
                    <w:pageBreakBefore w:val="0"/>
                    <w:numPr>
                      <w:ilvl w:val="0"/>
                      <w:numId w:val="6"/>
                    </w:numPr>
                    <w:kinsoku/>
                    <w:wordWrap/>
                    <w:overflowPunct/>
                    <w:topLinePunct w:val="0"/>
                    <w:autoSpaceDE/>
                    <w:autoSpaceDN/>
                    <w:bidi w:val="0"/>
                    <w:adjustRightInd/>
                    <w:snapToGrid w:val="0"/>
                    <w:spacing w:line="360" w:lineRule="exact"/>
                    <w:ind w:left="0" w:firstLine="0" w:firstLineChars="0"/>
                    <w:textAlignment w:val="auto"/>
                    <w:rPr>
                      <w:rFonts w:ascii="宋体" w:hAnsi="宋体" w:cs="宋体"/>
                      <w:kern w:val="2"/>
                      <w:sz w:val="24"/>
                    </w:rPr>
                  </w:pPr>
                  <w:r>
                    <w:rPr>
                      <w:rFonts w:hint="eastAsia" w:ascii="宋体" w:hAnsi="宋体" w:cs="宋体"/>
                      <w:kern w:val="2"/>
                      <w:sz w:val="24"/>
                    </w:rPr>
                    <w:t>室内有蟑螂成若虫阳性房间不超过3%，平均每间大蠊不超过5只，小蠊不超过10只。</w:t>
                  </w:r>
                </w:p>
                <w:p w14:paraId="3CA85DFE">
                  <w:pPr>
                    <w:keepNext w:val="0"/>
                    <w:keepLines w:val="0"/>
                    <w:pageBreakBefore w:val="0"/>
                    <w:numPr>
                      <w:ilvl w:val="0"/>
                      <w:numId w:val="6"/>
                    </w:numPr>
                    <w:kinsoku/>
                    <w:wordWrap/>
                    <w:overflowPunct/>
                    <w:topLinePunct w:val="0"/>
                    <w:autoSpaceDE/>
                    <w:autoSpaceDN/>
                    <w:bidi w:val="0"/>
                    <w:adjustRightInd/>
                    <w:snapToGrid w:val="0"/>
                    <w:spacing w:line="360" w:lineRule="exact"/>
                    <w:ind w:left="0" w:firstLine="0" w:firstLineChars="0"/>
                    <w:textAlignment w:val="auto"/>
                    <w:rPr>
                      <w:rFonts w:ascii="宋体" w:hAnsi="宋体" w:cs="宋体"/>
                      <w:kern w:val="2"/>
                      <w:sz w:val="24"/>
                    </w:rPr>
                  </w:pPr>
                  <w:r>
                    <w:rPr>
                      <w:rFonts w:hint="eastAsia" w:ascii="宋体" w:hAnsi="宋体" w:cs="宋体"/>
                      <w:kern w:val="2"/>
                      <w:sz w:val="24"/>
                    </w:rPr>
                    <w:t>有活蟑螂卵房间不超过2%，平均每间房不超过4只。</w:t>
                  </w:r>
                </w:p>
                <w:p w14:paraId="26D4EA44">
                  <w:pPr>
                    <w:keepNext w:val="0"/>
                    <w:keepLines w:val="0"/>
                    <w:pageBreakBefore w:val="0"/>
                    <w:numPr>
                      <w:ilvl w:val="0"/>
                      <w:numId w:val="6"/>
                    </w:numPr>
                    <w:kinsoku/>
                    <w:wordWrap/>
                    <w:overflowPunct/>
                    <w:topLinePunct w:val="0"/>
                    <w:autoSpaceDE/>
                    <w:autoSpaceDN/>
                    <w:bidi w:val="0"/>
                    <w:adjustRightInd/>
                    <w:snapToGrid w:val="0"/>
                    <w:spacing w:line="360" w:lineRule="exact"/>
                    <w:ind w:left="0" w:firstLine="0" w:firstLineChars="0"/>
                    <w:textAlignment w:val="auto"/>
                    <w:rPr>
                      <w:rFonts w:ascii="宋体" w:hAnsi="宋体" w:cs="宋体"/>
                      <w:kern w:val="2"/>
                      <w:sz w:val="24"/>
                    </w:rPr>
                  </w:pPr>
                  <w:r>
                    <w:rPr>
                      <w:rFonts w:hint="eastAsia" w:ascii="宋体" w:hAnsi="宋体" w:cs="宋体"/>
                      <w:kern w:val="2"/>
                      <w:sz w:val="24"/>
                    </w:rPr>
                    <w:t>有蟑螂粪便、蜕皮、死蟑等蟑迹的房间不超过5%。</w:t>
                  </w:r>
                </w:p>
                <w:p w14:paraId="073555CC">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kern w:val="2"/>
                      <w:sz w:val="24"/>
                    </w:rPr>
                  </w:pPr>
                  <w:r>
                    <w:rPr>
                      <w:rFonts w:hint="eastAsia" w:ascii="宋体" w:hAnsi="宋体" w:cs="宋体"/>
                      <w:kern w:val="2"/>
                      <w:sz w:val="24"/>
                    </w:rPr>
                    <w:t>其计算方法：每个自然间算１间，大于15平方米的每15平方米折算１间，按检查实际场所折算。下水道以15米或一个井口为1间。</w:t>
                  </w:r>
                </w:p>
              </w:tc>
            </w:tr>
          </w:tbl>
          <w:p w14:paraId="02B2D396">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cs="宋体" w:eastAsiaTheme="minorEastAsia"/>
                <w:kern w:val="2"/>
                <w:sz w:val="24"/>
                <w:szCs w:val="24"/>
                <w:lang w:val="en-US" w:eastAsia="zh-CN" w:bidi="ar-SA"/>
              </w:rPr>
              <w:t>（三）</w:t>
            </w:r>
            <w:r>
              <w:rPr>
                <w:rFonts w:hint="eastAsia" w:ascii="宋体" w:hAnsi="宋体" w:cs="宋体"/>
                <w:kern w:val="2"/>
                <w:sz w:val="24"/>
              </w:rPr>
              <w:t>所使用的工具及要求：</w:t>
            </w:r>
          </w:p>
          <w:p w14:paraId="53D12390">
            <w:pPr>
              <w:pStyle w:val="45"/>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eastAsia="仿宋" w:cs="宋体"/>
                <w:kern w:val="2"/>
                <w:sz w:val="24"/>
                <w:szCs w:val="21"/>
                <w:lang w:val="en-US" w:eastAsia="zh-CN" w:bidi="ar-SA"/>
              </w:rPr>
              <w:t>（1）</w:t>
            </w:r>
            <w:r>
              <w:rPr>
                <w:rFonts w:hint="eastAsia" w:ascii="宋体" w:hAnsi="宋体" w:cs="宋体"/>
                <w:kern w:val="2"/>
                <w:sz w:val="24"/>
              </w:rPr>
              <w:t>室</w:t>
            </w:r>
            <w:r>
              <w:rPr>
                <w:rFonts w:hint="eastAsia" w:ascii="宋体" w:hAnsi="宋体" w:cs="宋体"/>
                <w:kern w:val="2"/>
                <w:sz w:val="24"/>
                <w:lang w:val="en-US" w:eastAsia="zh-CN"/>
              </w:rPr>
              <w:t>外</w:t>
            </w:r>
            <w:r>
              <w:rPr>
                <w:rFonts w:hint="eastAsia" w:ascii="宋体" w:hAnsi="宋体" w:cs="宋体"/>
                <w:kern w:val="2"/>
                <w:sz w:val="24"/>
              </w:rPr>
              <w:t>采用电源驱动的超低容量喷雾器，室内施药消杀蚊蝇需采用“空间处理”喷洒法，或地面“滞留喷洒”法，不能直接将药物喷洒在设施物品上，严禁使用机械发动机喷雾机作室内施药喷洒。</w:t>
            </w:r>
          </w:p>
          <w:p w14:paraId="577F83F0">
            <w:pPr>
              <w:pStyle w:val="45"/>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eastAsia="仿宋" w:cs="宋体"/>
                <w:kern w:val="2"/>
                <w:sz w:val="24"/>
                <w:szCs w:val="21"/>
                <w:lang w:val="en-US" w:eastAsia="zh-CN" w:bidi="ar-SA"/>
              </w:rPr>
              <w:t>（2）</w:t>
            </w:r>
            <w:r>
              <w:rPr>
                <w:rFonts w:hint="eastAsia" w:ascii="宋体" w:hAnsi="宋体" w:cs="宋体"/>
                <w:kern w:val="2"/>
                <w:sz w:val="24"/>
              </w:rPr>
              <w:t>施药消杀蚊蝇的操作采用先室内后室外的方法进行，对食堂厨房等摆放有食品碗碟不能喷洒药物的场所，需提前与相关部门约好时间或</w:t>
            </w:r>
            <w:r>
              <w:rPr>
                <w:rFonts w:hint="eastAsia" w:ascii="宋体" w:hAnsi="宋体" w:cs="宋体"/>
                <w:kern w:val="2"/>
                <w:sz w:val="24"/>
                <w:lang w:eastAsia="zh-CN"/>
              </w:rPr>
              <w:t>供应商</w:t>
            </w:r>
            <w:r>
              <w:rPr>
                <w:rFonts w:hint="eastAsia" w:ascii="宋体" w:hAnsi="宋体" w:cs="宋体"/>
                <w:kern w:val="2"/>
                <w:sz w:val="24"/>
              </w:rPr>
              <w:t>自行将食品用品遮盖好才能喷洒药物，</w:t>
            </w:r>
            <w:r>
              <w:rPr>
                <w:rFonts w:hint="eastAsia" w:ascii="宋体" w:hAnsi="宋体"/>
                <w:kern w:val="2"/>
                <w:sz w:val="24"/>
              </w:rPr>
              <w:t>对厨房下水道沙井施放烟熏灭杀蚊蝇蟑螂需在早上或晚上厨房下班后进行</w:t>
            </w:r>
            <w:r>
              <w:rPr>
                <w:rFonts w:hint="eastAsia" w:ascii="宋体" w:hAnsi="宋体" w:cs="宋体"/>
                <w:kern w:val="2"/>
                <w:sz w:val="24"/>
              </w:rPr>
              <w:t>。</w:t>
            </w:r>
          </w:p>
          <w:p w14:paraId="686299BA">
            <w:pPr>
              <w:keepNext w:val="0"/>
              <w:keepLines w:val="0"/>
              <w:pageBreakBefore w:val="0"/>
              <w:kinsoku/>
              <w:wordWrap/>
              <w:overflowPunct/>
              <w:topLinePunct w:val="0"/>
              <w:autoSpaceDE/>
              <w:autoSpaceDN/>
              <w:bidi w:val="0"/>
              <w:adjustRightInd/>
              <w:snapToGrid w:val="0"/>
              <w:spacing w:line="360" w:lineRule="exact"/>
              <w:ind w:firstLine="0" w:firstLineChars="0"/>
              <w:textAlignment w:val="auto"/>
              <w:rPr>
                <w:rFonts w:ascii="宋体" w:hAnsi="宋体" w:cs="宋体"/>
                <w:kern w:val="2"/>
                <w:sz w:val="24"/>
              </w:rPr>
            </w:pPr>
            <w:r>
              <w:rPr>
                <w:rFonts w:hint="eastAsia" w:ascii="宋体" w:hAnsi="宋体" w:cs="宋体"/>
                <w:kern w:val="2"/>
                <w:sz w:val="24"/>
              </w:rPr>
              <w:t>4</w:t>
            </w:r>
            <w:r>
              <w:rPr>
                <w:rFonts w:ascii="宋体" w:hAnsi="宋体" w:cs="宋体"/>
                <w:kern w:val="2"/>
                <w:sz w:val="24"/>
              </w:rPr>
              <w:t>.</w:t>
            </w:r>
            <w:r>
              <w:rPr>
                <w:rFonts w:hint="eastAsia" w:ascii="宋体" w:hAnsi="宋体" w:cs="宋体"/>
                <w:kern w:val="2"/>
                <w:sz w:val="24"/>
                <w:lang w:eastAsia="zh-CN"/>
              </w:rPr>
              <w:t>供应商</w:t>
            </w:r>
            <w:r>
              <w:rPr>
                <w:rFonts w:hint="eastAsia" w:ascii="宋体" w:hAnsi="宋体" w:cs="宋体"/>
                <w:kern w:val="2"/>
                <w:sz w:val="24"/>
              </w:rPr>
              <w:t>每月需进行除四害服务质量满意度调查（格式见附件），由各个科室负责人签名。</w:t>
            </w:r>
          </w:p>
          <w:p w14:paraId="3DB3E8F4">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cs="宋体"/>
                <w:kern w:val="2"/>
                <w:sz w:val="24"/>
                <w:highlight w:val="none"/>
              </w:rPr>
            </w:pPr>
            <w:r>
              <w:rPr>
                <w:rFonts w:hint="eastAsia" w:ascii="宋体" w:hAnsi="宋体" w:cs="宋体" w:eastAsiaTheme="minorEastAsia"/>
                <w:kern w:val="2"/>
                <w:sz w:val="24"/>
                <w:szCs w:val="24"/>
                <w:lang w:val="en-US" w:eastAsia="zh-CN" w:bidi="ar-SA"/>
              </w:rPr>
              <w:t>（四）</w:t>
            </w:r>
            <w:r>
              <w:rPr>
                <w:rFonts w:hint="eastAsia" w:ascii="宋体" w:hAnsi="宋体" w:cs="宋体"/>
                <w:kern w:val="2"/>
                <w:sz w:val="24"/>
                <w:highlight w:val="none"/>
                <w:lang w:eastAsia="zh-CN"/>
              </w:rPr>
              <w:t>管理考评办法</w:t>
            </w:r>
          </w:p>
          <w:p w14:paraId="59991FE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1.考评方式包括：科室满意度调查问卷和监管部门服务质量考评。</w:t>
            </w:r>
          </w:p>
          <w:p w14:paraId="39269C3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2.按月度进行考评。</w:t>
            </w:r>
          </w:p>
          <w:p w14:paraId="62B49BB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3.分为</w:t>
            </w:r>
            <w:r>
              <w:rPr>
                <w:rFonts w:hint="eastAsia"/>
                <w:sz w:val="24"/>
                <w:lang w:eastAsia="zh-CN"/>
              </w:rPr>
              <w:t>两</w:t>
            </w:r>
            <w:r>
              <w:rPr>
                <w:sz w:val="24"/>
              </w:rPr>
              <w:t>个部分考评，满分为100分，实际考评扣罚分值</w:t>
            </w:r>
            <w:r>
              <w:rPr>
                <w:rFonts w:hint="eastAsia"/>
                <w:sz w:val="24"/>
                <w:lang w:eastAsia="zh-CN"/>
              </w:rPr>
              <w:t>两项合计超过</w:t>
            </w:r>
            <w:r>
              <w:rPr>
                <w:rFonts w:hint="eastAsia"/>
                <w:sz w:val="24"/>
                <w:lang w:val="en-US" w:eastAsia="zh-CN"/>
              </w:rPr>
              <w:t>100分的按100分计算</w:t>
            </w:r>
            <w:r>
              <w:rPr>
                <w:sz w:val="24"/>
              </w:rPr>
              <w:t>。</w:t>
            </w:r>
          </w:p>
          <w:p w14:paraId="0676EB6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 xml:space="preserve"> 4.考评结果的运用。</w:t>
            </w:r>
            <w:r>
              <w:rPr>
                <w:rFonts w:hint="eastAsia"/>
                <w:sz w:val="24"/>
                <w:lang w:eastAsia="zh-CN"/>
              </w:rPr>
              <w:t>两</w:t>
            </w:r>
            <w:r>
              <w:rPr>
                <w:sz w:val="24"/>
              </w:rPr>
              <w:t>个部分的考评扣罚分值累计加总，总扣罚分值与当月服务费挂钩，运用具体如下：</w:t>
            </w:r>
          </w:p>
          <w:p w14:paraId="28DEB0BC">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3"/>
              <w:rPr>
                <w:rFonts w:hint="eastAsia"/>
                <w:sz w:val="24"/>
                <w:lang w:eastAsia="zh-CN"/>
              </w:rPr>
            </w:pPr>
            <w:r>
              <w:rPr>
                <w:rFonts w:hint="eastAsia"/>
                <w:sz w:val="24"/>
                <w:lang w:eastAsia="zh-CN"/>
              </w:rPr>
              <w:t>（1）分值≥95分，不扣罚当月服务费用；</w:t>
            </w:r>
          </w:p>
          <w:p w14:paraId="66C1BC4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3"/>
              <w:rPr>
                <w:rFonts w:hint="eastAsia"/>
                <w:sz w:val="24"/>
                <w:lang w:eastAsia="zh-CN"/>
              </w:rPr>
            </w:pPr>
            <w:r>
              <w:rPr>
                <w:rFonts w:hint="eastAsia"/>
                <w:sz w:val="24"/>
                <w:lang w:eastAsia="zh-CN"/>
              </w:rPr>
              <w:t>（2）90≤分值＜95分，每扣1分对应扣罚当月服务费</w:t>
            </w:r>
            <w:r>
              <w:rPr>
                <w:rFonts w:hint="eastAsia"/>
                <w:sz w:val="24"/>
                <w:lang w:val="en-US" w:eastAsia="zh-CN"/>
              </w:rPr>
              <w:t>2</w:t>
            </w:r>
            <w:r>
              <w:rPr>
                <w:rFonts w:hint="eastAsia"/>
                <w:sz w:val="24"/>
                <w:lang w:eastAsia="zh-CN"/>
              </w:rPr>
              <w:t>00元；列举：某月得分92分，扣罚</w:t>
            </w:r>
            <w:r>
              <w:rPr>
                <w:rFonts w:hint="eastAsia"/>
                <w:sz w:val="24"/>
                <w:lang w:val="en-US" w:eastAsia="zh-CN"/>
              </w:rPr>
              <w:t>2</w:t>
            </w:r>
            <w:r>
              <w:rPr>
                <w:rFonts w:hint="eastAsia"/>
                <w:sz w:val="24"/>
                <w:lang w:eastAsia="zh-CN"/>
              </w:rPr>
              <w:t>00元×（100分－92分）＝</w:t>
            </w:r>
            <w:r>
              <w:rPr>
                <w:rFonts w:hint="eastAsia"/>
                <w:sz w:val="24"/>
                <w:lang w:val="en-US" w:eastAsia="zh-CN"/>
              </w:rPr>
              <w:t>16</w:t>
            </w:r>
            <w:r>
              <w:rPr>
                <w:rFonts w:hint="eastAsia"/>
                <w:sz w:val="24"/>
                <w:lang w:eastAsia="zh-CN"/>
              </w:rPr>
              <w:t>00元；</w:t>
            </w:r>
          </w:p>
          <w:p w14:paraId="30CACB2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3"/>
              <w:rPr>
                <w:rFonts w:hint="eastAsia"/>
                <w:sz w:val="24"/>
                <w:lang w:eastAsia="zh-CN"/>
              </w:rPr>
            </w:pPr>
            <w:r>
              <w:rPr>
                <w:rFonts w:hint="eastAsia"/>
                <w:sz w:val="24"/>
                <w:lang w:eastAsia="zh-CN"/>
              </w:rPr>
              <w:t>（3）85分≤分值＜90分，每扣1分对应扣罚当月服务费</w:t>
            </w:r>
            <w:r>
              <w:rPr>
                <w:rFonts w:hint="eastAsia"/>
                <w:sz w:val="24"/>
                <w:lang w:val="en-US" w:eastAsia="zh-CN"/>
              </w:rPr>
              <w:t>5</w:t>
            </w:r>
            <w:r>
              <w:rPr>
                <w:rFonts w:hint="eastAsia"/>
                <w:sz w:val="24"/>
                <w:lang w:eastAsia="zh-CN"/>
              </w:rPr>
              <w:t>00元；列举：某月得分87分，扣罚</w:t>
            </w:r>
            <w:r>
              <w:rPr>
                <w:rFonts w:hint="eastAsia"/>
                <w:sz w:val="24"/>
                <w:lang w:val="en-US" w:eastAsia="zh-CN"/>
              </w:rPr>
              <w:t>5</w:t>
            </w:r>
            <w:r>
              <w:rPr>
                <w:rFonts w:hint="eastAsia"/>
                <w:sz w:val="24"/>
                <w:lang w:eastAsia="zh-CN"/>
              </w:rPr>
              <w:t>00元×（100分－87分）＝</w:t>
            </w:r>
            <w:r>
              <w:rPr>
                <w:rFonts w:hint="eastAsia"/>
                <w:sz w:val="24"/>
                <w:lang w:val="en-US" w:eastAsia="zh-CN"/>
              </w:rPr>
              <w:t>65</w:t>
            </w:r>
            <w:r>
              <w:rPr>
                <w:rFonts w:hint="eastAsia"/>
                <w:sz w:val="24"/>
                <w:lang w:eastAsia="zh-CN"/>
              </w:rPr>
              <w:t>00元；合同期内，累计五个月的，采购人有权单方面解除合同。</w:t>
            </w:r>
          </w:p>
          <w:p w14:paraId="547551A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3"/>
              <w:rPr>
                <w:rFonts w:hint="eastAsia"/>
                <w:sz w:val="24"/>
                <w:lang w:eastAsia="zh-CN"/>
              </w:rPr>
            </w:pPr>
            <w:r>
              <w:rPr>
                <w:rFonts w:hint="eastAsia"/>
                <w:sz w:val="24"/>
                <w:lang w:eastAsia="zh-CN"/>
              </w:rPr>
              <w:t>（4）70分≤分值＜85分，每扣1分对应扣罚当月服务费</w:t>
            </w:r>
            <w:r>
              <w:rPr>
                <w:rFonts w:hint="eastAsia"/>
                <w:sz w:val="24"/>
                <w:lang w:val="en-US" w:eastAsia="zh-CN"/>
              </w:rPr>
              <w:t>8</w:t>
            </w:r>
            <w:r>
              <w:rPr>
                <w:rFonts w:hint="eastAsia"/>
                <w:sz w:val="24"/>
                <w:lang w:eastAsia="zh-CN"/>
              </w:rPr>
              <w:t>00元；列举：某月得分80分，扣罚</w:t>
            </w:r>
            <w:r>
              <w:rPr>
                <w:rFonts w:hint="eastAsia"/>
                <w:sz w:val="24"/>
                <w:lang w:val="en-US" w:eastAsia="zh-CN"/>
              </w:rPr>
              <w:t>8</w:t>
            </w:r>
            <w:r>
              <w:rPr>
                <w:rFonts w:hint="eastAsia"/>
                <w:sz w:val="24"/>
                <w:lang w:eastAsia="zh-CN"/>
              </w:rPr>
              <w:t>00元×（100分－80分）＝</w:t>
            </w:r>
            <w:r>
              <w:rPr>
                <w:rFonts w:hint="eastAsia"/>
                <w:sz w:val="24"/>
                <w:lang w:val="en-US" w:eastAsia="zh-CN"/>
              </w:rPr>
              <w:t>16</w:t>
            </w:r>
            <w:r>
              <w:rPr>
                <w:rFonts w:hint="eastAsia"/>
                <w:sz w:val="24"/>
                <w:lang w:eastAsia="zh-CN"/>
              </w:rPr>
              <w:t>000元；合同期内，累计四个月或连续三个月的，采购人有权单方面解除合同。</w:t>
            </w:r>
          </w:p>
          <w:p w14:paraId="668AC20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3"/>
              <w:rPr>
                <w:rFonts w:hint="eastAsia"/>
                <w:sz w:val="24"/>
                <w:lang w:val="en-US" w:eastAsia="zh-CN"/>
              </w:rPr>
            </w:pPr>
            <w:r>
              <w:rPr>
                <w:rFonts w:hint="eastAsia"/>
                <w:sz w:val="24"/>
                <w:lang w:eastAsia="zh-CN"/>
              </w:rPr>
              <w:t>（5）分值＜70分，直接扣罚当月服务费用。合同期内，累计两个月的，采购人有权单方面解除合同。</w:t>
            </w:r>
          </w:p>
          <w:p w14:paraId="29F2252C">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outlineLvl w:val="3"/>
              <w:rPr>
                <w:rFonts w:hint="eastAsia"/>
                <w:sz w:val="24"/>
                <w:lang w:eastAsia="zh-CN"/>
              </w:rPr>
            </w:pPr>
            <w:r>
              <w:rPr>
                <w:rFonts w:hint="eastAsia"/>
                <w:sz w:val="24"/>
                <w:lang w:eastAsia="zh-CN"/>
              </w:rPr>
              <w:t>备注，所有扣罚款总金额不超过当月服务费用。</w:t>
            </w:r>
          </w:p>
          <w:p w14:paraId="76B15068">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outlineLvl w:val="3"/>
            </w:pPr>
            <w:r>
              <w:rPr>
                <w:sz w:val="24"/>
              </w:rPr>
              <w:t xml:space="preserve"> 5.科室满意度调查结果与扣罚分值换算标准如下：</w:t>
            </w:r>
          </w:p>
          <w:p w14:paraId="65C0578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（1）“满意”不需扣罚。</w:t>
            </w:r>
          </w:p>
          <w:p w14:paraId="72CC63F2">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pPr>
            <w:r>
              <w:rPr>
                <w:sz w:val="24"/>
              </w:rPr>
              <w:t>（2）一个“一般”，扣0.1分。</w:t>
            </w:r>
          </w:p>
          <w:p w14:paraId="02D98A0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sz w:val="24"/>
              </w:rPr>
            </w:pPr>
            <w:r>
              <w:rPr>
                <w:sz w:val="24"/>
              </w:rPr>
              <w:t>（3）一个“不满意”，扣0.5分。</w:t>
            </w:r>
          </w:p>
          <w:p w14:paraId="2DBBA31A">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sz w:val="24"/>
                <w:lang w:eastAsia="zh-CN"/>
              </w:rPr>
            </w:pPr>
            <w:r>
              <w:rPr>
                <w:sz w:val="24"/>
              </w:rPr>
              <w:t>6.</w:t>
            </w:r>
            <w:r>
              <w:rPr>
                <w:rFonts w:hint="eastAsia"/>
                <w:sz w:val="24"/>
                <w:lang w:eastAsia="zh-CN"/>
              </w:rPr>
              <w:t>两</w:t>
            </w:r>
            <w:r>
              <w:rPr>
                <w:sz w:val="24"/>
              </w:rPr>
              <w:t>个部分考评细则如下</w:t>
            </w:r>
            <w:r>
              <w:rPr>
                <w:rFonts w:hint="eastAsia"/>
                <w:sz w:val="24"/>
                <w:lang w:eastAsia="zh-CN"/>
              </w:rPr>
              <w:t>：</w:t>
            </w:r>
          </w:p>
          <w:p w14:paraId="2C56245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sz w:val="24"/>
                <w:lang w:val="en-US" w:eastAsia="zh-CN"/>
              </w:rPr>
            </w:pPr>
            <w:r>
              <w:rPr>
                <w:rFonts w:hint="eastAsia"/>
                <w:sz w:val="24"/>
                <w:lang w:eastAsia="zh-CN"/>
              </w:rPr>
              <w:t>第一部分：</w:t>
            </w:r>
            <w:r>
              <w:rPr>
                <w:rFonts w:hint="eastAsia"/>
                <w:sz w:val="24"/>
                <w:lang w:val="en-US" w:eastAsia="zh-CN"/>
              </w:rPr>
              <w:t>科室服务质量满意度调查表</w:t>
            </w:r>
          </w:p>
          <w:p w14:paraId="299E8BFB">
            <w:pPr>
              <w:keepNext w:val="0"/>
              <w:keepLines w:val="0"/>
              <w:pageBreakBefore w:val="0"/>
              <w:widowControl w:val="0"/>
              <w:numPr>
                <w:ilvl w:val="0"/>
                <w:numId w:val="0"/>
              </w:numPr>
              <w:kinsoku/>
              <w:wordWrap/>
              <w:overflowPunct/>
              <w:topLinePunct w:val="0"/>
              <w:autoSpaceDE/>
              <w:autoSpaceDN/>
              <w:bidi w:val="0"/>
              <w:adjustRightInd/>
              <w:spacing w:line="360" w:lineRule="exact"/>
              <w:ind w:left="-228" w:leftChars="-95" w:firstLine="0" w:firstLineChars="0"/>
              <w:jc w:val="center"/>
              <w:textAlignment w:val="auto"/>
              <w:rPr>
                <w:rStyle w:val="23"/>
                <w:rFonts w:hint="eastAsia" w:ascii="宋体" w:hAnsi="宋体" w:cs="宋体"/>
                <w:b/>
                <w:bCs/>
                <w:color w:val="auto"/>
                <w:sz w:val="30"/>
                <w:szCs w:val="30"/>
                <w:highlight w:val="none"/>
                <w:lang w:val="en-US" w:eastAsia="zh-CN"/>
              </w:rPr>
            </w:pPr>
            <w:r>
              <w:rPr>
                <w:rStyle w:val="23"/>
                <w:rFonts w:hint="eastAsia" w:ascii="宋体" w:hAnsi="宋体" w:cs="宋体"/>
                <w:b/>
                <w:bCs/>
                <w:color w:val="auto"/>
                <w:sz w:val="30"/>
                <w:szCs w:val="30"/>
                <w:highlight w:val="none"/>
                <w:lang w:val="en-US" w:eastAsia="zh-CN"/>
              </w:rPr>
              <w:t>广州医科大学附属市八医院</w:t>
            </w:r>
          </w:p>
          <w:p w14:paraId="338CBECE">
            <w:pPr>
              <w:keepNext w:val="0"/>
              <w:keepLines w:val="0"/>
              <w:pageBreakBefore w:val="0"/>
              <w:widowControl w:val="0"/>
              <w:numPr>
                <w:ilvl w:val="0"/>
                <w:numId w:val="0"/>
              </w:numPr>
              <w:kinsoku/>
              <w:wordWrap/>
              <w:overflowPunct/>
              <w:topLinePunct w:val="0"/>
              <w:autoSpaceDE/>
              <w:autoSpaceDN/>
              <w:bidi w:val="0"/>
              <w:adjustRightInd/>
              <w:spacing w:line="360" w:lineRule="exact"/>
              <w:ind w:left="-228" w:leftChars="-95" w:firstLine="0" w:firstLineChars="0"/>
              <w:jc w:val="center"/>
              <w:textAlignment w:val="auto"/>
              <w:rPr>
                <w:rStyle w:val="23"/>
                <w:rFonts w:hint="eastAsia" w:ascii="宋体" w:hAnsi="宋体" w:eastAsia="宋体" w:cs="宋体"/>
                <w:b/>
                <w:bCs/>
                <w:color w:val="auto"/>
                <w:sz w:val="28"/>
                <w:szCs w:val="28"/>
                <w:highlight w:val="none"/>
                <w:lang w:val="en-US" w:eastAsia="zh-CN"/>
              </w:rPr>
            </w:pPr>
            <w:r>
              <w:rPr>
                <w:rStyle w:val="23"/>
                <w:rFonts w:hint="eastAsia" w:ascii="宋体" w:hAnsi="宋体" w:cs="宋体"/>
                <w:b/>
                <w:bCs/>
                <w:color w:val="auto"/>
                <w:sz w:val="28"/>
                <w:szCs w:val="28"/>
                <w:highlight w:val="none"/>
                <w:u w:val="single"/>
                <w:lang w:val="en-US" w:eastAsia="zh-CN"/>
              </w:rPr>
              <w:t xml:space="preserve">      </w:t>
            </w:r>
            <w:r>
              <w:rPr>
                <w:rStyle w:val="23"/>
                <w:rFonts w:hint="eastAsia" w:ascii="宋体" w:hAnsi="宋体" w:eastAsia="宋体" w:cs="宋体"/>
                <w:b/>
                <w:bCs/>
                <w:color w:val="auto"/>
                <w:sz w:val="28"/>
                <w:szCs w:val="28"/>
                <w:highlight w:val="none"/>
                <w:lang w:val="en-US" w:eastAsia="zh-CN"/>
              </w:rPr>
              <w:t>年</w:t>
            </w:r>
            <w:r>
              <w:rPr>
                <w:rStyle w:val="23"/>
                <w:rFonts w:hint="eastAsia" w:ascii="宋体" w:hAnsi="宋体" w:cs="宋体"/>
                <w:b/>
                <w:bCs/>
                <w:color w:val="auto"/>
                <w:sz w:val="28"/>
                <w:szCs w:val="28"/>
                <w:highlight w:val="none"/>
                <w:u w:val="single"/>
                <w:lang w:val="en-US" w:eastAsia="zh-CN"/>
              </w:rPr>
              <w:t xml:space="preserve">    </w:t>
            </w:r>
            <w:r>
              <w:rPr>
                <w:rStyle w:val="23"/>
                <w:rFonts w:hint="eastAsia" w:ascii="宋体" w:hAnsi="宋体" w:eastAsia="宋体" w:cs="宋体"/>
                <w:b/>
                <w:bCs/>
                <w:color w:val="auto"/>
                <w:sz w:val="28"/>
                <w:szCs w:val="28"/>
                <w:highlight w:val="none"/>
                <w:lang w:val="en-US" w:eastAsia="zh-CN"/>
              </w:rPr>
              <w:t>月</w:t>
            </w:r>
            <w:r>
              <w:rPr>
                <w:rStyle w:val="23"/>
                <w:rFonts w:hint="eastAsia" w:ascii="宋体" w:hAnsi="宋体" w:cs="宋体"/>
                <w:b/>
                <w:bCs/>
                <w:color w:val="auto"/>
                <w:sz w:val="28"/>
                <w:szCs w:val="28"/>
                <w:highlight w:val="none"/>
                <w:lang w:val="en-US" w:eastAsia="zh-CN"/>
              </w:rPr>
              <w:t>灭治红白蚁、除四害服务科室满意度调查表</w:t>
            </w:r>
          </w:p>
          <w:p w14:paraId="3E9D146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lang w:val="en-US" w:eastAsia="zh-CN"/>
              </w:rPr>
            </w:pPr>
          </w:p>
          <w:p w14:paraId="1F967B7B">
            <w:pPr>
              <w:keepNext w:val="0"/>
              <w:keepLines w:val="0"/>
              <w:pageBreakBefore w:val="0"/>
              <w:widowControl w:val="0"/>
              <w:numPr>
                <w:ilvl w:val="0"/>
                <w:numId w:val="0"/>
              </w:numPr>
              <w:kinsoku/>
              <w:wordWrap/>
              <w:overflowPunct/>
              <w:topLinePunct w:val="0"/>
              <w:autoSpaceDE/>
              <w:autoSpaceDN/>
              <w:bidi w:val="0"/>
              <w:adjustRightInd/>
              <w:spacing w:line="360" w:lineRule="exact"/>
              <w:ind w:left="-708" w:leftChars="-295" w:firstLine="0" w:firstLineChars="0"/>
              <w:jc w:val="both"/>
              <w:textAlignment w:val="auto"/>
              <w:rPr>
                <w:rStyle w:val="23"/>
                <w:rFonts w:hint="default" w:ascii="宋体" w:hAnsi="宋体" w:eastAsia="宋体" w:cs="宋体"/>
                <w:color w:val="auto"/>
                <w:sz w:val="24"/>
                <w:szCs w:val="24"/>
                <w:highlight w:val="none"/>
                <w:lang w:val="en-US" w:eastAsia="zh-CN"/>
              </w:rPr>
            </w:pPr>
            <w:r>
              <w:rPr>
                <w:rStyle w:val="23"/>
                <w:rFonts w:hint="eastAsia" w:ascii="宋体" w:hAnsi="宋体" w:cs="宋体"/>
                <w:color w:val="auto"/>
                <w:sz w:val="24"/>
                <w:szCs w:val="24"/>
                <w:highlight w:val="none"/>
                <w:lang w:val="en-US" w:eastAsia="zh-CN"/>
              </w:rPr>
              <w:t xml:space="preserve">服务  </w:t>
            </w:r>
            <w:r>
              <w:rPr>
                <w:rStyle w:val="23"/>
                <w:rFonts w:hint="eastAsia" w:ascii="宋体" w:hAnsi="宋体" w:eastAsia="宋体" w:cs="宋体"/>
                <w:color w:val="auto"/>
                <w:sz w:val="24"/>
                <w:szCs w:val="24"/>
                <w:highlight w:val="none"/>
                <w:lang w:val="en-US" w:eastAsia="zh-CN"/>
              </w:rPr>
              <w:t>单位：</w:t>
            </w:r>
            <w:r>
              <w:rPr>
                <w:rStyle w:val="23"/>
                <w:rFonts w:hint="eastAsia" w:ascii="宋体" w:hAnsi="宋体" w:cs="宋体"/>
                <w:color w:val="auto"/>
                <w:sz w:val="24"/>
                <w:szCs w:val="24"/>
                <w:highlight w:val="none"/>
                <w:lang w:val="en-US" w:eastAsia="zh-CN"/>
              </w:rPr>
              <w:t xml:space="preserve">                                                      总分：100分</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4"/>
              <w:gridCol w:w="2236"/>
              <w:gridCol w:w="122"/>
              <w:gridCol w:w="1078"/>
              <w:gridCol w:w="1145"/>
              <w:gridCol w:w="1150"/>
              <w:gridCol w:w="1932"/>
            </w:tblGrid>
            <w:tr w14:paraId="7E5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1C5891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rStyle w:val="23"/>
                      <w:rFonts w:hint="eastAsia" w:ascii="宋体" w:hAnsi="宋体" w:cs="宋体"/>
                      <w:color w:val="auto"/>
                      <w:sz w:val="21"/>
                      <w:szCs w:val="21"/>
                      <w:highlight w:val="none"/>
                      <w:vertAlign w:val="baseline"/>
                      <w:lang w:val="en-US" w:eastAsia="zh-CN"/>
                    </w:rPr>
                    <w:t>序号</w:t>
                  </w:r>
                </w:p>
              </w:tc>
              <w:tc>
                <w:tcPr>
                  <w:tcW w:w="1342" w:type="pct"/>
                  <w:gridSpan w:val="2"/>
                  <w:vAlign w:val="center"/>
                </w:tcPr>
                <w:p w14:paraId="4DC933D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cs="宋体"/>
                      <w:color w:val="auto"/>
                      <w:sz w:val="21"/>
                      <w:szCs w:val="21"/>
                      <w:highlight w:val="none"/>
                      <w:vertAlign w:val="baseline"/>
                      <w:lang w:val="en-US" w:eastAsia="zh-CN"/>
                    </w:rPr>
                  </w:pPr>
                  <w:r>
                    <w:rPr>
                      <w:rStyle w:val="23"/>
                      <w:rFonts w:hint="eastAsia" w:ascii="宋体" w:hAnsi="宋体" w:cs="宋体"/>
                      <w:color w:val="auto"/>
                      <w:sz w:val="21"/>
                      <w:szCs w:val="21"/>
                      <w:highlight w:val="none"/>
                      <w:vertAlign w:val="baseline"/>
                      <w:lang w:val="en-US" w:eastAsia="zh-CN"/>
                    </w:rPr>
                    <w:t>科室</w:t>
                  </w:r>
                </w:p>
              </w:tc>
              <w:tc>
                <w:tcPr>
                  <w:tcW w:w="1978" w:type="pct"/>
                  <w:gridSpan w:val="4"/>
                  <w:vAlign w:val="center"/>
                </w:tcPr>
                <w:p w14:paraId="0AD4EDBD">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sz w:val="24"/>
                    </w:rPr>
                    <w:t>考评档次</w:t>
                  </w:r>
                </w:p>
              </w:tc>
              <w:tc>
                <w:tcPr>
                  <w:tcW w:w="1093" w:type="pct"/>
                  <w:vMerge w:val="restart"/>
                  <w:vAlign w:val="center"/>
                </w:tcPr>
                <w:p w14:paraId="13893BB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rStyle w:val="23"/>
                      <w:rFonts w:hint="eastAsia" w:ascii="宋体" w:hAnsi="宋体" w:eastAsia="宋体" w:cs="宋体"/>
                      <w:color w:val="auto"/>
                      <w:sz w:val="21"/>
                      <w:szCs w:val="21"/>
                      <w:highlight w:val="none"/>
                      <w:vertAlign w:val="baseline"/>
                      <w:lang w:val="en-US" w:eastAsia="zh-CN"/>
                    </w:rPr>
                    <w:t>科室负责人</w:t>
                  </w:r>
                  <w:r>
                    <w:rPr>
                      <w:rStyle w:val="23"/>
                      <w:rFonts w:hint="eastAsia" w:ascii="宋体" w:hAnsi="宋体" w:cs="宋体"/>
                      <w:color w:val="auto"/>
                      <w:sz w:val="21"/>
                      <w:szCs w:val="21"/>
                      <w:highlight w:val="none"/>
                      <w:vertAlign w:val="baseline"/>
                      <w:lang w:val="en-US" w:eastAsia="zh-CN"/>
                    </w:rPr>
                    <w:t>/护士长</w:t>
                  </w:r>
                  <w:r>
                    <w:rPr>
                      <w:rStyle w:val="23"/>
                      <w:rFonts w:hint="eastAsia" w:ascii="宋体" w:hAnsi="宋体" w:eastAsia="宋体" w:cs="宋体"/>
                      <w:color w:val="auto"/>
                      <w:sz w:val="21"/>
                      <w:szCs w:val="21"/>
                      <w:highlight w:val="none"/>
                      <w:vertAlign w:val="baseline"/>
                      <w:lang w:val="en-US" w:eastAsia="zh-CN"/>
                    </w:rPr>
                    <w:t>签名</w:t>
                  </w:r>
                </w:p>
              </w:tc>
            </w:tr>
            <w:tr w14:paraId="76F7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5AC42F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342" w:type="pct"/>
                  <w:gridSpan w:val="2"/>
                  <w:vAlign w:val="center"/>
                </w:tcPr>
                <w:p w14:paraId="6D702AE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79" w:type="pct"/>
                  <w:gridSpan w:val="2"/>
                  <w:vAlign w:val="center"/>
                </w:tcPr>
                <w:p w14:paraId="395F438E">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sz w:val="24"/>
                    </w:rPr>
                    <w:t>满意</w:t>
                  </w:r>
                </w:p>
              </w:tc>
              <w:tc>
                <w:tcPr>
                  <w:tcW w:w="648" w:type="pct"/>
                  <w:vAlign w:val="center"/>
                </w:tcPr>
                <w:p w14:paraId="48CB3ED8">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sz w:val="24"/>
                    </w:rPr>
                    <w:t>一般</w:t>
                  </w:r>
                </w:p>
              </w:tc>
              <w:tc>
                <w:tcPr>
                  <w:tcW w:w="650" w:type="pct"/>
                  <w:vAlign w:val="center"/>
                </w:tcPr>
                <w:p w14:paraId="5DBD7953">
                  <w:pPr>
                    <w:keepNext w:val="0"/>
                    <w:keepLines w:val="0"/>
                    <w:pageBreakBefore w:val="0"/>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r>
                    <w:rPr>
                      <w:sz w:val="24"/>
                    </w:rPr>
                    <w:t>不满意</w:t>
                  </w:r>
                </w:p>
              </w:tc>
              <w:tc>
                <w:tcPr>
                  <w:tcW w:w="1093" w:type="pct"/>
                  <w:vMerge w:val="continue"/>
                  <w:vAlign w:val="center"/>
                </w:tcPr>
                <w:p w14:paraId="1A1DDA1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4897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04C008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1DB009D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2B1CFD6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2BC1128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2A90807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320170D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0DE2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DE6ED91">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2B4AC62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316DFBC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38ACC8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351C47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4B8D1A2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4D89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478EBE40">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503E2F8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2B03C6F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7699A2C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42246E3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33AD3870">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0512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6E02783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55770F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BEF506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768E250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59AECE0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60B3C0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2882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7C67BF59">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36003C1">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6511099">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2BE56FE9">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02CFCAB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3F9EE66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006C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2432EFB6">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49EAF48E">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45B21A3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6E529C2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088D72B9">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3CFD5ED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F2A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5C5A278D">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737060AA">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A4ED4E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5CCE1620">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508B38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3EBB203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560F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35A60C3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1590584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748329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468D4AB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11B2CC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735E12C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790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312DB14">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51ADDEC2">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1C25ED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58E280B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33E17D7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7D111B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602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760BD4D">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4E99DB4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17B085A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4881F70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248D909E">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F4D98E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507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292548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65C4F19F">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16BC84B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364E321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50ECBF8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FFCFD8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6BE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3AA3E6E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329E064A">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2A4F6C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0779D38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2A9A69D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5B0DB1B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64A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FA33816">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67E8141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43C4A53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26C02E9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1A11752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0437709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09DE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701F127D">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94DB1CB">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6301A90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6423D2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4B84224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7A2A7E9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195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46DFAC9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26B219A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EBB662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BEA619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35C6654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44CF359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B3F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2C60A8C8">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28F673FA">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0F0CCA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03DDD03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7B916B4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7C9608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179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4DDDE6B8">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1342" w:type="pct"/>
                  <w:gridSpan w:val="2"/>
                  <w:vAlign w:val="center"/>
                </w:tcPr>
                <w:p w14:paraId="032E99EF">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679" w:type="pct"/>
                  <w:gridSpan w:val="2"/>
                  <w:vAlign w:val="center"/>
                </w:tcPr>
                <w:p w14:paraId="5307FF0E">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4F32939E">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0CC3ED5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09DBAF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208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0217BB4">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1342" w:type="pct"/>
                  <w:gridSpan w:val="2"/>
                  <w:vAlign w:val="center"/>
                </w:tcPr>
                <w:p w14:paraId="3D4F8177">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679" w:type="pct"/>
                  <w:gridSpan w:val="2"/>
                  <w:vAlign w:val="center"/>
                </w:tcPr>
                <w:p w14:paraId="55A680A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384CDD8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2E704E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F795DA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706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B25E022">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1342" w:type="pct"/>
                  <w:gridSpan w:val="2"/>
                  <w:vAlign w:val="center"/>
                </w:tcPr>
                <w:p w14:paraId="52A64C0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679" w:type="pct"/>
                  <w:gridSpan w:val="2"/>
                  <w:vAlign w:val="center"/>
                </w:tcPr>
                <w:p w14:paraId="31436D8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26E1F5A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3099D99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4B3F79A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3D0D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3A78B0A">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1342" w:type="pct"/>
                  <w:gridSpan w:val="2"/>
                  <w:vAlign w:val="center"/>
                </w:tcPr>
                <w:p w14:paraId="147DEB0D">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cs="宋体"/>
                      <w:color w:val="auto"/>
                      <w:sz w:val="19"/>
                      <w:szCs w:val="19"/>
                      <w:highlight w:val="none"/>
                      <w:vertAlign w:val="baseline"/>
                      <w:lang w:val="en-US" w:eastAsia="zh-CN"/>
                    </w:rPr>
                  </w:pPr>
                </w:p>
              </w:tc>
              <w:tc>
                <w:tcPr>
                  <w:tcW w:w="679" w:type="pct"/>
                  <w:gridSpan w:val="2"/>
                  <w:vAlign w:val="center"/>
                </w:tcPr>
                <w:p w14:paraId="7418194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09B3B3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454CE7B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2AF8BC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06E4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06961D1">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654FF2B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60072BF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53AEE2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4F4F6CE0">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51527CD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2427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44F72AFF">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95401CB">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5273750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7B167E4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BC82DE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BA5676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76C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12F24EC5">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58BE57B3">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07631BD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C919EBC">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39F627E4">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044B8A8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208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2FEA8347">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38965F6F">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3085AF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6ECA11E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733C16B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2C0C0475">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560E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2F24B596">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3FEF8867">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11AB5E8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7C47E0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73E32EB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7FD1427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6155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412220EA">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588883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8E02DD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31C2442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12BAF2C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4155C5B0">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4873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220A09F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3E4DC5B4">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3F8BCC89">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B15545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5A7FDDA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0F365B2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021E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834D91E">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7516B91B">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42ECE19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5FA6978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7A1F685A">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46D13B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159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082BB906">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3F516AE">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7E1C506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0C2E4769">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6DDBFE8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122256A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1B68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32A5C40F">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4B01E6A0">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57B6B502">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1266741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0A4C144B">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423AA9E6">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72C3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85" w:type="pct"/>
                  <w:vAlign w:val="center"/>
                </w:tcPr>
                <w:p w14:paraId="3FD3D599">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1342" w:type="pct"/>
                  <w:gridSpan w:val="2"/>
                  <w:vAlign w:val="center"/>
                </w:tcPr>
                <w:p w14:paraId="0F890CC7">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19"/>
                      <w:szCs w:val="19"/>
                      <w:highlight w:val="none"/>
                      <w:vertAlign w:val="baseline"/>
                      <w:lang w:val="en-US" w:eastAsia="zh-CN"/>
                    </w:rPr>
                  </w:pPr>
                </w:p>
              </w:tc>
              <w:tc>
                <w:tcPr>
                  <w:tcW w:w="679" w:type="pct"/>
                  <w:gridSpan w:val="2"/>
                  <w:vAlign w:val="center"/>
                </w:tcPr>
                <w:p w14:paraId="66249768">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48" w:type="pct"/>
                  <w:vAlign w:val="center"/>
                </w:tcPr>
                <w:p w14:paraId="7AED2767">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650" w:type="pct"/>
                  <w:vAlign w:val="center"/>
                </w:tcPr>
                <w:p w14:paraId="1ECE475E">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c>
                <w:tcPr>
                  <w:tcW w:w="1093" w:type="pct"/>
                  <w:vAlign w:val="center"/>
                </w:tcPr>
                <w:p w14:paraId="684AED93">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1"/>
                      <w:szCs w:val="21"/>
                      <w:highlight w:val="none"/>
                      <w:vertAlign w:val="baseline"/>
                      <w:lang w:val="en-US" w:eastAsia="zh-CN"/>
                    </w:rPr>
                  </w:pPr>
                </w:p>
              </w:tc>
            </w:tr>
            <w:tr w14:paraId="326E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61" w:type="pct"/>
                  <w:gridSpan w:val="2"/>
                  <w:vMerge w:val="restart"/>
                  <w:vAlign w:val="center"/>
                </w:tcPr>
                <w:p w14:paraId="4A1C2579">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24"/>
                      <w:szCs w:val="24"/>
                      <w:highlight w:val="none"/>
                      <w:vertAlign w:val="baseline"/>
                      <w:lang w:val="en-US" w:eastAsia="zh-CN"/>
                    </w:rPr>
                  </w:pPr>
                  <w:r>
                    <w:rPr>
                      <w:rStyle w:val="23"/>
                      <w:rFonts w:hint="eastAsia" w:ascii="宋体" w:hAnsi="宋体" w:cs="宋体"/>
                      <w:color w:val="auto"/>
                      <w:sz w:val="24"/>
                      <w:szCs w:val="24"/>
                      <w:highlight w:val="none"/>
                      <w:vertAlign w:val="baseline"/>
                      <w:lang w:val="en-US" w:eastAsia="zh-CN"/>
                    </w:rPr>
                    <w:t>说明</w:t>
                  </w:r>
                </w:p>
              </w:tc>
              <w:tc>
                <w:tcPr>
                  <w:tcW w:w="4338" w:type="pct"/>
                  <w:gridSpan w:val="6"/>
                  <w:vAlign w:val="center"/>
                </w:tcPr>
                <w:p w14:paraId="1DE9C3D5">
                  <w:pPr>
                    <w:keepNext w:val="0"/>
                    <w:keepLines w:val="0"/>
                    <w:pageBreakBefore w:val="0"/>
                    <w:widowControl w:val="0"/>
                    <w:numPr>
                      <w:ilvl w:val="0"/>
                      <w:numId w:val="7"/>
                    </w:numPr>
                    <w:kinsoku/>
                    <w:wordWrap/>
                    <w:overflowPunct/>
                    <w:topLinePunct w:val="0"/>
                    <w:autoSpaceDE/>
                    <w:autoSpaceDN/>
                    <w:bidi w:val="0"/>
                    <w:adjustRightInd/>
                    <w:spacing w:line="360" w:lineRule="exact"/>
                    <w:ind w:firstLine="0" w:firstLineChars="0"/>
                    <w:jc w:val="left"/>
                    <w:textAlignment w:val="auto"/>
                    <w:rPr>
                      <w:rStyle w:val="23"/>
                      <w:rFonts w:hint="eastAsia" w:ascii="宋体" w:hAnsi="宋体" w:eastAsia="宋体" w:cs="宋体"/>
                      <w:color w:val="auto"/>
                      <w:sz w:val="24"/>
                      <w:szCs w:val="24"/>
                      <w:highlight w:val="none"/>
                      <w:vertAlign w:val="baseline"/>
                      <w:lang w:val="en-US" w:eastAsia="zh-CN"/>
                    </w:rPr>
                  </w:pPr>
                  <w:r>
                    <w:rPr>
                      <w:sz w:val="24"/>
                      <w:szCs w:val="24"/>
                    </w:rPr>
                    <w:t>请您对科室整体</w:t>
                  </w:r>
                  <w:r>
                    <w:rPr>
                      <w:rFonts w:hint="eastAsia"/>
                      <w:sz w:val="24"/>
                      <w:szCs w:val="24"/>
                      <w:lang w:eastAsia="zh-CN"/>
                    </w:rPr>
                    <w:t>除四害</w:t>
                  </w:r>
                  <w:r>
                    <w:rPr>
                      <w:sz w:val="24"/>
                      <w:szCs w:val="24"/>
                    </w:rPr>
                    <w:t>工作进行综合评定，在考评档次栏下方</w:t>
                  </w:r>
                  <w:r>
                    <w:rPr>
                      <w:rStyle w:val="23"/>
                      <w:rFonts w:hint="eastAsia" w:ascii="宋体" w:hAnsi="宋体" w:eastAsia="宋体" w:cs="宋体"/>
                      <w:color w:val="auto"/>
                      <w:sz w:val="24"/>
                      <w:szCs w:val="24"/>
                      <w:highlight w:val="none"/>
                      <w:vertAlign w:val="baseline"/>
                      <w:lang w:val="en-US" w:eastAsia="zh-CN"/>
                    </w:rPr>
                    <w:t>在相应的方格内打“</w:t>
                  </w:r>
                  <w:r>
                    <w:rPr>
                      <w:rStyle w:val="23"/>
                      <w:rFonts w:hint="default" w:ascii="Arial" w:hAnsi="Arial" w:eastAsia="宋体" w:cs="Arial"/>
                      <w:color w:val="auto"/>
                      <w:sz w:val="24"/>
                      <w:szCs w:val="24"/>
                      <w:highlight w:val="none"/>
                      <w:vertAlign w:val="baseline"/>
                      <w:lang w:val="en-US" w:eastAsia="zh-CN"/>
                    </w:rPr>
                    <w:t>√</w:t>
                  </w:r>
                  <w:r>
                    <w:rPr>
                      <w:rStyle w:val="23"/>
                      <w:rFonts w:hint="eastAsia" w:ascii="宋体" w:hAnsi="宋体" w:eastAsia="宋体" w:cs="宋体"/>
                      <w:color w:val="auto"/>
                      <w:sz w:val="24"/>
                      <w:szCs w:val="24"/>
                      <w:highlight w:val="none"/>
                      <w:vertAlign w:val="baseline"/>
                      <w:lang w:val="en-US" w:eastAsia="zh-CN"/>
                    </w:rPr>
                    <w:t>”</w:t>
                  </w:r>
                  <w:r>
                    <w:rPr>
                      <w:rStyle w:val="23"/>
                      <w:rFonts w:hint="eastAsia" w:ascii="宋体" w:hAnsi="宋体" w:cs="宋体"/>
                      <w:color w:val="auto"/>
                      <w:sz w:val="24"/>
                      <w:szCs w:val="24"/>
                      <w:highlight w:val="none"/>
                      <w:vertAlign w:val="baseline"/>
                      <w:lang w:val="en-US" w:eastAsia="zh-CN"/>
                    </w:rPr>
                    <w:t>。</w:t>
                  </w:r>
                </w:p>
              </w:tc>
            </w:tr>
            <w:tr w14:paraId="263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1" w:type="pct"/>
                  <w:gridSpan w:val="2"/>
                  <w:vMerge w:val="continue"/>
                  <w:vAlign w:val="center"/>
                </w:tcPr>
                <w:p w14:paraId="6B44CE8B">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24"/>
                      <w:szCs w:val="24"/>
                      <w:highlight w:val="none"/>
                      <w:vertAlign w:val="baseline"/>
                      <w:lang w:val="en-US" w:eastAsia="zh-CN"/>
                    </w:rPr>
                  </w:pPr>
                </w:p>
              </w:tc>
              <w:tc>
                <w:tcPr>
                  <w:tcW w:w="1335" w:type="pct"/>
                  <w:gridSpan w:val="2"/>
                  <w:vMerge w:val="restart"/>
                  <w:vAlign w:val="center"/>
                </w:tcPr>
                <w:p w14:paraId="34A1C7CE">
                  <w:pPr>
                    <w:keepNext w:val="0"/>
                    <w:keepLines w:val="0"/>
                    <w:pageBreakBefore w:val="0"/>
                    <w:widowControl w:val="0"/>
                    <w:numPr>
                      <w:ilvl w:val="0"/>
                      <w:numId w:val="7"/>
                    </w:numPr>
                    <w:kinsoku/>
                    <w:wordWrap/>
                    <w:overflowPunct/>
                    <w:topLinePunct w:val="0"/>
                    <w:autoSpaceDE/>
                    <w:autoSpaceDN/>
                    <w:bidi w:val="0"/>
                    <w:adjustRightInd/>
                    <w:spacing w:line="360" w:lineRule="exact"/>
                    <w:ind w:left="0" w:leftChars="0" w:firstLine="0" w:firstLineChars="0"/>
                    <w:jc w:val="both"/>
                    <w:textAlignment w:val="auto"/>
                    <w:rPr>
                      <w:rStyle w:val="23"/>
                      <w:rFonts w:hint="eastAsia" w:ascii="宋体" w:hAnsi="宋体" w:eastAsia="宋体" w:cs="宋体"/>
                      <w:color w:val="auto"/>
                      <w:sz w:val="24"/>
                      <w:szCs w:val="24"/>
                      <w:highlight w:val="none"/>
                      <w:vertAlign w:val="baseline"/>
                      <w:lang w:val="en-US" w:eastAsia="zh-CN"/>
                    </w:rPr>
                  </w:pPr>
                  <w:r>
                    <w:rPr>
                      <w:sz w:val="24"/>
                      <w:szCs w:val="24"/>
                    </w:rPr>
                    <w:t>如评价为一般、不满意，请</w:t>
                  </w:r>
                  <w:r>
                    <w:rPr>
                      <w:rFonts w:hint="eastAsia"/>
                      <w:sz w:val="24"/>
                      <w:szCs w:val="24"/>
                      <w:lang w:eastAsia="zh-CN"/>
                    </w:rPr>
                    <w:t>“在右边格内”</w:t>
                  </w:r>
                  <w:r>
                    <w:rPr>
                      <w:sz w:val="24"/>
                      <w:szCs w:val="24"/>
                    </w:rPr>
                    <w:t>提出</w:t>
                  </w:r>
                  <w:r>
                    <w:rPr>
                      <w:rFonts w:hint="eastAsia"/>
                      <w:sz w:val="24"/>
                      <w:szCs w:val="24"/>
                      <w:lang w:eastAsia="zh-CN"/>
                    </w:rPr>
                    <w:t>您</w:t>
                  </w:r>
                  <w:r>
                    <w:rPr>
                      <w:sz w:val="24"/>
                      <w:szCs w:val="24"/>
                    </w:rPr>
                    <w:t>宝贵意见，说明不足之处，以便改进工作。</w:t>
                  </w:r>
                  <w:r>
                    <w:rPr>
                      <w:rFonts w:hint="eastAsia"/>
                      <w:sz w:val="24"/>
                      <w:szCs w:val="24"/>
                      <w:lang w:eastAsia="zh-CN"/>
                    </w:rPr>
                    <w:t>如表格不够填写的，可以另行用</w:t>
                  </w:r>
                  <w:r>
                    <w:rPr>
                      <w:rFonts w:hint="eastAsia"/>
                      <w:sz w:val="24"/>
                      <w:szCs w:val="24"/>
                      <w:lang w:val="en-US" w:eastAsia="zh-CN"/>
                    </w:rPr>
                    <w:t>A4纸写后签名附在后面。</w:t>
                  </w:r>
                </w:p>
              </w:tc>
              <w:tc>
                <w:tcPr>
                  <w:tcW w:w="3002" w:type="pct"/>
                  <w:gridSpan w:val="4"/>
                  <w:vAlign w:val="top"/>
                </w:tcPr>
                <w:p w14:paraId="3E11502F">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center"/>
                    <w:textAlignment w:val="auto"/>
                    <w:rPr>
                      <w:rStyle w:val="23"/>
                      <w:rFonts w:hint="eastAsia" w:ascii="宋体" w:hAnsi="宋体" w:eastAsia="宋体" w:cs="宋体"/>
                      <w:color w:val="auto"/>
                      <w:sz w:val="24"/>
                      <w:szCs w:val="24"/>
                      <w:highlight w:val="none"/>
                      <w:vertAlign w:val="baseline"/>
                      <w:lang w:val="en-US" w:eastAsia="zh-CN"/>
                    </w:rPr>
                  </w:pPr>
                  <w:r>
                    <w:rPr>
                      <w:rStyle w:val="23"/>
                      <w:rFonts w:hint="eastAsia" w:ascii="宋体" w:hAnsi="宋体" w:cs="宋体"/>
                      <w:color w:val="auto"/>
                      <w:sz w:val="24"/>
                      <w:szCs w:val="24"/>
                      <w:highlight w:val="none"/>
                      <w:vertAlign w:val="baseline"/>
                      <w:lang w:val="en-US" w:eastAsia="zh-CN"/>
                    </w:rPr>
                    <w:t>科室意见</w:t>
                  </w:r>
                </w:p>
              </w:tc>
            </w:tr>
            <w:tr w14:paraId="6ECE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61" w:type="pct"/>
                  <w:gridSpan w:val="2"/>
                  <w:vMerge w:val="continue"/>
                  <w:vAlign w:val="center"/>
                </w:tcPr>
                <w:p w14:paraId="7893A2C2">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1335" w:type="pct"/>
                  <w:gridSpan w:val="2"/>
                  <w:vMerge w:val="continue"/>
                  <w:vAlign w:val="center"/>
                </w:tcPr>
                <w:p w14:paraId="141E20E2">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3002" w:type="pct"/>
                  <w:gridSpan w:val="4"/>
                  <w:vAlign w:val="top"/>
                </w:tcPr>
                <w:p w14:paraId="6B1F2991">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both"/>
                    <w:textAlignment w:val="auto"/>
                    <w:rPr>
                      <w:rStyle w:val="23"/>
                      <w:rFonts w:hint="eastAsia" w:ascii="宋体" w:hAnsi="宋体" w:cs="宋体"/>
                      <w:color w:val="auto"/>
                      <w:sz w:val="24"/>
                      <w:szCs w:val="24"/>
                      <w:highlight w:val="none"/>
                      <w:vertAlign w:val="baseline"/>
                      <w:lang w:val="en-US" w:eastAsia="zh-CN"/>
                    </w:rPr>
                  </w:pPr>
                </w:p>
              </w:tc>
            </w:tr>
            <w:tr w14:paraId="4BF1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61" w:type="pct"/>
                  <w:gridSpan w:val="2"/>
                  <w:vMerge w:val="continue"/>
                  <w:vAlign w:val="center"/>
                </w:tcPr>
                <w:p w14:paraId="679A97DC">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1335" w:type="pct"/>
                  <w:gridSpan w:val="2"/>
                  <w:vMerge w:val="continue"/>
                  <w:vAlign w:val="center"/>
                </w:tcPr>
                <w:p w14:paraId="41CBA37A">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3002" w:type="pct"/>
                  <w:gridSpan w:val="4"/>
                  <w:vAlign w:val="top"/>
                </w:tcPr>
                <w:p w14:paraId="6CBB5730">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both"/>
                    <w:textAlignment w:val="auto"/>
                  </w:pPr>
                </w:p>
              </w:tc>
            </w:tr>
            <w:tr w14:paraId="323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661" w:type="pct"/>
                  <w:gridSpan w:val="2"/>
                  <w:vMerge w:val="continue"/>
                  <w:vAlign w:val="center"/>
                </w:tcPr>
                <w:p w14:paraId="1E998A58">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1335" w:type="pct"/>
                  <w:gridSpan w:val="2"/>
                  <w:vMerge w:val="continue"/>
                  <w:vAlign w:val="center"/>
                </w:tcPr>
                <w:p w14:paraId="2C93D914">
                  <w:pPr>
                    <w:keepNext w:val="0"/>
                    <w:keepLines w:val="0"/>
                    <w:pageBreakBefore w:val="0"/>
                    <w:widowControl w:val="0"/>
                    <w:kinsoku/>
                    <w:wordWrap/>
                    <w:overflowPunct/>
                    <w:topLinePunct w:val="0"/>
                    <w:autoSpaceDE/>
                    <w:autoSpaceDN/>
                    <w:bidi w:val="0"/>
                    <w:adjustRightInd/>
                    <w:spacing w:line="360" w:lineRule="exact"/>
                    <w:ind w:firstLine="0" w:firstLineChars="0"/>
                    <w:jc w:val="both"/>
                    <w:textAlignment w:val="auto"/>
                  </w:pPr>
                </w:p>
              </w:tc>
              <w:tc>
                <w:tcPr>
                  <w:tcW w:w="3002" w:type="pct"/>
                  <w:gridSpan w:val="4"/>
                  <w:vAlign w:val="top"/>
                </w:tcPr>
                <w:p w14:paraId="3261D03D">
                  <w:pPr>
                    <w:keepNext w:val="0"/>
                    <w:keepLines w:val="0"/>
                    <w:pageBreakBefore w:val="0"/>
                    <w:widowControl w:val="0"/>
                    <w:numPr>
                      <w:ilvl w:val="0"/>
                      <w:numId w:val="0"/>
                    </w:numPr>
                    <w:kinsoku/>
                    <w:wordWrap/>
                    <w:overflowPunct/>
                    <w:topLinePunct w:val="0"/>
                    <w:autoSpaceDE/>
                    <w:autoSpaceDN/>
                    <w:bidi w:val="0"/>
                    <w:adjustRightInd/>
                    <w:spacing w:line="360" w:lineRule="exact"/>
                    <w:ind w:firstLine="0" w:firstLineChars="0"/>
                    <w:jc w:val="both"/>
                    <w:textAlignment w:val="auto"/>
                  </w:pPr>
                </w:p>
              </w:tc>
            </w:tr>
            <w:tr w14:paraId="390C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661" w:type="pct"/>
                  <w:gridSpan w:val="2"/>
                  <w:vMerge w:val="continue"/>
                  <w:vAlign w:val="center"/>
                </w:tcPr>
                <w:p w14:paraId="1989AD9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0" w:firstLineChars="0"/>
                    <w:jc w:val="center"/>
                    <w:textAlignment w:val="auto"/>
                    <w:rPr>
                      <w:rStyle w:val="23"/>
                      <w:rFonts w:hint="eastAsia" w:ascii="宋体" w:hAnsi="宋体" w:eastAsia="宋体" w:cs="宋体"/>
                      <w:color w:val="auto"/>
                      <w:sz w:val="24"/>
                      <w:szCs w:val="24"/>
                      <w:highlight w:val="none"/>
                      <w:vertAlign w:val="baseline"/>
                      <w:lang w:val="en-US" w:eastAsia="zh-CN"/>
                    </w:rPr>
                  </w:pPr>
                </w:p>
              </w:tc>
              <w:tc>
                <w:tcPr>
                  <w:tcW w:w="4338" w:type="pct"/>
                  <w:gridSpan w:val="6"/>
                  <w:vAlign w:val="top"/>
                </w:tcPr>
                <w:p w14:paraId="16520C78">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sz w:val="24"/>
                      <w:szCs w:val="24"/>
                    </w:rPr>
                  </w:pPr>
                  <w:r>
                    <w:rPr>
                      <w:sz w:val="24"/>
                      <w:szCs w:val="24"/>
                    </w:rPr>
                    <w:t>3.科室满意度调查结果与扣罚分值换算标准如下：</w:t>
                  </w:r>
                </w:p>
                <w:p w14:paraId="09DA50CC">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sz w:val="24"/>
                      <w:szCs w:val="24"/>
                    </w:rPr>
                  </w:pPr>
                  <w:r>
                    <w:rPr>
                      <w:sz w:val="24"/>
                      <w:szCs w:val="24"/>
                    </w:rPr>
                    <w:t>（1）“满意”不需扣罚。</w:t>
                  </w:r>
                </w:p>
                <w:p w14:paraId="4D638D45">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sz w:val="24"/>
                      <w:szCs w:val="24"/>
                    </w:rPr>
                  </w:pPr>
                  <w:r>
                    <w:rPr>
                      <w:sz w:val="24"/>
                      <w:szCs w:val="24"/>
                    </w:rPr>
                    <w:t>（2）一个“一般”，扣0.1分。</w:t>
                  </w:r>
                </w:p>
                <w:p w14:paraId="625B94E8">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sz w:val="24"/>
                      <w:szCs w:val="24"/>
                    </w:rPr>
                  </w:pPr>
                  <w:r>
                    <w:rPr>
                      <w:sz w:val="24"/>
                      <w:szCs w:val="24"/>
                    </w:rPr>
                    <w:t>（3）一个“不满意”，扣0.5分。</w:t>
                  </w:r>
                </w:p>
                <w:p w14:paraId="7A686DF7">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sz w:val="24"/>
                      <w:szCs w:val="24"/>
                    </w:rPr>
                  </w:pPr>
                  <w:r>
                    <w:rPr>
                      <w:rFonts w:hint="eastAsia"/>
                      <w:sz w:val="24"/>
                      <w:szCs w:val="24"/>
                      <w:lang w:val="en-US" w:eastAsia="zh-CN"/>
                    </w:rPr>
                    <w:t>4.</w:t>
                  </w:r>
                  <w:r>
                    <w:rPr>
                      <w:sz w:val="24"/>
                      <w:szCs w:val="24"/>
                    </w:rPr>
                    <w:t>运用具体如下：</w:t>
                  </w:r>
                </w:p>
                <w:p w14:paraId="22ECAF02">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sz w:val="24"/>
                      <w:szCs w:val="24"/>
                      <w:lang w:eastAsia="zh-CN"/>
                    </w:rPr>
                  </w:pPr>
                  <w:r>
                    <w:rPr>
                      <w:rFonts w:hint="eastAsia"/>
                      <w:sz w:val="24"/>
                      <w:szCs w:val="24"/>
                      <w:lang w:eastAsia="zh-CN"/>
                    </w:rPr>
                    <w:t>（1）分值≥95分，不扣罚当月服务费用；</w:t>
                  </w:r>
                </w:p>
                <w:p w14:paraId="4FDB1007">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sz w:val="24"/>
                      <w:szCs w:val="24"/>
                      <w:lang w:eastAsia="zh-CN"/>
                    </w:rPr>
                  </w:pPr>
                  <w:r>
                    <w:rPr>
                      <w:rFonts w:hint="eastAsia"/>
                      <w:sz w:val="24"/>
                      <w:szCs w:val="24"/>
                      <w:lang w:eastAsia="zh-CN"/>
                    </w:rPr>
                    <w:t>（2）90≤分值＜95分，每扣1分对应扣罚当月服务费</w:t>
                  </w:r>
                  <w:r>
                    <w:rPr>
                      <w:rFonts w:hint="eastAsia"/>
                      <w:sz w:val="24"/>
                      <w:szCs w:val="24"/>
                      <w:lang w:val="en-US" w:eastAsia="zh-CN"/>
                    </w:rPr>
                    <w:t>2</w:t>
                  </w:r>
                  <w:r>
                    <w:rPr>
                      <w:rFonts w:hint="eastAsia"/>
                      <w:sz w:val="24"/>
                      <w:szCs w:val="24"/>
                      <w:lang w:eastAsia="zh-CN"/>
                    </w:rPr>
                    <w:t>00元；列举：某月得分92分，扣罚</w:t>
                  </w:r>
                  <w:r>
                    <w:rPr>
                      <w:rFonts w:hint="eastAsia"/>
                      <w:sz w:val="24"/>
                      <w:szCs w:val="24"/>
                      <w:lang w:val="en-US" w:eastAsia="zh-CN"/>
                    </w:rPr>
                    <w:t>2</w:t>
                  </w:r>
                  <w:r>
                    <w:rPr>
                      <w:rFonts w:hint="eastAsia"/>
                      <w:sz w:val="24"/>
                      <w:szCs w:val="24"/>
                      <w:lang w:eastAsia="zh-CN"/>
                    </w:rPr>
                    <w:t>00元×（100分－92分）＝</w:t>
                  </w:r>
                  <w:r>
                    <w:rPr>
                      <w:rFonts w:hint="eastAsia"/>
                      <w:sz w:val="24"/>
                      <w:szCs w:val="24"/>
                      <w:lang w:val="en-US" w:eastAsia="zh-CN"/>
                    </w:rPr>
                    <w:t>16</w:t>
                  </w:r>
                  <w:r>
                    <w:rPr>
                      <w:rFonts w:hint="eastAsia"/>
                      <w:sz w:val="24"/>
                      <w:szCs w:val="24"/>
                      <w:lang w:eastAsia="zh-CN"/>
                    </w:rPr>
                    <w:t>00元；</w:t>
                  </w:r>
                </w:p>
                <w:p w14:paraId="512F2874">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sz w:val="24"/>
                      <w:szCs w:val="24"/>
                      <w:lang w:eastAsia="zh-CN"/>
                    </w:rPr>
                  </w:pPr>
                  <w:r>
                    <w:rPr>
                      <w:rFonts w:hint="eastAsia"/>
                      <w:sz w:val="24"/>
                      <w:szCs w:val="24"/>
                      <w:lang w:eastAsia="zh-CN"/>
                    </w:rPr>
                    <w:t>（3）85分≤分值＜90分，每扣1分对应扣罚当月服务费</w:t>
                  </w:r>
                  <w:r>
                    <w:rPr>
                      <w:rFonts w:hint="eastAsia"/>
                      <w:sz w:val="24"/>
                      <w:szCs w:val="24"/>
                      <w:lang w:val="en-US" w:eastAsia="zh-CN"/>
                    </w:rPr>
                    <w:t>5</w:t>
                  </w:r>
                  <w:r>
                    <w:rPr>
                      <w:rFonts w:hint="eastAsia"/>
                      <w:sz w:val="24"/>
                      <w:szCs w:val="24"/>
                      <w:lang w:eastAsia="zh-CN"/>
                    </w:rPr>
                    <w:t>00元；列举：某月得分87分，扣罚</w:t>
                  </w:r>
                  <w:r>
                    <w:rPr>
                      <w:rFonts w:hint="eastAsia"/>
                      <w:sz w:val="24"/>
                      <w:szCs w:val="24"/>
                      <w:lang w:val="en-US" w:eastAsia="zh-CN"/>
                    </w:rPr>
                    <w:t>5</w:t>
                  </w:r>
                  <w:r>
                    <w:rPr>
                      <w:rFonts w:hint="eastAsia"/>
                      <w:sz w:val="24"/>
                      <w:szCs w:val="24"/>
                      <w:lang w:eastAsia="zh-CN"/>
                    </w:rPr>
                    <w:t>00元×（100分－87分）＝</w:t>
                  </w:r>
                  <w:r>
                    <w:rPr>
                      <w:rFonts w:hint="eastAsia"/>
                      <w:sz w:val="24"/>
                      <w:szCs w:val="24"/>
                      <w:lang w:val="en-US" w:eastAsia="zh-CN"/>
                    </w:rPr>
                    <w:t>65</w:t>
                  </w:r>
                  <w:r>
                    <w:rPr>
                      <w:rFonts w:hint="eastAsia"/>
                      <w:sz w:val="24"/>
                      <w:szCs w:val="24"/>
                      <w:lang w:eastAsia="zh-CN"/>
                    </w:rPr>
                    <w:t>00元；合同期内，累计五个月的，采购人有权单方面解除合同。</w:t>
                  </w:r>
                </w:p>
                <w:p w14:paraId="238579E8">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sz w:val="24"/>
                      <w:szCs w:val="24"/>
                      <w:lang w:eastAsia="zh-CN"/>
                    </w:rPr>
                  </w:pPr>
                  <w:r>
                    <w:rPr>
                      <w:rFonts w:hint="eastAsia"/>
                      <w:sz w:val="24"/>
                      <w:szCs w:val="24"/>
                      <w:lang w:eastAsia="zh-CN"/>
                    </w:rPr>
                    <w:t>（4）70分≤分值＜85分，每扣1分对应扣罚当月服务费</w:t>
                  </w:r>
                  <w:r>
                    <w:rPr>
                      <w:rFonts w:hint="eastAsia"/>
                      <w:sz w:val="24"/>
                      <w:szCs w:val="24"/>
                      <w:lang w:val="en-US" w:eastAsia="zh-CN"/>
                    </w:rPr>
                    <w:t>8</w:t>
                  </w:r>
                  <w:r>
                    <w:rPr>
                      <w:rFonts w:hint="eastAsia"/>
                      <w:sz w:val="24"/>
                      <w:szCs w:val="24"/>
                      <w:lang w:eastAsia="zh-CN"/>
                    </w:rPr>
                    <w:t>00元；列举：某月得分80分，扣罚</w:t>
                  </w:r>
                  <w:r>
                    <w:rPr>
                      <w:rFonts w:hint="eastAsia"/>
                      <w:sz w:val="24"/>
                      <w:szCs w:val="24"/>
                      <w:lang w:val="en-US" w:eastAsia="zh-CN"/>
                    </w:rPr>
                    <w:t>8</w:t>
                  </w:r>
                  <w:r>
                    <w:rPr>
                      <w:rFonts w:hint="eastAsia"/>
                      <w:sz w:val="24"/>
                      <w:szCs w:val="24"/>
                      <w:lang w:eastAsia="zh-CN"/>
                    </w:rPr>
                    <w:t>00元×（100分－80分）＝</w:t>
                  </w:r>
                  <w:r>
                    <w:rPr>
                      <w:rFonts w:hint="eastAsia"/>
                      <w:sz w:val="24"/>
                      <w:szCs w:val="24"/>
                      <w:lang w:val="en-US" w:eastAsia="zh-CN"/>
                    </w:rPr>
                    <w:t>16</w:t>
                  </w:r>
                  <w:r>
                    <w:rPr>
                      <w:rFonts w:hint="eastAsia"/>
                      <w:sz w:val="24"/>
                      <w:szCs w:val="24"/>
                      <w:lang w:eastAsia="zh-CN"/>
                    </w:rPr>
                    <w:t>000元；合同期内，累计四个月或连续三个月的，采购人有权单方面解除合同。</w:t>
                  </w:r>
                </w:p>
                <w:p w14:paraId="60290E07">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sz w:val="24"/>
                      <w:szCs w:val="24"/>
                      <w:lang w:val="en-US" w:eastAsia="zh-CN"/>
                    </w:rPr>
                  </w:pPr>
                  <w:r>
                    <w:rPr>
                      <w:rFonts w:hint="eastAsia"/>
                      <w:sz w:val="24"/>
                      <w:szCs w:val="24"/>
                      <w:lang w:eastAsia="zh-CN"/>
                    </w:rPr>
                    <w:t>（5）分值＜70分，直接扣罚当月服务费用。合同期内，累计两个月的，采购人有权单方面解除合同。</w:t>
                  </w:r>
                </w:p>
                <w:p w14:paraId="309562A6">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Style w:val="23"/>
                      <w:rFonts w:hint="eastAsia" w:ascii="宋体" w:hAnsi="宋体" w:eastAsia="宋体" w:cs="宋体"/>
                      <w:color w:val="auto"/>
                      <w:sz w:val="24"/>
                      <w:szCs w:val="24"/>
                      <w:highlight w:val="none"/>
                      <w:vertAlign w:val="baseline"/>
                      <w:lang w:val="en-US" w:eastAsia="zh-CN"/>
                    </w:rPr>
                  </w:pPr>
                  <w:r>
                    <w:rPr>
                      <w:rFonts w:hint="eastAsia"/>
                      <w:sz w:val="24"/>
                      <w:szCs w:val="24"/>
                      <w:lang w:eastAsia="zh-CN"/>
                    </w:rPr>
                    <w:t>备注，所有扣罚款总金额不超过当月服务费用。</w:t>
                  </w:r>
                </w:p>
              </w:tc>
            </w:tr>
          </w:tbl>
          <w:p w14:paraId="6DB2BFA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b/>
                <w:bCs/>
                <w:sz w:val="32"/>
                <w:szCs w:val="32"/>
                <w:lang w:eastAsia="zh-CN"/>
              </w:rPr>
            </w:pPr>
          </w:p>
          <w:p w14:paraId="6545446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both"/>
              <w:textAlignment w:val="auto"/>
              <w:rPr>
                <w:rFonts w:hint="eastAsia"/>
                <w:sz w:val="24"/>
                <w:lang w:eastAsia="zh-CN"/>
              </w:rPr>
            </w:pPr>
            <w:r>
              <w:rPr>
                <w:rFonts w:hint="eastAsia"/>
                <w:b/>
                <w:bCs/>
                <w:sz w:val="32"/>
                <w:szCs w:val="32"/>
                <w:lang w:val="en-US" w:eastAsia="zh-CN"/>
              </w:rPr>
              <w:t xml:space="preserve"> </w:t>
            </w:r>
            <w:r>
              <w:rPr>
                <w:rFonts w:hint="eastAsia"/>
                <w:sz w:val="24"/>
                <w:lang w:eastAsia="zh-CN"/>
              </w:rPr>
              <w:t>第二部分：</w:t>
            </w:r>
            <w:r>
              <w:rPr>
                <w:rFonts w:hint="eastAsia"/>
                <w:sz w:val="24"/>
                <w:lang w:val="en-US" w:eastAsia="zh-CN"/>
              </w:rPr>
              <w:t>后勤综合保障服务项目</w:t>
            </w:r>
            <w:r>
              <w:rPr>
                <w:rFonts w:hint="eastAsia"/>
                <w:sz w:val="24"/>
                <w:lang w:eastAsia="zh-CN"/>
              </w:rPr>
              <w:t>考评表</w:t>
            </w:r>
          </w:p>
          <w:p w14:paraId="7A94A33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36"/>
                <w:szCs w:val="36"/>
                <w:lang w:val="en-US" w:eastAsia="zh-CN"/>
              </w:rPr>
            </w:pPr>
            <w:r>
              <w:rPr>
                <w:rFonts w:hint="eastAsia"/>
                <w:b/>
                <w:bCs/>
                <w:sz w:val="36"/>
                <w:szCs w:val="36"/>
                <w:lang w:val="en-US" w:eastAsia="zh-CN"/>
              </w:rPr>
              <w:t>广州医科大学附属市八医院</w:t>
            </w:r>
          </w:p>
          <w:p w14:paraId="05496BB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36"/>
                <w:szCs w:val="36"/>
                <w:lang w:eastAsia="zh-CN"/>
              </w:rPr>
            </w:pPr>
            <w:r>
              <w:rPr>
                <w:rFonts w:hint="eastAsia"/>
                <w:b/>
                <w:bCs/>
                <w:sz w:val="36"/>
                <w:szCs w:val="36"/>
                <w:u w:val="single"/>
                <w:lang w:val="en-US" w:eastAsia="zh-CN"/>
              </w:rPr>
              <w:t xml:space="preserve">      </w:t>
            </w:r>
            <w:r>
              <w:rPr>
                <w:rFonts w:hint="eastAsia"/>
                <w:b/>
                <w:bCs/>
                <w:sz w:val="36"/>
                <w:szCs w:val="36"/>
                <w:lang w:val="en-US" w:eastAsia="zh-CN"/>
              </w:rPr>
              <w:t>年</w:t>
            </w:r>
            <w:r>
              <w:rPr>
                <w:rFonts w:hint="eastAsia"/>
                <w:b/>
                <w:bCs/>
                <w:sz w:val="36"/>
                <w:szCs w:val="36"/>
                <w:u w:val="single"/>
                <w:lang w:val="en-US" w:eastAsia="zh-CN"/>
              </w:rPr>
              <w:t xml:space="preserve">    </w:t>
            </w:r>
            <w:r>
              <w:rPr>
                <w:rFonts w:hint="eastAsia"/>
                <w:b/>
                <w:bCs/>
                <w:sz w:val="36"/>
                <w:szCs w:val="36"/>
                <w:lang w:val="en-US" w:eastAsia="zh-CN"/>
              </w:rPr>
              <w:t>月灭治红白蚁、除四害服务</w:t>
            </w:r>
            <w:r>
              <w:rPr>
                <w:rFonts w:hint="eastAsia"/>
                <w:b/>
                <w:bCs/>
                <w:sz w:val="36"/>
                <w:szCs w:val="36"/>
                <w:lang w:eastAsia="zh-CN"/>
              </w:rPr>
              <w:t>考评表</w:t>
            </w:r>
          </w:p>
          <w:p w14:paraId="6611ED4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708" w:leftChars="-295" w:firstLine="0" w:firstLineChars="0"/>
              <w:jc w:val="both"/>
              <w:textAlignment w:val="auto"/>
              <w:rPr>
                <w:rFonts w:hint="eastAsia"/>
                <w:b/>
                <w:bCs/>
                <w:sz w:val="24"/>
                <w:szCs w:val="24"/>
                <w:lang w:eastAsia="zh-CN"/>
              </w:rPr>
            </w:pPr>
            <w:r>
              <w:rPr>
                <w:rStyle w:val="23"/>
                <w:rFonts w:hint="eastAsia" w:ascii="宋体" w:hAnsi="宋体" w:cs="宋体"/>
                <w:b/>
                <w:bCs/>
                <w:color w:val="auto"/>
                <w:sz w:val="24"/>
                <w:szCs w:val="24"/>
                <w:highlight w:val="none"/>
                <w:lang w:val="en-US" w:eastAsia="zh-CN"/>
              </w:rPr>
              <w:t xml:space="preserve">服务  </w:t>
            </w:r>
            <w:r>
              <w:rPr>
                <w:rStyle w:val="23"/>
                <w:rFonts w:hint="eastAsia" w:ascii="宋体" w:hAnsi="宋体" w:eastAsia="宋体" w:cs="宋体"/>
                <w:b/>
                <w:bCs/>
                <w:color w:val="auto"/>
                <w:sz w:val="24"/>
                <w:szCs w:val="24"/>
                <w:highlight w:val="none"/>
                <w:lang w:val="en-US" w:eastAsia="zh-CN"/>
              </w:rPr>
              <w:t>单位：                                                     总分：100分</w:t>
            </w: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993"/>
              <w:gridCol w:w="2606"/>
              <w:gridCol w:w="774"/>
            </w:tblGrid>
            <w:tr w14:paraId="412E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14:paraId="70B1130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24"/>
                      <w:szCs w:val="24"/>
                      <w:lang w:val="en-US" w:eastAsia="zh-CN"/>
                    </w:rPr>
                  </w:pPr>
                  <w:r>
                    <w:rPr>
                      <w:b/>
                      <w:bCs/>
                      <w:sz w:val="24"/>
                      <w:szCs w:val="24"/>
                    </w:rPr>
                    <w:t>序号</w:t>
                  </w:r>
                </w:p>
              </w:tc>
              <w:tc>
                <w:tcPr>
                  <w:tcW w:w="2827" w:type="pct"/>
                  <w:vAlign w:val="center"/>
                </w:tcPr>
                <w:p w14:paraId="572929E6">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24"/>
                      <w:szCs w:val="24"/>
                      <w:lang w:val="en-US" w:eastAsia="zh-CN"/>
                    </w:rPr>
                  </w:pPr>
                  <w:r>
                    <w:rPr>
                      <w:b/>
                      <w:bCs/>
                      <w:sz w:val="24"/>
                      <w:szCs w:val="24"/>
                    </w:rPr>
                    <w:t>考评扣罚项目</w:t>
                  </w:r>
                </w:p>
              </w:tc>
              <w:tc>
                <w:tcPr>
                  <w:tcW w:w="1475" w:type="pct"/>
                  <w:vAlign w:val="center"/>
                </w:tcPr>
                <w:p w14:paraId="49C7917D">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24"/>
                      <w:szCs w:val="24"/>
                      <w:lang w:val="en-US" w:eastAsia="zh-CN"/>
                    </w:rPr>
                  </w:pPr>
                  <w:r>
                    <w:rPr>
                      <w:b/>
                      <w:bCs/>
                      <w:sz w:val="24"/>
                      <w:szCs w:val="24"/>
                    </w:rPr>
                    <w:t>扣罚标准</w:t>
                  </w:r>
                </w:p>
              </w:tc>
              <w:tc>
                <w:tcPr>
                  <w:tcW w:w="438" w:type="pct"/>
                  <w:vAlign w:val="center"/>
                </w:tcPr>
                <w:p w14:paraId="144A6BF1">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b/>
                      <w:bCs/>
                      <w:sz w:val="24"/>
                      <w:szCs w:val="24"/>
                      <w:lang w:eastAsia="zh-CN"/>
                    </w:rPr>
                  </w:pPr>
                  <w:r>
                    <w:rPr>
                      <w:rFonts w:hint="eastAsia"/>
                      <w:b/>
                      <w:bCs/>
                      <w:sz w:val="24"/>
                      <w:szCs w:val="24"/>
                      <w:lang w:eastAsia="zh-CN"/>
                    </w:rPr>
                    <w:t>扣分情况</w:t>
                  </w:r>
                </w:p>
              </w:tc>
            </w:tr>
            <w:tr w14:paraId="6FCF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14:paraId="19097F8B">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1</w:t>
                  </w:r>
                </w:p>
              </w:tc>
              <w:tc>
                <w:tcPr>
                  <w:tcW w:w="2827" w:type="pct"/>
                  <w:vAlign w:val="top"/>
                </w:tcPr>
                <w:p w14:paraId="31E24ED8">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资料管理：</w:t>
                  </w:r>
                </w:p>
                <w:p w14:paraId="71EE9101">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sz w:val="24"/>
                      <w:szCs w:val="24"/>
                    </w:rPr>
                    <w:t>未按采购人要求按时递交项目相关及日常管理的各类资料（包括但不限于花名册、社保公积金购买材料、整改报告、培训考核记录、体检报告等）或递交资料造假、缺漏等情况。</w:t>
                  </w:r>
                </w:p>
              </w:tc>
              <w:tc>
                <w:tcPr>
                  <w:tcW w:w="1475" w:type="pct"/>
                  <w:vAlign w:val="top"/>
                </w:tcPr>
                <w:p w14:paraId="47AF4D00">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每点</w:t>
                  </w:r>
                  <w:r>
                    <w:rPr>
                      <w:sz w:val="24"/>
                      <w:szCs w:val="24"/>
                    </w:rPr>
                    <w:t>扣0.5分</w:t>
                  </w:r>
                </w:p>
              </w:tc>
              <w:tc>
                <w:tcPr>
                  <w:tcW w:w="438" w:type="pct"/>
                  <w:vAlign w:val="center"/>
                </w:tcPr>
                <w:p w14:paraId="3DD8CC45">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244C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258" w:type="pct"/>
                  <w:vAlign w:val="center"/>
                </w:tcPr>
                <w:p w14:paraId="4620F02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2</w:t>
                  </w:r>
                </w:p>
              </w:tc>
              <w:tc>
                <w:tcPr>
                  <w:tcW w:w="2827" w:type="pct"/>
                  <w:vAlign w:val="top"/>
                </w:tcPr>
                <w:p w14:paraId="0ACB8F1C">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员工形象行为规范：</w:t>
                  </w:r>
                </w:p>
                <w:p w14:paraId="52CCC1E5">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员工不服从医院管理人员工作安排，不注重服务形象，着装不规范，言行举止不文明：</w:t>
                  </w:r>
                </w:p>
                <w:p w14:paraId="5E0AA61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rPr>
                  </w:pPr>
                  <w:r>
                    <w:rPr>
                      <w:rFonts w:hint="default" w:ascii="Calibri" w:hAnsi="Calibri" w:eastAsia="仿宋" w:cs="Times New Roman"/>
                      <w:kern w:val="2"/>
                      <w:sz w:val="24"/>
                      <w:szCs w:val="24"/>
                      <w:lang w:val="en-US" w:eastAsia="zh-CN" w:bidi="ar-SA"/>
                    </w:rPr>
                    <w:t>1．</w:t>
                  </w:r>
                  <w:r>
                    <w:rPr>
                      <w:sz w:val="24"/>
                      <w:szCs w:val="24"/>
                    </w:rPr>
                    <w:t>随地吐痰丢垃圾。</w:t>
                  </w:r>
                </w:p>
                <w:p w14:paraId="16EA2E4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rPr>
                  </w:pPr>
                  <w:r>
                    <w:rPr>
                      <w:rFonts w:hint="default" w:ascii="Calibri" w:hAnsi="Calibri" w:eastAsia="仿宋" w:cs="Times New Roman"/>
                      <w:kern w:val="2"/>
                      <w:sz w:val="24"/>
                      <w:szCs w:val="24"/>
                      <w:lang w:val="en-US" w:eastAsia="zh-CN" w:bidi="ar-SA"/>
                    </w:rPr>
                    <w:t>2．</w:t>
                  </w:r>
                  <w:r>
                    <w:rPr>
                      <w:sz w:val="24"/>
                      <w:szCs w:val="24"/>
                    </w:rPr>
                    <w:t>员工在院内吵架、斗殴等。</w:t>
                  </w:r>
                </w:p>
                <w:p w14:paraId="1F43150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sz w:val="24"/>
                      <w:szCs w:val="24"/>
                      <w:lang w:eastAsia="zh-CN"/>
                    </w:rPr>
                  </w:pPr>
                  <w:r>
                    <w:rPr>
                      <w:rFonts w:hint="default" w:ascii="Calibri" w:hAnsi="Calibri" w:eastAsia="仿宋" w:cs="Times New Roman"/>
                      <w:kern w:val="2"/>
                      <w:sz w:val="24"/>
                      <w:szCs w:val="24"/>
                      <w:lang w:val="en-US" w:eastAsia="zh-CN" w:bidi="ar-SA"/>
                    </w:rPr>
                    <w:t>3．</w:t>
                  </w:r>
                  <w:r>
                    <w:rPr>
                      <w:sz w:val="24"/>
                      <w:szCs w:val="24"/>
                    </w:rPr>
                    <w:t>辱骂、恐吓、殴打医院管理人员、病人、家属等行为。</w:t>
                  </w:r>
                </w:p>
              </w:tc>
              <w:tc>
                <w:tcPr>
                  <w:tcW w:w="1475" w:type="pct"/>
                  <w:vAlign w:val="top"/>
                </w:tcPr>
                <w:p w14:paraId="6B031B00">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sz w:val="24"/>
                      <w:szCs w:val="24"/>
                    </w:rPr>
                    <w:t>每</w:t>
                  </w:r>
                  <w:r>
                    <w:rPr>
                      <w:rFonts w:hint="eastAsia"/>
                      <w:sz w:val="24"/>
                      <w:szCs w:val="24"/>
                      <w:lang w:eastAsia="zh-CN"/>
                    </w:rPr>
                    <w:t>点</w:t>
                  </w:r>
                  <w:r>
                    <w:rPr>
                      <w:sz w:val="24"/>
                      <w:szCs w:val="24"/>
                    </w:rPr>
                    <w:t>扣0.5-1分。情节特别严重</w:t>
                  </w:r>
                  <w:r>
                    <w:rPr>
                      <w:rFonts w:hint="eastAsia"/>
                      <w:sz w:val="24"/>
                      <w:szCs w:val="24"/>
                      <w:lang w:eastAsia="zh-CN"/>
                    </w:rPr>
                    <w:t>的</w:t>
                  </w:r>
                  <w:r>
                    <w:rPr>
                      <w:sz w:val="24"/>
                      <w:szCs w:val="24"/>
                    </w:rPr>
                    <w:t>，采购人有权要求</w:t>
                  </w:r>
                  <w:r>
                    <w:rPr>
                      <w:rFonts w:hint="eastAsia"/>
                      <w:sz w:val="24"/>
                      <w:szCs w:val="24"/>
                      <w:lang w:eastAsia="zh-CN"/>
                    </w:rPr>
                    <w:t>供应商</w:t>
                  </w:r>
                  <w:r>
                    <w:rPr>
                      <w:sz w:val="24"/>
                      <w:szCs w:val="24"/>
                    </w:rPr>
                    <w:t>立即开除该员工，</w:t>
                  </w:r>
                  <w:r>
                    <w:rPr>
                      <w:rFonts w:hint="eastAsia"/>
                      <w:sz w:val="24"/>
                      <w:szCs w:val="24"/>
                      <w:lang w:eastAsia="zh-CN"/>
                    </w:rPr>
                    <w:t>供应商需承担</w:t>
                  </w:r>
                  <w:r>
                    <w:rPr>
                      <w:sz w:val="24"/>
                      <w:szCs w:val="24"/>
                    </w:rPr>
                    <w:t>相应</w:t>
                  </w:r>
                  <w:r>
                    <w:rPr>
                      <w:rFonts w:hint="eastAsia"/>
                      <w:sz w:val="24"/>
                      <w:szCs w:val="24"/>
                      <w:lang w:eastAsia="zh-CN"/>
                    </w:rPr>
                    <w:t>责任</w:t>
                  </w:r>
                  <w:r>
                    <w:rPr>
                      <w:sz w:val="24"/>
                      <w:szCs w:val="24"/>
                    </w:rPr>
                    <w:t>，涉及违法行为移交公安机关追究法律责任。</w:t>
                  </w:r>
                </w:p>
              </w:tc>
              <w:tc>
                <w:tcPr>
                  <w:tcW w:w="438" w:type="pct"/>
                  <w:vAlign w:val="center"/>
                </w:tcPr>
                <w:p w14:paraId="21247435">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42E4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8" w:type="pct"/>
                  <w:vAlign w:val="center"/>
                </w:tcPr>
                <w:p w14:paraId="24DBCC19">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3</w:t>
                  </w:r>
                </w:p>
              </w:tc>
              <w:tc>
                <w:tcPr>
                  <w:tcW w:w="2827" w:type="pct"/>
                  <w:vAlign w:val="top"/>
                </w:tcPr>
                <w:p w14:paraId="6969A1D9">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val="en-US" w:eastAsia="zh-CN"/>
                    </w:rPr>
                  </w:pPr>
                  <w:r>
                    <w:rPr>
                      <w:sz w:val="24"/>
                      <w:szCs w:val="24"/>
                    </w:rPr>
                    <w:t>投诉管理：一般服务态度投诉属实。</w:t>
                  </w:r>
                </w:p>
              </w:tc>
              <w:tc>
                <w:tcPr>
                  <w:tcW w:w="1475" w:type="pct"/>
                  <w:vAlign w:val="top"/>
                </w:tcPr>
                <w:p w14:paraId="76C6BAEC">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val="en-US" w:eastAsia="zh-CN"/>
                    </w:rPr>
                  </w:pPr>
                  <w:r>
                    <w:rPr>
                      <w:sz w:val="24"/>
                      <w:szCs w:val="24"/>
                    </w:rPr>
                    <w:t>发现查实后一次扣罚0.5-2分。</w:t>
                  </w:r>
                </w:p>
              </w:tc>
              <w:tc>
                <w:tcPr>
                  <w:tcW w:w="438" w:type="pct"/>
                  <w:vAlign w:val="center"/>
                </w:tcPr>
                <w:p w14:paraId="39A7B110">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05BC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trPr>
              <w:tc>
                <w:tcPr>
                  <w:tcW w:w="258" w:type="pct"/>
                  <w:vAlign w:val="center"/>
                </w:tcPr>
                <w:p w14:paraId="0BF349FF">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4</w:t>
                  </w:r>
                </w:p>
              </w:tc>
              <w:tc>
                <w:tcPr>
                  <w:tcW w:w="2827" w:type="pct"/>
                  <w:vAlign w:val="top"/>
                </w:tcPr>
                <w:p w14:paraId="78C46910">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人员资质管理：</w:t>
                  </w:r>
                </w:p>
                <w:p w14:paraId="487A0EF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5" w:leftChars="0" w:firstLine="0" w:firstLineChars="0"/>
                    <w:textAlignment w:val="auto"/>
                    <w:rPr>
                      <w:sz w:val="24"/>
                      <w:szCs w:val="24"/>
                    </w:rPr>
                  </w:pPr>
                  <w:r>
                    <w:rPr>
                      <w:rFonts w:hint="default" w:ascii="Calibri" w:hAnsi="Calibri" w:eastAsia="仿宋" w:cs="Times New Roman"/>
                      <w:kern w:val="2"/>
                      <w:sz w:val="24"/>
                      <w:szCs w:val="24"/>
                      <w:lang w:val="en-US" w:eastAsia="zh-CN" w:bidi="ar-SA"/>
                    </w:rPr>
                    <w:t>1.</w:t>
                  </w:r>
                  <w:r>
                    <w:rPr>
                      <w:sz w:val="24"/>
                      <w:szCs w:val="24"/>
                    </w:rPr>
                    <w:t>人员资质、年龄不符合采购人要求。</w:t>
                  </w:r>
                </w:p>
                <w:p w14:paraId="06B1D55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5" w:leftChars="0" w:firstLine="0" w:firstLineChars="0"/>
                    <w:textAlignment w:val="auto"/>
                    <w:rPr>
                      <w:sz w:val="24"/>
                      <w:szCs w:val="24"/>
                      <w:lang w:val="en-US" w:eastAsia="zh-CN"/>
                    </w:rPr>
                  </w:pPr>
                  <w:r>
                    <w:rPr>
                      <w:rFonts w:hint="default" w:ascii="Calibri" w:hAnsi="Calibri" w:eastAsia="仿宋" w:cs="Times New Roman"/>
                      <w:kern w:val="2"/>
                      <w:sz w:val="24"/>
                      <w:szCs w:val="24"/>
                      <w:lang w:val="en-US" w:eastAsia="zh-CN" w:bidi="ar-SA"/>
                    </w:rPr>
                    <w:t>2.</w:t>
                  </w:r>
                  <w:r>
                    <w:rPr>
                      <w:sz w:val="24"/>
                      <w:szCs w:val="24"/>
                    </w:rPr>
                    <w:t>未按要求、频率开展培训考核，培训效果不合格。</w:t>
                  </w:r>
                </w:p>
              </w:tc>
              <w:tc>
                <w:tcPr>
                  <w:tcW w:w="1475" w:type="pct"/>
                  <w:vAlign w:val="top"/>
                </w:tcPr>
                <w:p w14:paraId="19641E0E">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经核查，发现人员资质不符合要求的，每月一次性扣1分。</w:t>
                  </w:r>
                </w:p>
                <w:p w14:paraId="5D91B59D">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经核查，发现人员年龄不符合要求的，一次性扣1分。</w:t>
                  </w:r>
                </w:p>
                <w:p w14:paraId="40FE16F6">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未按要求、频率开展培训考核，培训效果不合格，每项次扣1分。</w:t>
                  </w:r>
                </w:p>
                <w:p w14:paraId="482F0B3D">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lang w:val="en-US" w:eastAsia="zh-CN"/>
                    </w:rPr>
                  </w:pPr>
                </w:p>
              </w:tc>
              <w:tc>
                <w:tcPr>
                  <w:tcW w:w="438" w:type="pct"/>
                  <w:vAlign w:val="center"/>
                </w:tcPr>
                <w:p w14:paraId="4C05C5EC">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0DF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 w:type="pct"/>
                  <w:vAlign w:val="center"/>
                </w:tcPr>
                <w:p w14:paraId="5C009D9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5</w:t>
                  </w:r>
                </w:p>
              </w:tc>
              <w:tc>
                <w:tcPr>
                  <w:tcW w:w="2827" w:type="pct"/>
                  <w:vAlign w:val="top"/>
                </w:tcPr>
                <w:p w14:paraId="7C4DC80D">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sz w:val="24"/>
                      <w:szCs w:val="24"/>
                    </w:rPr>
                    <w:t>公司管理：</w:t>
                  </w:r>
                </w:p>
                <w:p w14:paraId="7970CF3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0" w:firstLineChars="0"/>
                    <w:textAlignment w:val="auto"/>
                    <w:rPr>
                      <w:sz w:val="24"/>
                      <w:szCs w:val="24"/>
                    </w:rPr>
                  </w:pPr>
                  <w:r>
                    <w:rPr>
                      <w:rFonts w:ascii="Calibri" w:hAnsi="Calibri" w:eastAsia="仿宋" w:cs="Times New Roman"/>
                      <w:kern w:val="2"/>
                      <w:sz w:val="24"/>
                      <w:szCs w:val="24"/>
                      <w:lang w:val="en-US" w:eastAsia="zh-CN" w:bidi="ar-SA"/>
                    </w:rPr>
                    <w:t>1.</w:t>
                  </w:r>
                  <w:r>
                    <w:rPr>
                      <w:sz w:val="24"/>
                      <w:szCs w:val="24"/>
                    </w:rPr>
                    <w:t>因公司管理不到位，在各类检查（包括院内自查、上级部门检查等）中被查出问题。</w:t>
                  </w:r>
                </w:p>
                <w:p w14:paraId="2F84E57F">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rPr>
                  </w:pPr>
                  <w:r>
                    <w:rPr>
                      <w:rFonts w:ascii="Calibri" w:hAnsi="Calibri" w:eastAsia="仿宋" w:cs="Times New Roman"/>
                      <w:kern w:val="2"/>
                      <w:sz w:val="24"/>
                      <w:szCs w:val="24"/>
                      <w:lang w:val="en-US" w:eastAsia="zh-CN" w:bidi="ar-SA"/>
                    </w:rPr>
                    <w:t>2.</w:t>
                  </w:r>
                  <w:r>
                    <w:rPr>
                      <w:rFonts w:hint="eastAsia"/>
                      <w:sz w:val="24"/>
                      <w:szCs w:val="24"/>
                      <w:lang w:eastAsia="zh-CN"/>
                    </w:rPr>
                    <w:t>应急</w:t>
                  </w:r>
                  <w:r>
                    <w:rPr>
                      <w:sz w:val="24"/>
                      <w:szCs w:val="24"/>
                    </w:rPr>
                    <w:t>服务电话无人接听、服务态度差、没有回访反馈、处理跟进不及时或不当；出现突发事件或应急情况，响应不及时，不及时上报采购人和处理事件。</w:t>
                  </w:r>
                </w:p>
                <w:p w14:paraId="6F24ECAD">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rPr>
                  </w:pPr>
                  <w:r>
                    <w:rPr>
                      <w:rFonts w:ascii="Calibri" w:hAnsi="Calibri" w:eastAsia="仿宋" w:cs="Times New Roman"/>
                      <w:kern w:val="2"/>
                      <w:sz w:val="24"/>
                      <w:szCs w:val="24"/>
                      <w:lang w:val="en-US" w:eastAsia="zh-CN" w:bidi="ar-SA"/>
                    </w:rPr>
                    <w:t>3.</w:t>
                  </w:r>
                  <w:r>
                    <w:rPr>
                      <w:sz w:val="24"/>
                      <w:szCs w:val="24"/>
                    </w:rPr>
                    <w:t>未经采购人同意擅自更换、调配</w:t>
                  </w:r>
                  <w:r>
                    <w:rPr>
                      <w:rFonts w:hint="eastAsia"/>
                      <w:sz w:val="24"/>
                      <w:szCs w:val="24"/>
                      <w:lang w:eastAsia="zh-CN"/>
                    </w:rPr>
                    <w:t>服务</w:t>
                  </w:r>
                  <w:r>
                    <w:rPr>
                      <w:sz w:val="24"/>
                      <w:szCs w:val="24"/>
                    </w:rPr>
                    <w:t>人员，或</w:t>
                  </w:r>
                  <w:r>
                    <w:rPr>
                      <w:rFonts w:hint="eastAsia"/>
                      <w:sz w:val="24"/>
                      <w:szCs w:val="24"/>
                      <w:lang w:eastAsia="zh-CN"/>
                    </w:rPr>
                    <w:t>服务</w:t>
                  </w:r>
                  <w:r>
                    <w:rPr>
                      <w:sz w:val="24"/>
                      <w:szCs w:val="24"/>
                    </w:rPr>
                    <w:t>人员更换过于频繁，影响现场工作开展的。</w:t>
                  </w:r>
                </w:p>
                <w:p w14:paraId="151F6182">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rPr>
                  </w:pPr>
                  <w:r>
                    <w:rPr>
                      <w:rFonts w:ascii="Calibri" w:hAnsi="Calibri" w:eastAsia="仿宋" w:cs="Times New Roman"/>
                      <w:kern w:val="2"/>
                      <w:sz w:val="24"/>
                      <w:szCs w:val="24"/>
                      <w:lang w:val="en-US" w:eastAsia="zh-CN" w:bidi="ar-SA"/>
                    </w:rPr>
                    <w:t>4.</w:t>
                  </w:r>
                  <w:r>
                    <w:rPr>
                      <w:rFonts w:hint="eastAsia"/>
                      <w:sz w:val="24"/>
                      <w:szCs w:val="24"/>
                      <w:lang w:eastAsia="zh-CN"/>
                    </w:rPr>
                    <w:t>管理</w:t>
                  </w:r>
                  <w:r>
                    <w:rPr>
                      <w:sz w:val="24"/>
                      <w:szCs w:val="24"/>
                    </w:rPr>
                    <w:t>人员不负责、不作为，未及时传达布置、落实、跟踪、反馈院方安排的有关事务，或问题整改不及时、不到位。</w:t>
                  </w:r>
                </w:p>
                <w:p w14:paraId="091EB84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sz w:val="24"/>
                      <w:szCs w:val="24"/>
                      <w:lang w:val="en-US" w:eastAsia="zh-CN"/>
                    </w:rPr>
                  </w:pPr>
                  <w:r>
                    <w:rPr>
                      <w:rFonts w:ascii="Calibri" w:hAnsi="Calibri" w:eastAsia="仿宋" w:cs="Times New Roman"/>
                      <w:kern w:val="2"/>
                      <w:sz w:val="24"/>
                      <w:szCs w:val="24"/>
                      <w:lang w:val="en-US" w:eastAsia="zh-CN" w:bidi="ar-SA"/>
                    </w:rPr>
                    <w:t>5.</w:t>
                  </w:r>
                  <w:r>
                    <w:rPr>
                      <w:sz w:val="24"/>
                      <w:szCs w:val="24"/>
                    </w:rPr>
                    <w:t>未建立安全保障制度，未制定安全管理应急预案，未落实安全生产责任制和安全生产措施。</w:t>
                  </w:r>
                </w:p>
              </w:tc>
              <w:tc>
                <w:tcPr>
                  <w:tcW w:w="1475" w:type="pct"/>
                  <w:vAlign w:val="top"/>
                </w:tcPr>
                <w:p w14:paraId="19111277">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lang w:val="en-US" w:eastAsia="zh-CN"/>
                    </w:rPr>
                  </w:pPr>
                  <w:r>
                    <w:rPr>
                      <w:sz w:val="24"/>
                      <w:szCs w:val="24"/>
                    </w:rPr>
                    <w:t>每项次扣1分。</w:t>
                  </w:r>
                </w:p>
              </w:tc>
              <w:tc>
                <w:tcPr>
                  <w:tcW w:w="438" w:type="pct"/>
                  <w:vAlign w:val="center"/>
                </w:tcPr>
                <w:p w14:paraId="71FBF3B3">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59EF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 w:type="pct"/>
                  <w:vAlign w:val="center"/>
                </w:tcPr>
                <w:p w14:paraId="039CCCE5">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6</w:t>
                  </w:r>
                </w:p>
              </w:tc>
              <w:tc>
                <w:tcPr>
                  <w:tcW w:w="2827" w:type="pct"/>
                  <w:vAlign w:val="top"/>
                </w:tcPr>
                <w:p w14:paraId="01A9766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Chars="0" w:firstLine="0" w:firstLineChars="0"/>
                    <w:textAlignment w:val="auto"/>
                    <w:rPr>
                      <w:rFonts w:hint="eastAsia"/>
                      <w:sz w:val="24"/>
                      <w:szCs w:val="24"/>
                      <w:lang w:eastAsia="zh-CN"/>
                    </w:rPr>
                  </w:pPr>
                  <w:r>
                    <w:rPr>
                      <w:rFonts w:hint="eastAsia"/>
                      <w:sz w:val="24"/>
                      <w:szCs w:val="24"/>
                      <w:lang w:eastAsia="zh-CN"/>
                    </w:rPr>
                    <w:t>工具使用管理：</w:t>
                  </w:r>
                </w:p>
                <w:p w14:paraId="2160E14B">
                  <w:pPr>
                    <w:pStyle w:val="45"/>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ascii="宋体" w:hAnsi="宋体" w:cs="宋体"/>
                      <w:kern w:val="2"/>
                      <w:sz w:val="24"/>
                    </w:rPr>
                  </w:pPr>
                  <w:r>
                    <w:rPr>
                      <w:rFonts w:hint="eastAsia" w:ascii="宋体" w:hAnsi="宋体" w:eastAsia="仿宋" w:cs="宋体"/>
                      <w:kern w:val="2"/>
                      <w:sz w:val="24"/>
                      <w:szCs w:val="21"/>
                      <w:lang w:val="en-US" w:eastAsia="zh-CN" w:bidi="ar-SA"/>
                    </w:rPr>
                    <w:t>（</w:t>
                  </w:r>
                  <w:r>
                    <w:rPr>
                      <w:rFonts w:hint="eastAsia" w:ascii="宋体" w:hAnsi="宋体" w:cs="宋体"/>
                      <w:kern w:val="2"/>
                      <w:sz w:val="24"/>
                      <w:szCs w:val="21"/>
                      <w:lang w:val="en-US" w:eastAsia="zh-CN" w:bidi="ar-SA"/>
                    </w:rPr>
                    <w:t>1</w:t>
                  </w:r>
                  <w:r>
                    <w:rPr>
                      <w:rFonts w:hint="eastAsia" w:ascii="宋体" w:hAnsi="宋体" w:eastAsia="仿宋" w:cs="宋体"/>
                      <w:kern w:val="2"/>
                      <w:sz w:val="24"/>
                      <w:szCs w:val="21"/>
                      <w:lang w:val="en-US" w:eastAsia="zh-CN" w:bidi="ar-SA"/>
                    </w:rPr>
                    <w:t>）</w:t>
                  </w:r>
                  <w:r>
                    <w:rPr>
                      <w:rFonts w:hint="eastAsia" w:ascii="宋体" w:hAnsi="宋体" w:cs="宋体"/>
                      <w:kern w:val="2"/>
                      <w:sz w:val="24"/>
                    </w:rPr>
                    <w:t>室内采用电源驱动的超低容量喷雾器，室内施药消杀蚊蝇需采用“空间处理”喷洒法，或地面“滞留喷洒”法，不能直接将药物喷洒在设施物品上，严禁使用机械发动机喷雾机作室内施药喷洒。</w:t>
                  </w:r>
                </w:p>
                <w:p w14:paraId="38C89229">
                  <w:pPr>
                    <w:pStyle w:val="45"/>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textAlignment w:val="auto"/>
                    <w:rPr>
                      <w:rFonts w:hint="eastAsia"/>
                      <w:sz w:val="24"/>
                      <w:szCs w:val="24"/>
                      <w:lang w:eastAsia="zh-CN"/>
                    </w:rPr>
                  </w:pPr>
                  <w:r>
                    <w:rPr>
                      <w:rFonts w:hint="eastAsia" w:ascii="Calibri" w:hAnsi="Calibri" w:eastAsia="仿宋" w:cs="Times New Roman"/>
                      <w:kern w:val="2"/>
                      <w:sz w:val="24"/>
                      <w:szCs w:val="24"/>
                      <w:lang w:val="en-US" w:eastAsia="zh-CN" w:bidi="ar-SA"/>
                    </w:rPr>
                    <w:t>（</w:t>
                  </w:r>
                  <w:r>
                    <w:rPr>
                      <w:rFonts w:hint="eastAsia" w:cs="Times New Roman"/>
                      <w:kern w:val="2"/>
                      <w:sz w:val="24"/>
                      <w:szCs w:val="24"/>
                      <w:lang w:val="en-US" w:eastAsia="zh-CN" w:bidi="ar-SA"/>
                    </w:rPr>
                    <w:t>2</w:t>
                  </w:r>
                  <w:r>
                    <w:rPr>
                      <w:rFonts w:hint="eastAsia" w:ascii="Calibri" w:hAnsi="Calibri" w:eastAsia="仿宋" w:cs="Times New Roman"/>
                      <w:kern w:val="2"/>
                      <w:sz w:val="24"/>
                      <w:szCs w:val="24"/>
                      <w:lang w:val="en-US" w:eastAsia="zh-CN" w:bidi="ar-SA"/>
                    </w:rPr>
                    <w:t>）</w:t>
                  </w:r>
                  <w:r>
                    <w:rPr>
                      <w:rFonts w:hint="eastAsia" w:ascii="宋体" w:hAnsi="宋体" w:cs="宋体"/>
                      <w:kern w:val="2"/>
                      <w:sz w:val="24"/>
                    </w:rPr>
                    <w:t>施药消杀蚊蝇的操作采用先室内后室外的方法进行，对食堂厨房等摆放有食品碗碟不能喷洒药物的场所，需提前与相关部门约好时间或</w:t>
                  </w:r>
                  <w:r>
                    <w:rPr>
                      <w:rFonts w:hint="eastAsia" w:ascii="宋体" w:hAnsi="宋体" w:cs="宋体"/>
                      <w:kern w:val="2"/>
                      <w:sz w:val="24"/>
                      <w:lang w:eastAsia="zh-CN"/>
                    </w:rPr>
                    <w:t>供应商</w:t>
                  </w:r>
                  <w:r>
                    <w:rPr>
                      <w:rFonts w:hint="eastAsia" w:ascii="宋体" w:hAnsi="宋体" w:cs="宋体"/>
                      <w:kern w:val="2"/>
                      <w:sz w:val="24"/>
                    </w:rPr>
                    <w:t>自行将食品用品遮盖好才能喷洒药物，</w:t>
                  </w:r>
                  <w:r>
                    <w:rPr>
                      <w:rFonts w:hint="eastAsia" w:ascii="宋体" w:hAnsi="宋体"/>
                      <w:kern w:val="2"/>
                      <w:sz w:val="24"/>
                    </w:rPr>
                    <w:t>对厨房下水道沙井施放烟熏灭杀蚊蝇蟑螂需在早上或晚上厨房下班后进行</w:t>
                  </w:r>
                  <w:r>
                    <w:rPr>
                      <w:rFonts w:hint="eastAsia" w:ascii="宋体" w:hAnsi="宋体" w:cs="宋体"/>
                      <w:kern w:val="2"/>
                      <w:sz w:val="24"/>
                    </w:rPr>
                    <w:t>。</w:t>
                  </w:r>
                </w:p>
              </w:tc>
              <w:tc>
                <w:tcPr>
                  <w:tcW w:w="1475" w:type="pct"/>
                  <w:vAlign w:val="top"/>
                </w:tcPr>
                <w:p w14:paraId="3E5E0849">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rFonts w:hint="eastAsia"/>
                      <w:sz w:val="24"/>
                      <w:szCs w:val="24"/>
                      <w:lang w:eastAsia="zh-CN"/>
                    </w:rPr>
                    <w:t>每点</w:t>
                  </w:r>
                  <w:r>
                    <w:rPr>
                      <w:sz w:val="24"/>
                      <w:szCs w:val="24"/>
                    </w:rPr>
                    <w:t>扣0.5分</w:t>
                  </w:r>
                </w:p>
              </w:tc>
              <w:tc>
                <w:tcPr>
                  <w:tcW w:w="438" w:type="pct"/>
                  <w:vAlign w:val="center"/>
                </w:tcPr>
                <w:p w14:paraId="51DE091B">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6234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8" w:hRule="atLeast"/>
              </w:trPr>
              <w:tc>
                <w:tcPr>
                  <w:tcW w:w="258" w:type="pct"/>
                  <w:vAlign w:val="center"/>
                </w:tcPr>
                <w:p w14:paraId="31659367">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sz w:val="24"/>
                      <w:szCs w:val="24"/>
                      <w:lang w:val="en-US" w:eastAsia="zh-CN"/>
                    </w:rPr>
                  </w:pPr>
                  <w:r>
                    <w:rPr>
                      <w:rFonts w:hint="eastAsia"/>
                      <w:sz w:val="24"/>
                      <w:szCs w:val="24"/>
                      <w:lang w:val="en-US" w:eastAsia="zh-CN"/>
                    </w:rPr>
                    <w:t>7</w:t>
                  </w:r>
                </w:p>
              </w:tc>
              <w:tc>
                <w:tcPr>
                  <w:tcW w:w="2827" w:type="pct"/>
                  <w:vAlign w:val="top"/>
                </w:tcPr>
                <w:p w14:paraId="7073EAB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firstLine="0" w:firstLineChars="0"/>
                    <w:jc w:val="left"/>
                    <w:textAlignment w:val="auto"/>
                    <w:outlineLvl w:val="2"/>
                    <w:rPr>
                      <w:rFonts w:hint="eastAsia" w:ascii="宋体" w:hAnsi="宋体" w:cs="宋体" w:eastAsiaTheme="minorEastAsia"/>
                      <w:kern w:val="2"/>
                      <w:sz w:val="24"/>
                      <w:lang w:eastAsia="zh-CN"/>
                    </w:rPr>
                  </w:pPr>
                  <w:r>
                    <w:rPr>
                      <w:rFonts w:hint="eastAsia" w:ascii="宋体" w:hAnsi="宋体" w:cs="宋体"/>
                      <w:kern w:val="2"/>
                      <w:sz w:val="24"/>
                      <w:lang w:eastAsia="zh-CN"/>
                    </w:rPr>
                    <w:t>药剂使用管理：</w:t>
                  </w:r>
                </w:p>
                <w:p w14:paraId="32799D97">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eastAsia" w:ascii="宋体" w:hAnsi="宋体" w:cs="宋体" w:eastAsiaTheme="minorEastAsia"/>
                      <w:kern w:val="2"/>
                      <w:sz w:val="24"/>
                      <w:szCs w:val="24"/>
                      <w:lang w:val="en-US" w:eastAsia="zh-CN" w:bidi="ar-SA"/>
                    </w:rPr>
                    <w:t>3</w:t>
                  </w:r>
                  <w:r>
                    <w:rPr>
                      <w:rFonts w:hint="default" w:ascii="宋体" w:hAnsi="宋体" w:cs="宋体" w:eastAsiaTheme="minorEastAsia"/>
                      <w:kern w:val="2"/>
                      <w:sz w:val="24"/>
                      <w:szCs w:val="24"/>
                      <w:lang w:val="en-US" w:eastAsia="zh-CN" w:bidi="ar-SA"/>
                    </w:rPr>
                    <w:t>)</w:t>
                  </w:r>
                  <w:r>
                    <w:rPr>
                      <w:rFonts w:hint="eastAsia" w:ascii="宋体" w:hAnsi="宋体" w:cs="宋体"/>
                      <w:kern w:val="2"/>
                      <w:sz w:val="24"/>
                    </w:rPr>
                    <w:t>灭鼠：</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所选用产品质量应相当或优于以下参考内容：0.005%氟鼠灵；0.005%溴鼠灵、鼠板、其它捕鼠器械，根据场地及采购人意愿选择施药或投放器械。</w:t>
                  </w:r>
                </w:p>
                <w:p w14:paraId="3BFC2564">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eastAsia" w:ascii="宋体" w:hAnsi="宋体" w:cs="宋体" w:eastAsiaTheme="minorEastAsia"/>
                      <w:kern w:val="2"/>
                      <w:sz w:val="24"/>
                      <w:szCs w:val="24"/>
                      <w:lang w:val="en-US" w:eastAsia="zh-CN" w:bidi="ar-SA"/>
                    </w:rPr>
                    <w:t>4</w:t>
                  </w:r>
                  <w:r>
                    <w:rPr>
                      <w:rFonts w:hint="default" w:ascii="宋体" w:hAnsi="宋体" w:cs="宋体" w:eastAsiaTheme="minorEastAsia"/>
                      <w:kern w:val="2"/>
                      <w:sz w:val="24"/>
                      <w:szCs w:val="24"/>
                      <w:lang w:val="en-US" w:eastAsia="zh-CN" w:bidi="ar-SA"/>
                    </w:rPr>
                    <w:t>)</w:t>
                  </w:r>
                  <w:r>
                    <w:rPr>
                      <w:rFonts w:hint="eastAsia" w:ascii="宋体" w:hAnsi="宋体" w:cs="宋体"/>
                      <w:kern w:val="2"/>
                      <w:sz w:val="24"/>
                    </w:rPr>
                    <w:t>灭蚊蝇：</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所选用产品质量应相当或优于以下参考内容：氨基甲酸酯类或除虫菊酯类药物。2.5%高效氯氟氰菊酯；氟氯氰菊酯；甲基嘧啶磷；5%倍硫磷。灭幼虫和成虫相结合，控制滋生源，保持长效。</w:t>
                  </w:r>
                </w:p>
                <w:p w14:paraId="55C6680F">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ascii="宋体" w:hAnsi="宋体" w:cs="宋体"/>
                      <w:kern w:val="2"/>
                      <w:sz w:val="24"/>
                    </w:rPr>
                  </w:pPr>
                  <w:r>
                    <w:rPr>
                      <w:rFonts w:hint="eastAsia" w:ascii="宋体" w:hAnsi="宋体" w:cs="宋体" w:eastAsiaTheme="minorEastAsia"/>
                      <w:kern w:val="2"/>
                      <w:sz w:val="24"/>
                      <w:szCs w:val="24"/>
                      <w:lang w:val="en-US" w:eastAsia="zh-CN" w:bidi="ar-SA"/>
                    </w:rPr>
                    <w:t>5</w:t>
                  </w:r>
                  <w:r>
                    <w:rPr>
                      <w:rFonts w:hint="default" w:ascii="宋体" w:hAnsi="宋体" w:cs="宋体" w:eastAsiaTheme="minorEastAsia"/>
                      <w:kern w:val="2"/>
                      <w:sz w:val="24"/>
                      <w:szCs w:val="24"/>
                      <w:lang w:val="en-US" w:eastAsia="zh-CN" w:bidi="ar-SA"/>
                    </w:rPr>
                    <w:t>)</w:t>
                  </w:r>
                  <w:r>
                    <w:rPr>
                      <w:rFonts w:hint="eastAsia" w:ascii="宋体" w:hAnsi="宋体" w:cs="宋体"/>
                      <w:kern w:val="2"/>
                      <w:sz w:val="24"/>
                    </w:rPr>
                    <w:t>灭蟑螂：</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所选用产品质量应相当或优于以下参考内容：10%高效氟氯氰菊酯21%吡虫啉；2.15%吡虫啉；溴氰菊酯；5%残杀威5%右旋苯醚氰菊酯。使用无污染长效超低毒粘着传染剂型为主。</w:t>
                  </w:r>
                </w:p>
                <w:p w14:paraId="3E963056">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360" w:lineRule="exact"/>
                    <w:ind w:left="0" w:leftChars="0" w:firstLine="0" w:firstLineChars="0"/>
                    <w:jc w:val="left"/>
                    <w:textAlignment w:val="auto"/>
                    <w:outlineLvl w:val="2"/>
                    <w:rPr>
                      <w:rFonts w:hint="eastAsia"/>
                      <w:sz w:val="24"/>
                      <w:szCs w:val="24"/>
                      <w:lang w:eastAsia="zh-CN"/>
                    </w:rPr>
                  </w:pPr>
                  <w:r>
                    <w:rPr>
                      <w:rFonts w:hint="eastAsia" w:asciiTheme="minorHAnsi" w:hAnsiTheme="minorHAnsi" w:eastAsiaTheme="minorEastAsia" w:cstheme="minorBidi"/>
                      <w:kern w:val="2"/>
                      <w:sz w:val="24"/>
                      <w:szCs w:val="24"/>
                      <w:lang w:val="en-US" w:eastAsia="zh-CN" w:bidi="ar-SA"/>
                    </w:rPr>
                    <w:t>6</w:t>
                  </w:r>
                  <w:r>
                    <w:rPr>
                      <w:rFonts w:hint="default" w:asciiTheme="minorHAnsi" w:hAnsiTheme="minorHAnsi" w:eastAsiaTheme="minorEastAsia" w:cstheme="minorBidi"/>
                      <w:kern w:val="2"/>
                      <w:sz w:val="24"/>
                      <w:szCs w:val="24"/>
                      <w:lang w:val="en-US" w:eastAsia="zh-CN" w:bidi="ar-SA"/>
                    </w:rPr>
                    <w:t>)</w:t>
                  </w:r>
                  <w:r>
                    <w:rPr>
                      <w:rFonts w:hint="eastAsia" w:ascii="宋体" w:hAnsi="宋体" w:cs="宋体"/>
                      <w:kern w:val="2"/>
                      <w:sz w:val="24"/>
                    </w:rPr>
                    <w:t>白蚁：</w:t>
                  </w:r>
                  <w:r>
                    <w:rPr>
                      <w:rFonts w:hint="eastAsia" w:ascii="宋体" w:hAnsi="宋体" w:cs="宋体"/>
                      <w:kern w:val="2"/>
                      <w:sz w:val="24"/>
                      <w:lang w:eastAsia="zh-CN"/>
                    </w:rPr>
                    <w:t>供应商</w:t>
                  </w:r>
                  <w:r>
                    <w:rPr>
                      <w:rFonts w:hint="eastAsia" w:ascii="宋体" w:hAnsi="宋体" w:cs="宋体"/>
                      <w:kern w:val="2"/>
                      <w:sz w:val="24"/>
                    </w:rPr>
                    <w:t>所选用产品质量应相当或优于以下参考内容：10%高效氟氯氰菊酯21%吡虫啉。采用诱杀、诱杀等科学的白蚁防治方法，确保没有白蚁出现。</w:t>
                  </w:r>
                </w:p>
              </w:tc>
              <w:tc>
                <w:tcPr>
                  <w:tcW w:w="1475" w:type="pct"/>
                  <w:vAlign w:val="top"/>
                </w:tcPr>
                <w:p w14:paraId="746AEF6D">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sz w:val="24"/>
                      <w:szCs w:val="24"/>
                    </w:rPr>
                  </w:pPr>
                  <w:r>
                    <w:rPr>
                      <w:rFonts w:hint="eastAsia"/>
                      <w:sz w:val="24"/>
                      <w:szCs w:val="24"/>
                      <w:lang w:eastAsia="zh-CN"/>
                    </w:rPr>
                    <w:t>每点</w:t>
                  </w:r>
                  <w:r>
                    <w:rPr>
                      <w:sz w:val="24"/>
                      <w:szCs w:val="24"/>
                    </w:rPr>
                    <w:t>扣0.5分</w:t>
                  </w:r>
                </w:p>
              </w:tc>
              <w:tc>
                <w:tcPr>
                  <w:tcW w:w="438" w:type="pct"/>
                  <w:vAlign w:val="center"/>
                </w:tcPr>
                <w:p w14:paraId="7E1D462F">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p>
              </w:tc>
            </w:tr>
            <w:tr w14:paraId="18B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trPr>
              <w:tc>
                <w:tcPr>
                  <w:tcW w:w="5000" w:type="pct"/>
                  <w:gridSpan w:val="4"/>
                  <w:vAlign w:val="center"/>
                </w:tcPr>
                <w:p w14:paraId="5BF78F4F">
                  <w:pPr>
                    <w:keepNext w:val="0"/>
                    <w:keepLines w:val="0"/>
                    <w:pageBreakBefore w:val="0"/>
                    <w:kinsoku/>
                    <w:wordWrap/>
                    <w:overflowPunct/>
                    <w:topLinePunct w:val="0"/>
                    <w:autoSpaceDE/>
                    <w:autoSpaceDN/>
                    <w:bidi w:val="0"/>
                    <w:adjustRightInd/>
                    <w:spacing w:line="360" w:lineRule="exact"/>
                    <w:ind w:firstLine="0" w:firstLineChars="0"/>
                    <w:jc w:val="both"/>
                    <w:textAlignment w:val="auto"/>
                    <w:rPr>
                      <w:rFonts w:hint="eastAsia" w:eastAsiaTheme="minorEastAsia"/>
                      <w:sz w:val="24"/>
                      <w:szCs w:val="24"/>
                      <w:lang w:eastAsia="zh-CN"/>
                    </w:rPr>
                  </w:pPr>
                  <w:r>
                    <w:rPr>
                      <w:rFonts w:hint="eastAsia"/>
                      <w:sz w:val="24"/>
                      <w:szCs w:val="24"/>
                      <w:lang w:eastAsia="zh-CN"/>
                    </w:rPr>
                    <w:t>评分</w:t>
                  </w:r>
                  <w:r>
                    <w:rPr>
                      <w:sz w:val="24"/>
                      <w:szCs w:val="24"/>
                    </w:rPr>
                    <w:t>结果与扣罚分值换算标准如下</w:t>
                  </w:r>
                  <w:r>
                    <w:rPr>
                      <w:rFonts w:hint="eastAsia"/>
                      <w:sz w:val="24"/>
                      <w:szCs w:val="24"/>
                      <w:lang w:eastAsia="zh-CN"/>
                    </w:rPr>
                    <w:t>：</w:t>
                  </w:r>
                </w:p>
                <w:p w14:paraId="436203BC">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（1）分值≥95分，不扣罚当月服务费用；</w:t>
                  </w:r>
                </w:p>
                <w:p w14:paraId="44FF84E0">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（2）90≤分值＜95分，每扣1分对应扣罚当月服务费</w:t>
                  </w:r>
                  <w:r>
                    <w:rPr>
                      <w:rFonts w:hint="eastAsia"/>
                      <w:sz w:val="24"/>
                      <w:szCs w:val="24"/>
                      <w:lang w:val="en-US" w:eastAsia="zh-CN"/>
                    </w:rPr>
                    <w:t>2</w:t>
                  </w:r>
                  <w:r>
                    <w:rPr>
                      <w:rFonts w:hint="eastAsia"/>
                      <w:sz w:val="24"/>
                      <w:szCs w:val="24"/>
                      <w:lang w:eastAsia="zh-CN"/>
                    </w:rPr>
                    <w:t>00元；列举：某月得分92分，扣罚</w:t>
                  </w:r>
                  <w:r>
                    <w:rPr>
                      <w:rFonts w:hint="eastAsia"/>
                      <w:sz w:val="24"/>
                      <w:szCs w:val="24"/>
                      <w:lang w:val="en-US" w:eastAsia="zh-CN"/>
                    </w:rPr>
                    <w:t>2</w:t>
                  </w:r>
                  <w:r>
                    <w:rPr>
                      <w:rFonts w:hint="eastAsia"/>
                      <w:sz w:val="24"/>
                      <w:szCs w:val="24"/>
                      <w:lang w:eastAsia="zh-CN"/>
                    </w:rPr>
                    <w:t>00元×（100分－92分）＝</w:t>
                  </w:r>
                  <w:r>
                    <w:rPr>
                      <w:rFonts w:hint="eastAsia"/>
                      <w:sz w:val="24"/>
                      <w:szCs w:val="24"/>
                      <w:lang w:val="en-US" w:eastAsia="zh-CN"/>
                    </w:rPr>
                    <w:t>16</w:t>
                  </w:r>
                  <w:r>
                    <w:rPr>
                      <w:rFonts w:hint="eastAsia"/>
                      <w:sz w:val="24"/>
                      <w:szCs w:val="24"/>
                      <w:lang w:eastAsia="zh-CN"/>
                    </w:rPr>
                    <w:t>00元；</w:t>
                  </w:r>
                </w:p>
                <w:p w14:paraId="6A4396C7">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（3）85分≤分值＜90分，每扣1分对应扣罚当月服务费</w:t>
                  </w:r>
                  <w:r>
                    <w:rPr>
                      <w:rFonts w:hint="eastAsia"/>
                      <w:sz w:val="24"/>
                      <w:szCs w:val="24"/>
                      <w:lang w:val="en-US" w:eastAsia="zh-CN"/>
                    </w:rPr>
                    <w:t>5</w:t>
                  </w:r>
                  <w:r>
                    <w:rPr>
                      <w:rFonts w:hint="eastAsia"/>
                      <w:sz w:val="24"/>
                      <w:szCs w:val="24"/>
                      <w:lang w:eastAsia="zh-CN"/>
                    </w:rPr>
                    <w:t>00元；列举：某月得分87分，扣罚</w:t>
                  </w:r>
                  <w:r>
                    <w:rPr>
                      <w:rFonts w:hint="eastAsia"/>
                      <w:sz w:val="24"/>
                      <w:szCs w:val="24"/>
                      <w:lang w:val="en-US" w:eastAsia="zh-CN"/>
                    </w:rPr>
                    <w:t>5</w:t>
                  </w:r>
                  <w:r>
                    <w:rPr>
                      <w:rFonts w:hint="eastAsia"/>
                      <w:sz w:val="24"/>
                      <w:szCs w:val="24"/>
                      <w:lang w:eastAsia="zh-CN"/>
                    </w:rPr>
                    <w:t>00元×（100分－87分）＝</w:t>
                  </w:r>
                  <w:r>
                    <w:rPr>
                      <w:rFonts w:hint="eastAsia"/>
                      <w:sz w:val="24"/>
                      <w:szCs w:val="24"/>
                      <w:lang w:val="en-US" w:eastAsia="zh-CN"/>
                    </w:rPr>
                    <w:t>65</w:t>
                  </w:r>
                  <w:r>
                    <w:rPr>
                      <w:rFonts w:hint="eastAsia"/>
                      <w:sz w:val="24"/>
                      <w:szCs w:val="24"/>
                      <w:lang w:eastAsia="zh-CN"/>
                    </w:rPr>
                    <w:t>00元；合同期内，累计五个月的，采购人有权单方面解除合同。</w:t>
                  </w:r>
                </w:p>
                <w:p w14:paraId="2D2EC0D1">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（4）70分≤分值＜85分，每扣1分对应扣罚当月服务费</w:t>
                  </w:r>
                  <w:r>
                    <w:rPr>
                      <w:rFonts w:hint="eastAsia"/>
                      <w:sz w:val="24"/>
                      <w:szCs w:val="24"/>
                      <w:lang w:val="en-US" w:eastAsia="zh-CN"/>
                    </w:rPr>
                    <w:t>8</w:t>
                  </w:r>
                  <w:r>
                    <w:rPr>
                      <w:rFonts w:hint="eastAsia"/>
                      <w:sz w:val="24"/>
                      <w:szCs w:val="24"/>
                      <w:lang w:eastAsia="zh-CN"/>
                    </w:rPr>
                    <w:t>00元；列举：某月得分80分，扣罚</w:t>
                  </w:r>
                  <w:r>
                    <w:rPr>
                      <w:rFonts w:hint="eastAsia"/>
                      <w:sz w:val="24"/>
                      <w:szCs w:val="24"/>
                      <w:lang w:val="en-US" w:eastAsia="zh-CN"/>
                    </w:rPr>
                    <w:t>8</w:t>
                  </w:r>
                  <w:r>
                    <w:rPr>
                      <w:rFonts w:hint="eastAsia"/>
                      <w:sz w:val="24"/>
                      <w:szCs w:val="24"/>
                      <w:lang w:eastAsia="zh-CN"/>
                    </w:rPr>
                    <w:t>00元×（100分－80分）＝</w:t>
                  </w:r>
                  <w:r>
                    <w:rPr>
                      <w:rFonts w:hint="eastAsia"/>
                      <w:sz w:val="24"/>
                      <w:szCs w:val="24"/>
                      <w:lang w:val="en-US" w:eastAsia="zh-CN"/>
                    </w:rPr>
                    <w:t>16</w:t>
                  </w:r>
                  <w:r>
                    <w:rPr>
                      <w:rFonts w:hint="eastAsia"/>
                      <w:sz w:val="24"/>
                      <w:szCs w:val="24"/>
                      <w:lang w:eastAsia="zh-CN"/>
                    </w:rPr>
                    <w:t>000元；合同期内，累计四个月或连续三个月的，采购人有权单方面解除合同。</w:t>
                  </w:r>
                </w:p>
                <w:p w14:paraId="22447443">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val="en-US" w:eastAsia="zh-CN"/>
                    </w:rPr>
                  </w:pPr>
                  <w:r>
                    <w:rPr>
                      <w:rFonts w:hint="eastAsia"/>
                      <w:sz w:val="24"/>
                      <w:szCs w:val="24"/>
                      <w:lang w:eastAsia="zh-CN"/>
                    </w:rPr>
                    <w:t>（5）分值＜70分，直接扣罚当月服务费用。合同期内，累计两个月的，采购人有权单方面解除合同。</w:t>
                  </w:r>
                </w:p>
                <w:p w14:paraId="60ACF79B">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sz w:val="24"/>
                      <w:szCs w:val="24"/>
                      <w:lang w:eastAsia="zh-CN"/>
                    </w:rPr>
                    <w:t>备注，所有扣罚款总金额不超过当月服务费用。</w:t>
                  </w:r>
                </w:p>
              </w:tc>
            </w:tr>
            <w:tr w14:paraId="40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5000" w:type="pct"/>
                  <w:gridSpan w:val="4"/>
                  <w:vAlign w:val="center"/>
                </w:tcPr>
                <w:p w14:paraId="74DA2757">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hint="eastAsia"/>
                      <w:sz w:val="24"/>
                      <w:szCs w:val="24"/>
                      <w:lang w:eastAsia="zh-CN"/>
                    </w:rPr>
                  </w:pPr>
                  <w:r>
                    <w:rPr>
                      <w:rFonts w:hint="eastAsia"/>
                      <w:b/>
                      <w:bCs/>
                      <w:sz w:val="24"/>
                      <w:szCs w:val="24"/>
                      <w:lang w:eastAsia="zh-CN"/>
                    </w:rPr>
                    <w:t>总务科经办人：</w:t>
                  </w:r>
                </w:p>
              </w:tc>
            </w:tr>
          </w:tbl>
          <w:p w14:paraId="39E2DDA0">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i w:val="0"/>
                <w:iCs w:val="0"/>
                <w:color w:val="000000"/>
                <w:sz w:val="28"/>
                <w:szCs w:val="28"/>
                <w:u w:val="none"/>
                <w:lang w:val="en-US" w:eastAsia="zh-CN"/>
              </w:rPr>
            </w:pPr>
          </w:p>
        </w:tc>
      </w:tr>
      <w:tr w14:paraId="601B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478520">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i w:val="0"/>
                <w:iCs w:val="0"/>
                <w:color w:val="000000"/>
                <w:sz w:val="28"/>
                <w:szCs w:val="28"/>
                <w:u w:val="none"/>
              </w:rPr>
            </w:pPr>
            <w:r>
              <w:rPr>
                <w:rFonts w:hint="eastAsia" w:ascii="楷体" w:hAnsi="楷体" w:eastAsia="楷体" w:cs="楷体"/>
                <w:i w:val="0"/>
                <w:iCs w:val="0"/>
                <w:color w:val="auto"/>
                <w:sz w:val="28"/>
                <w:szCs w:val="28"/>
                <w:u w:val="none"/>
                <w:lang w:val="en-US" w:eastAsia="zh-CN"/>
              </w:rPr>
              <w:t>说明：</w:t>
            </w:r>
            <w:r>
              <w:rPr>
                <w:rFonts w:hint="eastAsia" w:ascii="仿宋" w:hAnsi="仿宋" w:eastAsia="仿宋" w:cs="仿宋"/>
                <w:i w:val="0"/>
                <w:iCs w:val="0"/>
                <w:color w:val="000000"/>
                <w:sz w:val="28"/>
                <w:szCs w:val="28"/>
                <w:u w:val="none"/>
              </w:rPr>
              <w:t>1. 打“★”号条款为实质性条款，若有任何一条负偏离或不满足则视为无效响应。</w:t>
            </w:r>
          </w:p>
          <w:p w14:paraId="1916457F">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auto"/>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rPr>
              <w:t>2. 打“▲”号条款为重要条款（如有），若有部分“▲”条款未响应或不满足，将根据评审要求影响其得分，但不作为无效响应的条款。</w:t>
            </w:r>
          </w:p>
        </w:tc>
      </w:tr>
    </w:tbl>
    <w:p w14:paraId="6B3298A0">
      <w:pPr>
        <w:bidi w:val="0"/>
        <w:rPr>
          <w:rFonts w:hint="eastAsia"/>
          <w:lang w:val="en-US" w:eastAsia="zh-CN"/>
        </w:rPr>
      </w:pPr>
    </w:p>
    <w:p w14:paraId="183B522E">
      <w:pPr>
        <w:bidi w:val="0"/>
        <w:rPr>
          <w:rFonts w:hint="eastAsia"/>
          <w:lang w:val="en-US" w:eastAsia="zh-CN"/>
        </w:rPr>
      </w:pPr>
    </w:p>
    <w:p w14:paraId="5023DE07">
      <w:pPr>
        <w:bidi w:val="0"/>
        <w:rPr>
          <w:rFonts w:hint="eastAsia"/>
          <w:lang w:val="en-US" w:eastAsia="zh-CN"/>
        </w:rPr>
      </w:pPr>
    </w:p>
    <w:p w14:paraId="7050C271">
      <w:pPr>
        <w:bidi w:val="0"/>
        <w:rPr>
          <w:rFonts w:hint="eastAsia"/>
          <w:lang w:val="en-US" w:eastAsia="zh-CN"/>
        </w:rPr>
      </w:pPr>
    </w:p>
    <w:p w14:paraId="410777AC">
      <w:pPr>
        <w:bidi w:val="0"/>
        <w:rPr>
          <w:rFonts w:hint="eastAsia"/>
          <w:lang w:val="en-US" w:eastAsia="zh-CN"/>
        </w:rPr>
      </w:pPr>
    </w:p>
    <w:p w14:paraId="29BE1003">
      <w:pPr>
        <w:bidi w:val="0"/>
        <w:rPr>
          <w:rFonts w:hint="eastAsia"/>
          <w:lang w:val="en-US" w:eastAsia="zh-CN"/>
        </w:rPr>
      </w:pPr>
    </w:p>
    <w:p w14:paraId="7FADDEED">
      <w:pPr>
        <w:bidi w:val="0"/>
        <w:rPr>
          <w:rFonts w:hint="eastAsia"/>
          <w:lang w:val="en-US" w:eastAsia="zh-CN"/>
        </w:rPr>
      </w:pPr>
    </w:p>
    <w:p w14:paraId="29B75E6B">
      <w:pPr>
        <w:bidi w:val="0"/>
        <w:rPr>
          <w:rFonts w:hint="eastAsia"/>
          <w:lang w:val="en-US" w:eastAsia="zh-CN"/>
        </w:rPr>
      </w:pPr>
    </w:p>
    <w:p w14:paraId="095E1A5F">
      <w:pPr>
        <w:bidi w:val="0"/>
        <w:rPr>
          <w:rFonts w:hint="eastAsia"/>
          <w:lang w:val="en-US" w:eastAsia="zh-CN"/>
        </w:rPr>
      </w:pPr>
    </w:p>
    <w:p w14:paraId="2CA7C1C0">
      <w:pPr>
        <w:bidi w:val="0"/>
        <w:rPr>
          <w:rFonts w:hint="eastAsia"/>
          <w:lang w:val="en-US" w:eastAsia="zh-CN"/>
        </w:rPr>
      </w:pPr>
    </w:p>
    <w:p w14:paraId="6ABADB0F">
      <w:pPr>
        <w:bidi w:val="0"/>
        <w:rPr>
          <w:rFonts w:hint="eastAsia"/>
          <w:lang w:val="en-US" w:eastAsia="zh-CN"/>
        </w:rPr>
      </w:pPr>
    </w:p>
    <w:p w14:paraId="10E61507">
      <w:pPr>
        <w:bidi w:val="0"/>
        <w:rPr>
          <w:rFonts w:hint="eastAsia"/>
          <w:lang w:val="en-US" w:eastAsia="zh-CN"/>
        </w:rPr>
      </w:pPr>
    </w:p>
    <w:p w14:paraId="21938A93">
      <w:pPr>
        <w:bidi w:val="0"/>
        <w:rPr>
          <w:rFonts w:hint="eastAsia"/>
          <w:lang w:val="en-US" w:eastAsia="zh-CN"/>
        </w:rPr>
      </w:pPr>
    </w:p>
    <w:p w14:paraId="030325BA">
      <w:pPr>
        <w:bidi w:val="0"/>
        <w:rPr>
          <w:rFonts w:hint="eastAsia"/>
          <w:lang w:val="en-US" w:eastAsia="zh-CN"/>
        </w:rPr>
      </w:pPr>
    </w:p>
    <w:p w14:paraId="7007A9CC">
      <w:pPr>
        <w:bidi w:val="0"/>
        <w:rPr>
          <w:rFonts w:hint="eastAsia"/>
          <w:lang w:val="en-US" w:eastAsia="zh-CN"/>
        </w:rPr>
      </w:pPr>
    </w:p>
    <w:p w14:paraId="00779E51">
      <w:pPr>
        <w:bidi w:val="0"/>
        <w:rPr>
          <w:rFonts w:hint="eastAsia"/>
          <w:lang w:val="en-US" w:eastAsia="zh-CN"/>
        </w:rPr>
      </w:pPr>
    </w:p>
    <w:p w14:paraId="2C354773">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b w:val="0"/>
          <w:highlight w:val="none"/>
          <w:lang w:val="en-US" w:eastAsia="zh-CN"/>
        </w:rPr>
      </w:pPr>
      <w:bookmarkStart w:id="11" w:name="_Toc15360"/>
      <w:r>
        <w:rPr>
          <w:rFonts w:hint="eastAsia" w:ascii="方正小标宋简体" w:hAnsi="方正小标宋简体" w:eastAsia="方正小标宋简体"/>
          <w:b w:val="0"/>
          <w:highlight w:val="none"/>
          <w:lang w:val="en-US" w:eastAsia="zh-CN"/>
        </w:rPr>
        <w:t>第三章</w:t>
      </w:r>
      <w:r>
        <w:rPr>
          <w:rFonts w:hint="default" w:ascii="方正小标宋简体" w:hAnsi="方正小标宋简体" w:eastAsia="方正小标宋简体"/>
          <w:b w:val="0"/>
          <w:highlight w:val="none"/>
          <w:lang w:val="en-US" w:eastAsia="zh-CN"/>
        </w:rPr>
        <w:t xml:space="preserve"> </w:t>
      </w:r>
      <w:r>
        <w:rPr>
          <w:rFonts w:hint="eastAsia" w:ascii="方正小标宋简体" w:hAnsi="方正小标宋简体" w:eastAsia="方正小标宋简体"/>
          <w:b w:val="0"/>
          <w:highlight w:val="none"/>
          <w:lang w:val="en-US" w:eastAsia="zh-CN"/>
        </w:rPr>
        <w:t>评分标准</w:t>
      </w:r>
      <w:bookmarkEnd w:id="11"/>
    </w:p>
    <w:tbl>
      <w:tblPr>
        <w:tblStyle w:val="21"/>
        <w:tblW w:w="5156" w:type="pct"/>
        <w:tblInd w:w="-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2233"/>
        <w:gridCol w:w="6118"/>
        <w:gridCol w:w="496"/>
      </w:tblGrid>
      <w:tr w14:paraId="5FCA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BC8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评审因素</w:t>
            </w:r>
          </w:p>
        </w:tc>
        <w:tc>
          <w:tcPr>
            <w:tcW w:w="119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670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评审标准</w:t>
            </w:r>
            <w:bookmarkStart w:id="12" w:name="_GoBack"/>
            <w:bookmarkEnd w:id="12"/>
          </w:p>
        </w:tc>
        <w:tc>
          <w:tcPr>
            <w:tcW w:w="32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84C9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评审内容</w:t>
            </w:r>
          </w:p>
        </w:tc>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4A29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分值</w:t>
            </w:r>
          </w:p>
        </w:tc>
      </w:tr>
      <w:tr w14:paraId="1174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65" w:type="pct"/>
            <w:vMerge w:val="restart"/>
            <w:tcBorders>
              <w:top w:val="single" w:color="000000" w:sz="8" w:space="0"/>
              <w:left w:val="single" w:color="000000" w:sz="8" w:space="0"/>
              <w:right w:val="single" w:color="000000" w:sz="8" w:space="0"/>
            </w:tcBorders>
            <w:shd w:val="clear" w:color="auto" w:fill="auto"/>
            <w:vAlign w:val="center"/>
          </w:tcPr>
          <w:p w14:paraId="504BD47A">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auto"/>
                <w:sz w:val="28"/>
                <w:szCs w:val="28"/>
                <w:u w:val="none"/>
              </w:rPr>
            </w:pPr>
            <w:r>
              <w:rPr>
                <w:rStyle w:val="49"/>
                <w:color w:val="auto"/>
                <w:lang w:val="en-US" w:eastAsia="zh-CN" w:bidi="ar"/>
              </w:rPr>
              <w:t>技术要求</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0DDB0DB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项目的管理实施方案 (10.0分)</w:t>
            </w:r>
          </w:p>
          <w:p w14:paraId="22E5AAC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Style w:val="50"/>
                <w:sz w:val="16"/>
                <w:szCs w:val="16"/>
                <w:lang w:val="en-US" w:eastAsia="zh-CN" w:bidi="ar"/>
              </w:rPr>
              <w:t>（等次分值选择：0.0;1.0;4.0;7.0;10.0;）</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1959B4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根据</w:t>
            </w:r>
            <w:r>
              <w:rPr>
                <w:rFonts w:hint="eastAsia" w:cs="Times New Roman"/>
                <w:lang w:val="en-US" w:eastAsia="zh-CN"/>
              </w:rPr>
              <w:t>供应商</w:t>
            </w:r>
            <w:r>
              <w:rPr>
                <w:rFonts w:hint="default" w:cs="Times New Roman"/>
                <w:lang w:val="en-US" w:eastAsia="zh-CN"/>
              </w:rPr>
              <w:t xml:space="preserve">针对本项目提出的项目管理实施方案是否清晰详细，合理、规范并具有操作性进行评审，包括但不限于病媒生物防制工作内容、管理制度、人员培训、设备安排、时间安排等内容： 管理实施方案清晰详细、具有规范合理的操作性、方案包含上述内容的，得10分； </w:t>
            </w:r>
          </w:p>
          <w:p w14:paraId="3222D93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管理实施方案较清晰较详细、具有较规范合理的操作性、方案大概包含上述内容的，得7分； </w:t>
            </w:r>
          </w:p>
          <w:p w14:paraId="2FB0FB7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管理实施方案基本清晰基本详细、具有基本规范合理的操作性、方案基本包含上述内容的，得4分； </w:t>
            </w:r>
          </w:p>
          <w:p w14:paraId="12492C5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管理实施方案不够清晰，不够详细、操作性较差、方案中上述内容缺少较严重的，得1分；</w:t>
            </w:r>
          </w:p>
          <w:p w14:paraId="6785828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未提供不得分。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0347567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36DED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65" w:type="pct"/>
            <w:vMerge w:val="continue"/>
            <w:tcBorders>
              <w:left w:val="single" w:color="000000" w:sz="8" w:space="0"/>
              <w:right w:val="single" w:color="000000" w:sz="8" w:space="0"/>
            </w:tcBorders>
            <w:shd w:val="clear" w:color="auto" w:fill="auto"/>
            <w:vAlign w:val="center"/>
          </w:tcPr>
          <w:p w14:paraId="52EA34E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6E9D16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质量保障方案 (10.0分)</w:t>
            </w:r>
          </w:p>
          <w:p w14:paraId="3DEE8F8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Style w:val="50"/>
                <w:sz w:val="16"/>
                <w:szCs w:val="16"/>
                <w:lang w:val="en-US" w:eastAsia="zh-CN" w:bidi="ar"/>
              </w:rPr>
              <w:t>（等次分值选择：0.0;1.0;3.0;7.0;10.0;）</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1437A2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质量保障方案包括质量控制及规章制度：  </w:t>
            </w:r>
          </w:p>
          <w:p w14:paraId="16983A7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质量控制及规章制度全面、具体、针对性强、可行性高，得10分；  </w:t>
            </w:r>
          </w:p>
          <w:p w14:paraId="7B1AC93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质量控制及规章制度较全面、较具体、针对性较强、可行性较高，得7分；  </w:t>
            </w:r>
          </w:p>
          <w:p w14:paraId="5A2C8B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质量控制及规章制度基本全面、基本具体、具有针对性、具有可行性，得</w:t>
            </w:r>
            <w:r>
              <w:rPr>
                <w:rFonts w:hint="eastAsia" w:cs="Times New Roman"/>
                <w:lang w:val="en-US" w:eastAsia="zh-CN"/>
              </w:rPr>
              <w:t>4</w:t>
            </w:r>
            <w:r>
              <w:rPr>
                <w:rFonts w:hint="default" w:cs="Times New Roman"/>
                <w:lang w:val="en-US" w:eastAsia="zh-CN"/>
              </w:rPr>
              <w:t xml:space="preserve">分；  </w:t>
            </w:r>
          </w:p>
          <w:p w14:paraId="038D877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质量控制及规章制度不够全面、不够具体、针对性较低、基本可行，得1分；  </w:t>
            </w:r>
          </w:p>
          <w:p w14:paraId="43CB13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其他或不提供不得分。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218EFF4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5EFA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 w:type="pct"/>
            <w:vMerge w:val="continue"/>
            <w:tcBorders>
              <w:left w:val="single" w:color="000000" w:sz="8" w:space="0"/>
              <w:right w:val="single" w:color="000000" w:sz="8" w:space="0"/>
            </w:tcBorders>
            <w:shd w:val="clear" w:color="auto" w:fill="auto"/>
            <w:vAlign w:val="center"/>
          </w:tcPr>
          <w:p w14:paraId="18DDFB9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7DC261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害虫种类的针对性防制 (10.0分)</w:t>
            </w:r>
          </w:p>
          <w:p w14:paraId="2A1B81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Style w:val="50"/>
                <w:sz w:val="16"/>
                <w:szCs w:val="16"/>
                <w:lang w:val="en-US" w:eastAsia="zh-CN" w:bidi="ar"/>
              </w:rPr>
              <w:t>（等次分值选择：0.0;1.0;4.0;7.0;10.0;）</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6B48921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根据</w:t>
            </w:r>
            <w:r>
              <w:rPr>
                <w:rFonts w:hint="eastAsia" w:cs="Times New Roman"/>
                <w:lang w:val="en-US" w:eastAsia="zh-CN"/>
              </w:rPr>
              <w:t>供应商</w:t>
            </w:r>
            <w:r>
              <w:rPr>
                <w:rFonts w:hint="default" w:cs="Times New Roman"/>
                <w:lang w:val="en-US" w:eastAsia="zh-CN"/>
              </w:rPr>
              <w:t xml:space="preserve">掌握每种害虫防制的周期，安排科学、合理的防制害虫种群的方式，考虑不同环境的用药方案及方法，安全性及可操作性进行评审： </w:t>
            </w:r>
          </w:p>
          <w:p w14:paraId="3D5E6DF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具有完善全面的害虫防制周期描述、具有科学、合理的防制害虫种群的方式、具有可操作性高的不同环境的用药方案及方法，得10分； </w:t>
            </w:r>
          </w:p>
          <w:p w14:paraId="0AE0D4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具有较完善较全面的害虫防制周期描述、具有较科学、较合理防制害虫种群的方式、具有较高操作性的不同环境的用药方案及方法，得7分； </w:t>
            </w:r>
          </w:p>
          <w:p w14:paraId="11DEDC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具有基本全面的害虫防制周期描述、防制害虫种群的方式基本科学、基本合理、不同环境的用药方案及方法具有一定操作性，得4分； </w:t>
            </w:r>
          </w:p>
          <w:p w14:paraId="5F3C04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害虫防制周期描述不够完善不够全面的、防制害虫种群的方式不够科学合理的、不同环境的用药方案及方法操作性较低的，得1分； </w:t>
            </w:r>
          </w:p>
          <w:p w14:paraId="2C44046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未提供不得分。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28FF0854">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79E7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 w:type="pct"/>
            <w:vMerge w:val="continue"/>
            <w:tcBorders>
              <w:left w:val="single" w:color="000000" w:sz="8" w:space="0"/>
              <w:right w:val="single" w:color="000000" w:sz="8" w:space="0"/>
            </w:tcBorders>
            <w:shd w:val="clear" w:color="auto" w:fill="auto"/>
            <w:vAlign w:val="center"/>
          </w:tcPr>
          <w:p w14:paraId="208F19A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C257F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服务保障方案 (10.0分)</w:t>
            </w:r>
          </w:p>
          <w:p w14:paraId="68A9EA9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Style w:val="50"/>
                <w:sz w:val="16"/>
                <w:szCs w:val="16"/>
                <w:lang w:val="en-US" w:eastAsia="zh-CN" w:bidi="ar"/>
              </w:rPr>
              <w:t>（等次分值选择：0.0;1.0;4.0;7.0;10.0;）</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6AA6F1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服务保障方案包括安全和防护制度、应急计划及措施：  </w:t>
            </w:r>
          </w:p>
          <w:p w14:paraId="3B3CAD1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方案或计划全面、完善、合理，得10分；  </w:t>
            </w:r>
          </w:p>
          <w:p w14:paraId="6F282F4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方案或计划较全面、较完善、较合理，得7分；  </w:t>
            </w:r>
          </w:p>
          <w:p w14:paraId="3A131BB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方案或计基本全面、基本完善、基本合理，得4分  </w:t>
            </w:r>
          </w:p>
          <w:p w14:paraId="256A88B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方案或计划不够全面，不够完善、不够合理，得1分；  </w:t>
            </w:r>
          </w:p>
          <w:p w14:paraId="5606CDE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其他或不提供不得分。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5E30F2B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4881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 w:type="pct"/>
            <w:vMerge w:val="continue"/>
            <w:tcBorders>
              <w:left w:val="single" w:color="000000" w:sz="8" w:space="0"/>
              <w:bottom w:val="single" w:color="000000" w:sz="8" w:space="0"/>
              <w:right w:val="single" w:color="000000" w:sz="8" w:space="0"/>
            </w:tcBorders>
            <w:shd w:val="clear" w:color="auto" w:fill="auto"/>
            <w:vAlign w:val="center"/>
          </w:tcPr>
          <w:p w14:paraId="212120D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31A0C7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应急响应方案 (10.0分)</w:t>
            </w:r>
          </w:p>
          <w:p w14:paraId="2C5261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Style w:val="50"/>
                <w:sz w:val="16"/>
                <w:szCs w:val="16"/>
                <w:lang w:val="en-US" w:eastAsia="zh-CN" w:bidi="ar"/>
              </w:rPr>
              <w:t>（等次分值选择：0.0;1.0;4.0;7.0;10.0;）</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68203A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应急响应方案包含但不限于： （1）特色服务方案； （2）突发事件的处理措施； （3）应急预案。 针对本项目的应急响应方案，特色服务方案，突发事件的处理措施和应急预案详细可行，得10分； </w:t>
            </w:r>
          </w:p>
          <w:p w14:paraId="3D71F1D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针对本项目的应急响应方案、特色服务条款，突发事件的处理措施和应急预案较详细、较可行，得7分； </w:t>
            </w:r>
          </w:p>
          <w:p w14:paraId="3745BF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针对本项目的应急响应方案、特色服务条款，突发事件的处理措施和应急预案基本详细、基本可行，得4分； </w:t>
            </w:r>
          </w:p>
          <w:p w14:paraId="28C1F3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针对本项目的应急响应方案、特色服务条款，突发事件的处理措施和应急预案不够详细，可行性较低，得1分； </w:t>
            </w:r>
          </w:p>
          <w:p w14:paraId="40E51E3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未提供不得分。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4EBD486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2ECAC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65" w:type="pct"/>
            <w:vMerge w:val="restart"/>
            <w:tcBorders>
              <w:top w:val="single" w:color="000000" w:sz="8" w:space="0"/>
              <w:left w:val="single" w:color="000000" w:sz="8" w:space="0"/>
              <w:right w:val="single" w:color="000000" w:sz="8" w:space="0"/>
            </w:tcBorders>
            <w:shd w:val="clear" w:color="auto" w:fill="auto"/>
            <w:vAlign w:val="center"/>
          </w:tcPr>
          <w:p w14:paraId="337C28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楷体" w:hAnsi="楷体" w:eastAsia="楷体" w:cs="楷体"/>
                <w:i w:val="0"/>
                <w:iCs w:val="0"/>
                <w:color w:val="auto"/>
                <w:sz w:val="28"/>
                <w:szCs w:val="28"/>
                <w:u w:val="none"/>
              </w:rPr>
            </w:pPr>
            <w:r>
              <w:rPr>
                <w:rStyle w:val="49"/>
                <w:color w:val="auto"/>
                <w:lang w:val="en-US" w:eastAsia="zh-CN" w:bidi="ar"/>
              </w:rPr>
              <w:t>商务要求</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0D825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eastAsia"/>
                <w:lang w:val="en-US" w:eastAsia="zh-CN" w:bidi="ar"/>
              </w:rPr>
            </w:pPr>
            <w:r>
              <w:rPr>
                <w:rStyle w:val="50"/>
                <w:lang w:val="en-US" w:eastAsia="zh-CN" w:bidi="ar"/>
              </w:rPr>
              <w:t>供应商202</w:t>
            </w:r>
            <w:r>
              <w:rPr>
                <w:rStyle w:val="50"/>
                <w:rFonts w:hint="eastAsia"/>
                <w:lang w:val="en-US" w:eastAsia="zh-CN" w:bidi="ar"/>
              </w:rPr>
              <w:t>1</w:t>
            </w:r>
            <w:r>
              <w:rPr>
                <w:rStyle w:val="50"/>
                <w:lang w:val="en-US" w:eastAsia="zh-CN" w:bidi="ar"/>
              </w:rPr>
              <w:t>年1月1日至今同类项目业绩情况 (</w:t>
            </w:r>
            <w:r>
              <w:rPr>
                <w:rStyle w:val="50"/>
                <w:rFonts w:hint="eastAsia"/>
                <w:lang w:val="en-US" w:eastAsia="zh-CN" w:bidi="ar"/>
              </w:rPr>
              <w:t>10</w:t>
            </w:r>
            <w:r>
              <w:rPr>
                <w:rStyle w:val="50"/>
                <w:lang w:val="en-US" w:eastAsia="zh-CN" w:bidi="ar"/>
              </w:rPr>
              <w:t>.0分)</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38AEC8A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eastAsia" w:cs="Times New Roman"/>
                <w:lang w:val="en-US" w:eastAsia="zh-CN"/>
              </w:rPr>
              <w:t>供应商</w:t>
            </w:r>
            <w:r>
              <w:rPr>
                <w:rFonts w:hint="default" w:cs="Times New Roman"/>
                <w:lang w:val="en-US" w:eastAsia="zh-CN"/>
              </w:rPr>
              <w:t>202</w:t>
            </w:r>
            <w:r>
              <w:rPr>
                <w:rFonts w:hint="eastAsia" w:cs="Times New Roman"/>
                <w:lang w:val="en-US" w:eastAsia="zh-CN"/>
              </w:rPr>
              <w:t>1</w:t>
            </w:r>
            <w:r>
              <w:rPr>
                <w:rFonts w:hint="default" w:cs="Times New Roman"/>
                <w:lang w:val="en-US" w:eastAsia="zh-CN"/>
              </w:rPr>
              <w:t>年1月1日至今（时间以合同签订日期为准）拥有的同类项目业绩，每提供一个得</w:t>
            </w:r>
            <w:r>
              <w:rPr>
                <w:rFonts w:hint="eastAsia" w:cs="Times New Roman"/>
                <w:lang w:val="en-US" w:eastAsia="zh-CN"/>
              </w:rPr>
              <w:t>1</w:t>
            </w:r>
            <w:r>
              <w:rPr>
                <w:rFonts w:hint="default" w:cs="Times New Roman"/>
                <w:lang w:val="en-US" w:eastAsia="zh-CN"/>
              </w:rPr>
              <w:t>分，最高得</w:t>
            </w:r>
            <w:r>
              <w:rPr>
                <w:rFonts w:hint="eastAsia" w:cs="Times New Roman"/>
                <w:lang w:val="en-US" w:eastAsia="zh-CN"/>
              </w:rPr>
              <w:t>10</w:t>
            </w:r>
            <w:r>
              <w:rPr>
                <w:rFonts w:hint="default" w:cs="Times New Roman"/>
                <w:lang w:val="en-US" w:eastAsia="zh-CN"/>
              </w:rPr>
              <w:t xml:space="preserve">分。 </w:t>
            </w:r>
          </w:p>
          <w:p w14:paraId="754F9A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备注： （1）以合同签订日期为准。 （2）附上合同关键页（含签订合同双方的单位名称、合同项目名称、合同清单/合同概况、签订合同双方的落款盖章、签订日期的关键页）复印件作为同类业绩证明资料</w:t>
            </w:r>
            <w:r>
              <w:rPr>
                <w:rFonts w:hint="eastAsia" w:cs="Times New Roman"/>
                <w:lang w:val="en-US" w:eastAsia="zh-CN"/>
              </w:rPr>
              <w:t>。未按要求提供合同关键页或合同关键页不清晰而不能准确识别的不得分。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410D0658">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10</w:t>
            </w:r>
          </w:p>
        </w:tc>
      </w:tr>
      <w:tr w14:paraId="5A0F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 w:type="pct"/>
            <w:vMerge w:val="continue"/>
            <w:tcBorders>
              <w:left w:val="single" w:color="000000" w:sz="8" w:space="0"/>
              <w:right w:val="single" w:color="000000" w:sz="8" w:space="0"/>
            </w:tcBorders>
            <w:shd w:val="clear" w:color="auto" w:fill="auto"/>
            <w:vAlign w:val="center"/>
          </w:tcPr>
          <w:p w14:paraId="75602A4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15E57C9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eastAsia"/>
                <w:lang w:val="en-US" w:eastAsia="zh-CN" w:bidi="ar"/>
              </w:rPr>
            </w:pPr>
            <w:r>
              <w:rPr>
                <w:rStyle w:val="50"/>
                <w:lang w:val="en-US" w:eastAsia="zh-CN" w:bidi="ar"/>
              </w:rPr>
              <w:t>用户满意度评价 (</w:t>
            </w:r>
            <w:r>
              <w:rPr>
                <w:rStyle w:val="50"/>
                <w:rFonts w:hint="eastAsia"/>
                <w:lang w:val="en-US" w:eastAsia="zh-CN" w:bidi="ar"/>
              </w:rPr>
              <w:t>5</w:t>
            </w:r>
            <w:r>
              <w:rPr>
                <w:rStyle w:val="50"/>
                <w:lang w:val="en-US" w:eastAsia="zh-CN" w:bidi="ar"/>
              </w:rPr>
              <w:t>.0分)</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4B79CC0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eastAsia" w:cs="Times New Roman"/>
                <w:lang w:val="en-US" w:eastAsia="zh-CN"/>
              </w:rPr>
              <w:t>供应商</w:t>
            </w:r>
            <w:r>
              <w:rPr>
                <w:rFonts w:hint="default" w:cs="Times New Roman"/>
                <w:lang w:val="en-US" w:eastAsia="zh-CN"/>
              </w:rPr>
              <w:t>提供符合上述要求的“</w:t>
            </w:r>
            <w:r>
              <w:rPr>
                <w:rFonts w:hint="eastAsia" w:cs="Times New Roman"/>
                <w:lang w:val="en-US" w:eastAsia="zh-CN"/>
              </w:rPr>
              <w:t>供应商</w:t>
            </w:r>
            <w:r>
              <w:rPr>
                <w:rFonts w:hint="default" w:cs="Times New Roman"/>
                <w:lang w:val="en-US" w:eastAsia="zh-CN"/>
              </w:rPr>
              <w:t>202</w:t>
            </w:r>
            <w:r>
              <w:rPr>
                <w:rFonts w:hint="eastAsia" w:cs="Times New Roman"/>
                <w:lang w:val="en-US" w:eastAsia="zh-CN"/>
              </w:rPr>
              <w:t>1</w:t>
            </w:r>
            <w:r>
              <w:rPr>
                <w:rFonts w:hint="default" w:cs="Times New Roman"/>
                <w:lang w:val="en-US" w:eastAsia="zh-CN"/>
              </w:rPr>
              <w:t>年1月1日至今同类项目业绩情况”的用户单位出具的满意度评价</w:t>
            </w:r>
            <w:r>
              <w:rPr>
                <w:rFonts w:hint="eastAsia" w:cs="Times New Roman"/>
                <w:lang w:val="en-US" w:eastAsia="zh-CN"/>
              </w:rPr>
              <w:t>（提供证明材料复印件）</w:t>
            </w:r>
            <w:r>
              <w:rPr>
                <w:rFonts w:hint="default" w:cs="Times New Roman"/>
                <w:lang w:val="en-US" w:eastAsia="zh-CN"/>
              </w:rPr>
              <w:t>： 每提供一项得</w:t>
            </w:r>
            <w:r>
              <w:rPr>
                <w:rFonts w:hint="eastAsia" w:cs="Times New Roman"/>
                <w:lang w:val="en-US" w:eastAsia="zh-CN"/>
              </w:rPr>
              <w:t>1</w:t>
            </w:r>
            <w:r>
              <w:rPr>
                <w:rFonts w:hint="default" w:cs="Times New Roman"/>
                <w:lang w:val="en-US" w:eastAsia="zh-CN"/>
              </w:rPr>
              <w:t xml:space="preserve">分，最高5分。 </w:t>
            </w:r>
          </w:p>
          <w:p w14:paraId="13BA369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备注： （1）同一客户或同一项目提供多项用户满意度评价的，按一项计算； （2）须与</w:t>
            </w:r>
            <w:r>
              <w:rPr>
                <w:rFonts w:hint="eastAsia" w:cs="Times New Roman"/>
                <w:lang w:val="en-US" w:eastAsia="zh-CN"/>
              </w:rPr>
              <w:t>供应商</w:t>
            </w:r>
            <w:r>
              <w:rPr>
                <w:rFonts w:hint="default" w:cs="Times New Roman"/>
                <w:lang w:val="en-US" w:eastAsia="zh-CN"/>
              </w:rPr>
              <w:t>上述提供的“</w:t>
            </w:r>
            <w:r>
              <w:rPr>
                <w:rFonts w:hint="eastAsia" w:cs="Times New Roman"/>
                <w:lang w:val="en-US" w:eastAsia="zh-CN"/>
              </w:rPr>
              <w:t>供应商</w:t>
            </w:r>
            <w:r>
              <w:rPr>
                <w:rFonts w:hint="default" w:cs="Times New Roman"/>
                <w:lang w:val="en-US" w:eastAsia="zh-CN"/>
              </w:rPr>
              <w:t>202</w:t>
            </w:r>
            <w:r>
              <w:rPr>
                <w:rFonts w:hint="eastAsia" w:cs="Times New Roman"/>
                <w:lang w:val="en-US" w:eastAsia="zh-CN"/>
              </w:rPr>
              <w:t>1</w:t>
            </w:r>
            <w:r>
              <w:rPr>
                <w:rFonts w:hint="default" w:cs="Times New Roman"/>
                <w:lang w:val="en-US" w:eastAsia="zh-CN"/>
              </w:rPr>
              <w:t>年1月1日至今同类项目业绩情况”的用户单位一致； （3）用户满意度评价须经用户单位盖章，评价材料必须达到90分或带有“满意”或“好评”或“优秀”等相关正面评价字眼方可计分。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6204ECB7">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5</w:t>
            </w:r>
          </w:p>
        </w:tc>
      </w:tr>
      <w:tr w14:paraId="4A00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65" w:type="pct"/>
            <w:vMerge w:val="continue"/>
            <w:tcBorders>
              <w:left w:val="single" w:color="000000" w:sz="8" w:space="0"/>
              <w:right w:val="single" w:color="000000" w:sz="8" w:space="0"/>
            </w:tcBorders>
            <w:shd w:val="clear" w:color="auto" w:fill="auto"/>
            <w:vAlign w:val="center"/>
          </w:tcPr>
          <w:p w14:paraId="4FB58D55">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6FFF90C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eastAsia"/>
                <w:lang w:val="en-US" w:eastAsia="zh-CN" w:bidi="ar"/>
              </w:rPr>
            </w:pPr>
            <w:r>
              <w:rPr>
                <w:rStyle w:val="50"/>
                <w:lang w:val="en-US" w:eastAsia="zh-CN" w:bidi="ar"/>
              </w:rPr>
              <w:t>供应商拟投入消杀技术人员情况 (</w:t>
            </w:r>
            <w:r>
              <w:rPr>
                <w:rStyle w:val="50"/>
                <w:rFonts w:hint="eastAsia"/>
                <w:lang w:val="en-US" w:eastAsia="zh-CN" w:bidi="ar"/>
              </w:rPr>
              <w:t>9</w:t>
            </w:r>
            <w:r>
              <w:rPr>
                <w:rStyle w:val="50"/>
                <w:lang w:val="en-US" w:eastAsia="zh-CN" w:bidi="ar"/>
              </w:rPr>
              <w:t>.0分)</w:t>
            </w:r>
          </w:p>
        </w:tc>
        <w:tc>
          <w:tcPr>
            <w:tcW w:w="3273" w:type="pct"/>
            <w:tcBorders>
              <w:top w:val="nil"/>
              <w:left w:val="single" w:color="000000" w:sz="8" w:space="0"/>
              <w:bottom w:val="single" w:color="000000" w:sz="8" w:space="0"/>
              <w:right w:val="single" w:color="000000" w:sz="8" w:space="0"/>
            </w:tcBorders>
            <w:shd w:val="clear" w:color="auto" w:fill="auto"/>
            <w:vAlign w:val="top"/>
          </w:tcPr>
          <w:p w14:paraId="63832A5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 xml:space="preserve">消杀技术人员要求： </w:t>
            </w:r>
          </w:p>
          <w:p w14:paraId="70D5B82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（1）提供4人具有国家人力资源和社会保障单位颁发的高级（三级）或以上有害生物防</w:t>
            </w:r>
            <w:r>
              <w:rPr>
                <w:rFonts w:hint="eastAsia" w:cs="Times New Roman"/>
                <w:lang w:val="en-US" w:eastAsia="zh-CN"/>
              </w:rPr>
              <w:t>制</w:t>
            </w:r>
            <w:r>
              <w:rPr>
                <w:rFonts w:hint="default" w:cs="Times New Roman"/>
                <w:lang w:val="en-US" w:eastAsia="zh-CN"/>
              </w:rPr>
              <w:t xml:space="preserve">员职业资格证书的，满足以上条件得6分，不满足不得分； </w:t>
            </w:r>
          </w:p>
          <w:p w14:paraId="7A2FD90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（2）在（1）基础上每</w:t>
            </w:r>
            <w:r>
              <w:rPr>
                <w:rFonts w:hint="eastAsia" w:cs="Times New Roman"/>
                <w:lang w:val="en-US" w:eastAsia="zh-CN"/>
              </w:rPr>
              <w:t>多</w:t>
            </w:r>
            <w:r>
              <w:rPr>
                <w:rFonts w:hint="default" w:cs="Times New Roman"/>
                <w:lang w:val="en-US" w:eastAsia="zh-CN"/>
              </w:rPr>
              <w:t>提供一人具有国家人力资源和社会保障单位颁发的高级（三级）或以上有害生物防制员职业资格证书的，得1分，最高加</w:t>
            </w:r>
            <w:r>
              <w:rPr>
                <w:rFonts w:hint="eastAsia" w:cs="Times New Roman"/>
                <w:lang w:val="en-US" w:eastAsia="zh-CN"/>
              </w:rPr>
              <w:t>3</w:t>
            </w:r>
            <w:r>
              <w:rPr>
                <w:rFonts w:hint="default" w:cs="Times New Roman"/>
                <w:lang w:val="en-US" w:eastAsia="zh-CN"/>
              </w:rPr>
              <w:t>分。 本项累计最高得</w:t>
            </w:r>
            <w:r>
              <w:rPr>
                <w:rFonts w:hint="eastAsia" w:cs="Times New Roman"/>
                <w:lang w:val="en-US" w:eastAsia="zh-CN"/>
              </w:rPr>
              <w:t>9</w:t>
            </w:r>
            <w:r>
              <w:rPr>
                <w:rFonts w:hint="default" w:cs="Times New Roman"/>
                <w:lang w:val="en-US" w:eastAsia="zh-CN"/>
              </w:rPr>
              <w:t xml:space="preserve">分。 </w:t>
            </w:r>
          </w:p>
          <w:p w14:paraId="0EEB029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备注： （1）提供有效期内的资格证书复印件。 （2）由社保机构或税务部门出具的在</w:t>
            </w:r>
            <w:r>
              <w:rPr>
                <w:rFonts w:hint="eastAsia" w:cs="Times New Roman"/>
                <w:lang w:val="en-US" w:eastAsia="zh-CN"/>
              </w:rPr>
              <w:t>响应</w:t>
            </w:r>
            <w:r>
              <w:rPr>
                <w:rFonts w:hint="default" w:cs="Times New Roman"/>
                <w:lang w:val="en-US" w:eastAsia="zh-CN"/>
              </w:rPr>
              <w:t>截止日前6月内任意一个月为本项目服务人员的投保单或社会保险参保人员缴费证明或单位代缴个人所得税税单的复印件。</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4C3BA8E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default"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9</w:t>
            </w:r>
          </w:p>
        </w:tc>
      </w:tr>
      <w:tr w14:paraId="3E5BB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65" w:type="pct"/>
            <w:vMerge w:val="continue"/>
            <w:tcBorders>
              <w:left w:val="single" w:color="000000" w:sz="8" w:space="0"/>
              <w:bottom w:val="single" w:color="000000" w:sz="8" w:space="0"/>
              <w:right w:val="single" w:color="000000" w:sz="8" w:space="0"/>
            </w:tcBorders>
            <w:shd w:val="clear" w:color="auto" w:fill="auto"/>
            <w:vAlign w:val="center"/>
          </w:tcPr>
          <w:p w14:paraId="5E44A341">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楷体" w:hAnsi="楷体" w:eastAsia="楷体" w:cs="楷体"/>
                <w:i w:val="0"/>
                <w:iCs w:val="0"/>
                <w:color w:val="FF0000"/>
                <w:sz w:val="28"/>
                <w:szCs w:val="28"/>
                <w:u w:val="none"/>
              </w:rPr>
            </w:pP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5A34C71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lang w:val="en-US" w:eastAsia="zh-CN" w:bidi="ar"/>
              </w:rPr>
            </w:pPr>
            <w:r>
              <w:rPr>
                <w:rStyle w:val="50"/>
                <w:lang w:val="en-US" w:eastAsia="zh-CN" w:bidi="ar"/>
              </w:rPr>
              <w:t>企业管理体系认证情况 (6.0分)</w:t>
            </w:r>
          </w:p>
          <w:p w14:paraId="73BDC58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eastAsia"/>
                <w:lang w:val="en-US" w:eastAsia="zh-CN" w:bidi="ar"/>
              </w:rPr>
            </w:pPr>
          </w:p>
        </w:tc>
        <w:tc>
          <w:tcPr>
            <w:tcW w:w="3273" w:type="pct"/>
            <w:tcBorders>
              <w:top w:val="nil"/>
              <w:left w:val="single" w:color="000000" w:sz="8" w:space="0"/>
              <w:bottom w:val="single" w:color="000000" w:sz="8" w:space="0"/>
              <w:right w:val="single" w:color="000000" w:sz="8" w:space="0"/>
            </w:tcBorders>
            <w:shd w:val="clear" w:color="auto" w:fill="auto"/>
            <w:vAlign w:val="top"/>
          </w:tcPr>
          <w:p w14:paraId="361E486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cs="Times New Roman"/>
                <w:lang w:val="en-US" w:eastAsia="zh-CN"/>
              </w:rPr>
            </w:pPr>
            <w:r>
              <w:rPr>
                <w:rFonts w:hint="default" w:cs="Times New Roman"/>
                <w:lang w:val="en-US" w:eastAsia="zh-CN"/>
              </w:rPr>
              <w:t>1、</w:t>
            </w:r>
            <w:r>
              <w:rPr>
                <w:rFonts w:hint="eastAsia" w:cs="Times New Roman"/>
                <w:lang w:val="en-US" w:eastAsia="zh-CN"/>
              </w:rPr>
              <w:t>供应商</w:t>
            </w:r>
            <w:r>
              <w:rPr>
                <w:rFonts w:hint="default" w:cs="Times New Roman"/>
                <w:lang w:val="en-US" w:eastAsia="zh-CN"/>
              </w:rPr>
              <w:t>具有质量管理体系认证证书得2分； 2、</w:t>
            </w:r>
            <w:r>
              <w:rPr>
                <w:rFonts w:hint="eastAsia" w:cs="Times New Roman"/>
                <w:lang w:val="en-US" w:eastAsia="zh-CN"/>
              </w:rPr>
              <w:t>供应商</w:t>
            </w:r>
            <w:r>
              <w:rPr>
                <w:rFonts w:hint="default" w:cs="Times New Roman"/>
                <w:lang w:val="en-US" w:eastAsia="zh-CN"/>
              </w:rPr>
              <w:t>具有环境管理体系认证证书得2分； 3、</w:t>
            </w:r>
            <w:r>
              <w:rPr>
                <w:rFonts w:hint="eastAsia" w:cs="Times New Roman"/>
                <w:lang w:val="en-US" w:eastAsia="zh-CN"/>
              </w:rPr>
              <w:t>供应商</w:t>
            </w:r>
            <w:r>
              <w:rPr>
                <w:rFonts w:hint="default" w:cs="Times New Roman"/>
                <w:lang w:val="en-US" w:eastAsia="zh-CN"/>
              </w:rPr>
              <w:t xml:space="preserve">具有职业健康安全管理体系认证证书得2分。 </w:t>
            </w:r>
          </w:p>
          <w:p w14:paraId="3FC75D3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cs="Times New Roman"/>
                <w:lang w:val="en-US" w:eastAsia="zh-CN"/>
              </w:rPr>
            </w:pPr>
            <w:r>
              <w:rPr>
                <w:rFonts w:hint="default" w:cs="Times New Roman"/>
                <w:lang w:val="en-US" w:eastAsia="zh-CN"/>
              </w:rPr>
              <w:t>注：须同时提供有效期内的认证证书复印件和全国认证认可信息公共服务平台http://www.cnca.gov.cn证书信息查询截图，证书状态须为“有效”（因逾期未年审或因其他原因导致</w:t>
            </w:r>
            <w:r>
              <w:rPr>
                <w:rFonts w:hint="eastAsia" w:cs="Times New Roman"/>
                <w:lang w:val="en-US" w:eastAsia="zh-CN"/>
              </w:rPr>
              <w:t>响应</w:t>
            </w:r>
            <w:r>
              <w:rPr>
                <w:rFonts w:hint="default" w:cs="Times New Roman"/>
                <w:lang w:val="en-US" w:eastAsia="zh-CN"/>
              </w:rPr>
              <w:t>截止前已经成功通过相关评审工作，但未能正常显示状态为“有效”的或处于制证过程的，可提供认证机构出具的《认证合格通知书》或认证机构开具的证明材料），否则不得分。</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144CE2DE">
            <w:pPr>
              <w:keepNext w:val="0"/>
              <w:keepLines w:val="0"/>
              <w:pageBreakBefore w:val="0"/>
              <w:widowControl/>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6</w:t>
            </w:r>
          </w:p>
        </w:tc>
      </w:tr>
      <w:tr w14:paraId="249D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F1E14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楷体" w:hAnsi="楷体" w:eastAsia="楷体" w:cs="楷体"/>
                <w:i w:val="0"/>
                <w:iCs w:val="0"/>
                <w:color w:val="FF0000"/>
                <w:sz w:val="28"/>
                <w:szCs w:val="28"/>
                <w:u w:val="none"/>
              </w:rPr>
            </w:pPr>
            <w:r>
              <w:rPr>
                <w:rStyle w:val="49"/>
                <w:color w:val="auto"/>
                <w:lang w:val="en-US" w:eastAsia="zh-CN" w:bidi="ar"/>
              </w:rPr>
              <w:t>响应报价</w:t>
            </w:r>
          </w:p>
        </w:tc>
        <w:tc>
          <w:tcPr>
            <w:tcW w:w="1195" w:type="pct"/>
            <w:tcBorders>
              <w:top w:val="nil"/>
              <w:left w:val="single" w:color="000000" w:sz="8" w:space="0"/>
              <w:bottom w:val="single" w:color="000000" w:sz="8" w:space="0"/>
              <w:right w:val="single" w:color="000000" w:sz="8" w:space="0"/>
            </w:tcBorders>
            <w:shd w:val="clear" w:color="auto" w:fill="auto"/>
            <w:vAlign w:val="center"/>
          </w:tcPr>
          <w:p w14:paraId="2F9C9B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仿宋" w:hAnsi="仿宋" w:eastAsia="仿宋" w:cs="仿宋"/>
                <w:i w:val="0"/>
                <w:iCs w:val="0"/>
                <w:color w:val="000000"/>
                <w:sz w:val="28"/>
                <w:szCs w:val="28"/>
                <w:u w:val="none"/>
              </w:rPr>
            </w:pPr>
            <w:r>
              <w:rPr>
                <w:rStyle w:val="50"/>
                <w:lang w:val="en-US" w:eastAsia="zh-CN" w:bidi="ar"/>
              </w:rPr>
              <w:t>响应报价得分</w:t>
            </w:r>
          </w:p>
        </w:tc>
        <w:tc>
          <w:tcPr>
            <w:tcW w:w="3273" w:type="pct"/>
            <w:tcBorders>
              <w:top w:val="nil"/>
              <w:left w:val="single" w:color="000000" w:sz="8" w:space="0"/>
              <w:bottom w:val="single" w:color="000000" w:sz="8" w:space="0"/>
              <w:right w:val="single" w:color="000000" w:sz="8" w:space="0"/>
            </w:tcBorders>
            <w:shd w:val="clear" w:color="auto" w:fill="auto"/>
            <w:vAlign w:val="center"/>
          </w:tcPr>
          <w:p w14:paraId="042247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lang w:val="en-US" w:eastAsia="zh-CN"/>
              </w:rPr>
            </w:pPr>
            <w:r>
              <w:rPr>
                <w:rFonts w:hint="default"/>
                <w:lang w:val="en-US" w:eastAsia="zh-CN"/>
              </w:rPr>
              <w:t>满足谈判文件要求且响应报价最低的响应报价为基准价，其价格分为满分。其他供应商的价格分统一按照下列公式计算：响应报价得分=（基准价/响应报价）×响应报价分值。</w:t>
            </w:r>
          </w:p>
          <w:p w14:paraId="495728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lang w:val="en-US" w:eastAsia="zh-CN"/>
              </w:rPr>
            </w:pPr>
            <w:r>
              <w:rPr>
                <w:rFonts w:hint="default"/>
                <w:lang w:val="en-US" w:eastAsia="zh-CN"/>
              </w:rPr>
              <w:t>备注：</w:t>
            </w:r>
          </w:p>
          <w:p w14:paraId="60C05D8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both"/>
              <w:textAlignment w:val="center"/>
              <w:rPr>
                <w:rStyle w:val="50"/>
                <w:rFonts w:hint="default"/>
                <w:lang w:val="en-US" w:eastAsia="zh-CN" w:bidi="ar"/>
              </w:rPr>
            </w:pPr>
            <w:r>
              <w:rPr>
                <w:rFonts w:hint="default"/>
                <w:lang w:val="en-US" w:eastAsia="zh-CN"/>
              </w:rPr>
              <w:t>响应得分四舍五入后，小数点后保留两位有效数；</w:t>
            </w:r>
          </w:p>
        </w:tc>
        <w:tc>
          <w:tcPr>
            <w:tcW w:w="265" w:type="pct"/>
            <w:tcBorders>
              <w:top w:val="nil"/>
              <w:left w:val="single" w:color="000000" w:sz="8" w:space="0"/>
              <w:bottom w:val="single" w:color="000000" w:sz="8" w:space="0"/>
              <w:right w:val="single" w:color="000000" w:sz="8" w:space="0"/>
            </w:tcBorders>
            <w:shd w:val="clear" w:color="auto" w:fill="auto"/>
            <w:vAlign w:val="center"/>
          </w:tcPr>
          <w:p w14:paraId="31AF20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Style w:val="50"/>
                <w:rFonts w:hint="default"/>
                <w:lang w:val="en-US" w:eastAsia="zh-CN" w:bidi="ar"/>
              </w:rPr>
            </w:pPr>
            <w:r>
              <w:rPr>
                <w:rStyle w:val="50"/>
                <w:rFonts w:hint="eastAsia"/>
                <w:lang w:val="en-US" w:eastAsia="zh-CN" w:bidi="ar"/>
              </w:rPr>
              <w:t>20</w:t>
            </w:r>
          </w:p>
        </w:tc>
      </w:tr>
    </w:tbl>
    <w:p w14:paraId="58D1500D">
      <w:pPr>
        <w:bidi w:val="0"/>
        <w:rPr>
          <w:rFonts w:hint="eastAsia"/>
          <w:lang w:val="en-US" w:eastAsia="zh-CN"/>
        </w:rPr>
      </w:pPr>
    </w:p>
    <w:sectPr>
      <w:footerReference r:id="rId5" w:type="default"/>
      <w:footerReference r:id="rId6" w:type="even"/>
      <w:pgSz w:w="11906" w:h="16838"/>
      <w:pgMar w:top="2098" w:right="1474" w:bottom="1871" w:left="1588" w:header="851" w:footer="397"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951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3662">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119278"/>
      <w:docPartObj>
        <w:docPartGallery w:val="autotext"/>
      </w:docPartObj>
    </w:sdtPr>
    <w:sdtEndPr>
      <w:rPr>
        <w:rFonts w:asciiTheme="minorEastAsia" w:hAnsiTheme="minorEastAsia" w:eastAsiaTheme="minorEastAsia"/>
        <w:sz w:val="28"/>
        <w:szCs w:val="28"/>
      </w:rPr>
    </w:sdtEndPr>
    <w:sdtContent>
      <w:p w14:paraId="46BA336F">
        <w:pPr>
          <w:pStyle w:val="1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14:paraId="432064E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lang w:val="zh-CN"/>
      </w:rPr>
      <w:id w:val="840886336"/>
      <w:docPartObj>
        <w:docPartGallery w:val="autotext"/>
      </w:docPartObj>
    </w:sdtPr>
    <w:sdtEndPr>
      <w:rPr>
        <w:rFonts w:asciiTheme="minorEastAsia" w:hAnsiTheme="minorEastAsia" w:eastAsiaTheme="minorEastAsia"/>
        <w:sz w:val="28"/>
        <w:szCs w:val="28"/>
        <w:lang w:val="zh-CN"/>
      </w:rPr>
    </w:sdtEndPr>
    <w:sdtContent>
      <w:p w14:paraId="2F6CD025">
        <w:pPr>
          <w:pStyle w:val="15"/>
          <w:rPr>
            <w:rFonts w:asciiTheme="minorEastAsia" w:hAnsiTheme="minorEastAsia" w:eastAsiaTheme="minorEastAsia"/>
            <w:sz w:val="28"/>
            <w:szCs w:val="28"/>
            <w:lang w:val="zh-CN"/>
          </w:rPr>
        </w:pPr>
        <w:r>
          <w:rPr>
            <w:rFonts w:asciiTheme="minorEastAsia" w:hAnsiTheme="minorEastAsia" w:eastAsiaTheme="minorEastAsia"/>
            <w:sz w:val="28"/>
            <w:szCs w:val="28"/>
            <w:lang w:val="zh-CN"/>
          </w:rPr>
          <w:fldChar w:fldCharType="begin"/>
        </w:r>
        <w:r>
          <w:rPr>
            <w:rFonts w:asciiTheme="minorEastAsia" w:hAnsiTheme="minorEastAsia" w:eastAsiaTheme="minorEastAsia"/>
            <w:sz w:val="28"/>
            <w:szCs w:val="28"/>
            <w:lang w:val="zh-CN"/>
          </w:rPr>
          <w:instrText xml:space="preserve">PAGE   \* MERGEFORMAT</w:instrText>
        </w:r>
        <w:r>
          <w:rPr>
            <w:rFonts w:asciiTheme="minorEastAsia" w:hAnsiTheme="minorEastAsia" w:eastAsiaTheme="minorEastAsia"/>
            <w:sz w:val="28"/>
            <w:szCs w:val="28"/>
            <w:lang w:val="zh-CN"/>
          </w:rPr>
          <w:fldChar w:fldCharType="separate"/>
        </w:r>
        <w:r>
          <w:rPr>
            <w:rFonts w:asciiTheme="minorEastAsia" w:hAnsiTheme="minorEastAsia" w:eastAsiaTheme="minorEastAsia"/>
            <w:sz w:val="28"/>
            <w:szCs w:val="28"/>
            <w:lang w:val="zh-CN"/>
          </w:rPr>
          <w:t>- 10 -</w:t>
        </w:r>
        <w:r>
          <w:rPr>
            <w:rFonts w:asciiTheme="minorEastAsia" w:hAnsiTheme="minorEastAsia" w:eastAsiaTheme="minorEastAsia"/>
            <w:sz w:val="28"/>
            <w:szCs w:val="28"/>
            <w:lang w:val="zh-CN"/>
          </w:rPr>
          <w:fldChar w:fldCharType="end"/>
        </w:r>
      </w:p>
    </w:sdtContent>
  </w:sdt>
  <w:p w14:paraId="0DFC3D0B">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4B95C"/>
    <w:multiLevelType w:val="singleLevel"/>
    <w:tmpl w:val="0C74B95C"/>
    <w:lvl w:ilvl="0" w:tentative="0">
      <w:start w:val="1"/>
      <w:numFmt w:val="decimal"/>
      <w:suff w:val="space"/>
      <w:lvlText w:val="%1."/>
      <w:lvlJc w:val="left"/>
    </w:lvl>
  </w:abstractNum>
  <w:abstractNum w:abstractNumId="1">
    <w:nsid w:val="578DE1C6"/>
    <w:multiLevelType w:val="singleLevel"/>
    <w:tmpl w:val="578DE1C6"/>
    <w:lvl w:ilvl="0" w:tentative="0">
      <w:start w:val="1"/>
      <w:numFmt w:val="decimal"/>
      <w:suff w:val="nothing"/>
      <w:lvlText w:val="(%1)"/>
      <w:lvlJc w:val="left"/>
    </w:lvl>
  </w:abstractNum>
  <w:abstractNum w:abstractNumId="2">
    <w:nsid w:val="58622829"/>
    <w:multiLevelType w:val="singleLevel"/>
    <w:tmpl w:val="58622829"/>
    <w:lvl w:ilvl="0" w:tentative="0">
      <w:start w:val="1"/>
      <w:numFmt w:val="decimal"/>
      <w:suff w:val="nothing"/>
      <w:lvlText w:val="（%1）"/>
      <w:lvlJc w:val="left"/>
      <w:pPr>
        <w:ind w:left="420" w:hanging="420"/>
      </w:pPr>
      <w:rPr>
        <w:rFonts w:hint="default"/>
      </w:rPr>
    </w:lvl>
  </w:abstractNum>
  <w:abstractNum w:abstractNumId="3">
    <w:nsid w:val="586CEA2A"/>
    <w:multiLevelType w:val="singleLevel"/>
    <w:tmpl w:val="586CEA2A"/>
    <w:lvl w:ilvl="0" w:tentative="0">
      <w:start w:val="1"/>
      <w:numFmt w:val="decimal"/>
      <w:suff w:val="nothing"/>
      <w:lvlText w:val="%1."/>
      <w:lvlJc w:val="left"/>
    </w:lvl>
  </w:abstractNum>
  <w:abstractNum w:abstractNumId="4">
    <w:nsid w:val="586CEA4A"/>
    <w:multiLevelType w:val="singleLevel"/>
    <w:tmpl w:val="586CEA4A"/>
    <w:lvl w:ilvl="0" w:tentative="0">
      <w:start w:val="1"/>
      <w:numFmt w:val="decimal"/>
      <w:suff w:val="nothing"/>
      <w:lvlText w:val="%1."/>
      <w:lvlJc w:val="left"/>
    </w:lvl>
  </w:abstractNum>
  <w:abstractNum w:abstractNumId="5">
    <w:nsid w:val="586CEB5A"/>
    <w:multiLevelType w:val="singleLevel"/>
    <w:tmpl w:val="586CEB5A"/>
    <w:lvl w:ilvl="0" w:tentative="0">
      <w:start w:val="1"/>
      <w:numFmt w:val="decimal"/>
      <w:suff w:val="nothing"/>
      <w:lvlText w:val="%1."/>
      <w:lvlJc w:val="left"/>
    </w:lvl>
  </w:abstractNum>
  <w:abstractNum w:abstractNumId="6">
    <w:nsid w:val="586CED0D"/>
    <w:multiLevelType w:val="singleLevel"/>
    <w:tmpl w:val="586CED0D"/>
    <w:lvl w:ilvl="0" w:tentative="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67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ZDQ5ZDY2ZTY3ODAzNjU0M2Y3Y2Y3M2MxNzhmMjcifQ=="/>
  </w:docVars>
  <w:rsids>
    <w:rsidRoot w:val="007F7B28"/>
    <w:rsid w:val="00000B23"/>
    <w:rsid w:val="0000352D"/>
    <w:rsid w:val="00006833"/>
    <w:rsid w:val="00030883"/>
    <w:rsid w:val="0003270D"/>
    <w:rsid w:val="000545F6"/>
    <w:rsid w:val="0005692E"/>
    <w:rsid w:val="00060A3A"/>
    <w:rsid w:val="00064345"/>
    <w:rsid w:val="00080FAA"/>
    <w:rsid w:val="0008382D"/>
    <w:rsid w:val="00093037"/>
    <w:rsid w:val="0009562F"/>
    <w:rsid w:val="0009730F"/>
    <w:rsid w:val="000A027E"/>
    <w:rsid w:val="000A4E6C"/>
    <w:rsid w:val="000B0755"/>
    <w:rsid w:val="000B4837"/>
    <w:rsid w:val="000D0F13"/>
    <w:rsid w:val="000D0F6B"/>
    <w:rsid w:val="000F5502"/>
    <w:rsid w:val="000F7C09"/>
    <w:rsid w:val="0010308B"/>
    <w:rsid w:val="0010413E"/>
    <w:rsid w:val="0010770B"/>
    <w:rsid w:val="001164BC"/>
    <w:rsid w:val="00126B34"/>
    <w:rsid w:val="00132E21"/>
    <w:rsid w:val="0014402D"/>
    <w:rsid w:val="00147241"/>
    <w:rsid w:val="00153E96"/>
    <w:rsid w:val="00161CBF"/>
    <w:rsid w:val="00172EC5"/>
    <w:rsid w:val="0018037B"/>
    <w:rsid w:val="001839CB"/>
    <w:rsid w:val="00190342"/>
    <w:rsid w:val="00190455"/>
    <w:rsid w:val="0019101B"/>
    <w:rsid w:val="001963D1"/>
    <w:rsid w:val="001968CD"/>
    <w:rsid w:val="00196BAD"/>
    <w:rsid w:val="001B6E80"/>
    <w:rsid w:val="001C69FE"/>
    <w:rsid w:val="001E2FA3"/>
    <w:rsid w:val="001E3E77"/>
    <w:rsid w:val="001F3707"/>
    <w:rsid w:val="001F789B"/>
    <w:rsid w:val="0021040C"/>
    <w:rsid w:val="00212C70"/>
    <w:rsid w:val="00230336"/>
    <w:rsid w:val="002318FE"/>
    <w:rsid w:val="00235ED6"/>
    <w:rsid w:val="00241092"/>
    <w:rsid w:val="00257756"/>
    <w:rsid w:val="002657B2"/>
    <w:rsid w:val="00273D44"/>
    <w:rsid w:val="00275641"/>
    <w:rsid w:val="00281454"/>
    <w:rsid w:val="00281AAE"/>
    <w:rsid w:val="00291C80"/>
    <w:rsid w:val="00292045"/>
    <w:rsid w:val="002B395D"/>
    <w:rsid w:val="002B3B8A"/>
    <w:rsid w:val="002B5AC8"/>
    <w:rsid w:val="002B6697"/>
    <w:rsid w:val="002C1ED4"/>
    <w:rsid w:val="002C7DCC"/>
    <w:rsid w:val="002E57CF"/>
    <w:rsid w:val="002F57CF"/>
    <w:rsid w:val="002F63F3"/>
    <w:rsid w:val="00306986"/>
    <w:rsid w:val="00310799"/>
    <w:rsid w:val="003318AE"/>
    <w:rsid w:val="0033416D"/>
    <w:rsid w:val="0034387B"/>
    <w:rsid w:val="00350D2C"/>
    <w:rsid w:val="003550F9"/>
    <w:rsid w:val="003606F3"/>
    <w:rsid w:val="00376581"/>
    <w:rsid w:val="00382B6C"/>
    <w:rsid w:val="00384CA5"/>
    <w:rsid w:val="003865EC"/>
    <w:rsid w:val="00387923"/>
    <w:rsid w:val="00390D9B"/>
    <w:rsid w:val="00390E91"/>
    <w:rsid w:val="0039369E"/>
    <w:rsid w:val="003A5462"/>
    <w:rsid w:val="003C2657"/>
    <w:rsid w:val="003D280F"/>
    <w:rsid w:val="003D29DF"/>
    <w:rsid w:val="003D30F5"/>
    <w:rsid w:val="003F252F"/>
    <w:rsid w:val="003F4F90"/>
    <w:rsid w:val="003F6EEE"/>
    <w:rsid w:val="00400FB5"/>
    <w:rsid w:val="0040213D"/>
    <w:rsid w:val="004057C4"/>
    <w:rsid w:val="0042043B"/>
    <w:rsid w:val="004206CA"/>
    <w:rsid w:val="00420ECA"/>
    <w:rsid w:val="00426B95"/>
    <w:rsid w:val="00426FFA"/>
    <w:rsid w:val="0043311D"/>
    <w:rsid w:val="00433606"/>
    <w:rsid w:val="00435920"/>
    <w:rsid w:val="00440E96"/>
    <w:rsid w:val="00444CC0"/>
    <w:rsid w:val="004479AE"/>
    <w:rsid w:val="004575B4"/>
    <w:rsid w:val="0046044A"/>
    <w:rsid w:val="00466B92"/>
    <w:rsid w:val="00470306"/>
    <w:rsid w:val="00471B54"/>
    <w:rsid w:val="00475567"/>
    <w:rsid w:val="0047767E"/>
    <w:rsid w:val="00477D24"/>
    <w:rsid w:val="00484771"/>
    <w:rsid w:val="004859B0"/>
    <w:rsid w:val="004927A9"/>
    <w:rsid w:val="004A34D9"/>
    <w:rsid w:val="004A4E09"/>
    <w:rsid w:val="004A5703"/>
    <w:rsid w:val="004A5F11"/>
    <w:rsid w:val="004B24F9"/>
    <w:rsid w:val="004C0E53"/>
    <w:rsid w:val="004D2A7C"/>
    <w:rsid w:val="004D3812"/>
    <w:rsid w:val="004D5F09"/>
    <w:rsid w:val="004E7555"/>
    <w:rsid w:val="00506EAA"/>
    <w:rsid w:val="005107AF"/>
    <w:rsid w:val="00532D5E"/>
    <w:rsid w:val="00533652"/>
    <w:rsid w:val="00533E56"/>
    <w:rsid w:val="00545E12"/>
    <w:rsid w:val="005548AD"/>
    <w:rsid w:val="00564A01"/>
    <w:rsid w:val="00564DAB"/>
    <w:rsid w:val="00576851"/>
    <w:rsid w:val="00581B67"/>
    <w:rsid w:val="00582733"/>
    <w:rsid w:val="00590CAD"/>
    <w:rsid w:val="0059290B"/>
    <w:rsid w:val="005A34C4"/>
    <w:rsid w:val="005A3CBD"/>
    <w:rsid w:val="005A6ED4"/>
    <w:rsid w:val="005A7060"/>
    <w:rsid w:val="005B2C83"/>
    <w:rsid w:val="005B6F61"/>
    <w:rsid w:val="005B78E8"/>
    <w:rsid w:val="005D60E7"/>
    <w:rsid w:val="005D6532"/>
    <w:rsid w:val="005D73AA"/>
    <w:rsid w:val="005F23B9"/>
    <w:rsid w:val="005F79A9"/>
    <w:rsid w:val="00600CF4"/>
    <w:rsid w:val="00604609"/>
    <w:rsid w:val="006134D6"/>
    <w:rsid w:val="00615264"/>
    <w:rsid w:val="00620D4A"/>
    <w:rsid w:val="0062171F"/>
    <w:rsid w:val="00622198"/>
    <w:rsid w:val="00631DC5"/>
    <w:rsid w:val="006473C2"/>
    <w:rsid w:val="00647960"/>
    <w:rsid w:val="0066236D"/>
    <w:rsid w:val="006745EC"/>
    <w:rsid w:val="00682ADC"/>
    <w:rsid w:val="00687FD7"/>
    <w:rsid w:val="00693C32"/>
    <w:rsid w:val="00695911"/>
    <w:rsid w:val="006A0560"/>
    <w:rsid w:val="006A49BD"/>
    <w:rsid w:val="006C23DC"/>
    <w:rsid w:val="006C786A"/>
    <w:rsid w:val="006D0606"/>
    <w:rsid w:val="006D1B1E"/>
    <w:rsid w:val="006D4301"/>
    <w:rsid w:val="006E0183"/>
    <w:rsid w:val="006E3829"/>
    <w:rsid w:val="006E644C"/>
    <w:rsid w:val="00711BD6"/>
    <w:rsid w:val="00714185"/>
    <w:rsid w:val="00716830"/>
    <w:rsid w:val="007175DC"/>
    <w:rsid w:val="007266FF"/>
    <w:rsid w:val="00726844"/>
    <w:rsid w:val="007334F7"/>
    <w:rsid w:val="007441C1"/>
    <w:rsid w:val="0075366B"/>
    <w:rsid w:val="00754605"/>
    <w:rsid w:val="00761071"/>
    <w:rsid w:val="00766455"/>
    <w:rsid w:val="00770917"/>
    <w:rsid w:val="00774B54"/>
    <w:rsid w:val="00775188"/>
    <w:rsid w:val="007812C2"/>
    <w:rsid w:val="00782F52"/>
    <w:rsid w:val="00793845"/>
    <w:rsid w:val="00797900"/>
    <w:rsid w:val="007A111E"/>
    <w:rsid w:val="007A3925"/>
    <w:rsid w:val="007A40EB"/>
    <w:rsid w:val="007B0307"/>
    <w:rsid w:val="007B4A59"/>
    <w:rsid w:val="007B76F6"/>
    <w:rsid w:val="007C1F15"/>
    <w:rsid w:val="007C3863"/>
    <w:rsid w:val="007C4AA6"/>
    <w:rsid w:val="007D1C57"/>
    <w:rsid w:val="007D4D98"/>
    <w:rsid w:val="007E2F99"/>
    <w:rsid w:val="007E7D9E"/>
    <w:rsid w:val="007F2898"/>
    <w:rsid w:val="007F77B5"/>
    <w:rsid w:val="007F7B28"/>
    <w:rsid w:val="008036A0"/>
    <w:rsid w:val="00803F4D"/>
    <w:rsid w:val="00805564"/>
    <w:rsid w:val="0081764D"/>
    <w:rsid w:val="00817C44"/>
    <w:rsid w:val="00821F55"/>
    <w:rsid w:val="00823427"/>
    <w:rsid w:val="008234ED"/>
    <w:rsid w:val="0082352A"/>
    <w:rsid w:val="00827E91"/>
    <w:rsid w:val="00834887"/>
    <w:rsid w:val="00842433"/>
    <w:rsid w:val="00843541"/>
    <w:rsid w:val="00845620"/>
    <w:rsid w:val="00846862"/>
    <w:rsid w:val="00850ACB"/>
    <w:rsid w:val="00856AAC"/>
    <w:rsid w:val="0086613F"/>
    <w:rsid w:val="00874E91"/>
    <w:rsid w:val="00877B8F"/>
    <w:rsid w:val="00880839"/>
    <w:rsid w:val="00882568"/>
    <w:rsid w:val="008846B2"/>
    <w:rsid w:val="0088607C"/>
    <w:rsid w:val="0089212E"/>
    <w:rsid w:val="008975AB"/>
    <w:rsid w:val="008A0FE7"/>
    <w:rsid w:val="008B18CF"/>
    <w:rsid w:val="008B1E6F"/>
    <w:rsid w:val="008B3F81"/>
    <w:rsid w:val="008C325A"/>
    <w:rsid w:val="008E5A62"/>
    <w:rsid w:val="008E5CB0"/>
    <w:rsid w:val="008F252C"/>
    <w:rsid w:val="008F2AB4"/>
    <w:rsid w:val="008F5707"/>
    <w:rsid w:val="00900643"/>
    <w:rsid w:val="009049D5"/>
    <w:rsid w:val="00922130"/>
    <w:rsid w:val="009247BD"/>
    <w:rsid w:val="009278F0"/>
    <w:rsid w:val="009419BC"/>
    <w:rsid w:val="00943999"/>
    <w:rsid w:val="00950104"/>
    <w:rsid w:val="0095214A"/>
    <w:rsid w:val="00955D39"/>
    <w:rsid w:val="00962B3C"/>
    <w:rsid w:val="00965875"/>
    <w:rsid w:val="009738DD"/>
    <w:rsid w:val="00987CE6"/>
    <w:rsid w:val="00992CCB"/>
    <w:rsid w:val="009A1067"/>
    <w:rsid w:val="009A25A9"/>
    <w:rsid w:val="009B7323"/>
    <w:rsid w:val="009B7500"/>
    <w:rsid w:val="009C0547"/>
    <w:rsid w:val="009C0E70"/>
    <w:rsid w:val="009C3FEC"/>
    <w:rsid w:val="009D066B"/>
    <w:rsid w:val="009D3E9B"/>
    <w:rsid w:val="009D497A"/>
    <w:rsid w:val="009D7E86"/>
    <w:rsid w:val="009E1EBA"/>
    <w:rsid w:val="009E6D0B"/>
    <w:rsid w:val="009F5B3F"/>
    <w:rsid w:val="00A06414"/>
    <w:rsid w:val="00A07253"/>
    <w:rsid w:val="00A10F82"/>
    <w:rsid w:val="00A143A9"/>
    <w:rsid w:val="00A35D50"/>
    <w:rsid w:val="00A41839"/>
    <w:rsid w:val="00A42F44"/>
    <w:rsid w:val="00A74320"/>
    <w:rsid w:val="00A74E2D"/>
    <w:rsid w:val="00A856F3"/>
    <w:rsid w:val="00A8628A"/>
    <w:rsid w:val="00A901C4"/>
    <w:rsid w:val="00A93F0E"/>
    <w:rsid w:val="00AA0F9D"/>
    <w:rsid w:val="00AB4732"/>
    <w:rsid w:val="00AD4C05"/>
    <w:rsid w:val="00AD4E95"/>
    <w:rsid w:val="00AD5736"/>
    <w:rsid w:val="00AE1865"/>
    <w:rsid w:val="00AE409B"/>
    <w:rsid w:val="00AF58CD"/>
    <w:rsid w:val="00B079F3"/>
    <w:rsid w:val="00B12770"/>
    <w:rsid w:val="00B1582E"/>
    <w:rsid w:val="00B45D50"/>
    <w:rsid w:val="00B60479"/>
    <w:rsid w:val="00B62AE7"/>
    <w:rsid w:val="00B90526"/>
    <w:rsid w:val="00B907F0"/>
    <w:rsid w:val="00B96426"/>
    <w:rsid w:val="00BA02C7"/>
    <w:rsid w:val="00BB0828"/>
    <w:rsid w:val="00BB4E45"/>
    <w:rsid w:val="00BC70F5"/>
    <w:rsid w:val="00BD464D"/>
    <w:rsid w:val="00BD47B4"/>
    <w:rsid w:val="00BD56C8"/>
    <w:rsid w:val="00BD7D43"/>
    <w:rsid w:val="00C06B3B"/>
    <w:rsid w:val="00C07A91"/>
    <w:rsid w:val="00C1278D"/>
    <w:rsid w:val="00C12817"/>
    <w:rsid w:val="00C24D3F"/>
    <w:rsid w:val="00C26A71"/>
    <w:rsid w:val="00C31DB0"/>
    <w:rsid w:val="00C405C7"/>
    <w:rsid w:val="00C41423"/>
    <w:rsid w:val="00C505E9"/>
    <w:rsid w:val="00C52D52"/>
    <w:rsid w:val="00C56BD0"/>
    <w:rsid w:val="00C745C2"/>
    <w:rsid w:val="00C77300"/>
    <w:rsid w:val="00C9597E"/>
    <w:rsid w:val="00C96937"/>
    <w:rsid w:val="00CA04F6"/>
    <w:rsid w:val="00CB27C3"/>
    <w:rsid w:val="00CB5629"/>
    <w:rsid w:val="00CD1316"/>
    <w:rsid w:val="00CF7F3E"/>
    <w:rsid w:val="00D300CE"/>
    <w:rsid w:val="00D31761"/>
    <w:rsid w:val="00D3778C"/>
    <w:rsid w:val="00D4265E"/>
    <w:rsid w:val="00D42B41"/>
    <w:rsid w:val="00D43F93"/>
    <w:rsid w:val="00D44B0B"/>
    <w:rsid w:val="00D44B84"/>
    <w:rsid w:val="00D50803"/>
    <w:rsid w:val="00D65047"/>
    <w:rsid w:val="00D70917"/>
    <w:rsid w:val="00D7103B"/>
    <w:rsid w:val="00D7483B"/>
    <w:rsid w:val="00D91DD3"/>
    <w:rsid w:val="00DB0AA9"/>
    <w:rsid w:val="00DB15CF"/>
    <w:rsid w:val="00DB2DA4"/>
    <w:rsid w:val="00DB6C60"/>
    <w:rsid w:val="00DC05BA"/>
    <w:rsid w:val="00DC4886"/>
    <w:rsid w:val="00DC6B33"/>
    <w:rsid w:val="00DD225A"/>
    <w:rsid w:val="00DD507A"/>
    <w:rsid w:val="00DD7A57"/>
    <w:rsid w:val="00DD7EB4"/>
    <w:rsid w:val="00DE012E"/>
    <w:rsid w:val="00DF38BA"/>
    <w:rsid w:val="00E02D61"/>
    <w:rsid w:val="00E102B5"/>
    <w:rsid w:val="00E10C60"/>
    <w:rsid w:val="00E11B03"/>
    <w:rsid w:val="00E1669F"/>
    <w:rsid w:val="00E25C51"/>
    <w:rsid w:val="00E266E5"/>
    <w:rsid w:val="00E2796F"/>
    <w:rsid w:val="00E35D88"/>
    <w:rsid w:val="00E404E6"/>
    <w:rsid w:val="00E41BE6"/>
    <w:rsid w:val="00E4547B"/>
    <w:rsid w:val="00E454F0"/>
    <w:rsid w:val="00E61F33"/>
    <w:rsid w:val="00E63B12"/>
    <w:rsid w:val="00E82F36"/>
    <w:rsid w:val="00E87730"/>
    <w:rsid w:val="00E91480"/>
    <w:rsid w:val="00E92B5B"/>
    <w:rsid w:val="00E94BEC"/>
    <w:rsid w:val="00EB03BB"/>
    <w:rsid w:val="00EB0F22"/>
    <w:rsid w:val="00EC662F"/>
    <w:rsid w:val="00ED1919"/>
    <w:rsid w:val="00ED2631"/>
    <w:rsid w:val="00ED6C4D"/>
    <w:rsid w:val="00EE33AB"/>
    <w:rsid w:val="00EE4AB3"/>
    <w:rsid w:val="00EE5CBF"/>
    <w:rsid w:val="00F01EED"/>
    <w:rsid w:val="00F04EBE"/>
    <w:rsid w:val="00F06BDD"/>
    <w:rsid w:val="00F14755"/>
    <w:rsid w:val="00F22F9D"/>
    <w:rsid w:val="00F2723F"/>
    <w:rsid w:val="00F341F1"/>
    <w:rsid w:val="00F34B11"/>
    <w:rsid w:val="00F35404"/>
    <w:rsid w:val="00F41A86"/>
    <w:rsid w:val="00F43ECE"/>
    <w:rsid w:val="00F45452"/>
    <w:rsid w:val="00F54CF4"/>
    <w:rsid w:val="00F601C6"/>
    <w:rsid w:val="00F63FEA"/>
    <w:rsid w:val="00F70C4D"/>
    <w:rsid w:val="00F71470"/>
    <w:rsid w:val="00F7637A"/>
    <w:rsid w:val="00F9116B"/>
    <w:rsid w:val="00FA3C1F"/>
    <w:rsid w:val="00FA44FF"/>
    <w:rsid w:val="00FB4F75"/>
    <w:rsid w:val="00FB5C71"/>
    <w:rsid w:val="00FC0E87"/>
    <w:rsid w:val="00FC0F71"/>
    <w:rsid w:val="00FC1C5F"/>
    <w:rsid w:val="00FC1F53"/>
    <w:rsid w:val="00FC5A23"/>
    <w:rsid w:val="00FE18F1"/>
    <w:rsid w:val="00FE249B"/>
    <w:rsid w:val="00FE2FA4"/>
    <w:rsid w:val="00FF5E41"/>
    <w:rsid w:val="010B6291"/>
    <w:rsid w:val="012308D6"/>
    <w:rsid w:val="0125768E"/>
    <w:rsid w:val="01535811"/>
    <w:rsid w:val="015F1556"/>
    <w:rsid w:val="019B3110"/>
    <w:rsid w:val="01B125C5"/>
    <w:rsid w:val="01D60AA1"/>
    <w:rsid w:val="01F147C5"/>
    <w:rsid w:val="02400E22"/>
    <w:rsid w:val="02403902"/>
    <w:rsid w:val="02A32AD7"/>
    <w:rsid w:val="02B80282"/>
    <w:rsid w:val="02B85E09"/>
    <w:rsid w:val="02D23F20"/>
    <w:rsid w:val="03030B42"/>
    <w:rsid w:val="035C54E9"/>
    <w:rsid w:val="03687711"/>
    <w:rsid w:val="03A952B3"/>
    <w:rsid w:val="03BC7892"/>
    <w:rsid w:val="03C10D51"/>
    <w:rsid w:val="03D10907"/>
    <w:rsid w:val="03EC6F6B"/>
    <w:rsid w:val="04051628"/>
    <w:rsid w:val="040C75CD"/>
    <w:rsid w:val="04274590"/>
    <w:rsid w:val="042C183A"/>
    <w:rsid w:val="043D4EB3"/>
    <w:rsid w:val="044A6232"/>
    <w:rsid w:val="045B375C"/>
    <w:rsid w:val="0467601C"/>
    <w:rsid w:val="04766066"/>
    <w:rsid w:val="049E70BF"/>
    <w:rsid w:val="04AF3692"/>
    <w:rsid w:val="04B22060"/>
    <w:rsid w:val="04CA170B"/>
    <w:rsid w:val="04DB7527"/>
    <w:rsid w:val="04E142F5"/>
    <w:rsid w:val="04E56A4A"/>
    <w:rsid w:val="04F41D37"/>
    <w:rsid w:val="05246FA6"/>
    <w:rsid w:val="05AB7BBE"/>
    <w:rsid w:val="05C53948"/>
    <w:rsid w:val="05DD58BC"/>
    <w:rsid w:val="060F34A5"/>
    <w:rsid w:val="06584ABD"/>
    <w:rsid w:val="069015D4"/>
    <w:rsid w:val="06BB2083"/>
    <w:rsid w:val="06C824AF"/>
    <w:rsid w:val="06D80B10"/>
    <w:rsid w:val="06F64817"/>
    <w:rsid w:val="071F24C5"/>
    <w:rsid w:val="076742CA"/>
    <w:rsid w:val="07CD6512"/>
    <w:rsid w:val="07D11DEE"/>
    <w:rsid w:val="082219A2"/>
    <w:rsid w:val="08560DB7"/>
    <w:rsid w:val="087E3AAE"/>
    <w:rsid w:val="08A97150"/>
    <w:rsid w:val="08B66FA6"/>
    <w:rsid w:val="08D518AC"/>
    <w:rsid w:val="096E008C"/>
    <w:rsid w:val="099E3CC2"/>
    <w:rsid w:val="09AA18C7"/>
    <w:rsid w:val="09E61F26"/>
    <w:rsid w:val="09FD4058"/>
    <w:rsid w:val="0A187F18"/>
    <w:rsid w:val="0AA20B0B"/>
    <w:rsid w:val="0ABC5BC4"/>
    <w:rsid w:val="0AC260D6"/>
    <w:rsid w:val="0AC459AA"/>
    <w:rsid w:val="0ADA341F"/>
    <w:rsid w:val="0AF32FA6"/>
    <w:rsid w:val="0AFE62B6"/>
    <w:rsid w:val="0B2912E0"/>
    <w:rsid w:val="0B374EE1"/>
    <w:rsid w:val="0B664CB3"/>
    <w:rsid w:val="0B7F79A1"/>
    <w:rsid w:val="0BB70A15"/>
    <w:rsid w:val="0BE35F12"/>
    <w:rsid w:val="0C74292B"/>
    <w:rsid w:val="0C8973F9"/>
    <w:rsid w:val="0C9B4D23"/>
    <w:rsid w:val="0CAF051D"/>
    <w:rsid w:val="0CD57CBE"/>
    <w:rsid w:val="0CEA22A4"/>
    <w:rsid w:val="0D3443CA"/>
    <w:rsid w:val="0D3F313C"/>
    <w:rsid w:val="0D4E55E6"/>
    <w:rsid w:val="0D9B4557"/>
    <w:rsid w:val="0DA81174"/>
    <w:rsid w:val="0DD5366A"/>
    <w:rsid w:val="0DE0370F"/>
    <w:rsid w:val="0DE25085"/>
    <w:rsid w:val="0DE649AF"/>
    <w:rsid w:val="0DEE4761"/>
    <w:rsid w:val="0DFE4EC3"/>
    <w:rsid w:val="0E162B0E"/>
    <w:rsid w:val="0E334B1A"/>
    <w:rsid w:val="0E39220B"/>
    <w:rsid w:val="0E571CD2"/>
    <w:rsid w:val="0E5B5D53"/>
    <w:rsid w:val="0E83347D"/>
    <w:rsid w:val="0E853943"/>
    <w:rsid w:val="0E8D3D21"/>
    <w:rsid w:val="0EA841FD"/>
    <w:rsid w:val="0EAA7D4C"/>
    <w:rsid w:val="0F17385D"/>
    <w:rsid w:val="0F876B18"/>
    <w:rsid w:val="0F8A605F"/>
    <w:rsid w:val="0FB30519"/>
    <w:rsid w:val="0FBD197B"/>
    <w:rsid w:val="0FC33AE9"/>
    <w:rsid w:val="0FE92314"/>
    <w:rsid w:val="0FF81034"/>
    <w:rsid w:val="103507FE"/>
    <w:rsid w:val="10375DC2"/>
    <w:rsid w:val="103F4196"/>
    <w:rsid w:val="10613D0A"/>
    <w:rsid w:val="108F6A5A"/>
    <w:rsid w:val="109F1AA3"/>
    <w:rsid w:val="10AC760C"/>
    <w:rsid w:val="10AE76F0"/>
    <w:rsid w:val="10B55FDB"/>
    <w:rsid w:val="111127C7"/>
    <w:rsid w:val="111E3388"/>
    <w:rsid w:val="11290C5D"/>
    <w:rsid w:val="11332697"/>
    <w:rsid w:val="113B44EC"/>
    <w:rsid w:val="115847AE"/>
    <w:rsid w:val="11842B36"/>
    <w:rsid w:val="119274C2"/>
    <w:rsid w:val="11B3592C"/>
    <w:rsid w:val="11BC6D80"/>
    <w:rsid w:val="11BD242F"/>
    <w:rsid w:val="11E15B8A"/>
    <w:rsid w:val="12172C02"/>
    <w:rsid w:val="1219651D"/>
    <w:rsid w:val="12455339"/>
    <w:rsid w:val="12755D85"/>
    <w:rsid w:val="128025D3"/>
    <w:rsid w:val="12840E7E"/>
    <w:rsid w:val="128D3001"/>
    <w:rsid w:val="129475EE"/>
    <w:rsid w:val="12954C0D"/>
    <w:rsid w:val="12A1585B"/>
    <w:rsid w:val="12A32349"/>
    <w:rsid w:val="12C54B19"/>
    <w:rsid w:val="12C83C5B"/>
    <w:rsid w:val="12EF1782"/>
    <w:rsid w:val="131841AF"/>
    <w:rsid w:val="132E52B3"/>
    <w:rsid w:val="134A5127"/>
    <w:rsid w:val="13517FF7"/>
    <w:rsid w:val="13642A86"/>
    <w:rsid w:val="13655A8D"/>
    <w:rsid w:val="13736B1E"/>
    <w:rsid w:val="1376182A"/>
    <w:rsid w:val="13BE449B"/>
    <w:rsid w:val="13C56653"/>
    <w:rsid w:val="13CF064E"/>
    <w:rsid w:val="13D344DD"/>
    <w:rsid w:val="13FF2685"/>
    <w:rsid w:val="14351274"/>
    <w:rsid w:val="14542808"/>
    <w:rsid w:val="145511F1"/>
    <w:rsid w:val="14580709"/>
    <w:rsid w:val="145E4449"/>
    <w:rsid w:val="148B00F8"/>
    <w:rsid w:val="149840F4"/>
    <w:rsid w:val="14F93F9F"/>
    <w:rsid w:val="15307D47"/>
    <w:rsid w:val="1552393D"/>
    <w:rsid w:val="15856C57"/>
    <w:rsid w:val="158761A3"/>
    <w:rsid w:val="15981B8D"/>
    <w:rsid w:val="159F1212"/>
    <w:rsid w:val="15A44728"/>
    <w:rsid w:val="15B43971"/>
    <w:rsid w:val="15C82B7E"/>
    <w:rsid w:val="15D31A49"/>
    <w:rsid w:val="15D62A35"/>
    <w:rsid w:val="15D97937"/>
    <w:rsid w:val="15EF5D32"/>
    <w:rsid w:val="16307564"/>
    <w:rsid w:val="16510985"/>
    <w:rsid w:val="165322F4"/>
    <w:rsid w:val="16652826"/>
    <w:rsid w:val="168D7598"/>
    <w:rsid w:val="169507C4"/>
    <w:rsid w:val="16A462DE"/>
    <w:rsid w:val="16AC39FC"/>
    <w:rsid w:val="16DB5DDC"/>
    <w:rsid w:val="16E372C2"/>
    <w:rsid w:val="16FB1470"/>
    <w:rsid w:val="1701702A"/>
    <w:rsid w:val="170D18FF"/>
    <w:rsid w:val="171E4694"/>
    <w:rsid w:val="173C4B1A"/>
    <w:rsid w:val="174B5051"/>
    <w:rsid w:val="175B3EC3"/>
    <w:rsid w:val="17A42EF1"/>
    <w:rsid w:val="17E841A9"/>
    <w:rsid w:val="17EB0AB6"/>
    <w:rsid w:val="17EC56CF"/>
    <w:rsid w:val="17FF6729"/>
    <w:rsid w:val="180F2092"/>
    <w:rsid w:val="18106714"/>
    <w:rsid w:val="18467F04"/>
    <w:rsid w:val="187B206D"/>
    <w:rsid w:val="188104BD"/>
    <w:rsid w:val="18B74DA0"/>
    <w:rsid w:val="18BA407D"/>
    <w:rsid w:val="18C60961"/>
    <w:rsid w:val="18DA68F2"/>
    <w:rsid w:val="18EE5668"/>
    <w:rsid w:val="18FE486D"/>
    <w:rsid w:val="192B0292"/>
    <w:rsid w:val="192E414F"/>
    <w:rsid w:val="192F011F"/>
    <w:rsid w:val="19495077"/>
    <w:rsid w:val="197E32F0"/>
    <w:rsid w:val="198F194E"/>
    <w:rsid w:val="1A125617"/>
    <w:rsid w:val="1A1A3C86"/>
    <w:rsid w:val="1A2D26A5"/>
    <w:rsid w:val="1A2F3AEC"/>
    <w:rsid w:val="1A330075"/>
    <w:rsid w:val="1A4E17A7"/>
    <w:rsid w:val="1A4F49EE"/>
    <w:rsid w:val="1A770212"/>
    <w:rsid w:val="1A9846BE"/>
    <w:rsid w:val="1A9A3350"/>
    <w:rsid w:val="1A9E3593"/>
    <w:rsid w:val="1ADF09E2"/>
    <w:rsid w:val="1B093747"/>
    <w:rsid w:val="1B2E6728"/>
    <w:rsid w:val="1B3F2E2B"/>
    <w:rsid w:val="1B5C20B3"/>
    <w:rsid w:val="1B9471A9"/>
    <w:rsid w:val="1BA64C58"/>
    <w:rsid w:val="1BB3482F"/>
    <w:rsid w:val="1BB96694"/>
    <w:rsid w:val="1BBC4EBF"/>
    <w:rsid w:val="1BC31088"/>
    <w:rsid w:val="1BD21EF1"/>
    <w:rsid w:val="1BDA0FD3"/>
    <w:rsid w:val="1BE27E70"/>
    <w:rsid w:val="1C264585"/>
    <w:rsid w:val="1C422994"/>
    <w:rsid w:val="1C4921B3"/>
    <w:rsid w:val="1C505664"/>
    <w:rsid w:val="1C872CDB"/>
    <w:rsid w:val="1C997BE2"/>
    <w:rsid w:val="1C9E0341"/>
    <w:rsid w:val="1D0B0F29"/>
    <w:rsid w:val="1D3539C7"/>
    <w:rsid w:val="1D497BBF"/>
    <w:rsid w:val="1D6E668F"/>
    <w:rsid w:val="1D70376F"/>
    <w:rsid w:val="1D8430BB"/>
    <w:rsid w:val="1D851FCB"/>
    <w:rsid w:val="1D9C1E2D"/>
    <w:rsid w:val="1DA06C6A"/>
    <w:rsid w:val="1DA845A6"/>
    <w:rsid w:val="1DA97648"/>
    <w:rsid w:val="1DB94647"/>
    <w:rsid w:val="1E18467D"/>
    <w:rsid w:val="1E2D1E5B"/>
    <w:rsid w:val="1E696B3C"/>
    <w:rsid w:val="1E6D31DB"/>
    <w:rsid w:val="1E850934"/>
    <w:rsid w:val="1E9B6FF1"/>
    <w:rsid w:val="1EC816BC"/>
    <w:rsid w:val="1EDE5F17"/>
    <w:rsid w:val="1EE67210"/>
    <w:rsid w:val="1EEB57A3"/>
    <w:rsid w:val="1EFA589A"/>
    <w:rsid w:val="1F082536"/>
    <w:rsid w:val="1F0B7BF4"/>
    <w:rsid w:val="1F33242E"/>
    <w:rsid w:val="1F852F42"/>
    <w:rsid w:val="1FA6791C"/>
    <w:rsid w:val="1FAC7F3E"/>
    <w:rsid w:val="1FCF6E73"/>
    <w:rsid w:val="20081ED0"/>
    <w:rsid w:val="20322F5E"/>
    <w:rsid w:val="203D1A0F"/>
    <w:rsid w:val="203E7B55"/>
    <w:rsid w:val="205F2393"/>
    <w:rsid w:val="208F6602"/>
    <w:rsid w:val="20C61B8C"/>
    <w:rsid w:val="20E254E8"/>
    <w:rsid w:val="20F31998"/>
    <w:rsid w:val="21061A7D"/>
    <w:rsid w:val="210A0AE5"/>
    <w:rsid w:val="2113309E"/>
    <w:rsid w:val="21240AF9"/>
    <w:rsid w:val="214D441A"/>
    <w:rsid w:val="214D44F3"/>
    <w:rsid w:val="21505033"/>
    <w:rsid w:val="21611D4D"/>
    <w:rsid w:val="21FC56E5"/>
    <w:rsid w:val="22245940"/>
    <w:rsid w:val="223C38F2"/>
    <w:rsid w:val="22975397"/>
    <w:rsid w:val="22B15AC6"/>
    <w:rsid w:val="22D62EF1"/>
    <w:rsid w:val="22E22A19"/>
    <w:rsid w:val="22F24891"/>
    <w:rsid w:val="23071ECE"/>
    <w:rsid w:val="23097C8B"/>
    <w:rsid w:val="23237329"/>
    <w:rsid w:val="233E17D0"/>
    <w:rsid w:val="23465A49"/>
    <w:rsid w:val="23520BDD"/>
    <w:rsid w:val="23740070"/>
    <w:rsid w:val="238D75A2"/>
    <w:rsid w:val="239D7097"/>
    <w:rsid w:val="23DC390D"/>
    <w:rsid w:val="23E15A7C"/>
    <w:rsid w:val="23F277EF"/>
    <w:rsid w:val="24163878"/>
    <w:rsid w:val="24280E3C"/>
    <w:rsid w:val="243C43AB"/>
    <w:rsid w:val="24457B55"/>
    <w:rsid w:val="24626FA5"/>
    <w:rsid w:val="249E68F7"/>
    <w:rsid w:val="24A913D6"/>
    <w:rsid w:val="25002D74"/>
    <w:rsid w:val="2520372D"/>
    <w:rsid w:val="252B1A32"/>
    <w:rsid w:val="252C5C12"/>
    <w:rsid w:val="25601116"/>
    <w:rsid w:val="256376A5"/>
    <w:rsid w:val="257B5729"/>
    <w:rsid w:val="25AF0F2B"/>
    <w:rsid w:val="25B061BA"/>
    <w:rsid w:val="25BC1060"/>
    <w:rsid w:val="25C25679"/>
    <w:rsid w:val="25D53D18"/>
    <w:rsid w:val="25DB7D8E"/>
    <w:rsid w:val="26395484"/>
    <w:rsid w:val="265C360C"/>
    <w:rsid w:val="26AD7515"/>
    <w:rsid w:val="26B85B84"/>
    <w:rsid w:val="26BF2EDD"/>
    <w:rsid w:val="271E7D91"/>
    <w:rsid w:val="27297973"/>
    <w:rsid w:val="274570EF"/>
    <w:rsid w:val="2786325E"/>
    <w:rsid w:val="2794107C"/>
    <w:rsid w:val="279A3DC3"/>
    <w:rsid w:val="27AA5AD0"/>
    <w:rsid w:val="27EF79D0"/>
    <w:rsid w:val="28185301"/>
    <w:rsid w:val="282432D0"/>
    <w:rsid w:val="283816AE"/>
    <w:rsid w:val="284348B4"/>
    <w:rsid w:val="284753CD"/>
    <w:rsid w:val="288065F5"/>
    <w:rsid w:val="288D7BD5"/>
    <w:rsid w:val="289423F2"/>
    <w:rsid w:val="290872A8"/>
    <w:rsid w:val="291D4690"/>
    <w:rsid w:val="29495116"/>
    <w:rsid w:val="29835908"/>
    <w:rsid w:val="299A5C75"/>
    <w:rsid w:val="2A361422"/>
    <w:rsid w:val="2A422E70"/>
    <w:rsid w:val="2A8C1716"/>
    <w:rsid w:val="2A9276FC"/>
    <w:rsid w:val="2A9A6194"/>
    <w:rsid w:val="2AED34D3"/>
    <w:rsid w:val="2B39385F"/>
    <w:rsid w:val="2B6F4AF4"/>
    <w:rsid w:val="2B8054C5"/>
    <w:rsid w:val="2B977B28"/>
    <w:rsid w:val="2B982F5D"/>
    <w:rsid w:val="2BB7633B"/>
    <w:rsid w:val="2BE077E2"/>
    <w:rsid w:val="2BE95AB6"/>
    <w:rsid w:val="2BF33DE3"/>
    <w:rsid w:val="2C091D17"/>
    <w:rsid w:val="2C0D0244"/>
    <w:rsid w:val="2C354D24"/>
    <w:rsid w:val="2C3B112F"/>
    <w:rsid w:val="2C496BE1"/>
    <w:rsid w:val="2C5D10E9"/>
    <w:rsid w:val="2C7D730F"/>
    <w:rsid w:val="2C805562"/>
    <w:rsid w:val="2C9A25B7"/>
    <w:rsid w:val="2CAD680C"/>
    <w:rsid w:val="2CB37FDF"/>
    <w:rsid w:val="2CBC47C0"/>
    <w:rsid w:val="2CBC58D1"/>
    <w:rsid w:val="2CE51E9D"/>
    <w:rsid w:val="2CEF46B1"/>
    <w:rsid w:val="2D2F07C3"/>
    <w:rsid w:val="2D4A40A9"/>
    <w:rsid w:val="2D5A4983"/>
    <w:rsid w:val="2D6F3D12"/>
    <w:rsid w:val="2DBB4561"/>
    <w:rsid w:val="2DCE1B62"/>
    <w:rsid w:val="2DDD2AAF"/>
    <w:rsid w:val="2DFD50AA"/>
    <w:rsid w:val="2E0D41AD"/>
    <w:rsid w:val="2E183D3B"/>
    <w:rsid w:val="2E4B314E"/>
    <w:rsid w:val="2E6925DE"/>
    <w:rsid w:val="2E813DCD"/>
    <w:rsid w:val="2EB824C7"/>
    <w:rsid w:val="2EC44DB8"/>
    <w:rsid w:val="2F053F9E"/>
    <w:rsid w:val="2F1C30F3"/>
    <w:rsid w:val="2F397E65"/>
    <w:rsid w:val="2F485CCC"/>
    <w:rsid w:val="2F6F7DFC"/>
    <w:rsid w:val="2F890F46"/>
    <w:rsid w:val="2F91566D"/>
    <w:rsid w:val="2FAB0A48"/>
    <w:rsid w:val="2FC20F6C"/>
    <w:rsid w:val="2FE72BD7"/>
    <w:rsid w:val="305A1716"/>
    <w:rsid w:val="30656690"/>
    <w:rsid w:val="30712607"/>
    <w:rsid w:val="307657FA"/>
    <w:rsid w:val="308120F1"/>
    <w:rsid w:val="308158FC"/>
    <w:rsid w:val="3082672A"/>
    <w:rsid w:val="30913CD1"/>
    <w:rsid w:val="30D06882"/>
    <w:rsid w:val="31063F93"/>
    <w:rsid w:val="313354A6"/>
    <w:rsid w:val="31571986"/>
    <w:rsid w:val="315D3147"/>
    <w:rsid w:val="318F4411"/>
    <w:rsid w:val="31A3291F"/>
    <w:rsid w:val="31AF08B2"/>
    <w:rsid w:val="31B0298A"/>
    <w:rsid w:val="31BD3596"/>
    <w:rsid w:val="31CB3C65"/>
    <w:rsid w:val="3213664F"/>
    <w:rsid w:val="321811DF"/>
    <w:rsid w:val="322F600E"/>
    <w:rsid w:val="324B4802"/>
    <w:rsid w:val="325D030E"/>
    <w:rsid w:val="328D353D"/>
    <w:rsid w:val="32912953"/>
    <w:rsid w:val="32F860CE"/>
    <w:rsid w:val="3309465C"/>
    <w:rsid w:val="330E46D9"/>
    <w:rsid w:val="33200AB0"/>
    <w:rsid w:val="333E287B"/>
    <w:rsid w:val="333F2A42"/>
    <w:rsid w:val="334F2449"/>
    <w:rsid w:val="33745910"/>
    <w:rsid w:val="33845DE5"/>
    <w:rsid w:val="338649D1"/>
    <w:rsid w:val="338B0EAB"/>
    <w:rsid w:val="33C4414A"/>
    <w:rsid w:val="33CB6C33"/>
    <w:rsid w:val="33D147F9"/>
    <w:rsid w:val="33E2721E"/>
    <w:rsid w:val="340455AA"/>
    <w:rsid w:val="342A0976"/>
    <w:rsid w:val="343A70F7"/>
    <w:rsid w:val="34747F0C"/>
    <w:rsid w:val="34790CEE"/>
    <w:rsid w:val="347A51A8"/>
    <w:rsid w:val="348621F6"/>
    <w:rsid w:val="348B0204"/>
    <w:rsid w:val="349122D0"/>
    <w:rsid w:val="34926115"/>
    <w:rsid w:val="34A56BD4"/>
    <w:rsid w:val="34C40ED9"/>
    <w:rsid w:val="34CD5D02"/>
    <w:rsid w:val="34D272D8"/>
    <w:rsid w:val="34D57740"/>
    <w:rsid w:val="34E40BEA"/>
    <w:rsid w:val="350C7DCA"/>
    <w:rsid w:val="35132E63"/>
    <w:rsid w:val="351B4729"/>
    <w:rsid w:val="352A024D"/>
    <w:rsid w:val="353F4A0B"/>
    <w:rsid w:val="356653D8"/>
    <w:rsid w:val="356B5681"/>
    <w:rsid w:val="358B04B2"/>
    <w:rsid w:val="35A02108"/>
    <w:rsid w:val="35B96DC5"/>
    <w:rsid w:val="35D11086"/>
    <w:rsid w:val="36094110"/>
    <w:rsid w:val="3668234C"/>
    <w:rsid w:val="36703F22"/>
    <w:rsid w:val="367A243F"/>
    <w:rsid w:val="368857DA"/>
    <w:rsid w:val="36D01CC6"/>
    <w:rsid w:val="36D130B5"/>
    <w:rsid w:val="37116553"/>
    <w:rsid w:val="372659CB"/>
    <w:rsid w:val="375141AA"/>
    <w:rsid w:val="37CC027E"/>
    <w:rsid w:val="37E47774"/>
    <w:rsid w:val="37E955BE"/>
    <w:rsid w:val="37EE502E"/>
    <w:rsid w:val="382255E5"/>
    <w:rsid w:val="38271B4D"/>
    <w:rsid w:val="38373F8C"/>
    <w:rsid w:val="388551EA"/>
    <w:rsid w:val="388F4F9A"/>
    <w:rsid w:val="389F698F"/>
    <w:rsid w:val="38B67553"/>
    <w:rsid w:val="38C44946"/>
    <w:rsid w:val="38CA6BE0"/>
    <w:rsid w:val="38CC76C9"/>
    <w:rsid w:val="38D64977"/>
    <w:rsid w:val="38FF68D5"/>
    <w:rsid w:val="391138BB"/>
    <w:rsid w:val="393E30AB"/>
    <w:rsid w:val="39406294"/>
    <w:rsid w:val="394C6724"/>
    <w:rsid w:val="39650781"/>
    <w:rsid w:val="39833122"/>
    <w:rsid w:val="399B5B2D"/>
    <w:rsid w:val="39A3695B"/>
    <w:rsid w:val="39DF3CFF"/>
    <w:rsid w:val="39FA113F"/>
    <w:rsid w:val="39FC1860"/>
    <w:rsid w:val="3A06357E"/>
    <w:rsid w:val="3A4A16BA"/>
    <w:rsid w:val="3A7750E3"/>
    <w:rsid w:val="3A79072A"/>
    <w:rsid w:val="3A7A231B"/>
    <w:rsid w:val="3A7E0E22"/>
    <w:rsid w:val="3A924CAB"/>
    <w:rsid w:val="3AB77DE1"/>
    <w:rsid w:val="3AF0162F"/>
    <w:rsid w:val="3AF17846"/>
    <w:rsid w:val="3AF72688"/>
    <w:rsid w:val="3B117EF7"/>
    <w:rsid w:val="3B3C4EF5"/>
    <w:rsid w:val="3B6A6219"/>
    <w:rsid w:val="3BB644C2"/>
    <w:rsid w:val="3BD41ACC"/>
    <w:rsid w:val="3C0E61D6"/>
    <w:rsid w:val="3C296D95"/>
    <w:rsid w:val="3C3C02B7"/>
    <w:rsid w:val="3C3E2B2A"/>
    <w:rsid w:val="3C4517F0"/>
    <w:rsid w:val="3C97563E"/>
    <w:rsid w:val="3C9E0E78"/>
    <w:rsid w:val="3CAA0CC8"/>
    <w:rsid w:val="3CAA7EB8"/>
    <w:rsid w:val="3CC00448"/>
    <w:rsid w:val="3CC33275"/>
    <w:rsid w:val="3CD45F76"/>
    <w:rsid w:val="3CD82916"/>
    <w:rsid w:val="3CDE34A1"/>
    <w:rsid w:val="3CEC29BB"/>
    <w:rsid w:val="3CF44935"/>
    <w:rsid w:val="3D0A3B4D"/>
    <w:rsid w:val="3D4D43A6"/>
    <w:rsid w:val="3D6D7401"/>
    <w:rsid w:val="3DCA1485"/>
    <w:rsid w:val="3DF167EE"/>
    <w:rsid w:val="3DF53AF1"/>
    <w:rsid w:val="3E386A28"/>
    <w:rsid w:val="3E6D7CAA"/>
    <w:rsid w:val="3E91256A"/>
    <w:rsid w:val="3E9275F9"/>
    <w:rsid w:val="3EAA5537"/>
    <w:rsid w:val="3ED66420"/>
    <w:rsid w:val="3F5815E1"/>
    <w:rsid w:val="3F6F7744"/>
    <w:rsid w:val="3F820783"/>
    <w:rsid w:val="3F85289A"/>
    <w:rsid w:val="3F9F5945"/>
    <w:rsid w:val="3FAB70E9"/>
    <w:rsid w:val="3FC312C8"/>
    <w:rsid w:val="3FCE79EF"/>
    <w:rsid w:val="3FF50C1E"/>
    <w:rsid w:val="3FFA6E55"/>
    <w:rsid w:val="401364B0"/>
    <w:rsid w:val="401874F4"/>
    <w:rsid w:val="401D4C7D"/>
    <w:rsid w:val="40230632"/>
    <w:rsid w:val="40372F99"/>
    <w:rsid w:val="404A2EC7"/>
    <w:rsid w:val="404B3E24"/>
    <w:rsid w:val="40A54EED"/>
    <w:rsid w:val="40E21C03"/>
    <w:rsid w:val="40F92602"/>
    <w:rsid w:val="41010419"/>
    <w:rsid w:val="41630D72"/>
    <w:rsid w:val="417A633D"/>
    <w:rsid w:val="418A45F7"/>
    <w:rsid w:val="41D233EF"/>
    <w:rsid w:val="41D26A53"/>
    <w:rsid w:val="41F92427"/>
    <w:rsid w:val="425237E8"/>
    <w:rsid w:val="42530DE6"/>
    <w:rsid w:val="426725B0"/>
    <w:rsid w:val="42796B56"/>
    <w:rsid w:val="428C6F7A"/>
    <w:rsid w:val="429159E4"/>
    <w:rsid w:val="42A812CB"/>
    <w:rsid w:val="42C865E4"/>
    <w:rsid w:val="42F0224E"/>
    <w:rsid w:val="430123AB"/>
    <w:rsid w:val="43170066"/>
    <w:rsid w:val="438B4F67"/>
    <w:rsid w:val="43A84E77"/>
    <w:rsid w:val="440F1B32"/>
    <w:rsid w:val="441779BF"/>
    <w:rsid w:val="447B499E"/>
    <w:rsid w:val="447F3418"/>
    <w:rsid w:val="44A6228B"/>
    <w:rsid w:val="44FA25EC"/>
    <w:rsid w:val="45076215"/>
    <w:rsid w:val="4554734F"/>
    <w:rsid w:val="45740414"/>
    <w:rsid w:val="459071A3"/>
    <w:rsid w:val="460C0E2E"/>
    <w:rsid w:val="46175581"/>
    <w:rsid w:val="46230DFA"/>
    <w:rsid w:val="467268CE"/>
    <w:rsid w:val="467B29B2"/>
    <w:rsid w:val="46911D1D"/>
    <w:rsid w:val="46C02B71"/>
    <w:rsid w:val="46C04776"/>
    <w:rsid w:val="46C07277"/>
    <w:rsid w:val="46C303E0"/>
    <w:rsid w:val="46C47E9D"/>
    <w:rsid w:val="46F900F4"/>
    <w:rsid w:val="47282CB4"/>
    <w:rsid w:val="477409DE"/>
    <w:rsid w:val="4792108A"/>
    <w:rsid w:val="479223B1"/>
    <w:rsid w:val="479E6FA7"/>
    <w:rsid w:val="47D3075C"/>
    <w:rsid w:val="47E57D48"/>
    <w:rsid w:val="47FF31E1"/>
    <w:rsid w:val="48035866"/>
    <w:rsid w:val="48A9344B"/>
    <w:rsid w:val="48E61F57"/>
    <w:rsid w:val="490E5C22"/>
    <w:rsid w:val="493A7073"/>
    <w:rsid w:val="4941151F"/>
    <w:rsid w:val="49425826"/>
    <w:rsid w:val="495C0735"/>
    <w:rsid w:val="495D275A"/>
    <w:rsid w:val="498E5A84"/>
    <w:rsid w:val="49AD34D2"/>
    <w:rsid w:val="49C52BF4"/>
    <w:rsid w:val="49F03B68"/>
    <w:rsid w:val="4A1C45B2"/>
    <w:rsid w:val="4A237AC9"/>
    <w:rsid w:val="4A3D2D5E"/>
    <w:rsid w:val="4A46399D"/>
    <w:rsid w:val="4A5D7053"/>
    <w:rsid w:val="4A6B389C"/>
    <w:rsid w:val="4A7C0ADE"/>
    <w:rsid w:val="4A801384"/>
    <w:rsid w:val="4A8C675D"/>
    <w:rsid w:val="4A930F0B"/>
    <w:rsid w:val="4AAA7FA7"/>
    <w:rsid w:val="4ABA776D"/>
    <w:rsid w:val="4AE827FE"/>
    <w:rsid w:val="4B06733D"/>
    <w:rsid w:val="4B1550AF"/>
    <w:rsid w:val="4B305B98"/>
    <w:rsid w:val="4B342336"/>
    <w:rsid w:val="4B3C3F0C"/>
    <w:rsid w:val="4B4A3958"/>
    <w:rsid w:val="4B892032"/>
    <w:rsid w:val="4B954BDD"/>
    <w:rsid w:val="4BA3693A"/>
    <w:rsid w:val="4BBD5CB8"/>
    <w:rsid w:val="4BFF1668"/>
    <w:rsid w:val="4C075C03"/>
    <w:rsid w:val="4C242F29"/>
    <w:rsid w:val="4C3439F7"/>
    <w:rsid w:val="4C486C3F"/>
    <w:rsid w:val="4C57482A"/>
    <w:rsid w:val="4C7D362F"/>
    <w:rsid w:val="4C8A2770"/>
    <w:rsid w:val="4C994A1B"/>
    <w:rsid w:val="4CC4660B"/>
    <w:rsid w:val="4CD34708"/>
    <w:rsid w:val="4CDA3FCE"/>
    <w:rsid w:val="4D2C05D7"/>
    <w:rsid w:val="4D3161C8"/>
    <w:rsid w:val="4D57145B"/>
    <w:rsid w:val="4D7448DD"/>
    <w:rsid w:val="4DA37EB5"/>
    <w:rsid w:val="4DAD60E5"/>
    <w:rsid w:val="4DEA6025"/>
    <w:rsid w:val="4DF27705"/>
    <w:rsid w:val="4E406DDB"/>
    <w:rsid w:val="4EB62A4C"/>
    <w:rsid w:val="4EB66A1D"/>
    <w:rsid w:val="4EC15DD0"/>
    <w:rsid w:val="4ED90B67"/>
    <w:rsid w:val="4F5816A7"/>
    <w:rsid w:val="4F716D4F"/>
    <w:rsid w:val="4F7375C6"/>
    <w:rsid w:val="4F743CA2"/>
    <w:rsid w:val="4F7640F5"/>
    <w:rsid w:val="4F8E5D80"/>
    <w:rsid w:val="4FEB6B02"/>
    <w:rsid w:val="50067498"/>
    <w:rsid w:val="500A0A7F"/>
    <w:rsid w:val="50137E07"/>
    <w:rsid w:val="50434CA4"/>
    <w:rsid w:val="504C2405"/>
    <w:rsid w:val="507A2CD6"/>
    <w:rsid w:val="50A224C3"/>
    <w:rsid w:val="50C26FDA"/>
    <w:rsid w:val="50CD1EFF"/>
    <w:rsid w:val="50DE0415"/>
    <w:rsid w:val="50E44C48"/>
    <w:rsid w:val="50E502E6"/>
    <w:rsid w:val="50F87728"/>
    <w:rsid w:val="510350DB"/>
    <w:rsid w:val="51496C72"/>
    <w:rsid w:val="515B02EE"/>
    <w:rsid w:val="518B4A87"/>
    <w:rsid w:val="518F1B39"/>
    <w:rsid w:val="520C52EF"/>
    <w:rsid w:val="520E2B94"/>
    <w:rsid w:val="522478C8"/>
    <w:rsid w:val="522E3407"/>
    <w:rsid w:val="523F77E4"/>
    <w:rsid w:val="52437C85"/>
    <w:rsid w:val="527D46E4"/>
    <w:rsid w:val="527D4BC0"/>
    <w:rsid w:val="529A61DF"/>
    <w:rsid w:val="531468A1"/>
    <w:rsid w:val="53537EE6"/>
    <w:rsid w:val="5388669E"/>
    <w:rsid w:val="53940CF4"/>
    <w:rsid w:val="53D51E77"/>
    <w:rsid w:val="53DD6717"/>
    <w:rsid w:val="53DE7084"/>
    <w:rsid w:val="53EC78B0"/>
    <w:rsid w:val="541E0A2E"/>
    <w:rsid w:val="54662BFB"/>
    <w:rsid w:val="548B501C"/>
    <w:rsid w:val="54BA51BF"/>
    <w:rsid w:val="54E97A2B"/>
    <w:rsid w:val="54FD442F"/>
    <w:rsid w:val="55010BC5"/>
    <w:rsid w:val="551D5F53"/>
    <w:rsid w:val="553A2B3E"/>
    <w:rsid w:val="55517325"/>
    <w:rsid w:val="55654C60"/>
    <w:rsid w:val="556C114B"/>
    <w:rsid w:val="55C951EF"/>
    <w:rsid w:val="55CF10F9"/>
    <w:rsid w:val="560F139F"/>
    <w:rsid w:val="56A90338"/>
    <w:rsid w:val="56D269BF"/>
    <w:rsid w:val="56D6370A"/>
    <w:rsid w:val="570F4F7D"/>
    <w:rsid w:val="571C65F7"/>
    <w:rsid w:val="57A51781"/>
    <w:rsid w:val="57B55DAB"/>
    <w:rsid w:val="57D1092E"/>
    <w:rsid w:val="57DD31D4"/>
    <w:rsid w:val="57DE096E"/>
    <w:rsid w:val="57EB6DE0"/>
    <w:rsid w:val="58301EE9"/>
    <w:rsid w:val="58382B00"/>
    <w:rsid w:val="583C40A2"/>
    <w:rsid w:val="586F5ADA"/>
    <w:rsid w:val="587873A1"/>
    <w:rsid w:val="589A1DF3"/>
    <w:rsid w:val="58AF2E33"/>
    <w:rsid w:val="58E2127B"/>
    <w:rsid w:val="58EB10BD"/>
    <w:rsid w:val="5920314E"/>
    <w:rsid w:val="59285F44"/>
    <w:rsid w:val="59503A03"/>
    <w:rsid w:val="595D61B6"/>
    <w:rsid w:val="59872915"/>
    <w:rsid w:val="59CE45E3"/>
    <w:rsid w:val="59DC58A8"/>
    <w:rsid w:val="5A09562C"/>
    <w:rsid w:val="5A10734A"/>
    <w:rsid w:val="5A37323A"/>
    <w:rsid w:val="5A3B7828"/>
    <w:rsid w:val="5A403EEE"/>
    <w:rsid w:val="5A4A504A"/>
    <w:rsid w:val="5A5456C1"/>
    <w:rsid w:val="5A6E4BE7"/>
    <w:rsid w:val="5AC55D0E"/>
    <w:rsid w:val="5B0B381E"/>
    <w:rsid w:val="5B3320E4"/>
    <w:rsid w:val="5B347431"/>
    <w:rsid w:val="5B3C27B6"/>
    <w:rsid w:val="5B7B28EA"/>
    <w:rsid w:val="5B9F4116"/>
    <w:rsid w:val="5BBE55D8"/>
    <w:rsid w:val="5C287382"/>
    <w:rsid w:val="5C3E71C0"/>
    <w:rsid w:val="5C696C2C"/>
    <w:rsid w:val="5C754265"/>
    <w:rsid w:val="5C7E670B"/>
    <w:rsid w:val="5CD674D1"/>
    <w:rsid w:val="5CFF5336"/>
    <w:rsid w:val="5D135CE5"/>
    <w:rsid w:val="5DB51CF1"/>
    <w:rsid w:val="5DBC2302"/>
    <w:rsid w:val="5DC104AA"/>
    <w:rsid w:val="5DFA48A3"/>
    <w:rsid w:val="5E0E7498"/>
    <w:rsid w:val="5E281F05"/>
    <w:rsid w:val="5E361CCC"/>
    <w:rsid w:val="5E67527A"/>
    <w:rsid w:val="5E6D4FB1"/>
    <w:rsid w:val="5E852832"/>
    <w:rsid w:val="5E8B753C"/>
    <w:rsid w:val="5E91264C"/>
    <w:rsid w:val="5EA06D09"/>
    <w:rsid w:val="5EBE445A"/>
    <w:rsid w:val="5EC17308"/>
    <w:rsid w:val="5EE65EA1"/>
    <w:rsid w:val="5EED794D"/>
    <w:rsid w:val="5EF9387B"/>
    <w:rsid w:val="5EFF7419"/>
    <w:rsid w:val="5F136A28"/>
    <w:rsid w:val="5F273C49"/>
    <w:rsid w:val="5F284AE8"/>
    <w:rsid w:val="5F370FD4"/>
    <w:rsid w:val="5F537A7B"/>
    <w:rsid w:val="5F57386C"/>
    <w:rsid w:val="5F657A3E"/>
    <w:rsid w:val="5F712F3F"/>
    <w:rsid w:val="5FAB50B9"/>
    <w:rsid w:val="5FC133DB"/>
    <w:rsid w:val="5FE84590"/>
    <w:rsid w:val="5FF61656"/>
    <w:rsid w:val="606968D4"/>
    <w:rsid w:val="609B1B60"/>
    <w:rsid w:val="60A246D9"/>
    <w:rsid w:val="60CF73F6"/>
    <w:rsid w:val="60FC6882"/>
    <w:rsid w:val="614721A4"/>
    <w:rsid w:val="61483DB4"/>
    <w:rsid w:val="616433C3"/>
    <w:rsid w:val="616A0D4D"/>
    <w:rsid w:val="616F2250"/>
    <w:rsid w:val="61A16DEB"/>
    <w:rsid w:val="61A24411"/>
    <w:rsid w:val="61E12FCC"/>
    <w:rsid w:val="61F103E7"/>
    <w:rsid w:val="61F950AE"/>
    <w:rsid w:val="622F398B"/>
    <w:rsid w:val="62710E5F"/>
    <w:rsid w:val="6285766B"/>
    <w:rsid w:val="628D13F3"/>
    <w:rsid w:val="62B62B73"/>
    <w:rsid w:val="62D405C3"/>
    <w:rsid w:val="62EA7733"/>
    <w:rsid w:val="62ED2682"/>
    <w:rsid w:val="630E2BE2"/>
    <w:rsid w:val="632D0BC2"/>
    <w:rsid w:val="6334097A"/>
    <w:rsid w:val="633B254F"/>
    <w:rsid w:val="638E7405"/>
    <w:rsid w:val="63A00324"/>
    <w:rsid w:val="63E502C0"/>
    <w:rsid w:val="63E9638D"/>
    <w:rsid w:val="641F39CB"/>
    <w:rsid w:val="64394D5F"/>
    <w:rsid w:val="64475197"/>
    <w:rsid w:val="647A1DAB"/>
    <w:rsid w:val="649229E6"/>
    <w:rsid w:val="64C2299E"/>
    <w:rsid w:val="64FE2D3F"/>
    <w:rsid w:val="652958DB"/>
    <w:rsid w:val="65423E01"/>
    <w:rsid w:val="65574FD0"/>
    <w:rsid w:val="65851594"/>
    <w:rsid w:val="658A7EDF"/>
    <w:rsid w:val="659554F0"/>
    <w:rsid w:val="659777CE"/>
    <w:rsid w:val="65AF528D"/>
    <w:rsid w:val="65DD1BFD"/>
    <w:rsid w:val="664A3DAD"/>
    <w:rsid w:val="664E011E"/>
    <w:rsid w:val="66AB72C4"/>
    <w:rsid w:val="66BD0C8D"/>
    <w:rsid w:val="66CE34BC"/>
    <w:rsid w:val="66D74C14"/>
    <w:rsid w:val="670C7B8A"/>
    <w:rsid w:val="671319B0"/>
    <w:rsid w:val="67305A17"/>
    <w:rsid w:val="673C6EDB"/>
    <w:rsid w:val="67563792"/>
    <w:rsid w:val="67672A43"/>
    <w:rsid w:val="676F6B9A"/>
    <w:rsid w:val="67711B88"/>
    <w:rsid w:val="677E4E8D"/>
    <w:rsid w:val="67874F0A"/>
    <w:rsid w:val="67E52361"/>
    <w:rsid w:val="681A14AB"/>
    <w:rsid w:val="683F3651"/>
    <w:rsid w:val="6841155D"/>
    <w:rsid w:val="68655FB9"/>
    <w:rsid w:val="68661D1F"/>
    <w:rsid w:val="686D07F0"/>
    <w:rsid w:val="687A3293"/>
    <w:rsid w:val="68807CBF"/>
    <w:rsid w:val="688D19A9"/>
    <w:rsid w:val="689344C2"/>
    <w:rsid w:val="689E1631"/>
    <w:rsid w:val="68A235FA"/>
    <w:rsid w:val="68B94451"/>
    <w:rsid w:val="68C41246"/>
    <w:rsid w:val="68DE7D85"/>
    <w:rsid w:val="691B7620"/>
    <w:rsid w:val="69374BA2"/>
    <w:rsid w:val="6A3057C6"/>
    <w:rsid w:val="6A584A7F"/>
    <w:rsid w:val="6A782E9E"/>
    <w:rsid w:val="6AA8578F"/>
    <w:rsid w:val="6AB16D4E"/>
    <w:rsid w:val="6AC935EF"/>
    <w:rsid w:val="6ADB239F"/>
    <w:rsid w:val="6AFA2961"/>
    <w:rsid w:val="6B0D02C6"/>
    <w:rsid w:val="6B1F4423"/>
    <w:rsid w:val="6B334707"/>
    <w:rsid w:val="6B453BD7"/>
    <w:rsid w:val="6B4621A2"/>
    <w:rsid w:val="6B613724"/>
    <w:rsid w:val="6B723492"/>
    <w:rsid w:val="6B8B4B31"/>
    <w:rsid w:val="6B9A6AB6"/>
    <w:rsid w:val="6BD36B10"/>
    <w:rsid w:val="6BFE1F0A"/>
    <w:rsid w:val="6C063C15"/>
    <w:rsid w:val="6C273DD4"/>
    <w:rsid w:val="6C2C2CA2"/>
    <w:rsid w:val="6C2E4764"/>
    <w:rsid w:val="6C4055D6"/>
    <w:rsid w:val="6C5E4FCE"/>
    <w:rsid w:val="6C6D0FB3"/>
    <w:rsid w:val="6C707ECB"/>
    <w:rsid w:val="6C733CAF"/>
    <w:rsid w:val="6C814FCA"/>
    <w:rsid w:val="6CAE658F"/>
    <w:rsid w:val="6CB22C19"/>
    <w:rsid w:val="6CDC665D"/>
    <w:rsid w:val="6CFA0F7F"/>
    <w:rsid w:val="6D4A1C7F"/>
    <w:rsid w:val="6DAC0977"/>
    <w:rsid w:val="6DB8130B"/>
    <w:rsid w:val="6DBF5335"/>
    <w:rsid w:val="6DDE0625"/>
    <w:rsid w:val="6DE53850"/>
    <w:rsid w:val="6E125762"/>
    <w:rsid w:val="6E310544"/>
    <w:rsid w:val="6E3B404D"/>
    <w:rsid w:val="6E4525A6"/>
    <w:rsid w:val="6E497FEC"/>
    <w:rsid w:val="6E4D6907"/>
    <w:rsid w:val="6E6A4AE2"/>
    <w:rsid w:val="6E745048"/>
    <w:rsid w:val="6ED40D33"/>
    <w:rsid w:val="6EE80984"/>
    <w:rsid w:val="6F1A6664"/>
    <w:rsid w:val="6F2A4AF9"/>
    <w:rsid w:val="6F334F01"/>
    <w:rsid w:val="6F3A4378"/>
    <w:rsid w:val="6F73409F"/>
    <w:rsid w:val="6F906809"/>
    <w:rsid w:val="6FA84635"/>
    <w:rsid w:val="6FF265D8"/>
    <w:rsid w:val="700D26E3"/>
    <w:rsid w:val="70480CFE"/>
    <w:rsid w:val="704C77E2"/>
    <w:rsid w:val="707A7C41"/>
    <w:rsid w:val="707B1384"/>
    <w:rsid w:val="70AD59AB"/>
    <w:rsid w:val="70CB295F"/>
    <w:rsid w:val="713D5B47"/>
    <w:rsid w:val="71494032"/>
    <w:rsid w:val="71593474"/>
    <w:rsid w:val="716772A9"/>
    <w:rsid w:val="71813AE6"/>
    <w:rsid w:val="719D548A"/>
    <w:rsid w:val="71A74DFA"/>
    <w:rsid w:val="71AB719E"/>
    <w:rsid w:val="71D56048"/>
    <w:rsid w:val="71DA7718"/>
    <w:rsid w:val="72220E47"/>
    <w:rsid w:val="72343B0D"/>
    <w:rsid w:val="72343EE1"/>
    <w:rsid w:val="723E527E"/>
    <w:rsid w:val="723F7994"/>
    <w:rsid w:val="724503CD"/>
    <w:rsid w:val="727E4B3C"/>
    <w:rsid w:val="728C47AD"/>
    <w:rsid w:val="72932B54"/>
    <w:rsid w:val="729A1F96"/>
    <w:rsid w:val="72BC180C"/>
    <w:rsid w:val="72CA465D"/>
    <w:rsid w:val="72E137A4"/>
    <w:rsid w:val="730B2970"/>
    <w:rsid w:val="730E682F"/>
    <w:rsid w:val="7315786E"/>
    <w:rsid w:val="733F7E37"/>
    <w:rsid w:val="73465987"/>
    <w:rsid w:val="734C016A"/>
    <w:rsid w:val="73840550"/>
    <w:rsid w:val="73A14D27"/>
    <w:rsid w:val="73A37C73"/>
    <w:rsid w:val="73E45B0F"/>
    <w:rsid w:val="73FE405E"/>
    <w:rsid w:val="74002F01"/>
    <w:rsid w:val="743326A2"/>
    <w:rsid w:val="746D7236"/>
    <w:rsid w:val="74890514"/>
    <w:rsid w:val="748D0748"/>
    <w:rsid w:val="748F527C"/>
    <w:rsid w:val="74AB66DC"/>
    <w:rsid w:val="74AD1E35"/>
    <w:rsid w:val="74D97C35"/>
    <w:rsid w:val="74F94340"/>
    <w:rsid w:val="753D57AB"/>
    <w:rsid w:val="757D7025"/>
    <w:rsid w:val="758206A0"/>
    <w:rsid w:val="759133B1"/>
    <w:rsid w:val="75AA1DAE"/>
    <w:rsid w:val="75AE57FC"/>
    <w:rsid w:val="75C5083A"/>
    <w:rsid w:val="75F67B39"/>
    <w:rsid w:val="75F714AD"/>
    <w:rsid w:val="75F814A2"/>
    <w:rsid w:val="76955AC6"/>
    <w:rsid w:val="76A2766B"/>
    <w:rsid w:val="76F82AA9"/>
    <w:rsid w:val="775F24AE"/>
    <w:rsid w:val="7771204C"/>
    <w:rsid w:val="777F5641"/>
    <w:rsid w:val="777F77E6"/>
    <w:rsid w:val="778754E4"/>
    <w:rsid w:val="77CA07A3"/>
    <w:rsid w:val="77F36F8C"/>
    <w:rsid w:val="780717A7"/>
    <w:rsid w:val="780F6D12"/>
    <w:rsid w:val="7812701B"/>
    <w:rsid w:val="78654D55"/>
    <w:rsid w:val="7881167C"/>
    <w:rsid w:val="78862E0C"/>
    <w:rsid w:val="78944D71"/>
    <w:rsid w:val="789B1D4A"/>
    <w:rsid w:val="78DD55CC"/>
    <w:rsid w:val="79272CBF"/>
    <w:rsid w:val="792E3438"/>
    <w:rsid w:val="79462067"/>
    <w:rsid w:val="79465792"/>
    <w:rsid w:val="794C645A"/>
    <w:rsid w:val="795D15DA"/>
    <w:rsid w:val="796B5D3E"/>
    <w:rsid w:val="797A48CF"/>
    <w:rsid w:val="79863274"/>
    <w:rsid w:val="79AA0194"/>
    <w:rsid w:val="79AA7760"/>
    <w:rsid w:val="79AD17D9"/>
    <w:rsid w:val="79BE59B7"/>
    <w:rsid w:val="79CF79DB"/>
    <w:rsid w:val="79D16021"/>
    <w:rsid w:val="7A0339BA"/>
    <w:rsid w:val="7A1D7785"/>
    <w:rsid w:val="7A1E525A"/>
    <w:rsid w:val="7A3031E0"/>
    <w:rsid w:val="7A3375D8"/>
    <w:rsid w:val="7A3C47EB"/>
    <w:rsid w:val="7A3D62A3"/>
    <w:rsid w:val="7A517F69"/>
    <w:rsid w:val="7A5943CB"/>
    <w:rsid w:val="7A5E1AFB"/>
    <w:rsid w:val="7A647AC1"/>
    <w:rsid w:val="7A68224E"/>
    <w:rsid w:val="7ABC22EA"/>
    <w:rsid w:val="7AD57BBA"/>
    <w:rsid w:val="7ADB1859"/>
    <w:rsid w:val="7AE95401"/>
    <w:rsid w:val="7B0D04AB"/>
    <w:rsid w:val="7B203E8A"/>
    <w:rsid w:val="7B307F7E"/>
    <w:rsid w:val="7B610247"/>
    <w:rsid w:val="7B7B1394"/>
    <w:rsid w:val="7B8D244A"/>
    <w:rsid w:val="7C0A19F9"/>
    <w:rsid w:val="7C156B31"/>
    <w:rsid w:val="7C3C52B9"/>
    <w:rsid w:val="7C500C53"/>
    <w:rsid w:val="7C5C018F"/>
    <w:rsid w:val="7C8E2B97"/>
    <w:rsid w:val="7C9048C2"/>
    <w:rsid w:val="7CB97AD4"/>
    <w:rsid w:val="7D5611AF"/>
    <w:rsid w:val="7D6E64F9"/>
    <w:rsid w:val="7D7544F2"/>
    <w:rsid w:val="7DC50094"/>
    <w:rsid w:val="7DED1B13"/>
    <w:rsid w:val="7DF42771"/>
    <w:rsid w:val="7E0E6D0E"/>
    <w:rsid w:val="7E1B0636"/>
    <w:rsid w:val="7E2C0B55"/>
    <w:rsid w:val="7E33329E"/>
    <w:rsid w:val="7E911171"/>
    <w:rsid w:val="7E93013C"/>
    <w:rsid w:val="7E941FD6"/>
    <w:rsid w:val="7EB80474"/>
    <w:rsid w:val="7EC85A38"/>
    <w:rsid w:val="7ED2640D"/>
    <w:rsid w:val="7F2D1B68"/>
    <w:rsid w:val="7F8740A6"/>
    <w:rsid w:val="7F9C49AF"/>
    <w:rsid w:val="7FA12BA6"/>
    <w:rsid w:val="7FA71643"/>
    <w:rsid w:val="7FC23D8B"/>
    <w:rsid w:val="7FD60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ascii="Calibri" w:hAnsi="Calibri" w:eastAsia="仿宋" w:cs="Times New Roman"/>
      <w:kern w:val="2"/>
      <w:sz w:val="24"/>
      <w:szCs w:val="21"/>
      <w:lang w:val="en-US" w:eastAsia="zh-CN" w:bidi="ar-SA"/>
    </w:rPr>
  </w:style>
  <w:style w:type="paragraph" w:styleId="2">
    <w:name w:val="heading 1"/>
    <w:basedOn w:val="1"/>
    <w:next w:val="1"/>
    <w:link w:val="42"/>
    <w:autoRedefine/>
    <w:qFormat/>
    <w:uiPriority w:val="9"/>
    <w:pPr>
      <w:keepNext/>
      <w:keepLines/>
      <w:spacing w:line="560" w:lineRule="exact"/>
      <w:jc w:val="left"/>
      <w:outlineLvl w:val="0"/>
    </w:pPr>
    <w:rPr>
      <w:rFonts w:eastAsia="方正小标宋简体"/>
      <w:bCs/>
      <w:kern w:val="44"/>
      <w:sz w:val="36"/>
      <w:szCs w:val="44"/>
    </w:rPr>
  </w:style>
  <w:style w:type="paragraph" w:styleId="3">
    <w:name w:val="heading 2"/>
    <w:basedOn w:val="1"/>
    <w:next w:val="1"/>
    <w:link w:val="27"/>
    <w:autoRedefine/>
    <w:unhideWhenUsed/>
    <w:qFormat/>
    <w:uiPriority w:val="9"/>
    <w:pPr>
      <w:keepNext/>
      <w:keepLines/>
      <w:spacing w:before="260" w:after="260" w:line="416" w:lineRule="auto"/>
      <w:outlineLvl w:val="1"/>
    </w:pPr>
    <w:rPr>
      <w:rFonts w:asciiTheme="majorAscii" w:hAnsiTheme="majorAscii" w:eastAsiaTheme="majorEastAsia" w:cstheme="majorBidi"/>
      <w:b/>
      <w:bCs/>
      <w:sz w:val="32"/>
      <w:szCs w:val="32"/>
    </w:rPr>
  </w:style>
  <w:style w:type="paragraph" w:styleId="4">
    <w:name w:val="heading 3"/>
    <w:basedOn w:val="1"/>
    <w:next w:val="1"/>
    <w:link w:val="44"/>
    <w:autoRedefine/>
    <w:unhideWhenUsed/>
    <w:qFormat/>
    <w:uiPriority w:val="9"/>
    <w:pPr>
      <w:keepNext/>
      <w:keepLines/>
      <w:spacing w:line="560" w:lineRule="exact"/>
      <w:outlineLvl w:val="2"/>
    </w:pPr>
    <w:rPr>
      <w:rFonts w:eastAsia="楷体"/>
      <w:bCs/>
      <w:sz w:val="32"/>
      <w:szCs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widowControl/>
      <w:spacing w:line="360" w:lineRule="auto"/>
      <w:ind w:firstLine="420"/>
      <w:jc w:val="left"/>
    </w:pPr>
    <w:rPr>
      <w:rFonts w:ascii="宋体"/>
      <w:kern w:val="0"/>
      <w:sz w:val="20"/>
      <w:szCs w:val="20"/>
    </w:rPr>
  </w:style>
  <w:style w:type="paragraph" w:styleId="7">
    <w:name w:val="caption"/>
    <w:basedOn w:val="1"/>
    <w:next w:val="1"/>
    <w:autoRedefine/>
    <w:qFormat/>
    <w:uiPriority w:val="99"/>
    <w:pPr>
      <w:widowControl/>
      <w:jc w:val="left"/>
    </w:pPr>
    <w:rPr>
      <w:rFonts w:ascii="Cambria" w:hAnsi="Cambria" w:eastAsia="黑体"/>
      <w:kern w:val="0"/>
      <w:sz w:val="20"/>
      <w:szCs w:val="20"/>
    </w:rPr>
  </w:style>
  <w:style w:type="paragraph" w:styleId="8">
    <w:name w:val="annotation text"/>
    <w:basedOn w:val="1"/>
    <w:link w:val="39"/>
    <w:autoRedefine/>
    <w:semiHidden/>
    <w:unhideWhenUsed/>
    <w:qFormat/>
    <w:uiPriority w:val="99"/>
    <w:pPr>
      <w:jc w:val="left"/>
    </w:pPr>
  </w:style>
  <w:style w:type="paragraph" w:styleId="9">
    <w:name w:val="Body Text 3"/>
    <w:basedOn w:val="1"/>
    <w:link w:val="35"/>
    <w:autoRedefine/>
    <w:unhideWhenUsed/>
    <w:qFormat/>
    <w:uiPriority w:val="99"/>
    <w:pPr>
      <w:spacing w:before="100" w:beforeAutospacing="1" w:after="120"/>
    </w:pPr>
    <w:rPr>
      <w:kern w:val="0"/>
      <w:sz w:val="16"/>
      <w:szCs w:val="16"/>
    </w:rPr>
  </w:style>
  <w:style w:type="paragraph" w:styleId="10">
    <w:name w:val="Body Text"/>
    <w:basedOn w:val="1"/>
    <w:next w:val="1"/>
    <w:autoRedefine/>
    <w:unhideWhenUsed/>
    <w:qFormat/>
    <w:uiPriority w:val="0"/>
    <w:rPr>
      <w:rFonts w:hint="eastAsia" w:eastAsia="仿宋_GB2312"/>
      <w:sz w:val="28"/>
    </w:rPr>
  </w:style>
  <w:style w:type="paragraph" w:styleId="11">
    <w:name w:val="Body Text Indent"/>
    <w:basedOn w:val="1"/>
    <w:link w:val="28"/>
    <w:autoRedefine/>
    <w:unhideWhenUsed/>
    <w:qFormat/>
    <w:uiPriority w:val="99"/>
    <w:pPr>
      <w:widowControl/>
      <w:spacing w:before="100" w:beforeAutospacing="1" w:after="120"/>
      <w:ind w:left="420" w:leftChars="200"/>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30"/>
    <w:autoRedefine/>
    <w:unhideWhenUsed/>
    <w:qFormat/>
    <w:uiPriority w:val="99"/>
    <w:rPr>
      <w:rFonts w:ascii="宋体" w:hAnsi="Courier New"/>
      <w:kern w:val="0"/>
      <w:sz w:val="20"/>
      <w:szCs w:val="20"/>
    </w:rPr>
  </w:style>
  <w:style w:type="paragraph" w:styleId="14">
    <w:name w:val="Balloon Text"/>
    <w:basedOn w:val="1"/>
    <w:link w:val="41"/>
    <w:autoRedefine/>
    <w:semiHidden/>
    <w:unhideWhenUsed/>
    <w:qFormat/>
    <w:uiPriority w:val="99"/>
    <w:rPr>
      <w:sz w:val="18"/>
      <w:szCs w:val="18"/>
    </w:rPr>
  </w:style>
  <w:style w:type="paragraph" w:styleId="15">
    <w:name w:val="footer"/>
    <w:basedOn w:val="1"/>
    <w:link w:val="32"/>
    <w:autoRedefine/>
    <w:unhideWhenUsed/>
    <w:qFormat/>
    <w:uiPriority w:val="99"/>
    <w:pPr>
      <w:snapToGrid w:val="0"/>
      <w:jc w:val="left"/>
    </w:pPr>
    <w:rPr>
      <w:sz w:val="18"/>
      <w:szCs w:val="18"/>
    </w:rPr>
  </w:style>
  <w:style w:type="paragraph" w:styleId="16">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rPr>
      <w:sz w:val="21"/>
    </w:rPr>
  </w:style>
  <w:style w:type="paragraph" w:styleId="18">
    <w:name w:val="toc 2"/>
    <w:basedOn w:val="1"/>
    <w:next w:val="1"/>
    <w:autoRedefine/>
    <w:unhideWhenUsed/>
    <w:qFormat/>
    <w:uiPriority w:val="39"/>
    <w:pPr>
      <w:ind w:left="420" w:leftChars="200"/>
    </w:pPr>
    <w:rPr>
      <w:sz w:val="21"/>
    </w:r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8"/>
    <w:next w:val="8"/>
    <w:link w:val="40"/>
    <w:autoRedefine/>
    <w:semiHidden/>
    <w:unhideWhenUsed/>
    <w:qFormat/>
    <w:uiPriority w:val="99"/>
    <w:rPr>
      <w:b/>
      <w:bCs/>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Hyperlink"/>
    <w:basedOn w:val="23"/>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3"/>
    <w:autoRedefine/>
    <w:semiHidden/>
    <w:unhideWhenUsed/>
    <w:qFormat/>
    <w:uiPriority w:val="99"/>
    <w:rPr>
      <w:sz w:val="21"/>
      <w:szCs w:val="21"/>
    </w:rPr>
  </w:style>
  <w:style w:type="character" w:customStyle="1" w:styleId="27">
    <w:name w:val="标题 2 字符"/>
    <w:basedOn w:val="23"/>
    <w:link w:val="3"/>
    <w:autoRedefine/>
    <w:qFormat/>
    <w:uiPriority w:val="9"/>
    <w:rPr>
      <w:rFonts w:asciiTheme="majorAscii" w:hAnsiTheme="majorAscii" w:eastAsiaTheme="majorEastAsia" w:cstheme="majorBidi"/>
      <w:b/>
      <w:bCs/>
      <w:kern w:val="2"/>
      <w:sz w:val="32"/>
      <w:szCs w:val="32"/>
    </w:rPr>
  </w:style>
  <w:style w:type="character" w:customStyle="1" w:styleId="28">
    <w:name w:val="正文文本缩进 字符"/>
    <w:basedOn w:val="23"/>
    <w:link w:val="11"/>
    <w:autoRedefine/>
    <w:qFormat/>
    <w:uiPriority w:val="99"/>
    <w:rPr>
      <w:rFonts w:ascii="Calibri" w:hAnsi="Calibri" w:eastAsia="宋体" w:cs="Times New Roman"/>
      <w:szCs w:val="21"/>
    </w:rPr>
  </w:style>
  <w:style w:type="paragraph" w:customStyle="1" w:styleId="29">
    <w:name w:val="样式"/>
    <w:basedOn w:val="1"/>
    <w:autoRedefine/>
    <w:qFormat/>
    <w:uiPriority w:val="0"/>
    <w:pPr>
      <w:autoSpaceDE w:val="0"/>
      <w:autoSpaceDN w:val="0"/>
      <w:adjustRightInd w:val="0"/>
      <w:jc w:val="left"/>
    </w:pPr>
    <w:rPr>
      <w:rFonts w:ascii="宋体" w:hAnsi="宋体" w:cs="宋体"/>
      <w:kern w:val="0"/>
      <w:sz w:val="24"/>
      <w:szCs w:val="24"/>
    </w:rPr>
  </w:style>
  <w:style w:type="character" w:customStyle="1" w:styleId="30">
    <w:name w:val="纯文本 字符"/>
    <w:basedOn w:val="23"/>
    <w:link w:val="13"/>
    <w:autoRedefine/>
    <w:qFormat/>
    <w:uiPriority w:val="99"/>
    <w:rPr>
      <w:rFonts w:ascii="宋体" w:hAnsi="Courier New" w:eastAsia="宋体" w:cs="Times New Roman"/>
      <w:kern w:val="0"/>
      <w:sz w:val="20"/>
      <w:szCs w:val="20"/>
    </w:rPr>
  </w:style>
  <w:style w:type="paragraph" w:customStyle="1" w:styleId="31">
    <w:name w:val="Table Paragraph"/>
    <w:basedOn w:val="1"/>
    <w:autoRedefine/>
    <w:qFormat/>
    <w:uiPriority w:val="0"/>
    <w:pPr>
      <w:autoSpaceDE w:val="0"/>
      <w:autoSpaceDN w:val="0"/>
      <w:jc w:val="left"/>
    </w:pPr>
    <w:rPr>
      <w:rFonts w:ascii="宋体" w:hAnsi="宋体" w:cs="宋体"/>
      <w:kern w:val="0"/>
      <w:sz w:val="22"/>
      <w:szCs w:val="22"/>
    </w:rPr>
  </w:style>
  <w:style w:type="character" w:customStyle="1" w:styleId="32">
    <w:name w:val="页脚 字符"/>
    <w:basedOn w:val="23"/>
    <w:link w:val="15"/>
    <w:autoRedefine/>
    <w:qFormat/>
    <w:uiPriority w:val="99"/>
    <w:rPr>
      <w:rFonts w:ascii="Calibri" w:hAnsi="Calibri" w:eastAsia="宋体" w:cs="Times New Roman"/>
      <w:sz w:val="18"/>
      <w:szCs w:val="18"/>
    </w:rPr>
  </w:style>
  <w:style w:type="paragraph" w:customStyle="1" w:styleId="33">
    <w:name w:val="列出段落1"/>
    <w:basedOn w:val="1"/>
    <w:autoRedefine/>
    <w:qFormat/>
    <w:uiPriority w:val="0"/>
    <w:pPr>
      <w:widowControl/>
      <w:ind w:firstLine="420" w:firstLineChars="200"/>
      <w:jc w:val="left"/>
    </w:pPr>
    <w:rPr>
      <w:rFonts w:ascii="Times New Roman" w:hAnsi="Times New Roman"/>
      <w:kern w:val="0"/>
    </w:rPr>
  </w:style>
  <w:style w:type="paragraph" w:customStyle="1" w:styleId="34">
    <w:name w:val="列出段落11"/>
    <w:basedOn w:val="1"/>
    <w:autoRedefine/>
    <w:qFormat/>
    <w:uiPriority w:val="0"/>
    <w:pPr>
      <w:ind w:firstLine="420" w:firstLineChars="200"/>
    </w:pPr>
  </w:style>
  <w:style w:type="character" w:customStyle="1" w:styleId="35">
    <w:name w:val="正文文本 3 字符"/>
    <w:basedOn w:val="23"/>
    <w:link w:val="9"/>
    <w:autoRedefine/>
    <w:qFormat/>
    <w:uiPriority w:val="99"/>
    <w:rPr>
      <w:rFonts w:ascii="Calibri" w:hAnsi="Calibri" w:eastAsia="宋体" w:cs="Times New Roman"/>
      <w:kern w:val="0"/>
      <w:sz w:val="16"/>
      <w:szCs w:val="16"/>
    </w:rPr>
  </w:style>
  <w:style w:type="paragraph" w:customStyle="1" w:styleId="36">
    <w:name w:val="标准"/>
    <w:basedOn w:val="1"/>
    <w:autoRedefine/>
    <w:qFormat/>
    <w:uiPriority w:val="0"/>
    <w:pPr>
      <w:overflowPunct w:val="0"/>
      <w:autoSpaceDE w:val="0"/>
      <w:autoSpaceDN w:val="0"/>
      <w:adjustRightInd w:val="0"/>
      <w:spacing w:line="240" w:lineRule="atLeast"/>
      <w:textAlignment w:val="baseline"/>
    </w:pPr>
    <w:rPr>
      <w:rFonts w:ascii="Times New Roman" w:hAnsi="Times New Roman" w:eastAsia="楷体_GB2312"/>
      <w:kern w:val="0"/>
      <w:sz w:val="24"/>
      <w:szCs w:val="24"/>
    </w:rPr>
  </w:style>
  <w:style w:type="paragraph" w:customStyle="1" w:styleId="37">
    <w:name w:val="题注4"/>
    <w:basedOn w:val="1"/>
    <w:next w:val="7"/>
    <w:autoRedefine/>
    <w:qFormat/>
    <w:uiPriority w:val="0"/>
    <w:pPr>
      <w:spacing w:before="100" w:beforeAutospacing="1" w:after="100" w:afterAutospacing="1"/>
      <w:ind w:left="-132" w:leftChars="-64" w:right="-105" w:rightChars="-50" w:hanging="2"/>
      <w:jc w:val="center"/>
    </w:pPr>
    <w:rPr>
      <w:rFonts w:ascii="Times New Roman" w:hAnsi="Times New Roman"/>
      <w:b/>
      <w:color w:val="FF0000"/>
    </w:rPr>
  </w:style>
  <w:style w:type="character" w:customStyle="1" w:styleId="38">
    <w:name w:val="页眉 字符"/>
    <w:basedOn w:val="23"/>
    <w:link w:val="16"/>
    <w:autoRedefine/>
    <w:qFormat/>
    <w:uiPriority w:val="99"/>
    <w:rPr>
      <w:rFonts w:ascii="Calibri" w:hAnsi="Calibri" w:eastAsia="宋体" w:cs="Times New Roman"/>
      <w:sz w:val="18"/>
      <w:szCs w:val="18"/>
    </w:rPr>
  </w:style>
  <w:style w:type="character" w:customStyle="1" w:styleId="39">
    <w:name w:val="批注文字 字符"/>
    <w:basedOn w:val="23"/>
    <w:link w:val="8"/>
    <w:autoRedefine/>
    <w:semiHidden/>
    <w:qFormat/>
    <w:uiPriority w:val="99"/>
    <w:rPr>
      <w:rFonts w:ascii="Calibri" w:hAnsi="Calibri" w:eastAsia="宋体" w:cs="Times New Roman"/>
      <w:szCs w:val="21"/>
    </w:rPr>
  </w:style>
  <w:style w:type="character" w:customStyle="1" w:styleId="40">
    <w:name w:val="批注主题 字符"/>
    <w:basedOn w:val="39"/>
    <w:link w:val="20"/>
    <w:autoRedefine/>
    <w:semiHidden/>
    <w:qFormat/>
    <w:uiPriority w:val="99"/>
    <w:rPr>
      <w:rFonts w:ascii="Calibri" w:hAnsi="Calibri" w:eastAsia="宋体" w:cs="Times New Roman"/>
      <w:b/>
      <w:bCs/>
      <w:szCs w:val="21"/>
    </w:rPr>
  </w:style>
  <w:style w:type="character" w:customStyle="1" w:styleId="41">
    <w:name w:val="批注框文本 字符"/>
    <w:basedOn w:val="23"/>
    <w:link w:val="14"/>
    <w:autoRedefine/>
    <w:semiHidden/>
    <w:qFormat/>
    <w:uiPriority w:val="99"/>
    <w:rPr>
      <w:rFonts w:ascii="Calibri" w:hAnsi="Calibri" w:eastAsia="宋体" w:cs="Times New Roman"/>
      <w:sz w:val="18"/>
      <w:szCs w:val="18"/>
    </w:rPr>
  </w:style>
  <w:style w:type="character" w:customStyle="1" w:styleId="42">
    <w:name w:val="标题 1 字符"/>
    <w:basedOn w:val="23"/>
    <w:link w:val="2"/>
    <w:autoRedefine/>
    <w:qFormat/>
    <w:uiPriority w:val="9"/>
    <w:rPr>
      <w:rFonts w:ascii="Calibri" w:hAnsi="Calibri" w:eastAsia="方正小标宋简体" w:cs="Times New Roman"/>
      <w:bCs/>
      <w:kern w:val="44"/>
      <w:sz w:val="36"/>
      <w:szCs w:val="44"/>
    </w:rPr>
  </w:style>
  <w:style w:type="paragraph" w:customStyle="1" w:styleId="43">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44">
    <w:name w:val="标题 3 字符"/>
    <w:basedOn w:val="23"/>
    <w:link w:val="4"/>
    <w:autoRedefine/>
    <w:qFormat/>
    <w:uiPriority w:val="9"/>
    <w:rPr>
      <w:rFonts w:ascii="Calibri" w:hAnsi="Calibri" w:eastAsia="楷体" w:cs="Times New Roman"/>
      <w:bCs/>
      <w:kern w:val="2"/>
      <w:sz w:val="32"/>
      <w:szCs w:val="32"/>
    </w:rPr>
  </w:style>
  <w:style w:type="paragraph" w:styleId="45">
    <w:name w:val="List Paragraph"/>
    <w:basedOn w:val="1"/>
    <w:autoRedefine/>
    <w:qFormat/>
    <w:uiPriority w:val="99"/>
    <w:pPr>
      <w:ind w:firstLine="420" w:firstLineChars="200"/>
    </w:pPr>
  </w:style>
  <w:style w:type="paragraph" w:customStyle="1" w:styleId="46">
    <w:name w:val="样式 首行缩进:  2 字符 段前: 0.5 行 行距: 固定值 23 磅"/>
    <w:basedOn w:val="1"/>
    <w:autoRedefine/>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47">
    <w:name w:val="表格文字"/>
    <w:basedOn w:val="1"/>
    <w:autoRedefine/>
    <w:qFormat/>
    <w:uiPriority w:val="0"/>
    <w:pPr>
      <w:spacing w:before="25" w:after="25"/>
      <w:jc w:val="left"/>
    </w:pPr>
    <w:rPr>
      <w:spacing w:val="10"/>
      <w:kern w:val="0"/>
      <w:sz w:val="24"/>
    </w:rPr>
  </w:style>
  <w:style w:type="character" w:customStyle="1" w:styleId="48">
    <w:name w:val="font01"/>
    <w:basedOn w:val="23"/>
    <w:autoRedefine/>
    <w:qFormat/>
    <w:uiPriority w:val="0"/>
    <w:rPr>
      <w:rFonts w:hint="eastAsia" w:ascii="楷体" w:hAnsi="楷体" w:eastAsia="楷体" w:cs="楷体"/>
      <w:color w:val="000000"/>
      <w:sz w:val="28"/>
      <w:szCs w:val="28"/>
      <w:u w:val="none"/>
    </w:rPr>
  </w:style>
  <w:style w:type="character" w:customStyle="1" w:styleId="49">
    <w:name w:val="font21"/>
    <w:basedOn w:val="23"/>
    <w:autoRedefine/>
    <w:qFormat/>
    <w:uiPriority w:val="0"/>
    <w:rPr>
      <w:rFonts w:hint="eastAsia" w:ascii="楷体" w:hAnsi="楷体" w:eastAsia="楷体" w:cs="楷体"/>
      <w:color w:val="FF0000"/>
      <w:sz w:val="28"/>
      <w:szCs w:val="28"/>
      <w:u w:val="none"/>
    </w:rPr>
  </w:style>
  <w:style w:type="character" w:customStyle="1" w:styleId="50">
    <w:name w:val="font41"/>
    <w:basedOn w:val="23"/>
    <w:autoRedefine/>
    <w:qFormat/>
    <w:uiPriority w:val="0"/>
    <w:rPr>
      <w:rFonts w:hint="eastAsia" w:ascii="仿宋" w:hAnsi="仿宋" w:eastAsia="仿宋" w:cs="仿宋"/>
      <w:color w:val="000000"/>
      <w:sz w:val="28"/>
      <w:szCs w:val="28"/>
      <w:u w:val="none"/>
    </w:rPr>
  </w:style>
  <w:style w:type="table" w:customStyle="1" w:styleId="51">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344A-E379-446C-A15D-7332D4BB34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484</Words>
  <Characters>561</Characters>
  <Lines>22</Lines>
  <Paragraphs>6</Paragraphs>
  <TotalTime>4</TotalTime>
  <ScaleCrop>false</ScaleCrop>
  <LinksUpToDate>false</LinksUpToDate>
  <CharactersWithSpaces>608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2022-01-27T07:26:00Z</dcterms:created>
  <dc:creator>s1</dc:creator>
  <cp:lastModifiedBy>余嘉泰</cp:lastModifiedBy>
  <dcterms:modified xsi:type="dcterms:W3CDTF">2025-06-18T03:51:55Z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AC67A4F91F5446F096393DC2B462B9C3_13</vt:lpwstr>
  </property>
  <property fmtid="{D5CDD505-2E9C-101B-9397-08002B2CF9AE}" pid="4" name="KSOTemplateDocerSaveRecord">
    <vt:lpwstr>eyJoZGlkIjoiNTA0ZDQ5ZDY2ZTY3ODAzNjU0M2Y3Y2Y3M2MxNzhmMjciLCJ1c2VySWQiOiIxMzM0NTk1ODk2In0=</vt:lpwstr>
  </property>
</Properties>
</file>