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444A4">
      <w:pPr>
        <w:widowControl/>
        <w:spacing w:line="360" w:lineRule="auto"/>
        <w:ind w:leftChars="-135" w:right="-483" w:rightChars="-227" w:hanging="453" w:hangingChars="94"/>
        <w:jc w:val="center"/>
        <w:rPr>
          <w:rFonts w:hint="eastAsia" w:ascii="宋体" w:hAnsi="宋体" w:cs="宋体"/>
          <w:b/>
          <w:bCs/>
          <w:kern w:val="36"/>
          <w:sz w:val="48"/>
          <w:szCs w:val="48"/>
        </w:rPr>
      </w:pPr>
    </w:p>
    <w:p w14:paraId="5AA33235">
      <w:pPr>
        <w:pStyle w:val="13"/>
        <w:rPr>
          <w:rFonts w:hint="eastAsia"/>
        </w:rPr>
      </w:pPr>
    </w:p>
    <w:p w14:paraId="667749EA">
      <w:pPr>
        <w:widowControl/>
        <w:spacing w:line="360" w:lineRule="auto"/>
        <w:ind w:leftChars="-135" w:right="-483" w:rightChars="-227" w:hanging="340" w:hangingChars="94"/>
        <w:jc w:val="center"/>
        <w:rPr>
          <w:rFonts w:hint="eastAsia" w:ascii="宋体" w:hAnsi="宋体" w:eastAsia="宋体" w:cs="宋体"/>
          <w:b/>
          <w:bCs/>
          <w:kern w:val="36"/>
          <w:sz w:val="36"/>
          <w:szCs w:val="36"/>
          <w:lang w:eastAsia="zh-CN"/>
        </w:rPr>
      </w:pPr>
      <w:r>
        <w:rPr>
          <w:rFonts w:hint="eastAsia" w:ascii="宋体" w:hAnsi="宋体" w:cs="宋体"/>
          <w:b/>
          <w:bCs/>
          <w:kern w:val="36"/>
          <w:sz w:val="36"/>
          <w:szCs w:val="36"/>
          <w:lang w:eastAsia="zh-CN"/>
        </w:rPr>
        <w:t>2025-2026年西塘桥街道公共环境病媒生物防制服务</w:t>
      </w:r>
    </w:p>
    <w:p w14:paraId="0D5D600E">
      <w:pPr>
        <w:widowControl/>
        <w:spacing w:line="360" w:lineRule="auto"/>
        <w:ind w:leftChars="-135" w:right="-483" w:rightChars="-227" w:hanging="284" w:hangingChars="94"/>
        <w:jc w:val="center"/>
        <w:rPr>
          <w:rFonts w:hint="eastAsia" w:ascii="宋体" w:hAnsi="宋体" w:cs="宋体"/>
          <w:b/>
          <w:bCs/>
          <w:kern w:val="36"/>
          <w:sz w:val="30"/>
          <w:szCs w:val="30"/>
        </w:rPr>
      </w:pPr>
    </w:p>
    <w:p w14:paraId="2B1150F2">
      <w:pPr>
        <w:pStyle w:val="13"/>
        <w:rPr>
          <w:rFonts w:hint="eastAsia" w:ascii="宋体" w:hAnsi="宋体" w:cs="宋体"/>
          <w:b/>
          <w:bCs/>
          <w:kern w:val="36"/>
          <w:sz w:val="30"/>
          <w:szCs w:val="30"/>
        </w:rPr>
      </w:pPr>
    </w:p>
    <w:p w14:paraId="446625B7">
      <w:pPr>
        <w:rPr>
          <w:rFonts w:hint="eastAsia" w:ascii="宋体" w:hAnsi="宋体" w:cs="宋体"/>
          <w:b/>
          <w:bCs/>
          <w:kern w:val="36"/>
          <w:sz w:val="30"/>
          <w:szCs w:val="30"/>
        </w:rPr>
      </w:pPr>
    </w:p>
    <w:p w14:paraId="7AFCBD64">
      <w:pPr>
        <w:pStyle w:val="13"/>
        <w:rPr>
          <w:rFonts w:hint="eastAsia"/>
        </w:rPr>
      </w:pPr>
    </w:p>
    <w:p w14:paraId="530E0B15">
      <w:pPr>
        <w:snapToGrid w:val="0"/>
        <w:spacing w:line="360" w:lineRule="auto"/>
        <w:jc w:val="center"/>
        <w:rPr>
          <w:rFonts w:hint="eastAsia" w:ascii="宋体" w:hAnsi="宋体" w:cs="宋体"/>
          <w:b/>
          <w:bCs/>
          <w:w w:val="95"/>
          <w:sz w:val="48"/>
          <w:szCs w:val="48"/>
        </w:rPr>
      </w:pPr>
      <w:r>
        <w:rPr>
          <w:rFonts w:hint="eastAsia" w:ascii="宋体" w:hAnsi="宋体" w:cs="宋体"/>
          <w:b/>
          <w:bCs/>
          <w:w w:val="95"/>
          <w:sz w:val="48"/>
          <w:szCs w:val="48"/>
        </w:rPr>
        <w:t>竞争性磋商文件</w:t>
      </w:r>
    </w:p>
    <w:p w14:paraId="624988A8">
      <w:pPr>
        <w:snapToGrid w:val="0"/>
        <w:ind w:firstLine="1653" w:firstLineChars="615"/>
        <w:rPr>
          <w:rFonts w:hint="eastAsia" w:ascii="宋体" w:hAnsi="宋体" w:cs="宋体"/>
          <w:b/>
          <w:bCs/>
          <w:w w:val="95"/>
          <w:sz w:val="28"/>
          <w:szCs w:val="28"/>
        </w:rPr>
      </w:pPr>
    </w:p>
    <w:p w14:paraId="5B14A9B8">
      <w:pPr>
        <w:snapToGrid w:val="0"/>
        <w:ind w:firstLine="1653" w:firstLineChars="615"/>
        <w:rPr>
          <w:rFonts w:hint="eastAsia" w:ascii="宋体" w:hAnsi="宋体" w:cs="宋体"/>
          <w:b/>
          <w:bCs/>
          <w:w w:val="95"/>
          <w:sz w:val="28"/>
          <w:szCs w:val="28"/>
        </w:rPr>
      </w:pPr>
    </w:p>
    <w:p w14:paraId="0553C232">
      <w:pPr>
        <w:snapToGrid w:val="0"/>
        <w:ind w:firstLine="1770" w:firstLineChars="615"/>
        <w:rPr>
          <w:rFonts w:hint="eastAsia" w:ascii="宋体" w:hAnsi="宋体" w:cs="宋体"/>
          <w:b/>
          <w:bCs/>
          <w:w w:val="95"/>
          <w:sz w:val="30"/>
          <w:szCs w:val="30"/>
        </w:rPr>
      </w:pPr>
    </w:p>
    <w:p w14:paraId="34F5DDB3">
      <w:pPr>
        <w:snapToGrid w:val="0"/>
        <w:ind w:firstLine="1770" w:firstLineChars="615"/>
        <w:rPr>
          <w:rFonts w:hint="eastAsia" w:ascii="宋体" w:hAnsi="宋体" w:cs="宋体"/>
          <w:b/>
          <w:bCs/>
          <w:w w:val="95"/>
          <w:sz w:val="30"/>
          <w:szCs w:val="30"/>
        </w:rPr>
      </w:pPr>
    </w:p>
    <w:p w14:paraId="4F9D876C">
      <w:pPr>
        <w:snapToGrid w:val="0"/>
        <w:ind w:firstLine="1770" w:firstLineChars="615"/>
        <w:rPr>
          <w:rFonts w:hint="eastAsia" w:ascii="宋体" w:hAnsi="宋体" w:cs="宋体"/>
          <w:b/>
          <w:bCs/>
          <w:w w:val="95"/>
          <w:sz w:val="30"/>
          <w:szCs w:val="30"/>
        </w:rPr>
      </w:pPr>
    </w:p>
    <w:p w14:paraId="178C3A1A">
      <w:pPr>
        <w:spacing w:line="480" w:lineRule="auto"/>
        <w:ind w:firstLine="1060" w:firstLineChars="350"/>
        <w:rPr>
          <w:rFonts w:hint="eastAsia" w:ascii="宋体" w:hAnsi="宋体" w:cs="宋体"/>
          <w:b/>
          <w:sz w:val="30"/>
          <w:szCs w:val="30"/>
          <w:lang w:eastAsia="zh-CN"/>
        </w:rPr>
      </w:pPr>
      <w:r>
        <w:rPr>
          <w:rFonts w:hint="eastAsia" w:ascii="宋体" w:hAnsi="宋体" w:cs="宋体"/>
          <w:b/>
          <w:sz w:val="30"/>
          <w:szCs w:val="30"/>
        </w:rPr>
        <w:t>项目编号：</w:t>
      </w:r>
      <w:r>
        <w:rPr>
          <w:rFonts w:hint="eastAsia" w:ascii="宋体" w:hAnsi="宋体" w:cs="宋体"/>
          <w:b/>
          <w:sz w:val="30"/>
          <w:szCs w:val="30"/>
          <w:lang w:eastAsia="zh-CN"/>
        </w:rPr>
        <w:t>嘉鼎晟采〔2025〕057号</w:t>
      </w:r>
    </w:p>
    <w:p w14:paraId="08831EC2">
      <w:pPr>
        <w:spacing w:line="480" w:lineRule="auto"/>
        <w:ind w:firstLine="1060" w:firstLineChars="350"/>
        <w:rPr>
          <w:rFonts w:hint="eastAsia" w:ascii="宋体" w:hAnsi="宋体" w:cs="宋体"/>
          <w:b/>
          <w:sz w:val="30"/>
          <w:szCs w:val="30"/>
        </w:rPr>
      </w:pPr>
      <w:r>
        <w:rPr>
          <w:rFonts w:hint="eastAsia" w:ascii="宋体" w:hAnsi="宋体" w:cs="宋体"/>
          <w:b/>
          <w:sz w:val="30"/>
          <w:szCs w:val="30"/>
        </w:rPr>
        <w:t>采购方式：竞争性磋商</w:t>
      </w:r>
    </w:p>
    <w:p w14:paraId="3E70E051">
      <w:pPr>
        <w:spacing w:line="480" w:lineRule="auto"/>
        <w:ind w:firstLine="1060" w:firstLineChars="350"/>
        <w:rPr>
          <w:rFonts w:hint="eastAsia" w:ascii="宋体" w:hAnsi="宋体" w:eastAsia="宋体" w:cs="宋体"/>
          <w:b/>
          <w:sz w:val="30"/>
          <w:szCs w:val="30"/>
          <w:lang w:eastAsia="zh-CN"/>
        </w:rPr>
      </w:pPr>
      <w:r>
        <w:rPr>
          <w:rFonts w:hint="eastAsia" w:ascii="宋体" w:hAnsi="宋体" w:cs="宋体"/>
          <w:b/>
          <w:sz w:val="30"/>
          <w:szCs w:val="30"/>
        </w:rPr>
        <w:t>采购单位：</w:t>
      </w:r>
      <w:r>
        <w:rPr>
          <w:rFonts w:hint="eastAsia" w:ascii="宋体" w:hAnsi="宋体" w:cs="宋体"/>
          <w:b/>
          <w:sz w:val="30"/>
          <w:szCs w:val="30"/>
          <w:lang w:eastAsia="zh-CN"/>
        </w:rPr>
        <w:t>浙江省海盐经济开发区管理委员会</w:t>
      </w:r>
    </w:p>
    <w:p w14:paraId="5EA5098E">
      <w:pPr>
        <w:spacing w:line="480" w:lineRule="auto"/>
        <w:ind w:firstLine="1060" w:firstLineChars="350"/>
        <w:rPr>
          <w:rFonts w:hint="eastAsia" w:ascii="宋体" w:hAnsi="宋体" w:eastAsia="宋体" w:cs="宋体"/>
          <w:b/>
          <w:sz w:val="30"/>
          <w:szCs w:val="30"/>
          <w:lang w:eastAsia="zh-CN"/>
        </w:rPr>
      </w:pPr>
      <w:r>
        <w:rPr>
          <w:rFonts w:hint="eastAsia" w:ascii="宋体" w:hAnsi="宋体" w:cs="宋体"/>
          <w:b/>
          <w:sz w:val="30"/>
          <w:szCs w:val="30"/>
        </w:rPr>
        <w:t>代理机构：</w:t>
      </w:r>
      <w:r>
        <w:rPr>
          <w:rFonts w:hint="eastAsia" w:ascii="宋体" w:hAnsi="宋体" w:cs="宋体"/>
          <w:b/>
          <w:sz w:val="30"/>
          <w:szCs w:val="30"/>
          <w:lang w:eastAsia="zh-CN"/>
        </w:rPr>
        <w:t>嘉兴鼎晟工程管理有限公司</w:t>
      </w:r>
    </w:p>
    <w:p w14:paraId="18F67BFD">
      <w:pPr>
        <w:spacing w:line="480" w:lineRule="auto"/>
        <w:ind w:firstLine="2878" w:firstLineChars="950"/>
        <w:rPr>
          <w:rFonts w:hint="eastAsia"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0"/>
          <w:szCs w:val="30"/>
          <w:lang w:val="en-US" w:eastAsia="zh-CN"/>
        </w:rPr>
        <w:t>06</w:t>
      </w:r>
      <w:r>
        <w:rPr>
          <w:rFonts w:hint="eastAsia" w:ascii="宋体" w:hAnsi="宋体" w:cs="宋体"/>
          <w:b/>
          <w:sz w:val="30"/>
          <w:szCs w:val="30"/>
        </w:rPr>
        <w:t>月</w:t>
      </w:r>
      <w:r>
        <w:rPr>
          <w:rFonts w:hint="eastAsia" w:ascii="宋体" w:hAnsi="宋体" w:cs="宋体"/>
          <w:b/>
          <w:sz w:val="30"/>
          <w:szCs w:val="30"/>
          <w:lang w:val="en-US" w:eastAsia="zh-CN"/>
        </w:rPr>
        <w:t>10</w:t>
      </w:r>
      <w:r>
        <w:rPr>
          <w:rFonts w:hint="eastAsia" w:ascii="宋体" w:hAnsi="宋体" w:cs="宋体"/>
          <w:b/>
          <w:sz w:val="30"/>
          <w:szCs w:val="30"/>
        </w:rPr>
        <w:t>日</w:t>
      </w:r>
    </w:p>
    <w:p w14:paraId="14D84D85">
      <w:pPr>
        <w:rPr>
          <w:rFonts w:ascii="Arial" w:hAnsi="Arial" w:cs="Arial"/>
          <w:b/>
          <w:sz w:val="40"/>
          <w:szCs w:val="32"/>
        </w:rPr>
      </w:pPr>
      <w:r>
        <w:rPr>
          <w:rFonts w:ascii="Arial" w:hAnsi="Arial" w:cs="Arial"/>
          <w:b/>
          <w:sz w:val="40"/>
          <w:szCs w:val="32"/>
        </w:rPr>
        <w:br w:type="page"/>
      </w:r>
    </w:p>
    <w:p w14:paraId="41FA2746">
      <w:pPr>
        <w:spacing w:line="276" w:lineRule="auto"/>
        <w:jc w:val="center"/>
        <w:rPr>
          <w:rFonts w:ascii="Arial" w:hAnsi="Arial" w:cs="Arial"/>
          <w:b/>
          <w:sz w:val="40"/>
          <w:szCs w:val="32"/>
        </w:rPr>
      </w:pPr>
      <w:r>
        <w:rPr>
          <w:rFonts w:ascii="Arial" w:hAnsi="Arial" w:cs="Arial"/>
          <w:b/>
          <w:sz w:val="40"/>
          <w:szCs w:val="32"/>
        </w:rPr>
        <w:t>目</w:t>
      </w:r>
      <w:r>
        <w:rPr>
          <w:rFonts w:hint="eastAsia" w:ascii="Arial" w:hAnsi="Arial" w:cs="Arial"/>
          <w:b/>
          <w:sz w:val="40"/>
          <w:szCs w:val="32"/>
          <w:lang w:val="en-US" w:eastAsia="zh-CN"/>
        </w:rPr>
        <w:t xml:space="preserve">  </w:t>
      </w:r>
      <w:r>
        <w:rPr>
          <w:rFonts w:ascii="Arial" w:hAnsi="Arial" w:cs="Arial"/>
          <w:b/>
          <w:sz w:val="40"/>
          <w:szCs w:val="32"/>
        </w:rPr>
        <w:t>录</w:t>
      </w:r>
    </w:p>
    <w:p w14:paraId="730C6C76">
      <w:pPr>
        <w:spacing w:line="276" w:lineRule="auto"/>
        <w:jc w:val="center"/>
        <w:rPr>
          <w:rFonts w:ascii="Arial" w:hAnsi="Arial" w:cs="Arial"/>
          <w:b/>
          <w:sz w:val="40"/>
          <w:szCs w:val="32"/>
        </w:rPr>
      </w:pPr>
    </w:p>
    <w:p w14:paraId="44D619E1">
      <w:pPr>
        <w:pStyle w:val="21"/>
        <w:tabs>
          <w:tab w:val="right" w:leader="dot" w:pos="9015"/>
          <w:tab w:val="clear" w:pos="8948"/>
        </w:tabs>
      </w:pPr>
      <w:r>
        <w:rPr>
          <w:rFonts w:cs="Arial"/>
          <w:b w:val="0"/>
          <w:kern w:val="2"/>
          <w:sz w:val="28"/>
          <w:szCs w:val="28"/>
        </w:rPr>
        <w:fldChar w:fldCharType="begin"/>
      </w:r>
      <w:r>
        <w:rPr>
          <w:rFonts w:cs="Arial"/>
          <w:b w:val="0"/>
          <w:kern w:val="2"/>
          <w:sz w:val="28"/>
          <w:szCs w:val="28"/>
        </w:rPr>
        <w:instrText xml:space="preserve"> TOC \o "1-3" \h \z \u </w:instrText>
      </w:r>
      <w:r>
        <w:rPr>
          <w:rFonts w:cs="Arial"/>
          <w:b w:val="0"/>
          <w:kern w:val="2"/>
          <w:sz w:val="28"/>
          <w:szCs w:val="28"/>
        </w:rPr>
        <w:fldChar w:fldCharType="separate"/>
      </w:r>
      <w:r>
        <w:rPr>
          <w:rFonts w:cs="Arial"/>
          <w:kern w:val="2"/>
          <w:szCs w:val="28"/>
        </w:rPr>
        <w:fldChar w:fldCharType="begin"/>
      </w:r>
      <w:r>
        <w:rPr>
          <w:rFonts w:cs="Arial"/>
          <w:kern w:val="2"/>
          <w:szCs w:val="28"/>
        </w:rPr>
        <w:instrText xml:space="preserve"> HYPERLINK \l _Toc16313 </w:instrText>
      </w:r>
      <w:r>
        <w:rPr>
          <w:rFonts w:cs="Arial"/>
          <w:kern w:val="2"/>
          <w:szCs w:val="28"/>
        </w:rPr>
        <w:fldChar w:fldCharType="separate"/>
      </w:r>
      <w:r>
        <w:rPr>
          <w:rFonts w:ascii="Arial" w:hAnsi="Arial" w:cs="Arial"/>
          <w:szCs w:val="36"/>
        </w:rPr>
        <w:t>第一部分采购公告</w:t>
      </w:r>
      <w:r>
        <w:tab/>
      </w:r>
      <w:r>
        <w:fldChar w:fldCharType="begin"/>
      </w:r>
      <w:r>
        <w:instrText xml:space="preserve"> PAGEREF _Toc16313 \h </w:instrText>
      </w:r>
      <w:r>
        <w:fldChar w:fldCharType="separate"/>
      </w:r>
      <w:r>
        <w:t>3</w:t>
      </w:r>
      <w:r>
        <w:fldChar w:fldCharType="end"/>
      </w:r>
      <w:r>
        <w:rPr>
          <w:rFonts w:cs="Arial"/>
          <w:kern w:val="2"/>
          <w:szCs w:val="28"/>
        </w:rPr>
        <w:fldChar w:fldCharType="end"/>
      </w:r>
    </w:p>
    <w:p w14:paraId="047DC52D">
      <w:pPr>
        <w:pStyle w:val="21"/>
        <w:tabs>
          <w:tab w:val="right" w:leader="dot" w:pos="9015"/>
          <w:tab w:val="clear" w:pos="8948"/>
        </w:tabs>
      </w:pPr>
      <w:r>
        <w:rPr>
          <w:rFonts w:cs="Arial"/>
          <w:kern w:val="2"/>
        </w:rPr>
        <w:fldChar w:fldCharType="begin"/>
      </w:r>
      <w:r>
        <w:rPr>
          <w:rFonts w:cs="Arial"/>
          <w:kern w:val="2"/>
        </w:rPr>
        <w:instrText xml:space="preserve"> HYPERLINK \l _Toc29022 </w:instrText>
      </w:r>
      <w:r>
        <w:rPr>
          <w:rFonts w:cs="Arial"/>
          <w:kern w:val="2"/>
        </w:rPr>
        <w:fldChar w:fldCharType="separate"/>
      </w:r>
      <w:r>
        <w:rPr>
          <w:rFonts w:ascii="Arial" w:hAnsi="Arial" w:cs="Arial"/>
          <w:szCs w:val="36"/>
        </w:rPr>
        <w:t>第二部分</w:t>
      </w:r>
      <w:r>
        <w:rPr>
          <w:rFonts w:hint="eastAsia" w:ascii="Arial" w:hAnsi="Arial" w:cs="Arial"/>
          <w:szCs w:val="36"/>
          <w:lang w:val="en-US" w:eastAsia="zh-CN"/>
        </w:rPr>
        <w:t xml:space="preserve"> </w:t>
      </w:r>
      <w:r>
        <w:rPr>
          <w:rFonts w:ascii="Arial" w:hAnsi="Arial" w:cs="Arial"/>
          <w:szCs w:val="36"/>
        </w:rPr>
        <w:t>竞争性磋商供应商须知</w:t>
      </w:r>
      <w:r>
        <w:tab/>
      </w:r>
      <w:r>
        <w:fldChar w:fldCharType="begin"/>
      </w:r>
      <w:r>
        <w:instrText xml:space="preserve"> PAGEREF _Toc29022 \h </w:instrText>
      </w:r>
      <w:r>
        <w:fldChar w:fldCharType="separate"/>
      </w:r>
      <w:r>
        <w:t>8</w:t>
      </w:r>
      <w:r>
        <w:fldChar w:fldCharType="end"/>
      </w:r>
      <w:r>
        <w:rPr>
          <w:rFonts w:cs="Arial"/>
          <w:kern w:val="2"/>
        </w:rPr>
        <w:fldChar w:fldCharType="end"/>
      </w:r>
    </w:p>
    <w:p w14:paraId="56042495">
      <w:pPr>
        <w:pStyle w:val="8"/>
        <w:tabs>
          <w:tab w:val="right" w:leader="dot" w:pos="9015"/>
          <w:tab w:val="clear" w:pos="8948"/>
        </w:tabs>
      </w:pPr>
      <w:r>
        <w:rPr>
          <w:rFonts w:cs="Arial"/>
          <w:kern w:val="2"/>
        </w:rPr>
        <w:fldChar w:fldCharType="begin"/>
      </w:r>
      <w:r>
        <w:rPr>
          <w:rFonts w:cs="Arial"/>
          <w:kern w:val="2"/>
        </w:rPr>
        <w:instrText xml:space="preserve"> HYPERLINK \l _Toc25460 </w:instrText>
      </w:r>
      <w:r>
        <w:rPr>
          <w:rFonts w:cs="Arial"/>
          <w:kern w:val="2"/>
        </w:rPr>
        <w:fldChar w:fldCharType="separate"/>
      </w:r>
      <w:r>
        <w:rPr>
          <w:rFonts w:ascii="Arial" w:hAnsi="Arial" w:cs="Arial"/>
          <w:szCs w:val="24"/>
        </w:rPr>
        <w:t>（一）</w:t>
      </w:r>
      <w:r>
        <w:rPr>
          <w:rFonts w:ascii="Arial" w:hAnsi="Arial" w:cs="Arial"/>
          <w:bCs w:val="0"/>
          <w:szCs w:val="24"/>
        </w:rPr>
        <w:t>竞争性磋商须知前附表</w:t>
      </w:r>
      <w:r>
        <w:tab/>
      </w:r>
      <w:r>
        <w:fldChar w:fldCharType="begin"/>
      </w:r>
      <w:r>
        <w:instrText xml:space="preserve"> PAGEREF _Toc25460 \h </w:instrText>
      </w:r>
      <w:r>
        <w:fldChar w:fldCharType="separate"/>
      </w:r>
      <w:r>
        <w:t>8</w:t>
      </w:r>
      <w:r>
        <w:fldChar w:fldCharType="end"/>
      </w:r>
      <w:r>
        <w:rPr>
          <w:rFonts w:cs="Arial"/>
          <w:kern w:val="2"/>
        </w:rPr>
        <w:fldChar w:fldCharType="end"/>
      </w:r>
    </w:p>
    <w:p w14:paraId="239962C8">
      <w:pPr>
        <w:pStyle w:val="8"/>
        <w:tabs>
          <w:tab w:val="right" w:leader="dot" w:pos="9015"/>
          <w:tab w:val="clear" w:pos="8948"/>
        </w:tabs>
      </w:pPr>
      <w:r>
        <w:rPr>
          <w:rFonts w:cs="Arial"/>
          <w:kern w:val="2"/>
        </w:rPr>
        <w:fldChar w:fldCharType="begin"/>
      </w:r>
      <w:r>
        <w:rPr>
          <w:rFonts w:cs="Arial"/>
          <w:kern w:val="2"/>
        </w:rPr>
        <w:instrText xml:space="preserve"> HYPERLINK \l _Toc14803 </w:instrText>
      </w:r>
      <w:r>
        <w:rPr>
          <w:rFonts w:cs="Arial"/>
          <w:kern w:val="2"/>
        </w:rPr>
        <w:fldChar w:fldCharType="separate"/>
      </w:r>
      <w:r>
        <w:rPr>
          <w:rFonts w:hint="eastAsia" w:ascii="Arial" w:hAnsi="Arial" w:cs="Arial"/>
          <w:bCs w:val="0"/>
          <w:szCs w:val="24"/>
        </w:rPr>
        <w:t>（二）总则</w:t>
      </w:r>
      <w:r>
        <w:tab/>
      </w:r>
      <w:r>
        <w:fldChar w:fldCharType="begin"/>
      </w:r>
      <w:r>
        <w:instrText xml:space="preserve"> PAGEREF _Toc14803 \h </w:instrText>
      </w:r>
      <w:r>
        <w:fldChar w:fldCharType="separate"/>
      </w:r>
      <w:r>
        <w:t>11</w:t>
      </w:r>
      <w:r>
        <w:fldChar w:fldCharType="end"/>
      </w:r>
      <w:r>
        <w:rPr>
          <w:rFonts w:cs="Arial"/>
          <w:kern w:val="2"/>
        </w:rPr>
        <w:fldChar w:fldCharType="end"/>
      </w:r>
    </w:p>
    <w:p w14:paraId="00C3CB27">
      <w:pPr>
        <w:pStyle w:val="8"/>
        <w:tabs>
          <w:tab w:val="right" w:leader="dot" w:pos="9015"/>
          <w:tab w:val="clear" w:pos="8948"/>
        </w:tabs>
      </w:pPr>
      <w:r>
        <w:rPr>
          <w:rFonts w:cs="Arial"/>
          <w:kern w:val="2"/>
        </w:rPr>
        <w:fldChar w:fldCharType="begin"/>
      </w:r>
      <w:r>
        <w:rPr>
          <w:rFonts w:cs="Arial"/>
          <w:kern w:val="2"/>
        </w:rPr>
        <w:instrText xml:space="preserve"> HYPERLINK \l _Toc11201 </w:instrText>
      </w:r>
      <w:r>
        <w:rPr>
          <w:rFonts w:cs="Arial"/>
          <w:kern w:val="2"/>
        </w:rPr>
        <w:fldChar w:fldCharType="separate"/>
      </w:r>
      <w:r>
        <w:rPr>
          <w:rFonts w:hint="eastAsia" w:ascii="Arial" w:hAnsi="Arial" w:cs="Arial"/>
          <w:bCs w:val="0"/>
          <w:szCs w:val="24"/>
        </w:rPr>
        <w:t>（三）竞争性磋商文件说明</w:t>
      </w:r>
      <w:r>
        <w:tab/>
      </w:r>
      <w:r>
        <w:fldChar w:fldCharType="begin"/>
      </w:r>
      <w:r>
        <w:instrText xml:space="preserve"> PAGEREF _Toc11201 \h </w:instrText>
      </w:r>
      <w:r>
        <w:fldChar w:fldCharType="separate"/>
      </w:r>
      <w:r>
        <w:t>12</w:t>
      </w:r>
      <w:r>
        <w:fldChar w:fldCharType="end"/>
      </w:r>
      <w:r>
        <w:rPr>
          <w:rFonts w:cs="Arial"/>
          <w:kern w:val="2"/>
        </w:rPr>
        <w:fldChar w:fldCharType="end"/>
      </w:r>
    </w:p>
    <w:p w14:paraId="56701B69">
      <w:pPr>
        <w:pStyle w:val="8"/>
        <w:tabs>
          <w:tab w:val="right" w:leader="dot" w:pos="9015"/>
          <w:tab w:val="clear" w:pos="8948"/>
        </w:tabs>
      </w:pPr>
      <w:r>
        <w:rPr>
          <w:rFonts w:cs="Arial"/>
          <w:kern w:val="2"/>
        </w:rPr>
        <w:fldChar w:fldCharType="begin"/>
      </w:r>
      <w:r>
        <w:rPr>
          <w:rFonts w:cs="Arial"/>
          <w:kern w:val="2"/>
        </w:rPr>
        <w:instrText xml:space="preserve"> HYPERLINK \l _Toc17929 </w:instrText>
      </w:r>
      <w:r>
        <w:rPr>
          <w:rFonts w:cs="Arial"/>
          <w:kern w:val="2"/>
        </w:rPr>
        <w:fldChar w:fldCharType="separate"/>
      </w:r>
      <w:r>
        <w:rPr>
          <w:rFonts w:hint="eastAsia" w:ascii="Arial" w:hAnsi="Arial" w:cs="Arial"/>
          <w:bCs w:val="0"/>
          <w:szCs w:val="24"/>
        </w:rPr>
        <w:t>（四）竞争性磋商响应文件的编制</w:t>
      </w:r>
      <w:r>
        <w:tab/>
      </w:r>
      <w:r>
        <w:fldChar w:fldCharType="begin"/>
      </w:r>
      <w:r>
        <w:instrText xml:space="preserve"> PAGEREF _Toc17929 \h </w:instrText>
      </w:r>
      <w:r>
        <w:fldChar w:fldCharType="separate"/>
      </w:r>
      <w:r>
        <w:t>13</w:t>
      </w:r>
      <w:r>
        <w:fldChar w:fldCharType="end"/>
      </w:r>
      <w:r>
        <w:rPr>
          <w:rFonts w:cs="Arial"/>
          <w:kern w:val="2"/>
        </w:rPr>
        <w:fldChar w:fldCharType="end"/>
      </w:r>
    </w:p>
    <w:p w14:paraId="4C5E8189">
      <w:pPr>
        <w:pStyle w:val="8"/>
        <w:tabs>
          <w:tab w:val="right" w:leader="dot" w:pos="9015"/>
          <w:tab w:val="clear" w:pos="8948"/>
        </w:tabs>
      </w:pPr>
      <w:r>
        <w:rPr>
          <w:rFonts w:cs="Arial"/>
          <w:kern w:val="2"/>
        </w:rPr>
        <w:fldChar w:fldCharType="begin"/>
      </w:r>
      <w:r>
        <w:rPr>
          <w:rFonts w:cs="Arial"/>
          <w:kern w:val="2"/>
        </w:rPr>
        <w:instrText xml:space="preserve"> HYPERLINK \l _Toc31082 </w:instrText>
      </w:r>
      <w:r>
        <w:rPr>
          <w:rFonts w:cs="Arial"/>
          <w:kern w:val="2"/>
        </w:rPr>
        <w:fldChar w:fldCharType="separate"/>
      </w:r>
      <w:r>
        <w:rPr>
          <w:rFonts w:hint="eastAsia" w:ascii="Arial" w:hAnsi="Arial" w:cs="Arial"/>
          <w:bCs w:val="0"/>
          <w:szCs w:val="24"/>
        </w:rPr>
        <w:t>（五）竞争性磋商响应文件的递交</w:t>
      </w:r>
      <w:r>
        <w:tab/>
      </w:r>
      <w:r>
        <w:fldChar w:fldCharType="begin"/>
      </w:r>
      <w:r>
        <w:instrText xml:space="preserve"> PAGEREF _Toc31082 \h </w:instrText>
      </w:r>
      <w:r>
        <w:fldChar w:fldCharType="separate"/>
      </w:r>
      <w:r>
        <w:t>16</w:t>
      </w:r>
      <w:r>
        <w:fldChar w:fldCharType="end"/>
      </w:r>
      <w:r>
        <w:rPr>
          <w:rFonts w:cs="Arial"/>
          <w:kern w:val="2"/>
        </w:rPr>
        <w:fldChar w:fldCharType="end"/>
      </w:r>
    </w:p>
    <w:p w14:paraId="37EBA61B">
      <w:pPr>
        <w:pStyle w:val="8"/>
        <w:tabs>
          <w:tab w:val="right" w:leader="dot" w:pos="9015"/>
          <w:tab w:val="clear" w:pos="8948"/>
        </w:tabs>
      </w:pPr>
      <w:r>
        <w:rPr>
          <w:rFonts w:cs="Arial"/>
          <w:kern w:val="2"/>
        </w:rPr>
        <w:fldChar w:fldCharType="begin"/>
      </w:r>
      <w:r>
        <w:rPr>
          <w:rFonts w:cs="Arial"/>
          <w:kern w:val="2"/>
        </w:rPr>
        <w:instrText xml:space="preserve"> HYPERLINK \l _Toc8521 </w:instrText>
      </w:r>
      <w:r>
        <w:rPr>
          <w:rFonts w:cs="Arial"/>
          <w:kern w:val="2"/>
        </w:rPr>
        <w:fldChar w:fldCharType="separate"/>
      </w:r>
      <w:r>
        <w:rPr>
          <w:rFonts w:hint="eastAsia" w:ascii="Arial" w:hAnsi="Arial" w:cs="Arial"/>
          <w:bCs w:val="0"/>
          <w:szCs w:val="24"/>
        </w:rPr>
        <w:t>（六）竞争性磋商与评审</w:t>
      </w:r>
      <w:r>
        <w:tab/>
      </w:r>
      <w:r>
        <w:fldChar w:fldCharType="begin"/>
      </w:r>
      <w:r>
        <w:instrText xml:space="preserve"> PAGEREF _Toc8521 \h </w:instrText>
      </w:r>
      <w:r>
        <w:fldChar w:fldCharType="separate"/>
      </w:r>
      <w:r>
        <w:t>16</w:t>
      </w:r>
      <w:r>
        <w:fldChar w:fldCharType="end"/>
      </w:r>
      <w:r>
        <w:rPr>
          <w:rFonts w:cs="Arial"/>
          <w:kern w:val="2"/>
        </w:rPr>
        <w:fldChar w:fldCharType="end"/>
      </w:r>
    </w:p>
    <w:p w14:paraId="46A007DF">
      <w:pPr>
        <w:pStyle w:val="8"/>
        <w:tabs>
          <w:tab w:val="right" w:leader="dot" w:pos="9015"/>
          <w:tab w:val="clear" w:pos="8948"/>
        </w:tabs>
      </w:pPr>
      <w:r>
        <w:rPr>
          <w:rFonts w:cs="Arial"/>
          <w:kern w:val="2"/>
        </w:rPr>
        <w:fldChar w:fldCharType="begin"/>
      </w:r>
      <w:r>
        <w:rPr>
          <w:rFonts w:cs="Arial"/>
          <w:kern w:val="2"/>
        </w:rPr>
        <w:instrText xml:space="preserve"> HYPERLINK \l _Toc18842 </w:instrText>
      </w:r>
      <w:r>
        <w:rPr>
          <w:rFonts w:cs="Arial"/>
          <w:kern w:val="2"/>
        </w:rPr>
        <w:fldChar w:fldCharType="separate"/>
      </w:r>
      <w:r>
        <w:rPr>
          <w:rFonts w:hint="eastAsia" w:ascii="Arial" w:hAnsi="Arial" w:cs="Arial"/>
          <w:bCs w:val="0"/>
          <w:szCs w:val="24"/>
        </w:rPr>
        <w:t>（七）授予合同</w:t>
      </w:r>
      <w:r>
        <w:tab/>
      </w:r>
      <w:r>
        <w:fldChar w:fldCharType="begin"/>
      </w:r>
      <w:r>
        <w:instrText xml:space="preserve"> PAGEREF _Toc18842 \h </w:instrText>
      </w:r>
      <w:r>
        <w:fldChar w:fldCharType="separate"/>
      </w:r>
      <w:r>
        <w:t>20</w:t>
      </w:r>
      <w:r>
        <w:fldChar w:fldCharType="end"/>
      </w:r>
      <w:r>
        <w:rPr>
          <w:rFonts w:cs="Arial"/>
          <w:kern w:val="2"/>
        </w:rPr>
        <w:fldChar w:fldCharType="end"/>
      </w:r>
    </w:p>
    <w:p w14:paraId="1BA3E501">
      <w:pPr>
        <w:pStyle w:val="21"/>
        <w:tabs>
          <w:tab w:val="right" w:leader="dot" w:pos="9015"/>
          <w:tab w:val="clear" w:pos="8948"/>
        </w:tabs>
      </w:pPr>
      <w:r>
        <w:rPr>
          <w:rFonts w:cs="Arial"/>
          <w:kern w:val="2"/>
        </w:rPr>
        <w:fldChar w:fldCharType="begin"/>
      </w:r>
      <w:r>
        <w:rPr>
          <w:rFonts w:cs="Arial"/>
          <w:kern w:val="2"/>
        </w:rPr>
        <w:instrText xml:space="preserve"> HYPERLINK \l _Toc32524 </w:instrText>
      </w:r>
      <w:r>
        <w:rPr>
          <w:rFonts w:cs="Arial"/>
          <w:kern w:val="2"/>
        </w:rPr>
        <w:fldChar w:fldCharType="separate"/>
      </w:r>
      <w:r>
        <w:rPr>
          <w:rFonts w:hint="eastAsia" w:ascii="Arial" w:hAnsi="Arial" w:cs="Arial"/>
          <w:szCs w:val="32"/>
        </w:rPr>
        <w:t xml:space="preserve">第三部分 </w:t>
      </w:r>
      <w:r>
        <w:rPr>
          <w:rFonts w:hint="eastAsia" w:ascii="Arial" w:hAnsi="Arial" w:cs="Arial"/>
          <w:szCs w:val="32"/>
          <w:highlight w:val="none"/>
        </w:rPr>
        <w:t>项目采购需求</w:t>
      </w:r>
      <w:r>
        <w:tab/>
      </w:r>
      <w:r>
        <w:fldChar w:fldCharType="begin"/>
      </w:r>
      <w:r>
        <w:instrText xml:space="preserve"> PAGEREF _Toc32524 \h </w:instrText>
      </w:r>
      <w:r>
        <w:fldChar w:fldCharType="separate"/>
      </w:r>
      <w:r>
        <w:t>23</w:t>
      </w:r>
      <w:r>
        <w:fldChar w:fldCharType="end"/>
      </w:r>
      <w:r>
        <w:rPr>
          <w:rFonts w:cs="Arial"/>
          <w:kern w:val="2"/>
        </w:rPr>
        <w:fldChar w:fldCharType="end"/>
      </w:r>
    </w:p>
    <w:p w14:paraId="33795F25">
      <w:pPr>
        <w:pStyle w:val="21"/>
        <w:tabs>
          <w:tab w:val="right" w:leader="dot" w:pos="9015"/>
          <w:tab w:val="clear" w:pos="8948"/>
        </w:tabs>
      </w:pPr>
      <w:r>
        <w:rPr>
          <w:rFonts w:cs="Arial"/>
          <w:kern w:val="2"/>
        </w:rPr>
        <w:fldChar w:fldCharType="begin"/>
      </w:r>
      <w:r>
        <w:rPr>
          <w:rFonts w:cs="Arial"/>
          <w:kern w:val="2"/>
        </w:rPr>
        <w:instrText xml:space="preserve"> HYPERLINK \l _Toc26868 </w:instrText>
      </w:r>
      <w:r>
        <w:rPr>
          <w:rFonts w:cs="Arial"/>
          <w:kern w:val="2"/>
        </w:rPr>
        <w:fldChar w:fldCharType="separate"/>
      </w:r>
      <w:r>
        <w:rPr>
          <w:rFonts w:hint="eastAsia" w:ascii="Arial" w:hAnsi="Arial" w:cs="Arial"/>
          <w:szCs w:val="36"/>
        </w:rPr>
        <w:t>第四部分</w:t>
      </w:r>
      <w:r>
        <w:rPr>
          <w:rFonts w:hint="eastAsia" w:ascii="Arial" w:hAnsi="Arial" w:cs="Arial"/>
          <w:szCs w:val="36"/>
          <w:lang w:val="en-US" w:eastAsia="zh-CN"/>
        </w:rPr>
        <w:t xml:space="preserve"> </w:t>
      </w:r>
      <w:r>
        <w:rPr>
          <w:rFonts w:hint="eastAsia" w:ascii="Arial" w:hAnsi="Arial" w:cs="Arial"/>
          <w:szCs w:val="36"/>
        </w:rPr>
        <w:t>合同条款</w:t>
      </w:r>
      <w:r>
        <w:tab/>
      </w:r>
      <w:r>
        <w:fldChar w:fldCharType="begin"/>
      </w:r>
      <w:r>
        <w:instrText xml:space="preserve"> PAGEREF _Toc26868 \h </w:instrText>
      </w:r>
      <w:r>
        <w:fldChar w:fldCharType="separate"/>
      </w:r>
      <w:r>
        <w:t>27</w:t>
      </w:r>
      <w:r>
        <w:fldChar w:fldCharType="end"/>
      </w:r>
      <w:r>
        <w:rPr>
          <w:rFonts w:cs="Arial"/>
          <w:kern w:val="2"/>
        </w:rPr>
        <w:fldChar w:fldCharType="end"/>
      </w:r>
    </w:p>
    <w:p w14:paraId="22748D91">
      <w:pPr>
        <w:pStyle w:val="21"/>
        <w:tabs>
          <w:tab w:val="right" w:leader="dot" w:pos="9015"/>
          <w:tab w:val="clear" w:pos="8948"/>
        </w:tabs>
      </w:pPr>
      <w:r>
        <w:rPr>
          <w:rFonts w:cs="Arial"/>
          <w:kern w:val="2"/>
        </w:rPr>
        <w:fldChar w:fldCharType="begin"/>
      </w:r>
      <w:r>
        <w:rPr>
          <w:rFonts w:cs="Arial"/>
          <w:kern w:val="2"/>
        </w:rPr>
        <w:instrText xml:space="preserve"> HYPERLINK \l _Toc3126 </w:instrText>
      </w:r>
      <w:r>
        <w:rPr>
          <w:rFonts w:cs="Arial"/>
          <w:kern w:val="2"/>
        </w:rPr>
        <w:fldChar w:fldCharType="separate"/>
      </w:r>
      <w:r>
        <w:rPr>
          <w:rFonts w:hint="eastAsia" w:ascii="Arial" w:hAnsi="Arial" w:cs="Arial"/>
          <w:szCs w:val="36"/>
          <w:highlight w:val="none"/>
        </w:rPr>
        <w:t>第五部分</w:t>
      </w:r>
      <w:r>
        <w:rPr>
          <w:rFonts w:hint="eastAsia" w:ascii="Arial" w:hAnsi="Arial" w:cs="Arial"/>
          <w:szCs w:val="36"/>
          <w:highlight w:val="none"/>
          <w:lang w:val="en-US" w:eastAsia="zh-CN"/>
        </w:rPr>
        <w:t xml:space="preserve"> </w:t>
      </w:r>
      <w:r>
        <w:rPr>
          <w:rFonts w:hint="eastAsia" w:ascii="Arial" w:hAnsi="Arial" w:cs="Arial"/>
          <w:szCs w:val="36"/>
          <w:highlight w:val="none"/>
        </w:rPr>
        <w:t>竞争性</w:t>
      </w:r>
      <w:r>
        <w:rPr>
          <w:rFonts w:hint="eastAsia" w:ascii="Arial" w:hAnsi="Arial" w:cs="Arial"/>
          <w:szCs w:val="36"/>
        </w:rPr>
        <w:t>磋商评定办法</w:t>
      </w:r>
      <w:r>
        <w:tab/>
      </w:r>
      <w:r>
        <w:fldChar w:fldCharType="begin"/>
      </w:r>
      <w:r>
        <w:instrText xml:space="preserve"> PAGEREF _Toc3126 \h </w:instrText>
      </w:r>
      <w:r>
        <w:fldChar w:fldCharType="separate"/>
      </w:r>
      <w:r>
        <w:t>35</w:t>
      </w:r>
      <w:r>
        <w:fldChar w:fldCharType="end"/>
      </w:r>
      <w:r>
        <w:rPr>
          <w:rFonts w:cs="Arial"/>
          <w:kern w:val="2"/>
        </w:rPr>
        <w:fldChar w:fldCharType="end"/>
      </w:r>
    </w:p>
    <w:p w14:paraId="2D6ED8F6">
      <w:pPr>
        <w:pStyle w:val="21"/>
        <w:tabs>
          <w:tab w:val="right" w:leader="dot" w:pos="9015"/>
          <w:tab w:val="clear" w:pos="8948"/>
        </w:tabs>
      </w:pPr>
      <w:r>
        <w:rPr>
          <w:rFonts w:cs="Arial"/>
          <w:kern w:val="2"/>
        </w:rPr>
        <w:fldChar w:fldCharType="begin"/>
      </w:r>
      <w:r>
        <w:rPr>
          <w:rFonts w:cs="Arial"/>
          <w:kern w:val="2"/>
        </w:rPr>
        <w:instrText xml:space="preserve"> HYPERLINK \l _Toc16495 </w:instrText>
      </w:r>
      <w:r>
        <w:rPr>
          <w:rFonts w:cs="Arial"/>
          <w:kern w:val="2"/>
        </w:rPr>
        <w:fldChar w:fldCharType="separate"/>
      </w:r>
      <w:r>
        <w:rPr>
          <w:rFonts w:hint="eastAsia" w:ascii="Arial" w:hAnsi="Arial" w:cs="Arial"/>
          <w:szCs w:val="36"/>
        </w:rPr>
        <w:t>第六部分</w:t>
      </w:r>
      <w:r>
        <w:rPr>
          <w:rFonts w:hint="eastAsia" w:ascii="Arial" w:hAnsi="Arial" w:cs="Arial"/>
          <w:szCs w:val="36"/>
          <w:lang w:val="en-US" w:eastAsia="zh-CN"/>
        </w:rPr>
        <w:t xml:space="preserve"> </w:t>
      </w:r>
      <w:r>
        <w:rPr>
          <w:rFonts w:hint="eastAsia" w:ascii="Arial" w:hAnsi="Arial" w:cs="Arial"/>
          <w:szCs w:val="36"/>
        </w:rPr>
        <w:t>竞争性磋商响应文件格式</w:t>
      </w:r>
      <w:r>
        <w:tab/>
      </w:r>
      <w:r>
        <w:fldChar w:fldCharType="begin"/>
      </w:r>
      <w:r>
        <w:instrText xml:space="preserve"> PAGEREF _Toc16495 \h </w:instrText>
      </w:r>
      <w:r>
        <w:fldChar w:fldCharType="separate"/>
      </w:r>
      <w:r>
        <w:t>45</w:t>
      </w:r>
      <w:r>
        <w:fldChar w:fldCharType="end"/>
      </w:r>
      <w:r>
        <w:rPr>
          <w:rFonts w:cs="Arial"/>
          <w:kern w:val="2"/>
        </w:rPr>
        <w:fldChar w:fldCharType="end"/>
      </w:r>
    </w:p>
    <w:p w14:paraId="060C4278">
      <w:pPr>
        <w:pStyle w:val="21"/>
        <w:spacing w:line="276" w:lineRule="auto"/>
        <w:rPr>
          <w:rFonts w:cs="Arial"/>
          <w:kern w:val="2"/>
        </w:rPr>
      </w:pPr>
      <w:r>
        <w:rPr>
          <w:rFonts w:cs="Arial"/>
          <w:kern w:val="2"/>
        </w:rPr>
        <w:fldChar w:fldCharType="end"/>
      </w:r>
    </w:p>
    <w:p w14:paraId="5FA078BA">
      <w:pPr>
        <w:spacing w:line="276" w:lineRule="auto"/>
        <w:rPr>
          <w:rFonts w:ascii="Arial" w:hAnsi="Arial" w:cs="Arial"/>
        </w:rPr>
        <w:sectPr>
          <w:headerReference r:id="rId3" w:type="default"/>
          <w:footerReference r:id="rId5" w:type="default"/>
          <w:headerReference r:id="rId4" w:type="even"/>
          <w:footerReference r:id="rId6" w:type="even"/>
          <w:pgSz w:w="11849" w:h="16781"/>
          <w:pgMar w:top="1417" w:right="1417" w:bottom="1417" w:left="1417" w:header="850" w:footer="992" w:gutter="0"/>
          <w:pgBorders>
            <w:top w:val="none" w:sz="0" w:space="0"/>
            <w:left w:val="none" w:sz="0" w:space="0"/>
            <w:bottom w:val="none" w:sz="0" w:space="0"/>
            <w:right w:val="none" w:sz="0" w:space="0"/>
          </w:pgBorders>
          <w:pgNumType w:start="1"/>
          <w:cols w:space="0" w:num="1"/>
          <w:rtlGutter w:val="0"/>
          <w:docGrid w:type="linesAndChars" w:linePitch="324" w:charSpace="819"/>
        </w:sectPr>
      </w:pPr>
    </w:p>
    <w:p w14:paraId="3F8A8CCD">
      <w:pPr>
        <w:pStyle w:val="3"/>
        <w:keepNext w:val="0"/>
        <w:keepLines w:val="0"/>
        <w:pageBreakBefore/>
        <w:spacing w:beforeLines="50" w:afterLines="50" w:line="276" w:lineRule="auto"/>
        <w:jc w:val="center"/>
        <w:rPr>
          <w:rFonts w:ascii="Arial" w:hAnsi="Arial" w:cs="Arial"/>
          <w:sz w:val="28"/>
          <w:szCs w:val="36"/>
        </w:rPr>
      </w:pPr>
      <w:bookmarkStart w:id="0" w:name="_Toc16313"/>
      <w:r>
        <w:rPr>
          <w:rFonts w:ascii="Arial" w:hAnsi="Arial" w:cs="Arial"/>
          <w:sz w:val="28"/>
          <w:szCs w:val="36"/>
        </w:rPr>
        <w:t>第一部分采购公告</w:t>
      </w:r>
      <w:bookmarkEnd w:id="0"/>
    </w:p>
    <w:tbl>
      <w:tblPr>
        <w:tblStyle w:val="28"/>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3535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6" w:type="dxa"/>
            <w:noWrap w:val="0"/>
            <w:vAlign w:val="top"/>
          </w:tcPr>
          <w:p w14:paraId="5F1EB2E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项目概况                               </w:t>
            </w:r>
          </w:p>
          <w:p w14:paraId="1C90809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eastAsia="zh-CN"/>
              </w:rPr>
              <w:t>2025-2026年西塘桥街道公共环境病媒生物防制服务</w:t>
            </w:r>
            <w:r>
              <w:rPr>
                <w:rFonts w:hint="eastAsia" w:ascii="宋体" w:hAnsi="宋体" w:eastAsia="宋体" w:cs="宋体"/>
                <w:i w:val="0"/>
                <w:iCs w:val="0"/>
                <w:caps w:val="0"/>
                <w:color w:val="000000"/>
                <w:spacing w:val="0"/>
                <w:sz w:val="24"/>
                <w:szCs w:val="24"/>
              </w:rPr>
              <w:t>采购项目的潜在供应商应在政采云平台线上获取获取（下载）采购文件，并于202</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eastAsia="zh-CN"/>
              </w:rPr>
              <w:t>06</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rPr>
              <w:t xml:space="preserve">日 </w:t>
            </w:r>
            <w:r>
              <w:rPr>
                <w:rFonts w:hint="eastAsia" w:ascii="宋体" w:hAnsi="宋体" w:eastAsia="宋体" w:cs="宋体"/>
                <w:i w:val="0"/>
                <w:iCs w:val="0"/>
                <w:caps w:val="0"/>
                <w:color w:val="000000"/>
                <w:spacing w:val="0"/>
                <w:sz w:val="24"/>
                <w:szCs w:val="24"/>
                <w:lang w:val="en-US" w:eastAsia="zh-CN"/>
              </w:rPr>
              <w:t>08</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30</w:t>
            </w:r>
            <w:r>
              <w:rPr>
                <w:rFonts w:hint="eastAsia" w:ascii="宋体" w:hAnsi="宋体" w:eastAsia="宋体" w:cs="宋体"/>
                <w:i w:val="0"/>
                <w:iCs w:val="0"/>
                <w:caps w:val="0"/>
                <w:color w:val="000000"/>
                <w:spacing w:val="0"/>
                <w:sz w:val="24"/>
                <w:szCs w:val="24"/>
              </w:rPr>
              <w:t>（北京时间）前提交（上传）响应文件。</w:t>
            </w:r>
          </w:p>
        </w:tc>
      </w:tr>
    </w:tbl>
    <w:p w14:paraId="41998A05">
      <w:pPr>
        <w:pStyle w:val="100"/>
        <w:spacing w:after="0" w:afterLines="0" w:line="360" w:lineRule="auto"/>
        <w:ind w:firstLine="420"/>
        <w:jc w:val="left"/>
        <w:rPr>
          <w:rFonts w:hint="eastAsia" w:ascii="宋体" w:hAnsi="宋体" w:eastAsia="宋体" w:cs="宋体"/>
          <w:sz w:val="21"/>
          <w:szCs w:val="21"/>
        </w:rPr>
      </w:pPr>
    </w:p>
    <w:p w14:paraId="38BC5325">
      <w:pPr>
        <w:pStyle w:val="24"/>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31"/>
          <w:szCs w:val="31"/>
        </w:rPr>
      </w:pPr>
      <w:r>
        <w:rPr>
          <w:rStyle w:val="30"/>
          <w:rFonts w:hint="eastAsia" w:ascii="宋体" w:hAnsi="宋体" w:eastAsia="宋体" w:cs="宋体"/>
          <w:i w:val="0"/>
          <w:iCs w:val="0"/>
          <w:caps w:val="0"/>
          <w:color w:val="000000"/>
          <w:spacing w:val="0"/>
          <w:sz w:val="27"/>
          <w:szCs w:val="27"/>
        </w:rPr>
        <w:t>一、项目基本情况</w:t>
      </w:r>
    </w:p>
    <w:p w14:paraId="481E237B">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项目编号：</w:t>
      </w:r>
      <w:r>
        <w:rPr>
          <w:rFonts w:hint="eastAsia" w:ascii="宋体" w:hAnsi="宋体" w:eastAsia="宋体" w:cs="宋体"/>
          <w:i w:val="0"/>
          <w:iCs w:val="0"/>
          <w:caps w:val="0"/>
          <w:color w:val="000000"/>
          <w:spacing w:val="0"/>
          <w:sz w:val="24"/>
          <w:szCs w:val="24"/>
          <w:lang w:eastAsia="zh-CN"/>
        </w:rPr>
        <w:t>嘉鼎晟采〔2025〕057号</w:t>
      </w:r>
      <w:r>
        <w:rPr>
          <w:rFonts w:hint="eastAsia" w:ascii="宋体" w:hAnsi="宋体" w:eastAsia="宋体" w:cs="宋体"/>
          <w:i w:val="0"/>
          <w:iCs w:val="0"/>
          <w:caps w:val="0"/>
          <w:color w:val="000000"/>
          <w:spacing w:val="0"/>
          <w:sz w:val="24"/>
          <w:szCs w:val="24"/>
        </w:rPr>
        <w:t> </w:t>
      </w:r>
    </w:p>
    <w:p w14:paraId="5D3E074C">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项目名称：</w:t>
      </w:r>
      <w:r>
        <w:rPr>
          <w:rFonts w:hint="eastAsia" w:ascii="宋体" w:hAnsi="宋体" w:eastAsia="宋体" w:cs="宋体"/>
          <w:i w:val="0"/>
          <w:iCs w:val="0"/>
          <w:caps w:val="0"/>
          <w:color w:val="000000"/>
          <w:spacing w:val="0"/>
          <w:sz w:val="24"/>
          <w:szCs w:val="24"/>
          <w:lang w:eastAsia="zh-CN"/>
        </w:rPr>
        <w:t>2025-2026年西塘桥街道公共环境病媒生物防制服务</w:t>
      </w:r>
      <w:r>
        <w:rPr>
          <w:rFonts w:hint="eastAsia" w:ascii="宋体" w:hAnsi="宋体" w:eastAsia="宋体" w:cs="宋体"/>
          <w:i w:val="0"/>
          <w:iCs w:val="0"/>
          <w:caps w:val="0"/>
          <w:color w:val="000000"/>
          <w:spacing w:val="0"/>
          <w:sz w:val="24"/>
          <w:szCs w:val="24"/>
        </w:rPr>
        <w:t> </w:t>
      </w:r>
    </w:p>
    <w:p w14:paraId="744D0B4A">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采购方式：竞争性磋商 </w:t>
      </w:r>
    </w:p>
    <w:p w14:paraId="3F3557C0">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预算金额（元）：</w:t>
      </w:r>
      <w:r>
        <w:rPr>
          <w:rFonts w:hint="eastAsia" w:ascii="宋体" w:hAnsi="宋体" w:eastAsia="宋体" w:cs="宋体"/>
          <w:i w:val="0"/>
          <w:iCs w:val="0"/>
          <w:caps w:val="0"/>
          <w:color w:val="000000"/>
          <w:spacing w:val="0"/>
          <w:sz w:val="24"/>
          <w:szCs w:val="24"/>
          <w:lang w:val="en-US" w:eastAsia="zh-CN"/>
        </w:rPr>
        <w:t>35</w:t>
      </w:r>
      <w:r>
        <w:rPr>
          <w:rFonts w:hint="eastAsia" w:ascii="宋体" w:hAnsi="宋体" w:eastAsia="宋体" w:cs="宋体"/>
          <w:i w:val="0"/>
          <w:iCs w:val="0"/>
          <w:caps w:val="0"/>
          <w:color w:val="000000"/>
          <w:spacing w:val="0"/>
          <w:sz w:val="24"/>
          <w:szCs w:val="24"/>
        </w:rPr>
        <w:t>0000  </w:t>
      </w:r>
    </w:p>
    <w:p w14:paraId="529F1B3C">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最高限价（元）：</w:t>
      </w:r>
      <w:r>
        <w:rPr>
          <w:rFonts w:hint="eastAsia" w:ascii="宋体" w:hAnsi="宋体" w:eastAsia="宋体" w:cs="宋体"/>
          <w:i w:val="0"/>
          <w:iCs w:val="0"/>
          <w:caps w:val="0"/>
          <w:color w:val="000000"/>
          <w:spacing w:val="0"/>
          <w:sz w:val="24"/>
          <w:szCs w:val="24"/>
          <w:lang w:val="en-US" w:eastAsia="zh-CN"/>
        </w:rPr>
        <w:t>35</w:t>
      </w:r>
      <w:r>
        <w:rPr>
          <w:rFonts w:hint="eastAsia" w:ascii="宋体" w:hAnsi="宋体" w:eastAsia="宋体" w:cs="宋体"/>
          <w:i w:val="0"/>
          <w:iCs w:val="0"/>
          <w:caps w:val="0"/>
          <w:color w:val="000000"/>
          <w:spacing w:val="0"/>
          <w:sz w:val="24"/>
          <w:szCs w:val="24"/>
        </w:rPr>
        <w:t>0000  </w:t>
      </w:r>
    </w:p>
    <w:p w14:paraId="6806832A">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采购需求：</w:t>
      </w:r>
    </w:p>
    <w:p w14:paraId="085CB911">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0676CF9C">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数量：不限       </w:t>
      </w:r>
    </w:p>
    <w:p w14:paraId="2EE9F5C5">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预算金额（元）：</w:t>
      </w:r>
      <w:r>
        <w:rPr>
          <w:rFonts w:hint="eastAsia" w:ascii="宋体" w:hAnsi="宋体" w:eastAsia="宋体" w:cs="宋体"/>
          <w:i w:val="0"/>
          <w:iCs w:val="0"/>
          <w:caps w:val="0"/>
          <w:color w:val="000000"/>
          <w:spacing w:val="0"/>
          <w:sz w:val="24"/>
          <w:szCs w:val="24"/>
          <w:lang w:val="en-US" w:eastAsia="zh-CN"/>
        </w:rPr>
        <w:t>35</w:t>
      </w:r>
      <w:r>
        <w:rPr>
          <w:rFonts w:hint="eastAsia" w:ascii="宋体" w:hAnsi="宋体" w:eastAsia="宋体" w:cs="宋体"/>
          <w:i w:val="0"/>
          <w:iCs w:val="0"/>
          <w:caps w:val="0"/>
          <w:color w:val="000000"/>
          <w:spacing w:val="0"/>
          <w:sz w:val="24"/>
          <w:szCs w:val="24"/>
        </w:rPr>
        <w:t>0000 </w:t>
      </w:r>
    </w:p>
    <w:p w14:paraId="19543BF3">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单位：个 </w:t>
      </w:r>
    </w:p>
    <w:p w14:paraId="3911B817">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简要规格描述：详见采购文件 </w:t>
      </w:r>
    </w:p>
    <w:p w14:paraId="029D2084">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备注： </w:t>
      </w:r>
    </w:p>
    <w:p w14:paraId="7619E33F">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4"/>
          <w:szCs w:val="24"/>
        </w:rPr>
      </w:pPr>
    </w:p>
    <w:p w14:paraId="521580C4">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合同履约期限：标项 1，1年  </w:t>
      </w:r>
    </w:p>
    <w:p w14:paraId="4AEBD544">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本项目（否）接受联合体投标。  </w:t>
      </w:r>
    </w:p>
    <w:p w14:paraId="4759ABD9">
      <w:pPr>
        <w:pStyle w:val="24"/>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7"/>
          <w:szCs w:val="27"/>
        </w:rPr>
      </w:pPr>
      <w:r>
        <w:rPr>
          <w:rStyle w:val="30"/>
          <w:rFonts w:hint="eastAsia" w:ascii="宋体" w:hAnsi="宋体" w:eastAsia="宋体" w:cs="宋体"/>
          <w:i w:val="0"/>
          <w:iCs w:val="0"/>
          <w:caps w:val="0"/>
          <w:color w:val="000000"/>
          <w:spacing w:val="0"/>
          <w:sz w:val="27"/>
          <w:szCs w:val="27"/>
        </w:rPr>
        <w:t>二、申请人的资格要求：</w:t>
      </w:r>
    </w:p>
    <w:p w14:paraId="777A0AA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 1.满足《中华人民共和国政府采购法》第二十二条规定；未被“信用中国”（www.creditchina.gov.cn)、中国政府采购网（www.ccgp.gov.cn）列入失信被执行人、重大税收违法失信主体、政府采购严重违法失信行为记录名单。      </w:t>
      </w:r>
    </w:p>
    <w:p w14:paraId="54980F4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2.落实政府采购政策需满足的资格要求：标项1：中小企业/小微企业</w:t>
      </w:r>
    </w:p>
    <w:p w14:paraId="1E287F0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3.本项目的特定资格要求：无  </w:t>
      </w:r>
    </w:p>
    <w:p w14:paraId="4CDEAB3C">
      <w:pPr>
        <w:pStyle w:val="24"/>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7"/>
          <w:szCs w:val="27"/>
        </w:rPr>
      </w:pPr>
      <w:r>
        <w:rPr>
          <w:rStyle w:val="30"/>
          <w:rFonts w:hint="eastAsia" w:ascii="宋体" w:hAnsi="宋体" w:eastAsia="宋体" w:cs="宋体"/>
          <w:i w:val="0"/>
          <w:iCs w:val="0"/>
          <w:caps w:val="0"/>
          <w:color w:val="000000"/>
          <w:spacing w:val="0"/>
          <w:sz w:val="27"/>
          <w:szCs w:val="27"/>
        </w:rPr>
        <w:t>三、获取（下载）采购文件</w:t>
      </w:r>
    </w:p>
    <w:p w14:paraId="2956DB1B">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none"/>
        </w:rPr>
        <w:t>时间：/至202</w:t>
      </w:r>
      <w:r>
        <w:rPr>
          <w:rFonts w:hint="eastAsia" w:ascii="宋体" w:hAnsi="宋体" w:eastAsia="宋体" w:cs="宋体"/>
          <w:i w:val="0"/>
          <w:iCs w:val="0"/>
          <w:caps w:val="0"/>
          <w:color w:val="000000"/>
          <w:spacing w:val="0"/>
          <w:sz w:val="24"/>
          <w:szCs w:val="24"/>
          <w:u w:val="none"/>
          <w:lang w:val="en-US" w:eastAsia="zh-CN"/>
        </w:rPr>
        <w:t>5</w:t>
      </w:r>
      <w:r>
        <w:rPr>
          <w:rFonts w:hint="eastAsia" w:ascii="宋体" w:hAnsi="宋体" w:eastAsia="宋体" w:cs="宋体"/>
          <w:i w:val="0"/>
          <w:iCs w:val="0"/>
          <w:caps w:val="0"/>
          <w:color w:val="000000"/>
          <w:spacing w:val="0"/>
          <w:sz w:val="24"/>
          <w:szCs w:val="24"/>
          <w:u w:val="none"/>
        </w:rPr>
        <w:t>年</w:t>
      </w:r>
      <w:r>
        <w:rPr>
          <w:rFonts w:hint="eastAsia" w:ascii="宋体" w:hAnsi="宋体" w:eastAsia="宋体" w:cs="宋体"/>
          <w:i w:val="0"/>
          <w:iCs w:val="0"/>
          <w:caps w:val="0"/>
          <w:color w:val="000000"/>
          <w:spacing w:val="0"/>
          <w:sz w:val="24"/>
          <w:szCs w:val="24"/>
          <w:u w:val="none"/>
          <w:lang w:val="en-US" w:eastAsia="zh-CN"/>
        </w:rPr>
        <w:t>06</w:t>
      </w:r>
      <w:r>
        <w:rPr>
          <w:rFonts w:hint="eastAsia" w:ascii="宋体" w:hAnsi="宋体" w:eastAsia="宋体" w:cs="宋体"/>
          <w:i w:val="0"/>
          <w:iCs w:val="0"/>
          <w:caps w:val="0"/>
          <w:color w:val="000000"/>
          <w:spacing w:val="0"/>
          <w:sz w:val="24"/>
          <w:szCs w:val="24"/>
          <w:u w:val="none"/>
        </w:rPr>
        <w:t>月</w:t>
      </w:r>
      <w:r>
        <w:rPr>
          <w:rFonts w:hint="eastAsia" w:ascii="宋体" w:hAnsi="宋体" w:eastAsia="宋体" w:cs="宋体"/>
          <w:i w:val="0"/>
          <w:iCs w:val="0"/>
          <w:caps w:val="0"/>
          <w:color w:val="000000"/>
          <w:spacing w:val="0"/>
          <w:sz w:val="24"/>
          <w:szCs w:val="24"/>
          <w:u w:val="none"/>
          <w:lang w:val="en-US" w:eastAsia="zh-CN"/>
        </w:rPr>
        <w:t>20</w:t>
      </w:r>
      <w:r>
        <w:rPr>
          <w:rFonts w:hint="eastAsia" w:ascii="宋体" w:hAnsi="宋体" w:eastAsia="宋体" w:cs="宋体"/>
          <w:i w:val="0"/>
          <w:iCs w:val="0"/>
          <w:caps w:val="0"/>
          <w:color w:val="000000"/>
          <w:spacing w:val="0"/>
          <w:sz w:val="24"/>
          <w:szCs w:val="24"/>
          <w:u w:val="none"/>
        </w:rPr>
        <w:t>日，每天上午00:00至12:00，下午12:00至23:59（北京时间，线上获取法定节假日均可，线下获取文件法定节假日除外）</w:t>
      </w:r>
    </w:p>
    <w:p w14:paraId="74889CC8">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地点（网址）：政采云平台线上获取 </w:t>
      </w:r>
    </w:p>
    <w:p w14:paraId="1300A11D">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方式：供应商登录政采云平台https://www.zcygov.cn/在线申请获取采购文件（进入“项目采购”应用，在获取采购文件菜单中选择项目，申请获取采购文件） </w:t>
      </w:r>
    </w:p>
    <w:p w14:paraId="64A3093C">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售价（元）：0 </w:t>
      </w:r>
    </w:p>
    <w:p w14:paraId="22D79AA7">
      <w:pPr>
        <w:pStyle w:val="24"/>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7"/>
          <w:szCs w:val="27"/>
        </w:rPr>
      </w:pPr>
      <w:r>
        <w:rPr>
          <w:rStyle w:val="30"/>
          <w:rFonts w:hint="eastAsia" w:ascii="宋体" w:hAnsi="宋体" w:eastAsia="宋体" w:cs="宋体"/>
          <w:i w:val="0"/>
          <w:iCs w:val="0"/>
          <w:caps w:val="0"/>
          <w:color w:val="000000"/>
          <w:spacing w:val="0"/>
          <w:sz w:val="27"/>
          <w:szCs w:val="27"/>
        </w:rPr>
        <w:t>四、响应文件提交（上传）</w:t>
      </w:r>
      <w:r>
        <w:rPr>
          <w:rFonts w:hint="eastAsia" w:ascii="宋体" w:hAnsi="宋体" w:eastAsia="宋体" w:cs="宋体"/>
          <w:i w:val="0"/>
          <w:iCs w:val="0"/>
          <w:caps w:val="0"/>
          <w:color w:val="000000"/>
          <w:spacing w:val="0"/>
          <w:sz w:val="27"/>
          <w:szCs w:val="27"/>
        </w:rPr>
        <w:t> </w:t>
      </w:r>
    </w:p>
    <w:p w14:paraId="3CC84A8C">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截止时间：2025年06月20日 08:30（北京时间）</w:t>
      </w:r>
    </w:p>
    <w:p w14:paraId="67F15DEE">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地点（网址）：请登录政采云投标客户端投标 </w:t>
      </w:r>
    </w:p>
    <w:p w14:paraId="23EC8FE3">
      <w:pPr>
        <w:pStyle w:val="24"/>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7"/>
          <w:szCs w:val="27"/>
        </w:rPr>
      </w:pPr>
      <w:r>
        <w:rPr>
          <w:rStyle w:val="30"/>
          <w:rFonts w:hint="eastAsia" w:ascii="宋体" w:hAnsi="宋体" w:eastAsia="宋体" w:cs="宋体"/>
          <w:i w:val="0"/>
          <w:iCs w:val="0"/>
          <w:caps w:val="0"/>
          <w:color w:val="000000"/>
          <w:spacing w:val="0"/>
          <w:sz w:val="27"/>
          <w:szCs w:val="27"/>
        </w:rPr>
        <w:t>五、响应文件开启</w:t>
      </w:r>
      <w:r>
        <w:rPr>
          <w:rFonts w:hint="eastAsia" w:ascii="宋体" w:hAnsi="宋体" w:eastAsia="宋体" w:cs="宋体"/>
          <w:i w:val="0"/>
          <w:iCs w:val="0"/>
          <w:caps w:val="0"/>
          <w:color w:val="000000"/>
          <w:spacing w:val="0"/>
          <w:sz w:val="27"/>
          <w:szCs w:val="27"/>
        </w:rPr>
        <w:t> </w:t>
      </w:r>
    </w:p>
    <w:p w14:paraId="77943E5D">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开启时间：2025年06月20日 08:30（北京时间）</w:t>
      </w:r>
    </w:p>
    <w:p w14:paraId="611023D9">
      <w:pPr>
        <w:pStyle w:val="24"/>
        <w:keepNext w:val="0"/>
        <w:keepLines w:val="0"/>
        <w:widowControl/>
        <w:suppressLineNumbers w:val="0"/>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地点（网址）：海盐县武原街道新桥南路41号 </w:t>
      </w:r>
    </w:p>
    <w:p w14:paraId="1BB7C292">
      <w:pPr>
        <w:pStyle w:val="24"/>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31"/>
          <w:szCs w:val="31"/>
        </w:rPr>
      </w:pPr>
      <w:r>
        <w:rPr>
          <w:rStyle w:val="30"/>
          <w:rFonts w:hint="eastAsia" w:ascii="宋体" w:hAnsi="宋体" w:eastAsia="宋体" w:cs="宋体"/>
          <w:i w:val="0"/>
          <w:iCs w:val="0"/>
          <w:caps w:val="0"/>
          <w:color w:val="000000"/>
          <w:spacing w:val="0"/>
          <w:sz w:val="27"/>
          <w:szCs w:val="27"/>
        </w:rPr>
        <w:t>六、公告期限</w:t>
      </w:r>
    </w:p>
    <w:p w14:paraId="079C2155">
      <w:pPr>
        <w:pStyle w:val="24"/>
        <w:keepNext w:val="0"/>
        <w:keepLines w:val="0"/>
        <w:widowControl/>
        <w:suppressLineNumbers w:val="0"/>
        <w:spacing w:before="75" w:beforeAutospacing="0" w:after="75"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4"/>
          <w:szCs w:val="24"/>
        </w:rPr>
        <w:t xml:space="preserve">   自本公告发布之日起3个工作日。</w:t>
      </w:r>
    </w:p>
    <w:p w14:paraId="3C99AFE5">
      <w:pPr>
        <w:pStyle w:val="24"/>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7"/>
          <w:szCs w:val="27"/>
        </w:rPr>
      </w:pPr>
      <w:r>
        <w:rPr>
          <w:rStyle w:val="30"/>
          <w:rFonts w:hint="eastAsia" w:ascii="宋体" w:hAnsi="宋体" w:eastAsia="宋体" w:cs="宋体"/>
          <w:i w:val="0"/>
          <w:iCs w:val="0"/>
          <w:caps w:val="0"/>
          <w:color w:val="000000"/>
          <w:spacing w:val="0"/>
          <w:sz w:val="27"/>
          <w:szCs w:val="27"/>
        </w:rPr>
        <w:t>七、其他补充事宜</w:t>
      </w:r>
      <w:r>
        <w:rPr>
          <w:rFonts w:hint="eastAsia" w:ascii="宋体" w:hAnsi="宋体" w:eastAsia="宋体" w:cs="宋体"/>
          <w:i w:val="0"/>
          <w:iCs w:val="0"/>
          <w:caps w:val="0"/>
          <w:color w:val="000000"/>
          <w:spacing w:val="0"/>
          <w:sz w:val="27"/>
          <w:szCs w:val="27"/>
        </w:rPr>
        <w:t> </w:t>
      </w:r>
    </w:p>
    <w:p w14:paraId="550F07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13B91B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397239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1A60C28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4.其他事项：</w:t>
      </w:r>
      <w:r>
        <w:rPr>
          <w:rFonts w:hint="eastAsia" w:ascii="宋体" w:hAnsi="宋体" w:eastAsia="宋体" w:cs="宋体"/>
          <w:i w:val="0"/>
          <w:iCs w:val="0"/>
          <w:caps w:val="0"/>
          <w:color w:val="000000"/>
          <w:spacing w:val="0"/>
          <w:sz w:val="24"/>
          <w:szCs w:val="24"/>
          <w:lang w:val="en-US" w:eastAsia="zh-CN"/>
        </w:rPr>
        <w:t>惠企政策：本采购项目，中标单位与采购人签订的政府采购合同适用于嘉兴市政府采购贷款政策，简称“政采贷”,具体内容可参阅政府采购贷款流程:https://jinrong.zcygov.cn/finance/loan?utm=a0017.b0048.c758920.4.44e18200bf5f11eb926cf1464ce95a5d。</w:t>
      </w:r>
    </w:p>
    <w:p w14:paraId="67BB131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5、投标说明：</w:t>
      </w:r>
    </w:p>
    <w:p w14:paraId="41BA684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5.1本项目按照《浙江省财政厅关于印发浙江省政府采购项目电子交易管理暂行办法的通知》实行电子交易。</w:t>
      </w:r>
    </w:p>
    <w:p w14:paraId="6F286C4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5.2供应商注册</w:t>
      </w:r>
    </w:p>
    <w:p w14:paraId="007A533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5.2.1注册网址：浙江政府采购网：</w:t>
      </w:r>
      <w:r>
        <w:rPr>
          <w:rFonts w:hint="eastAsia" w:ascii="宋体" w:hAnsi="宋体" w:eastAsia="宋体" w:cs="宋体"/>
          <w:i w:val="0"/>
          <w:iCs w:val="0"/>
          <w:caps w:val="0"/>
          <w:color w:val="000000"/>
          <w:spacing w:val="0"/>
          <w:sz w:val="24"/>
          <w:szCs w:val="24"/>
          <w:lang w:val="en-US" w:eastAsia="zh-CN"/>
        </w:rPr>
        <w:fldChar w:fldCharType="begin"/>
      </w:r>
      <w:r>
        <w:rPr>
          <w:rFonts w:hint="eastAsia" w:ascii="宋体" w:hAnsi="宋体" w:eastAsia="宋体" w:cs="宋体"/>
          <w:i w:val="0"/>
          <w:iCs w:val="0"/>
          <w:caps w:val="0"/>
          <w:color w:val="000000"/>
          <w:spacing w:val="0"/>
          <w:sz w:val="24"/>
          <w:szCs w:val="24"/>
          <w:lang w:val="en-US" w:eastAsia="zh-CN"/>
        </w:rPr>
        <w:instrText xml:space="preserve"> HYPERLINK "https://middle.zcygov.cn/settle-front/#/registry" </w:instrText>
      </w:r>
      <w:r>
        <w:rPr>
          <w:rFonts w:hint="eastAsia" w:ascii="宋体" w:hAnsi="宋体" w:eastAsia="宋体" w:cs="宋体"/>
          <w:i w:val="0"/>
          <w:iCs w:val="0"/>
          <w:caps w:val="0"/>
          <w:color w:val="000000"/>
          <w:spacing w:val="0"/>
          <w:sz w:val="24"/>
          <w:szCs w:val="24"/>
          <w:lang w:val="en-US" w:eastAsia="zh-CN"/>
        </w:rPr>
        <w:fldChar w:fldCharType="separate"/>
      </w:r>
      <w:r>
        <w:rPr>
          <w:rFonts w:hint="eastAsia" w:ascii="宋体" w:hAnsi="宋体" w:eastAsia="宋体" w:cs="宋体"/>
          <w:i w:val="0"/>
          <w:iCs w:val="0"/>
          <w:caps w:val="0"/>
          <w:color w:val="000000"/>
          <w:spacing w:val="0"/>
          <w:sz w:val="24"/>
          <w:szCs w:val="24"/>
          <w:lang w:val="en-US" w:eastAsia="zh-CN"/>
        </w:rPr>
        <w:t>https://middle.zcygov.cn/settle-front/#/registry</w:t>
      </w:r>
      <w:r>
        <w:rPr>
          <w:rFonts w:hint="eastAsia" w:ascii="宋体" w:hAnsi="宋体" w:eastAsia="宋体" w:cs="宋体"/>
          <w:i w:val="0"/>
          <w:iCs w:val="0"/>
          <w:caps w:val="0"/>
          <w:color w:val="000000"/>
          <w:spacing w:val="0"/>
          <w:sz w:val="24"/>
          <w:szCs w:val="24"/>
          <w:lang w:val="en-US" w:eastAsia="zh-CN"/>
        </w:rPr>
        <w:fldChar w:fldCharType="end"/>
      </w:r>
    </w:p>
    <w:p w14:paraId="5B7F1E9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5.2.2供应商按照《浙江省政府采购供应商注册和诚信管理暂行办法》要求执行。</w:t>
      </w:r>
    </w:p>
    <w:p w14:paraId="08E49B6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6、投标文件制作注意事项</w:t>
      </w:r>
    </w:p>
    <w:p w14:paraId="1B58AE8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6.1供应商将政采云电子交易客户端下载、安装完成后，可通过账号密码或CA登录客户端进行投标文件制作。</w:t>
      </w:r>
      <w:r>
        <w:rPr>
          <w:rFonts w:hint="eastAsia" w:ascii="宋体" w:hAnsi="宋体" w:eastAsia="宋体" w:cs="宋体"/>
          <w:i w:val="0"/>
          <w:iCs w:val="0"/>
          <w:caps w:val="0"/>
          <w:color w:val="000000"/>
          <w:spacing w:val="0"/>
          <w:sz w:val="24"/>
          <w:szCs w:val="24"/>
          <w:lang w:val="en-US" w:eastAsia="zh-CN"/>
        </w:rPr>
        <w:br w:type="textWrapping"/>
      </w:r>
      <w:r>
        <w:rPr>
          <w:rFonts w:hint="eastAsia" w:ascii="宋体" w:hAnsi="宋体" w:eastAsia="宋体" w:cs="宋体"/>
          <w:i w:val="0"/>
          <w:iCs w:val="0"/>
          <w:caps w:val="0"/>
          <w:color w:val="000000"/>
          <w:spacing w:val="0"/>
          <w:sz w:val="24"/>
          <w:szCs w:val="24"/>
          <w:lang w:val="en-US" w:eastAsia="zh-CN"/>
        </w:rPr>
        <w:t>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1D22F2B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6.2电子交易操作指南：</w:t>
      </w:r>
      <w:r>
        <w:rPr>
          <w:rFonts w:hint="eastAsia" w:ascii="宋体" w:hAnsi="宋体" w:eastAsia="宋体" w:cs="宋体"/>
          <w:i w:val="0"/>
          <w:iCs w:val="0"/>
          <w:caps w:val="0"/>
          <w:color w:val="000000"/>
          <w:spacing w:val="0"/>
          <w:sz w:val="24"/>
          <w:szCs w:val="24"/>
          <w:lang w:val="en-US" w:eastAsia="zh-CN"/>
        </w:rPr>
        <w:fldChar w:fldCharType="begin"/>
      </w:r>
      <w:r>
        <w:rPr>
          <w:rFonts w:hint="eastAsia" w:ascii="宋体" w:hAnsi="宋体" w:eastAsia="宋体" w:cs="宋体"/>
          <w:i w:val="0"/>
          <w:iCs w:val="0"/>
          <w:caps w:val="0"/>
          <w:color w:val="000000"/>
          <w:spacing w:val="0"/>
          <w:sz w:val="24"/>
          <w:szCs w:val="24"/>
          <w:lang w:val="en-US" w:eastAsia="zh-CN"/>
        </w:rPr>
        <w:instrText xml:space="preserve"> HYPERLINK "https://helpcenter.zcygov.cn/document/#/document/dashboard?siteCode=beijing&amp;channel=dt" </w:instrText>
      </w:r>
      <w:r>
        <w:rPr>
          <w:rFonts w:hint="eastAsia" w:ascii="宋体" w:hAnsi="宋体" w:eastAsia="宋体" w:cs="宋体"/>
          <w:i w:val="0"/>
          <w:iCs w:val="0"/>
          <w:caps w:val="0"/>
          <w:color w:val="000000"/>
          <w:spacing w:val="0"/>
          <w:sz w:val="24"/>
          <w:szCs w:val="24"/>
          <w:lang w:val="en-US" w:eastAsia="zh-CN"/>
        </w:rPr>
        <w:fldChar w:fldCharType="separate"/>
      </w:r>
      <w:r>
        <w:rPr>
          <w:rFonts w:hint="eastAsia" w:ascii="宋体" w:hAnsi="宋体" w:eastAsia="宋体" w:cs="宋体"/>
          <w:i w:val="0"/>
          <w:iCs w:val="0"/>
          <w:caps w:val="0"/>
          <w:color w:val="000000"/>
          <w:spacing w:val="0"/>
          <w:sz w:val="24"/>
          <w:szCs w:val="24"/>
          <w:lang w:val="en-US" w:eastAsia="zh-CN"/>
        </w:rPr>
        <w:t>https://helpcenter.zcygov.cn/document/#/document/dashboard?siteCode=beijing&amp;channel=dt</w:t>
      </w:r>
      <w:r>
        <w:rPr>
          <w:rFonts w:hint="eastAsia" w:ascii="宋体" w:hAnsi="宋体" w:eastAsia="宋体" w:cs="宋体"/>
          <w:i w:val="0"/>
          <w:iCs w:val="0"/>
          <w:caps w:val="0"/>
          <w:color w:val="000000"/>
          <w:spacing w:val="0"/>
          <w:sz w:val="24"/>
          <w:szCs w:val="24"/>
          <w:lang w:val="en-US" w:eastAsia="zh-CN"/>
        </w:rPr>
        <w:fldChar w:fldCharType="end"/>
      </w:r>
    </w:p>
    <w:p w14:paraId="6D5498A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注：ＣＡ证书遗失补办、延期、解锁、质保等业务可以在联连客户端上进行操作；使用政采云投标客户端时，建议使用WIN7及以上操作系统。</w:t>
      </w:r>
    </w:p>
    <w:p w14:paraId="472A461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政采云咨询电话：400-881-7190/95763；</w:t>
      </w:r>
      <w:r>
        <w:rPr>
          <w:rFonts w:hint="eastAsia" w:ascii="宋体" w:hAnsi="宋体" w:eastAsia="宋体" w:cs="宋体"/>
          <w:i w:val="0"/>
          <w:iCs w:val="0"/>
          <w:caps w:val="0"/>
          <w:color w:val="000000"/>
          <w:spacing w:val="0"/>
          <w:sz w:val="24"/>
          <w:szCs w:val="24"/>
          <w:lang w:val="en-US" w:eastAsia="zh-CN"/>
        </w:rPr>
        <w:br w:type="textWrapping"/>
      </w:r>
      <w:r>
        <w:rPr>
          <w:rFonts w:hint="eastAsia" w:ascii="宋体" w:hAnsi="宋体" w:eastAsia="宋体" w:cs="宋体"/>
          <w:i w:val="0"/>
          <w:iCs w:val="0"/>
          <w:caps w:val="0"/>
          <w:color w:val="000000"/>
          <w:spacing w:val="0"/>
          <w:sz w:val="24"/>
          <w:szCs w:val="24"/>
          <w:lang w:val="en-US" w:eastAsia="zh-CN"/>
        </w:rPr>
        <w:t>政采云平台服务中心：</w:t>
      </w:r>
      <w:r>
        <w:rPr>
          <w:rFonts w:hint="eastAsia" w:ascii="宋体" w:hAnsi="宋体" w:eastAsia="宋体" w:cs="宋体"/>
          <w:i w:val="0"/>
          <w:iCs w:val="0"/>
          <w:caps w:val="0"/>
          <w:color w:val="000000"/>
          <w:spacing w:val="0"/>
          <w:sz w:val="24"/>
          <w:szCs w:val="24"/>
          <w:lang w:val="en-US" w:eastAsia="zh-CN"/>
        </w:rPr>
        <w:fldChar w:fldCharType="begin"/>
      </w:r>
      <w:r>
        <w:rPr>
          <w:rFonts w:hint="eastAsia" w:ascii="宋体" w:hAnsi="宋体" w:eastAsia="宋体" w:cs="宋体"/>
          <w:i w:val="0"/>
          <w:iCs w:val="0"/>
          <w:caps w:val="0"/>
          <w:color w:val="000000"/>
          <w:spacing w:val="0"/>
          <w:sz w:val="24"/>
          <w:szCs w:val="24"/>
          <w:lang w:val="en-US" w:eastAsia="zh-CN"/>
        </w:rPr>
        <w:instrText xml:space="preserve"> HYPERLINK "https://service.zcygov.cn/#/" </w:instrText>
      </w:r>
      <w:r>
        <w:rPr>
          <w:rFonts w:hint="eastAsia" w:ascii="宋体" w:hAnsi="宋体" w:eastAsia="宋体" w:cs="宋体"/>
          <w:i w:val="0"/>
          <w:iCs w:val="0"/>
          <w:caps w:val="0"/>
          <w:color w:val="000000"/>
          <w:spacing w:val="0"/>
          <w:sz w:val="24"/>
          <w:szCs w:val="24"/>
          <w:lang w:val="en-US" w:eastAsia="zh-CN"/>
        </w:rPr>
        <w:fldChar w:fldCharType="separate"/>
      </w:r>
      <w:r>
        <w:rPr>
          <w:rFonts w:hint="eastAsia" w:ascii="宋体" w:hAnsi="宋体" w:eastAsia="宋体" w:cs="宋体"/>
          <w:i w:val="0"/>
          <w:iCs w:val="0"/>
          <w:caps w:val="0"/>
          <w:color w:val="000000"/>
          <w:spacing w:val="0"/>
          <w:sz w:val="24"/>
          <w:szCs w:val="24"/>
          <w:lang w:val="en-US" w:eastAsia="zh-CN"/>
        </w:rPr>
        <w:t>https://service.zcygov.cn/#/</w:t>
      </w:r>
      <w:r>
        <w:rPr>
          <w:rFonts w:hint="eastAsia" w:ascii="宋体" w:hAnsi="宋体" w:eastAsia="宋体" w:cs="宋体"/>
          <w:i w:val="0"/>
          <w:iCs w:val="0"/>
          <w:caps w:val="0"/>
          <w:color w:val="000000"/>
          <w:spacing w:val="0"/>
          <w:sz w:val="24"/>
          <w:szCs w:val="24"/>
          <w:lang w:val="en-US" w:eastAsia="zh-CN"/>
        </w:rPr>
        <w:fldChar w:fldCharType="end"/>
      </w:r>
    </w:p>
    <w:p w14:paraId="5746557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8、汇信（ＣＡ）客服电话：400-888-4636</w:t>
      </w:r>
      <w:r>
        <w:rPr>
          <w:rFonts w:hint="eastAsia" w:ascii="宋体" w:hAnsi="宋体" w:eastAsia="宋体" w:cs="宋体"/>
          <w:i w:val="0"/>
          <w:iCs w:val="0"/>
          <w:caps w:val="0"/>
          <w:color w:val="000000"/>
          <w:spacing w:val="0"/>
          <w:sz w:val="24"/>
          <w:szCs w:val="24"/>
          <w:lang w:val="en-US" w:eastAsia="zh-CN"/>
        </w:rPr>
        <w:br w:type="textWrapping"/>
      </w:r>
      <w:r>
        <w:rPr>
          <w:rFonts w:hint="eastAsia" w:ascii="宋体" w:hAnsi="宋体" w:eastAsia="宋体" w:cs="宋体"/>
          <w:i w:val="0"/>
          <w:iCs w:val="0"/>
          <w:caps w:val="0"/>
          <w:color w:val="000000"/>
          <w:spacing w:val="0"/>
          <w:sz w:val="24"/>
          <w:szCs w:val="24"/>
          <w:lang w:val="en-US" w:eastAsia="zh-CN"/>
        </w:rPr>
        <w:t>9、投标文件提交注意事项：</w:t>
      </w:r>
      <w:r>
        <w:rPr>
          <w:rFonts w:hint="eastAsia" w:ascii="宋体" w:hAnsi="宋体" w:eastAsia="宋体" w:cs="宋体"/>
          <w:i w:val="0"/>
          <w:iCs w:val="0"/>
          <w:caps w:val="0"/>
          <w:color w:val="000000"/>
          <w:spacing w:val="0"/>
          <w:sz w:val="24"/>
          <w:szCs w:val="24"/>
          <w:lang w:val="en-US" w:eastAsia="zh-CN"/>
        </w:rPr>
        <w:br w:type="textWrapping"/>
      </w:r>
      <w:r>
        <w:rPr>
          <w:rFonts w:hint="eastAsia" w:ascii="宋体" w:hAnsi="宋体" w:eastAsia="宋体" w:cs="宋体"/>
          <w:i w:val="0"/>
          <w:iCs w:val="0"/>
          <w:caps w:val="0"/>
          <w:color w:val="000000"/>
          <w:spacing w:val="0"/>
          <w:sz w:val="24"/>
          <w:szCs w:val="24"/>
          <w:lang w:val="en-US" w:eastAsia="zh-CN"/>
        </w:rPr>
        <w:t>9.1供应商进行电子投标应安装客户端软件，并按照招标文件和电子交易平台的要求编制并加密投标文件。供应商未按规定加密的投标文件，代理机构应当拒收。</w:t>
      </w:r>
      <w:r>
        <w:rPr>
          <w:rFonts w:hint="eastAsia" w:ascii="宋体" w:hAnsi="宋体" w:eastAsia="宋体" w:cs="宋体"/>
          <w:i w:val="0"/>
          <w:iCs w:val="0"/>
          <w:caps w:val="0"/>
          <w:color w:val="000000"/>
          <w:spacing w:val="0"/>
          <w:sz w:val="24"/>
          <w:szCs w:val="24"/>
          <w:lang w:val="en-US" w:eastAsia="zh-CN"/>
        </w:rPr>
        <w:br w:type="textWrapping"/>
      </w:r>
      <w:r>
        <w:rPr>
          <w:rFonts w:hint="eastAsia" w:ascii="宋体" w:hAnsi="宋体" w:eastAsia="宋体" w:cs="宋体"/>
          <w:i w:val="0"/>
          <w:iCs w:val="0"/>
          <w:caps w:val="0"/>
          <w:color w:val="000000"/>
          <w:spacing w:val="0"/>
          <w:sz w:val="24"/>
          <w:szCs w:val="24"/>
          <w:lang w:val="en-US" w:eastAsia="zh-CN"/>
        </w:rPr>
        <w:t> 9.2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r>
        <w:rPr>
          <w:rFonts w:hint="eastAsia" w:ascii="宋体" w:hAnsi="宋体" w:eastAsia="宋体" w:cs="宋体"/>
          <w:i w:val="0"/>
          <w:iCs w:val="0"/>
          <w:caps w:val="0"/>
          <w:color w:val="000000"/>
          <w:spacing w:val="0"/>
          <w:sz w:val="24"/>
          <w:szCs w:val="24"/>
          <w:lang w:val="en-US" w:eastAsia="zh-CN"/>
        </w:rPr>
        <w:br w:type="textWrapping"/>
      </w:r>
      <w:r>
        <w:rPr>
          <w:rFonts w:hint="eastAsia" w:ascii="宋体" w:hAnsi="宋体" w:eastAsia="宋体" w:cs="宋体"/>
          <w:i w:val="0"/>
          <w:iCs w:val="0"/>
          <w:caps w:val="0"/>
          <w:color w:val="000000"/>
          <w:spacing w:val="0"/>
          <w:sz w:val="24"/>
          <w:szCs w:val="24"/>
          <w:lang w:val="en-US" w:eastAsia="zh-CN"/>
        </w:rPr>
        <w:t> 9.3为确保采购项目顺利实施，避免因解密失败导致供应商投标无效，供应商在电子交易平台传输提交投标文件后，将政采云平台上最后生成的具备电子签章的备份电子投标文件（文件后缀名为.bfbs）1份在投标截止时间前以电子邮件方式发送至采购代理机构联系人电子邮箱851490373@qq.com。</w:t>
      </w:r>
      <w:r>
        <w:rPr>
          <w:rFonts w:hint="eastAsia" w:ascii="宋体" w:hAnsi="宋体" w:eastAsia="宋体" w:cs="宋体"/>
          <w:i w:val="0"/>
          <w:iCs w:val="0"/>
          <w:caps w:val="0"/>
          <w:color w:val="000000"/>
          <w:spacing w:val="0"/>
          <w:sz w:val="24"/>
          <w:szCs w:val="24"/>
          <w:lang w:val="en-US" w:eastAsia="zh-CN"/>
        </w:rPr>
        <w:br w:type="textWrapping"/>
      </w:r>
      <w:r>
        <w:rPr>
          <w:rFonts w:hint="eastAsia" w:ascii="宋体" w:hAnsi="宋体" w:eastAsia="宋体" w:cs="宋体"/>
          <w:i w:val="0"/>
          <w:iCs w:val="0"/>
          <w:caps w:val="0"/>
          <w:color w:val="000000"/>
          <w:spacing w:val="0"/>
          <w:sz w:val="24"/>
          <w:szCs w:val="24"/>
          <w:lang w:val="en-US" w:eastAsia="zh-CN"/>
        </w:rPr>
        <w:t xml:space="preserve">9.4备份电子投标文件制作为非强制性，但如遇因供应商电子投标文件解密失败等情况造成无效标，后果由供应商自负。     </w:t>
      </w:r>
    </w:p>
    <w:p w14:paraId="53E5284B">
      <w:pPr>
        <w:pStyle w:val="24"/>
        <w:keepNext w:val="0"/>
        <w:keepLines w:val="0"/>
        <w:widowControl/>
        <w:suppressLineNumbers w:val="0"/>
        <w:spacing w:before="75" w:beforeAutospacing="0" w:after="75"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bidi="ar-SA"/>
        </w:rPr>
        <w:t> </w:t>
      </w:r>
      <w:r>
        <w:rPr>
          <w:rFonts w:hint="eastAsia" w:ascii="宋体" w:hAnsi="宋体" w:eastAsia="宋体" w:cs="宋体"/>
          <w:i w:val="0"/>
          <w:iCs w:val="0"/>
          <w:caps w:val="0"/>
          <w:color w:val="000000"/>
          <w:spacing w:val="0"/>
          <w:sz w:val="27"/>
          <w:szCs w:val="27"/>
        </w:rPr>
        <w:t>  </w:t>
      </w:r>
    </w:p>
    <w:p w14:paraId="74951815">
      <w:pPr>
        <w:pStyle w:val="24"/>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31"/>
          <w:szCs w:val="31"/>
        </w:rPr>
      </w:pPr>
      <w:r>
        <w:rPr>
          <w:rStyle w:val="30"/>
          <w:rFonts w:hint="eastAsia" w:ascii="宋体" w:hAnsi="宋体" w:eastAsia="宋体" w:cs="宋体"/>
          <w:i w:val="0"/>
          <w:iCs w:val="0"/>
          <w:caps w:val="0"/>
          <w:color w:val="000000"/>
          <w:spacing w:val="0"/>
          <w:sz w:val="27"/>
          <w:szCs w:val="27"/>
        </w:rPr>
        <w:t>八、凡对本次招标提出询问、质疑、投诉，请按以下方式联系</w:t>
      </w:r>
    </w:p>
    <w:p w14:paraId="7629BFD0">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7"/>
          <w:szCs w:val="27"/>
        </w:rPr>
        <w:t xml:space="preserve">  </w:t>
      </w:r>
      <w:r>
        <w:rPr>
          <w:rFonts w:hint="eastAsia" w:ascii="宋体" w:hAnsi="宋体" w:eastAsia="宋体" w:cs="宋体"/>
          <w:i w:val="0"/>
          <w:iCs w:val="0"/>
          <w:caps w:val="0"/>
          <w:color w:val="000000"/>
          <w:spacing w:val="0"/>
          <w:sz w:val="24"/>
          <w:szCs w:val="24"/>
        </w:rPr>
        <w:t>  1.采购人信息</w:t>
      </w:r>
    </w:p>
    <w:p w14:paraId="45FF7927">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名    称：海盐县经济开发区管委会（西塘桥街道） </w:t>
      </w:r>
    </w:p>
    <w:p w14:paraId="128DDFCF">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    址：海盐县西塘桥街道海港大道1816号 </w:t>
      </w:r>
    </w:p>
    <w:p w14:paraId="79618032">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传    真： </w:t>
      </w:r>
    </w:p>
    <w:p w14:paraId="720B0C6E">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项目联系人（询问）：狄娅菲</w:t>
      </w:r>
    </w:p>
    <w:p w14:paraId="04F759DF">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项目联系方式（询问）：0573-86806869</w:t>
      </w:r>
    </w:p>
    <w:p w14:paraId="6135550E">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质疑联系人：狄娅菲 </w:t>
      </w:r>
    </w:p>
    <w:p w14:paraId="602F8692">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质疑联系方式：0573-86806869 </w:t>
      </w:r>
    </w:p>
    <w:p w14:paraId="05C0670D">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2.采购代理机构信息</w:t>
      </w:r>
    </w:p>
    <w:p w14:paraId="3FE36173">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名    称：嘉兴鼎晟工程管理有限公司 </w:t>
      </w:r>
    </w:p>
    <w:p w14:paraId="562C6DF5">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    址：海盐县武原街道新桥南路41号 </w:t>
      </w:r>
    </w:p>
    <w:p w14:paraId="02208038">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传    真：  </w:t>
      </w:r>
    </w:p>
    <w:p w14:paraId="42C347CD">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项目联系人（询问）：</w:t>
      </w:r>
      <w:r>
        <w:rPr>
          <w:rFonts w:hint="eastAsia" w:ascii="宋体" w:hAnsi="宋体" w:eastAsia="宋体" w:cs="宋体"/>
          <w:i w:val="0"/>
          <w:iCs w:val="0"/>
          <w:caps w:val="0"/>
          <w:color w:val="000000"/>
          <w:spacing w:val="0"/>
          <w:sz w:val="24"/>
          <w:szCs w:val="24"/>
          <w:lang w:eastAsia="zh-CN"/>
        </w:rPr>
        <w:t>莫霞萍</w:t>
      </w:r>
      <w:r>
        <w:rPr>
          <w:rFonts w:hint="eastAsia" w:ascii="宋体" w:hAnsi="宋体" w:eastAsia="宋体" w:cs="宋体"/>
          <w:i w:val="0"/>
          <w:iCs w:val="0"/>
          <w:caps w:val="0"/>
          <w:color w:val="000000"/>
          <w:spacing w:val="0"/>
          <w:sz w:val="24"/>
          <w:szCs w:val="24"/>
        </w:rPr>
        <w:t> </w:t>
      </w:r>
    </w:p>
    <w:p w14:paraId="2FD82B07">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项目联系方式（询问）：0573-86</w:t>
      </w:r>
      <w:r>
        <w:rPr>
          <w:rFonts w:hint="eastAsia" w:ascii="宋体" w:hAnsi="宋体" w:eastAsia="宋体" w:cs="宋体"/>
          <w:i w:val="0"/>
          <w:iCs w:val="0"/>
          <w:caps w:val="0"/>
          <w:color w:val="000000"/>
          <w:spacing w:val="0"/>
          <w:sz w:val="24"/>
          <w:szCs w:val="24"/>
          <w:lang w:val="en-US" w:eastAsia="zh-CN"/>
        </w:rPr>
        <w:t>038867</w:t>
      </w:r>
    </w:p>
    <w:p w14:paraId="4A2D74BC">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质疑联系人：</w:t>
      </w:r>
      <w:r>
        <w:rPr>
          <w:rFonts w:hint="eastAsia" w:ascii="宋体" w:hAnsi="宋体" w:eastAsia="宋体" w:cs="宋体"/>
          <w:i w:val="0"/>
          <w:iCs w:val="0"/>
          <w:caps w:val="0"/>
          <w:color w:val="000000"/>
          <w:spacing w:val="0"/>
          <w:sz w:val="24"/>
          <w:szCs w:val="24"/>
          <w:lang w:eastAsia="zh-CN"/>
        </w:rPr>
        <w:t>张达锋</w:t>
      </w:r>
      <w:r>
        <w:rPr>
          <w:rFonts w:hint="eastAsia" w:ascii="宋体" w:hAnsi="宋体" w:eastAsia="宋体" w:cs="宋体"/>
          <w:i w:val="0"/>
          <w:iCs w:val="0"/>
          <w:caps w:val="0"/>
          <w:color w:val="000000"/>
          <w:spacing w:val="0"/>
          <w:sz w:val="24"/>
          <w:szCs w:val="24"/>
        </w:rPr>
        <w:t> </w:t>
      </w:r>
    </w:p>
    <w:p w14:paraId="2B4AEC2A">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质疑联系方式：0573-86116950 </w:t>
      </w:r>
    </w:p>
    <w:p w14:paraId="560D120F">
      <w:pPr>
        <w:pStyle w:val="24"/>
        <w:keepNext w:val="0"/>
        <w:keepLines w:val="0"/>
        <w:widowControl/>
        <w:suppressLineNumbers w:val="0"/>
        <w:spacing w:before="75" w:beforeAutospacing="0" w:after="75" w:afterAutospacing="0" w:line="240" w:lineRule="auto"/>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3. </w:t>
      </w:r>
      <w:r>
        <w:rPr>
          <w:rStyle w:val="43"/>
          <w:rFonts w:hint="eastAsia" w:ascii="宋体" w:hAnsi="宋体" w:eastAsia="宋体" w:cs="宋体"/>
          <w:i w:val="0"/>
          <w:iCs w:val="0"/>
          <w:caps w:val="0"/>
          <w:color w:val="000000"/>
          <w:spacing w:val="0"/>
          <w:sz w:val="24"/>
          <w:szCs w:val="24"/>
        </w:rPr>
        <w:t>同级政府采购监督管理部门</w:t>
      </w:r>
    </w:p>
    <w:p w14:paraId="1A734A4F">
      <w:pPr>
        <w:pStyle w:val="24"/>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名    称：海盐县财政局政府采购监管科  </w:t>
      </w:r>
    </w:p>
    <w:p w14:paraId="6B4CF600">
      <w:pPr>
        <w:pStyle w:val="24"/>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地    址：海盐县武原街道新桥北路168号</w:t>
      </w:r>
    </w:p>
    <w:p w14:paraId="4DC75D5A">
      <w:pPr>
        <w:pStyle w:val="24"/>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传    真：</w:t>
      </w:r>
    </w:p>
    <w:p w14:paraId="2959B515">
      <w:pPr>
        <w:pStyle w:val="24"/>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联 系 人：采监科 </w:t>
      </w:r>
    </w:p>
    <w:p w14:paraId="4FAF4FB2">
      <w:pPr>
        <w:pStyle w:val="24"/>
        <w:keepNext w:val="0"/>
        <w:keepLines w:val="0"/>
        <w:widowControl/>
        <w:suppressLineNumbers w:val="0"/>
        <w:spacing w:before="75" w:beforeAutospacing="0" w:after="75"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监督投诉电话：0573-86122512</w:t>
      </w:r>
    </w:p>
    <w:p w14:paraId="051D000D">
      <w:pPr>
        <w:keepNext w:val="0"/>
        <w:keepLines w:val="0"/>
        <w:widowControl/>
        <w:suppressLineNumbers w:val="0"/>
        <w:jc w:val="left"/>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w:t>
      </w:r>
    </w:p>
    <w:p w14:paraId="0F6732BE">
      <w:pPr>
        <w:pStyle w:val="24"/>
        <w:keepNext w:val="0"/>
        <w:keepLines w:val="0"/>
        <w:widowControl/>
        <w:suppressLineNumbers w:val="0"/>
        <w:spacing w:before="75" w:beforeAutospacing="0" w:after="75"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        </w:t>
      </w:r>
    </w:p>
    <w:p w14:paraId="421FC0F7">
      <w:pPr>
        <w:pStyle w:val="24"/>
        <w:keepNext w:val="0"/>
        <w:keepLines w:val="0"/>
        <w:widowControl/>
        <w:suppressLineNumbers w:val="0"/>
        <w:spacing w:before="75" w:beforeAutospacing="0" w:after="75" w:afterAutospacing="0"/>
        <w:ind w:left="0" w:right="0"/>
      </w:pPr>
      <w:r>
        <w:rPr>
          <w:rFonts w:hint="eastAsia" w:ascii="宋体" w:hAnsi="宋体" w:eastAsia="宋体" w:cs="宋体"/>
          <w:i w:val="0"/>
          <w:iCs w:val="0"/>
          <w:caps w:val="0"/>
          <w:color w:val="000000"/>
          <w:spacing w:val="0"/>
          <w:sz w:val="24"/>
          <w:szCs w:val="24"/>
        </w:rPr>
        <w:t>CA问题联系电话（人工）：汇信CA 400-888-4636；天谷CA 400-087-8198。</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w:t>
      </w:r>
    </w:p>
    <w:p w14:paraId="0ED544E5"/>
    <w:p w14:paraId="534A8363">
      <w:pPr>
        <w:pStyle w:val="3"/>
        <w:keepNext w:val="0"/>
        <w:keepLines w:val="0"/>
        <w:pageBreakBefore/>
        <w:spacing w:beforeLines="100" w:afterLines="100" w:line="240" w:lineRule="auto"/>
        <w:jc w:val="center"/>
        <w:rPr>
          <w:rFonts w:ascii="Arial" w:hAnsi="Arial" w:cs="Arial"/>
          <w:sz w:val="28"/>
          <w:szCs w:val="36"/>
        </w:rPr>
      </w:pPr>
      <w:bookmarkStart w:id="1" w:name="_Toc29022"/>
      <w:r>
        <w:rPr>
          <w:rFonts w:ascii="Arial" w:hAnsi="Arial" w:cs="Arial"/>
          <w:sz w:val="28"/>
          <w:szCs w:val="36"/>
        </w:rPr>
        <w:t>第二部分</w:t>
      </w:r>
      <w:r>
        <w:rPr>
          <w:rFonts w:hint="eastAsia" w:ascii="Arial" w:hAnsi="Arial" w:cs="Arial"/>
          <w:sz w:val="28"/>
          <w:szCs w:val="36"/>
          <w:lang w:val="en-US" w:eastAsia="zh-CN"/>
        </w:rPr>
        <w:t xml:space="preserve"> </w:t>
      </w:r>
      <w:r>
        <w:rPr>
          <w:rFonts w:ascii="Arial" w:hAnsi="Arial" w:cs="Arial"/>
          <w:sz w:val="28"/>
          <w:szCs w:val="36"/>
        </w:rPr>
        <w:t>竞争性磋商供应商须知</w:t>
      </w:r>
      <w:bookmarkEnd w:id="1"/>
    </w:p>
    <w:p w14:paraId="47C2E256">
      <w:pPr>
        <w:pStyle w:val="4"/>
        <w:spacing w:beforeLines="50" w:afterLines="50" w:line="240" w:lineRule="auto"/>
        <w:jc w:val="center"/>
        <w:rPr>
          <w:rFonts w:ascii="Arial" w:hAnsi="Arial" w:cs="Arial"/>
          <w:bCs w:val="0"/>
          <w:sz w:val="24"/>
          <w:szCs w:val="24"/>
        </w:rPr>
      </w:pPr>
      <w:bookmarkStart w:id="2" w:name="_Toc25460"/>
      <w:r>
        <w:rPr>
          <w:rFonts w:ascii="Arial" w:hAnsi="Arial" w:cs="Arial"/>
          <w:sz w:val="24"/>
          <w:szCs w:val="24"/>
        </w:rPr>
        <w:t>（一）</w:t>
      </w:r>
      <w:r>
        <w:rPr>
          <w:rFonts w:ascii="Arial" w:hAnsi="Arial" w:cs="Arial"/>
          <w:bCs w:val="0"/>
          <w:sz w:val="24"/>
          <w:szCs w:val="24"/>
        </w:rPr>
        <w:t>竞争性磋商须知前附表</w:t>
      </w:r>
      <w:bookmarkEnd w:id="2"/>
    </w:p>
    <w:tbl>
      <w:tblPr>
        <w:tblStyle w:val="27"/>
        <w:tblW w:w="9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28"/>
        <w:gridCol w:w="1920"/>
        <w:gridCol w:w="6530"/>
      </w:tblGrid>
      <w:tr w14:paraId="330FB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28" w:type="dxa"/>
            <w:vAlign w:val="center"/>
          </w:tcPr>
          <w:p w14:paraId="4647E5AD">
            <w:pPr>
              <w:jc w:val="center"/>
              <w:rPr>
                <w:rFonts w:hint="eastAsia" w:ascii="宋体" w:hAnsi="宋体" w:eastAsia="宋体" w:cs="宋体"/>
                <w:b/>
                <w:sz w:val="24"/>
                <w:szCs w:val="24"/>
              </w:rPr>
            </w:pPr>
            <w:r>
              <w:rPr>
                <w:rFonts w:hint="eastAsia" w:ascii="宋体" w:hAnsi="宋体" w:eastAsia="宋体" w:cs="宋体"/>
                <w:b/>
                <w:sz w:val="24"/>
                <w:szCs w:val="24"/>
              </w:rPr>
              <w:t>项号</w:t>
            </w:r>
          </w:p>
        </w:tc>
        <w:tc>
          <w:tcPr>
            <w:tcW w:w="1920" w:type="dxa"/>
            <w:vAlign w:val="center"/>
          </w:tcPr>
          <w:p w14:paraId="19FD64F3">
            <w:pPr>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6530" w:type="dxa"/>
            <w:vAlign w:val="center"/>
          </w:tcPr>
          <w:p w14:paraId="58DEA1A7">
            <w:pPr>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14:paraId="211D2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28" w:type="dxa"/>
            <w:vAlign w:val="center"/>
          </w:tcPr>
          <w:p w14:paraId="0F17C03A">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20" w:type="dxa"/>
            <w:vAlign w:val="center"/>
          </w:tcPr>
          <w:p w14:paraId="212211F6">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530" w:type="dxa"/>
            <w:vAlign w:val="center"/>
          </w:tcPr>
          <w:p w14:paraId="41749B74">
            <w:pP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2025-2026年西塘桥街道公共环境病媒生物防制服务</w:t>
            </w:r>
          </w:p>
        </w:tc>
      </w:tr>
      <w:tr w14:paraId="48EB2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28" w:type="dxa"/>
            <w:vAlign w:val="center"/>
          </w:tcPr>
          <w:p w14:paraId="51225FB9">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20" w:type="dxa"/>
            <w:vAlign w:val="center"/>
          </w:tcPr>
          <w:p w14:paraId="296C9C2A">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530" w:type="dxa"/>
            <w:vAlign w:val="center"/>
          </w:tcPr>
          <w:p w14:paraId="51BA1FAC">
            <w:pP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嘉鼎晟采〔2025〕057号</w:t>
            </w:r>
          </w:p>
        </w:tc>
      </w:tr>
      <w:tr w14:paraId="54305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28" w:type="dxa"/>
            <w:vAlign w:val="center"/>
          </w:tcPr>
          <w:p w14:paraId="69B2FE00">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20" w:type="dxa"/>
            <w:vAlign w:val="center"/>
          </w:tcPr>
          <w:p w14:paraId="3DBD0095">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530" w:type="dxa"/>
            <w:vAlign w:val="center"/>
          </w:tcPr>
          <w:p w14:paraId="4F896F0B">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财政性资金</w:t>
            </w:r>
          </w:p>
        </w:tc>
      </w:tr>
      <w:tr w14:paraId="2DA9B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28" w:type="dxa"/>
            <w:vAlign w:val="center"/>
          </w:tcPr>
          <w:p w14:paraId="5934DDF7">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20" w:type="dxa"/>
            <w:vAlign w:val="center"/>
          </w:tcPr>
          <w:p w14:paraId="11080672">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530" w:type="dxa"/>
            <w:vAlign w:val="center"/>
          </w:tcPr>
          <w:p w14:paraId="5E1B99CE">
            <w:pPr>
              <w:adjustRightIn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名称：</w:t>
            </w:r>
            <w:r>
              <w:rPr>
                <w:rFonts w:hint="eastAsia" w:ascii="宋体" w:hAnsi="宋体" w:cs="宋体"/>
                <w:color w:val="auto"/>
                <w:sz w:val="24"/>
                <w:szCs w:val="24"/>
                <w:lang w:eastAsia="zh-CN"/>
              </w:rPr>
              <w:t>浙江省海盐经济开发区管理委员会</w:t>
            </w:r>
            <w:r>
              <w:rPr>
                <w:rFonts w:hint="eastAsia" w:ascii="宋体" w:hAnsi="宋体" w:eastAsia="宋体" w:cs="宋体"/>
                <w:color w:val="auto"/>
                <w:sz w:val="24"/>
                <w:szCs w:val="24"/>
                <w:lang w:eastAsia="zh-CN"/>
              </w:rPr>
              <w:t xml:space="preserve"> </w:t>
            </w:r>
          </w:p>
          <w:p w14:paraId="37C158D9">
            <w:pPr>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狄工</w:t>
            </w:r>
          </w:p>
          <w:p w14:paraId="4ACB3466">
            <w:pPr>
              <w:adjustRightInd w:val="0"/>
              <w:rPr>
                <w:rFonts w:hint="eastAsia" w:ascii="宋体" w:hAnsi="宋体" w:eastAsia="宋体" w:cs="宋体"/>
                <w:color w:val="auto"/>
                <w:sz w:val="24"/>
                <w:szCs w:val="24"/>
                <w:lang w:val="en-US"/>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i w:val="0"/>
                <w:iCs w:val="0"/>
                <w:caps w:val="0"/>
                <w:color w:val="000000"/>
                <w:spacing w:val="0"/>
                <w:sz w:val="24"/>
                <w:szCs w:val="24"/>
              </w:rPr>
              <w:t>0573-86806869</w:t>
            </w:r>
          </w:p>
        </w:tc>
      </w:tr>
      <w:tr w14:paraId="600FD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828" w:type="dxa"/>
            <w:vAlign w:val="center"/>
          </w:tcPr>
          <w:p w14:paraId="0DF856EC">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20" w:type="dxa"/>
            <w:vAlign w:val="center"/>
          </w:tcPr>
          <w:p w14:paraId="1E8EE1D0">
            <w:pPr>
              <w:adjustRightInd w:val="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530" w:type="dxa"/>
            <w:vAlign w:val="center"/>
          </w:tcPr>
          <w:p w14:paraId="67DF24B5">
            <w:pPr>
              <w:adjustRightInd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嘉兴鼎晟工程管理有限公司</w:t>
            </w:r>
          </w:p>
          <w:p w14:paraId="4740FA45">
            <w:pPr>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莫霞萍</w:t>
            </w:r>
          </w:p>
          <w:p w14:paraId="58F3608A">
            <w:pPr>
              <w:adjustRightInd w:val="0"/>
              <w:rPr>
                <w:rFonts w:hint="default" w:ascii="宋体" w:hAnsi="宋体" w:eastAsia="宋体" w:cs="宋体"/>
                <w:color w:val="auto"/>
                <w:sz w:val="24"/>
                <w:szCs w:val="24"/>
                <w:lang w:val="en-US"/>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0573-86</w:t>
            </w:r>
            <w:r>
              <w:rPr>
                <w:rFonts w:hint="eastAsia" w:ascii="宋体" w:hAnsi="宋体" w:cs="宋体"/>
                <w:color w:val="auto"/>
                <w:sz w:val="24"/>
                <w:szCs w:val="24"/>
                <w:lang w:val="en-US" w:eastAsia="zh-CN"/>
              </w:rPr>
              <w:t>038867</w:t>
            </w:r>
          </w:p>
        </w:tc>
      </w:tr>
      <w:tr w14:paraId="5559C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0" w:hRule="atLeast"/>
          <w:jc w:val="center"/>
        </w:trPr>
        <w:tc>
          <w:tcPr>
            <w:tcW w:w="828" w:type="dxa"/>
            <w:vAlign w:val="center"/>
          </w:tcPr>
          <w:p w14:paraId="0D27AE90">
            <w:pPr>
              <w:jc w:val="center"/>
              <w:rPr>
                <w:rFonts w:hint="eastAsia" w:ascii="宋体" w:hAnsi="宋体" w:eastAsia="宋体" w:cs="宋体"/>
                <w:sz w:val="24"/>
                <w:szCs w:val="24"/>
              </w:rPr>
            </w:pPr>
            <w:r>
              <w:rPr>
                <w:rFonts w:hint="eastAsia" w:ascii="宋体" w:hAnsi="宋体" w:eastAsia="宋体" w:cs="宋体"/>
                <w:sz w:val="24"/>
                <w:szCs w:val="24"/>
              </w:rPr>
              <w:t>6</w:t>
            </w:r>
          </w:p>
        </w:tc>
        <w:tc>
          <w:tcPr>
            <w:tcW w:w="1920" w:type="dxa"/>
            <w:vAlign w:val="center"/>
          </w:tcPr>
          <w:p w14:paraId="67D25DDF">
            <w:pPr>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6530" w:type="dxa"/>
            <w:vAlign w:val="center"/>
          </w:tcPr>
          <w:p w14:paraId="0C0118F3">
            <w:pPr>
              <w:rPr>
                <w:rFonts w:hint="eastAsia" w:ascii="宋体" w:hAnsi="宋体" w:eastAsia="宋体" w:cs="宋体"/>
                <w:color w:val="auto"/>
                <w:sz w:val="24"/>
                <w:szCs w:val="24"/>
              </w:rPr>
            </w:pPr>
            <w:r>
              <w:rPr>
                <w:rFonts w:hint="eastAsia" w:ascii="宋体" w:hAnsi="宋体" w:cs="宋体"/>
                <w:color w:val="auto"/>
                <w:sz w:val="24"/>
                <w:szCs w:val="24"/>
                <w:lang w:eastAsia="zh-CN"/>
              </w:rPr>
              <w:t>2025-2026年西塘桥街道公共环境病媒生物防制服务</w:t>
            </w:r>
            <w:r>
              <w:rPr>
                <w:rFonts w:hint="eastAsia" w:ascii="宋体" w:hAnsi="宋体" w:eastAsia="宋体" w:cs="宋体"/>
                <w:color w:val="auto"/>
                <w:sz w:val="24"/>
                <w:szCs w:val="24"/>
              </w:rPr>
              <w:t>，详见本磋商文件</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p>
        </w:tc>
      </w:tr>
      <w:tr w14:paraId="29D03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828" w:type="dxa"/>
            <w:vAlign w:val="center"/>
          </w:tcPr>
          <w:p w14:paraId="2035D92A">
            <w:pPr>
              <w:jc w:val="center"/>
              <w:rPr>
                <w:rFonts w:hint="eastAsia" w:ascii="宋体" w:hAnsi="宋体" w:eastAsia="宋体" w:cs="宋体"/>
                <w:sz w:val="24"/>
                <w:szCs w:val="24"/>
              </w:rPr>
            </w:pPr>
            <w:r>
              <w:rPr>
                <w:rFonts w:hint="eastAsia" w:ascii="宋体" w:hAnsi="宋体" w:eastAsia="宋体" w:cs="宋体"/>
                <w:sz w:val="24"/>
                <w:szCs w:val="24"/>
              </w:rPr>
              <w:t>7</w:t>
            </w:r>
          </w:p>
        </w:tc>
        <w:tc>
          <w:tcPr>
            <w:tcW w:w="1920" w:type="dxa"/>
            <w:vAlign w:val="center"/>
          </w:tcPr>
          <w:p w14:paraId="588FC0CB">
            <w:pPr>
              <w:jc w:val="center"/>
              <w:rPr>
                <w:rFonts w:hint="eastAsia" w:ascii="宋体" w:hAnsi="宋体" w:eastAsia="宋体" w:cs="宋体"/>
                <w:sz w:val="24"/>
                <w:szCs w:val="24"/>
              </w:rPr>
            </w:pPr>
            <w:r>
              <w:rPr>
                <w:rFonts w:hint="eastAsia" w:ascii="宋体" w:hAnsi="宋体" w:eastAsia="宋体" w:cs="宋体"/>
                <w:sz w:val="24"/>
                <w:szCs w:val="24"/>
              </w:rPr>
              <w:t>竞争性磋商供应商</w:t>
            </w:r>
          </w:p>
          <w:p w14:paraId="314EE96E">
            <w:pPr>
              <w:jc w:val="center"/>
              <w:rPr>
                <w:rFonts w:hint="eastAsia" w:ascii="宋体" w:hAnsi="宋体" w:eastAsia="宋体" w:cs="宋体"/>
                <w:sz w:val="24"/>
                <w:szCs w:val="24"/>
              </w:rPr>
            </w:pPr>
            <w:r>
              <w:rPr>
                <w:rFonts w:hint="eastAsia" w:ascii="宋体" w:hAnsi="宋体" w:eastAsia="宋体" w:cs="宋体"/>
                <w:sz w:val="24"/>
                <w:szCs w:val="24"/>
              </w:rPr>
              <w:t>资格要求</w:t>
            </w:r>
          </w:p>
        </w:tc>
        <w:tc>
          <w:tcPr>
            <w:tcW w:w="6530" w:type="dxa"/>
            <w:vAlign w:val="center"/>
          </w:tcPr>
          <w:p w14:paraId="3A5A86D8">
            <w:pPr>
              <w:spacing w:line="336" w:lineRule="auto"/>
              <w:rPr>
                <w:rFonts w:hint="eastAsia" w:ascii="宋体" w:hAnsi="宋体" w:eastAsia="宋体" w:cs="宋体"/>
                <w:color w:val="auto"/>
                <w:sz w:val="24"/>
                <w:szCs w:val="24"/>
              </w:rPr>
            </w:pPr>
            <w:r>
              <w:rPr>
                <w:rFonts w:hint="eastAsia" w:ascii="宋体" w:hAnsi="宋体" w:eastAsia="宋体" w:cs="宋体"/>
                <w:sz w:val="24"/>
                <w:szCs w:val="24"/>
              </w:rPr>
              <w:t>1.满足《中华人民共和国政府采购法》第二十二条规定；未被“信用中国”（www.creditchina.gov.cn)、中国政府采购网（www.ccgp.gov.cn）列入失信被执行人、重大税收</w:t>
            </w:r>
            <w:r>
              <w:rPr>
                <w:rFonts w:hint="eastAsia" w:ascii="宋体" w:hAnsi="宋体" w:eastAsia="宋体" w:cs="宋体"/>
                <w:color w:val="auto"/>
                <w:sz w:val="24"/>
                <w:szCs w:val="24"/>
              </w:rPr>
              <w:t>违法案件当事人名单、政府采购严重违法失信行为记录名单。</w:t>
            </w:r>
          </w:p>
          <w:p w14:paraId="722FDAEF">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落实政府采购政策需满足的资格要求：</w:t>
            </w:r>
            <w:r>
              <w:rPr>
                <w:rFonts w:hint="eastAsia" w:ascii="宋体" w:hAnsi="宋体" w:eastAsia="宋体" w:cs="宋体"/>
                <w:color w:val="auto"/>
                <w:sz w:val="24"/>
                <w:szCs w:val="24"/>
                <w:u w:val="single"/>
                <w:lang w:eastAsia="zh-CN"/>
              </w:rPr>
              <w:t>供应商为中小企业/小微企业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w:t>
            </w:r>
          </w:p>
          <w:p w14:paraId="1E42D09B">
            <w:pPr>
              <w:spacing w:line="336" w:lineRule="auto"/>
              <w:rPr>
                <w:rFonts w:hint="eastAsia" w:ascii="宋体" w:hAnsi="宋体" w:eastAsia="宋体" w:cs="宋体"/>
                <w:sz w:val="24"/>
                <w:szCs w:val="24"/>
                <w:lang w:eastAsia="zh-CN"/>
              </w:rPr>
            </w:pPr>
            <w:r>
              <w:rPr>
                <w:rFonts w:hint="eastAsia" w:ascii="宋体" w:hAnsi="宋体" w:eastAsia="宋体" w:cs="宋体"/>
                <w:sz w:val="24"/>
                <w:szCs w:val="24"/>
                <w:highlight w:val="none"/>
              </w:rPr>
              <w:t>3.本项目的特定资格要求：</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highlight w:val="none"/>
                <w:lang w:eastAsia="zh-CN"/>
              </w:rPr>
              <w:t>。</w:t>
            </w:r>
          </w:p>
        </w:tc>
      </w:tr>
      <w:tr w14:paraId="3A350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28" w:type="dxa"/>
            <w:vAlign w:val="center"/>
          </w:tcPr>
          <w:p w14:paraId="3EE54E43">
            <w:pPr>
              <w:jc w:val="center"/>
              <w:rPr>
                <w:rFonts w:hint="eastAsia" w:ascii="宋体" w:hAnsi="宋体" w:eastAsia="宋体" w:cs="宋体"/>
                <w:sz w:val="24"/>
                <w:szCs w:val="24"/>
              </w:rPr>
            </w:pPr>
            <w:r>
              <w:rPr>
                <w:rFonts w:hint="eastAsia" w:ascii="宋体" w:hAnsi="宋体" w:eastAsia="宋体" w:cs="宋体"/>
                <w:sz w:val="24"/>
                <w:szCs w:val="24"/>
              </w:rPr>
              <w:t>8</w:t>
            </w:r>
          </w:p>
        </w:tc>
        <w:tc>
          <w:tcPr>
            <w:tcW w:w="1920" w:type="dxa"/>
            <w:vAlign w:val="center"/>
          </w:tcPr>
          <w:p w14:paraId="0040895C">
            <w:pPr>
              <w:adjustRightInd w:val="0"/>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530" w:type="dxa"/>
            <w:vAlign w:val="center"/>
          </w:tcPr>
          <w:p w14:paraId="6BF9C047">
            <w:pPr>
              <w:adjustRightInd w:val="0"/>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lang w:eastAsia="zh-CN"/>
              </w:rPr>
              <w:instrText xml:space="preserve">,</w:instrText>
            </w:r>
            <w:r>
              <w:rPr>
                <w:rFonts w:hint="eastAsia" w:ascii="宋体" w:hAnsi="宋体" w:eastAsia="宋体" w:cs="宋体"/>
                <w:b/>
                <w:position w:val="2"/>
                <w:sz w:val="24"/>
                <w:szCs w:val="24"/>
                <w:lang w:eastAsia="zh-CN"/>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不接受</w:t>
            </w:r>
          </w:p>
          <w:p w14:paraId="78DB8A82">
            <w:pPr>
              <w:adjustRightInd w:val="0"/>
              <w:rPr>
                <w:rFonts w:hint="eastAsia" w:ascii="宋体" w:hAnsi="宋体" w:eastAsia="宋体" w:cs="宋体"/>
                <w:i/>
                <w:sz w:val="24"/>
                <w:szCs w:val="24"/>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eq \o\ac(□)</w:instrText>
            </w:r>
            <w:r>
              <w:rPr>
                <w:rFonts w:hint="eastAsia" w:ascii="宋体" w:hAnsi="宋体" w:eastAsia="宋体" w:cs="宋体"/>
                <w:b/>
                <w:sz w:val="24"/>
                <w:szCs w:val="24"/>
                <w:highlight w:val="none"/>
              </w:rPr>
              <w:fldChar w:fldCharType="end"/>
            </w:r>
            <w:r>
              <w:rPr>
                <w:rFonts w:hint="eastAsia" w:ascii="宋体" w:hAnsi="宋体" w:eastAsia="宋体" w:cs="宋体"/>
                <w:sz w:val="24"/>
                <w:szCs w:val="24"/>
                <w:highlight w:val="none"/>
              </w:rPr>
              <w:t>接受</w:t>
            </w:r>
          </w:p>
        </w:tc>
      </w:tr>
      <w:tr w14:paraId="0DA4D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28" w:type="dxa"/>
            <w:vAlign w:val="center"/>
          </w:tcPr>
          <w:p w14:paraId="4DA7BBF1">
            <w:pPr>
              <w:jc w:val="center"/>
              <w:rPr>
                <w:rFonts w:hint="eastAsia" w:ascii="宋体" w:hAnsi="宋体" w:eastAsia="宋体" w:cs="宋体"/>
                <w:sz w:val="24"/>
                <w:szCs w:val="24"/>
              </w:rPr>
            </w:pPr>
            <w:r>
              <w:rPr>
                <w:rFonts w:hint="eastAsia" w:ascii="宋体" w:hAnsi="宋体" w:eastAsia="宋体" w:cs="宋体"/>
                <w:sz w:val="24"/>
                <w:szCs w:val="24"/>
              </w:rPr>
              <w:t>9</w:t>
            </w:r>
          </w:p>
        </w:tc>
        <w:tc>
          <w:tcPr>
            <w:tcW w:w="1920" w:type="dxa"/>
            <w:vAlign w:val="center"/>
          </w:tcPr>
          <w:p w14:paraId="04D29BA7">
            <w:pPr>
              <w:adjustRightInd w:val="0"/>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530" w:type="dxa"/>
            <w:vAlign w:val="center"/>
          </w:tcPr>
          <w:p w14:paraId="3A915022">
            <w:pPr>
              <w:adjustRightInd w:val="0"/>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p w14:paraId="5B70405A">
            <w:pPr>
              <w:adjustRightInd w:val="0"/>
              <w:rPr>
                <w:rFonts w:hint="eastAsia" w:ascii="宋体" w:hAnsi="宋体" w:eastAsia="宋体" w:cs="宋体"/>
                <w:i/>
                <w:sz w:val="24"/>
                <w:szCs w:val="24"/>
              </w:rPr>
            </w:pPr>
            <w:r>
              <w:rPr>
                <w:rFonts w:hint="eastAsia" w:ascii="宋体" w:hAnsi="宋体" w:eastAsia="宋体" w:cs="宋体"/>
                <w:sz w:val="24"/>
                <w:szCs w:val="24"/>
              </w:rPr>
              <w:t>□组织</w:t>
            </w:r>
          </w:p>
        </w:tc>
      </w:tr>
      <w:tr w14:paraId="28B44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28" w:type="dxa"/>
            <w:vAlign w:val="center"/>
          </w:tcPr>
          <w:p w14:paraId="5A48DED7">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20" w:type="dxa"/>
            <w:vAlign w:val="center"/>
          </w:tcPr>
          <w:p w14:paraId="14665F67">
            <w:pPr>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6530" w:type="dxa"/>
            <w:vAlign w:val="center"/>
          </w:tcPr>
          <w:p w14:paraId="41139266">
            <w:pPr>
              <w:adjustRightInd w:val="0"/>
              <w:spacing w:line="276"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rPr>
              <w:t>不允许</w:t>
            </w:r>
          </w:p>
          <w:p w14:paraId="5F4A3C57">
            <w:pPr>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□允许</w:t>
            </w:r>
          </w:p>
        </w:tc>
      </w:tr>
      <w:tr w14:paraId="2385E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28" w:type="dxa"/>
            <w:vAlign w:val="center"/>
          </w:tcPr>
          <w:p w14:paraId="3CBA6F03">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920" w:type="dxa"/>
            <w:vAlign w:val="center"/>
          </w:tcPr>
          <w:p w14:paraId="06A9578C">
            <w:pPr>
              <w:adjustRightInd w:val="0"/>
              <w:jc w:val="center"/>
              <w:rPr>
                <w:rFonts w:hint="eastAsia" w:ascii="宋体" w:hAnsi="宋体" w:eastAsia="宋体" w:cs="宋体"/>
                <w:sz w:val="24"/>
                <w:szCs w:val="24"/>
              </w:rPr>
            </w:pPr>
            <w:r>
              <w:rPr>
                <w:rFonts w:hint="eastAsia" w:ascii="宋体" w:hAnsi="宋体" w:eastAsia="宋体" w:cs="宋体"/>
                <w:sz w:val="24"/>
                <w:szCs w:val="24"/>
              </w:rPr>
              <w:t>报价货币</w:t>
            </w:r>
          </w:p>
        </w:tc>
        <w:tc>
          <w:tcPr>
            <w:tcW w:w="6530" w:type="dxa"/>
            <w:vAlign w:val="center"/>
          </w:tcPr>
          <w:p w14:paraId="65737CDE">
            <w:pPr>
              <w:adjustRightInd w:val="0"/>
              <w:rPr>
                <w:rFonts w:hint="eastAsia" w:ascii="宋体" w:hAnsi="宋体" w:eastAsia="宋体" w:cs="宋体"/>
                <w:sz w:val="24"/>
                <w:szCs w:val="24"/>
              </w:rPr>
            </w:pPr>
            <w:r>
              <w:rPr>
                <w:rFonts w:hint="eastAsia" w:ascii="宋体" w:hAnsi="宋体" w:eastAsia="宋体" w:cs="宋体"/>
                <w:sz w:val="24"/>
                <w:szCs w:val="24"/>
              </w:rPr>
              <w:t>人民币</w:t>
            </w:r>
          </w:p>
        </w:tc>
      </w:tr>
      <w:tr w14:paraId="04F13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28" w:type="dxa"/>
            <w:vAlign w:val="center"/>
          </w:tcPr>
          <w:p w14:paraId="71A888B9">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920" w:type="dxa"/>
            <w:vAlign w:val="center"/>
          </w:tcPr>
          <w:p w14:paraId="0D90D934">
            <w:pPr>
              <w:adjustRightInd w:val="0"/>
              <w:jc w:val="center"/>
              <w:rPr>
                <w:rFonts w:hint="eastAsia" w:ascii="宋体" w:hAnsi="宋体" w:eastAsia="宋体" w:cs="宋体"/>
                <w:sz w:val="24"/>
                <w:szCs w:val="24"/>
                <w:lang w:eastAsia="zh-CN"/>
              </w:rPr>
            </w:pPr>
            <w:r>
              <w:rPr>
                <w:rFonts w:hint="eastAsia" w:ascii="宋体" w:hAnsi="宋体" w:cs="宋体"/>
                <w:sz w:val="24"/>
                <w:szCs w:val="24"/>
                <w:lang w:eastAsia="zh-CN"/>
              </w:rPr>
              <w:t>最高限价</w:t>
            </w:r>
          </w:p>
        </w:tc>
        <w:tc>
          <w:tcPr>
            <w:tcW w:w="6530" w:type="dxa"/>
            <w:vAlign w:val="center"/>
          </w:tcPr>
          <w:p w14:paraId="469D63F4">
            <w:pPr>
              <w:adjustRightInd w:val="0"/>
              <w:rPr>
                <w:rFonts w:hint="default" w:ascii="宋体" w:hAnsi="宋体" w:eastAsia="宋体" w:cs="宋体"/>
                <w:sz w:val="24"/>
                <w:szCs w:val="24"/>
                <w:lang w:val="en-US" w:eastAsia="zh-CN"/>
              </w:rPr>
            </w:pPr>
            <w:r>
              <w:rPr>
                <w:rFonts w:hint="eastAsia" w:ascii="宋体" w:hAnsi="宋体" w:cs="宋体"/>
                <w:sz w:val="24"/>
                <w:szCs w:val="24"/>
                <w:highlight w:val="none"/>
                <w:lang w:eastAsia="zh-CN"/>
              </w:rPr>
              <w:t>项目最高限价为</w:t>
            </w:r>
            <w:r>
              <w:rPr>
                <w:rFonts w:hint="eastAsia" w:ascii="宋体" w:hAnsi="宋体" w:cs="宋体"/>
                <w:sz w:val="24"/>
                <w:szCs w:val="24"/>
                <w:highlight w:val="none"/>
                <w:lang w:val="en-US" w:eastAsia="zh-CN"/>
              </w:rPr>
              <w:t>35万元。</w:t>
            </w:r>
          </w:p>
        </w:tc>
      </w:tr>
      <w:tr w14:paraId="5710B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28" w:type="dxa"/>
            <w:vAlign w:val="center"/>
          </w:tcPr>
          <w:p w14:paraId="1DB20A4D">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920" w:type="dxa"/>
            <w:vAlign w:val="center"/>
          </w:tcPr>
          <w:p w14:paraId="3030BE19">
            <w:pPr>
              <w:jc w:val="center"/>
              <w:rPr>
                <w:rFonts w:hint="eastAsia" w:ascii="宋体" w:hAnsi="宋体" w:eastAsia="宋体" w:cs="宋体"/>
                <w:sz w:val="24"/>
                <w:szCs w:val="24"/>
              </w:rPr>
            </w:pPr>
            <w:r>
              <w:rPr>
                <w:rFonts w:hint="eastAsia" w:ascii="宋体" w:hAnsi="宋体" w:eastAsia="宋体" w:cs="宋体"/>
                <w:sz w:val="24"/>
                <w:szCs w:val="24"/>
              </w:rPr>
              <w:t>竞争性磋商纸质响应文件份数</w:t>
            </w:r>
          </w:p>
        </w:tc>
        <w:tc>
          <w:tcPr>
            <w:tcW w:w="6530" w:type="dxa"/>
            <w:vAlign w:val="center"/>
          </w:tcPr>
          <w:p w14:paraId="3FED32BA">
            <w:pPr>
              <w:pStyle w:val="21"/>
              <w:jc w:val="both"/>
              <w:rPr>
                <w:rFonts w:hint="eastAsia" w:ascii="宋体" w:hAnsi="宋体" w:eastAsia="宋体" w:cs="宋体"/>
                <w:sz w:val="24"/>
                <w:szCs w:val="24"/>
              </w:rPr>
            </w:pPr>
            <w:r>
              <w:rPr>
                <w:rFonts w:hint="eastAsia" w:ascii="宋体" w:hAnsi="宋体" w:eastAsia="宋体" w:cs="宋体"/>
                <w:sz w:val="24"/>
                <w:szCs w:val="24"/>
              </w:rPr>
              <w:t>/</w:t>
            </w:r>
          </w:p>
        </w:tc>
      </w:tr>
      <w:tr w14:paraId="3D933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28" w:type="dxa"/>
            <w:vAlign w:val="center"/>
          </w:tcPr>
          <w:p w14:paraId="72E1AD64">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920" w:type="dxa"/>
            <w:vAlign w:val="center"/>
          </w:tcPr>
          <w:p w14:paraId="21EC2511">
            <w:pPr>
              <w:jc w:val="center"/>
              <w:rPr>
                <w:rFonts w:hint="eastAsia" w:ascii="宋体" w:hAnsi="宋体" w:eastAsia="宋体" w:cs="宋体"/>
                <w:sz w:val="24"/>
                <w:szCs w:val="24"/>
              </w:rPr>
            </w:pPr>
            <w:r>
              <w:rPr>
                <w:rFonts w:hint="eastAsia" w:ascii="宋体" w:hAnsi="宋体" w:eastAsia="宋体" w:cs="宋体"/>
                <w:sz w:val="24"/>
                <w:szCs w:val="24"/>
              </w:rPr>
              <w:t>竞争性磋商有效期</w:t>
            </w:r>
          </w:p>
        </w:tc>
        <w:tc>
          <w:tcPr>
            <w:tcW w:w="6530" w:type="dxa"/>
            <w:vAlign w:val="center"/>
          </w:tcPr>
          <w:p w14:paraId="67423B13">
            <w:pPr>
              <w:rPr>
                <w:rFonts w:hint="eastAsia" w:ascii="宋体" w:hAnsi="宋体" w:eastAsia="宋体" w:cs="宋体"/>
                <w:sz w:val="24"/>
                <w:szCs w:val="24"/>
              </w:rPr>
            </w:pPr>
            <w:r>
              <w:rPr>
                <w:rFonts w:hint="eastAsia" w:ascii="宋体" w:hAnsi="宋体" w:eastAsia="宋体" w:cs="宋体"/>
                <w:sz w:val="24"/>
                <w:szCs w:val="24"/>
              </w:rPr>
              <w:t>提交竞争性磋商响应文件截止日起60天。</w:t>
            </w:r>
          </w:p>
        </w:tc>
      </w:tr>
      <w:tr w14:paraId="76C75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28" w:type="dxa"/>
            <w:vAlign w:val="center"/>
          </w:tcPr>
          <w:p w14:paraId="42E60806">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920" w:type="dxa"/>
            <w:vAlign w:val="center"/>
          </w:tcPr>
          <w:p w14:paraId="036E9F29">
            <w:pPr>
              <w:jc w:val="center"/>
              <w:rPr>
                <w:rFonts w:hint="eastAsia" w:ascii="宋体" w:hAnsi="宋体" w:eastAsia="宋体" w:cs="宋体"/>
                <w:sz w:val="24"/>
                <w:szCs w:val="24"/>
              </w:rPr>
            </w:pPr>
            <w:r>
              <w:rPr>
                <w:rFonts w:hint="eastAsia" w:ascii="宋体" w:hAnsi="宋体" w:eastAsia="宋体" w:cs="宋体"/>
                <w:sz w:val="24"/>
                <w:szCs w:val="24"/>
              </w:rPr>
              <w:t>签字或盖章要求</w:t>
            </w:r>
          </w:p>
        </w:tc>
        <w:tc>
          <w:tcPr>
            <w:tcW w:w="6530" w:type="dxa"/>
            <w:vAlign w:val="center"/>
          </w:tcPr>
          <w:p w14:paraId="59F7E3B5">
            <w:pPr>
              <w:rPr>
                <w:rFonts w:hint="eastAsia" w:ascii="宋体" w:hAnsi="宋体" w:eastAsia="宋体" w:cs="宋体"/>
                <w:sz w:val="24"/>
                <w:szCs w:val="24"/>
              </w:rPr>
            </w:pPr>
            <w:r>
              <w:rPr>
                <w:rFonts w:hint="eastAsia" w:ascii="宋体" w:hAnsi="宋体" w:eastAsia="宋体" w:cs="宋体"/>
                <w:sz w:val="24"/>
                <w:szCs w:val="24"/>
              </w:rPr>
              <w:t>竞争性磋商响应文件中需签字或盖章的地方均加盖竞争性磋商供应商单位全称的公章，不得使用投标专用章、合同章等类似图章代替，并经法定代表人或其委托代理人签字或盖章，否则作无效标处理。</w:t>
            </w:r>
          </w:p>
        </w:tc>
      </w:tr>
      <w:tr w14:paraId="246BB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28" w:type="dxa"/>
            <w:vAlign w:val="center"/>
          </w:tcPr>
          <w:p w14:paraId="1C829A01">
            <w:pPr>
              <w:jc w:val="center"/>
              <w:rPr>
                <w:rFonts w:hint="eastAsia" w:ascii="宋体" w:hAnsi="宋体" w:eastAsia="宋体" w:cs="宋体"/>
                <w:sz w:val="24"/>
                <w:szCs w:val="24"/>
              </w:rPr>
            </w:pPr>
            <w:r>
              <w:rPr>
                <w:rFonts w:hint="eastAsia" w:ascii="宋体" w:hAnsi="宋体" w:eastAsia="宋体" w:cs="宋体"/>
                <w:sz w:val="24"/>
                <w:szCs w:val="24"/>
              </w:rPr>
              <w:t>16</w:t>
            </w:r>
          </w:p>
        </w:tc>
        <w:tc>
          <w:tcPr>
            <w:tcW w:w="1920" w:type="dxa"/>
            <w:vAlign w:val="center"/>
          </w:tcPr>
          <w:p w14:paraId="6FA5477A">
            <w:pPr>
              <w:jc w:val="center"/>
              <w:rPr>
                <w:rFonts w:hint="eastAsia" w:ascii="宋体" w:hAnsi="宋体" w:eastAsia="宋体" w:cs="宋体"/>
                <w:sz w:val="24"/>
                <w:szCs w:val="24"/>
              </w:rPr>
            </w:pPr>
            <w:r>
              <w:rPr>
                <w:rFonts w:hint="eastAsia" w:ascii="宋体" w:hAnsi="宋体" w:eastAsia="宋体" w:cs="宋体"/>
                <w:sz w:val="24"/>
                <w:szCs w:val="24"/>
              </w:rPr>
              <w:t>密封、装订要求</w:t>
            </w:r>
          </w:p>
        </w:tc>
        <w:tc>
          <w:tcPr>
            <w:tcW w:w="6530" w:type="dxa"/>
            <w:vAlign w:val="center"/>
          </w:tcPr>
          <w:p w14:paraId="7830EDF4">
            <w:pPr>
              <w:rPr>
                <w:rFonts w:hint="eastAsia" w:ascii="宋体" w:hAnsi="宋体" w:eastAsia="宋体" w:cs="宋体"/>
                <w:sz w:val="24"/>
                <w:szCs w:val="24"/>
              </w:rPr>
            </w:pPr>
            <w:r>
              <w:rPr>
                <w:rFonts w:hint="eastAsia" w:ascii="宋体" w:hAnsi="宋体" w:eastAsia="宋体" w:cs="宋体"/>
                <w:sz w:val="24"/>
                <w:szCs w:val="24"/>
              </w:rPr>
              <w:t>/</w:t>
            </w:r>
          </w:p>
        </w:tc>
      </w:tr>
      <w:tr w14:paraId="3F1E2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1" w:hRule="atLeast"/>
          <w:jc w:val="center"/>
        </w:trPr>
        <w:tc>
          <w:tcPr>
            <w:tcW w:w="828" w:type="dxa"/>
            <w:vAlign w:val="center"/>
          </w:tcPr>
          <w:p w14:paraId="76BFE52E">
            <w:pPr>
              <w:jc w:val="center"/>
              <w:rPr>
                <w:rFonts w:hint="eastAsia" w:ascii="宋体" w:hAnsi="宋体" w:eastAsia="宋体" w:cs="宋体"/>
                <w:sz w:val="24"/>
                <w:szCs w:val="24"/>
              </w:rPr>
            </w:pPr>
            <w:r>
              <w:rPr>
                <w:rFonts w:hint="eastAsia" w:ascii="宋体" w:hAnsi="宋体" w:eastAsia="宋体" w:cs="宋体"/>
                <w:sz w:val="24"/>
                <w:szCs w:val="24"/>
              </w:rPr>
              <w:t>17</w:t>
            </w:r>
          </w:p>
        </w:tc>
        <w:tc>
          <w:tcPr>
            <w:tcW w:w="1920" w:type="dxa"/>
            <w:vAlign w:val="center"/>
          </w:tcPr>
          <w:p w14:paraId="0EB84E46">
            <w:pPr>
              <w:jc w:val="center"/>
              <w:rPr>
                <w:rFonts w:hint="eastAsia" w:ascii="宋体" w:hAnsi="宋体" w:eastAsia="宋体" w:cs="宋体"/>
                <w:sz w:val="24"/>
                <w:szCs w:val="24"/>
              </w:rPr>
            </w:pPr>
            <w:r>
              <w:rPr>
                <w:rFonts w:hint="eastAsia" w:ascii="宋体" w:hAnsi="宋体" w:eastAsia="宋体" w:cs="宋体"/>
                <w:sz w:val="24"/>
                <w:szCs w:val="24"/>
              </w:rPr>
              <w:t>竞争性磋商样品</w:t>
            </w:r>
          </w:p>
        </w:tc>
        <w:tc>
          <w:tcPr>
            <w:tcW w:w="6530" w:type="dxa"/>
            <w:vAlign w:val="center"/>
          </w:tcPr>
          <w:p w14:paraId="7E6A48B0">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sz w:val="24"/>
                <w:szCs w:val="24"/>
              </w:rPr>
              <w:fldChar w:fldCharType="end"/>
            </w:r>
            <w:r>
              <w:rPr>
                <w:rFonts w:hint="eastAsia" w:ascii="宋体" w:hAnsi="宋体" w:eastAsia="宋体" w:cs="宋体"/>
                <w:sz w:val="24"/>
                <w:szCs w:val="24"/>
              </w:rPr>
              <w:t>不需要</w:t>
            </w:r>
          </w:p>
          <w:p w14:paraId="7D9FC2E5">
            <w:pPr>
              <w:rPr>
                <w:rFonts w:hint="eastAsia" w:ascii="宋体" w:hAnsi="宋体" w:eastAsia="宋体" w:cs="宋体"/>
                <w:sz w:val="24"/>
                <w:szCs w:val="24"/>
              </w:rPr>
            </w:pPr>
            <w:r>
              <w:rPr>
                <w:rFonts w:hint="eastAsia" w:ascii="宋体" w:hAnsi="宋体" w:eastAsia="宋体" w:cs="宋体"/>
                <w:sz w:val="24"/>
                <w:szCs w:val="24"/>
              </w:rPr>
              <w:t>□需要</w:t>
            </w:r>
          </w:p>
        </w:tc>
      </w:tr>
      <w:tr w14:paraId="5E734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3" w:hRule="atLeast"/>
          <w:jc w:val="center"/>
        </w:trPr>
        <w:tc>
          <w:tcPr>
            <w:tcW w:w="828" w:type="dxa"/>
            <w:vAlign w:val="center"/>
          </w:tcPr>
          <w:p w14:paraId="6112E856">
            <w:pPr>
              <w:jc w:val="center"/>
              <w:rPr>
                <w:rFonts w:hint="eastAsia" w:ascii="宋体" w:hAnsi="宋体" w:eastAsia="宋体" w:cs="宋体"/>
                <w:sz w:val="24"/>
                <w:szCs w:val="24"/>
              </w:rPr>
            </w:pPr>
            <w:r>
              <w:rPr>
                <w:rFonts w:hint="eastAsia" w:ascii="宋体" w:hAnsi="宋体" w:eastAsia="宋体" w:cs="宋体"/>
                <w:sz w:val="24"/>
                <w:szCs w:val="24"/>
              </w:rPr>
              <w:t>18</w:t>
            </w:r>
          </w:p>
        </w:tc>
        <w:tc>
          <w:tcPr>
            <w:tcW w:w="1920" w:type="dxa"/>
            <w:vAlign w:val="center"/>
          </w:tcPr>
          <w:p w14:paraId="1A6AEA13">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530" w:type="dxa"/>
            <w:vAlign w:val="center"/>
          </w:tcPr>
          <w:p w14:paraId="5313FE87">
            <w:pPr>
              <w:rPr>
                <w:rFonts w:hint="eastAsia" w:ascii="宋体" w:hAnsi="宋体" w:eastAsia="宋体" w:cs="宋体"/>
                <w:sz w:val="24"/>
                <w:szCs w:val="24"/>
              </w:rPr>
            </w:pPr>
            <w:r>
              <w:rPr>
                <w:rFonts w:hint="eastAsia" w:ascii="宋体" w:hAnsi="宋体" w:eastAsia="宋体" w:cs="宋体"/>
                <w:sz w:val="24"/>
                <w:szCs w:val="24"/>
              </w:rPr>
              <w:t>不设保证金。</w:t>
            </w:r>
          </w:p>
        </w:tc>
      </w:tr>
      <w:tr w14:paraId="33A11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28" w:type="dxa"/>
            <w:vAlign w:val="center"/>
          </w:tcPr>
          <w:p w14:paraId="68150335">
            <w:pPr>
              <w:jc w:val="center"/>
              <w:rPr>
                <w:rFonts w:hint="eastAsia" w:ascii="宋体" w:hAnsi="宋体" w:eastAsia="宋体" w:cs="宋体"/>
                <w:sz w:val="24"/>
                <w:szCs w:val="24"/>
              </w:rPr>
            </w:pPr>
            <w:r>
              <w:rPr>
                <w:rFonts w:hint="eastAsia" w:ascii="宋体" w:hAnsi="宋体" w:eastAsia="宋体" w:cs="宋体"/>
                <w:sz w:val="24"/>
                <w:szCs w:val="24"/>
              </w:rPr>
              <w:t>19</w:t>
            </w:r>
          </w:p>
        </w:tc>
        <w:tc>
          <w:tcPr>
            <w:tcW w:w="1920" w:type="dxa"/>
            <w:vAlign w:val="center"/>
          </w:tcPr>
          <w:p w14:paraId="6925F7D7">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履约担保</w:t>
            </w:r>
          </w:p>
        </w:tc>
        <w:tc>
          <w:tcPr>
            <w:tcW w:w="6530" w:type="dxa"/>
            <w:vAlign w:val="center"/>
          </w:tcPr>
          <w:p w14:paraId="543167E0">
            <w:pPr>
              <w:rPr>
                <w:rFonts w:hint="eastAsia" w:ascii="宋体" w:hAnsi="宋体" w:eastAsia="宋体" w:cs="宋体"/>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eq \o\ac(□)</w:instrText>
            </w:r>
            <w:r>
              <w:rPr>
                <w:rFonts w:hint="eastAsia" w:ascii="宋体" w:hAnsi="宋体" w:eastAsia="宋体" w:cs="宋体"/>
                <w:b/>
                <w:bCs/>
                <w:sz w:val="24"/>
                <w:szCs w:val="24"/>
                <w:highlight w:val="none"/>
              </w:rPr>
              <w:fldChar w:fldCharType="end"/>
            </w:r>
            <w:r>
              <w:rPr>
                <w:rFonts w:hint="eastAsia" w:ascii="宋体" w:hAnsi="宋体" w:eastAsia="宋体" w:cs="宋体"/>
                <w:sz w:val="24"/>
                <w:szCs w:val="24"/>
                <w:highlight w:val="none"/>
              </w:rPr>
              <w:t>不需要</w:t>
            </w:r>
          </w:p>
          <w:p w14:paraId="6640BC57">
            <w:pPr>
              <w:adjustRightInd w:val="0"/>
              <w:rPr>
                <w:rFonts w:hint="eastAsia" w:ascii="宋体" w:hAnsi="宋体" w:eastAsia="宋体" w:cs="宋体"/>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eq \o\ac(□</w:instrText>
            </w:r>
            <w:r>
              <w:rPr>
                <w:rFonts w:hint="eastAsia" w:ascii="宋体" w:hAnsi="宋体" w:cs="宋体"/>
                <w:b/>
                <w:bCs/>
                <w:sz w:val="24"/>
                <w:szCs w:val="24"/>
                <w:highlight w:val="none"/>
                <w:lang w:eastAsia="zh-CN"/>
              </w:rPr>
              <w:instrText xml:space="preserve">,</w:instrText>
            </w:r>
            <w:r>
              <w:rPr>
                <w:rFonts w:hint="eastAsia" w:ascii="宋体" w:hAnsi="宋体" w:cs="宋体"/>
                <w:b/>
                <w:bCs/>
                <w:position w:val="2"/>
                <w:sz w:val="16"/>
                <w:szCs w:val="24"/>
                <w:highlight w:val="none"/>
                <w:lang w:eastAsia="zh-CN"/>
              </w:rPr>
              <w:instrText xml:space="preserve">√</w:instrText>
            </w:r>
            <w:r>
              <w:rPr>
                <w:rFonts w:hint="eastAsia" w:ascii="宋体" w:hAnsi="宋体" w:eastAsia="宋体" w:cs="宋体"/>
                <w:b/>
                <w:bCs/>
                <w:sz w:val="24"/>
                <w:szCs w:val="24"/>
                <w:highlight w:val="none"/>
              </w:rPr>
              <w:instrText xml:space="preserve">)</w:instrText>
            </w:r>
            <w:r>
              <w:rPr>
                <w:rFonts w:hint="eastAsia" w:ascii="宋体" w:hAnsi="宋体" w:eastAsia="宋体" w:cs="宋体"/>
                <w:b/>
                <w:bCs/>
                <w:sz w:val="24"/>
                <w:szCs w:val="24"/>
                <w:highlight w:val="none"/>
              </w:rPr>
              <w:fldChar w:fldCharType="end"/>
            </w:r>
            <w:r>
              <w:rPr>
                <w:rFonts w:hint="eastAsia" w:ascii="宋体" w:hAnsi="宋体" w:eastAsia="宋体" w:cs="宋体"/>
                <w:sz w:val="24"/>
                <w:szCs w:val="24"/>
                <w:highlight w:val="none"/>
              </w:rPr>
              <w:t>需要同采购人缴纳人民币</w:t>
            </w:r>
            <w:r>
              <w:rPr>
                <w:rFonts w:hint="eastAsia" w:ascii="宋体" w:hAnsi="宋体" w:cs="宋体"/>
                <w:b/>
                <w:sz w:val="24"/>
                <w:szCs w:val="24"/>
                <w:highlight w:val="none"/>
                <w:u w:val="single"/>
                <w:lang w:val="en-US" w:eastAsia="zh-CN"/>
              </w:rPr>
              <w:t>合同价的1%</w:t>
            </w:r>
            <w:r>
              <w:rPr>
                <w:rFonts w:hint="eastAsia" w:ascii="宋体" w:hAnsi="宋体" w:eastAsia="宋体" w:cs="宋体"/>
                <w:sz w:val="24"/>
                <w:szCs w:val="24"/>
                <w:highlight w:val="none"/>
              </w:rPr>
              <w:t>的履约保证金（现金或银行保函），在项目服务期满后</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个工作日内无息退还。</w:t>
            </w:r>
          </w:p>
        </w:tc>
      </w:tr>
      <w:tr w14:paraId="5500B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828" w:type="dxa"/>
            <w:vAlign w:val="center"/>
          </w:tcPr>
          <w:p w14:paraId="7D1AFB68">
            <w:pPr>
              <w:jc w:val="center"/>
              <w:rPr>
                <w:rFonts w:hint="eastAsia" w:ascii="宋体" w:hAnsi="宋体" w:eastAsia="宋体" w:cs="宋体"/>
                <w:sz w:val="24"/>
                <w:szCs w:val="24"/>
              </w:rPr>
            </w:pPr>
            <w:r>
              <w:rPr>
                <w:rFonts w:hint="eastAsia" w:ascii="宋体" w:hAnsi="宋体" w:eastAsia="宋体" w:cs="宋体"/>
                <w:sz w:val="24"/>
                <w:szCs w:val="24"/>
              </w:rPr>
              <w:t>20</w:t>
            </w:r>
          </w:p>
        </w:tc>
        <w:tc>
          <w:tcPr>
            <w:tcW w:w="1920" w:type="dxa"/>
            <w:vAlign w:val="center"/>
          </w:tcPr>
          <w:p w14:paraId="02D02388">
            <w:pPr>
              <w:jc w:val="center"/>
              <w:rPr>
                <w:rFonts w:hint="eastAsia" w:ascii="宋体" w:hAnsi="宋体" w:eastAsia="宋体" w:cs="宋体"/>
                <w:sz w:val="24"/>
                <w:szCs w:val="24"/>
              </w:rPr>
            </w:pPr>
            <w:r>
              <w:rPr>
                <w:rFonts w:hint="eastAsia" w:ascii="宋体" w:hAnsi="宋体" w:eastAsia="宋体" w:cs="宋体"/>
                <w:sz w:val="24"/>
                <w:szCs w:val="24"/>
              </w:rPr>
              <w:t>竞争性磋商报名时间及获取方式</w:t>
            </w:r>
          </w:p>
        </w:tc>
        <w:tc>
          <w:tcPr>
            <w:tcW w:w="6530" w:type="dxa"/>
            <w:vAlign w:val="center"/>
          </w:tcPr>
          <w:p w14:paraId="6A9EF315">
            <w:pPr>
              <w:rPr>
                <w:rFonts w:hint="eastAsia" w:ascii="宋体" w:hAnsi="宋体" w:eastAsia="宋体" w:cs="宋体"/>
                <w:sz w:val="24"/>
                <w:szCs w:val="24"/>
              </w:rPr>
            </w:pPr>
            <w:r>
              <w:rPr>
                <w:rFonts w:hint="eastAsia" w:ascii="宋体" w:hAnsi="宋体" w:eastAsia="宋体" w:cs="宋体"/>
                <w:sz w:val="24"/>
                <w:szCs w:val="24"/>
              </w:rPr>
              <w:t>竞争性磋商报名时间：磋商公告发布之日起至投标截止时间；</w:t>
            </w:r>
          </w:p>
          <w:p w14:paraId="13E6C2ED">
            <w:pPr>
              <w:rPr>
                <w:rFonts w:hint="eastAsia" w:ascii="宋体" w:hAnsi="宋体" w:eastAsia="宋体" w:cs="宋体"/>
                <w:sz w:val="24"/>
                <w:szCs w:val="24"/>
              </w:rPr>
            </w:pPr>
            <w:r>
              <w:rPr>
                <w:rFonts w:hint="eastAsia" w:ascii="宋体" w:hAnsi="宋体" w:eastAsia="宋体" w:cs="宋体"/>
                <w:sz w:val="24"/>
                <w:szCs w:val="24"/>
              </w:rPr>
              <w:t>获取方式：在线下载获取。</w:t>
            </w:r>
          </w:p>
        </w:tc>
      </w:tr>
      <w:tr w14:paraId="77A4A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28" w:type="dxa"/>
            <w:vAlign w:val="center"/>
          </w:tcPr>
          <w:p w14:paraId="09CB3271">
            <w:pPr>
              <w:jc w:val="center"/>
              <w:rPr>
                <w:rFonts w:hint="eastAsia" w:ascii="宋体" w:hAnsi="宋体" w:eastAsia="宋体" w:cs="宋体"/>
                <w:sz w:val="24"/>
                <w:szCs w:val="24"/>
              </w:rPr>
            </w:pPr>
            <w:r>
              <w:rPr>
                <w:rFonts w:hint="eastAsia" w:ascii="宋体" w:hAnsi="宋体" w:eastAsia="宋体" w:cs="宋体"/>
                <w:sz w:val="24"/>
                <w:szCs w:val="24"/>
              </w:rPr>
              <w:t>21</w:t>
            </w:r>
          </w:p>
        </w:tc>
        <w:tc>
          <w:tcPr>
            <w:tcW w:w="1920" w:type="dxa"/>
            <w:vAlign w:val="center"/>
          </w:tcPr>
          <w:p w14:paraId="44B7CF6E">
            <w:pPr>
              <w:spacing w:line="276" w:lineRule="auto"/>
              <w:jc w:val="center"/>
              <w:rPr>
                <w:rFonts w:hint="eastAsia" w:ascii="宋体" w:hAnsi="宋体" w:eastAsia="宋体" w:cs="宋体"/>
                <w:sz w:val="24"/>
                <w:szCs w:val="24"/>
              </w:rPr>
            </w:pPr>
            <w:r>
              <w:rPr>
                <w:rFonts w:hint="eastAsia" w:ascii="宋体" w:hAnsi="宋体" w:eastAsia="宋体" w:cs="宋体"/>
                <w:sz w:val="24"/>
                <w:szCs w:val="24"/>
              </w:rPr>
              <w:t>竞争性磋商响应文件递交方式及截止时间</w:t>
            </w:r>
          </w:p>
        </w:tc>
        <w:tc>
          <w:tcPr>
            <w:tcW w:w="6530" w:type="dxa"/>
            <w:vAlign w:val="center"/>
          </w:tcPr>
          <w:p w14:paraId="55D88C09">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竞争性磋商响应文件递交方式：</w:t>
            </w:r>
            <w:r>
              <w:rPr>
                <w:rFonts w:hint="eastAsia" w:ascii="宋体" w:hAnsi="宋体" w:eastAsia="宋体" w:cs="宋体"/>
                <w:color w:val="auto"/>
                <w:sz w:val="24"/>
                <w:szCs w:val="24"/>
                <w:u w:val="single"/>
              </w:rPr>
              <w:t>通过“政府采购云平台”实行在线投标响应</w:t>
            </w:r>
            <w:r>
              <w:rPr>
                <w:rFonts w:hint="eastAsia" w:ascii="宋体" w:hAnsi="宋体" w:eastAsia="宋体" w:cs="宋体"/>
                <w:color w:val="auto"/>
                <w:sz w:val="24"/>
                <w:szCs w:val="24"/>
              </w:rPr>
              <w:t>。截止上传时间：</w:t>
            </w: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eastAsia="zh-CN"/>
              </w:rPr>
              <w:t>06</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rPr>
              <w:t xml:space="preserve">日 </w:t>
            </w:r>
            <w:r>
              <w:rPr>
                <w:rFonts w:hint="eastAsia" w:ascii="宋体" w:hAnsi="宋体" w:eastAsia="宋体" w:cs="宋体"/>
                <w:i w:val="0"/>
                <w:iCs w:val="0"/>
                <w:caps w:val="0"/>
                <w:color w:val="000000"/>
                <w:spacing w:val="0"/>
                <w:sz w:val="24"/>
                <w:szCs w:val="24"/>
                <w:lang w:val="en-US" w:eastAsia="zh-CN"/>
              </w:rPr>
              <w:t>08</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30</w:t>
            </w:r>
            <w:r>
              <w:rPr>
                <w:rFonts w:hint="eastAsia" w:ascii="宋体" w:hAnsi="宋体" w:eastAsia="宋体" w:cs="宋体"/>
                <w:color w:val="auto"/>
                <w:kern w:val="0"/>
                <w:sz w:val="24"/>
                <w:szCs w:val="24"/>
                <w:lang w:val="en-US" w:eastAsia="zh-CN" w:bidi="ar-SA"/>
              </w:rPr>
              <w:t>（北京时间）</w:t>
            </w:r>
          </w:p>
          <w:p w14:paraId="13BCDFA2">
            <w:pPr>
              <w:rPr>
                <w:rFonts w:hint="eastAsia" w:ascii="宋体" w:hAnsi="宋体" w:eastAsia="宋体" w:cs="宋体"/>
                <w:color w:val="auto"/>
                <w:sz w:val="24"/>
                <w:szCs w:val="24"/>
              </w:rPr>
            </w:pPr>
            <w:r>
              <w:rPr>
                <w:rFonts w:hint="eastAsia" w:ascii="宋体" w:hAnsi="宋体" w:eastAsia="宋体" w:cs="宋体"/>
                <w:color w:val="auto"/>
                <w:sz w:val="24"/>
                <w:szCs w:val="24"/>
              </w:rPr>
              <w:t>“电子加密投标文件”的上传、递交：</w:t>
            </w:r>
          </w:p>
          <w:p w14:paraId="0F7C91D7">
            <w:pPr>
              <w:rPr>
                <w:rFonts w:hint="eastAsia" w:ascii="宋体" w:hAnsi="宋体" w:eastAsia="宋体" w:cs="宋体"/>
                <w:color w:val="auto"/>
                <w:sz w:val="24"/>
                <w:szCs w:val="24"/>
              </w:rPr>
            </w:pPr>
            <w:r>
              <w:rPr>
                <w:rFonts w:hint="eastAsia" w:ascii="宋体" w:hAnsi="宋体" w:eastAsia="宋体" w:cs="宋体"/>
                <w:color w:val="auto"/>
                <w:sz w:val="24"/>
                <w:szCs w:val="24"/>
              </w:rPr>
              <w:t>（1）投标供应商应在投标截止时间前将“电子加密投标文件”成功上传递交至</w:t>
            </w:r>
            <w:bookmarkStart w:id="50" w:name="_GoBack"/>
            <w:bookmarkEnd w:id="50"/>
            <w:r>
              <w:rPr>
                <w:rFonts w:hint="eastAsia" w:ascii="宋体" w:hAnsi="宋体" w:eastAsia="宋体" w:cs="宋体"/>
                <w:color w:val="auto"/>
                <w:sz w:val="24"/>
                <w:szCs w:val="24"/>
              </w:rPr>
              <w:t>“政府采购云平台”，否则投标无效。</w:t>
            </w:r>
          </w:p>
          <w:p w14:paraId="0E86C662">
            <w:pPr>
              <w:rPr>
                <w:rFonts w:hint="eastAsia" w:ascii="宋体" w:hAnsi="宋体" w:eastAsia="宋体" w:cs="宋体"/>
                <w:b/>
                <w:color w:val="auto"/>
                <w:sz w:val="24"/>
                <w:szCs w:val="24"/>
              </w:rPr>
            </w:pPr>
            <w:r>
              <w:rPr>
                <w:rFonts w:hint="eastAsia" w:ascii="宋体" w:hAnsi="宋体" w:eastAsia="宋体" w:cs="宋体"/>
                <w:color w:val="auto"/>
                <w:sz w:val="24"/>
                <w:szCs w:val="24"/>
              </w:rPr>
              <w:t>（2）“电子加密投标文件”成功上传递交后，供应商可自行打印投标文件接收回执。</w:t>
            </w:r>
          </w:p>
        </w:tc>
      </w:tr>
      <w:tr w14:paraId="3789F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28" w:type="dxa"/>
            <w:vAlign w:val="center"/>
          </w:tcPr>
          <w:p w14:paraId="29C2F5D9">
            <w:pPr>
              <w:jc w:val="center"/>
              <w:rPr>
                <w:rFonts w:hint="eastAsia" w:ascii="宋体" w:hAnsi="宋体" w:eastAsia="宋体" w:cs="宋体"/>
                <w:sz w:val="24"/>
                <w:szCs w:val="24"/>
              </w:rPr>
            </w:pPr>
            <w:r>
              <w:rPr>
                <w:rFonts w:hint="eastAsia" w:ascii="宋体" w:hAnsi="宋体" w:eastAsia="宋体" w:cs="宋体"/>
                <w:sz w:val="24"/>
                <w:szCs w:val="24"/>
              </w:rPr>
              <w:t>22</w:t>
            </w:r>
          </w:p>
        </w:tc>
        <w:tc>
          <w:tcPr>
            <w:tcW w:w="1920" w:type="dxa"/>
            <w:vAlign w:val="center"/>
          </w:tcPr>
          <w:p w14:paraId="4957109B">
            <w:pPr>
              <w:jc w:val="center"/>
              <w:rPr>
                <w:rFonts w:hint="eastAsia" w:ascii="宋体" w:hAnsi="宋体" w:eastAsia="宋体" w:cs="宋体"/>
                <w:sz w:val="24"/>
                <w:szCs w:val="24"/>
              </w:rPr>
            </w:pPr>
            <w:r>
              <w:rPr>
                <w:rFonts w:hint="eastAsia" w:ascii="宋体" w:hAnsi="宋体" w:eastAsia="宋体" w:cs="宋体"/>
                <w:sz w:val="24"/>
                <w:szCs w:val="24"/>
              </w:rPr>
              <w:t>竞争性磋商开始时间</w:t>
            </w:r>
            <w:r>
              <w:rPr>
                <w:rFonts w:hint="eastAsia" w:ascii="宋体" w:hAnsi="宋体" w:eastAsia="宋体" w:cs="宋体"/>
                <w:sz w:val="24"/>
                <w:szCs w:val="24"/>
                <w:lang w:eastAsia="zh-CN"/>
              </w:rPr>
              <w:t>和</w:t>
            </w:r>
            <w:r>
              <w:rPr>
                <w:rFonts w:hint="eastAsia" w:ascii="宋体" w:hAnsi="宋体" w:eastAsia="宋体" w:cs="宋体"/>
                <w:sz w:val="24"/>
                <w:szCs w:val="24"/>
              </w:rPr>
              <w:t>地点</w:t>
            </w:r>
          </w:p>
        </w:tc>
        <w:tc>
          <w:tcPr>
            <w:tcW w:w="6530" w:type="dxa"/>
            <w:vAlign w:val="center"/>
          </w:tcPr>
          <w:p w14:paraId="422F7BEC">
            <w:pPr>
              <w:rPr>
                <w:rFonts w:hint="eastAsia" w:ascii="宋体" w:hAnsi="宋体" w:eastAsia="宋体" w:cs="宋体"/>
                <w:color w:val="auto"/>
                <w:sz w:val="24"/>
                <w:szCs w:val="24"/>
              </w:rPr>
            </w:pPr>
            <w:r>
              <w:rPr>
                <w:rFonts w:hint="eastAsia" w:ascii="宋体" w:hAnsi="宋体" w:eastAsia="宋体" w:cs="宋体"/>
                <w:color w:val="auto"/>
                <w:sz w:val="24"/>
                <w:szCs w:val="24"/>
              </w:rPr>
              <w:t>竞争性磋商开始时间：</w:t>
            </w:r>
            <w:r>
              <w:rPr>
                <w:rFonts w:hint="eastAsia" w:ascii="宋体" w:hAnsi="宋体" w:cs="宋体"/>
                <w:color w:val="auto"/>
                <w:kern w:val="0"/>
                <w:sz w:val="24"/>
                <w:szCs w:val="24"/>
                <w:lang w:val="en-US" w:eastAsia="zh-CN" w:bidi="ar-SA"/>
              </w:rPr>
              <w:t>同</w:t>
            </w:r>
            <w:r>
              <w:rPr>
                <w:rFonts w:hint="eastAsia" w:ascii="宋体" w:hAnsi="宋体" w:eastAsia="宋体" w:cs="宋体"/>
                <w:sz w:val="24"/>
                <w:szCs w:val="24"/>
              </w:rPr>
              <w:t>响应文件递交截止时间</w:t>
            </w:r>
          </w:p>
          <w:p w14:paraId="3CB7B45F">
            <w:pPr>
              <w:rPr>
                <w:rFonts w:hint="eastAsia" w:ascii="宋体" w:hAnsi="宋体" w:eastAsia="宋体" w:cs="宋体"/>
                <w:color w:val="auto"/>
                <w:sz w:val="24"/>
                <w:szCs w:val="24"/>
              </w:rPr>
            </w:pPr>
            <w:r>
              <w:rPr>
                <w:rFonts w:hint="eastAsia" w:ascii="宋体" w:hAnsi="宋体" w:eastAsia="宋体" w:cs="宋体"/>
                <w:color w:val="auto"/>
                <w:sz w:val="24"/>
                <w:szCs w:val="24"/>
              </w:rPr>
              <w:t>竞争性磋商地点：</w:t>
            </w:r>
            <w:r>
              <w:rPr>
                <w:rFonts w:hint="eastAsia" w:ascii="宋体" w:hAnsi="宋体" w:eastAsia="宋体" w:cs="宋体"/>
                <w:color w:val="auto"/>
                <w:sz w:val="24"/>
                <w:szCs w:val="24"/>
                <w:lang w:eastAsia="zh-CN"/>
              </w:rPr>
              <w:t>嘉兴鼎晟工程管理有限公司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海盐县武原街道新桥南路</w:t>
            </w:r>
            <w:r>
              <w:rPr>
                <w:rFonts w:hint="eastAsia" w:ascii="宋体" w:hAnsi="宋体" w:eastAsia="宋体" w:cs="宋体"/>
                <w:color w:val="auto"/>
                <w:sz w:val="24"/>
                <w:szCs w:val="24"/>
                <w:lang w:val="en-US" w:eastAsia="zh-CN"/>
              </w:rPr>
              <w:t>41号402</w:t>
            </w:r>
            <w:r>
              <w:rPr>
                <w:rFonts w:hint="eastAsia" w:ascii="宋体" w:hAnsi="宋体" w:eastAsia="宋体" w:cs="宋体"/>
                <w:color w:val="auto"/>
                <w:sz w:val="24"/>
                <w:szCs w:val="24"/>
              </w:rPr>
              <w:t>）</w:t>
            </w:r>
          </w:p>
        </w:tc>
      </w:tr>
      <w:tr w14:paraId="41673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828" w:type="dxa"/>
            <w:vAlign w:val="center"/>
          </w:tcPr>
          <w:p w14:paraId="0062214A">
            <w:pPr>
              <w:jc w:val="center"/>
              <w:rPr>
                <w:rFonts w:hint="eastAsia" w:ascii="宋体" w:hAnsi="宋体" w:eastAsia="宋体" w:cs="宋体"/>
                <w:sz w:val="24"/>
                <w:szCs w:val="24"/>
              </w:rPr>
            </w:pPr>
            <w:r>
              <w:rPr>
                <w:rFonts w:hint="eastAsia" w:ascii="宋体" w:hAnsi="宋体" w:eastAsia="宋体" w:cs="宋体"/>
                <w:sz w:val="24"/>
                <w:szCs w:val="24"/>
              </w:rPr>
              <w:t>23</w:t>
            </w:r>
          </w:p>
        </w:tc>
        <w:tc>
          <w:tcPr>
            <w:tcW w:w="1920" w:type="dxa"/>
            <w:vAlign w:val="center"/>
          </w:tcPr>
          <w:p w14:paraId="63265ECB">
            <w:pPr>
              <w:jc w:val="center"/>
              <w:rPr>
                <w:rFonts w:hint="eastAsia" w:ascii="宋体" w:hAnsi="宋体" w:eastAsia="宋体" w:cs="宋体"/>
                <w:sz w:val="24"/>
                <w:szCs w:val="24"/>
              </w:rPr>
            </w:pPr>
            <w:r>
              <w:rPr>
                <w:rFonts w:hint="eastAsia" w:ascii="宋体" w:hAnsi="宋体" w:eastAsia="宋体" w:cs="宋体"/>
                <w:sz w:val="24"/>
                <w:szCs w:val="24"/>
              </w:rPr>
              <w:t>竞争性磋商</w:t>
            </w:r>
          </w:p>
          <w:p w14:paraId="7DAAF242">
            <w:pPr>
              <w:jc w:val="center"/>
              <w:rPr>
                <w:rFonts w:hint="eastAsia" w:ascii="宋体" w:hAnsi="宋体" w:eastAsia="宋体" w:cs="宋体"/>
                <w:sz w:val="24"/>
                <w:szCs w:val="24"/>
              </w:rPr>
            </w:pPr>
            <w:r>
              <w:rPr>
                <w:rFonts w:hint="eastAsia" w:ascii="宋体" w:hAnsi="宋体" w:eastAsia="宋体" w:cs="宋体"/>
                <w:sz w:val="24"/>
                <w:szCs w:val="24"/>
              </w:rPr>
              <w:t>开标程序</w:t>
            </w:r>
          </w:p>
        </w:tc>
        <w:tc>
          <w:tcPr>
            <w:tcW w:w="6530" w:type="dxa"/>
            <w:vAlign w:val="center"/>
          </w:tcPr>
          <w:p w14:paraId="0930802E">
            <w:pPr>
              <w:rPr>
                <w:rFonts w:hint="eastAsia" w:ascii="宋体" w:hAnsi="宋体" w:eastAsia="宋体" w:cs="宋体"/>
                <w:sz w:val="24"/>
                <w:szCs w:val="24"/>
              </w:rPr>
            </w:pPr>
            <w:r>
              <w:rPr>
                <w:rFonts w:hint="eastAsia" w:ascii="宋体" w:hAnsi="宋体" w:eastAsia="宋体" w:cs="宋体"/>
                <w:sz w:val="24"/>
                <w:szCs w:val="24"/>
              </w:rPr>
              <w:t>（1）开标后，采购组织机构将向各投标供应商发出“电子加密投标文件”的解密通知，各投标供应商代表应当在接到解密通知后30分钟内自行完成“电子加密投标文件”的在线解密。</w:t>
            </w:r>
          </w:p>
          <w:p w14:paraId="024175B1">
            <w:pPr>
              <w:rPr>
                <w:rFonts w:hint="eastAsia" w:ascii="宋体" w:hAnsi="宋体" w:eastAsia="宋体" w:cs="宋体"/>
                <w:sz w:val="24"/>
                <w:szCs w:val="24"/>
              </w:rPr>
            </w:pPr>
            <w:r>
              <w:rPr>
                <w:rFonts w:hint="eastAsia" w:ascii="宋体" w:hAnsi="宋体" w:eastAsia="宋体" w:cs="宋体"/>
                <w:sz w:val="24"/>
                <w:szCs w:val="24"/>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14:paraId="7801D365">
            <w:pPr>
              <w:rPr>
                <w:rFonts w:hint="eastAsia" w:ascii="宋体" w:hAnsi="宋体" w:eastAsia="宋体" w:cs="宋体"/>
                <w:sz w:val="24"/>
                <w:szCs w:val="24"/>
              </w:rPr>
            </w:pPr>
            <w:r>
              <w:rPr>
                <w:rFonts w:hint="eastAsia" w:ascii="宋体" w:hAnsi="宋体" w:eastAsia="宋体" w:cs="宋体"/>
                <w:sz w:val="24"/>
                <w:szCs w:val="24"/>
              </w:rPr>
              <w:t>（3）投标截止时间前，投标供应商仅递交了“备份投标文件”而未将电子加密投标文件上传至“政府采购云平台”的，投标无效。</w:t>
            </w:r>
          </w:p>
          <w:p w14:paraId="6C41C8F8">
            <w:pPr>
              <w:rPr>
                <w:rFonts w:hint="eastAsia" w:ascii="宋体" w:hAnsi="宋体" w:eastAsia="宋体" w:cs="宋体"/>
                <w:sz w:val="24"/>
                <w:szCs w:val="24"/>
              </w:rPr>
            </w:pPr>
            <w:r>
              <w:rPr>
                <w:rFonts w:hint="eastAsia" w:ascii="宋体" w:hAnsi="宋体" w:eastAsia="宋体" w:cs="宋体"/>
                <w:sz w:val="24"/>
                <w:szCs w:val="24"/>
              </w:rPr>
              <w:t>（4）投标截止时间前，投标供应商未递交“备份投标文件”而将电子加密投标文件上传至“政府采购云平台”并成功解密的，投标有效。</w:t>
            </w:r>
          </w:p>
        </w:tc>
      </w:tr>
      <w:tr w14:paraId="44563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28" w:type="dxa"/>
            <w:vAlign w:val="center"/>
          </w:tcPr>
          <w:p w14:paraId="7D3DCE9D">
            <w:pPr>
              <w:jc w:val="center"/>
              <w:rPr>
                <w:rFonts w:hint="eastAsia" w:ascii="宋体" w:hAnsi="宋体" w:eastAsia="宋体" w:cs="宋体"/>
                <w:sz w:val="24"/>
                <w:szCs w:val="24"/>
              </w:rPr>
            </w:pPr>
            <w:r>
              <w:rPr>
                <w:rFonts w:hint="eastAsia" w:ascii="宋体" w:hAnsi="宋体" w:eastAsia="宋体" w:cs="宋体"/>
                <w:sz w:val="24"/>
                <w:szCs w:val="24"/>
              </w:rPr>
              <w:t>24</w:t>
            </w:r>
          </w:p>
        </w:tc>
        <w:tc>
          <w:tcPr>
            <w:tcW w:w="1920" w:type="dxa"/>
            <w:vAlign w:val="center"/>
          </w:tcPr>
          <w:p w14:paraId="082A0D16">
            <w:pPr>
              <w:jc w:val="center"/>
              <w:rPr>
                <w:rFonts w:hint="eastAsia" w:ascii="宋体" w:hAnsi="宋体" w:eastAsia="宋体" w:cs="宋体"/>
                <w:sz w:val="24"/>
                <w:szCs w:val="24"/>
              </w:rPr>
            </w:pPr>
            <w:r>
              <w:rPr>
                <w:rFonts w:hint="eastAsia" w:ascii="宋体" w:hAnsi="宋体" w:eastAsia="宋体" w:cs="宋体"/>
                <w:sz w:val="24"/>
                <w:szCs w:val="24"/>
              </w:rPr>
              <w:t>竞争性磋商小组的组建</w:t>
            </w:r>
          </w:p>
        </w:tc>
        <w:tc>
          <w:tcPr>
            <w:tcW w:w="6530" w:type="dxa"/>
            <w:vAlign w:val="center"/>
          </w:tcPr>
          <w:p w14:paraId="731843AF">
            <w:pPr>
              <w:rPr>
                <w:rFonts w:hint="eastAsia" w:ascii="宋体" w:hAnsi="宋体" w:eastAsia="宋体" w:cs="宋体"/>
                <w:sz w:val="24"/>
                <w:szCs w:val="24"/>
              </w:rPr>
            </w:pPr>
            <w:r>
              <w:rPr>
                <w:rFonts w:hint="eastAsia" w:ascii="宋体" w:hAnsi="宋体" w:eastAsia="宋体" w:cs="宋体"/>
                <w:sz w:val="24"/>
                <w:szCs w:val="24"/>
              </w:rPr>
              <w:t>竞争性磋商小组的构成：由</w:t>
            </w:r>
            <w:r>
              <w:rPr>
                <w:rFonts w:hint="eastAsia" w:ascii="宋体" w:hAnsi="宋体" w:eastAsia="宋体" w:cs="宋体"/>
                <w:sz w:val="24"/>
                <w:szCs w:val="24"/>
                <w:highlight w:val="none"/>
              </w:rPr>
              <w:t>采购人代表1名</w:t>
            </w:r>
            <w:r>
              <w:rPr>
                <w:rFonts w:hint="eastAsia" w:ascii="宋体" w:hAnsi="宋体" w:eastAsia="宋体" w:cs="宋体"/>
                <w:sz w:val="24"/>
                <w:szCs w:val="24"/>
              </w:rPr>
              <w:t>以及有关技术、经济等方面的专家2名，共3人组成；</w:t>
            </w:r>
          </w:p>
          <w:p w14:paraId="532F3D49">
            <w:pPr>
              <w:rPr>
                <w:rFonts w:hint="eastAsia" w:ascii="宋体" w:hAnsi="宋体" w:eastAsia="宋体" w:cs="宋体"/>
                <w:sz w:val="24"/>
                <w:szCs w:val="24"/>
              </w:rPr>
            </w:pPr>
            <w:r>
              <w:rPr>
                <w:rFonts w:hint="eastAsia" w:ascii="宋体" w:hAnsi="宋体" w:eastAsia="宋体" w:cs="宋体"/>
                <w:sz w:val="24"/>
                <w:szCs w:val="24"/>
              </w:rPr>
              <w:t>评审专家确定方式：按相关规定执行。</w:t>
            </w:r>
          </w:p>
        </w:tc>
      </w:tr>
      <w:tr w14:paraId="49C32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828" w:type="dxa"/>
            <w:vAlign w:val="center"/>
          </w:tcPr>
          <w:p w14:paraId="65F3F13C">
            <w:pPr>
              <w:jc w:val="center"/>
              <w:rPr>
                <w:rFonts w:hint="eastAsia" w:ascii="宋体" w:hAnsi="宋体" w:eastAsia="宋体" w:cs="宋体"/>
                <w:sz w:val="24"/>
                <w:szCs w:val="24"/>
              </w:rPr>
            </w:pPr>
            <w:r>
              <w:rPr>
                <w:rFonts w:hint="eastAsia" w:ascii="宋体" w:hAnsi="宋体" w:eastAsia="宋体" w:cs="宋体"/>
                <w:sz w:val="24"/>
                <w:szCs w:val="24"/>
              </w:rPr>
              <w:t>25</w:t>
            </w:r>
          </w:p>
        </w:tc>
        <w:tc>
          <w:tcPr>
            <w:tcW w:w="1920" w:type="dxa"/>
            <w:vAlign w:val="center"/>
          </w:tcPr>
          <w:p w14:paraId="0FD865B1">
            <w:pPr>
              <w:jc w:val="center"/>
              <w:rPr>
                <w:rFonts w:hint="eastAsia" w:ascii="宋体" w:hAnsi="宋体" w:eastAsia="宋体" w:cs="宋体"/>
                <w:sz w:val="24"/>
                <w:szCs w:val="24"/>
              </w:rPr>
            </w:pPr>
            <w:r>
              <w:rPr>
                <w:rFonts w:hint="eastAsia" w:ascii="宋体" w:hAnsi="宋体" w:eastAsia="宋体" w:cs="宋体"/>
                <w:sz w:val="24"/>
                <w:szCs w:val="24"/>
              </w:rPr>
              <w:t>质疑</w:t>
            </w:r>
          </w:p>
        </w:tc>
        <w:tc>
          <w:tcPr>
            <w:tcW w:w="6530" w:type="dxa"/>
            <w:vAlign w:val="center"/>
          </w:tcPr>
          <w:p w14:paraId="46110C12">
            <w:pPr>
              <w:rPr>
                <w:rFonts w:hint="eastAsia" w:ascii="宋体" w:hAnsi="宋体" w:eastAsia="宋体" w:cs="宋体"/>
                <w:sz w:val="24"/>
                <w:szCs w:val="24"/>
              </w:rPr>
            </w:pPr>
            <w:r>
              <w:rPr>
                <w:rFonts w:hint="eastAsia" w:ascii="宋体" w:hAnsi="宋体" w:eastAsia="宋体" w:cs="宋体"/>
                <w:sz w:val="24"/>
                <w:szCs w:val="24"/>
              </w:rPr>
              <w:t>供应商认为磋商文件、磋商过程和成交、成交结果使自己的权益受到损害的，可以在知道或者应知其权益受到损害之日起七个工作日内，以书面形式向采购人、采购代理机构提出质疑。</w:t>
            </w:r>
          </w:p>
          <w:p w14:paraId="3930CFF6">
            <w:pPr>
              <w:rPr>
                <w:rFonts w:hint="eastAsia" w:ascii="宋体" w:hAnsi="宋体" w:eastAsia="宋体" w:cs="宋体"/>
                <w:sz w:val="24"/>
                <w:szCs w:val="24"/>
              </w:rPr>
            </w:pPr>
            <w:r>
              <w:rPr>
                <w:rFonts w:hint="eastAsia" w:ascii="宋体" w:hAnsi="宋体" w:eastAsia="宋体" w:cs="宋体"/>
                <w:sz w:val="24"/>
                <w:szCs w:val="24"/>
              </w:rPr>
              <w:t>（一）对可以质疑的磋商文件提出质疑的，为收到磋商文件之日或者磋商文件公告期限届满之日；</w:t>
            </w:r>
          </w:p>
          <w:p w14:paraId="4E48170E">
            <w:pPr>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14:paraId="7F6CF3AA">
            <w:pPr>
              <w:rPr>
                <w:rFonts w:hint="eastAsia" w:ascii="宋体" w:hAnsi="宋体" w:eastAsia="宋体" w:cs="宋体"/>
                <w:sz w:val="24"/>
                <w:szCs w:val="24"/>
              </w:rPr>
            </w:pPr>
            <w:r>
              <w:rPr>
                <w:rFonts w:hint="eastAsia" w:ascii="宋体" w:hAnsi="宋体" w:eastAsia="宋体" w:cs="宋体"/>
                <w:sz w:val="24"/>
                <w:szCs w:val="24"/>
              </w:rPr>
              <w:t>（三）对成交结果提出质疑的，为成交结果公告期限届满之日。</w:t>
            </w:r>
          </w:p>
        </w:tc>
      </w:tr>
      <w:tr w14:paraId="2CE7A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17" w:hRule="atLeast"/>
          <w:jc w:val="center"/>
        </w:trPr>
        <w:tc>
          <w:tcPr>
            <w:tcW w:w="828" w:type="dxa"/>
            <w:tcBorders>
              <w:top w:val="single" w:color="auto" w:sz="4" w:space="0"/>
              <w:left w:val="single" w:color="auto" w:sz="12" w:space="0"/>
              <w:bottom w:val="single" w:color="auto" w:sz="4" w:space="0"/>
              <w:right w:val="single" w:color="auto" w:sz="4" w:space="0"/>
            </w:tcBorders>
            <w:vAlign w:val="center"/>
          </w:tcPr>
          <w:p w14:paraId="0C1E69E7">
            <w:pPr>
              <w:jc w:val="center"/>
              <w:rPr>
                <w:rFonts w:hint="eastAsia" w:ascii="宋体" w:hAnsi="宋体" w:eastAsia="宋体" w:cs="宋体"/>
                <w:sz w:val="24"/>
                <w:szCs w:val="24"/>
              </w:rPr>
            </w:pPr>
            <w:r>
              <w:rPr>
                <w:rFonts w:hint="eastAsia" w:ascii="宋体" w:hAnsi="宋体" w:eastAsia="宋体" w:cs="宋体"/>
                <w:sz w:val="24"/>
                <w:szCs w:val="24"/>
              </w:rPr>
              <w:t>27</w:t>
            </w:r>
          </w:p>
        </w:tc>
        <w:tc>
          <w:tcPr>
            <w:tcW w:w="1920" w:type="dxa"/>
            <w:tcBorders>
              <w:top w:val="single" w:color="auto" w:sz="4" w:space="0"/>
              <w:left w:val="single" w:color="auto" w:sz="4" w:space="0"/>
              <w:bottom w:val="single" w:color="auto" w:sz="4" w:space="0"/>
              <w:right w:val="single" w:color="auto" w:sz="4" w:space="0"/>
            </w:tcBorders>
            <w:vAlign w:val="center"/>
          </w:tcPr>
          <w:p w14:paraId="67B18145">
            <w:pPr>
              <w:jc w:val="center"/>
              <w:rPr>
                <w:rFonts w:hint="eastAsia" w:ascii="宋体" w:hAnsi="宋体" w:eastAsia="宋体" w:cs="宋体"/>
                <w:sz w:val="24"/>
                <w:szCs w:val="24"/>
              </w:rPr>
            </w:pPr>
            <w:r>
              <w:rPr>
                <w:rFonts w:hint="eastAsia" w:ascii="宋体" w:hAnsi="宋体" w:eastAsia="宋体" w:cs="宋体"/>
                <w:sz w:val="24"/>
                <w:szCs w:val="24"/>
              </w:rPr>
              <w:t>投诉</w:t>
            </w:r>
          </w:p>
        </w:tc>
        <w:tc>
          <w:tcPr>
            <w:tcW w:w="6530" w:type="dxa"/>
            <w:tcBorders>
              <w:top w:val="single" w:color="auto" w:sz="4" w:space="0"/>
              <w:left w:val="single" w:color="auto" w:sz="4" w:space="0"/>
              <w:bottom w:val="single" w:color="auto" w:sz="4" w:space="0"/>
              <w:right w:val="single" w:color="auto" w:sz="12" w:space="0"/>
            </w:tcBorders>
            <w:vAlign w:val="center"/>
          </w:tcPr>
          <w:p w14:paraId="411C78E3">
            <w:pPr>
              <w:rPr>
                <w:rFonts w:hint="eastAsia" w:ascii="宋体" w:hAnsi="宋体" w:eastAsia="宋体" w:cs="宋体"/>
                <w:sz w:val="24"/>
                <w:szCs w:val="24"/>
              </w:rPr>
            </w:pPr>
            <w:r>
              <w:rPr>
                <w:rFonts w:hint="eastAsia" w:ascii="宋体" w:hAnsi="宋体" w:eastAsia="宋体" w:cs="宋体"/>
                <w:sz w:val="24"/>
                <w:szCs w:val="24"/>
              </w:rPr>
              <w:t>质疑供应商对采购人、采购代理机构的答复不满意或者采购人、采购代理机构未在规定的时间内作出答复的，可以在答复期满后十五个工作日内向同级政府采购监督部门投诉。</w:t>
            </w:r>
          </w:p>
        </w:tc>
      </w:tr>
      <w:tr w14:paraId="78EB7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828" w:type="dxa"/>
            <w:tcBorders>
              <w:top w:val="single" w:color="auto" w:sz="4" w:space="0"/>
              <w:left w:val="single" w:color="auto" w:sz="12" w:space="0"/>
              <w:bottom w:val="single" w:color="auto" w:sz="4" w:space="0"/>
              <w:right w:val="single" w:color="auto" w:sz="4" w:space="0"/>
            </w:tcBorders>
            <w:vAlign w:val="center"/>
          </w:tcPr>
          <w:p w14:paraId="524E6A46">
            <w:pPr>
              <w:jc w:val="center"/>
              <w:rPr>
                <w:rFonts w:hint="eastAsia" w:ascii="宋体" w:hAnsi="宋体" w:eastAsia="宋体" w:cs="宋体"/>
                <w:sz w:val="24"/>
                <w:szCs w:val="24"/>
              </w:rPr>
            </w:pPr>
            <w:r>
              <w:rPr>
                <w:rFonts w:hint="eastAsia" w:ascii="宋体" w:hAnsi="宋体" w:eastAsia="宋体" w:cs="宋体"/>
                <w:sz w:val="24"/>
                <w:szCs w:val="24"/>
              </w:rPr>
              <w:t>28</w:t>
            </w:r>
          </w:p>
        </w:tc>
        <w:tc>
          <w:tcPr>
            <w:tcW w:w="1920" w:type="dxa"/>
            <w:tcBorders>
              <w:top w:val="single" w:color="auto" w:sz="4" w:space="0"/>
              <w:left w:val="single" w:color="auto" w:sz="4" w:space="0"/>
              <w:bottom w:val="single" w:color="auto" w:sz="4" w:space="0"/>
              <w:right w:val="single" w:color="auto" w:sz="4" w:space="0"/>
            </w:tcBorders>
            <w:vAlign w:val="center"/>
          </w:tcPr>
          <w:p w14:paraId="2013CDDD">
            <w:pPr>
              <w:jc w:val="center"/>
              <w:rPr>
                <w:rFonts w:hint="eastAsia" w:ascii="宋体" w:hAnsi="宋体" w:eastAsia="宋体" w:cs="宋体"/>
                <w:sz w:val="24"/>
                <w:szCs w:val="24"/>
              </w:rPr>
            </w:pPr>
            <w:r>
              <w:rPr>
                <w:rFonts w:hint="eastAsia" w:ascii="宋体" w:hAnsi="宋体" w:eastAsia="宋体" w:cs="宋体"/>
                <w:sz w:val="24"/>
                <w:szCs w:val="24"/>
              </w:rPr>
              <w:t>注意事项</w:t>
            </w:r>
          </w:p>
        </w:tc>
        <w:tc>
          <w:tcPr>
            <w:tcW w:w="6530" w:type="dxa"/>
            <w:tcBorders>
              <w:top w:val="single" w:color="auto" w:sz="4" w:space="0"/>
              <w:left w:val="single" w:color="auto" w:sz="4" w:space="0"/>
              <w:bottom w:val="single" w:color="auto" w:sz="4" w:space="0"/>
              <w:right w:val="single" w:color="auto" w:sz="12" w:space="0"/>
            </w:tcBorders>
            <w:vAlign w:val="center"/>
          </w:tcPr>
          <w:p w14:paraId="3BB31FC5">
            <w:pPr>
              <w:rPr>
                <w:rFonts w:hint="eastAsia" w:ascii="宋体" w:hAnsi="宋体" w:eastAsia="宋体" w:cs="宋体"/>
                <w:sz w:val="24"/>
                <w:szCs w:val="24"/>
              </w:rPr>
            </w:pPr>
            <w:r>
              <w:rPr>
                <w:rFonts w:hint="eastAsia" w:ascii="宋体" w:hAnsi="宋体" w:eastAsia="宋体" w:cs="宋体"/>
                <w:sz w:val="24"/>
                <w:szCs w:val="24"/>
              </w:rPr>
              <w:t>1.磋商供应商如发现磋商文件及其评审办法中歧视性不公正条款或违法违规等内容时，请于答疑截止日期前同时向采购人、采购代理机构反映，逾期不得再对磋商文件的条款提出质疑。</w:t>
            </w:r>
          </w:p>
          <w:p w14:paraId="07531BA8">
            <w:pPr>
              <w:rPr>
                <w:rFonts w:hint="eastAsia" w:ascii="宋体" w:hAnsi="宋体" w:eastAsia="宋体" w:cs="宋体"/>
                <w:sz w:val="24"/>
                <w:szCs w:val="24"/>
              </w:rPr>
            </w:pPr>
            <w:r>
              <w:rPr>
                <w:rFonts w:hint="eastAsia" w:ascii="宋体" w:hAnsi="宋体" w:eastAsia="宋体" w:cs="宋体"/>
                <w:sz w:val="24"/>
                <w:szCs w:val="24"/>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5532204E">
            <w:pPr>
              <w:rPr>
                <w:rFonts w:hint="eastAsia" w:ascii="宋体" w:hAnsi="宋体" w:eastAsia="宋体" w:cs="宋体"/>
                <w:sz w:val="24"/>
                <w:szCs w:val="24"/>
              </w:rPr>
            </w:pPr>
            <w:r>
              <w:rPr>
                <w:rFonts w:hint="eastAsia" w:ascii="宋体" w:hAnsi="宋体" w:eastAsia="宋体" w:cs="宋体"/>
                <w:sz w:val="24"/>
                <w:szCs w:val="24"/>
              </w:rPr>
              <w:t>3．质疑、投诉人未按前列序号第26条规定进行质疑、投诉（申诉）、举报等，均属于扰乱市场不良行为，直至公示。</w:t>
            </w:r>
          </w:p>
          <w:p w14:paraId="0A93FFEB">
            <w:pPr>
              <w:rPr>
                <w:rFonts w:hint="eastAsia" w:ascii="宋体" w:hAnsi="宋体" w:eastAsia="宋体" w:cs="宋体"/>
                <w:sz w:val="24"/>
                <w:szCs w:val="24"/>
              </w:rPr>
            </w:pPr>
            <w:r>
              <w:rPr>
                <w:rFonts w:hint="eastAsia" w:ascii="宋体" w:hAnsi="宋体" w:eastAsia="宋体" w:cs="宋体"/>
                <w:sz w:val="24"/>
                <w:szCs w:val="24"/>
              </w:rPr>
              <w:t>4.磋商文件中凡标注“▲”的条款均为实质性要求，未响应的响应文件将作无效标处理。</w:t>
            </w:r>
          </w:p>
        </w:tc>
      </w:tr>
      <w:tr w14:paraId="61EDF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828" w:type="dxa"/>
            <w:tcBorders>
              <w:top w:val="single" w:color="auto" w:sz="4" w:space="0"/>
              <w:left w:val="single" w:color="auto" w:sz="12" w:space="0"/>
              <w:bottom w:val="single" w:color="auto" w:sz="4" w:space="0"/>
              <w:right w:val="single" w:color="auto" w:sz="4" w:space="0"/>
            </w:tcBorders>
            <w:vAlign w:val="center"/>
          </w:tcPr>
          <w:p w14:paraId="4E0AAD9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920" w:type="dxa"/>
            <w:tcBorders>
              <w:top w:val="single" w:color="auto" w:sz="4" w:space="0"/>
              <w:left w:val="single" w:color="auto" w:sz="4" w:space="0"/>
              <w:bottom w:val="single" w:color="auto" w:sz="4" w:space="0"/>
              <w:right w:val="single" w:color="auto" w:sz="4" w:space="0"/>
            </w:tcBorders>
            <w:vAlign w:val="center"/>
          </w:tcPr>
          <w:p w14:paraId="685C2688">
            <w:pPr>
              <w:jc w:val="center"/>
              <w:rPr>
                <w:rFonts w:hint="eastAsia" w:ascii="宋体" w:hAnsi="宋体" w:eastAsia="宋体" w:cs="宋体"/>
                <w:sz w:val="24"/>
                <w:szCs w:val="24"/>
              </w:rPr>
            </w:pPr>
            <w:r>
              <w:rPr>
                <w:rFonts w:hint="eastAsia" w:ascii="宋体" w:hAnsi="宋体" w:eastAsia="宋体" w:cs="宋体"/>
                <w:sz w:val="24"/>
                <w:szCs w:val="24"/>
              </w:rPr>
              <w:t>其他</w:t>
            </w:r>
          </w:p>
        </w:tc>
        <w:tc>
          <w:tcPr>
            <w:tcW w:w="6530" w:type="dxa"/>
            <w:tcBorders>
              <w:top w:val="single" w:color="auto" w:sz="4" w:space="0"/>
              <w:left w:val="single" w:color="auto" w:sz="4" w:space="0"/>
              <w:bottom w:val="single" w:color="auto" w:sz="4" w:space="0"/>
              <w:right w:val="single" w:color="auto" w:sz="12" w:space="0"/>
            </w:tcBorders>
            <w:vAlign w:val="center"/>
          </w:tcPr>
          <w:p w14:paraId="5F4F3D46">
            <w:pPr>
              <w:rPr>
                <w:rFonts w:hint="eastAsia" w:ascii="宋体" w:hAnsi="宋体" w:eastAsia="宋体" w:cs="宋体"/>
                <w:sz w:val="24"/>
                <w:szCs w:val="24"/>
              </w:rPr>
            </w:pPr>
            <w:r>
              <w:rPr>
                <w:rFonts w:hint="eastAsia" w:ascii="宋体" w:hAnsi="宋体" w:eastAsia="宋体" w:cs="宋体"/>
                <w:sz w:val="24"/>
                <w:szCs w:val="24"/>
              </w:rPr>
              <w:t>是否允许采购进口产品：否。</w:t>
            </w:r>
          </w:p>
          <w:p w14:paraId="157340B9">
            <w:pPr>
              <w:rPr>
                <w:rFonts w:hint="eastAsia" w:ascii="宋体" w:hAnsi="宋体" w:eastAsia="宋体" w:cs="宋体"/>
                <w:sz w:val="24"/>
                <w:szCs w:val="24"/>
              </w:rPr>
            </w:pPr>
            <w:r>
              <w:rPr>
                <w:rFonts w:hint="eastAsia" w:ascii="宋体" w:hAnsi="宋体" w:eastAsia="宋体" w:cs="宋体"/>
                <w:sz w:val="24"/>
                <w:szCs w:val="24"/>
              </w:rPr>
              <w:t>本项目不适用节能产品条款。</w:t>
            </w:r>
          </w:p>
        </w:tc>
      </w:tr>
      <w:tr w14:paraId="768BE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828" w:type="dxa"/>
            <w:tcBorders>
              <w:top w:val="single" w:color="auto" w:sz="4" w:space="0"/>
              <w:left w:val="single" w:color="auto" w:sz="12" w:space="0"/>
              <w:bottom w:val="single" w:color="auto" w:sz="12" w:space="0"/>
              <w:right w:val="single" w:color="auto" w:sz="4" w:space="0"/>
            </w:tcBorders>
            <w:vAlign w:val="center"/>
          </w:tcPr>
          <w:p w14:paraId="4FEAA85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920" w:type="dxa"/>
            <w:tcBorders>
              <w:top w:val="single" w:color="auto" w:sz="4" w:space="0"/>
              <w:left w:val="single" w:color="auto" w:sz="4" w:space="0"/>
              <w:bottom w:val="single" w:color="auto" w:sz="12" w:space="0"/>
              <w:right w:val="single" w:color="auto" w:sz="4" w:space="0"/>
            </w:tcBorders>
            <w:vAlign w:val="center"/>
          </w:tcPr>
          <w:p w14:paraId="3134C42E">
            <w:pPr>
              <w:jc w:val="center"/>
              <w:rPr>
                <w:rFonts w:hint="eastAsia" w:ascii="宋体" w:hAnsi="宋体" w:eastAsia="宋体" w:cs="宋体"/>
                <w:sz w:val="24"/>
                <w:szCs w:val="24"/>
              </w:rPr>
            </w:pPr>
            <w:r>
              <w:rPr>
                <w:rFonts w:hint="eastAsia" w:ascii="宋体" w:hAnsi="宋体" w:eastAsia="宋体" w:cs="宋体"/>
                <w:sz w:val="24"/>
                <w:szCs w:val="24"/>
              </w:rPr>
              <w:t>解释权</w:t>
            </w:r>
          </w:p>
        </w:tc>
        <w:tc>
          <w:tcPr>
            <w:tcW w:w="6530" w:type="dxa"/>
            <w:tcBorders>
              <w:top w:val="single" w:color="auto" w:sz="4" w:space="0"/>
              <w:left w:val="single" w:color="auto" w:sz="4" w:space="0"/>
              <w:bottom w:val="single" w:color="auto" w:sz="12" w:space="0"/>
              <w:right w:val="single" w:color="auto" w:sz="12" w:space="0"/>
            </w:tcBorders>
            <w:vAlign w:val="center"/>
          </w:tcPr>
          <w:p w14:paraId="44D4AB73">
            <w:pPr>
              <w:rPr>
                <w:rFonts w:hint="eastAsia" w:ascii="宋体" w:hAnsi="宋体" w:eastAsia="宋体" w:cs="宋体"/>
                <w:sz w:val="24"/>
                <w:szCs w:val="24"/>
              </w:rPr>
            </w:pPr>
            <w:r>
              <w:rPr>
                <w:rFonts w:hint="eastAsia" w:ascii="宋体" w:hAnsi="宋体" w:eastAsia="宋体" w:cs="宋体"/>
                <w:sz w:val="24"/>
                <w:szCs w:val="24"/>
              </w:rPr>
              <w:t>构成本竞争性磋商文件的各个组成文件应互为解释，互为说明；如有不明确或不一致，构成合同文件组成内容的，以合同文件约定内容为准；仅适用于竞争性磋商阶段的约定，按采购公告、竞争性磋商供应商须知、评定办法、竞争性磋商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14:paraId="3869E0D8">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3" w:name="_Toc14803"/>
      <w:r>
        <w:rPr>
          <w:rFonts w:hint="eastAsia" w:ascii="Arial" w:hAnsi="Arial" w:cs="Arial"/>
          <w:bCs w:val="0"/>
          <w:sz w:val="24"/>
          <w:szCs w:val="24"/>
        </w:rPr>
        <w:t>（二）总则</w:t>
      </w:r>
      <w:bookmarkEnd w:id="3"/>
    </w:p>
    <w:p w14:paraId="2F980F8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1.说明</w:t>
      </w:r>
    </w:p>
    <w:p w14:paraId="12FAE3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1.1本次竞争性磋商工作是按照《中华人民共和国政府采购法》、浙江省及项目所在地的有关政府采购规定，结合本项目的实际，组织和实施。</w:t>
      </w:r>
    </w:p>
    <w:p w14:paraId="47046DF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1.2资金来源：已落实。</w:t>
      </w:r>
    </w:p>
    <w:p w14:paraId="3E2F46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2.定义及解释</w:t>
      </w:r>
    </w:p>
    <w:p w14:paraId="7FE4654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2.1采购人：</w:t>
      </w:r>
      <w:r>
        <w:rPr>
          <w:rFonts w:hint="eastAsia"/>
          <w:sz w:val="24"/>
          <w:szCs w:val="24"/>
          <w:lang w:eastAsia="zh-CN"/>
        </w:rPr>
        <w:t>浙江省海盐经济开发区管理委员会</w:t>
      </w:r>
      <w:r>
        <w:rPr>
          <w:rFonts w:hint="eastAsia"/>
          <w:sz w:val="24"/>
          <w:szCs w:val="24"/>
        </w:rPr>
        <w:t>；</w:t>
      </w:r>
    </w:p>
    <w:p w14:paraId="03FC0C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2.2采购代理机构：嘉兴鼎晟工程管理有限公司；</w:t>
      </w:r>
    </w:p>
    <w:p w14:paraId="604D59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2.3竞争性磋商供应商：竞争性磋商供应商是响应采购、参加竞争性磋商竞争的依法成立的的供应商；</w:t>
      </w:r>
    </w:p>
    <w:p w14:paraId="33ABCB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2.4成交供应商：系指在本次竞争性磋商中成交的竞争性磋商供应商；</w:t>
      </w:r>
    </w:p>
    <w:p w14:paraId="5CEB78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2.5竞争性磋商小组：竞争性磋商小组是依《政府采购法》组建的专门负责采购评审工作的临时性机构；</w:t>
      </w:r>
    </w:p>
    <w:p w14:paraId="108F91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2.6日期：指公历日；</w:t>
      </w:r>
    </w:p>
    <w:p w14:paraId="56AA14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2.7合同：指由采购所产生的合同或合约文件；</w:t>
      </w:r>
    </w:p>
    <w:p w14:paraId="35EF7E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2.8“书面形式”是指任何手写的、打印的或印刷的文件，包括电报和传真发送。</w:t>
      </w:r>
    </w:p>
    <w:p w14:paraId="66CEB5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3.合格的竞争性磋商供应商</w:t>
      </w:r>
    </w:p>
    <w:p w14:paraId="570244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3.1满足《中华人民共和国政府采购法》第二十二条规定；未被“信用中国”（www.creditchina.gov.cn)、中国政府采购网（www.ccgp.gov.cn）列入失信被执行人、重大税收违法案件当事人名单、政府采购严重违法失信行为记录名单。</w:t>
      </w:r>
    </w:p>
    <w:p w14:paraId="1B77BE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3.2落实政府采购政策需满足的资格要求：</w:t>
      </w:r>
      <w:r>
        <w:rPr>
          <w:rFonts w:hint="eastAsia"/>
          <w:sz w:val="24"/>
          <w:szCs w:val="24"/>
          <w:u w:val="single"/>
        </w:rPr>
        <w:t>供应商为中小企业/小微企业</w:t>
      </w:r>
      <w:r>
        <w:rPr>
          <w:rFonts w:hint="eastAsia"/>
          <w:sz w:val="24"/>
          <w:szCs w:val="24"/>
        </w:rPr>
        <w:t>。</w:t>
      </w:r>
    </w:p>
    <w:p w14:paraId="423492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3.3本项目的特定资格要求：</w:t>
      </w:r>
      <w:r>
        <w:rPr>
          <w:rFonts w:hint="eastAsia"/>
          <w:sz w:val="24"/>
          <w:szCs w:val="24"/>
          <w:u w:val="single"/>
        </w:rPr>
        <w:t>/</w:t>
      </w:r>
      <w:r>
        <w:rPr>
          <w:rFonts w:hint="eastAsia"/>
          <w:sz w:val="24"/>
          <w:szCs w:val="24"/>
        </w:rPr>
        <w:t>。</w:t>
      </w:r>
    </w:p>
    <w:p w14:paraId="4E09596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4.保密与披露事项</w:t>
      </w:r>
    </w:p>
    <w:p w14:paraId="1A9FB3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4.1竞争性磋商供应商不得串通，以不正当的手段妨碍排挤其他竞争性磋商供应商，扰乱市场，破坏公平竞争原则。</w:t>
      </w:r>
    </w:p>
    <w:p w14:paraId="0451202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4.2竞争性磋商供应商自获取竞争性磋商文件之日起，须承诺承担本竞争性磋商项目下保密义务，不得将因本次竞争性磋商获得的信息向第三方外传。</w:t>
      </w:r>
    </w:p>
    <w:p w14:paraId="25B9875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4.3采购代理机构有权将竞争性磋商供应商提供的所有资料向其他政府部门或有关的非政府机构负责评审标书的人员或与评审有关的人员披露。</w:t>
      </w:r>
    </w:p>
    <w:p w14:paraId="107C0F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4.4采购代理机构有权在认为适当时，或在任何第三者提出要求（书面或其他方式）时，无须事先征求成交供应商同意而披露关于已订立合约的资料、成交供应商的名称及地址、成交服务的有关信息以及合约条款等。</w:t>
      </w:r>
    </w:p>
    <w:p w14:paraId="227F73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5.竞争性磋商费用</w:t>
      </w:r>
    </w:p>
    <w:p w14:paraId="4C3D11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5.1竞争性磋商供应商应承担所有与编写和提交竞争性磋商响应文件有关的费用，不论竞争性磋商的结果如何，采购代理机构和采购人在任何情况下均无义务和责任承担这些费用。</w:t>
      </w:r>
    </w:p>
    <w:p w14:paraId="28CF323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6.现场踏勘：/</w:t>
      </w:r>
    </w:p>
    <w:p w14:paraId="77E91D5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7.竞争性磋商委托</w:t>
      </w:r>
    </w:p>
    <w:p w14:paraId="73206CC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如竞争性磋商供应商代表不是法定代表人，须持有《法定代表人授权委托书》。</w:t>
      </w:r>
    </w:p>
    <w:p w14:paraId="6631DD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42CFD45B">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4" w:name="_Toc11201"/>
      <w:r>
        <w:rPr>
          <w:rFonts w:hint="eastAsia" w:ascii="Arial" w:hAnsi="Arial" w:cs="Arial"/>
          <w:bCs w:val="0"/>
          <w:sz w:val="24"/>
          <w:szCs w:val="24"/>
        </w:rPr>
        <w:t>（三）竞争性磋商文件说明</w:t>
      </w:r>
      <w:bookmarkEnd w:id="4"/>
    </w:p>
    <w:p w14:paraId="358D4A5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8.竞争性磋商文件构成</w:t>
      </w:r>
    </w:p>
    <w:p w14:paraId="707BDC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8.1竞争性磋商文件是用以阐明所需货物、服务，以及竞争性磋商、竞争性磋商程序和相应的合同条款。“竞争性磋商文件”由下述部分组成：</w:t>
      </w:r>
    </w:p>
    <w:p w14:paraId="3F770A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第一部分采购公告</w:t>
      </w:r>
    </w:p>
    <w:p w14:paraId="2342D26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第二部分竞争性磋商供应商须知</w:t>
      </w:r>
    </w:p>
    <w:p w14:paraId="58C5160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第三部分竞争性磋商内容及技术要求</w:t>
      </w:r>
    </w:p>
    <w:p w14:paraId="3A97E67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第四部分合同条款</w:t>
      </w:r>
    </w:p>
    <w:p w14:paraId="275FB1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第五部分评定办法</w:t>
      </w:r>
    </w:p>
    <w:p w14:paraId="3D3735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第六部分参考格式</w:t>
      </w:r>
    </w:p>
    <w:p w14:paraId="0C4CBE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8.2本竞争性磋商文件要求竞争性磋商供应商作出实质性响应的有关技术和商务条款，将在该条款前以“▲” 醒目标识。</w:t>
      </w:r>
    </w:p>
    <w:p w14:paraId="541DCE0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9.竞争性磋商文件的澄清</w:t>
      </w:r>
    </w:p>
    <w:p w14:paraId="07EE64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9.1任何要求对竞争性磋商文件进行澄清的竞争性磋商供应商，均应在答疑截止期规定时间以前以书面形式传真或寄送给采购代理机构，采购代理机构对答疑截止期规定时间以前收到的任何澄清要求将以书面形式予以答复，同时将书面答复以邮寄、传真或类似的方式送达所有竞争性磋商供应商，答复中包括原提出的问题，但不包括问题的来源。</w:t>
      </w:r>
    </w:p>
    <w:p w14:paraId="1F7554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641A787E">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5" w:name="_Toc17929"/>
      <w:r>
        <w:rPr>
          <w:rFonts w:hint="eastAsia" w:ascii="Arial" w:hAnsi="Arial" w:cs="Arial"/>
          <w:bCs w:val="0"/>
          <w:sz w:val="24"/>
          <w:szCs w:val="24"/>
        </w:rPr>
        <w:t>（四）竞争性磋商响应文件的编制</w:t>
      </w:r>
      <w:bookmarkEnd w:id="5"/>
    </w:p>
    <w:p w14:paraId="6640AAF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10.竞争性磋商响应文件的说明</w:t>
      </w:r>
    </w:p>
    <w:p w14:paraId="3DF6F87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10.1竞争性磋商响应文件应字迹清楚、内容齐全、不得涂改。如有修改，修改处须有法定代表人或其同一授权代表签章。</w:t>
      </w:r>
    </w:p>
    <w:p w14:paraId="1D2F365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10.2投标人必须按竞争性磋商文件的要求提供相关技术参数、资料，包括采用的计量单位，并保证竞争性磋商响应文件的正确性和真实性，否则竞争性磋商小组将作出不利于其投标的评定。技术和商务如有偏离均应填写偏离表。不按竞争性磋商文件的要求提供的竞争性磋商响应文件可能导致无效。</w:t>
      </w:r>
    </w:p>
    <w:p w14:paraId="3BFDA5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11.竞争性磋商响应文件的组成</w:t>
      </w:r>
    </w:p>
    <w:p w14:paraId="69080A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11.1竞争性磋商供应商编写的竞争性磋商响应文件应包括资格文件、资信商务及技术文件和投标报价文件组成：</w:t>
      </w:r>
    </w:p>
    <w:p w14:paraId="6EAF6C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w:t>
      </w:r>
      <w:r>
        <w:rPr>
          <w:rFonts w:hint="eastAsia"/>
          <w:sz w:val="24"/>
          <w:szCs w:val="24"/>
        </w:rPr>
        <w:t>1.资格文件</w:t>
      </w:r>
    </w:p>
    <w:p w14:paraId="7C049B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1A462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（2）落实政府采购政策需满足的资格要求：中小企业/小微企业 。</w:t>
      </w:r>
      <w:r>
        <w:rPr>
          <w:rFonts w:hint="eastAsia"/>
          <w:sz w:val="24"/>
          <w:szCs w:val="24"/>
          <w:lang w:eastAsia="zh-CN"/>
        </w:rPr>
        <w:t>附：</w:t>
      </w:r>
      <w:r>
        <w:rPr>
          <w:rFonts w:hint="eastAsia"/>
          <w:sz w:val="24"/>
          <w:szCs w:val="24"/>
        </w:rPr>
        <w:t xml:space="preserve">中小企业声明函、残疾人福利性单位声明函及其他符合政策性加分条件的承诺函或证明材料。 </w:t>
      </w:r>
    </w:p>
    <w:p w14:paraId="223F8C8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（3）本项目的特定资格要求：</w:t>
      </w:r>
      <w:r>
        <w:rPr>
          <w:rFonts w:hint="eastAsia"/>
          <w:sz w:val="24"/>
          <w:szCs w:val="24"/>
          <w:u w:val="single"/>
        </w:rPr>
        <w:t>/</w:t>
      </w:r>
      <w:r>
        <w:rPr>
          <w:rFonts w:hint="eastAsia"/>
          <w:sz w:val="24"/>
          <w:szCs w:val="24"/>
        </w:rPr>
        <w:t xml:space="preserve">。 </w:t>
      </w:r>
    </w:p>
    <w:p w14:paraId="487E71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w:t>
      </w:r>
      <w:r>
        <w:rPr>
          <w:rFonts w:hint="eastAsia"/>
          <w:sz w:val="24"/>
          <w:szCs w:val="24"/>
        </w:rPr>
        <w:t>2.资信商务及技术文件</w:t>
      </w:r>
    </w:p>
    <w:p w14:paraId="3346976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11.1.2.1</w:t>
      </w:r>
      <w:r>
        <w:rPr>
          <w:rFonts w:hint="eastAsia"/>
          <w:sz w:val="24"/>
          <w:szCs w:val="24"/>
        </w:rPr>
        <w:t>资信商务部分</w:t>
      </w:r>
    </w:p>
    <w:p w14:paraId="198ECB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（1）投标声明书；</w:t>
      </w:r>
    </w:p>
    <w:p w14:paraId="24810FF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（2）法定代表人授权委托书；</w:t>
      </w:r>
    </w:p>
    <w:p w14:paraId="43E486A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（3）营业执照副本复印件; </w:t>
      </w:r>
    </w:p>
    <w:p w14:paraId="46032F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（4）类似案例成功的业绩（投标人同类项目实施情况一览表、业绩证明）；</w:t>
      </w:r>
    </w:p>
    <w:p w14:paraId="2F7877A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（5）投标人情况介绍；</w:t>
      </w:r>
    </w:p>
    <w:p w14:paraId="5D0258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（6）商务响应表；</w:t>
      </w:r>
    </w:p>
    <w:p w14:paraId="374ACD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（7）未尽事宜请各供应商按评分细则制作资信商务部分。</w:t>
      </w:r>
    </w:p>
    <w:p w14:paraId="6DF5E2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11.1.2.</w:t>
      </w:r>
      <w:r>
        <w:rPr>
          <w:rFonts w:hint="eastAsia"/>
          <w:sz w:val="24"/>
          <w:szCs w:val="24"/>
        </w:rPr>
        <w:t>2.技术文件</w:t>
      </w:r>
    </w:p>
    <w:p w14:paraId="2370D7A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（1）对本项目总体要求的理解；</w:t>
      </w:r>
    </w:p>
    <w:p w14:paraId="26CE60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（2）针对本项目的服务方案；</w:t>
      </w:r>
    </w:p>
    <w:p w14:paraId="6151934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（3）保证本项目有效实施的人员配置；</w:t>
      </w:r>
    </w:p>
    <w:p w14:paraId="3F28EAC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（4）投标人需要说明的其他文件和说明（格式自拟）；</w:t>
      </w:r>
    </w:p>
    <w:p w14:paraId="1124735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（5）未尽事宜请各投标人按评分细则制作技术部分。</w:t>
      </w:r>
    </w:p>
    <w:p w14:paraId="2024DF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11.1.3.</w:t>
      </w:r>
      <w:r>
        <w:rPr>
          <w:rFonts w:hint="eastAsia"/>
          <w:sz w:val="24"/>
          <w:szCs w:val="24"/>
        </w:rPr>
        <w:t>报价文件：</w:t>
      </w:r>
    </w:p>
    <w:p w14:paraId="389F0F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（1）投标函（格式见附件）； </w:t>
      </w:r>
    </w:p>
    <w:p w14:paraId="752C14C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（2）投标报价明细表（格式自拟）；</w:t>
      </w:r>
    </w:p>
    <w:p w14:paraId="216CDE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（3）投标人针对报价需要说明的其他文件和说明（格式自拟）；</w:t>
      </w:r>
    </w:p>
    <w:p w14:paraId="13F4BC8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）开标一览表（格式见附件）。</w:t>
      </w:r>
    </w:p>
    <w:p w14:paraId="631A759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▲注：法定代表人授权委托书、投标声明书、投标函、开标一览表必须由法定代表人（或者被授权代表）签名且加盖单位公章。</w:t>
      </w:r>
    </w:p>
    <w:p w14:paraId="69AF89C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12.竞争性磋商响应格式填写说明</w:t>
      </w:r>
    </w:p>
    <w:p w14:paraId="21DFB9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12.1竞争性磋商供应商应在认真阅读竞争性磋商文件所有内容的基础上，按照竞争性磋商文件的要求编制完整的竞争性磋商响应文件。竞争性磋商响应文件应按照竞争性磋商文件中规定的统一格式填写，严格按照规定的顺序编制目录，混乱的编排导致竞争性磋商响应文件被误读或采购代理机构查找不到有效文件是竞争性磋商供应商的风险。</w:t>
      </w:r>
    </w:p>
    <w:p w14:paraId="1F5F12C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12.2竞争性磋商供应商必须保证竞争性磋商响应文件所提供的全部资料真实可靠，并接受采购代理机构对其中任何资料进一步审查的要求。提供虚假证明的竞争性磋商供应商将被取消政府采购供应商资格，并在政府采购宣传媒体上予以公告。</w:t>
      </w:r>
    </w:p>
    <w:p w14:paraId="65A4E3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13.竞争性磋商有效期</w:t>
      </w:r>
    </w:p>
    <w:p w14:paraId="434F94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13.1▲提交竞争性磋商响应文件截止日起60天，竞争性磋商响应文件应保持有效。竞争性磋商有效期比规定期限短的将被视为非响应竞争性磋商而予以否决。</w:t>
      </w:r>
    </w:p>
    <w:p w14:paraId="43E7A8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13.2特殊情况下，采购代理机构可于竞争性磋商有效期满之前要求竞争性磋商供应商同意延长有效期，要求与答复均应为书面形式。</w:t>
      </w:r>
    </w:p>
    <w:p w14:paraId="2F7053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14.竞争性磋商报价</w:t>
      </w:r>
    </w:p>
    <w:p w14:paraId="23406F7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14.1竞争性磋商供应商提供的货物和服务价格应该用人民币表示。竞争性磋商报价应包括完成供货和服务所需的一切费用。</w:t>
      </w:r>
    </w:p>
    <w:p w14:paraId="53E862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14.2根据本次竞争性磋商采购工作要求，最后只允许有一个竞争性磋商报价，竞争性磋商供应商应在各自技术和商务占优势的基础上并充分考虑本项目的重要性，在竞争性磋商结束后提供给采购代理机构及采购人最优惠的竞争性磋商价格。</w:t>
      </w:r>
    </w:p>
    <w:p w14:paraId="77A6496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14.3最后的竞争性磋商报价需低于首次报价。</w:t>
      </w:r>
    </w:p>
    <w:p w14:paraId="7FF577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15.竞争性磋商响应文件的式样和签署</w:t>
      </w:r>
    </w:p>
    <w:p w14:paraId="3D6EA1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15.1竞争性磋商响应文件的内容是属于供应商自己制作的均须用不褪色墨水书写或打印，并在“竞争性磋商文件格式”规定处由供应商的法定代表人或其授权代表印章（或签字或电子章）。</w:t>
      </w:r>
    </w:p>
    <w:p w14:paraId="7FE51C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15.2竞争性磋商响应文件不得涂改和增删，如有修改错漏处，必须由同一签署人签字或盖章。</w:t>
      </w:r>
    </w:p>
    <w:p w14:paraId="407D28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15.3供应商或采购组织单位有下列情形之一的，应按串通行为认定：</w:t>
      </w:r>
    </w:p>
    <w:p w14:paraId="5D0FFB0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（1）不同供应商的竞争性磋商响应文件由同一单位或人员编制的；</w:t>
      </w:r>
    </w:p>
    <w:p w14:paraId="05CE11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（2）不同供应商委托同一单位或人员办理投标事宜的；</w:t>
      </w:r>
    </w:p>
    <w:p w14:paraId="75C26A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（3）不同供应商的竞争性磋商响应文件中的内容出现非正常的一致，或者报价细目呈明显规律性变化，或在完全可比的情况下投标总价均高于市场平均价的；</w:t>
      </w:r>
    </w:p>
    <w:p w14:paraId="5EF625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（4）不同供应商的竞争性磋商响应文件载明的项目管理或实施人员出现同一单位的工作人员或同一人的；</w:t>
      </w:r>
    </w:p>
    <w:p w14:paraId="574251B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（5）不同供应商的授权代表为同一单位的工作人员的；</w:t>
      </w:r>
    </w:p>
    <w:p w14:paraId="3BC5B0D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（6）不同供应商的竞争性磋商响应文件相互混装，或在一个供应商的竞争性磋商响应文件内遗留有其他供应商的签名、盖章等不属于本供应商参加政府采购必需的信息资料的；</w:t>
      </w:r>
    </w:p>
    <w:p w14:paraId="689517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（7）采购响应截止时间后，采购组织单位协助供应商撤换或更改竞争性磋商响应文件的；</w:t>
      </w:r>
    </w:p>
    <w:p w14:paraId="727AA7C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（8）采购组织单位泄露有意向参加政府采购的供应商名称、数量等应当保密的事项的；</w:t>
      </w:r>
    </w:p>
    <w:p w14:paraId="5EC908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（9）不同供应商之间私下达成书面或口头协议，指定一家供应商成交或轮流成交的；</w:t>
      </w:r>
    </w:p>
    <w:p w14:paraId="357ABD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（10）法律、法规或规章规定的其他串通行为。</w:t>
      </w:r>
    </w:p>
    <w:p w14:paraId="221BAB0E">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6" w:name="_Toc31082"/>
      <w:r>
        <w:rPr>
          <w:rFonts w:hint="eastAsia" w:ascii="Arial" w:hAnsi="Arial" w:cs="Arial"/>
          <w:bCs w:val="0"/>
          <w:sz w:val="24"/>
          <w:szCs w:val="24"/>
        </w:rPr>
        <w:t>（五）竞争性磋商响应文件的递交</w:t>
      </w:r>
      <w:bookmarkEnd w:id="6"/>
    </w:p>
    <w:p w14:paraId="329D48A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16.竞争性磋商响应文件的密封和标记</w:t>
      </w:r>
    </w:p>
    <w:p w14:paraId="6417A6C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16.1竞争性磋商响应文件封面上写明竞争性磋商项目名称、编号、供应商名称、地址、邮政编码、电话、联系人。</w:t>
      </w:r>
    </w:p>
    <w:p w14:paraId="537D59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17.竞争性磋商截止时间</w:t>
      </w:r>
    </w:p>
    <w:p w14:paraId="532404D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17.1本次采购的竞争性磋商开始时间及竞争性磋商响应文件递交截止时间：见本竞争性磋商文件“采购公告”。</w:t>
      </w:r>
    </w:p>
    <w:p w14:paraId="1D72D6B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17.2在推迟了竞争性磋商开始时间的情况下，采购代理机构、采购人和竞争性磋商供应商受制约的所有权利和义务均应延长至新的截止时间。</w:t>
      </w:r>
    </w:p>
    <w:p w14:paraId="0529AB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18.竞争性磋商响应文件有下列情形之一的，采购代理机构不予受理：</w:t>
      </w:r>
    </w:p>
    <w:p w14:paraId="27CCDC1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18.1竞争性磋商响应文件逾期上传系统的；</w:t>
      </w:r>
    </w:p>
    <w:p w14:paraId="2376616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18.2竞争性磋商响应文件未按竞争性磋商文件要求签署、盖章的。</w:t>
      </w:r>
    </w:p>
    <w:p w14:paraId="407841BA">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7" w:name="_Toc8521"/>
      <w:r>
        <w:rPr>
          <w:rFonts w:hint="eastAsia" w:ascii="Arial" w:hAnsi="Arial" w:cs="Arial"/>
          <w:bCs w:val="0"/>
          <w:sz w:val="24"/>
          <w:szCs w:val="24"/>
        </w:rPr>
        <w:t>（六）竞争性磋商与评审</w:t>
      </w:r>
      <w:bookmarkEnd w:id="7"/>
    </w:p>
    <w:p w14:paraId="1ED27E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19.竞争性磋商</w:t>
      </w:r>
    </w:p>
    <w:p w14:paraId="1737B8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19.1竞争性磋商时间和地点：见本竞争性磋商文件“采购公告”。</w:t>
      </w:r>
    </w:p>
    <w:p w14:paraId="37615A1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19.2采购代理机构组织和主持竞争性磋商会议，业主代表及纪检监督人员参加竞争性磋商会议并签名报到以证明其出席。</w:t>
      </w:r>
    </w:p>
    <w:p w14:paraId="351E947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20.竞争性磋商小组的组建</w:t>
      </w:r>
    </w:p>
    <w:p w14:paraId="45C9CE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20.1本次采购依法组建竞争性磋商小组。竞争性磋商小组由采购人的代表1名和2名有关专家共3人组成。</w:t>
      </w:r>
    </w:p>
    <w:p w14:paraId="38E6FC5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21.竞争性磋商工作程序</w:t>
      </w:r>
    </w:p>
    <w:p w14:paraId="2157868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21.1竞争性磋商响应文件在规定时间递交后，竞争性磋商小组根据竞争性磋商文件首先审查竞争性磋商响应文件提供的资格证明文件是否齐全、是否满足竞争性磋商文件的报价资格要求等；其次审查竞争性磋商响应文件提交的内容是否完整，是否按竞争性磋商文件的要求作出了相应的响应。</w:t>
      </w:r>
    </w:p>
    <w:p w14:paraId="40A7E97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21.2竞争性磋商。竞争性磋商小组所有成员集中与各竞争性磋商供应商分别进行竞争性磋商。在竞争性磋商中，竞争性磋商的任何一方不得透露与竞争性磋商有关的其他竞争性磋商供应商的技术资料、价格和其他信息。</w:t>
      </w:r>
    </w:p>
    <w:p w14:paraId="4948298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21.3竞争性磋商文件有实质性变动的（包括竞争性磋商内容及合同主要条款、评定成交标准），竞争性磋商小组应当在竞争性磋商供应商下轮报价前通知所有参加竞争性磋商的竞争性磋商供应商。</w:t>
      </w:r>
    </w:p>
    <w:p w14:paraId="68B4D70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21.4本次竞争性磋商允许两次报价，竞争性磋商响应文件为首次报价。</w:t>
      </w:r>
    </w:p>
    <w:p w14:paraId="0256AA6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eastAsia="宋体"/>
          <w:sz w:val="24"/>
          <w:szCs w:val="24"/>
          <w:lang w:eastAsia="zh-CN"/>
        </w:rPr>
      </w:pPr>
      <w:r>
        <w:rPr>
          <w:rFonts w:hint="eastAsia"/>
          <w:sz w:val="24"/>
          <w:szCs w:val="24"/>
        </w:rPr>
        <w:t>21.5竞争性磋商结束后，竞争性磋商小组应当要求合格通过的竞争性磋商供应商在规定时间（30分钟）内根据商谈内容进行第二次报价（即最后报价），竞争性磋商供应商的报价原则上不得高于上轮的报价（竞争性磋商内容变更的除外），可与上轮报价相同；未报价者，视同与上轮报价相同。竞争性磋商供应商的</w:t>
      </w:r>
      <w:r>
        <w:rPr>
          <w:rFonts w:hint="eastAsia"/>
          <w:sz w:val="24"/>
          <w:szCs w:val="24"/>
          <w:lang w:eastAsia="zh-CN"/>
        </w:rPr>
        <w:t>第二次报价后，</w:t>
      </w:r>
      <w:r>
        <w:rPr>
          <w:rFonts w:hint="eastAsia"/>
          <w:sz w:val="24"/>
          <w:szCs w:val="24"/>
        </w:rPr>
        <w:t>报价明细表中各项报价均按同比例下调</w:t>
      </w:r>
      <w:r>
        <w:rPr>
          <w:rFonts w:hint="eastAsia"/>
          <w:sz w:val="24"/>
          <w:szCs w:val="24"/>
          <w:lang w:eastAsia="zh-CN"/>
        </w:rPr>
        <w:t>。</w:t>
      </w:r>
    </w:p>
    <w:p w14:paraId="45A8921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21.6如竞争性磋商小组一致认为某个竞争性磋商供应商的报价明显不合理，有降低服务质量、不能诚信履行及不正当竞争的可能时，竞争性磋商小组有权通知竞争性磋商供应商限期进行解释。若该竞争性磋商供应商未在规定期限内做出解释，或做出的解释不合理并否决改变，经竞争性磋商小组取得一致意见后，可确定拒绝该报价。</w:t>
      </w:r>
    </w:p>
    <w:p w14:paraId="676AE9D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eastAsia="宋体"/>
          <w:sz w:val="24"/>
          <w:szCs w:val="24"/>
          <w:lang w:eastAsia="zh-CN"/>
        </w:rPr>
      </w:pPr>
      <w:r>
        <w:rPr>
          <w:rFonts w:hint="eastAsia"/>
          <w:sz w:val="24"/>
          <w:szCs w:val="24"/>
        </w:rPr>
        <w:t>21.7如果候选成交供应商的报价高于政府采购预算金额或明显偏离市场正常价格时，竞争性磋商小组将取消其成交资格，对受影响的竞争性磋商供应商不承担任何责任，也无义务向受影响的竞争性磋商供应商解释采取这一行动的理由</w:t>
      </w:r>
      <w:r>
        <w:rPr>
          <w:rFonts w:hint="eastAsia"/>
          <w:sz w:val="24"/>
          <w:szCs w:val="24"/>
          <w:lang w:eastAsia="zh-CN"/>
        </w:rPr>
        <w:t>。</w:t>
      </w:r>
    </w:p>
    <w:p w14:paraId="31FA7B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22.评审</w:t>
      </w:r>
    </w:p>
    <w:p w14:paraId="20CF29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22.1在竞争性磋商时下列情况按照无效报价处理：</w:t>
      </w:r>
    </w:p>
    <w:p w14:paraId="30C9A4C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22.1.1</w:t>
      </w:r>
      <w:r>
        <w:rPr>
          <w:rFonts w:hint="eastAsia"/>
          <w:sz w:val="24"/>
          <w:szCs w:val="24"/>
        </w:rPr>
        <w:t>在符合性审查和商务评审时，如发现下列情形之一的，投标文件将被视为无效：</w:t>
      </w:r>
    </w:p>
    <w:p w14:paraId="66EC3D6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资信商务及技术文件中出现报价的；</w:t>
      </w:r>
    </w:p>
    <w:p w14:paraId="5BFF9C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资格证明文件不全的，或者不符合招标文件标明的资格要求的；</w:t>
      </w:r>
    </w:p>
    <w:p w14:paraId="7D13C45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投标文件无法定代表人签字（或盖章）,或未提供法定代表人授权委托书、投标声明书或者填写项目不齐全的；</w:t>
      </w:r>
    </w:p>
    <w:p w14:paraId="144CBC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 xml:space="preserve">投标代表人未能出具身份证明或与法定代表人授权委托人身份不符的； </w:t>
      </w:r>
    </w:p>
    <w:p w14:paraId="2A837D0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投标文件格式不规范、项目不齐全或者内容虚假的；</w:t>
      </w:r>
    </w:p>
    <w:p w14:paraId="0D93C99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投标文件的实质性内容未使用中文表述、意思表述不明确、前后矛盾或者使用计量单位不符合招标文件要求的（经评标委员会认定并允许其当场更正的笔误除外）；</w:t>
      </w:r>
    </w:p>
    <w:p w14:paraId="51EEF3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投标有效期、交货时间、质保期等商务条款不能满足招标文件要求的；</w:t>
      </w:r>
    </w:p>
    <w:p w14:paraId="39978C6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未实质性响应招标文件要求或者投标文件有招标方不能接受的附加条件的；</w:t>
      </w:r>
    </w:p>
    <w:p w14:paraId="47A8D3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22.1.2</w:t>
      </w:r>
      <w:r>
        <w:rPr>
          <w:rFonts w:hint="eastAsia"/>
          <w:sz w:val="24"/>
          <w:szCs w:val="24"/>
        </w:rPr>
        <w:t>在技术评审时，如发现下列情形之一的，投标文件将被视为无效：</w:t>
      </w:r>
    </w:p>
    <w:p w14:paraId="0584657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未提供或未如实提供投标</w:t>
      </w:r>
      <w:r>
        <w:rPr>
          <w:rFonts w:hint="eastAsia"/>
          <w:sz w:val="24"/>
          <w:szCs w:val="24"/>
          <w:lang w:eastAsia="zh-CN"/>
        </w:rPr>
        <w:t>服务要求</w:t>
      </w:r>
      <w:r>
        <w:rPr>
          <w:rFonts w:hint="eastAsia"/>
          <w:sz w:val="24"/>
          <w:szCs w:val="24"/>
        </w:rPr>
        <w:t>，或者投标文件标明的响应或偏离与事实不符或虚假投标的；</w:t>
      </w:r>
    </w:p>
    <w:p w14:paraId="33FD8E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明显不符合招标文件要求的，或者与招标文件中标“▲”的技术指标、主要功能项目发生实质性偏离的；</w:t>
      </w:r>
    </w:p>
    <w:p w14:paraId="3A5538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投标技术方案不明确，存在一个或一个以上备选（替代）投标方案的；</w:t>
      </w:r>
    </w:p>
    <w:p w14:paraId="09F1191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与其他参加本次投标供应商的投标文件（技术文件）的文字表述内容相同连续20行以上或者差错相同2处以上的；</w:t>
      </w:r>
    </w:p>
    <w:p w14:paraId="6D7605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22.1.3</w:t>
      </w:r>
      <w:r>
        <w:rPr>
          <w:rFonts w:hint="eastAsia"/>
          <w:sz w:val="24"/>
          <w:szCs w:val="24"/>
        </w:rPr>
        <w:t>在报价评审时，如发现下列情形之一的，投标文件将被视为无效：</w:t>
      </w:r>
    </w:p>
    <w:p w14:paraId="02E7A8A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未采用人民币报价或者未按照招标文件标明的币种报价的；</w:t>
      </w:r>
    </w:p>
    <w:p w14:paraId="12BAD92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报价超出最高限价，或者超出采购预算金额(自主创新产品除外)，采购人不能支付的；</w:t>
      </w:r>
    </w:p>
    <w:p w14:paraId="73BFA48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投标报价具有选择性，或者开标价格与投标文件承诺的优惠（折扣）价格不一致的；</w:t>
      </w:r>
    </w:p>
    <w:p w14:paraId="375CFE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投标报价明细表总额与开标一览表总价不一致，且高于总价5％的；</w:t>
      </w:r>
    </w:p>
    <w:p w14:paraId="0F50497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22.2竞争性磋商小组将根据各竞争性磋商供应商的最后报价和承诺，按评定办法计算综合得分，按综合得分由高到低排序，排序第一的为预选成交供应商，其余有效供应商按综合得分由高到低排序。</w:t>
      </w:r>
    </w:p>
    <w:p w14:paraId="484FE9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23.成交供应商的确定</w:t>
      </w:r>
    </w:p>
    <w:p w14:paraId="32F6060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23.1采购代理机构按竞争性磋商小组的评审结果，确定预选成交供应商为成交供应商，当预选成交供应商因故不能成交时，可以确定综合得分排名第二的备选成交供应商为成交供应商，当其因故不能成交时，可以确定综合得分排名第三的备选成交供应商为成交供应商，以此类推。报价超过采购预算资金的除外。</w:t>
      </w:r>
    </w:p>
    <w:p w14:paraId="5F3A4A2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23.2采购代理机构将在 “浙江政府采购网”（网址：www.zjzfcg.gov.cn）上发布《成交结果公告》。</w:t>
      </w:r>
    </w:p>
    <w:p w14:paraId="1131B8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24.评审过程保密</w:t>
      </w:r>
    </w:p>
    <w:p w14:paraId="117AAF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24.1竞争性磋商之后，直到授予竞争性磋商供应商合同止，凡是属于审查、澄清、评价和比较竞争性磋商的有关资料以及授标意向等，均不得向竞争性磋商供应商或其他无关的人员透露。</w:t>
      </w:r>
    </w:p>
    <w:p w14:paraId="10B9931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25.否决任何或所有竞争性磋商的权利</w:t>
      </w:r>
    </w:p>
    <w:p w14:paraId="193EEF2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25.1竞争性磋商小组经评审，认为所有竞争性磋商都不符合竞争性磋商文件要求的，可以否决所有竞争性磋商。</w:t>
      </w:r>
    </w:p>
    <w:p w14:paraId="4773CF5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25.2如果成交预选供应商不能按照竞争性磋商文件要求及其竞争性磋商响应文件的承诺签订合同或其竞争性磋商响应文件与事实不符，影响采购的公平公开及合同的实施，采购人有权在授予合同前任何时候依照法定程序将合同授予成交备选供应商。如果成交备选供应商仍无法签订合同，采购人将依法不接受或否决任何竞争性磋商，并宣布采购无效，对受影响的竞争性磋商供应商不承担任何责任，也无义务向受影响的竞争性磋商供应商解释采取这一行动的理由。</w:t>
      </w:r>
    </w:p>
    <w:p w14:paraId="0E3A3AF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26.质疑与投诉</w:t>
      </w:r>
    </w:p>
    <w:p w14:paraId="745445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26.1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2F45C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26.2本项目采购结果公告期限为1个工作日，各参加政府采购活动的供应商认为该中标/成交结果和采购过程等使自己的权益受到损害的，可以自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0E736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26.3质疑、投诉应当采用书面形式，质疑书、投诉书均应明确阐述竞争性磋商文件、竞争性磋商过程和成交结果中使自己合法权益受到损害的实质性内容，提供相关事实、依据和证据及其来源或线索，便于有关单位调查、答复和处理。</w:t>
      </w:r>
    </w:p>
    <w:p w14:paraId="0CC101C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（1）质疑受理机构：嘉兴鼎晟工程管理有限公司</w:t>
      </w:r>
    </w:p>
    <w:p w14:paraId="019E5C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受理电话：</w:t>
      </w:r>
      <w:r>
        <w:rPr>
          <w:rFonts w:hint="eastAsia"/>
          <w:sz w:val="24"/>
          <w:szCs w:val="24"/>
          <w:lang w:eastAsia="zh-CN"/>
        </w:rPr>
        <w:t>0573-86116950</w:t>
      </w:r>
    </w:p>
    <w:p w14:paraId="3740C6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（2）投诉受理机构：海盐县财政局政府采购监管科</w:t>
      </w:r>
    </w:p>
    <w:p w14:paraId="534C23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投诉电话：0573-86122512</w:t>
      </w:r>
    </w:p>
    <w:p w14:paraId="78669C4A">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8" w:name="_Toc18842"/>
      <w:r>
        <w:rPr>
          <w:rFonts w:hint="eastAsia" w:ascii="Arial" w:hAnsi="Arial" w:cs="Arial"/>
          <w:bCs w:val="0"/>
          <w:sz w:val="24"/>
          <w:szCs w:val="24"/>
        </w:rPr>
        <w:t>（七）授予合同</w:t>
      </w:r>
      <w:bookmarkEnd w:id="8"/>
    </w:p>
    <w:p w14:paraId="68B4C07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27.合同授予标准</w:t>
      </w:r>
    </w:p>
    <w:p w14:paraId="3FC3E48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27.1最终审查</w:t>
      </w:r>
    </w:p>
    <w:p w14:paraId="04A6DF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竞争性磋商结束后，采购代理机构将对竞争性磋商供应商进行最终审查。最终审查的主要内容是：</w:t>
      </w:r>
    </w:p>
    <w:p w14:paraId="337AE97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1）竞争性磋商供应商的资质、业务能力、信誉及以往政府采购活动中的业绩和表现；</w:t>
      </w:r>
    </w:p>
    <w:p w14:paraId="32DA96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2）竞争性磋商供应商履行合同的能力。</w:t>
      </w:r>
    </w:p>
    <w:p w14:paraId="643206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27.2最终审查工作如需成交供应商配合，成交供应商必须接受。</w:t>
      </w:r>
    </w:p>
    <w:p w14:paraId="3A0364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27.3成交供应商如未能通过最终审查，采购代理机构将视具体情况，提出具体限时整改要求，成交供应商如未能达到整改要求，其成交资格将被取消。</w:t>
      </w:r>
    </w:p>
    <w:p w14:paraId="2A10A5A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27.4采购代理机构将合同授予获接受竞争性磋商的竞争性磋商供应商。</w:t>
      </w:r>
    </w:p>
    <w:p w14:paraId="186B889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28.成交通知</w:t>
      </w:r>
    </w:p>
    <w:p w14:paraId="34F254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28.1在竞争性磋商有效期期满之前，采购代理机构将用书面形式向获接受的成交供应商发出书面的《成交通知书》。《成交通知书》将是合同的一个组成部分。</w:t>
      </w:r>
    </w:p>
    <w:p w14:paraId="4307D6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29.签订合同</w:t>
      </w:r>
    </w:p>
    <w:p w14:paraId="55CA55C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29.1成交供应商按《成交通知书》指定的时间、地点与采购人直接签订合同。</w:t>
      </w:r>
    </w:p>
    <w:p w14:paraId="462809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29.2竞争性磋商文件、成交供应商的竞争性磋商响应文件及其澄清文件等，均为签订经济合同的依据。成交供应商自接到成交通知书后30天内与采购人签订合同。</w:t>
      </w:r>
    </w:p>
    <w:p w14:paraId="6F6C29B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29.3成交供应商不遵守竞争性磋商文件的要约、承诺，擅自修改报价或在接到成交通知书30天内，借故拖延、拒签合同者，采购代理机构即可取消该单位的成交权，另选其它竞争性磋商供应商成交。</w:t>
      </w:r>
    </w:p>
    <w:p w14:paraId="2CCEE3F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30.采购结果通知</w:t>
      </w:r>
    </w:p>
    <w:p w14:paraId="337A58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采购代理机构在发出《成交通知书》的同时在 “浙江省政府采购网”（网址：www.zjzfcg.gov.cn）发布成交公告。</w:t>
      </w:r>
    </w:p>
    <w:p w14:paraId="6BAA674E">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eastAsia="宋体"/>
          <w:b/>
          <w:bCs/>
          <w:sz w:val="24"/>
          <w:szCs w:val="24"/>
          <w:lang w:eastAsia="zh-CN"/>
        </w:rPr>
      </w:pPr>
      <w:r>
        <w:rPr>
          <w:rFonts w:hint="eastAsia" w:ascii="Arial" w:hAnsi="Arial" w:cs="Arial"/>
          <w:bCs w:val="0"/>
          <w:sz w:val="24"/>
          <w:szCs w:val="24"/>
        </w:rPr>
        <w:t>（</w:t>
      </w:r>
      <w:r>
        <w:rPr>
          <w:rFonts w:hint="eastAsia" w:ascii="Arial" w:hAnsi="Arial" w:cs="Arial"/>
          <w:bCs w:val="0"/>
          <w:sz w:val="24"/>
          <w:szCs w:val="24"/>
          <w:lang w:eastAsia="zh-CN"/>
        </w:rPr>
        <w:t>八</w:t>
      </w:r>
      <w:r>
        <w:rPr>
          <w:rFonts w:hint="eastAsia" w:ascii="Arial" w:hAnsi="Arial" w:cs="Arial"/>
          <w:bCs w:val="0"/>
          <w:sz w:val="24"/>
          <w:szCs w:val="24"/>
        </w:rPr>
        <w:t>）</w:t>
      </w:r>
      <w:r>
        <w:rPr>
          <w:rFonts w:hint="eastAsia" w:ascii="Arial" w:hAnsi="Arial" w:cs="Arial"/>
          <w:bCs w:val="0"/>
          <w:sz w:val="24"/>
          <w:szCs w:val="24"/>
          <w:lang w:eastAsia="zh-CN"/>
        </w:rPr>
        <w:t>其他</w:t>
      </w:r>
    </w:p>
    <w:p w14:paraId="577298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31.中小企业</w:t>
      </w:r>
    </w:p>
    <w:p w14:paraId="36ABED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1、根据《政府采购促进中小企业发展管理办法》（财库〔2020〕46号）及《中小企业划型标准规定》（工信部联企业〔2011〕300号），本采购标的对应的中小企业划分标准所属行业为：</w:t>
      </w:r>
      <w:r>
        <w:rPr>
          <w:rFonts w:hint="eastAsia"/>
          <w:sz w:val="24"/>
          <w:szCs w:val="24"/>
          <w:u w:val="single"/>
        </w:rPr>
        <w:t>其他未列明行业</w:t>
      </w:r>
      <w:r>
        <w:rPr>
          <w:rFonts w:hint="eastAsia"/>
          <w:sz w:val="24"/>
          <w:szCs w:val="24"/>
        </w:rPr>
        <w:t>（划分标准见附件A）</w:t>
      </w:r>
    </w:p>
    <w:p w14:paraId="13326B6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2、小微企业有关政策：</w:t>
      </w:r>
    </w:p>
    <w:p w14:paraId="4506C69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按照《财政部、司法部关于政府采购支持监狱企业发展有关问题的通知》（财库〔2014〕68 号）之规定，监狱企业视同小型、微型企业。</w:t>
      </w:r>
    </w:p>
    <w:p w14:paraId="68CB63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按照《财政部民政部中国残疾人联合会关于促进残疾人就业政府采购政策的通知》(财库[2017]141号)之规定残疾人福利性单位视同小型、微型企业，结合《浙江省财政厅关于进一步发挥政府采购政策功能全力推动经济稳进提质的通知》(浙财采监〔2022〕3号)，残疾人福利性单位本身为小微企业的不得重复用享受优惠政策。</w:t>
      </w:r>
    </w:p>
    <w:p w14:paraId="584F816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欲享受政策优惠的且属于小微型企业的须提交声明函、属于残疾人福利性单位且须提交声明函、属于监狱企业的应提供由省级以上监狱管理局、戒毒管理局（含新疆生产建设兵团）出具的属于监狱企业的证明文件。否则不认定为小微企业。。</w:t>
      </w:r>
    </w:p>
    <w:p w14:paraId="6F0F1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32.代理服务费</w:t>
      </w:r>
    </w:p>
    <w:p w14:paraId="33FB795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1、中标供应商须向采购代理机构交纳招标代理费；由中标供应商领取中标通知书时支付；请各投标单位报价时考虑该项费用。</w:t>
      </w:r>
    </w:p>
    <w:p w14:paraId="294A18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2、服务费的货币为人民币</w:t>
      </w:r>
      <w:r>
        <w:rPr>
          <w:rFonts w:hint="eastAsia"/>
          <w:sz w:val="24"/>
          <w:szCs w:val="24"/>
          <w:lang w:eastAsia="zh-CN"/>
        </w:rPr>
        <w:t>，</w:t>
      </w:r>
      <w:r>
        <w:rPr>
          <w:rFonts w:hint="eastAsia"/>
          <w:sz w:val="24"/>
          <w:szCs w:val="24"/>
          <w:u w:val="single"/>
          <w:lang w:val="en-US" w:eastAsia="zh-CN"/>
        </w:rPr>
        <w:t>5250元</w:t>
      </w:r>
      <w:r>
        <w:rPr>
          <w:rFonts w:hint="eastAsia"/>
          <w:sz w:val="24"/>
          <w:szCs w:val="24"/>
        </w:rPr>
        <w:t>。</w:t>
      </w:r>
    </w:p>
    <w:p w14:paraId="3EDE856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3、服务费支付方式：一次性以银行划账、电汇、汇票或支票的形式支付。</w:t>
      </w:r>
    </w:p>
    <w:p w14:paraId="5D07A2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4、服务费以银行划账方式按下列要求提交：</w:t>
      </w:r>
    </w:p>
    <w:p w14:paraId="21C1FF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rPr>
      </w:pPr>
      <w:r>
        <w:rPr>
          <w:rFonts w:hint="eastAsia"/>
          <w:sz w:val="24"/>
          <w:szCs w:val="24"/>
          <w:u w:val="single"/>
        </w:rPr>
        <w:t>名称：嘉兴鼎晟工程管理有限公司海盐分公司</w:t>
      </w:r>
    </w:p>
    <w:p w14:paraId="4A125D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rPr>
      </w:pPr>
      <w:r>
        <w:rPr>
          <w:rFonts w:hint="eastAsia"/>
          <w:sz w:val="24"/>
          <w:szCs w:val="24"/>
          <w:u w:val="single"/>
        </w:rPr>
        <w:t>税号：91330424MA2LCD051P</w:t>
      </w:r>
    </w:p>
    <w:p w14:paraId="4CBF648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rPr>
      </w:pPr>
      <w:r>
        <w:rPr>
          <w:rFonts w:hint="eastAsia"/>
          <w:sz w:val="24"/>
          <w:szCs w:val="24"/>
          <w:u w:val="single"/>
        </w:rPr>
        <w:t>开户行：中信银行股份有限公司嘉兴海盐支行</w:t>
      </w:r>
    </w:p>
    <w:p w14:paraId="51160F6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rPr>
      </w:pPr>
      <w:r>
        <w:rPr>
          <w:rFonts w:hint="eastAsia"/>
          <w:sz w:val="24"/>
          <w:szCs w:val="24"/>
          <w:u w:val="single"/>
        </w:rPr>
        <w:t>账号：8110801013003062840</w:t>
      </w:r>
    </w:p>
    <w:p w14:paraId="30EF2BE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5、服务费支付时间：服务费必须在中标人领取《中标通知书》时一次性付清，如果中标人未能按时交纳服务费，采购代理机构/采购人保留取消其中标资格并追究其法律责任的权利。</w:t>
      </w:r>
    </w:p>
    <w:p w14:paraId="443A851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6、服务费不在投标报价中单列。</w:t>
      </w:r>
    </w:p>
    <w:p w14:paraId="68D5633B">
      <w:pPr>
        <w:keepNext w:val="0"/>
        <w:keepLines w:val="0"/>
        <w:pageBreakBefore w:val="0"/>
        <w:widowControl/>
        <w:kinsoku/>
        <w:wordWrap/>
        <w:overflowPunct/>
        <w:topLinePunct w:val="0"/>
        <w:autoSpaceDE/>
        <w:autoSpaceDN/>
        <w:bidi w:val="0"/>
        <w:adjustRightInd/>
        <w:snapToGrid/>
        <w:ind w:firstLine="420" w:firstLineChars="200"/>
        <w:textAlignment w:val="auto"/>
      </w:pPr>
    </w:p>
    <w:p w14:paraId="456E9D46">
      <w:pPr>
        <w:pStyle w:val="3"/>
        <w:keepNext w:val="0"/>
        <w:keepLines w:val="0"/>
        <w:pageBreakBefore/>
        <w:numPr>
          <w:ilvl w:val="0"/>
          <w:numId w:val="2"/>
        </w:numPr>
        <w:spacing w:beforeLines="100" w:afterLines="100" w:line="240" w:lineRule="auto"/>
        <w:jc w:val="center"/>
        <w:rPr>
          <w:rFonts w:hint="eastAsia" w:ascii="Arial" w:hAnsi="Arial" w:cs="Arial"/>
          <w:b w:val="0"/>
          <w:bCs/>
          <w:color w:val="auto"/>
          <w:sz w:val="32"/>
          <w:szCs w:val="32"/>
          <w:highlight w:val="none"/>
        </w:rPr>
      </w:pPr>
      <w:r>
        <w:rPr>
          <w:rFonts w:hint="eastAsia" w:ascii="Arial" w:hAnsi="Arial" w:cs="Arial"/>
          <w:b w:val="0"/>
          <w:bCs/>
          <w:color w:val="auto"/>
          <w:sz w:val="32"/>
          <w:szCs w:val="32"/>
          <w:highlight w:val="none"/>
          <w:lang w:val="en-US" w:eastAsia="zh-CN"/>
        </w:rPr>
        <w:t xml:space="preserve"> </w:t>
      </w:r>
      <w:bookmarkStart w:id="9" w:name="_Toc32524"/>
      <w:r>
        <w:rPr>
          <w:rFonts w:hint="eastAsia" w:ascii="Arial" w:hAnsi="Arial" w:cs="Arial"/>
          <w:b w:val="0"/>
          <w:bCs/>
          <w:color w:val="auto"/>
          <w:sz w:val="32"/>
          <w:szCs w:val="32"/>
          <w:highlight w:val="none"/>
        </w:rPr>
        <w:t>项目采购需求</w:t>
      </w:r>
      <w:bookmarkEnd w:id="9"/>
    </w:p>
    <w:p w14:paraId="2103D6E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val="0"/>
          <w:sz w:val="24"/>
          <w:szCs w:val="24"/>
          <w:highlight w:val="none"/>
        </w:rPr>
      </w:pPr>
      <w:r>
        <w:rPr>
          <w:rFonts w:hint="eastAsia"/>
          <w:b/>
          <w:bCs w:val="0"/>
          <w:sz w:val="24"/>
          <w:szCs w:val="24"/>
          <w:highlight w:val="none"/>
        </w:rPr>
        <w:t>一、项目概况</w:t>
      </w:r>
    </w:p>
    <w:p w14:paraId="34BC791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本次采购项目为西塘桥街道</w:t>
      </w:r>
      <w:r>
        <w:rPr>
          <w:rFonts w:hint="eastAsia"/>
          <w:sz w:val="24"/>
          <w:szCs w:val="24"/>
          <w:highlight w:val="none"/>
          <w:lang w:val="en-US" w:eastAsia="zh-CN"/>
        </w:rPr>
        <w:t>下辖7个城市社区（包括东海社区、滨海社区、清湖社区、新港社区、海湾社区、海城社区、海景社区）</w:t>
      </w:r>
      <w:r>
        <w:rPr>
          <w:rFonts w:hint="eastAsia"/>
          <w:sz w:val="24"/>
          <w:szCs w:val="24"/>
          <w:highlight w:val="none"/>
        </w:rPr>
        <w:t>公共环境病媒生物防制服务</w:t>
      </w:r>
      <w:r>
        <w:rPr>
          <w:rFonts w:hint="eastAsia"/>
          <w:sz w:val="24"/>
          <w:szCs w:val="24"/>
          <w:highlight w:val="none"/>
          <w:lang w:eastAsia="zh-CN"/>
        </w:rPr>
        <w:t>（</w:t>
      </w:r>
      <w:r>
        <w:rPr>
          <w:rFonts w:hint="eastAsia"/>
          <w:sz w:val="24"/>
          <w:szCs w:val="24"/>
          <w:highlight w:val="none"/>
          <w:lang w:val="en-US" w:eastAsia="zh-CN"/>
        </w:rPr>
        <w:t>另含1年内建设新增的社区公共环境</w:t>
      </w:r>
      <w:r>
        <w:rPr>
          <w:rFonts w:hint="eastAsia"/>
          <w:sz w:val="24"/>
          <w:szCs w:val="24"/>
          <w:highlight w:val="none"/>
          <w:lang w:eastAsia="zh-CN"/>
        </w:rPr>
        <w:t>），</w:t>
      </w:r>
      <w:r>
        <w:rPr>
          <w:rFonts w:hint="eastAsia"/>
          <w:sz w:val="24"/>
          <w:szCs w:val="24"/>
          <w:highlight w:val="none"/>
          <w:lang w:val="en-US" w:eastAsia="zh-CN"/>
        </w:rPr>
        <w:t>服务频次：4月-11月每月四次，12月-3月每月两次</w:t>
      </w:r>
      <w:r>
        <w:rPr>
          <w:rFonts w:hint="eastAsia"/>
          <w:sz w:val="24"/>
          <w:szCs w:val="24"/>
          <w:highlight w:val="none"/>
        </w:rPr>
        <w:t>。</w:t>
      </w:r>
    </w:p>
    <w:p w14:paraId="3E08B37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rPr>
        <w:t>二、采购内容</w:t>
      </w:r>
    </w:p>
    <w:p w14:paraId="5A9D9AF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1.公共环境（包括社区范围内的八小行业，所有楼房屋顶、楼道、遮雨档板、车库车棚、棚顶跳台、窨缸窨井、下水道、绿地花坛，公共厕所、垃圾中转站、公园、垃圾箱房等公用部位环境，社区内的河道、溪流、池塘及景观水池等各类水体、大型蓄水池、电缆沟等包括封闭式小区）灭鼠、蚊蝇和蟑螂的孳生消杀控制工作。</w:t>
      </w:r>
    </w:p>
    <w:p w14:paraId="238719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2.公共环境病媒生物控制所需药物及投放、喷洒及环境处理；社区除四害技防设施的增补、清理与维护；各片区备检点小餐饮三防设施及城郊结合部重点场所三防设施的增补、清理与维护。</w:t>
      </w:r>
    </w:p>
    <w:p w14:paraId="72EA94F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3.配合街道做好突发应急事件环境消杀及市、区、街道爱卫办组织的其它除四害活动（包括要求承担的公益性服务）。</w:t>
      </w:r>
    </w:p>
    <w:p w14:paraId="13E41A0A">
      <w:pPr>
        <w:pStyle w:val="102"/>
        <w:pageBreakBefore w:val="0"/>
        <w:widowControl w:val="0"/>
        <w:kinsoku/>
        <w:wordWrap/>
        <w:overflowPunct/>
        <w:topLinePunct w:val="0"/>
        <w:autoSpaceDE/>
        <w:autoSpaceDN/>
        <w:bidi w:val="0"/>
        <w:adjustRightInd/>
        <w:snapToGrid/>
        <w:spacing w:line="360" w:lineRule="auto"/>
        <w:ind w:firstLine="480" w:firstLineChars="200"/>
        <w:rPr>
          <w:rFonts w:hint="default"/>
          <w:highlight w:val="none"/>
          <w:lang w:val="en-US" w:eastAsia="zh-CN"/>
        </w:rPr>
      </w:pPr>
      <w:r>
        <w:rPr>
          <w:rFonts w:hint="eastAsia" w:ascii="Times New Roman" w:hAnsi="Times New Roman" w:eastAsia="宋体" w:cs="Times New Roman"/>
          <w:b w:val="0"/>
          <w:bCs w:val="0"/>
          <w:kern w:val="0"/>
          <w:sz w:val="24"/>
          <w:szCs w:val="24"/>
          <w:highlight w:val="none"/>
          <w:lang w:val="en-US" w:eastAsia="zh-CN" w:bidi="ar-SA"/>
        </w:rPr>
        <w:t>4.协助街道加强除四害宣传教育，制定员工培训计划，开展各项活动，采取拍摄制作图文并茂、通俗易懂的宣传资料等方式向市民群众进行除害防病知识宣传。提高全民对做好除害防病工作重要性和必要性的认识，使之社区全覆盖、家喻户晓、人人明白、全民参与。</w:t>
      </w:r>
    </w:p>
    <w:p w14:paraId="78CF0451">
      <w:pPr>
        <w:pStyle w:val="102"/>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5.向所服务社区低保户等困难家庭户无偿提供家庭用灭幛、灭鼠药等除"四害"药品及技术指导，向所服务社区居民家庭无偿提供除"四害"技术指导。</w:t>
      </w:r>
    </w:p>
    <w:p w14:paraId="42EE84F7">
      <w:pPr>
        <w:pStyle w:val="102"/>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6.中标单位的消杀人员应定期到街道公共服务管理办公室、社区居委会报到（应定有固定作业人员3人），向分管人员汇报工作计划，并服从分配的具体工作任务。</w:t>
      </w:r>
    </w:p>
    <w:p w14:paraId="380D41CA">
      <w:pPr>
        <w:pageBreakBefore w:val="0"/>
        <w:widowControl w:val="0"/>
        <w:kinsoku/>
        <w:wordWrap/>
        <w:overflowPunct/>
        <w:topLinePunct w:val="0"/>
        <w:autoSpaceDE/>
        <w:autoSpaceDN/>
        <w:bidi w:val="0"/>
        <w:adjustRightInd/>
        <w:snapToGrid/>
        <w:spacing w:beforeLines="0"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7.每季度一次孳生地（如鼠洞、严重卫生死角等）调查，收集和处理死老鼠等。</w:t>
      </w:r>
    </w:p>
    <w:p w14:paraId="7B980184">
      <w:pPr>
        <w:pageBreakBefore w:val="0"/>
        <w:widowControl w:val="0"/>
        <w:kinsoku/>
        <w:wordWrap/>
        <w:overflowPunct/>
        <w:topLinePunct w:val="0"/>
        <w:autoSpaceDE/>
        <w:autoSpaceDN/>
        <w:bidi w:val="0"/>
        <w:adjustRightInd/>
        <w:snapToGrid/>
        <w:spacing w:beforeLines="0"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cs="Times New Roman"/>
          <w:b w:val="0"/>
          <w:bCs w:val="0"/>
          <w:kern w:val="0"/>
          <w:sz w:val="24"/>
          <w:szCs w:val="24"/>
          <w:highlight w:val="none"/>
          <w:lang w:val="en-US" w:eastAsia="zh-CN" w:bidi="ar-SA"/>
        </w:rPr>
        <w:t>8</w:t>
      </w:r>
      <w:r>
        <w:rPr>
          <w:rFonts w:hint="eastAsia" w:ascii="Times New Roman" w:hAnsi="Times New Roman" w:eastAsia="宋体" w:cs="Times New Roman"/>
          <w:b w:val="0"/>
          <w:bCs w:val="0"/>
          <w:kern w:val="0"/>
          <w:sz w:val="24"/>
          <w:szCs w:val="24"/>
          <w:highlight w:val="none"/>
          <w:lang w:val="en-US" w:eastAsia="zh-CN" w:bidi="ar-SA"/>
        </w:rPr>
        <w:t>.消杀工作之前，先告之采购单位，认真听取其建议</w:t>
      </w:r>
      <w:r>
        <w:rPr>
          <w:rFonts w:hint="eastAsia" w:cs="Times New Roman"/>
          <w:b w:val="0"/>
          <w:bCs w:val="0"/>
          <w:kern w:val="0"/>
          <w:sz w:val="24"/>
          <w:szCs w:val="24"/>
          <w:highlight w:val="none"/>
          <w:lang w:val="en-US" w:eastAsia="zh-CN" w:bidi="ar-SA"/>
        </w:rPr>
        <w:t>，并做好公示公告，告知小区居民</w:t>
      </w:r>
      <w:r>
        <w:rPr>
          <w:rFonts w:hint="eastAsia" w:ascii="Times New Roman" w:hAnsi="Times New Roman" w:eastAsia="宋体" w:cs="Times New Roman"/>
          <w:b w:val="0"/>
          <w:bCs w:val="0"/>
          <w:kern w:val="0"/>
          <w:sz w:val="24"/>
          <w:szCs w:val="24"/>
          <w:highlight w:val="none"/>
          <w:lang w:val="en-US" w:eastAsia="zh-CN" w:bidi="ar-SA"/>
        </w:rPr>
        <w:t>；服务后进行复查，及时查补遗漏，清理好现场工作器械和药物。</w:t>
      </w:r>
    </w:p>
    <w:p w14:paraId="356BAD70">
      <w:pPr>
        <w:pageBreakBefore w:val="0"/>
        <w:widowControl w:val="0"/>
        <w:kinsoku/>
        <w:wordWrap/>
        <w:overflowPunct/>
        <w:topLinePunct w:val="0"/>
        <w:autoSpaceDE/>
        <w:autoSpaceDN/>
        <w:bidi w:val="0"/>
        <w:adjustRightInd/>
        <w:snapToGrid/>
        <w:spacing w:beforeLines="0"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cs="Times New Roman"/>
          <w:b w:val="0"/>
          <w:bCs w:val="0"/>
          <w:kern w:val="0"/>
          <w:sz w:val="24"/>
          <w:szCs w:val="24"/>
          <w:highlight w:val="none"/>
          <w:lang w:val="en-US" w:eastAsia="zh-CN" w:bidi="ar-SA"/>
        </w:rPr>
        <w:t>9</w:t>
      </w:r>
      <w:r>
        <w:rPr>
          <w:rFonts w:hint="eastAsia" w:ascii="Times New Roman" w:hAnsi="Times New Roman" w:eastAsia="宋体" w:cs="Times New Roman"/>
          <w:b w:val="0"/>
          <w:bCs w:val="0"/>
          <w:kern w:val="0"/>
          <w:sz w:val="24"/>
          <w:szCs w:val="24"/>
          <w:highlight w:val="none"/>
          <w:lang w:val="en-US" w:eastAsia="zh-CN" w:bidi="ar-SA"/>
        </w:rPr>
        <w:t>.设备管理：</w:t>
      </w:r>
    </w:p>
    <w:p w14:paraId="43839B52">
      <w:pPr>
        <w:pageBreakBefore w:val="0"/>
        <w:widowControl w:val="0"/>
        <w:kinsoku/>
        <w:wordWrap/>
        <w:overflowPunct/>
        <w:topLinePunct w:val="0"/>
        <w:autoSpaceDE/>
        <w:autoSpaceDN/>
        <w:bidi w:val="0"/>
        <w:adjustRightInd/>
        <w:snapToGrid/>
        <w:spacing w:beforeLines="0"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①2025年前公共外环境投放病媒生物设备需维护清单。</w:t>
      </w:r>
    </w:p>
    <w:tbl>
      <w:tblPr>
        <w:tblStyle w:val="27"/>
        <w:tblW w:w="82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3426"/>
        <w:gridCol w:w="2077"/>
        <w:gridCol w:w="1962"/>
      </w:tblGrid>
      <w:tr w14:paraId="7D82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7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3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A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实际投放数量</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8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投放年份</w:t>
            </w:r>
          </w:p>
        </w:tc>
      </w:tr>
      <w:tr w14:paraId="3DCE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3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F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鼠饵站</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5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2074个</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r w14:paraId="405A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0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插地式捕蝇笼</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2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86个</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5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r w14:paraId="1F34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7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在下水道主管网安装挡鼠网，档鼠网宽度为</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米</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C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90米</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B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r w14:paraId="7229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5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3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外捕蝇灯</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4台</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8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bl>
    <w:p w14:paraId="3556CE3F">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kern w:val="0"/>
          <w:sz w:val="24"/>
          <w:szCs w:val="24"/>
          <w:highlight w:val="none"/>
          <w:lang w:val="en-US" w:eastAsia="zh-CN" w:bidi="ar-SA"/>
        </w:rPr>
      </w:pPr>
      <w:r>
        <w:rPr>
          <w:rFonts w:hint="eastAsia" w:cs="Times New Roman"/>
          <w:b w:val="0"/>
          <w:bCs w:val="0"/>
          <w:kern w:val="0"/>
          <w:sz w:val="24"/>
          <w:szCs w:val="24"/>
          <w:highlight w:val="none"/>
          <w:lang w:val="en-US" w:eastAsia="zh-CN" w:bidi="ar-SA"/>
        </w:rPr>
        <w:t>②</w:t>
      </w:r>
      <w:r>
        <w:rPr>
          <w:rFonts w:hint="eastAsia" w:ascii="Times New Roman" w:hAnsi="Times New Roman" w:eastAsia="宋体" w:cs="Times New Roman"/>
          <w:b w:val="0"/>
          <w:bCs w:val="0"/>
          <w:kern w:val="0"/>
          <w:sz w:val="24"/>
          <w:szCs w:val="24"/>
          <w:highlight w:val="none"/>
          <w:lang w:val="en-US" w:eastAsia="zh-CN" w:bidi="ar-SA"/>
        </w:rPr>
        <w:t>2025年公共外环境</w:t>
      </w:r>
      <w:r>
        <w:rPr>
          <w:rFonts w:hint="eastAsia" w:cs="Times New Roman"/>
          <w:b w:val="0"/>
          <w:bCs w:val="0"/>
          <w:kern w:val="0"/>
          <w:sz w:val="24"/>
          <w:szCs w:val="24"/>
          <w:highlight w:val="none"/>
          <w:lang w:val="en-US" w:eastAsia="zh-CN" w:bidi="ar-SA"/>
        </w:rPr>
        <w:t>新增</w:t>
      </w:r>
      <w:r>
        <w:rPr>
          <w:rFonts w:hint="eastAsia" w:ascii="Times New Roman" w:hAnsi="Times New Roman" w:eastAsia="宋体" w:cs="Times New Roman"/>
          <w:b w:val="0"/>
          <w:bCs w:val="0"/>
          <w:kern w:val="0"/>
          <w:sz w:val="24"/>
          <w:szCs w:val="24"/>
          <w:highlight w:val="none"/>
          <w:lang w:val="en-US" w:eastAsia="zh-CN" w:bidi="ar-SA"/>
        </w:rPr>
        <w:t>投放病媒生物设备和需维护清单</w:t>
      </w:r>
      <w:r>
        <w:rPr>
          <w:rFonts w:hint="eastAsia" w:cs="Times New Roman"/>
          <w:b w:val="0"/>
          <w:bCs w:val="0"/>
          <w:kern w:val="0"/>
          <w:sz w:val="24"/>
          <w:szCs w:val="24"/>
          <w:highlight w:val="none"/>
          <w:lang w:val="en-US" w:eastAsia="zh-CN" w:bidi="ar-SA"/>
        </w:rPr>
        <w:t>。</w:t>
      </w:r>
    </w:p>
    <w:tbl>
      <w:tblPr>
        <w:tblStyle w:val="27"/>
        <w:tblW w:w="82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3312"/>
        <w:gridCol w:w="2169"/>
        <w:gridCol w:w="1961"/>
      </w:tblGrid>
      <w:tr w14:paraId="7E10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9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6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2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计划投放数量</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F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计划投放年份</w:t>
            </w:r>
          </w:p>
        </w:tc>
      </w:tr>
      <w:tr w14:paraId="75C4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5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1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鼠饵站</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4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2000个</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3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w:t>
            </w:r>
          </w:p>
        </w:tc>
      </w:tr>
      <w:tr w14:paraId="33DC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1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3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插地式捕蝇笼</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B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80个</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B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w:t>
            </w:r>
          </w:p>
        </w:tc>
      </w:tr>
      <w:tr w14:paraId="2544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1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在下水道主管网安装挡鼠网，档鼠网宽度为</w:t>
            </w:r>
            <w:r>
              <w:rPr>
                <w:rStyle w:val="103"/>
                <w:rFonts w:eastAsia="宋体"/>
                <w:lang w:val="en-US" w:eastAsia="zh-CN" w:bidi="ar"/>
              </w:rPr>
              <w:t>1.2</w:t>
            </w:r>
            <w:r>
              <w:rPr>
                <w:rFonts w:hint="eastAsia" w:ascii="宋体" w:hAnsi="宋体" w:eastAsia="宋体" w:cs="宋体"/>
                <w:i w:val="0"/>
                <w:iCs w:val="0"/>
                <w:color w:val="000000"/>
                <w:kern w:val="0"/>
                <w:sz w:val="24"/>
                <w:szCs w:val="24"/>
                <w:u w:val="none"/>
                <w:lang w:val="en-US" w:eastAsia="zh-CN" w:bidi="ar"/>
              </w:rPr>
              <w:t>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6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70米</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3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w:t>
            </w:r>
          </w:p>
        </w:tc>
      </w:tr>
    </w:tbl>
    <w:p w14:paraId="7E673860">
      <w:pPr>
        <w:pStyle w:val="2"/>
        <w:keepNext w:val="0"/>
        <w:keepLines w:val="0"/>
        <w:pageBreakBefore w:val="0"/>
        <w:widowControl w:val="0"/>
        <w:kinsoku/>
        <w:wordWrap/>
        <w:overflowPunct/>
        <w:topLinePunct w:val="0"/>
        <w:autoSpaceDE/>
        <w:autoSpaceDN/>
        <w:bidi w:val="0"/>
        <w:adjustRightInd/>
        <w:snapToGrid/>
        <w:textAlignment w:val="auto"/>
        <w:rPr>
          <w:rFonts w:hint="eastAsia" w:cs="Times New Roman"/>
          <w:b w:val="0"/>
          <w:bCs w:val="0"/>
          <w:kern w:val="0"/>
          <w:sz w:val="24"/>
          <w:szCs w:val="24"/>
          <w:highlight w:val="none"/>
          <w:lang w:val="en-US" w:eastAsia="zh-CN" w:bidi="ar-SA"/>
        </w:rPr>
      </w:pPr>
    </w:p>
    <w:p w14:paraId="4BB339E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highlight w:val="none"/>
          <w:lang w:eastAsia="zh-CN"/>
        </w:rPr>
      </w:pPr>
      <w:r>
        <w:rPr>
          <w:rFonts w:hint="eastAsia"/>
          <w:b/>
          <w:bCs/>
          <w:sz w:val="24"/>
          <w:szCs w:val="24"/>
          <w:highlight w:val="none"/>
          <w:lang w:eastAsia="zh-CN"/>
        </w:rPr>
        <w:t>此项在报价中综合考虑。</w:t>
      </w:r>
    </w:p>
    <w:p w14:paraId="4B2266CF">
      <w:pPr>
        <w:ind w:firstLine="480" w:firstLineChars="200"/>
        <w:outlineLvl w:val="9"/>
        <w:rPr>
          <w:rFonts w:hint="eastAsia" w:ascii="Times New Roman" w:hAnsi="Times New Roman" w:eastAsia="宋体" w:cs="Times New Roman"/>
          <w:b w:val="0"/>
          <w:bCs w:val="0"/>
          <w:kern w:val="0"/>
          <w:sz w:val="24"/>
          <w:szCs w:val="24"/>
          <w:highlight w:val="none"/>
          <w:lang w:val="en-US" w:eastAsia="zh-CN" w:bidi="ar-SA"/>
        </w:rPr>
      </w:pPr>
      <w:r>
        <w:rPr>
          <w:rFonts w:hint="eastAsia" w:cs="Times New Roman"/>
          <w:b w:val="0"/>
          <w:bCs w:val="0"/>
          <w:kern w:val="0"/>
          <w:sz w:val="24"/>
          <w:szCs w:val="24"/>
          <w:highlight w:val="none"/>
          <w:lang w:val="en-US" w:eastAsia="zh-CN" w:bidi="ar-SA"/>
        </w:rPr>
        <w:t>10.</w:t>
      </w:r>
      <w:r>
        <w:rPr>
          <w:rFonts w:hint="eastAsia" w:ascii="Times New Roman" w:hAnsi="Times New Roman" w:eastAsia="宋体" w:cs="Times New Roman"/>
          <w:b w:val="0"/>
          <w:bCs w:val="0"/>
          <w:kern w:val="0"/>
          <w:sz w:val="24"/>
          <w:szCs w:val="24"/>
          <w:highlight w:val="none"/>
          <w:lang w:val="en-US" w:eastAsia="zh-CN" w:bidi="ar-SA"/>
        </w:rPr>
        <w:t>每月开展至少一次除四害宣传工作</w:t>
      </w:r>
      <w:r>
        <w:rPr>
          <w:rFonts w:hint="eastAsia" w:cs="Times New Roman"/>
          <w:b w:val="0"/>
          <w:bCs w:val="0"/>
          <w:kern w:val="0"/>
          <w:sz w:val="24"/>
          <w:szCs w:val="24"/>
          <w:highlight w:val="none"/>
          <w:lang w:val="en-US" w:eastAsia="zh-CN" w:bidi="ar-SA"/>
        </w:rPr>
        <w:t>，宣传工作根据业主要求。</w:t>
      </w:r>
    </w:p>
    <w:p w14:paraId="3A487EE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rPr>
        <w:t>三、服务期限：</w:t>
      </w:r>
    </w:p>
    <w:p w14:paraId="7EF255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rPr>
      </w:pPr>
      <w:r>
        <w:rPr>
          <w:rFonts w:hint="eastAsia"/>
          <w:sz w:val="24"/>
          <w:szCs w:val="24"/>
          <w:highlight w:val="none"/>
        </w:rPr>
        <w:t>合同签订之日起</w:t>
      </w:r>
      <w:r>
        <w:rPr>
          <w:rFonts w:hint="eastAsia"/>
          <w:sz w:val="24"/>
          <w:szCs w:val="24"/>
          <w:highlight w:val="none"/>
          <w:lang w:val="en-US" w:eastAsia="zh-CN"/>
        </w:rPr>
        <w:t>1年完成病媒生物控制工作</w:t>
      </w:r>
      <w:r>
        <w:rPr>
          <w:rFonts w:hint="eastAsia"/>
          <w:sz w:val="24"/>
          <w:szCs w:val="24"/>
          <w:highlight w:val="none"/>
        </w:rPr>
        <w:t>。</w:t>
      </w:r>
    </w:p>
    <w:p w14:paraId="3364C20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rPr>
        <w:t>四、服务费用</w:t>
      </w:r>
    </w:p>
    <w:p w14:paraId="4649A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sz w:val="24"/>
          <w:szCs w:val="24"/>
          <w:highlight w:val="none"/>
        </w:rPr>
        <w:t>投标人的最终报价应包括所有消杀服务所需的药物、器械、人工、运杂、税金、</w:t>
      </w:r>
      <w:r>
        <w:rPr>
          <w:rFonts w:hint="eastAsia"/>
          <w:sz w:val="24"/>
          <w:szCs w:val="24"/>
          <w:highlight w:val="none"/>
          <w:lang w:val="en-US" w:eastAsia="zh-CN"/>
        </w:rPr>
        <w:t>设备、</w:t>
      </w:r>
      <w:r>
        <w:rPr>
          <w:rFonts w:hint="eastAsia"/>
          <w:sz w:val="24"/>
          <w:szCs w:val="24"/>
          <w:highlight w:val="none"/>
        </w:rPr>
        <w:t>相关服务承诺等各项可能涉及的费用。</w:t>
      </w:r>
    </w:p>
    <w:p w14:paraId="0DB65E17">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lang w:val="en-US" w:eastAsia="zh-CN"/>
        </w:rPr>
      </w:pPr>
      <w:r>
        <w:rPr>
          <w:rFonts w:hint="eastAsia"/>
          <w:b/>
          <w:bCs/>
          <w:sz w:val="24"/>
          <w:szCs w:val="24"/>
          <w:highlight w:val="none"/>
          <w:lang w:val="en-US" w:eastAsia="zh-CN"/>
        </w:rPr>
        <w:t>供应商工作要求</w:t>
      </w:r>
    </w:p>
    <w:p w14:paraId="4791548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1.供应商病媒生物防制药物需选用符合国家规定要求的药物，选用高效低毒杀虫、灭鼠剂，进货渠道正规，所有农药登记证，符合“三证要求”，严禁使用国家禁用药物，并在街道爱卫办备案。</w:t>
      </w:r>
    </w:p>
    <w:p w14:paraId="7D4F82F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2.供应商安排的有害生物防制服务</w:t>
      </w:r>
      <w:r>
        <w:rPr>
          <w:rFonts w:hint="eastAsia" w:ascii="Times New Roman" w:hAnsi="Times New Roman" w:eastAsia="宋体" w:cs="Times New Roman"/>
          <w:b w:val="0"/>
          <w:bCs w:val="0"/>
          <w:sz w:val="24"/>
          <w:szCs w:val="24"/>
          <w:highlight w:val="none"/>
          <w:lang w:val="en-US" w:eastAsia="zh-CN" w:bidi="ar-SA"/>
        </w:rPr>
        <w:t>作业人员</w:t>
      </w:r>
      <w:r>
        <w:rPr>
          <w:rFonts w:hint="eastAsia" w:cs="Times New Roman"/>
          <w:b w:val="0"/>
          <w:bCs w:val="0"/>
          <w:sz w:val="24"/>
          <w:szCs w:val="24"/>
          <w:highlight w:val="none"/>
          <w:lang w:val="en-US" w:eastAsia="zh-CN" w:bidi="ar-SA"/>
        </w:rPr>
        <w:t>需</w:t>
      </w:r>
      <w:r>
        <w:rPr>
          <w:rFonts w:hint="eastAsia" w:ascii="Times New Roman" w:hAnsi="Times New Roman" w:eastAsia="宋体" w:cs="Times New Roman"/>
          <w:b w:val="0"/>
          <w:bCs w:val="0"/>
          <w:sz w:val="24"/>
          <w:szCs w:val="24"/>
          <w:highlight w:val="none"/>
          <w:lang w:val="en-US" w:eastAsia="zh-CN" w:bidi="ar-SA"/>
        </w:rPr>
        <w:t>具备病媒生物服务资质，拥有有害生物防治员证或除四害科技协会颁发的从业资格证。</w:t>
      </w:r>
      <w:r>
        <w:rPr>
          <w:rFonts w:hint="eastAsia"/>
          <w:sz w:val="24"/>
          <w:szCs w:val="24"/>
          <w:highlight w:val="none"/>
          <w:lang w:val="en-US" w:eastAsia="zh-CN"/>
        </w:rPr>
        <w:t>有害生物防制服务单位</w:t>
      </w:r>
      <w:r>
        <w:rPr>
          <w:rFonts w:hint="eastAsia" w:ascii="Times New Roman" w:hAnsi="Times New Roman" w:eastAsia="宋体" w:cs="Times New Roman"/>
          <w:b w:val="0"/>
          <w:bCs w:val="0"/>
          <w:sz w:val="24"/>
          <w:szCs w:val="24"/>
          <w:highlight w:val="none"/>
          <w:lang w:val="en-US" w:eastAsia="zh-CN" w:bidi="ar-SA"/>
        </w:rPr>
        <w:t>作业人员</w:t>
      </w:r>
      <w:r>
        <w:rPr>
          <w:rFonts w:hint="eastAsia" w:cs="Times New Roman"/>
          <w:b w:val="0"/>
          <w:bCs w:val="0"/>
          <w:sz w:val="24"/>
          <w:szCs w:val="24"/>
          <w:highlight w:val="none"/>
          <w:lang w:val="en-US" w:eastAsia="zh-CN" w:bidi="ar-SA"/>
        </w:rPr>
        <w:t>，需在街道爱卫办登记备案，中途变更重新登记备案。</w:t>
      </w:r>
    </w:p>
    <w:p w14:paraId="2D34E96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3.供应商应科学规范的使用要求，确保人、禽的安全；</w:t>
      </w:r>
    </w:p>
    <w:p w14:paraId="661A61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4.供应商应向承包片区的社区居民公示公司名称、负责人、联系电话，以及街道爱卫办监督电话（应在小区楼道、社区告示栏等处上墙公示基本信息）。</w:t>
      </w:r>
    </w:p>
    <w:p w14:paraId="12E3A89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5.供应商在作业后提交作业记录单（需经社区和街道签字确认），每月30日应向街道提供本月作业记录单和工作小结、下月月工作计划。</w:t>
      </w:r>
    </w:p>
    <w:p w14:paraId="568338B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6.资料管理：供应商每次作业均需在作业联系单载明用药名称、浓度、用量，并按照《创建国家卫生城市工作档案基本资料参考目录》、《浙江省病媒生物控制水平评估认可管理办法》、《嘉兴市镇区病媒生物控制水平评估认可管理办法》的要求，完善病媒生物防制工作的相关资料，确保街道后续病媒生物A级街道复评资料满足相关要求。</w:t>
      </w:r>
    </w:p>
    <w:p w14:paraId="355EEFB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lang w:val="en-US" w:eastAsia="zh-CN"/>
        </w:rPr>
        <w:t>六</w:t>
      </w:r>
      <w:r>
        <w:rPr>
          <w:rFonts w:hint="eastAsia"/>
          <w:b/>
          <w:bCs/>
          <w:sz w:val="24"/>
          <w:szCs w:val="24"/>
          <w:highlight w:val="none"/>
        </w:rPr>
        <w:t>、质量要求</w:t>
      </w:r>
    </w:p>
    <w:p w14:paraId="132DAF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1.服务质量达到《中华人民共和国国家标准》（GB／[T27770－27773]—2011〔鼠、蚊、蝇、蟑螂〕）规定标准A级控制水平</w:t>
      </w:r>
      <w:r>
        <w:rPr>
          <w:rFonts w:hint="eastAsia"/>
          <w:sz w:val="24"/>
          <w:szCs w:val="24"/>
          <w:highlight w:val="none"/>
          <w:lang w:eastAsia="zh-CN"/>
        </w:rPr>
        <w:t>，</w:t>
      </w:r>
      <w:r>
        <w:rPr>
          <w:rFonts w:hint="eastAsia"/>
          <w:sz w:val="24"/>
          <w:szCs w:val="24"/>
          <w:highlight w:val="none"/>
          <w:lang w:val="en-US" w:eastAsia="zh-CN"/>
        </w:rPr>
        <w:t>持续巩固街道病媒A级创建成果</w:t>
      </w:r>
      <w:r>
        <w:rPr>
          <w:rFonts w:hint="eastAsia"/>
          <w:sz w:val="24"/>
          <w:szCs w:val="24"/>
          <w:highlight w:val="none"/>
        </w:rPr>
        <w:t>。</w:t>
      </w:r>
    </w:p>
    <w:p w14:paraId="6882138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具体如下：</w:t>
      </w:r>
    </w:p>
    <w:p w14:paraId="7F04F6CD">
      <w:pPr>
        <w:pStyle w:val="16"/>
        <w:snapToGrid w:val="0"/>
        <w:spacing w:before="120" w:after="120" w:line="360" w:lineRule="auto"/>
        <w:ind w:left="361" w:hanging="408" w:hangingChars="170"/>
        <w:rPr>
          <w:rFonts w:hint="eastAsia" w:hAnsi="宋体"/>
          <w:sz w:val="24"/>
          <w:szCs w:val="24"/>
          <w:highlight w:val="none"/>
        </w:rPr>
      </w:pPr>
      <w:r>
        <w:rPr>
          <w:rFonts w:hint="eastAsia" w:hAnsi="宋体"/>
          <w:sz w:val="24"/>
          <w:szCs w:val="24"/>
          <w:highlight w:val="none"/>
        </w:rPr>
        <w:t>《中华人民共和国国家标准》（GB／[T27770－27773]—2011〔鼠、蚊、蝇、蟑螂〕）摘录：</w:t>
      </w:r>
    </w:p>
    <w:p w14:paraId="4ECE64AE">
      <w:pPr>
        <w:pStyle w:val="16"/>
        <w:numPr>
          <w:ilvl w:val="0"/>
          <w:numId w:val="0"/>
        </w:numPr>
        <w:snapToGrid w:val="0"/>
        <w:spacing w:before="120" w:after="120" w:line="360" w:lineRule="auto"/>
        <w:ind w:left="315" w:leftChars="0"/>
        <w:rPr>
          <w:rFonts w:hint="eastAsia"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鼠密度控制水平A级</w:t>
      </w:r>
    </w:p>
    <w:p w14:paraId="0D2CE516">
      <w:pPr>
        <w:pStyle w:val="16"/>
        <w:snapToGrid w:val="0"/>
        <w:spacing w:before="120" w:after="120" w:line="360" w:lineRule="auto"/>
        <w:ind w:left="315" w:firstLine="360" w:firstLineChars="150"/>
        <w:rPr>
          <w:rFonts w:hint="eastAsia" w:hAnsi="宋体"/>
          <w:sz w:val="24"/>
          <w:szCs w:val="24"/>
          <w:highlight w:val="none"/>
        </w:rPr>
      </w:pPr>
      <w:r>
        <w:rPr>
          <w:rFonts w:hint="eastAsia" w:hAnsi="宋体"/>
          <w:sz w:val="24"/>
          <w:szCs w:val="24"/>
          <w:highlight w:val="none"/>
        </w:rPr>
        <w:t>防鼠设施合格率≥97%； 室内鼠迹阳性率≤1%；   外环境鼠路径指数≤1。</w:t>
      </w:r>
    </w:p>
    <w:p w14:paraId="71CF4970">
      <w:pPr>
        <w:pStyle w:val="16"/>
        <w:snapToGrid w:val="0"/>
        <w:spacing w:before="120" w:after="120" w:line="360" w:lineRule="auto"/>
        <w:ind w:left="361" w:hanging="408" w:hangingChars="170"/>
        <w:rPr>
          <w:rFonts w:hint="eastAsia" w:hAnsi="宋体"/>
          <w:sz w:val="24"/>
          <w:szCs w:val="24"/>
          <w:highlight w:val="none"/>
        </w:rPr>
      </w:pPr>
      <w:r>
        <w:rPr>
          <w:rFonts w:hint="eastAsia" w:hAnsi="宋体"/>
          <w:sz w:val="24"/>
          <w:szCs w:val="24"/>
          <w:highlight w:val="none"/>
        </w:rPr>
        <w:t xml:space="preserve">   </w:t>
      </w:r>
      <w:r>
        <w:rPr>
          <w:rFonts w:hint="eastAsia" w:hAnsi="宋体"/>
          <w:sz w:val="24"/>
          <w:szCs w:val="24"/>
          <w:highlight w:val="none"/>
          <w:lang w:val="en-US" w:eastAsia="zh-CN"/>
        </w:rPr>
        <w:t>(</w:t>
      </w:r>
      <w:r>
        <w:rPr>
          <w:rFonts w:hint="eastAsia" w:hAnsi="宋体"/>
          <w:sz w:val="24"/>
          <w:szCs w:val="24"/>
          <w:highlight w:val="none"/>
        </w:rPr>
        <w:t>2</w:t>
      </w:r>
      <w:r>
        <w:rPr>
          <w:rFonts w:hint="eastAsia" w:hAnsi="宋体"/>
          <w:sz w:val="24"/>
          <w:szCs w:val="24"/>
          <w:highlight w:val="none"/>
          <w:lang w:val="en-US" w:eastAsia="zh-CN"/>
        </w:rPr>
        <w:t>)</w:t>
      </w:r>
      <w:r>
        <w:rPr>
          <w:rFonts w:hint="eastAsia" w:hAnsi="宋体"/>
          <w:sz w:val="24"/>
          <w:szCs w:val="24"/>
          <w:highlight w:val="none"/>
        </w:rPr>
        <w:t>蚊虫密度控制水平A级</w:t>
      </w:r>
    </w:p>
    <w:p w14:paraId="70BC2B23">
      <w:pPr>
        <w:pStyle w:val="16"/>
        <w:snapToGrid w:val="0"/>
        <w:spacing w:before="120" w:after="120" w:line="360" w:lineRule="auto"/>
        <w:ind w:left="573" w:hanging="648" w:hangingChars="270"/>
        <w:rPr>
          <w:rFonts w:hint="eastAsia" w:hAnsi="宋体"/>
          <w:sz w:val="24"/>
          <w:szCs w:val="24"/>
          <w:highlight w:val="none"/>
        </w:rPr>
      </w:pPr>
      <w:r>
        <w:rPr>
          <w:rFonts w:hint="eastAsia" w:hAnsi="宋体"/>
          <w:sz w:val="24"/>
          <w:szCs w:val="24"/>
          <w:highlight w:val="none"/>
        </w:rPr>
        <w:t xml:space="preserve">     小型积水蚊虫路径指数≤0.1；大中型水体蚊虫采样勺指数≤1%，平均每阳性勺少于3只蚊幼虫和蛹；外环境蚊虫停落指数≤0.5。</w:t>
      </w:r>
    </w:p>
    <w:p w14:paraId="0D47BAAD">
      <w:pPr>
        <w:pStyle w:val="16"/>
        <w:numPr>
          <w:ilvl w:val="0"/>
          <w:numId w:val="0"/>
        </w:numPr>
        <w:snapToGrid w:val="0"/>
        <w:spacing w:before="120" w:after="120" w:line="360" w:lineRule="auto"/>
        <w:ind w:left="315" w:leftChars="0"/>
        <w:rPr>
          <w:rFonts w:hint="eastAsia" w:hAnsi="宋体"/>
          <w:sz w:val="24"/>
          <w:szCs w:val="24"/>
          <w:highlight w:val="none"/>
        </w:rPr>
      </w:pPr>
      <w:r>
        <w:rPr>
          <w:rFonts w:hint="eastAsia" w:hAnsi="宋体"/>
          <w:sz w:val="24"/>
          <w:szCs w:val="24"/>
          <w:highlight w:val="none"/>
          <w:lang w:val="en-US" w:eastAsia="zh-CN"/>
        </w:rPr>
        <w:t>(3)</w:t>
      </w:r>
      <w:r>
        <w:rPr>
          <w:rFonts w:hint="eastAsia" w:hAnsi="宋体"/>
          <w:sz w:val="24"/>
          <w:szCs w:val="24"/>
          <w:highlight w:val="none"/>
        </w:rPr>
        <w:t>蝇密度控制水平A级</w:t>
      </w:r>
    </w:p>
    <w:p w14:paraId="6A142576">
      <w:pPr>
        <w:pStyle w:val="16"/>
        <w:snapToGrid w:val="0"/>
        <w:spacing w:before="120" w:after="120" w:line="360" w:lineRule="auto"/>
        <w:ind w:left="315" w:firstLine="360" w:firstLineChars="150"/>
        <w:rPr>
          <w:rFonts w:hint="eastAsia" w:hAnsi="宋体"/>
          <w:sz w:val="24"/>
          <w:szCs w:val="24"/>
          <w:highlight w:val="none"/>
        </w:rPr>
      </w:pPr>
      <w:r>
        <w:rPr>
          <w:rFonts w:hint="eastAsia" w:hAnsi="宋体"/>
          <w:sz w:val="24"/>
          <w:szCs w:val="24"/>
          <w:highlight w:val="none"/>
        </w:rPr>
        <w:t>防蝇设施合格率≥98%；</w:t>
      </w:r>
    </w:p>
    <w:p w14:paraId="32031D40">
      <w:pPr>
        <w:pStyle w:val="16"/>
        <w:snapToGrid w:val="0"/>
        <w:spacing w:before="120" w:after="120" w:line="360" w:lineRule="auto"/>
        <w:ind w:left="361" w:hanging="408" w:hangingChars="170"/>
        <w:rPr>
          <w:rFonts w:hint="eastAsia" w:hAnsi="宋体"/>
          <w:sz w:val="24"/>
          <w:szCs w:val="24"/>
          <w:highlight w:val="none"/>
        </w:rPr>
      </w:pPr>
      <w:r>
        <w:rPr>
          <w:rFonts w:hint="eastAsia" w:hAnsi="宋体"/>
          <w:sz w:val="24"/>
          <w:szCs w:val="24"/>
          <w:highlight w:val="none"/>
        </w:rPr>
        <w:t xml:space="preserve">      生产销售直接入口食品的场所不得有蝇，室内不得存在蝇类孳生地；</w:t>
      </w:r>
    </w:p>
    <w:p w14:paraId="3C5DEEEB">
      <w:pPr>
        <w:pStyle w:val="16"/>
        <w:snapToGrid w:val="0"/>
        <w:spacing w:before="120" w:after="120" w:line="360" w:lineRule="auto"/>
        <w:ind w:left="315" w:leftChars="150" w:firstLine="360" w:firstLineChars="150"/>
        <w:rPr>
          <w:rFonts w:hint="eastAsia" w:hAnsi="宋体"/>
          <w:sz w:val="24"/>
          <w:szCs w:val="24"/>
          <w:highlight w:val="none"/>
        </w:rPr>
      </w:pPr>
      <w:r>
        <w:rPr>
          <w:rFonts w:hint="eastAsia" w:hAnsi="宋体"/>
          <w:sz w:val="24"/>
          <w:szCs w:val="24"/>
          <w:highlight w:val="none"/>
        </w:rPr>
        <w:t>室内有蝇房间阳性率≤3%，阳性间蝇密度≤3只/间；室外蝇类孳生地阳性率≤1%；</w:t>
      </w:r>
    </w:p>
    <w:p w14:paraId="4633BD46">
      <w:pPr>
        <w:pStyle w:val="16"/>
        <w:snapToGrid w:val="0"/>
        <w:spacing w:before="120" w:after="120" w:line="360" w:lineRule="auto"/>
        <w:ind w:left="361" w:hanging="408" w:hangingChars="170"/>
        <w:rPr>
          <w:rFonts w:hint="eastAsia" w:hAnsi="宋体"/>
          <w:sz w:val="24"/>
          <w:szCs w:val="24"/>
          <w:highlight w:val="none"/>
        </w:rPr>
      </w:pPr>
      <w:r>
        <w:rPr>
          <w:rFonts w:hint="eastAsia" w:hAnsi="宋体"/>
          <w:sz w:val="24"/>
          <w:szCs w:val="24"/>
          <w:highlight w:val="none"/>
        </w:rPr>
        <w:t>　　</w:t>
      </w:r>
      <w:r>
        <w:rPr>
          <w:rFonts w:hint="eastAsia" w:hAnsi="宋体"/>
          <w:sz w:val="24"/>
          <w:szCs w:val="24"/>
          <w:highlight w:val="none"/>
          <w:lang w:val="en-US" w:eastAsia="zh-CN"/>
        </w:rPr>
        <w:t>(4)</w:t>
      </w:r>
      <w:r>
        <w:rPr>
          <w:rFonts w:hint="eastAsia" w:hAnsi="宋体"/>
          <w:sz w:val="24"/>
          <w:szCs w:val="24"/>
          <w:highlight w:val="none"/>
        </w:rPr>
        <w:t>蟑螂密度控制水平A级</w:t>
      </w:r>
    </w:p>
    <w:p w14:paraId="5FF13747">
      <w:pPr>
        <w:spacing w:line="360" w:lineRule="auto"/>
        <w:rPr>
          <w:rFonts w:hint="eastAsia" w:hAnsi="宋体"/>
          <w:sz w:val="24"/>
          <w:szCs w:val="24"/>
          <w:highlight w:val="none"/>
        </w:rPr>
      </w:pPr>
      <w:r>
        <w:rPr>
          <w:rFonts w:hint="eastAsia" w:hAnsi="宋体"/>
          <w:sz w:val="24"/>
          <w:szCs w:val="24"/>
          <w:highlight w:val="none"/>
        </w:rPr>
        <w:t xml:space="preserve">      蜚蠊成若虫侵害率≤1%，平均每阳性间（处）成若虫数小蠊≤5只，大蠊≤2只；</w:t>
      </w:r>
    </w:p>
    <w:p w14:paraId="631F76EF">
      <w:pPr>
        <w:spacing w:line="360" w:lineRule="auto"/>
        <w:ind w:firstLine="720" w:firstLineChars="300"/>
        <w:rPr>
          <w:rFonts w:hint="eastAsia" w:hAnsi="宋体"/>
          <w:sz w:val="24"/>
          <w:szCs w:val="24"/>
          <w:highlight w:val="none"/>
        </w:rPr>
      </w:pPr>
      <w:r>
        <w:rPr>
          <w:rFonts w:hint="eastAsia" w:hAnsi="宋体"/>
          <w:sz w:val="24"/>
          <w:szCs w:val="24"/>
          <w:highlight w:val="none"/>
        </w:rPr>
        <w:t>蟑螂卵鞘密度查获率≤1%，平均每阳性间（处）卵鞘数≤2只/间）；</w:t>
      </w:r>
    </w:p>
    <w:p w14:paraId="6EFFF059">
      <w:pPr>
        <w:spacing w:line="400" w:lineRule="exact"/>
        <w:ind w:firstLine="720" w:firstLineChars="300"/>
        <w:rPr>
          <w:rFonts w:hint="default"/>
          <w:highlight w:val="none"/>
          <w:lang w:val="en-US" w:eastAsia="zh-CN"/>
        </w:rPr>
      </w:pPr>
      <w:r>
        <w:rPr>
          <w:rFonts w:hint="eastAsia" w:hAnsi="宋体"/>
          <w:sz w:val="24"/>
          <w:szCs w:val="24"/>
          <w:highlight w:val="none"/>
        </w:rPr>
        <w:t>蟑迹查获率≤3%</w:t>
      </w:r>
      <w:r>
        <w:rPr>
          <w:rFonts w:hint="eastAsia" w:hAnsi="宋体" w:cs="宋体"/>
          <w:sz w:val="24"/>
          <w:szCs w:val="24"/>
          <w:highlight w:val="none"/>
        </w:rPr>
        <w:t>。</w:t>
      </w:r>
    </w:p>
    <w:p w14:paraId="368EE4E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群众</w:t>
      </w:r>
      <w:r>
        <w:rPr>
          <w:rFonts w:hint="eastAsia"/>
          <w:sz w:val="24"/>
          <w:szCs w:val="24"/>
          <w:highlight w:val="none"/>
        </w:rPr>
        <w:t>满意率达90%（含）以上；</w:t>
      </w:r>
    </w:p>
    <w:p w14:paraId="579A54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eastAsia="zh-CN"/>
        </w:rPr>
      </w:pPr>
      <w:r>
        <w:rPr>
          <w:rFonts w:hint="eastAsia"/>
          <w:sz w:val="24"/>
          <w:szCs w:val="24"/>
          <w:highlight w:val="none"/>
        </w:rPr>
        <w:t>3.</w:t>
      </w:r>
      <w:r>
        <w:rPr>
          <w:rFonts w:hint="eastAsia" w:eastAsia="宋体"/>
          <w:sz w:val="24"/>
          <w:szCs w:val="24"/>
          <w:highlight w:val="none"/>
        </w:rPr>
        <w:t>确保病媒生物防制工作</w:t>
      </w:r>
      <w:r>
        <w:rPr>
          <w:rFonts w:hint="eastAsia" w:eastAsia="宋体"/>
          <w:sz w:val="24"/>
          <w:szCs w:val="24"/>
          <w:highlight w:val="none"/>
          <w:lang w:val="en-US" w:eastAsia="zh-CN"/>
        </w:rPr>
        <w:t>通过县城区病媒生物B级复评</w:t>
      </w:r>
      <w:r>
        <w:rPr>
          <w:rFonts w:hint="eastAsia" w:eastAsia="宋体"/>
          <w:sz w:val="24"/>
          <w:szCs w:val="24"/>
          <w:highlight w:val="none"/>
        </w:rPr>
        <w:t>和</w:t>
      </w:r>
      <w:r>
        <w:rPr>
          <w:rFonts w:hint="eastAsia"/>
          <w:sz w:val="24"/>
          <w:szCs w:val="24"/>
          <w:highlight w:val="none"/>
          <w:lang w:val="en-US" w:eastAsia="zh-CN"/>
        </w:rPr>
        <w:t>街道</w:t>
      </w:r>
      <w:r>
        <w:rPr>
          <w:rFonts w:hint="eastAsia" w:eastAsia="宋体"/>
          <w:sz w:val="24"/>
          <w:szCs w:val="24"/>
          <w:highlight w:val="none"/>
        </w:rPr>
        <w:t>病媒生物</w:t>
      </w:r>
      <w:r>
        <w:rPr>
          <w:rFonts w:hint="eastAsia"/>
          <w:sz w:val="24"/>
          <w:szCs w:val="24"/>
          <w:highlight w:val="none"/>
          <w:lang w:val="en-US" w:eastAsia="zh-CN"/>
        </w:rPr>
        <w:t>A级持续巩固</w:t>
      </w:r>
      <w:r>
        <w:rPr>
          <w:rFonts w:hint="eastAsia" w:eastAsia="宋体"/>
          <w:sz w:val="24"/>
          <w:szCs w:val="24"/>
          <w:highlight w:val="none"/>
        </w:rPr>
        <w:t>，在上级检查中不失责任分。</w:t>
      </w:r>
    </w:p>
    <w:p w14:paraId="180DC4D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lang w:val="en-US" w:eastAsia="zh-CN"/>
        </w:rPr>
        <w:t>七</w:t>
      </w:r>
      <w:r>
        <w:rPr>
          <w:rFonts w:hint="eastAsia"/>
          <w:b/>
          <w:bCs/>
          <w:sz w:val="24"/>
          <w:szCs w:val="24"/>
          <w:highlight w:val="none"/>
        </w:rPr>
        <w:t>、考核要求：</w:t>
      </w:r>
    </w:p>
    <w:p w14:paraId="63922F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1.根据考核内容（具体考核内容详见附件），街道爱卫办每季度抽查一次承包区内蚊蝇鼠消杀情况和孳生地控制情况，每年组织一次年终综合考核。社区每月一次日常巡查，日常巡查有害生物防制服务单位对窨井、垃圾箱等处成蝇、成蚊控制情况，本辖区内的消杀工作进行现场检查核实。在4月、11月鼠类繁殖高峰，5～6月、9～10月蚊蝇繁殖高峰时节，街道爱卫办联合社区要增加检查频次。</w:t>
      </w:r>
    </w:p>
    <w:p w14:paraId="41FDDC6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2.群众满意度调查：根据《公共环境病媒生物防制工作群众调查表》，每季至少调查访问100名居民（其中街道爱卫办访问20名，每个社区访问15名），听取、收集居民意见，以了解群众的满意度。</w:t>
      </w:r>
    </w:p>
    <w:p w14:paraId="2DCCAED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szCs w:val="24"/>
          <w:highlight w:val="none"/>
          <w:lang w:val="en-US" w:eastAsia="zh-CN" w:bidi="ar-SA"/>
        </w:rPr>
      </w:pPr>
      <w:r>
        <w:rPr>
          <w:rFonts w:hint="eastAsia"/>
          <w:sz w:val="24"/>
          <w:szCs w:val="24"/>
          <w:highlight w:val="none"/>
          <w:lang w:val="en-US" w:eastAsia="zh-CN"/>
        </w:rPr>
        <w:t>3.付款方式</w:t>
      </w:r>
      <w:r>
        <w:rPr>
          <w:rFonts w:hint="eastAsia" w:ascii="Times New Roman" w:hAnsi="Times New Roman" w:eastAsia="宋体" w:cs="Times New Roman"/>
          <w:kern w:val="0"/>
          <w:sz w:val="24"/>
          <w:szCs w:val="24"/>
          <w:highlight w:val="none"/>
          <w:lang w:val="en-US" w:eastAsia="zh-CN" w:bidi="ar-SA"/>
        </w:rPr>
        <w:t>：</w:t>
      </w:r>
      <w:r>
        <w:rPr>
          <w:rFonts w:hint="eastAsia" w:ascii="宋体" w:hAnsi="宋体" w:cs="Arial"/>
          <w:color w:val="auto"/>
          <w:kern w:val="0"/>
          <w:sz w:val="24"/>
          <w:szCs w:val="24"/>
          <w:highlight w:val="none"/>
          <w:u w:val="single"/>
          <w:lang w:val="en-US" w:eastAsia="zh-CN"/>
        </w:rPr>
        <w:t>合同生效以及具备实施条件后7个工作日内支付合同价的70％；合同执行满6个月，街道爱卫办对乙方的消杀质量进行期中考核，考核结果达到</w:t>
      </w:r>
      <w:r>
        <w:rPr>
          <w:rFonts w:hint="eastAsia" w:ascii="宋体" w:hAnsi="宋体" w:cs="Arial"/>
          <w:b w:val="0"/>
          <w:bCs w:val="0"/>
          <w:color w:val="auto"/>
          <w:kern w:val="0"/>
          <w:sz w:val="24"/>
          <w:szCs w:val="24"/>
          <w:highlight w:val="none"/>
          <w:u w:val="single"/>
          <w:lang w:val="en-US" w:eastAsia="zh-CN"/>
        </w:rPr>
        <w:t>第十四条</w:t>
      </w:r>
      <w:r>
        <w:rPr>
          <w:rFonts w:hint="eastAsia" w:ascii="宋体" w:hAnsi="宋体" w:cs="Arial"/>
          <w:b w:val="0"/>
          <w:bCs w:val="0"/>
          <w:kern w:val="0"/>
          <w:sz w:val="24"/>
          <w:szCs w:val="24"/>
          <w:highlight w:val="none"/>
          <w:u w:val="single"/>
        </w:rPr>
        <w:t>承包质量要求</w:t>
      </w:r>
      <w:r>
        <w:rPr>
          <w:rFonts w:hint="eastAsia" w:ascii="宋体" w:hAnsi="宋体" w:cs="Arial"/>
          <w:b w:val="0"/>
          <w:bCs w:val="0"/>
          <w:kern w:val="0"/>
          <w:sz w:val="24"/>
          <w:szCs w:val="24"/>
          <w:highlight w:val="none"/>
          <w:u w:val="single"/>
          <w:lang w:val="en-US" w:eastAsia="zh-CN"/>
        </w:rPr>
        <w:t>的</w:t>
      </w:r>
      <w:r>
        <w:rPr>
          <w:rFonts w:hint="eastAsia" w:ascii="宋体" w:hAnsi="宋体" w:cs="Arial"/>
          <w:b w:val="0"/>
          <w:bCs w:val="0"/>
          <w:kern w:val="0"/>
          <w:sz w:val="24"/>
          <w:szCs w:val="24"/>
          <w:highlight w:val="none"/>
          <w:u w:val="single"/>
          <w:lang w:eastAsia="zh-CN"/>
        </w:rPr>
        <w:t>，</w:t>
      </w:r>
      <w:r>
        <w:rPr>
          <w:rFonts w:hint="eastAsia" w:ascii="宋体" w:hAnsi="宋体" w:cs="Arial"/>
          <w:b w:val="0"/>
          <w:bCs w:val="0"/>
          <w:kern w:val="0"/>
          <w:sz w:val="24"/>
          <w:szCs w:val="24"/>
          <w:highlight w:val="none"/>
          <w:u w:val="single"/>
          <w:lang w:val="en-US" w:eastAsia="zh-CN"/>
        </w:rPr>
        <w:t>根据期中考核结果</w:t>
      </w:r>
      <w:r>
        <w:rPr>
          <w:rFonts w:hint="eastAsia" w:ascii="宋体" w:hAnsi="宋体" w:cs="Arial"/>
          <w:color w:val="auto"/>
          <w:kern w:val="0"/>
          <w:sz w:val="24"/>
          <w:szCs w:val="24"/>
          <w:highlight w:val="none"/>
          <w:u w:val="single"/>
          <w:lang w:val="en-US" w:eastAsia="zh-CN"/>
        </w:rPr>
        <w:t>在</w:t>
      </w:r>
      <w:r>
        <w:rPr>
          <w:rFonts w:hint="eastAsia" w:ascii="宋体" w:hAnsi="宋体" w:cs="Arial"/>
          <w:b w:val="0"/>
          <w:bCs w:val="0"/>
          <w:kern w:val="0"/>
          <w:sz w:val="24"/>
          <w:szCs w:val="24"/>
          <w:highlight w:val="none"/>
          <w:u w:val="single"/>
          <w:lang w:val="en-US" w:eastAsia="zh-CN"/>
        </w:rPr>
        <w:t>30个工作日内</w:t>
      </w:r>
      <w:r>
        <w:rPr>
          <w:rFonts w:hint="eastAsia" w:ascii="宋体" w:hAnsi="宋体" w:cs="Arial"/>
          <w:color w:val="auto"/>
          <w:kern w:val="0"/>
          <w:sz w:val="24"/>
          <w:szCs w:val="24"/>
          <w:highlight w:val="none"/>
          <w:u w:val="single"/>
          <w:lang w:val="en-US" w:eastAsia="zh-CN"/>
        </w:rPr>
        <w:t>支付合同中合同价*10%；合同执行满一年，街道爱卫办对乙方的消杀质量进行年终综合考核，根据年终综合考核结果在</w:t>
      </w:r>
      <w:r>
        <w:rPr>
          <w:rFonts w:hint="eastAsia" w:ascii="宋体" w:hAnsi="宋体" w:cs="Arial"/>
          <w:b w:val="0"/>
          <w:bCs w:val="0"/>
          <w:kern w:val="0"/>
          <w:sz w:val="24"/>
          <w:szCs w:val="24"/>
          <w:highlight w:val="none"/>
          <w:u w:val="single"/>
          <w:lang w:val="en-US" w:eastAsia="zh-CN"/>
        </w:rPr>
        <w:t>30个工作日内</w:t>
      </w:r>
      <w:r>
        <w:rPr>
          <w:rFonts w:hint="eastAsia" w:ascii="宋体" w:hAnsi="宋体" w:cs="Arial"/>
          <w:color w:val="auto"/>
          <w:kern w:val="0"/>
          <w:sz w:val="24"/>
          <w:szCs w:val="24"/>
          <w:highlight w:val="none"/>
          <w:u w:val="single"/>
          <w:lang w:val="en-US" w:eastAsia="zh-CN"/>
        </w:rPr>
        <w:t>支付尾款，若考核结果达到</w:t>
      </w:r>
      <w:r>
        <w:rPr>
          <w:rFonts w:hint="eastAsia" w:ascii="宋体" w:hAnsi="宋体" w:cs="Arial"/>
          <w:b w:val="0"/>
          <w:bCs w:val="0"/>
          <w:color w:val="auto"/>
          <w:kern w:val="0"/>
          <w:sz w:val="24"/>
          <w:szCs w:val="24"/>
          <w:highlight w:val="none"/>
          <w:u w:val="single"/>
          <w:lang w:val="en-US" w:eastAsia="zh-CN"/>
        </w:rPr>
        <w:t>第十四条</w:t>
      </w:r>
      <w:r>
        <w:rPr>
          <w:rFonts w:hint="eastAsia" w:ascii="宋体" w:hAnsi="宋体" w:cs="Arial"/>
          <w:b w:val="0"/>
          <w:bCs w:val="0"/>
          <w:kern w:val="0"/>
          <w:sz w:val="24"/>
          <w:szCs w:val="24"/>
          <w:highlight w:val="none"/>
          <w:u w:val="single"/>
        </w:rPr>
        <w:t>承包质量要求</w:t>
      </w:r>
      <w:r>
        <w:rPr>
          <w:rFonts w:hint="eastAsia" w:ascii="宋体" w:hAnsi="宋体" w:cs="Arial"/>
          <w:b w:val="0"/>
          <w:bCs w:val="0"/>
          <w:kern w:val="0"/>
          <w:sz w:val="24"/>
          <w:szCs w:val="24"/>
          <w:highlight w:val="none"/>
          <w:u w:val="single"/>
          <w:lang w:eastAsia="zh-CN"/>
        </w:rPr>
        <w:t>，</w:t>
      </w:r>
      <w:r>
        <w:rPr>
          <w:rFonts w:hint="eastAsia" w:ascii="宋体" w:hAnsi="宋体" w:cs="Arial"/>
          <w:b w:val="0"/>
          <w:bCs w:val="0"/>
          <w:kern w:val="0"/>
          <w:sz w:val="24"/>
          <w:szCs w:val="24"/>
          <w:highlight w:val="none"/>
          <w:u w:val="single"/>
          <w:lang w:val="en-US" w:eastAsia="zh-CN"/>
        </w:rPr>
        <w:t>支付</w:t>
      </w:r>
      <w:r>
        <w:rPr>
          <w:rFonts w:hint="eastAsia" w:ascii="宋体" w:hAnsi="宋体" w:cs="Arial"/>
          <w:color w:val="auto"/>
          <w:kern w:val="0"/>
          <w:sz w:val="24"/>
          <w:szCs w:val="24"/>
          <w:highlight w:val="none"/>
          <w:u w:val="single"/>
          <w:lang w:val="en-US" w:eastAsia="zh-CN"/>
        </w:rPr>
        <w:t>合同中合同价*20%。考核未达到要求，根据第十五条考核要求及违约责任进行扣除，考核中扣除的费用可以累计扣除。</w:t>
      </w:r>
    </w:p>
    <w:p w14:paraId="6E1CAF59">
      <w:pPr>
        <w:pStyle w:val="16"/>
        <w:spacing w:line="360" w:lineRule="auto"/>
        <w:ind w:firstLine="410" w:firstLineChars="171"/>
        <w:jc w:val="left"/>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cs="Times New Roman"/>
          <w:kern w:val="0"/>
          <w:sz w:val="24"/>
          <w:szCs w:val="24"/>
          <w:highlight w:val="none"/>
          <w:lang w:val="en-US" w:eastAsia="zh-CN" w:bidi="ar-SA"/>
        </w:rPr>
        <w:t>4</w:t>
      </w:r>
      <w:r>
        <w:rPr>
          <w:rFonts w:hint="eastAsia" w:ascii="Times New Roman" w:hAnsi="Times New Roman" w:eastAsia="宋体" w:cs="Times New Roman"/>
          <w:kern w:val="0"/>
          <w:sz w:val="24"/>
          <w:szCs w:val="24"/>
          <w:highlight w:val="none"/>
          <w:lang w:val="en-US" w:eastAsia="zh-CN" w:bidi="ar-SA"/>
        </w:rPr>
        <w:t>.</w:t>
      </w:r>
      <w:r>
        <w:rPr>
          <w:rFonts w:hint="eastAsia"/>
          <w:sz w:val="24"/>
          <w:szCs w:val="24"/>
          <w:highlight w:val="none"/>
          <w:lang w:val="en-US" w:eastAsia="zh-CN"/>
        </w:rPr>
        <w:t>县爱卫办每年4-11月对各个镇（街道）BI（布雷图）指数进行监测评价，对检测结果得分排名，在本年度综合排名为末尾排名的，在支付尾款时扣除中标合同金额的5%。</w:t>
      </w:r>
    </w:p>
    <w:p w14:paraId="344B1C5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sz w:val="24"/>
          <w:szCs w:val="24"/>
          <w:highlight w:val="none"/>
          <w:lang w:val="en-US" w:eastAsia="zh-CN"/>
        </w:rPr>
      </w:pPr>
      <w:r>
        <w:rPr>
          <w:rFonts w:hint="eastAsia"/>
          <w:b/>
          <w:bCs/>
          <w:sz w:val="24"/>
          <w:szCs w:val="24"/>
          <w:highlight w:val="none"/>
          <w:lang w:val="en-US" w:eastAsia="zh-CN"/>
        </w:rPr>
        <w:t>八</w:t>
      </w:r>
      <w:r>
        <w:rPr>
          <w:rFonts w:hint="eastAsia"/>
          <w:b/>
          <w:bCs/>
          <w:sz w:val="24"/>
          <w:szCs w:val="24"/>
          <w:highlight w:val="none"/>
        </w:rPr>
        <w:t>、风险承担</w:t>
      </w:r>
    </w:p>
    <w:p w14:paraId="7D7D90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1、采购人会同西塘桥街道爱卫办将对病媒生物防制服务质量进行全过程监控，供应商工作人员日常工作不到位、不达标、或有违约现象，将依据合同约定，作出相应的违约处理与处罚。</w:t>
      </w:r>
    </w:p>
    <w:p w14:paraId="7DED1C8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2、供应商未按质量要求执行，采购人可以书面形式提出警告；若情节严重，确认中标人未达到合同规定的质量要求的，即时终止合同。</w:t>
      </w:r>
    </w:p>
    <w:p w14:paraId="3D248A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3、供应商工作人员在岗履行工作职责期间，发生自身的人身伤害、伤亡，由中标人负责处理并承担经济和道义上的责任，采购人不承担任何责任。</w:t>
      </w:r>
    </w:p>
    <w:p w14:paraId="7DCBD3E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4、供应商违反国家相关法规，与聘用人员发生纠纷，均由中标人负责凋解与处理，采购人不承担任何责任。</w:t>
      </w:r>
    </w:p>
    <w:p w14:paraId="5D6CB64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5、供应商在病媒生物防制服务中违反国家相关法规或行业规范，因过失造成</w:t>
      </w:r>
      <w:r>
        <w:rPr>
          <w:rFonts w:hint="eastAsia"/>
          <w:sz w:val="24"/>
          <w:szCs w:val="24"/>
          <w:highlight w:val="none"/>
          <w:lang w:val="en-US" w:eastAsia="zh-CN"/>
        </w:rPr>
        <w:t>人、禽中毒责任事件</w:t>
      </w:r>
      <w:r>
        <w:rPr>
          <w:rFonts w:hint="eastAsia"/>
          <w:sz w:val="24"/>
          <w:szCs w:val="24"/>
          <w:highlight w:val="none"/>
        </w:rPr>
        <w:t>，均由供应商负责处理并承担经济和道义上的责任，采购人不承担任何责任。</w:t>
      </w:r>
    </w:p>
    <w:p w14:paraId="0C77C40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b w:val="0"/>
          <w:bCs w:val="0"/>
          <w:highlight w:val="none"/>
          <w:lang w:val="en-US" w:eastAsia="zh-CN"/>
        </w:rPr>
      </w:pPr>
      <w:r>
        <w:rPr>
          <w:rFonts w:hint="eastAsia"/>
          <w:b w:val="0"/>
          <w:bCs w:val="0"/>
          <w:sz w:val="24"/>
          <w:szCs w:val="24"/>
          <w:highlight w:val="none"/>
          <w:lang w:val="en-US" w:eastAsia="zh-CN"/>
        </w:rPr>
        <w:t>6、中标后，供应商不得转包；如转包，立即解除合同。</w:t>
      </w:r>
    </w:p>
    <w:p w14:paraId="4909CA9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Ansi="宋体"/>
          <w:b/>
          <w:sz w:val="24"/>
          <w:szCs w:val="24"/>
          <w:highlight w:val="none"/>
        </w:rPr>
      </w:pPr>
      <w:bookmarkStart w:id="10" w:name="_Toc26868"/>
      <w:r>
        <w:rPr>
          <w:rFonts w:hint="eastAsia" w:hAnsi="宋体"/>
          <w:b/>
          <w:sz w:val="24"/>
          <w:szCs w:val="24"/>
          <w:highlight w:val="none"/>
        </w:rPr>
        <w:t>八、</w:t>
      </w:r>
      <w:r>
        <w:rPr>
          <w:rFonts w:hAnsi="宋体"/>
          <w:b/>
          <w:sz w:val="24"/>
          <w:szCs w:val="24"/>
          <w:highlight w:val="none"/>
        </w:rPr>
        <w:t>商务</w:t>
      </w:r>
      <w:r>
        <w:rPr>
          <w:rFonts w:hint="eastAsia" w:ascii="Times New Roman" w:hAnsi="Times New Roman" w:eastAsia="宋体" w:cs="Times New Roman"/>
          <w:b/>
          <w:bCs/>
          <w:sz w:val="24"/>
          <w:szCs w:val="24"/>
          <w:highlight w:val="none"/>
        </w:rPr>
        <w:t>资信</w:t>
      </w:r>
      <w:r>
        <w:rPr>
          <w:rFonts w:hAnsi="宋体"/>
          <w:b/>
          <w:sz w:val="24"/>
          <w:szCs w:val="24"/>
          <w:highlight w:val="none"/>
        </w:rPr>
        <w:t>要求</w:t>
      </w:r>
      <w:r>
        <w:rPr>
          <w:rFonts w:hint="eastAsia" w:hAnsi="宋体"/>
          <w:b/>
          <w:sz w:val="24"/>
          <w:szCs w:val="24"/>
          <w:highlight w:val="none"/>
        </w:rPr>
        <w:t>表</w:t>
      </w:r>
    </w:p>
    <w:tbl>
      <w:tblPr>
        <w:tblStyle w:val="27"/>
        <w:tblW w:w="87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7349"/>
      </w:tblGrid>
      <w:tr w14:paraId="18B9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40115659">
            <w:pPr>
              <w:pStyle w:val="16"/>
              <w:snapToGrid w:val="0"/>
              <w:spacing w:before="120" w:after="120"/>
              <w:rPr>
                <w:rFonts w:hAnsi="宋体"/>
                <w:sz w:val="24"/>
                <w:szCs w:val="24"/>
                <w:highlight w:val="none"/>
              </w:rPr>
            </w:pPr>
            <w:r>
              <w:rPr>
                <w:rFonts w:hint="eastAsia" w:hAnsi="宋体"/>
                <w:sz w:val="24"/>
                <w:szCs w:val="24"/>
                <w:highlight w:val="none"/>
              </w:rPr>
              <w:t>服务时间及地点</w:t>
            </w:r>
          </w:p>
        </w:tc>
        <w:tc>
          <w:tcPr>
            <w:tcW w:w="7349" w:type="dxa"/>
            <w:tcBorders>
              <w:top w:val="single" w:color="auto" w:sz="4" w:space="0"/>
              <w:left w:val="single" w:color="auto" w:sz="4" w:space="0"/>
              <w:bottom w:val="single" w:color="auto" w:sz="4" w:space="0"/>
              <w:right w:val="single" w:color="auto" w:sz="4" w:space="0"/>
            </w:tcBorders>
            <w:noWrap w:val="0"/>
            <w:vAlign w:val="center"/>
          </w:tcPr>
          <w:p w14:paraId="3A2FFCA9">
            <w:pPr>
              <w:pStyle w:val="16"/>
              <w:keepNext w:val="0"/>
              <w:keepLines w:val="0"/>
              <w:pageBreakBefore w:val="0"/>
              <w:widowControl w:val="0"/>
              <w:kinsoku/>
              <w:wordWrap/>
              <w:overflowPunct/>
              <w:topLinePunct w:val="0"/>
              <w:autoSpaceDE/>
              <w:autoSpaceDN/>
              <w:bidi w:val="0"/>
              <w:adjustRightInd/>
              <w:snapToGrid w:val="0"/>
              <w:spacing w:before="120" w:after="120"/>
              <w:textAlignment w:val="auto"/>
              <w:rPr>
                <w:rFonts w:hAnsi="宋体"/>
                <w:sz w:val="24"/>
                <w:szCs w:val="24"/>
                <w:highlight w:val="none"/>
              </w:rPr>
            </w:pPr>
            <w:r>
              <w:rPr>
                <w:rFonts w:hint="eastAsia" w:hAnsi="宋体"/>
                <w:sz w:val="24"/>
                <w:szCs w:val="24"/>
                <w:highlight w:val="none"/>
              </w:rPr>
              <w:t>服务时间:根据实际情况，采购人安排的时间，详情在合同中规定。</w:t>
            </w:r>
          </w:p>
          <w:p w14:paraId="57F391E6">
            <w:pPr>
              <w:pStyle w:val="16"/>
              <w:keepNext w:val="0"/>
              <w:keepLines w:val="0"/>
              <w:pageBreakBefore w:val="0"/>
              <w:widowControl w:val="0"/>
              <w:kinsoku/>
              <w:wordWrap/>
              <w:overflowPunct/>
              <w:topLinePunct w:val="0"/>
              <w:autoSpaceDE/>
              <w:autoSpaceDN/>
              <w:bidi w:val="0"/>
              <w:adjustRightInd/>
              <w:snapToGrid w:val="0"/>
              <w:spacing w:before="120" w:after="120"/>
              <w:textAlignment w:val="auto"/>
              <w:rPr>
                <w:rFonts w:hAnsi="宋体"/>
                <w:sz w:val="24"/>
                <w:szCs w:val="24"/>
                <w:highlight w:val="none"/>
              </w:rPr>
            </w:pPr>
            <w:r>
              <w:rPr>
                <w:rFonts w:hint="eastAsia" w:hAnsi="宋体"/>
                <w:sz w:val="24"/>
                <w:szCs w:val="24"/>
                <w:highlight w:val="none"/>
              </w:rPr>
              <w:t>服务地点：上文所含区域。</w:t>
            </w:r>
          </w:p>
        </w:tc>
      </w:tr>
    </w:tbl>
    <w:p w14:paraId="355C847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default" w:hAnsi="宋体" w:eastAsia="宋体"/>
          <w:b/>
          <w:sz w:val="24"/>
          <w:szCs w:val="24"/>
          <w:highlight w:val="none"/>
          <w:lang w:val="en-US" w:eastAsia="zh-CN"/>
        </w:rPr>
      </w:pPr>
      <w:r>
        <w:rPr>
          <w:rFonts w:hint="eastAsia" w:hAnsi="宋体"/>
          <w:b/>
          <w:sz w:val="24"/>
          <w:szCs w:val="24"/>
          <w:highlight w:val="none"/>
        </w:rPr>
        <w:t>九、与本</w:t>
      </w:r>
      <w:r>
        <w:rPr>
          <w:rFonts w:hint="eastAsia" w:ascii="Times New Roman" w:hAnsi="Times New Roman" w:eastAsia="宋体" w:cs="Times New Roman"/>
          <w:b/>
          <w:bCs/>
          <w:sz w:val="24"/>
          <w:szCs w:val="24"/>
          <w:highlight w:val="none"/>
        </w:rPr>
        <w:t>项目</w:t>
      </w:r>
      <w:r>
        <w:rPr>
          <w:rFonts w:hint="eastAsia" w:hAnsi="宋体"/>
          <w:b/>
          <w:sz w:val="24"/>
          <w:szCs w:val="24"/>
          <w:highlight w:val="none"/>
        </w:rPr>
        <w:t>有关的文件</w:t>
      </w:r>
      <w:r>
        <w:rPr>
          <w:rFonts w:hint="eastAsia" w:hAnsi="宋体"/>
          <w:b/>
          <w:sz w:val="24"/>
          <w:szCs w:val="24"/>
          <w:highlight w:val="none"/>
          <w:lang w:eastAsia="zh-CN"/>
        </w:rPr>
        <w:t>（</w:t>
      </w:r>
      <w:r>
        <w:rPr>
          <w:rFonts w:hint="eastAsia" w:hAnsi="宋体"/>
          <w:b/>
          <w:sz w:val="24"/>
          <w:szCs w:val="24"/>
          <w:highlight w:val="none"/>
          <w:lang w:val="en-US" w:eastAsia="zh-CN"/>
        </w:rPr>
        <w:t>未指定的样式另行指定</w:t>
      </w:r>
      <w:r>
        <w:rPr>
          <w:rFonts w:hint="eastAsia" w:hAnsi="宋体"/>
          <w:b/>
          <w:sz w:val="24"/>
          <w:szCs w:val="24"/>
          <w:highlight w:val="none"/>
          <w:lang w:eastAsia="zh-CN"/>
        </w:rPr>
        <w:t>）</w:t>
      </w:r>
    </w:p>
    <w:p w14:paraId="3351B48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附件1考核评估评分标准</w:t>
      </w:r>
    </w:p>
    <w:p w14:paraId="4B03FF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val="en-US" w:eastAsia="zh-CN"/>
        </w:rPr>
        <w:t>附件2</w:t>
      </w:r>
      <w:r>
        <w:rPr>
          <w:rFonts w:hint="eastAsia"/>
          <w:sz w:val="24"/>
          <w:szCs w:val="24"/>
          <w:highlight w:val="none"/>
        </w:rPr>
        <w:t>病媒生物防制</w:t>
      </w:r>
      <w:r>
        <w:rPr>
          <w:rFonts w:hint="eastAsia"/>
          <w:sz w:val="24"/>
          <w:szCs w:val="24"/>
          <w:highlight w:val="none"/>
          <w:lang w:val="en-US" w:eastAsia="zh-CN"/>
        </w:rPr>
        <w:t>工作</w:t>
      </w:r>
      <w:r>
        <w:rPr>
          <w:rFonts w:hint="eastAsia"/>
          <w:sz w:val="24"/>
          <w:szCs w:val="24"/>
          <w:highlight w:val="none"/>
        </w:rPr>
        <w:t>消杀服务群众满意度调查表</w:t>
      </w:r>
    </w:p>
    <w:p w14:paraId="656F9A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val="en-US" w:eastAsia="zh-CN"/>
        </w:rPr>
        <w:t>附件3 社区公共环境</w:t>
      </w:r>
      <w:r>
        <w:rPr>
          <w:rFonts w:hint="eastAsia"/>
          <w:sz w:val="24"/>
          <w:szCs w:val="24"/>
          <w:highlight w:val="none"/>
        </w:rPr>
        <w:t>病媒生物防制</w:t>
      </w:r>
      <w:r>
        <w:rPr>
          <w:rFonts w:hint="eastAsia"/>
          <w:sz w:val="24"/>
          <w:szCs w:val="24"/>
          <w:highlight w:val="none"/>
          <w:lang w:val="en-US" w:eastAsia="zh-CN"/>
        </w:rPr>
        <w:t>工作</w:t>
      </w:r>
      <w:r>
        <w:rPr>
          <w:rFonts w:hint="eastAsia"/>
          <w:sz w:val="24"/>
          <w:szCs w:val="24"/>
          <w:highlight w:val="none"/>
        </w:rPr>
        <w:t>消杀服务现场检查记录表</w:t>
      </w:r>
    </w:p>
    <w:p w14:paraId="04E0994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附件4 各社区公共卫生环境基本情况表</w:t>
      </w:r>
    </w:p>
    <w:p w14:paraId="286CB89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附件5 西塘桥街道公共厕所明细表</w:t>
      </w:r>
    </w:p>
    <w:p w14:paraId="1C25ACDD">
      <w:pPr>
        <w:rPr>
          <w:rFonts w:hint="eastAsia"/>
          <w:sz w:val="24"/>
          <w:szCs w:val="24"/>
          <w:highlight w:val="none"/>
          <w:lang w:val="en-US" w:eastAsia="zh-CN"/>
        </w:rPr>
      </w:pPr>
      <w:r>
        <w:rPr>
          <w:rFonts w:hint="eastAsia"/>
          <w:sz w:val="24"/>
          <w:szCs w:val="24"/>
          <w:highlight w:val="none"/>
          <w:lang w:val="en-US" w:eastAsia="zh-CN"/>
        </w:rPr>
        <w:br w:type="page"/>
      </w:r>
    </w:p>
    <w:p w14:paraId="4BAFD39D">
      <w:pPr>
        <w:pStyle w:val="4"/>
        <w:jc w:val="both"/>
        <w:rPr>
          <w:rFonts w:hint="default"/>
          <w:sz w:val="24"/>
          <w:szCs w:val="24"/>
          <w:lang w:val="en-US" w:eastAsia="zh-CN"/>
        </w:rPr>
      </w:pPr>
      <w:r>
        <w:rPr>
          <w:rFonts w:hint="eastAsia"/>
          <w:sz w:val="24"/>
          <w:szCs w:val="24"/>
          <w:lang w:val="en-US" w:eastAsia="zh-CN"/>
        </w:rPr>
        <w:t>附件1</w:t>
      </w:r>
    </w:p>
    <w:p w14:paraId="5B474371">
      <w:pPr>
        <w:spacing w:line="360" w:lineRule="auto"/>
        <w:ind w:firstLine="420"/>
        <w:jc w:val="center"/>
        <w:rPr>
          <w:rFonts w:ascii="微软雅黑" w:hAnsi="微软雅黑" w:eastAsia="微软雅黑" w:cs="微软雅黑"/>
          <w:b/>
          <w:sz w:val="30"/>
          <w:szCs w:val="30"/>
        </w:rPr>
      </w:pPr>
      <w:r>
        <w:rPr>
          <w:rFonts w:hint="eastAsia" w:ascii="微软雅黑" w:hAnsi="微软雅黑" w:eastAsia="微软雅黑" w:cs="微软雅黑"/>
          <w:b/>
          <w:sz w:val="30"/>
          <w:szCs w:val="30"/>
        </w:rPr>
        <w:t>现场考核评估评分标准</w:t>
      </w:r>
    </w:p>
    <w:p w14:paraId="5D8E8B62">
      <w:pPr>
        <w:pStyle w:val="16"/>
        <w:snapToGrid w:val="0"/>
        <w:spacing w:line="360" w:lineRule="auto"/>
        <w:ind w:left="357" w:hanging="408" w:hangingChars="170"/>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rPr>
        <w:t>一、</w:t>
      </w:r>
      <w:r>
        <w:rPr>
          <w:rFonts w:hint="eastAsia" w:ascii="微软雅黑" w:hAnsi="微软雅黑" w:eastAsia="微软雅黑" w:cs="微软雅黑"/>
          <w:b/>
          <w:sz w:val="24"/>
          <w:szCs w:val="24"/>
          <w:lang w:val="en-US" w:eastAsia="zh-CN"/>
        </w:rPr>
        <w:t>灭鼠</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25分</w:t>
      </w:r>
      <w:r>
        <w:rPr>
          <w:rFonts w:hint="eastAsia" w:ascii="微软雅黑" w:hAnsi="微软雅黑" w:eastAsia="微软雅黑" w:cs="微软雅黑"/>
          <w:b/>
          <w:sz w:val="24"/>
          <w:szCs w:val="24"/>
          <w:lang w:eastAsia="zh-CN"/>
        </w:rPr>
        <w:t>）</w:t>
      </w:r>
    </w:p>
    <w:p w14:paraId="1B8F5D6E">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根据《中华人民共和国国家标准》（病媒生物密度控制水平 鼠类(GB/T 27770-2011)，达到鼠密度控制水平A级</w:t>
      </w:r>
    </w:p>
    <w:p w14:paraId="7572C0EB">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微软雅黑" w:hAnsi="微软雅黑" w:eastAsia="微软雅黑" w:cs="微软雅黑"/>
          <w:highlight w:val="yellow"/>
        </w:rPr>
      </w:pPr>
      <w:r>
        <w:rPr>
          <w:rFonts w:hint="eastAsia" w:ascii="宋体" w:hAnsi="宋体" w:eastAsia="宋体"/>
          <w:sz w:val="24"/>
          <w:szCs w:val="24"/>
          <w:lang w:val="en-US" w:eastAsia="zh-CN"/>
        </w:rPr>
        <w:t>防鼠设施合格率≥97%； 室内鼠迹阳性率≤1%；   外环境鼠路径指数≤1。</w:t>
      </w:r>
    </w:p>
    <w:p w14:paraId="6ADE91DE">
      <w:pPr>
        <w:pStyle w:val="16"/>
        <w:snapToGrid w:val="0"/>
        <w:spacing w:line="360" w:lineRule="auto"/>
        <w:ind w:left="357" w:hanging="408" w:hangingChars="170"/>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二、灭蚊</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15分</w:t>
      </w:r>
      <w:r>
        <w:rPr>
          <w:rFonts w:hint="eastAsia" w:ascii="微软雅黑" w:hAnsi="微软雅黑" w:eastAsia="微软雅黑" w:cs="微软雅黑"/>
          <w:b/>
          <w:sz w:val="24"/>
          <w:szCs w:val="24"/>
          <w:lang w:eastAsia="zh-CN"/>
        </w:rPr>
        <w:t>）</w:t>
      </w:r>
    </w:p>
    <w:p w14:paraId="0D0229C4">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根据《中华人民共和国国家标准》（病媒生物密度控制水平 蚊虫(GB/T 27771-2011)，达到蚊密度控制水平A级</w:t>
      </w:r>
    </w:p>
    <w:p w14:paraId="2B99B3F4">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小型积水蚊虫路径指数≤0.1；大中型水体蚊虫采样勺指数≤1%，平均每阳性勺少于3只蚊幼虫和蛹；外环境蚊虫停落指数≤0.5。</w:t>
      </w:r>
    </w:p>
    <w:p w14:paraId="795CF899">
      <w:pPr>
        <w:pStyle w:val="17"/>
        <w:rPr>
          <w:rFonts w:hint="eastAsia"/>
          <w:lang w:eastAsia="zh-CN"/>
        </w:rPr>
      </w:pPr>
    </w:p>
    <w:p w14:paraId="63837FCC">
      <w:pPr>
        <w:pStyle w:val="16"/>
        <w:snapToGrid w:val="0"/>
        <w:spacing w:line="360" w:lineRule="auto"/>
        <w:ind w:left="357" w:hanging="408" w:hangingChars="170"/>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三、灭蝇</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20分</w:t>
      </w:r>
      <w:r>
        <w:rPr>
          <w:rFonts w:hint="eastAsia" w:ascii="微软雅黑" w:hAnsi="微软雅黑" w:eastAsia="微软雅黑" w:cs="微软雅黑"/>
          <w:b/>
          <w:sz w:val="24"/>
          <w:szCs w:val="24"/>
          <w:lang w:eastAsia="zh-CN"/>
        </w:rPr>
        <w:t>）</w:t>
      </w:r>
    </w:p>
    <w:p w14:paraId="1EBBDADF">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根据《中华人民共和国国家标准》（病媒生物密度控制水平 蝇类(GB/T 27772-2011)，达到蝇密度控制水平A级</w:t>
      </w:r>
    </w:p>
    <w:p w14:paraId="6F0E8C00">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防蝇设施合格率≥98%；生产销售直接入口食品的场所不得有蝇，室内不得存在蝇类孳生地；室内有蝇房间阳性率≤3%，阳性间蝇密度≤3只/间；室外蝇类孳生地阳性率≤1%；</w:t>
      </w:r>
    </w:p>
    <w:p w14:paraId="2B175C17">
      <w:pPr>
        <w:pStyle w:val="16"/>
        <w:snapToGrid w:val="0"/>
        <w:spacing w:line="360" w:lineRule="auto"/>
        <w:ind w:left="357" w:hanging="408" w:hangingChars="170"/>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四、满意度调查</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20分</w:t>
      </w:r>
      <w:r>
        <w:rPr>
          <w:rFonts w:hint="eastAsia" w:ascii="微软雅黑" w:hAnsi="微软雅黑" w:eastAsia="微软雅黑" w:cs="微软雅黑"/>
          <w:b/>
          <w:sz w:val="24"/>
          <w:szCs w:val="24"/>
          <w:lang w:eastAsia="zh-CN"/>
        </w:rPr>
        <w:t>）</w:t>
      </w:r>
    </w:p>
    <w:p w14:paraId="55D74B28">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按问卷调查表平均分折分，满意率达90%及以上得满分20分；满意率每下降5%（不足5%按5%计算），扣2分，70%以下不得分。</w:t>
      </w:r>
    </w:p>
    <w:p w14:paraId="63B6A09F">
      <w:pPr>
        <w:pStyle w:val="16"/>
        <w:snapToGrid w:val="0"/>
        <w:spacing w:line="360" w:lineRule="auto"/>
        <w:ind w:left="357" w:hanging="408" w:hangingChars="170"/>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五、日常工作检查</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20分</w:t>
      </w:r>
      <w:r>
        <w:rPr>
          <w:rFonts w:hint="eastAsia" w:ascii="微软雅黑" w:hAnsi="微软雅黑" w:eastAsia="微软雅黑" w:cs="微软雅黑"/>
          <w:b/>
          <w:sz w:val="24"/>
          <w:szCs w:val="24"/>
          <w:lang w:eastAsia="zh-CN"/>
        </w:rPr>
        <w:t>）</w:t>
      </w:r>
    </w:p>
    <w:p w14:paraId="5D3B0FCA">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sectPr>
          <w:footerReference r:id="rId9" w:type="first"/>
          <w:footerReference r:id="rId7" w:type="default"/>
          <w:footerReference r:id="rId8" w:type="even"/>
          <w:pgSz w:w="11906" w:h="16838"/>
          <w:pgMar w:top="1440" w:right="1797" w:bottom="1440" w:left="1797" w:header="851" w:footer="851" w:gutter="0"/>
          <w:cols w:space="720" w:num="1"/>
          <w:docGrid w:linePitch="312" w:charSpace="0"/>
        </w:sectPr>
      </w:pPr>
      <w:r>
        <w:rPr>
          <w:rFonts w:hint="eastAsia" w:hAnsi="宋体"/>
          <w:sz w:val="24"/>
          <w:szCs w:val="24"/>
          <w:lang w:val="en-US" w:eastAsia="zh-CN"/>
        </w:rPr>
        <w:t>各社区每月进行日常检查，</w:t>
      </w:r>
      <w:r>
        <w:rPr>
          <w:rFonts w:hint="eastAsia" w:ascii="宋体" w:hAnsi="宋体" w:eastAsia="宋体"/>
          <w:sz w:val="24"/>
          <w:szCs w:val="24"/>
          <w:lang w:val="en-US" w:eastAsia="zh-CN"/>
        </w:rPr>
        <w:t>根据日常检查结果，酌情扣分，满分20分。</w:t>
      </w:r>
    </w:p>
    <w:p w14:paraId="05E2D2DA">
      <w:pPr>
        <w:rPr>
          <w:rFonts w:hint="eastAsia"/>
          <w:b/>
          <w:lang w:val="en-US" w:eastAsia="zh-CN"/>
        </w:rPr>
      </w:pPr>
      <w:r>
        <w:rPr>
          <w:rFonts w:hint="eastAsia"/>
          <w:b/>
          <w:lang w:val="en-US" w:eastAsia="zh-CN"/>
        </w:rPr>
        <w:t>附件2</w:t>
      </w:r>
    </w:p>
    <w:p w14:paraId="2BD335BC">
      <w:pPr>
        <w:rPr>
          <w:rFonts w:hint="eastAsia"/>
          <w:b/>
          <w:lang w:val="en-US" w:eastAsia="zh-CN"/>
        </w:rPr>
      </w:pPr>
    </w:p>
    <w:p w14:paraId="1D311F91">
      <w:pPr>
        <w:spacing w:line="400" w:lineRule="exact"/>
        <w:jc w:val="center"/>
        <w:rPr>
          <w:rFonts w:hint="eastAsia" w:ascii="宋体" w:hAnsi="宋体"/>
          <w:b/>
          <w:spacing w:val="30"/>
          <w:sz w:val="28"/>
        </w:rPr>
      </w:pPr>
      <w:r>
        <w:rPr>
          <w:rFonts w:hint="eastAsia" w:ascii="宋体" w:hAnsi="宋体"/>
          <w:b/>
          <w:spacing w:val="30"/>
          <w:sz w:val="28"/>
        </w:rPr>
        <w:t>病媒生物防制</w:t>
      </w:r>
      <w:r>
        <w:rPr>
          <w:rFonts w:hint="eastAsia" w:ascii="宋体" w:hAnsi="宋体"/>
          <w:b/>
          <w:spacing w:val="30"/>
          <w:sz w:val="28"/>
          <w:lang w:val="en-US" w:eastAsia="zh-CN"/>
        </w:rPr>
        <w:t>工作</w:t>
      </w:r>
      <w:r>
        <w:rPr>
          <w:rFonts w:hint="eastAsia" w:ascii="宋体" w:hAnsi="宋体"/>
          <w:b/>
          <w:spacing w:val="30"/>
          <w:sz w:val="28"/>
        </w:rPr>
        <w:t>消杀服务群众满意度调查表</w:t>
      </w:r>
    </w:p>
    <w:p w14:paraId="0332D448">
      <w:pPr>
        <w:spacing w:line="400" w:lineRule="exact"/>
        <w:jc w:val="center"/>
        <w:rPr>
          <w:rFonts w:hint="eastAsia" w:ascii="宋体" w:hAnsi="宋体"/>
          <w:b/>
          <w:spacing w:val="30"/>
          <w:sz w:val="28"/>
        </w:rPr>
      </w:pPr>
    </w:p>
    <w:p w14:paraId="256A8483">
      <w:pPr>
        <w:ind w:firstLine="424" w:firstLineChars="2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西塘桥街道</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社区                                                        </w:t>
      </w:r>
    </w:p>
    <w:p w14:paraId="0C26430D">
      <w:pPr>
        <w:ind w:firstLine="424" w:firstLineChars="200"/>
        <w:rPr>
          <w:rFonts w:ascii="宋体" w:hAnsi="宋体"/>
          <w:szCs w:val="21"/>
        </w:rPr>
      </w:pP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1127125</wp:posOffset>
                </wp:positionH>
                <wp:positionV relativeFrom="paragraph">
                  <wp:posOffset>16510</wp:posOffset>
                </wp:positionV>
                <wp:extent cx="830580" cy="11430"/>
                <wp:effectExtent l="0" t="4445" r="7620" b="12700"/>
                <wp:wrapNone/>
                <wp:docPr id="10" name="直接连接符 10"/>
                <wp:cNvGraphicFramePr/>
                <a:graphic xmlns:a="http://schemas.openxmlformats.org/drawingml/2006/main">
                  <a:graphicData uri="http://schemas.microsoft.com/office/word/2010/wordprocessingShape">
                    <wps:wsp>
                      <wps:cNvCnPr/>
                      <wps:spPr>
                        <a:xfrm>
                          <a:off x="0" y="0"/>
                          <a:ext cx="83058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8.75pt;margin-top:1.3pt;height:0.9pt;width:65.4pt;z-index:251662336;mso-width-relative:page;mso-height-relative:page;" filled="f" stroked="t" coordsize="21600,21600" o:gfxdata="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KyvMtUAAAAHAQAADwAAAAAAAAABACAAAAAiAAAAZHJzL2Rvd25yZXYu&#10;eG1sUEsBAhQAFAAAAAgAh07iQMkgGfT+AQAA9wMAAA4AAAAAAAAAAQAgAAAAJAEAAGRycy9lMm9E&#10;b2MueG1sUEsFBgAAAAAGAAYAWQEAAJQFAAAAAA==&#10;">
                <v:fill on="f" focussize="0,0"/>
                <v:stroke color="#000000" joinstyle="round"/>
                <v:imagedata o:title=""/>
                <o:lock v:ext="edit" aspectratio="f"/>
              </v:line>
            </w:pict>
          </mc:Fallback>
        </mc:AlternateContent>
      </w:r>
    </w:p>
    <w:tbl>
      <w:tblPr>
        <w:tblStyle w:val="27"/>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520"/>
        <w:gridCol w:w="2806"/>
        <w:gridCol w:w="2664"/>
      </w:tblGrid>
      <w:tr w14:paraId="0968C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28" w:type="dxa"/>
            <w:noWrap w:val="0"/>
            <w:vAlign w:val="center"/>
          </w:tcPr>
          <w:p w14:paraId="60F62CB7">
            <w:pPr>
              <w:spacing w:line="360" w:lineRule="auto"/>
              <w:jc w:val="center"/>
              <w:rPr>
                <w:rFonts w:ascii="宋体" w:hAnsi="宋体"/>
                <w:szCs w:val="21"/>
              </w:rPr>
            </w:pPr>
            <w:r>
              <w:rPr>
                <w:rFonts w:hint="eastAsia" w:ascii="宋体" w:hAnsi="宋体"/>
                <w:szCs w:val="21"/>
              </w:rPr>
              <w:t>评价项目</w:t>
            </w:r>
          </w:p>
        </w:tc>
        <w:tc>
          <w:tcPr>
            <w:tcW w:w="7990" w:type="dxa"/>
            <w:gridSpan w:val="3"/>
            <w:noWrap w:val="0"/>
            <w:vAlign w:val="center"/>
          </w:tcPr>
          <w:p w14:paraId="0FAC27C6">
            <w:pPr>
              <w:spacing w:line="360" w:lineRule="auto"/>
              <w:jc w:val="center"/>
              <w:rPr>
                <w:rFonts w:ascii="宋体" w:hAnsi="宋体"/>
                <w:szCs w:val="21"/>
              </w:rPr>
            </w:pPr>
            <w:r>
              <w:rPr>
                <w:rFonts w:hint="eastAsia" w:ascii="宋体" w:hAnsi="宋体"/>
                <w:szCs w:val="21"/>
              </w:rPr>
              <w:t>评价结论</w:t>
            </w:r>
          </w:p>
        </w:tc>
      </w:tr>
      <w:tr w14:paraId="175CE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40E647BA">
            <w:pPr>
              <w:spacing w:line="360" w:lineRule="auto"/>
              <w:jc w:val="center"/>
              <w:rPr>
                <w:rFonts w:ascii="宋体" w:hAnsi="宋体"/>
                <w:szCs w:val="21"/>
              </w:rPr>
            </w:pPr>
            <w:r>
              <w:rPr>
                <w:rFonts w:hint="eastAsia" w:ascii="宋体" w:hAnsi="宋体"/>
                <w:szCs w:val="21"/>
              </w:rPr>
              <w:t>灭鼠效果</w:t>
            </w:r>
          </w:p>
        </w:tc>
        <w:tc>
          <w:tcPr>
            <w:tcW w:w="2520" w:type="dxa"/>
            <w:noWrap w:val="0"/>
            <w:vAlign w:val="center"/>
          </w:tcPr>
          <w:p w14:paraId="593031D8">
            <w:pPr>
              <w:spacing w:line="360" w:lineRule="auto"/>
              <w:jc w:val="center"/>
              <w:rPr>
                <w:rFonts w:ascii="宋体" w:hAnsi="宋体"/>
                <w:szCs w:val="21"/>
              </w:rPr>
            </w:pPr>
            <w:r>
              <w:rPr>
                <w:rFonts w:hint="eastAsia" w:ascii="宋体" w:hAnsi="宋体"/>
                <w:szCs w:val="21"/>
              </w:rPr>
              <w:t>好</w:t>
            </w:r>
          </w:p>
        </w:tc>
        <w:tc>
          <w:tcPr>
            <w:tcW w:w="2806" w:type="dxa"/>
            <w:noWrap w:val="0"/>
            <w:vAlign w:val="center"/>
          </w:tcPr>
          <w:p w14:paraId="4D90FCB0">
            <w:pPr>
              <w:spacing w:line="360" w:lineRule="auto"/>
              <w:jc w:val="center"/>
              <w:rPr>
                <w:rFonts w:ascii="宋体" w:hAnsi="宋体"/>
                <w:szCs w:val="21"/>
              </w:rPr>
            </w:pPr>
            <w:r>
              <w:rPr>
                <w:rFonts w:hint="eastAsia" w:ascii="宋体" w:hAnsi="宋体"/>
                <w:szCs w:val="21"/>
              </w:rPr>
              <w:t>一般</w:t>
            </w:r>
          </w:p>
        </w:tc>
        <w:tc>
          <w:tcPr>
            <w:tcW w:w="2664" w:type="dxa"/>
            <w:noWrap w:val="0"/>
            <w:vAlign w:val="center"/>
          </w:tcPr>
          <w:p w14:paraId="0F3470DA">
            <w:pPr>
              <w:spacing w:line="360" w:lineRule="auto"/>
              <w:jc w:val="center"/>
              <w:rPr>
                <w:rFonts w:ascii="宋体" w:hAnsi="宋体"/>
                <w:szCs w:val="21"/>
              </w:rPr>
            </w:pPr>
            <w:r>
              <w:rPr>
                <w:rFonts w:hint="eastAsia" w:ascii="宋体" w:hAnsi="宋体"/>
                <w:szCs w:val="21"/>
              </w:rPr>
              <w:t>差</w:t>
            </w:r>
          </w:p>
        </w:tc>
      </w:tr>
      <w:tr w14:paraId="64A7D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1C0ADAFC">
            <w:pPr>
              <w:spacing w:line="360" w:lineRule="auto"/>
              <w:jc w:val="center"/>
              <w:rPr>
                <w:rFonts w:ascii="宋体" w:hAnsi="宋体"/>
                <w:szCs w:val="21"/>
              </w:rPr>
            </w:pPr>
            <w:r>
              <w:rPr>
                <w:rFonts w:hint="eastAsia" w:ascii="宋体" w:hAnsi="宋体"/>
                <w:szCs w:val="21"/>
              </w:rPr>
              <w:t>灭蚊效果</w:t>
            </w:r>
          </w:p>
        </w:tc>
        <w:tc>
          <w:tcPr>
            <w:tcW w:w="2520" w:type="dxa"/>
            <w:noWrap w:val="0"/>
            <w:vAlign w:val="center"/>
          </w:tcPr>
          <w:p w14:paraId="01071EAF">
            <w:pPr>
              <w:spacing w:line="360" w:lineRule="auto"/>
              <w:jc w:val="center"/>
              <w:rPr>
                <w:rFonts w:ascii="宋体" w:hAnsi="宋体"/>
                <w:szCs w:val="21"/>
              </w:rPr>
            </w:pPr>
            <w:r>
              <w:rPr>
                <w:rFonts w:hint="eastAsia" w:ascii="宋体" w:hAnsi="宋体"/>
                <w:szCs w:val="21"/>
              </w:rPr>
              <w:t>好</w:t>
            </w:r>
          </w:p>
        </w:tc>
        <w:tc>
          <w:tcPr>
            <w:tcW w:w="2806" w:type="dxa"/>
            <w:noWrap w:val="0"/>
            <w:vAlign w:val="center"/>
          </w:tcPr>
          <w:p w14:paraId="791EA126">
            <w:pPr>
              <w:spacing w:line="360" w:lineRule="auto"/>
              <w:jc w:val="center"/>
              <w:rPr>
                <w:rFonts w:ascii="宋体" w:hAnsi="宋体"/>
                <w:szCs w:val="21"/>
              </w:rPr>
            </w:pPr>
            <w:r>
              <w:rPr>
                <w:rFonts w:hint="eastAsia" w:ascii="宋体" w:hAnsi="宋体"/>
                <w:szCs w:val="21"/>
              </w:rPr>
              <w:t>一般</w:t>
            </w:r>
          </w:p>
        </w:tc>
        <w:tc>
          <w:tcPr>
            <w:tcW w:w="2664" w:type="dxa"/>
            <w:noWrap w:val="0"/>
            <w:vAlign w:val="center"/>
          </w:tcPr>
          <w:p w14:paraId="5AC5B073">
            <w:pPr>
              <w:spacing w:line="360" w:lineRule="auto"/>
              <w:jc w:val="center"/>
              <w:rPr>
                <w:rFonts w:ascii="宋体" w:hAnsi="宋体"/>
                <w:szCs w:val="21"/>
              </w:rPr>
            </w:pPr>
            <w:r>
              <w:rPr>
                <w:rFonts w:hint="eastAsia" w:ascii="宋体" w:hAnsi="宋体"/>
                <w:szCs w:val="21"/>
              </w:rPr>
              <w:t>差</w:t>
            </w:r>
          </w:p>
        </w:tc>
      </w:tr>
      <w:tr w14:paraId="401D4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6764BE02">
            <w:pPr>
              <w:spacing w:line="360" w:lineRule="auto"/>
              <w:jc w:val="center"/>
              <w:rPr>
                <w:rFonts w:ascii="宋体" w:hAnsi="宋体"/>
                <w:szCs w:val="21"/>
              </w:rPr>
            </w:pPr>
            <w:r>
              <w:rPr>
                <w:rFonts w:hint="eastAsia" w:ascii="宋体" w:hAnsi="宋体"/>
                <w:szCs w:val="21"/>
              </w:rPr>
              <w:t>灭蝇效果</w:t>
            </w:r>
          </w:p>
        </w:tc>
        <w:tc>
          <w:tcPr>
            <w:tcW w:w="2520" w:type="dxa"/>
            <w:noWrap w:val="0"/>
            <w:vAlign w:val="center"/>
          </w:tcPr>
          <w:p w14:paraId="6DEEFA09">
            <w:pPr>
              <w:spacing w:line="360" w:lineRule="auto"/>
              <w:jc w:val="center"/>
              <w:rPr>
                <w:rFonts w:ascii="宋体" w:hAnsi="宋体"/>
                <w:szCs w:val="21"/>
              </w:rPr>
            </w:pPr>
            <w:r>
              <w:rPr>
                <w:rFonts w:hint="eastAsia" w:ascii="宋体" w:hAnsi="宋体"/>
                <w:szCs w:val="21"/>
              </w:rPr>
              <w:t>好</w:t>
            </w:r>
          </w:p>
        </w:tc>
        <w:tc>
          <w:tcPr>
            <w:tcW w:w="2806" w:type="dxa"/>
            <w:noWrap w:val="0"/>
            <w:vAlign w:val="center"/>
          </w:tcPr>
          <w:p w14:paraId="531AC5D8">
            <w:pPr>
              <w:spacing w:line="360" w:lineRule="auto"/>
              <w:jc w:val="center"/>
              <w:rPr>
                <w:rFonts w:ascii="宋体" w:hAnsi="宋体"/>
                <w:szCs w:val="21"/>
              </w:rPr>
            </w:pPr>
            <w:r>
              <w:rPr>
                <w:rFonts w:hint="eastAsia" w:ascii="宋体" w:hAnsi="宋体"/>
                <w:szCs w:val="21"/>
              </w:rPr>
              <w:t>一般</w:t>
            </w:r>
          </w:p>
        </w:tc>
        <w:tc>
          <w:tcPr>
            <w:tcW w:w="2664" w:type="dxa"/>
            <w:noWrap w:val="0"/>
            <w:vAlign w:val="center"/>
          </w:tcPr>
          <w:p w14:paraId="59FAAC97">
            <w:pPr>
              <w:spacing w:line="360" w:lineRule="auto"/>
              <w:jc w:val="center"/>
              <w:rPr>
                <w:rFonts w:ascii="宋体" w:hAnsi="宋体"/>
                <w:szCs w:val="21"/>
              </w:rPr>
            </w:pPr>
            <w:r>
              <w:rPr>
                <w:rFonts w:hint="eastAsia" w:ascii="宋体" w:hAnsi="宋体"/>
                <w:szCs w:val="21"/>
              </w:rPr>
              <w:t>差</w:t>
            </w:r>
          </w:p>
        </w:tc>
      </w:tr>
      <w:tr w14:paraId="6E251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3CE7012E">
            <w:pPr>
              <w:spacing w:line="400" w:lineRule="exact"/>
              <w:jc w:val="center"/>
              <w:rPr>
                <w:rFonts w:ascii="宋体" w:hAnsi="宋体"/>
                <w:szCs w:val="21"/>
              </w:rPr>
            </w:pPr>
            <w:r>
              <w:rPr>
                <w:rFonts w:hint="eastAsia" w:ascii="宋体" w:hAnsi="宋体"/>
                <w:szCs w:val="21"/>
              </w:rPr>
              <w:t>对消杀人员服务态度的评价</w:t>
            </w:r>
          </w:p>
        </w:tc>
        <w:tc>
          <w:tcPr>
            <w:tcW w:w="2520" w:type="dxa"/>
            <w:noWrap w:val="0"/>
            <w:vAlign w:val="center"/>
          </w:tcPr>
          <w:p w14:paraId="2C383F09">
            <w:pPr>
              <w:spacing w:line="360" w:lineRule="auto"/>
              <w:jc w:val="center"/>
              <w:rPr>
                <w:rFonts w:ascii="宋体" w:hAnsi="宋体"/>
                <w:szCs w:val="21"/>
              </w:rPr>
            </w:pPr>
            <w:r>
              <w:rPr>
                <w:rFonts w:hint="eastAsia" w:ascii="宋体" w:hAnsi="宋体"/>
                <w:szCs w:val="21"/>
              </w:rPr>
              <w:t>满意</w:t>
            </w:r>
          </w:p>
        </w:tc>
        <w:tc>
          <w:tcPr>
            <w:tcW w:w="2806" w:type="dxa"/>
            <w:noWrap w:val="0"/>
            <w:vAlign w:val="center"/>
          </w:tcPr>
          <w:p w14:paraId="6EA1C868">
            <w:pPr>
              <w:spacing w:line="360" w:lineRule="auto"/>
              <w:jc w:val="center"/>
              <w:rPr>
                <w:rFonts w:ascii="宋体" w:hAnsi="宋体"/>
                <w:szCs w:val="21"/>
              </w:rPr>
            </w:pPr>
            <w:r>
              <w:rPr>
                <w:rFonts w:hint="eastAsia" w:ascii="宋体" w:hAnsi="宋体"/>
                <w:szCs w:val="21"/>
              </w:rPr>
              <w:t>基本满意</w:t>
            </w:r>
          </w:p>
        </w:tc>
        <w:tc>
          <w:tcPr>
            <w:tcW w:w="2664" w:type="dxa"/>
            <w:noWrap w:val="0"/>
            <w:vAlign w:val="center"/>
          </w:tcPr>
          <w:p w14:paraId="0A8C6B7F">
            <w:pPr>
              <w:spacing w:line="360" w:lineRule="auto"/>
              <w:jc w:val="center"/>
              <w:rPr>
                <w:rFonts w:ascii="宋体" w:hAnsi="宋体"/>
                <w:szCs w:val="21"/>
              </w:rPr>
            </w:pPr>
            <w:r>
              <w:rPr>
                <w:rFonts w:hint="eastAsia" w:ascii="宋体" w:hAnsi="宋体"/>
                <w:szCs w:val="21"/>
              </w:rPr>
              <w:t>不满意</w:t>
            </w:r>
          </w:p>
        </w:tc>
      </w:tr>
      <w:tr w14:paraId="50486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14:paraId="4C078AD4">
            <w:pPr>
              <w:spacing w:line="360" w:lineRule="auto"/>
              <w:jc w:val="center"/>
              <w:rPr>
                <w:rFonts w:ascii="宋体" w:hAnsi="宋体"/>
                <w:szCs w:val="21"/>
              </w:rPr>
            </w:pPr>
            <w:r>
              <w:rPr>
                <w:rFonts w:hint="eastAsia" w:ascii="宋体" w:hAnsi="宋体"/>
                <w:szCs w:val="21"/>
              </w:rPr>
              <w:t>总体评价</w:t>
            </w:r>
          </w:p>
        </w:tc>
        <w:tc>
          <w:tcPr>
            <w:tcW w:w="2520" w:type="dxa"/>
            <w:noWrap w:val="0"/>
            <w:vAlign w:val="center"/>
          </w:tcPr>
          <w:p w14:paraId="6C31C25F">
            <w:pPr>
              <w:spacing w:line="360" w:lineRule="auto"/>
              <w:jc w:val="center"/>
              <w:rPr>
                <w:rFonts w:ascii="宋体" w:hAnsi="宋体"/>
                <w:szCs w:val="21"/>
              </w:rPr>
            </w:pPr>
            <w:r>
              <w:rPr>
                <w:rFonts w:hint="eastAsia" w:ascii="宋体" w:hAnsi="宋体"/>
                <w:szCs w:val="21"/>
              </w:rPr>
              <w:t>满意</w:t>
            </w:r>
          </w:p>
        </w:tc>
        <w:tc>
          <w:tcPr>
            <w:tcW w:w="2806" w:type="dxa"/>
            <w:noWrap w:val="0"/>
            <w:vAlign w:val="center"/>
          </w:tcPr>
          <w:p w14:paraId="038FD610">
            <w:pPr>
              <w:spacing w:line="360" w:lineRule="auto"/>
              <w:jc w:val="center"/>
              <w:rPr>
                <w:rFonts w:ascii="宋体" w:hAnsi="宋体"/>
                <w:szCs w:val="21"/>
              </w:rPr>
            </w:pPr>
            <w:r>
              <w:rPr>
                <w:rFonts w:hint="eastAsia" w:ascii="宋体" w:hAnsi="宋体"/>
                <w:szCs w:val="21"/>
              </w:rPr>
              <w:t>基本满意</w:t>
            </w:r>
          </w:p>
        </w:tc>
        <w:tc>
          <w:tcPr>
            <w:tcW w:w="2664" w:type="dxa"/>
            <w:noWrap w:val="0"/>
            <w:vAlign w:val="center"/>
          </w:tcPr>
          <w:p w14:paraId="73034533">
            <w:pPr>
              <w:spacing w:line="360" w:lineRule="auto"/>
              <w:jc w:val="center"/>
              <w:rPr>
                <w:rFonts w:ascii="宋体" w:hAnsi="宋体"/>
                <w:szCs w:val="21"/>
              </w:rPr>
            </w:pPr>
            <w:r>
              <w:rPr>
                <w:rFonts w:hint="eastAsia" w:ascii="宋体" w:hAnsi="宋体"/>
                <w:szCs w:val="21"/>
              </w:rPr>
              <w:t>不满意</w:t>
            </w:r>
          </w:p>
        </w:tc>
      </w:tr>
    </w:tbl>
    <w:p w14:paraId="7565A489">
      <w:pPr>
        <w:pStyle w:val="14"/>
        <w:tabs>
          <w:tab w:val="left" w:pos="900"/>
        </w:tabs>
        <w:autoSpaceDE/>
        <w:autoSpaceDN/>
        <w:adjustRightInd/>
        <w:spacing w:line="400" w:lineRule="exact"/>
        <w:ind w:firstLine="301"/>
        <w:rPr>
          <w:rFonts w:ascii="宋体" w:hAnsi="宋体" w:eastAsia="宋体"/>
          <w:sz w:val="21"/>
          <w:szCs w:val="21"/>
          <w:lang w:val="en-US"/>
        </w:rPr>
      </w:pPr>
      <w:r>
        <w:rPr>
          <w:rFonts w:ascii="宋体" w:hAnsi="宋体" w:eastAsia="宋体"/>
          <w:sz w:val="21"/>
          <w:szCs w:val="21"/>
          <w:lang w:val="en-US"/>
        </w:rPr>
        <w:t>注：好：鼠、</w:t>
      </w:r>
      <w:r>
        <w:rPr>
          <w:rFonts w:hint="eastAsia" w:ascii="宋体" w:hAnsi="宋体"/>
          <w:sz w:val="21"/>
          <w:szCs w:val="21"/>
          <w:lang w:val="en-US" w:eastAsia="zh-CN"/>
        </w:rPr>
        <w:t>蚊</w:t>
      </w:r>
      <w:r>
        <w:rPr>
          <w:rFonts w:ascii="宋体" w:hAnsi="宋体" w:eastAsia="宋体"/>
          <w:sz w:val="21"/>
          <w:szCs w:val="21"/>
          <w:lang w:val="en-US"/>
        </w:rPr>
        <w:t>、蝇明显减少；一般：鼠、</w:t>
      </w:r>
      <w:r>
        <w:rPr>
          <w:rFonts w:hint="eastAsia" w:ascii="宋体" w:hAnsi="宋体"/>
          <w:sz w:val="21"/>
          <w:szCs w:val="21"/>
          <w:lang w:val="en-US" w:eastAsia="zh-CN"/>
        </w:rPr>
        <w:t>蚊</w:t>
      </w:r>
      <w:r>
        <w:rPr>
          <w:rFonts w:ascii="宋体" w:hAnsi="宋体" w:eastAsia="宋体"/>
          <w:sz w:val="21"/>
          <w:szCs w:val="21"/>
          <w:lang w:val="en-US"/>
        </w:rPr>
        <w:t>、蝇略有减少；差：鼠、</w:t>
      </w:r>
      <w:r>
        <w:rPr>
          <w:rFonts w:hint="eastAsia" w:ascii="宋体" w:hAnsi="宋体"/>
          <w:sz w:val="21"/>
          <w:szCs w:val="21"/>
          <w:lang w:val="en-US" w:eastAsia="zh-CN"/>
        </w:rPr>
        <w:t>蚊</w:t>
      </w:r>
      <w:r>
        <w:rPr>
          <w:rFonts w:ascii="宋体" w:hAnsi="宋体" w:eastAsia="宋体"/>
          <w:sz w:val="21"/>
          <w:szCs w:val="21"/>
          <w:lang w:val="en-US"/>
        </w:rPr>
        <w:t>、蝇较往年差别不大。请在评价结论处打“√”表示。</w:t>
      </w:r>
    </w:p>
    <w:p w14:paraId="0B6FC60C">
      <w:pPr>
        <w:pStyle w:val="14"/>
        <w:tabs>
          <w:tab w:val="left" w:pos="900"/>
        </w:tabs>
        <w:autoSpaceDE/>
        <w:autoSpaceDN/>
        <w:adjustRightInd/>
        <w:spacing w:line="400" w:lineRule="exact"/>
        <w:ind w:firstLine="301"/>
        <w:rPr>
          <w:rFonts w:ascii="宋体" w:hAnsi="宋体" w:eastAsia="宋体"/>
          <w:sz w:val="21"/>
          <w:szCs w:val="21"/>
          <w:lang w:val="en-US"/>
        </w:rPr>
      </w:pPr>
      <w:r>
        <w:rPr>
          <w:rFonts w:hint="eastAsia" w:ascii="宋体" w:hAnsi="宋体" w:eastAsia="宋体"/>
          <w:sz w:val="21"/>
          <w:szCs w:val="21"/>
          <w:lang w:val="en-US"/>
        </w:rPr>
        <w:t>建议意见：</w:t>
      </w:r>
    </w:p>
    <w:p w14:paraId="34F90E01">
      <w:pPr>
        <w:spacing w:line="480" w:lineRule="auto"/>
        <w:ind w:firstLine="424" w:firstLineChars="200"/>
        <w:rPr>
          <w:rFonts w:ascii="宋体" w:hAnsi="宋体"/>
          <w:szCs w:val="21"/>
        </w:rPr>
      </w:pPr>
    </w:p>
    <w:p w14:paraId="2B7793DD">
      <w:pPr>
        <w:rPr>
          <w:rFonts w:hint="eastAsia" w:ascii="宋体" w:hAnsi="宋体"/>
          <w:szCs w:val="21"/>
        </w:rPr>
      </w:pPr>
      <w:r>
        <w:rPr>
          <w:rFonts w:ascii="宋体" w:hAnsi="宋体"/>
          <w:szCs w:val="21"/>
        </w:rPr>
        <w:t xml:space="preserve">  </w:t>
      </w:r>
      <w:r>
        <w:rPr>
          <w:rFonts w:hint="eastAsia" w:ascii="宋体" w:hAnsi="宋体"/>
          <w:szCs w:val="21"/>
        </w:rPr>
        <w:t>调查单位：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调查人：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调查时间：</w:t>
      </w:r>
    </w:p>
    <w:p w14:paraId="296D47AE">
      <w:pPr>
        <w:rPr>
          <w:rFonts w:hint="eastAsia" w:ascii="宋体" w:hAnsi="宋体"/>
          <w:szCs w:val="21"/>
        </w:rPr>
      </w:pPr>
    </w:p>
    <w:p w14:paraId="2E8A18B0">
      <w:pPr>
        <w:rPr>
          <w:rFonts w:hint="eastAsia" w:ascii="宋体" w:hAnsi="宋体"/>
          <w:szCs w:val="21"/>
        </w:rPr>
      </w:pPr>
    </w:p>
    <w:p w14:paraId="1DA824A7">
      <w:pPr>
        <w:pStyle w:val="14"/>
        <w:tabs>
          <w:tab w:val="left" w:pos="900"/>
        </w:tabs>
        <w:ind w:firstLine="0"/>
        <w:rPr>
          <w:rFonts w:hint="eastAsia"/>
        </w:rPr>
        <w:sectPr>
          <w:headerReference r:id="rId10" w:type="default"/>
          <w:footerReference r:id="rId11" w:type="default"/>
          <w:pgSz w:w="16783" w:h="11850" w:orient="landscape"/>
          <w:pgMar w:top="1134" w:right="1020" w:bottom="1134" w:left="1020" w:header="851" w:footer="992" w:gutter="0"/>
          <w:cols w:space="720" w:num="1"/>
          <w:docGrid w:type="linesAndChars" w:linePitch="320" w:charSpace="482"/>
        </w:sectPr>
      </w:pPr>
      <w:r>
        <w:rPr>
          <w:rFonts w:hint="eastAsia" w:ascii="宋体" w:hAnsi="宋体" w:eastAsia="宋体" w:cs="宋体"/>
          <w:b/>
          <w:bCs/>
          <w:sz w:val="21"/>
          <w:szCs w:val="21"/>
        </w:rPr>
        <w:t>备注：此表由</w:t>
      </w:r>
      <w:r>
        <w:rPr>
          <w:rFonts w:hint="eastAsia" w:ascii="宋体" w:hAnsi="宋体" w:cs="宋体"/>
          <w:b/>
          <w:bCs/>
          <w:sz w:val="21"/>
          <w:szCs w:val="21"/>
          <w:lang w:val="en-US" w:eastAsia="zh-CN"/>
        </w:rPr>
        <w:t>街道、</w:t>
      </w:r>
      <w:r>
        <w:rPr>
          <w:rFonts w:hint="eastAsia" w:ascii="宋体" w:hAnsi="宋体" w:eastAsia="宋体" w:cs="宋体"/>
          <w:b/>
          <w:bCs/>
          <w:sz w:val="21"/>
          <w:szCs w:val="21"/>
        </w:rPr>
        <w:t>社区调查使用，每次调查重点行业业主不少于</w:t>
      </w:r>
      <w:r>
        <w:rPr>
          <w:rFonts w:hint="eastAsia" w:ascii="宋体" w:hAnsi="宋体" w:eastAsia="宋体" w:cs="宋体"/>
          <w:b/>
          <w:bCs/>
          <w:sz w:val="21"/>
          <w:szCs w:val="21"/>
          <w:lang w:val="en-US"/>
        </w:rPr>
        <w:t>10人，</w:t>
      </w:r>
      <w:r>
        <w:rPr>
          <w:rFonts w:hint="eastAsia" w:ascii="宋体" w:hAnsi="宋体" w:cs="宋体"/>
          <w:b/>
          <w:bCs/>
          <w:sz w:val="21"/>
          <w:szCs w:val="21"/>
          <w:lang w:val="en-US" w:eastAsia="zh-CN"/>
        </w:rPr>
        <w:t>社区</w:t>
      </w:r>
      <w:r>
        <w:rPr>
          <w:rFonts w:hint="eastAsia" w:ascii="宋体" w:hAnsi="宋体" w:eastAsia="宋体" w:cs="宋体"/>
          <w:b/>
          <w:bCs/>
          <w:sz w:val="21"/>
          <w:szCs w:val="21"/>
          <w:lang w:val="en-US"/>
        </w:rPr>
        <w:t>将调查结果汇总后报送街道爱卫办。</w:t>
      </w:r>
    </w:p>
    <w:p w14:paraId="699010B8">
      <w:pPr>
        <w:rPr>
          <w:rFonts w:hint="eastAsia" w:ascii="宋体" w:hAnsi="宋体" w:eastAsia="宋体"/>
          <w:b/>
          <w:kern w:val="0"/>
          <w:szCs w:val="21"/>
          <w:lang w:val="en-US" w:eastAsia="zh-CN"/>
        </w:rPr>
      </w:pPr>
      <w:r>
        <w:rPr>
          <w:rFonts w:hint="eastAsia" w:ascii="宋体" w:hAnsi="宋体"/>
          <w:b/>
          <w:szCs w:val="21"/>
        </w:rPr>
        <w:t>附件</w:t>
      </w:r>
      <w:r>
        <w:rPr>
          <w:rFonts w:hint="eastAsia" w:ascii="宋体" w:hAnsi="宋体"/>
          <w:b/>
          <w:szCs w:val="21"/>
          <w:lang w:val="en-US" w:eastAsia="zh-CN"/>
        </w:rPr>
        <w:t>3</w:t>
      </w:r>
    </w:p>
    <w:p w14:paraId="75A519DC">
      <w:pPr>
        <w:ind w:firstLine="1272" w:firstLineChars="600"/>
        <w:rPr>
          <w:rFonts w:ascii="宋体" w:hAnsi="宋体"/>
          <w:szCs w:val="21"/>
        </w:rPr>
      </w:pPr>
    </w:p>
    <w:p w14:paraId="2AF496EA">
      <w:pPr>
        <w:spacing w:line="400" w:lineRule="exact"/>
        <w:jc w:val="center"/>
        <w:rPr>
          <w:rFonts w:hint="eastAsia" w:ascii="宋体" w:hAnsi="宋体"/>
          <w:b/>
          <w:spacing w:val="30"/>
          <w:sz w:val="28"/>
        </w:rPr>
      </w:pPr>
    </w:p>
    <w:p w14:paraId="47136F32">
      <w:pPr>
        <w:spacing w:line="400" w:lineRule="exact"/>
        <w:jc w:val="center"/>
        <w:rPr>
          <w:rFonts w:hint="eastAsia" w:ascii="宋体" w:hAnsi="宋体"/>
          <w:b/>
          <w:spacing w:val="30"/>
          <w:sz w:val="28"/>
        </w:rPr>
      </w:pPr>
      <w:r>
        <w:rPr>
          <w:rFonts w:hint="eastAsia" w:ascii="宋体" w:hAnsi="宋体"/>
          <w:b/>
          <w:spacing w:val="30"/>
          <w:sz w:val="28"/>
          <w:lang w:val="en-US" w:eastAsia="zh-CN"/>
        </w:rPr>
        <w:t>社区公共环境</w:t>
      </w:r>
      <w:r>
        <w:rPr>
          <w:rFonts w:hint="eastAsia" w:ascii="宋体" w:hAnsi="宋体"/>
          <w:b/>
          <w:spacing w:val="30"/>
          <w:sz w:val="28"/>
        </w:rPr>
        <w:t>病媒生物防制</w:t>
      </w:r>
      <w:r>
        <w:rPr>
          <w:rFonts w:hint="eastAsia" w:ascii="宋体" w:hAnsi="宋体"/>
          <w:b/>
          <w:spacing w:val="30"/>
          <w:sz w:val="28"/>
          <w:lang w:val="en-US" w:eastAsia="zh-CN"/>
        </w:rPr>
        <w:t>工作</w:t>
      </w:r>
      <w:r>
        <w:rPr>
          <w:rFonts w:hint="eastAsia" w:ascii="宋体" w:hAnsi="宋体"/>
          <w:b/>
          <w:spacing w:val="30"/>
          <w:sz w:val="28"/>
        </w:rPr>
        <w:t>消杀服务现场检查记录表</w:t>
      </w:r>
    </w:p>
    <w:tbl>
      <w:tblPr>
        <w:tblStyle w:val="27"/>
        <w:tblW w:w="118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56"/>
        <w:gridCol w:w="1005"/>
        <w:gridCol w:w="865"/>
        <w:gridCol w:w="1027"/>
        <w:gridCol w:w="1131"/>
        <w:gridCol w:w="1085"/>
        <w:gridCol w:w="1592"/>
        <w:gridCol w:w="1142"/>
        <w:gridCol w:w="946"/>
        <w:gridCol w:w="1039"/>
      </w:tblGrid>
      <w:tr w14:paraId="00074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E6AC101">
            <w:pPr>
              <w:adjustRightInd w:val="0"/>
              <w:snapToGrid w:val="0"/>
              <w:jc w:val="center"/>
              <w:rPr>
                <w:rFonts w:ascii="宋体" w:hAnsi="宋体"/>
                <w:szCs w:val="21"/>
              </w:rPr>
            </w:pPr>
            <w:r>
              <w:rPr>
                <w:rFonts w:hint="eastAsia" w:ascii="宋体" w:hAnsi="宋体"/>
                <w:szCs w:val="21"/>
              </w:rPr>
              <w:t>日期</w:t>
            </w:r>
          </w:p>
        </w:tc>
        <w:tc>
          <w:tcPr>
            <w:tcW w:w="1961" w:type="dxa"/>
            <w:gridSpan w:val="2"/>
            <w:tcBorders>
              <w:top w:val="single" w:color="auto" w:sz="4" w:space="0"/>
              <w:left w:val="single" w:color="auto" w:sz="4" w:space="0"/>
              <w:bottom w:val="single" w:color="auto" w:sz="4" w:space="0"/>
              <w:right w:val="single" w:color="auto" w:sz="4" w:space="0"/>
            </w:tcBorders>
            <w:noWrap w:val="0"/>
            <w:vAlign w:val="center"/>
          </w:tcPr>
          <w:p w14:paraId="05AA3E30">
            <w:pPr>
              <w:adjustRightInd w:val="0"/>
              <w:snapToGrid w:val="0"/>
              <w:jc w:val="center"/>
              <w:rPr>
                <w:rFonts w:ascii="宋体" w:hAnsi="宋体"/>
                <w:szCs w:val="21"/>
              </w:rPr>
            </w:pPr>
            <w:r>
              <w:rPr>
                <w:rFonts w:hint="eastAsia" w:ascii="宋体" w:hAnsi="宋体"/>
                <w:szCs w:val="21"/>
              </w:rPr>
              <w:t>鼠</w:t>
            </w:r>
          </w:p>
        </w:tc>
        <w:tc>
          <w:tcPr>
            <w:tcW w:w="4108" w:type="dxa"/>
            <w:gridSpan w:val="4"/>
            <w:tcBorders>
              <w:top w:val="single" w:color="auto" w:sz="4" w:space="0"/>
              <w:left w:val="single" w:color="auto" w:sz="4" w:space="0"/>
              <w:bottom w:val="single" w:color="auto" w:sz="4" w:space="0"/>
              <w:right w:val="single" w:color="auto" w:sz="4" w:space="0"/>
            </w:tcBorders>
            <w:noWrap w:val="0"/>
            <w:vAlign w:val="center"/>
          </w:tcPr>
          <w:p w14:paraId="344F955F">
            <w:pPr>
              <w:adjustRightInd w:val="0"/>
              <w:snapToGrid w:val="0"/>
              <w:jc w:val="center"/>
              <w:rPr>
                <w:rFonts w:ascii="宋体" w:hAnsi="宋体"/>
                <w:szCs w:val="21"/>
              </w:rPr>
            </w:pPr>
            <w:r>
              <w:rPr>
                <w:rFonts w:hint="eastAsia" w:ascii="宋体" w:hAnsi="宋体"/>
                <w:szCs w:val="21"/>
              </w:rPr>
              <w:t>蚊</w:t>
            </w:r>
          </w:p>
        </w:tc>
        <w:tc>
          <w:tcPr>
            <w:tcW w:w="4719" w:type="dxa"/>
            <w:gridSpan w:val="4"/>
            <w:tcBorders>
              <w:top w:val="single" w:color="auto" w:sz="4" w:space="0"/>
              <w:left w:val="single" w:color="auto" w:sz="4" w:space="0"/>
              <w:bottom w:val="single" w:color="auto" w:sz="4" w:space="0"/>
              <w:right w:val="single" w:color="auto" w:sz="4" w:space="0"/>
            </w:tcBorders>
            <w:noWrap w:val="0"/>
            <w:vAlign w:val="center"/>
          </w:tcPr>
          <w:p w14:paraId="627BA08B">
            <w:pPr>
              <w:adjustRightInd w:val="0"/>
              <w:snapToGrid w:val="0"/>
              <w:jc w:val="center"/>
              <w:rPr>
                <w:rFonts w:ascii="宋体" w:hAnsi="宋体"/>
                <w:szCs w:val="21"/>
              </w:rPr>
            </w:pPr>
            <w:r>
              <w:rPr>
                <w:rFonts w:hint="eastAsia" w:ascii="宋体" w:hAnsi="宋体"/>
                <w:szCs w:val="21"/>
              </w:rPr>
              <w:t>蝇</w:t>
            </w:r>
          </w:p>
        </w:tc>
      </w:tr>
      <w:tr w14:paraId="4894A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C0D165">
            <w:pPr>
              <w:widowControl/>
              <w:jc w:val="left"/>
              <w:rPr>
                <w:rFonts w:ascii="宋体" w:hAnsi="宋体"/>
                <w:szCs w:val="21"/>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78B641F3">
            <w:pPr>
              <w:adjustRightInd w:val="0"/>
              <w:snapToGrid w:val="0"/>
              <w:jc w:val="center"/>
              <w:rPr>
                <w:rFonts w:hint="eastAsia" w:ascii="宋体" w:hAnsi="宋体"/>
                <w:szCs w:val="21"/>
              </w:rPr>
            </w:pPr>
            <w:r>
              <w:rPr>
                <w:rFonts w:hint="eastAsia" w:ascii="宋体" w:hAnsi="宋体"/>
                <w:szCs w:val="21"/>
              </w:rPr>
              <w:t>阳性</w:t>
            </w:r>
          </w:p>
          <w:p w14:paraId="378620E4">
            <w:pPr>
              <w:adjustRightInd w:val="0"/>
              <w:snapToGrid w:val="0"/>
              <w:jc w:val="center"/>
              <w:rPr>
                <w:rFonts w:ascii="宋体" w:hAnsi="宋体"/>
                <w:szCs w:val="21"/>
              </w:rPr>
            </w:pPr>
            <w:r>
              <w:rPr>
                <w:rFonts w:hint="eastAsia" w:ascii="宋体" w:hAnsi="宋体"/>
                <w:szCs w:val="21"/>
              </w:rPr>
              <w:t>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191B047">
            <w:pPr>
              <w:adjustRightInd w:val="0"/>
              <w:snapToGrid w:val="0"/>
              <w:jc w:val="center"/>
              <w:rPr>
                <w:rFonts w:ascii="宋体" w:hAnsi="宋体"/>
                <w:szCs w:val="21"/>
              </w:rPr>
            </w:pPr>
            <w:r>
              <w:rPr>
                <w:rFonts w:hint="eastAsia" w:ascii="宋体" w:hAnsi="宋体"/>
                <w:szCs w:val="21"/>
              </w:rPr>
              <w:t>地点</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41E1389B">
            <w:pPr>
              <w:adjustRightInd w:val="0"/>
              <w:snapToGrid w:val="0"/>
              <w:jc w:val="center"/>
              <w:rPr>
                <w:rFonts w:ascii="宋体" w:hAnsi="宋体"/>
                <w:szCs w:val="21"/>
              </w:rPr>
            </w:pPr>
            <w:r>
              <w:rPr>
                <w:rFonts w:hint="eastAsia" w:ascii="宋体" w:hAnsi="宋体"/>
                <w:szCs w:val="21"/>
              </w:rPr>
              <w:t>成蚊</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0881F6E">
            <w:pPr>
              <w:adjustRightInd w:val="0"/>
              <w:snapToGrid w:val="0"/>
              <w:jc w:val="center"/>
              <w:rPr>
                <w:rFonts w:ascii="宋体" w:hAnsi="宋体"/>
                <w:szCs w:val="21"/>
              </w:rPr>
            </w:pPr>
            <w:r>
              <w:rPr>
                <w:rFonts w:hint="eastAsia" w:ascii="宋体" w:hAnsi="宋体"/>
                <w:szCs w:val="21"/>
              </w:rPr>
              <w:t>地点</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4F826AD">
            <w:pPr>
              <w:adjustRightInd w:val="0"/>
              <w:snapToGrid w:val="0"/>
              <w:jc w:val="center"/>
              <w:rPr>
                <w:rFonts w:ascii="宋体" w:hAnsi="宋体"/>
                <w:szCs w:val="21"/>
              </w:rPr>
            </w:pPr>
            <w:r>
              <w:rPr>
                <w:rFonts w:hint="eastAsia" w:ascii="宋体" w:hAnsi="宋体"/>
                <w:szCs w:val="21"/>
              </w:rPr>
              <w:t>孑孓孳生</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2B2D49E4">
            <w:pPr>
              <w:adjustRightInd w:val="0"/>
              <w:snapToGrid w:val="0"/>
              <w:jc w:val="center"/>
              <w:rPr>
                <w:rFonts w:ascii="宋体" w:hAnsi="宋体"/>
                <w:szCs w:val="21"/>
              </w:rPr>
            </w:pPr>
            <w:r>
              <w:rPr>
                <w:rFonts w:hint="eastAsia" w:ascii="宋体" w:hAnsi="宋体"/>
                <w:szCs w:val="21"/>
              </w:rPr>
              <w:t>地点</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2AADE8D4">
            <w:pPr>
              <w:adjustRightInd w:val="0"/>
              <w:snapToGrid w:val="0"/>
              <w:jc w:val="center"/>
              <w:rPr>
                <w:rFonts w:ascii="宋体" w:hAnsi="宋体"/>
                <w:szCs w:val="21"/>
              </w:rPr>
            </w:pPr>
            <w:r>
              <w:rPr>
                <w:rFonts w:hint="eastAsia" w:ascii="宋体" w:hAnsi="宋体"/>
                <w:szCs w:val="21"/>
              </w:rPr>
              <w:t>成蝇</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6236D87">
            <w:pPr>
              <w:adjustRightInd w:val="0"/>
              <w:snapToGrid w:val="0"/>
              <w:jc w:val="center"/>
              <w:rPr>
                <w:rFonts w:ascii="宋体" w:hAnsi="宋体"/>
                <w:szCs w:val="21"/>
              </w:rPr>
            </w:pPr>
            <w:r>
              <w:rPr>
                <w:rFonts w:hint="eastAsia" w:ascii="宋体" w:hAnsi="宋体"/>
                <w:szCs w:val="21"/>
              </w:rPr>
              <w:t>地点</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5658FD0A">
            <w:pPr>
              <w:adjustRightInd w:val="0"/>
              <w:snapToGrid w:val="0"/>
              <w:jc w:val="center"/>
              <w:rPr>
                <w:rFonts w:ascii="宋体" w:hAnsi="宋体"/>
                <w:szCs w:val="21"/>
              </w:rPr>
            </w:pPr>
            <w:r>
              <w:rPr>
                <w:rFonts w:hint="eastAsia" w:ascii="宋体" w:hAnsi="宋体"/>
                <w:szCs w:val="21"/>
              </w:rPr>
              <w:t>蛆蛹孳生</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EAA97C2">
            <w:pPr>
              <w:adjustRightInd w:val="0"/>
              <w:snapToGrid w:val="0"/>
              <w:jc w:val="center"/>
              <w:rPr>
                <w:rFonts w:ascii="宋体" w:hAnsi="宋体"/>
                <w:szCs w:val="21"/>
              </w:rPr>
            </w:pPr>
            <w:r>
              <w:rPr>
                <w:rFonts w:hint="eastAsia" w:ascii="宋体" w:hAnsi="宋体"/>
                <w:szCs w:val="21"/>
              </w:rPr>
              <w:t>地点</w:t>
            </w:r>
          </w:p>
        </w:tc>
      </w:tr>
      <w:tr w14:paraId="13EDF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0750F034">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319773DC">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110E570B">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92C05D3">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0D4DE50C">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74EF08AF">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CB249EF">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7884CCE8">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105324AD">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159A484B">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35B21260">
            <w:pPr>
              <w:spacing w:line="520" w:lineRule="exact"/>
              <w:jc w:val="center"/>
              <w:rPr>
                <w:rFonts w:ascii="宋体" w:hAnsi="宋体"/>
                <w:b/>
                <w:szCs w:val="21"/>
              </w:rPr>
            </w:pPr>
          </w:p>
        </w:tc>
      </w:tr>
      <w:tr w14:paraId="0861A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41682BC3">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4C993E63">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21F4461">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0FCF235">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132CF5E2">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774011C4">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570F6CF">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35291AF2">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418DB198">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2E83BB1B">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2823BCD8">
            <w:pPr>
              <w:spacing w:line="520" w:lineRule="exact"/>
              <w:jc w:val="center"/>
              <w:rPr>
                <w:rFonts w:ascii="宋体" w:hAnsi="宋体"/>
                <w:b/>
                <w:szCs w:val="21"/>
              </w:rPr>
            </w:pPr>
          </w:p>
        </w:tc>
      </w:tr>
      <w:tr w14:paraId="043E1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60180468">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13F54EF1">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6BADAAF0">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A01E2DC">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7D45C70B">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005D3801">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A41EC3E">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2F152436">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30E7E277">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785C19E8">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5E284FB5">
            <w:pPr>
              <w:spacing w:line="520" w:lineRule="exact"/>
              <w:jc w:val="center"/>
              <w:rPr>
                <w:rFonts w:ascii="宋体" w:hAnsi="宋体"/>
                <w:b/>
                <w:szCs w:val="21"/>
              </w:rPr>
            </w:pPr>
          </w:p>
        </w:tc>
      </w:tr>
      <w:tr w14:paraId="1419B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45634870">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27E568AA">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7131B1C8">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F65E5F1">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4001854C">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7DC7CF3C">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A553840">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22F1E719">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7E8504C0">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653C3357">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7D465C5B">
            <w:pPr>
              <w:spacing w:line="520" w:lineRule="exact"/>
              <w:jc w:val="center"/>
              <w:rPr>
                <w:rFonts w:ascii="宋体" w:hAnsi="宋体"/>
                <w:b/>
                <w:szCs w:val="21"/>
              </w:rPr>
            </w:pPr>
          </w:p>
        </w:tc>
      </w:tr>
      <w:tr w14:paraId="782AB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2CFDE51B">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2B75815E">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41FB15F">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1FB1A79">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23A425AB">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740C25E0">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89B0390">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71A04D1B">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5AFA6BFC">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53A7D351">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5F4A03D9">
            <w:pPr>
              <w:spacing w:line="520" w:lineRule="exact"/>
              <w:jc w:val="center"/>
              <w:rPr>
                <w:rFonts w:ascii="宋体" w:hAnsi="宋体"/>
                <w:b/>
                <w:szCs w:val="21"/>
              </w:rPr>
            </w:pPr>
          </w:p>
        </w:tc>
      </w:tr>
      <w:tr w14:paraId="39C70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6DDCDA8A">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13AA78D3">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756A5308">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0025F12A">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13942B16">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27DB6E47">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10F454F">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20AA0C85">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61C52D24">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1C3E84B6">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55AE1087">
            <w:pPr>
              <w:spacing w:line="520" w:lineRule="exact"/>
              <w:jc w:val="center"/>
              <w:rPr>
                <w:rFonts w:ascii="宋体" w:hAnsi="宋体"/>
                <w:b/>
                <w:szCs w:val="21"/>
              </w:rPr>
            </w:pPr>
          </w:p>
        </w:tc>
      </w:tr>
      <w:tr w14:paraId="078FF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5F205CD4">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0E6D1619">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76DC3FE">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41667C2E">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30DBC614">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7731C180">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9C53149">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281F03F0">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5628F4C9">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683211A1">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6921F49B">
            <w:pPr>
              <w:spacing w:line="520" w:lineRule="exact"/>
              <w:jc w:val="center"/>
              <w:rPr>
                <w:rFonts w:ascii="宋体" w:hAnsi="宋体"/>
                <w:b/>
                <w:szCs w:val="21"/>
              </w:rPr>
            </w:pPr>
          </w:p>
        </w:tc>
      </w:tr>
      <w:tr w14:paraId="6A331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588A3D2C">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14:paraId="6EE03631">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789F65F">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E73565F">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0F4BA82D">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14:paraId="7B38A5E5">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598DB95C">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112EFD76">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14:paraId="3410FA30">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14:paraId="05AFE33E">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14:paraId="37DFA4D1">
            <w:pPr>
              <w:spacing w:line="520" w:lineRule="exact"/>
              <w:jc w:val="center"/>
              <w:rPr>
                <w:rFonts w:ascii="宋体" w:hAnsi="宋体"/>
                <w:b/>
                <w:szCs w:val="21"/>
              </w:rPr>
            </w:pPr>
          </w:p>
        </w:tc>
      </w:tr>
    </w:tbl>
    <w:p w14:paraId="1485258E">
      <w:pPr>
        <w:ind w:firstLine="1272" w:firstLineChars="600"/>
        <w:rPr>
          <w:rFonts w:hint="eastAsia" w:ascii="宋体" w:hAnsi="宋体"/>
          <w:szCs w:val="21"/>
        </w:rPr>
      </w:pPr>
    </w:p>
    <w:p w14:paraId="73D0B6A5">
      <w:pPr>
        <w:rPr>
          <w:rFonts w:hint="eastAsia" w:ascii="宋体" w:hAnsi="宋体"/>
          <w:szCs w:val="21"/>
        </w:rPr>
      </w:pPr>
      <w:r>
        <w:rPr>
          <w:rFonts w:hint="eastAsia" w:ascii="宋体" w:hAnsi="宋体"/>
          <w:szCs w:val="21"/>
        </w:rPr>
        <w:t>　　　　　　　检查单位：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检查人员：</w:t>
      </w:r>
      <w:r>
        <w:rPr>
          <w:rFonts w:ascii="宋体" w:hAnsi="宋体"/>
          <w:szCs w:val="21"/>
        </w:rPr>
        <w:t xml:space="preserve"> </w:t>
      </w:r>
      <w:r>
        <w:rPr>
          <w:rFonts w:hint="eastAsia" w:ascii="宋体" w:hAnsi="宋体"/>
          <w:szCs w:val="21"/>
        </w:rPr>
        <w:t xml:space="preserve">                        检查日期：</w:t>
      </w:r>
    </w:p>
    <w:p w14:paraId="3BCCB69F">
      <w:pPr>
        <w:jc w:val="center"/>
        <w:rPr>
          <w:rFonts w:hint="eastAsia" w:ascii="宋体" w:hAnsi="宋体"/>
          <w:b/>
          <w:kern w:val="0"/>
          <w:szCs w:val="21"/>
        </w:rPr>
      </w:pPr>
    </w:p>
    <w:p w14:paraId="5C1BBEC4">
      <w:pPr>
        <w:rPr>
          <w:rFonts w:hint="eastAsia" w:ascii="Times New Roman" w:eastAsia="宋体"/>
          <w:b/>
        </w:rPr>
      </w:pPr>
      <w:r>
        <w:rPr>
          <w:rFonts w:hint="eastAsia" w:ascii="Times New Roman" w:eastAsia="宋体"/>
          <w:b/>
        </w:rPr>
        <w:br w:type="page"/>
      </w:r>
    </w:p>
    <w:p w14:paraId="6AA6F3DE">
      <w:pPr>
        <w:rPr>
          <w:rFonts w:hint="eastAsia" w:ascii="宋体" w:hAnsi="宋体"/>
          <w:b/>
          <w:szCs w:val="21"/>
          <w:lang w:val="en-US" w:eastAsia="zh-CN"/>
        </w:rPr>
      </w:pPr>
      <w:r>
        <w:rPr>
          <w:rFonts w:hint="eastAsia" w:ascii="宋体" w:hAnsi="宋体"/>
          <w:b/>
          <w:szCs w:val="21"/>
        </w:rPr>
        <w:t>附件</w:t>
      </w:r>
      <w:r>
        <w:rPr>
          <w:rFonts w:hint="eastAsia" w:ascii="宋体" w:hAnsi="宋体"/>
          <w:b/>
          <w:szCs w:val="21"/>
          <w:lang w:val="en-US" w:eastAsia="zh-CN"/>
        </w:rPr>
        <w:t xml:space="preserve">4  </w:t>
      </w:r>
    </w:p>
    <w:tbl>
      <w:tblPr>
        <w:tblStyle w:val="27"/>
        <w:tblW w:w="13442" w:type="dxa"/>
        <w:tblInd w:w="0" w:type="dxa"/>
        <w:shd w:val="clear" w:color="auto" w:fill="auto"/>
        <w:tblLayout w:type="fixed"/>
        <w:tblCellMar>
          <w:top w:w="0" w:type="dxa"/>
          <w:left w:w="0" w:type="dxa"/>
          <w:bottom w:w="0" w:type="dxa"/>
          <w:right w:w="0" w:type="dxa"/>
        </w:tblCellMar>
      </w:tblPr>
      <w:tblGrid>
        <w:gridCol w:w="1072"/>
        <w:gridCol w:w="2770"/>
        <w:gridCol w:w="2111"/>
        <w:gridCol w:w="3281"/>
        <w:gridCol w:w="1332"/>
        <w:gridCol w:w="2876"/>
      </w:tblGrid>
      <w:tr w14:paraId="738663A6">
        <w:tblPrEx>
          <w:shd w:val="clear" w:color="auto" w:fill="auto"/>
          <w:tblCellMar>
            <w:top w:w="0" w:type="dxa"/>
            <w:left w:w="0" w:type="dxa"/>
            <w:bottom w:w="0" w:type="dxa"/>
            <w:right w:w="0" w:type="dxa"/>
          </w:tblCellMar>
        </w:tblPrEx>
        <w:trPr>
          <w:trHeight w:val="380" w:hRule="atLeast"/>
        </w:trPr>
        <w:tc>
          <w:tcPr>
            <w:tcW w:w="13442" w:type="dxa"/>
            <w:gridSpan w:val="6"/>
            <w:tcBorders>
              <w:top w:val="nil"/>
              <w:left w:val="nil"/>
              <w:bottom w:val="nil"/>
              <w:right w:val="nil"/>
            </w:tcBorders>
            <w:shd w:val="clear" w:color="auto" w:fill="auto"/>
            <w:noWrap/>
            <w:tcMar>
              <w:top w:w="15" w:type="dxa"/>
              <w:left w:w="15" w:type="dxa"/>
              <w:right w:w="15" w:type="dxa"/>
            </w:tcMar>
            <w:vAlign w:val="center"/>
          </w:tcPr>
          <w:p w14:paraId="68E5746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各社区公共卫生环境基本情况表</w:t>
            </w:r>
          </w:p>
        </w:tc>
      </w:tr>
      <w:tr w14:paraId="75F292EF">
        <w:tblPrEx>
          <w:tblCellMar>
            <w:top w:w="0" w:type="dxa"/>
            <w:left w:w="0" w:type="dxa"/>
            <w:bottom w:w="0" w:type="dxa"/>
            <w:right w:w="0" w:type="dxa"/>
          </w:tblCellMar>
        </w:tblPrEx>
        <w:trPr>
          <w:trHeight w:val="570"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37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社区名称</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7D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小区名称（含单位宿舍，不包括公司的宿舍）</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69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垃圾分类房（座）</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39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垃圾桶/垃圾箱投放点（个）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D3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楼幢（幢）</w:t>
            </w:r>
          </w:p>
        </w:tc>
        <w:tc>
          <w:tcPr>
            <w:tcW w:w="287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CC688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0185A77E">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66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东海社区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3815">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东海花苑南区</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D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51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D06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B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排屋、自建房单列为一幢</w:t>
            </w:r>
          </w:p>
        </w:tc>
      </w:tr>
      <w:tr w14:paraId="3BED00CA">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C097">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3EC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东海花苑北区</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99BB">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30AF">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8549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C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排屋、自建房单列为一幢</w:t>
            </w:r>
          </w:p>
        </w:tc>
      </w:tr>
      <w:tr w14:paraId="4422E93B">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313F">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3BB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碧桂园</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8A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BD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16D8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132A">
            <w:pPr>
              <w:rPr>
                <w:rFonts w:hint="eastAsia" w:ascii="宋体" w:hAnsi="宋体" w:eastAsia="宋体" w:cs="宋体"/>
                <w:i w:val="0"/>
                <w:color w:val="000000"/>
                <w:sz w:val="22"/>
                <w:szCs w:val="22"/>
                <w:u w:val="none"/>
              </w:rPr>
            </w:pPr>
          </w:p>
        </w:tc>
      </w:tr>
      <w:tr w14:paraId="3F44B356">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7A45">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080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易购商住楼</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62C5">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7FC4">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FE9C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4AF3">
            <w:pPr>
              <w:jc w:val="center"/>
              <w:rPr>
                <w:rFonts w:hint="eastAsia" w:ascii="宋体" w:hAnsi="宋体" w:eastAsia="宋体" w:cs="宋体"/>
                <w:i w:val="0"/>
                <w:color w:val="000000"/>
                <w:sz w:val="22"/>
                <w:szCs w:val="22"/>
                <w:u w:val="none"/>
              </w:rPr>
            </w:pPr>
          </w:p>
        </w:tc>
      </w:tr>
      <w:tr w14:paraId="4E468650">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68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7CF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1E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5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FF54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36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1C78B9D2">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F0F2">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03C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西塘景苑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3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20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98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4B30">
            <w:pPr>
              <w:jc w:val="center"/>
              <w:rPr>
                <w:rFonts w:hint="eastAsia" w:ascii="宋体" w:hAnsi="宋体" w:eastAsia="宋体" w:cs="宋体"/>
                <w:i w:val="0"/>
                <w:color w:val="000000"/>
                <w:sz w:val="22"/>
                <w:szCs w:val="22"/>
                <w:u w:val="none"/>
              </w:rPr>
            </w:pPr>
          </w:p>
        </w:tc>
      </w:tr>
      <w:tr w14:paraId="0EAA6DC2">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29A3">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F7C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长浜花苑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F5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E5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B1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F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55F2BD4A">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41C6">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2E1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新安花苑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8A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B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71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43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6286344F">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91CE">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89AE">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桂雨江南</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5B1D">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B95B">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D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D647">
            <w:pPr>
              <w:jc w:val="center"/>
              <w:rPr>
                <w:rFonts w:hint="eastAsia" w:ascii="宋体" w:hAnsi="宋体" w:eastAsia="宋体" w:cs="宋体"/>
                <w:i w:val="0"/>
                <w:color w:val="000000"/>
                <w:sz w:val="22"/>
                <w:szCs w:val="22"/>
                <w:u w:val="none"/>
              </w:rPr>
            </w:pPr>
          </w:p>
        </w:tc>
      </w:tr>
      <w:tr w14:paraId="11B9A427">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0E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海湾社区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6C2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港湾花苑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4E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4F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FF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D7BB">
            <w:pPr>
              <w:jc w:val="center"/>
              <w:rPr>
                <w:rFonts w:hint="eastAsia" w:ascii="宋体" w:hAnsi="宋体" w:eastAsia="宋体" w:cs="宋体"/>
                <w:i w:val="0"/>
                <w:color w:val="000000"/>
                <w:sz w:val="22"/>
                <w:szCs w:val="22"/>
                <w:u w:val="none"/>
              </w:rPr>
            </w:pPr>
          </w:p>
        </w:tc>
      </w:tr>
      <w:tr w14:paraId="3944DB42">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528F">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987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海港花苑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21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8C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86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2AB4">
            <w:pPr>
              <w:jc w:val="center"/>
              <w:rPr>
                <w:rFonts w:hint="eastAsia" w:ascii="宋体" w:hAnsi="宋体" w:eastAsia="宋体" w:cs="宋体"/>
                <w:i w:val="0"/>
                <w:color w:val="000000"/>
                <w:sz w:val="22"/>
                <w:szCs w:val="22"/>
                <w:u w:val="none"/>
              </w:rPr>
            </w:pPr>
          </w:p>
        </w:tc>
      </w:tr>
      <w:tr w14:paraId="45CAEC16">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6F73">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587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创业公寓</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1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FD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31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7796">
            <w:pPr>
              <w:jc w:val="center"/>
              <w:rPr>
                <w:rFonts w:hint="eastAsia" w:ascii="宋体" w:hAnsi="宋体" w:eastAsia="宋体" w:cs="宋体"/>
                <w:i w:val="0"/>
                <w:color w:val="000000"/>
                <w:sz w:val="22"/>
                <w:szCs w:val="22"/>
                <w:u w:val="none"/>
              </w:rPr>
            </w:pPr>
          </w:p>
        </w:tc>
      </w:tr>
      <w:tr w14:paraId="4554C7DC">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BA8F">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54B4">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安心公寓</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1E69">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88CD">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4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5273">
            <w:pPr>
              <w:jc w:val="center"/>
              <w:rPr>
                <w:rFonts w:hint="eastAsia" w:ascii="宋体" w:hAnsi="宋体" w:eastAsia="宋体" w:cs="宋体"/>
                <w:i w:val="0"/>
                <w:color w:val="000000"/>
                <w:sz w:val="22"/>
                <w:szCs w:val="22"/>
                <w:u w:val="none"/>
              </w:rPr>
            </w:pPr>
          </w:p>
        </w:tc>
      </w:tr>
      <w:tr w14:paraId="4806D09E">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119F">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03F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两创中心</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86FB">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C48D">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AE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0515">
            <w:pPr>
              <w:jc w:val="center"/>
              <w:rPr>
                <w:rFonts w:hint="eastAsia" w:ascii="宋体" w:hAnsi="宋体" w:eastAsia="宋体" w:cs="宋体"/>
                <w:i w:val="0"/>
                <w:color w:val="000000"/>
                <w:sz w:val="22"/>
                <w:szCs w:val="22"/>
                <w:u w:val="none"/>
              </w:rPr>
            </w:pPr>
          </w:p>
        </w:tc>
      </w:tr>
      <w:tr w14:paraId="1536A898">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74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清湖社区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BF84">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东港南苑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2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9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6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83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0A20C1CF">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7083">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6B3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东港北苑一、二区排屋</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1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FC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04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B2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0AA07575">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9EF5">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5B6E">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东港北苑三区排屋</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7A81">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00D7">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70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A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45B05D54">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FE78">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3FB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东港佳苑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F4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2A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9E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8703">
            <w:pPr>
              <w:jc w:val="center"/>
              <w:rPr>
                <w:rFonts w:hint="eastAsia" w:ascii="宋体" w:hAnsi="宋体" w:eastAsia="宋体" w:cs="宋体"/>
                <w:i w:val="0"/>
                <w:color w:val="000000"/>
                <w:sz w:val="22"/>
                <w:szCs w:val="22"/>
                <w:u w:val="none"/>
              </w:rPr>
            </w:pPr>
          </w:p>
        </w:tc>
      </w:tr>
      <w:tr w14:paraId="61244F08">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F569">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63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锦绣苑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29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F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B6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A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7A1D678A">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95E5">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F6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花王名都排屋</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D4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4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7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FB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67A721AB">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3A3E">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C7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花王名都高层</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5072">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768A">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7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3AB0">
            <w:pPr>
              <w:jc w:val="center"/>
              <w:rPr>
                <w:rFonts w:hint="eastAsia" w:ascii="宋体" w:hAnsi="宋体" w:eastAsia="宋体" w:cs="宋体"/>
                <w:i w:val="0"/>
                <w:color w:val="000000"/>
                <w:sz w:val="22"/>
                <w:szCs w:val="22"/>
                <w:u w:val="none"/>
              </w:rPr>
            </w:pPr>
          </w:p>
        </w:tc>
      </w:tr>
      <w:tr w14:paraId="02197382">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9576">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56E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大树花苑排屋</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8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01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C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5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368D3A46">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C660">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135E">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大树花苑多层</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3DC5">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51E5">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BB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1710">
            <w:pPr>
              <w:jc w:val="center"/>
              <w:rPr>
                <w:rFonts w:hint="eastAsia" w:ascii="宋体" w:hAnsi="宋体" w:eastAsia="宋体" w:cs="宋体"/>
                <w:i w:val="0"/>
                <w:color w:val="000000"/>
                <w:sz w:val="22"/>
                <w:szCs w:val="22"/>
                <w:u w:val="none"/>
              </w:rPr>
            </w:pPr>
          </w:p>
        </w:tc>
      </w:tr>
      <w:tr w14:paraId="1C33778F">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CD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758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滨海北苑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19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9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DD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E5FE">
            <w:pPr>
              <w:jc w:val="center"/>
              <w:rPr>
                <w:rFonts w:hint="eastAsia" w:ascii="宋体" w:hAnsi="宋体" w:eastAsia="宋体" w:cs="宋体"/>
                <w:i w:val="0"/>
                <w:color w:val="000000"/>
                <w:sz w:val="22"/>
                <w:szCs w:val="22"/>
                <w:u w:val="none"/>
              </w:rPr>
            </w:pPr>
          </w:p>
        </w:tc>
      </w:tr>
      <w:tr w14:paraId="25B33952">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D9C7">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677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62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EE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F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5076">
            <w:pPr>
              <w:jc w:val="center"/>
              <w:rPr>
                <w:rFonts w:hint="eastAsia" w:ascii="宋体" w:hAnsi="宋体" w:eastAsia="宋体" w:cs="宋体"/>
                <w:i w:val="0"/>
                <w:color w:val="000000"/>
                <w:sz w:val="22"/>
                <w:szCs w:val="22"/>
                <w:u w:val="none"/>
              </w:rPr>
            </w:pPr>
          </w:p>
        </w:tc>
      </w:tr>
      <w:tr w14:paraId="6333C068">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BD7A">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84C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胜丰佳苑</w:t>
            </w:r>
          </w:p>
        </w:tc>
        <w:tc>
          <w:tcPr>
            <w:tcW w:w="211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89F8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8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02FA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8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1C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20CC7332">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8400">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448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老集镇老房子</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FCD3">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3A2E">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3F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8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740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老街上自建房单列为一幢</w:t>
            </w:r>
          </w:p>
        </w:tc>
      </w:tr>
      <w:tr w14:paraId="50413420">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69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海城社区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5ED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姚家花苑西区</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3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B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E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4D2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6C6C226F">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03FD">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415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姚家花苑东区</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CA26">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DEFD">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A7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8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563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14:paraId="79E2D110">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A073">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8CA1">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场前佳苑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C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E6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1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8AF686">
            <w:pPr>
              <w:jc w:val="center"/>
              <w:rPr>
                <w:rFonts w:hint="eastAsia" w:ascii="宋体" w:hAnsi="宋体" w:eastAsia="宋体" w:cs="宋体"/>
                <w:i w:val="0"/>
                <w:color w:val="000000"/>
                <w:sz w:val="22"/>
                <w:szCs w:val="22"/>
                <w:u w:val="none"/>
              </w:rPr>
            </w:pPr>
          </w:p>
        </w:tc>
      </w:tr>
      <w:tr w14:paraId="6B4850E8">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A6BB">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C54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新城花苑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19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EA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A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F457">
            <w:pPr>
              <w:jc w:val="center"/>
              <w:rPr>
                <w:rFonts w:hint="eastAsia" w:ascii="宋体" w:hAnsi="宋体" w:eastAsia="宋体" w:cs="宋体"/>
                <w:i w:val="0"/>
                <w:color w:val="000000"/>
                <w:sz w:val="22"/>
                <w:szCs w:val="22"/>
                <w:u w:val="none"/>
              </w:rPr>
            </w:pPr>
          </w:p>
        </w:tc>
      </w:tr>
      <w:tr w14:paraId="442EB072">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BF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690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中王里东区、西区</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3F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0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A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2D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自建房4户为一幢</w:t>
            </w:r>
          </w:p>
        </w:tc>
      </w:tr>
      <w:tr w14:paraId="4CF29040">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347B">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8DB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海景南苑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0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57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F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CC74">
            <w:pPr>
              <w:jc w:val="center"/>
              <w:rPr>
                <w:rFonts w:hint="eastAsia" w:ascii="宋体" w:hAnsi="宋体" w:eastAsia="宋体" w:cs="宋体"/>
                <w:i w:val="0"/>
                <w:color w:val="000000"/>
                <w:sz w:val="22"/>
                <w:szCs w:val="22"/>
                <w:u w:val="none"/>
              </w:rPr>
            </w:pPr>
          </w:p>
        </w:tc>
      </w:tr>
      <w:tr w14:paraId="734EFB61">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F4BF">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B06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海景北苑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655D">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51D9">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3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DA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排屋6户为一幢</w:t>
            </w:r>
          </w:p>
        </w:tc>
      </w:tr>
      <w:tr w14:paraId="22184E69">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29F9">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81E1">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海景雅苑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2042">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56C5">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2E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0D89">
            <w:pPr>
              <w:jc w:val="center"/>
              <w:rPr>
                <w:rFonts w:hint="eastAsia" w:ascii="宋体" w:hAnsi="宋体" w:eastAsia="宋体" w:cs="宋体"/>
                <w:i w:val="0"/>
                <w:color w:val="000000"/>
                <w:sz w:val="22"/>
                <w:szCs w:val="22"/>
                <w:u w:val="none"/>
              </w:rPr>
            </w:pPr>
          </w:p>
        </w:tc>
      </w:tr>
      <w:tr w14:paraId="73AF0E84">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A2EC">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03E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春风桃源里</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0A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7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0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156D">
            <w:pPr>
              <w:jc w:val="center"/>
              <w:rPr>
                <w:rFonts w:hint="eastAsia" w:ascii="宋体" w:hAnsi="宋体" w:eastAsia="宋体" w:cs="宋体"/>
                <w:i w:val="0"/>
                <w:color w:val="000000"/>
                <w:sz w:val="22"/>
                <w:szCs w:val="22"/>
                <w:u w:val="none"/>
              </w:rPr>
            </w:pPr>
          </w:p>
        </w:tc>
      </w:tr>
      <w:tr w14:paraId="2923DD20">
        <w:tblPrEx>
          <w:tblCellMar>
            <w:top w:w="0" w:type="dxa"/>
            <w:left w:w="0" w:type="dxa"/>
            <w:bottom w:w="0" w:type="dxa"/>
            <w:right w:w="0" w:type="dxa"/>
          </w:tblCellMar>
        </w:tblPrEx>
        <w:trPr>
          <w:trHeight w:val="285"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7F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2C2F">
            <w:pPr>
              <w:jc w:val="center"/>
              <w:rPr>
                <w:rFonts w:hint="eastAsia" w:ascii="宋体" w:hAnsi="宋体" w:eastAsia="宋体" w:cs="宋体"/>
                <w:i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44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3B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C3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F244">
            <w:pPr>
              <w:jc w:val="center"/>
              <w:rPr>
                <w:rFonts w:hint="eastAsia" w:ascii="宋体" w:hAnsi="宋体" w:eastAsia="宋体" w:cs="宋体"/>
                <w:i w:val="0"/>
                <w:color w:val="000000"/>
                <w:sz w:val="24"/>
                <w:szCs w:val="24"/>
                <w:u w:val="none"/>
              </w:rPr>
            </w:pPr>
          </w:p>
        </w:tc>
      </w:tr>
    </w:tbl>
    <w:p w14:paraId="4038AB1E">
      <w:pPr>
        <w:rPr>
          <w:rFonts w:hint="eastAsia"/>
        </w:rPr>
        <w:sectPr>
          <w:pgSz w:w="16783" w:h="11850" w:orient="landscape"/>
          <w:pgMar w:top="1134" w:right="1020" w:bottom="1134" w:left="1020" w:header="851" w:footer="992" w:gutter="0"/>
          <w:cols w:space="720" w:num="1"/>
          <w:docGrid w:type="linesAndChars" w:linePitch="320" w:charSpace="482"/>
        </w:sectPr>
      </w:pPr>
    </w:p>
    <w:p w14:paraId="03E064FE">
      <w:pPr>
        <w:rPr>
          <w:rFonts w:hint="eastAsia" w:ascii="宋体" w:hAnsi="宋体"/>
          <w:b/>
          <w:szCs w:val="21"/>
          <w:lang w:val="en-US" w:eastAsia="zh-CN"/>
        </w:rPr>
      </w:pPr>
      <w:r>
        <w:rPr>
          <w:rFonts w:hint="eastAsia" w:ascii="宋体" w:hAnsi="宋体"/>
          <w:b/>
          <w:szCs w:val="21"/>
        </w:rPr>
        <w:t>附件</w:t>
      </w:r>
      <w:r>
        <w:rPr>
          <w:rFonts w:hint="eastAsia" w:ascii="宋体" w:hAnsi="宋体"/>
          <w:b/>
          <w:szCs w:val="21"/>
          <w:lang w:val="en-US" w:eastAsia="zh-CN"/>
        </w:rPr>
        <w:t xml:space="preserve">5  </w:t>
      </w:r>
    </w:p>
    <w:p w14:paraId="3568472E">
      <w:pPr>
        <w:rPr>
          <w:rFonts w:hint="default"/>
          <w:lang w:val="en-US" w:eastAsia="zh-CN"/>
        </w:rPr>
      </w:pPr>
    </w:p>
    <w:tbl>
      <w:tblPr>
        <w:tblStyle w:val="27"/>
        <w:tblW w:w="9225" w:type="dxa"/>
        <w:tblInd w:w="0" w:type="dxa"/>
        <w:shd w:val="clear" w:color="auto" w:fill="auto"/>
        <w:tblLayout w:type="fixed"/>
        <w:tblCellMar>
          <w:top w:w="0" w:type="dxa"/>
          <w:left w:w="0" w:type="dxa"/>
          <w:bottom w:w="0" w:type="dxa"/>
          <w:right w:w="0" w:type="dxa"/>
        </w:tblCellMar>
      </w:tblPr>
      <w:tblGrid>
        <w:gridCol w:w="1080"/>
        <w:gridCol w:w="2655"/>
        <w:gridCol w:w="1635"/>
        <w:gridCol w:w="990"/>
        <w:gridCol w:w="1500"/>
        <w:gridCol w:w="1365"/>
      </w:tblGrid>
      <w:tr w14:paraId="3E598387">
        <w:tblPrEx>
          <w:shd w:val="clear" w:color="auto" w:fill="auto"/>
          <w:tblCellMar>
            <w:top w:w="0" w:type="dxa"/>
            <w:left w:w="0" w:type="dxa"/>
            <w:bottom w:w="0" w:type="dxa"/>
            <w:right w:w="0" w:type="dxa"/>
          </w:tblCellMar>
        </w:tblPrEx>
        <w:trPr>
          <w:trHeight w:val="375" w:hRule="atLeast"/>
        </w:trPr>
        <w:tc>
          <w:tcPr>
            <w:tcW w:w="9225" w:type="dxa"/>
            <w:gridSpan w:val="6"/>
            <w:tcBorders>
              <w:top w:val="nil"/>
              <w:left w:val="nil"/>
              <w:bottom w:val="nil"/>
              <w:right w:val="nil"/>
            </w:tcBorders>
            <w:shd w:val="clear" w:color="auto" w:fill="auto"/>
            <w:noWrap/>
            <w:tcMar>
              <w:top w:w="15" w:type="dxa"/>
              <w:left w:w="15" w:type="dxa"/>
              <w:right w:w="15" w:type="dxa"/>
            </w:tcMar>
            <w:vAlign w:val="center"/>
          </w:tcPr>
          <w:p w14:paraId="312785FB">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西塘桥街道公共厕所明细表</w:t>
            </w:r>
          </w:p>
        </w:tc>
      </w:tr>
      <w:tr w14:paraId="0F982FDA">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A3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3E1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D4E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w:t>
            </w:r>
            <w:r>
              <w:rPr>
                <w:rFonts w:hint="eastAsia" w:ascii="宋体" w:hAnsi="宋体" w:cs="宋体"/>
                <w:i w:val="0"/>
                <w:color w:val="000000"/>
                <w:kern w:val="0"/>
                <w:sz w:val="24"/>
                <w:szCs w:val="24"/>
                <w:u w:val="none"/>
                <w:lang w:val="en-US" w:eastAsia="zh-CN" w:bidi="ar"/>
              </w:rPr>
              <w:t>（社区）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FC4B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属性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526B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年份</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6A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7E25278E">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FE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55C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新海社区泾海路</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079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D727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15A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7AB8">
            <w:pPr>
              <w:jc w:val="both"/>
              <w:rPr>
                <w:rFonts w:hint="eastAsia" w:ascii="宋体" w:hAnsi="宋体" w:eastAsia="宋体" w:cs="宋体"/>
                <w:i w:val="0"/>
                <w:color w:val="000000"/>
                <w:sz w:val="24"/>
                <w:szCs w:val="24"/>
                <w:u w:val="none"/>
              </w:rPr>
            </w:pPr>
          </w:p>
        </w:tc>
      </w:tr>
      <w:tr w14:paraId="503786A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719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DFD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郭家埭</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D58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0E0A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A075">
            <w:pPr>
              <w:jc w:val="both"/>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A4EE">
            <w:pPr>
              <w:jc w:val="both"/>
              <w:rPr>
                <w:rFonts w:hint="eastAsia" w:ascii="宋体" w:hAnsi="宋体" w:eastAsia="宋体" w:cs="宋体"/>
                <w:i w:val="0"/>
                <w:color w:val="000000"/>
                <w:sz w:val="24"/>
                <w:szCs w:val="24"/>
                <w:u w:val="none"/>
              </w:rPr>
            </w:pPr>
          </w:p>
        </w:tc>
      </w:tr>
      <w:tr w14:paraId="51E22CB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A3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65E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姚家花苑公厕</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88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新城</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FF1C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6016">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857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小区里面</w:t>
            </w:r>
          </w:p>
        </w:tc>
      </w:tr>
      <w:tr w14:paraId="4B155CA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E48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706F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西塘顾家头（敬老院）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AEB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2B76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3B0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0B34">
            <w:pPr>
              <w:jc w:val="both"/>
              <w:rPr>
                <w:rFonts w:hint="eastAsia" w:ascii="宋体" w:hAnsi="宋体" w:eastAsia="宋体" w:cs="宋体"/>
                <w:i w:val="0"/>
                <w:color w:val="000000"/>
                <w:sz w:val="24"/>
                <w:szCs w:val="24"/>
                <w:u w:val="none"/>
              </w:rPr>
            </w:pPr>
          </w:p>
        </w:tc>
      </w:tr>
      <w:tr w14:paraId="677A46D9">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A5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BF23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西塘西李家村（桥下）</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2995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4335">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65E2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66D2">
            <w:pPr>
              <w:jc w:val="both"/>
              <w:rPr>
                <w:rFonts w:hint="eastAsia" w:ascii="宋体" w:hAnsi="宋体" w:eastAsia="宋体" w:cs="宋体"/>
                <w:i w:val="0"/>
                <w:color w:val="000000"/>
                <w:sz w:val="24"/>
                <w:szCs w:val="24"/>
                <w:u w:val="none"/>
              </w:rPr>
            </w:pPr>
          </w:p>
        </w:tc>
      </w:tr>
      <w:tr w14:paraId="3864008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F3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2ED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文体中心东侧</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C414">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370C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9E48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062D">
            <w:pPr>
              <w:jc w:val="both"/>
              <w:rPr>
                <w:rFonts w:hint="eastAsia" w:ascii="宋体" w:hAnsi="宋体" w:eastAsia="宋体" w:cs="宋体"/>
                <w:i w:val="0"/>
                <w:color w:val="000000"/>
                <w:sz w:val="24"/>
                <w:szCs w:val="24"/>
                <w:u w:val="none"/>
              </w:rPr>
            </w:pPr>
          </w:p>
        </w:tc>
      </w:tr>
      <w:tr w14:paraId="0AA5F17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E2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F75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中央公园</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983A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清湖社区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978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5319D">
            <w:pPr>
              <w:jc w:val="both"/>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BB16">
            <w:pPr>
              <w:jc w:val="both"/>
              <w:rPr>
                <w:rFonts w:hint="eastAsia" w:ascii="宋体" w:hAnsi="宋体" w:eastAsia="宋体" w:cs="宋体"/>
                <w:i w:val="0"/>
                <w:color w:val="000000"/>
                <w:sz w:val="24"/>
                <w:szCs w:val="24"/>
                <w:u w:val="none"/>
              </w:rPr>
            </w:pPr>
          </w:p>
        </w:tc>
      </w:tr>
      <w:tr w14:paraId="13F21EE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8F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E3D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一百丈厕所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CA1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曙光</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750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E8CD">
            <w:pPr>
              <w:jc w:val="both"/>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D884">
            <w:pPr>
              <w:jc w:val="both"/>
              <w:rPr>
                <w:rFonts w:hint="eastAsia" w:ascii="宋体" w:hAnsi="宋体" w:eastAsia="宋体" w:cs="宋体"/>
                <w:i w:val="0"/>
                <w:color w:val="000000"/>
                <w:sz w:val="24"/>
                <w:szCs w:val="24"/>
                <w:u w:val="none"/>
              </w:rPr>
            </w:pPr>
          </w:p>
        </w:tc>
      </w:tr>
      <w:tr w14:paraId="7230BBE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B1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60B0E">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大树底厕所（农行）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DFEE">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曙光</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66F4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D02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AF50">
            <w:pPr>
              <w:jc w:val="both"/>
              <w:rPr>
                <w:rFonts w:hint="eastAsia" w:ascii="宋体" w:hAnsi="宋体" w:eastAsia="宋体" w:cs="宋体"/>
                <w:i w:val="0"/>
                <w:color w:val="000000"/>
                <w:sz w:val="24"/>
                <w:szCs w:val="24"/>
                <w:u w:val="none"/>
              </w:rPr>
            </w:pPr>
          </w:p>
        </w:tc>
      </w:tr>
      <w:tr w14:paraId="7440ACD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8A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AC6E">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姚家路东（易购）</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DCB99">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DA3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D3E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1F0D">
            <w:pPr>
              <w:jc w:val="both"/>
              <w:rPr>
                <w:rFonts w:hint="eastAsia" w:ascii="宋体" w:hAnsi="宋体" w:eastAsia="宋体" w:cs="宋体"/>
                <w:i w:val="0"/>
                <w:color w:val="000000"/>
                <w:sz w:val="24"/>
                <w:szCs w:val="24"/>
                <w:u w:val="none"/>
              </w:rPr>
            </w:pPr>
          </w:p>
        </w:tc>
      </w:tr>
      <w:tr w14:paraId="79ADE37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94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C5B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复兴公寓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057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701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49FD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2469">
            <w:pPr>
              <w:jc w:val="both"/>
              <w:rPr>
                <w:rFonts w:hint="eastAsia" w:ascii="宋体" w:hAnsi="宋体" w:eastAsia="宋体" w:cs="宋体"/>
                <w:i w:val="0"/>
                <w:color w:val="000000"/>
                <w:sz w:val="24"/>
                <w:szCs w:val="24"/>
                <w:u w:val="none"/>
              </w:rPr>
            </w:pPr>
          </w:p>
        </w:tc>
      </w:tr>
      <w:tr w14:paraId="4333895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01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B28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王庄新社区（停车场）</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60E1">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C62D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DB32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2017年交</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A2CB">
            <w:pPr>
              <w:jc w:val="both"/>
              <w:rPr>
                <w:rFonts w:hint="eastAsia" w:ascii="宋体" w:hAnsi="宋体" w:eastAsia="宋体" w:cs="宋体"/>
                <w:i w:val="0"/>
                <w:color w:val="000000"/>
                <w:sz w:val="24"/>
                <w:szCs w:val="24"/>
                <w:u w:val="none"/>
              </w:rPr>
            </w:pPr>
          </w:p>
        </w:tc>
      </w:tr>
      <w:tr w14:paraId="149639E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0A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B9E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碧桂园厕所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B22D">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海城</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273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B58B3">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2019年底</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2D2F">
            <w:pPr>
              <w:jc w:val="both"/>
              <w:rPr>
                <w:rFonts w:hint="eastAsia" w:ascii="宋体" w:hAnsi="宋体" w:eastAsia="宋体" w:cs="宋体"/>
                <w:i w:val="0"/>
                <w:color w:val="000000"/>
                <w:sz w:val="24"/>
                <w:szCs w:val="24"/>
                <w:u w:val="none"/>
              </w:rPr>
            </w:pPr>
          </w:p>
        </w:tc>
      </w:tr>
      <w:tr w14:paraId="08AABFB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DB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2D6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儿童公园（移动塔）</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E69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8D75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67D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79B1">
            <w:pPr>
              <w:jc w:val="both"/>
              <w:rPr>
                <w:rFonts w:hint="eastAsia" w:ascii="宋体" w:hAnsi="宋体" w:eastAsia="宋体" w:cs="宋体"/>
                <w:i w:val="0"/>
                <w:color w:val="000000"/>
                <w:sz w:val="24"/>
                <w:szCs w:val="24"/>
                <w:u w:val="none"/>
              </w:rPr>
            </w:pPr>
          </w:p>
        </w:tc>
      </w:tr>
      <w:tr w14:paraId="68922DB0">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76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EEE1">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新港花苑厕所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BCA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351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7002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2A22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小区里面</w:t>
            </w:r>
          </w:p>
        </w:tc>
      </w:tr>
      <w:tr w14:paraId="3CC0D3D4">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F6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AE9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场前大王庙老厕所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E73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海城</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16C8">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630AC">
            <w:pPr>
              <w:jc w:val="both"/>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A89">
            <w:pPr>
              <w:jc w:val="both"/>
              <w:rPr>
                <w:rFonts w:hint="eastAsia" w:ascii="宋体" w:hAnsi="宋体" w:eastAsia="宋体" w:cs="宋体"/>
                <w:i w:val="0"/>
                <w:color w:val="000000"/>
                <w:sz w:val="24"/>
                <w:szCs w:val="24"/>
                <w:u w:val="none"/>
              </w:rPr>
            </w:pPr>
          </w:p>
        </w:tc>
      </w:tr>
      <w:tr w14:paraId="7A2743F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C72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B0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胜丰佳苑东侧厕所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D9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5F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70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2021年2月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0DA3">
            <w:pPr>
              <w:jc w:val="both"/>
              <w:rPr>
                <w:rFonts w:hint="eastAsia" w:ascii="宋体" w:hAnsi="宋体" w:eastAsia="宋体" w:cs="宋体"/>
                <w:i w:val="0"/>
                <w:color w:val="000000"/>
                <w:sz w:val="24"/>
                <w:szCs w:val="24"/>
                <w:u w:val="none"/>
              </w:rPr>
            </w:pPr>
          </w:p>
        </w:tc>
      </w:tr>
      <w:tr w14:paraId="3848309C">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1D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70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科普公园驿站厕所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64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BD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97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2021年2月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E81F">
            <w:pPr>
              <w:jc w:val="both"/>
              <w:rPr>
                <w:rFonts w:hint="eastAsia" w:ascii="宋体" w:hAnsi="宋体" w:eastAsia="宋体" w:cs="宋体"/>
                <w:i w:val="0"/>
                <w:color w:val="000000"/>
                <w:sz w:val="24"/>
                <w:szCs w:val="24"/>
                <w:u w:val="none"/>
              </w:rPr>
            </w:pPr>
          </w:p>
        </w:tc>
      </w:tr>
      <w:tr w14:paraId="3055F85F">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67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E0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姚家路西路厕所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A71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清湖社区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A11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5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EBBCD">
            <w:pPr>
              <w:jc w:val="both"/>
              <w:rPr>
                <w:rFonts w:hint="eastAsia" w:ascii="宋体" w:hAnsi="宋体" w:eastAsia="宋体" w:cs="宋体"/>
                <w:i w:val="0"/>
                <w:color w:val="000000"/>
                <w:sz w:val="24"/>
                <w:szCs w:val="24"/>
                <w:u w:val="none"/>
              </w:rPr>
            </w:pPr>
          </w:p>
        </w:tc>
      </w:tr>
      <w:tr w14:paraId="68A5FB2B">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E7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C1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西塘路场前泾厕所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62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4F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81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A364">
            <w:pPr>
              <w:jc w:val="both"/>
              <w:rPr>
                <w:rFonts w:hint="eastAsia" w:ascii="宋体" w:hAnsi="宋体" w:eastAsia="宋体" w:cs="宋体"/>
                <w:i w:val="0"/>
                <w:color w:val="000000"/>
                <w:sz w:val="24"/>
                <w:szCs w:val="24"/>
                <w:u w:val="none"/>
              </w:rPr>
            </w:pPr>
          </w:p>
        </w:tc>
      </w:tr>
      <w:tr w14:paraId="5D128195">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204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CB7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法制公园厕所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CEE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31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A8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65D8">
            <w:pPr>
              <w:jc w:val="both"/>
              <w:rPr>
                <w:rFonts w:hint="eastAsia" w:ascii="宋体" w:hAnsi="宋体" w:eastAsia="宋体" w:cs="宋体"/>
                <w:i w:val="0"/>
                <w:color w:val="000000"/>
                <w:sz w:val="24"/>
                <w:szCs w:val="24"/>
                <w:u w:val="none"/>
              </w:rPr>
            </w:pPr>
          </w:p>
        </w:tc>
      </w:tr>
      <w:tr w14:paraId="20F3AB6D">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EA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4E0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创业公寓</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F5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海湾社区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2B617">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F3BD">
            <w:pP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DCFB">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小区里面</w:t>
            </w:r>
          </w:p>
        </w:tc>
      </w:tr>
      <w:tr w14:paraId="02EBBE32">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B8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05FC">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春风桃源里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00D39">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海景社区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5B70">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DE3438">
            <w:pP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C4BA">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小区里面</w:t>
            </w:r>
          </w:p>
        </w:tc>
      </w:tr>
    </w:tbl>
    <w:p w14:paraId="658DAAAC">
      <w:pPr>
        <w:pStyle w:val="4"/>
        <w:rPr>
          <w:rFonts w:hint="default"/>
          <w:lang w:val="en-US" w:eastAsia="zh-CN"/>
        </w:rPr>
        <w:sectPr>
          <w:pgSz w:w="11850" w:h="16783"/>
          <w:pgMar w:top="1020" w:right="1134" w:bottom="1020" w:left="1134" w:header="851" w:footer="992" w:gutter="0"/>
          <w:cols w:space="720" w:num="1"/>
          <w:docGrid w:type="linesAndChars" w:linePitch="320" w:charSpace="482"/>
        </w:sectPr>
      </w:pPr>
    </w:p>
    <w:p w14:paraId="38286950">
      <w:pPr>
        <w:pStyle w:val="3"/>
        <w:keepNext w:val="0"/>
        <w:keepLines w:val="0"/>
        <w:pageBreakBefore/>
        <w:spacing w:beforeLines="100" w:afterLines="100" w:line="240" w:lineRule="auto"/>
        <w:jc w:val="center"/>
        <w:rPr>
          <w:rFonts w:ascii="Arial" w:hAnsi="Arial" w:cs="Arial"/>
          <w:sz w:val="28"/>
          <w:szCs w:val="36"/>
        </w:rPr>
      </w:pPr>
      <w:r>
        <w:rPr>
          <w:rFonts w:hint="eastAsia" w:ascii="Arial" w:hAnsi="Arial" w:cs="Arial"/>
          <w:sz w:val="28"/>
          <w:szCs w:val="36"/>
        </w:rPr>
        <w:t>第四部分</w:t>
      </w:r>
      <w:r>
        <w:rPr>
          <w:rFonts w:hint="eastAsia" w:ascii="Arial" w:hAnsi="Arial" w:cs="Arial"/>
          <w:sz w:val="28"/>
          <w:szCs w:val="36"/>
          <w:lang w:val="en-US" w:eastAsia="zh-CN"/>
        </w:rPr>
        <w:t xml:space="preserve">  </w:t>
      </w:r>
      <w:r>
        <w:rPr>
          <w:rFonts w:hint="eastAsia" w:ascii="Arial" w:hAnsi="Arial" w:cs="Arial"/>
          <w:sz w:val="28"/>
          <w:szCs w:val="36"/>
        </w:rPr>
        <w:t>合同条款</w:t>
      </w:r>
      <w:bookmarkEnd w:id="10"/>
    </w:p>
    <w:p w14:paraId="4EDC5D9E">
      <w:pPr>
        <w:autoSpaceDE w:val="0"/>
        <w:autoSpaceDN w:val="0"/>
        <w:adjustRightInd w:val="0"/>
        <w:spacing w:line="360" w:lineRule="auto"/>
        <w:jc w:val="center"/>
        <w:rPr>
          <w:rFonts w:hint="eastAsia" w:ascii="宋体" w:hAnsi="宋体" w:cs="宋体"/>
          <w:b/>
          <w:kern w:val="0"/>
          <w:szCs w:val="21"/>
        </w:rPr>
      </w:pPr>
      <w:bookmarkStart w:id="11" w:name="_Toc342403721"/>
      <w:r>
        <w:rPr>
          <w:rFonts w:hint="eastAsia" w:ascii="宋体" w:hAnsi="宋体" w:cs="宋体"/>
          <w:b/>
          <w:szCs w:val="21"/>
        </w:rPr>
        <w:t>（供参考，双方在签订合同时可根据实际情况作相应修改）</w:t>
      </w:r>
      <w:bookmarkEnd w:id="11"/>
    </w:p>
    <w:p w14:paraId="6EDDA6DB">
      <w:pPr>
        <w:tabs>
          <w:tab w:val="left" w:pos="180"/>
          <w:tab w:val="left" w:pos="360"/>
          <w:tab w:val="left" w:pos="540"/>
        </w:tabs>
        <w:ind w:firstLine="476" w:firstLineChars="225"/>
        <w:jc w:val="center"/>
        <w:rPr>
          <w:rFonts w:hint="eastAsia" w:ascii="宋体" w:hAnsi="宋体" w:cs="宋体"/>
          <w:szCs w:val="21"/>
        </w:rPr>
      </w:pPr>
      <w:r>
        <w:rPr>
          <w:rFonts w:hint="eastAsia" w:ascii="宋体" w:hAnsi="宋体" w:cs="宋体"/>
          <w:szCs w:val="21"/>
        </w:rPr>
        <w:t>海盐县政府购买服务合同</w:t>
      </w:r>
    </w:p>
    <w:p w14:paraId="56827170">
      <w:pPr>
        <w:keepNext w:val="0"/>
        <w:keepLines w:val="0"/>
        <w:pageBreakBefore w:val="0"/>
        <w:tabs>
          <w:tab w:val="left" w:pos="180"/>
          <w:tab w:val="left" w:pos="360"/>
          <w:tab w:val="left" w:pos="540"/>
        </w:tabs>
        <w:kinsoku/>
        <w:wordWrap/>
        <w:overflowPunct/>
        <w:topLinePunct w:val="0"/>
        <w:autoSpaceDE/>
        <w:autoSpaceDN/>
        <w:bidi w:val="0"/>
        <w:adjustRightInd/>
        <w:spacing w:line="360" w:lineRule="auto"/>
        <w:ind w:left="0" w:leftChars="0" w:firstLine="544" w:firstLineChars="225"/>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rPr>
        <w:t>甲  方：</w:t>
      </w:r>
      <w:r>
        <w:rPr>
          <w:rFonts w:hint="eastAsia" w:ascii="宋体" w:hAnsi="宋体" w:cs="宋体"/>
          <w:color w:val="000000"/>
          <w:sz w:val="24"/>
          <w:szCs w:val="24"/>
          <w:lang w:eastAsia="zh-CN"/>
        </w:rPr>
        <w:t xml:space="preserve">浙江省海盐经济开发区管理委员会 </w:t>
      </w:r>
    </w:p>
    <w:p w14:paraId="4F94D694">
      <w:pPr>
        <w:keepNext w:val="0"/>
        <w:keepLines w:val="0"/>
        <w:pageBreakBefore w:val="0"/>
        <w:tabs>
          <w:tab w:val="left" w:pos="180"/>
          <w:tab w:val="left" w:pos="360"/>
          <w:tab w:val="left" w:pos="540"/>
        </w:tabs>
        <w:kinsoku/>
        <w:wordWrap/>
        <w:overflowPunct/>
        <w:topLinePunct w:val="0"/>
        <w:autoSpaceDE/>
        <w:autoSpaceDN/>
        <w:bidi w:val="0"/>
        <w:adjustRightInd/>
        <w:spacing w:line="360" w:lineRule="auto"/>
        <w:ind w:left="0" w:leftChars="0" w:firstLine="544" w:firstLineChars="225"/>
        <w:textAlignment w:val="auto"/>
        <w:rPr>
          <w:rFonts w:hint="eastAsia" w:ascii="宋体" w:hAnsi="宋体" w:cs="宋体"/>
          <w:color w:val="000000"/>
          <w:sz w:val="24"/>
          <w:szCs w:val="24"/>
        </w:rPr>
      </w:pPr>
      <w:r>
        <w:rPr>
          <w:rFonts w:hint="eastAsia" w:ascii="宋体" w:hAnsi="宋体" w:cs="宋体"/>
          <w:color w:val="000000"/>
          <w:sz w:val="24"/>
          <w:szCs w:val="24"/>
        </w:rPr>
        <w:t>乙  方：</w:t>
      </w:r>
    </w:p>
    <w:p w14:paraId="2B810B46">
      <w:pPr>
        <w:keepNext w:val="0"/>
        <w:keepLines w:val="0"/>
        <w:pageBreakBefore w:val="0"/>
        <w:tabs>
          <w:tab w:val="left" w:pos="180"/>
          <w:tab w:val="left" w:pos="360"/>
          <w:tab w:val="left" w:pos="540"/>
        </w:tabs>
        <w:kinsoku/>
        <w:wordWrap/>
        <w:overflowPunct/>
        <w:topLinePunct w:val="0"/>
        <w:autoSpaceDE/>
        <w:autoSpaceDN/>
        <w:bidi w:val="0"/>
        <w:adjustRightInd/>
        <w:spacing w:line="360" w:lineRule="auto"/>
        <w:ind w:left="0" w:leftChars="0" w:firstLine="544" w:firstLineChars="225"/>
        <w:textAlignment w:val="auto"/>
        <w:rPr>
          <w:rFonts w:hint="eastAsia" w:ascii="宋体" w:hAnsi="宋体" w:cs="宋体"/>
          <w:color w:val="000000"/>
          <w:sz w:val="24"/>
          <w:szCs w:val="24"/>
        </w:rPr>
      </w:pPr>
      <w:r>
        <w:rPr>
          <w:rFonts w:hint="eastAsia" w:ascii="宋体" w:hAnsi="宋体" w:cs="宋体"/>
          <w:color w:val="000000"/>
          <w:sz w:val="24"/>
          <w:szCs w:val="24"/>
        </w:rPr>
        <w:t>经公开招标，确定乙方为</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HYPERLINK "https://bidding.zcygov.cn/xmgl/projectQuery/queryDetail?projectUuid=5d642867c3a3f0d5&amp;utm=bidding-entrust-front.62f570f9.0.0.c451ad501e3111ebbd1609eeea210666" \t "https://www.zcygov.cn/bidding-entrust/" \l "/purchaseFileMake/_blank"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lang w:eastAsia="zh-CN"/>
        </w:rPr>
        <w:t>2025-2026年西塘桥街道公共环境病媒生物防制服务</w:t>
      </w:r>
      <w:r>
        <w:rPr>
          <w:rFonts w:hint="eastAsia" w:ascii="宋体" w:hAnsi="宋体" w:cs="宋体"/>
          <w:color w:val="000000"/>
          <w:sz w:val="24"/>
          <w:szCs w:val="24"/>
          <w:u w:val="single"/>
        </w:rPr>
        <w:fldChar w:fldCharType="end"/>
      </w:r>
      <w:r>
        <w:rPr>
          <w:rFonts w:hint="eastAsia" w:ascii="宋体" w:hAnsi="宋体" w:cs="宋体"/>
          <w:color w:val="000000"/>
          <w:sz w:val="24"/>
          <w:szCs w:val="24"/>
        </w:rPr>
        <w:t>中标单位，根据</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HYPERLINK "https://bidding.zcygov.cn/xmgl/projectQuery/queryDetail?projectUuid=5d642867c3a3f0d5&amp;utm=bidding-entrust-front.62f570f9.0.0.c451ad501e3111ebbd1609eeea210666" \t "https://www.zcygov.cn/bidding-entrust/" \l "/purchaseFileMake/_blank"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lang w:eastAsia="zh-CN"/>
        </w:rPr>
        <w:t>2025-2026年西塘桥街道公共环境病媒生物防制服务</w:t>
      </w:r>
      <w:r>
        <w:rPr>
          <w:rFonts w:hint="eastAsia" w:ascii="宋体" w:hAnsi="宋体" w:cs="宋体"/>
          <w:color w:val="000000"/>
          <w:sz w:val="24"/>
          <w:szCs w:val="24"/>
          <w:u w:val="single"/>
        </w:rPr>
        <w:fldChar w:fldCharType="end"/>
      </w:r>
      <w:r>
        <w:rPr>
          <w:rFonts w:hint="eastAsia" w:ascii="宋体" w:hAnsi="宋体" w:cs="宋体"/>
          <w:color w:val="000000"/>
          <w:sz w:val="24"/>
          <w:szCs w:val="24"/>
        </w:rPr>
        <w:t>招投标内容，结合海盐实际，经甲、乙双方协商，达成以下条款：</w:t>
      </w:r>
    </w:p>
    <w:p w14:paraId="635FA67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bookmarkStart w:id="12" w:name="_Toc3126"/>
      <w:r>
        <w:rPr>
          <w:rFonts w:hint="eastAsia" w:ascii="宋体" w:hAnsi="宋体" w:cs="Arial"/>
          <w:b/>
          <w:kern w:val="0"/>
          <w:sz w:val="24"/>
          <w:szCs w:val="24"/>
        </w:rPr>
        <w:t>第一条 合同组成</w:t>
      </w:r>
    </w:p>
    <w:p w14:paraId="2233928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本次政府采购活动的相关文件为本合同的组成部分，这些文件包括但不限于：</w:t>
      </w:r>
    </w:p>
    <w:p w14:paraId="00E8AB3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（1）本合同文本；</w:t>
      </w:r>
    </w:p>
    <w:p w14:paraId="4BD739B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（2）采购文件与采购响应文件；</w:t>
      </w:r>
    </w:p>
    <w:p w14:paraId="2BD0D48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（3）中标或成交通知书；</w:t>
      </w:r>
    </w:p>
    <w:p w14:paraId="25592AF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组成本合同的所有文件必须为书面形式。政府采购合同备案时，须提供以上（1）、（3）两项，如由社会中介机构代理，须提供代理协议，合同如有变更的，须提供变更协议。</w:t>
      </w:r>
    </w:p>
    <w:p w14:paraId="0CCAAEF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第二条 合同标的与相关属性</w:t>
      </w:r>
    </w:p>
    <w:p w14:paraId="6454FC7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1、本次采购的是</w:t>
      </w:r>
      <w:r>
        <w:rPr>
          <w:rFonts w:hint="eastAsia" w:ascii="宋体" w:hAnsi="宋体" w:cs="Arial"/>
          <w:sz w:val="24"/>
          <w:szCs w:val="24"/>
          <w:u w:val="single"/>
        </w:rPr>
        <w:t>灭鼠、灭蚊、灭蝇、灭蟑螂相关消杀服务</w:t>
      </w:r>
      <w:r>
        <w:rPr>
          <w:rFonts w:hint="eastAsia" w:ascii="宋体" w:hAnsi="宋体" w:cs="Arial"/>
          <w:kern w:val="0"/>
          <w:sz w:val="24"/>
          <w:szCs w:val="24"/>
        </w:rPr>
        <w:t>。</w:t>
      </w:r>
    </w:p>
    <w:p w14:paraId="2DE2632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2、乙方是否属于中小微企业：□是□否</w:t>
      </w:r>
    </w:p>
    <w:p w14:paraId="6C732E4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第三条 合同价款</w:t>
      </w:r>
    </w:p>
    <w:p w14:paraId="7E4A06F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1、本合同项下总价款为（大写）</w:t>
      </w:r>
      <w:r>
        <w:rPr>
          <w:rFonts w:hint="eastAsia" w:ascii="宋体" w:hAnsi="宋体" w:cs="Arial"/>
          <w:kern w:val="0"/>
          <w:sz w:val="24"/>
          <w:szCs w:val="24"/>
          <w:u w:val="single"/>
        </w:rPr>
        <w:t xml:space="preserve">              </w:t>
      </w:r>
      <w:r>
        <w:rPr>
          <w:rFonts w:hint="eastAsia" w:ascii="宋体" w:hAnsi="宋体" w:cs="Arial"/>
          <w:kern w:val="0"/>
          <w:sz w:val="24"/>
          <w:szCs w:val="24"/>
        </w:rPr>
        <w:t>人民币。</w:t>
      </w:r>
    </w:p>
    <w:p w14:paraId="40C093E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w:t>
      </w:r>
      <w:r>
        <w:rPr>
          <w:rFonts w:hint="eastAsia" w:hAnsi="宋体"/>
          <w:sz w:val="24"/>
          <w:szCs w:val="24"/>
        </w:rPr>
        <w:t>合同价格为</w:t>
      </w:r>
      <w:r>
        <w:rPr>
          <w:rFonts w:hAnsi="宋体"/>
          <w:sz w:val="24"/>
          <w:szCs w:val="24"/>
        </w:rPr>
        <w:t>履行合同的最终价格，</w:t>
      </w:r>
      <w:r>
        <w:rPr>
          <w:rFonts w:hint="eastAsia" w:hAnsi="宋体"/>
          <w:sz w:val="24"/>
          <w:szCs w:val="24"/>
        </w:rPr>
        <w:t>应包括招标文件中所要求的</w:t>
      </w:r>
      <w:r>
        <w:rPr>
          <w:rFonts w:hAnsi="宋体"/>
          <w:sz w:val="24"/>
          <w:szCs w:val="24"/>
        </w:rPr>
        <w:t>承包</w:t>
      </w:r>
      <w:r>
        <w:rPr>
          <w:rFonts w:hint="eastAsia" w:hAnsi="宋体"/>
          <w:sz w:val="24"/>
          <w:szCs w:val="24"/>
        </w:rPr>
        <w:t>服务范围内所有消杀服务所需的药物、器械、人工、运杂、税金（包含关税</w:t>
      </w:r>
      <w:r>
        <w:rPr>
          <w:rFonts w:hint="eastAsia" w:hAnsi="宋体"/>
          <w:sz w:val="24"/>
          <w:szCs w:val="24"/>
          <w:lang w:eastAsia="zh-CN"/>
        </w:rPr>
        <w:t>，</w:t>
      </w:r>
      <w:r>
        <w:rPr>
          <w:rFonts w:hint="eastAsia" w:hAnsi="宋体"/>
          <w:sz w:val="24"/>
          <w:szCs w:val="24"/>
        </w:rPr>
        <w:t>由供应商承担的）、相关服务承诺等各项可能涉及的费用。以及</w:t>
      </w:r>
      <w:r>
        <w:rPr>
          <w:rFonts w:hAnsi="宋体"/>
          <w:sz w:val="24"/>
          <w:szCs w:val="24"/>
        </w:rPr>
        <w:t>完成合同所需的一切本身和不可或缺的所有工作开支、政策性文件规定及合同包含的所有风险、责任等各项全部费用并承担一切风险责任</w:t>
      </w:r>
      <w:r>
        <w:rPr>
          <w:rFonts w:hint="eastAsia" w:hAnsi="宋体"/>
          <w:sz w:val="24"/>
          <w:szCs w:val="24"/>
        </w:rPr>
        <w:t>。</w:t>
      </w:r>
    </w:p>
    <w:p w14:paraId="3834171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3、本合同付款方式为以下第</w:t>
      </w:r>
      <w:r>
        <w:rPr>
          <w:rFonts w:hint="eastAsia" w:ascii="宋体" w:hAnsi="宋体" w:cs="Arial"/>
          <w:kern w:val="0"/>
          <w:sz w:val="24"/>
          <w:szCs w:val="24"/>
          <w:u w:val="single"/>
        </w:rPr>
        <w:t xml:space="preserve">   （1）   </w:t>
      </w:r>
      <w:r>
        <w:rPr>
          <w:rFonts w:hint="eastAsia" w:ascii="宋体" w:hAnsi="宋体" w:cs="Arial"/>
          <w:kern w:val="0"/>
          <w:sz w:val="24"/>
          <w:szCs w:val="24"/>
        </w:rPr>
        <w:t>项：</w:t>
      </w:r>
    </w:p>
    <w:p w14:paraId="552AFF7D">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Arial"/>
          <w:kern w:val="0"/>
          <w:sz w:val="24"/>
          <w:szCs w:val="24"/>
        </w:rPr>
      </w:pPr>
      <w:r>
        <w:rPr>
          <w:rFonts w:hint="eastAsia" w:ascii="宋体" w:hAnsi="宋体" w:cs="Arial"/>
          <w:kern w:val="0"/>
          <w:sz w:val="24"/>
          <w:szCs w:val="24"/>
        </w:rPr>
        <w:t>（1）本合同项下的采购资金系甲方自行支付，付款程序为</w:t>
      </w:r>
      <w:r>
        <w:rPr>
          <w:rFonts w:hint="eastAsia" w:ascii="宋体" w:hAnsi="宋体" w:cs="Arial"/>
          <w:b/>
          <w:bCs/>
          <w:kern w:val="0"/>
          <w:sz w:val="24"/>
          <w:szCs w:val="24"/>
          <w:highlight w:val="none"/>
          <w:lang w:val="en-US" w:eastAsia="zh-CN"/>
        </w:rPr>
        <w:t>：</w:t>
      </w:r>
      <w:r>
        <w:rPr>
          <w:rFonts w:hint="eastAsia" w:ascii="宋体" w:hAnsi="宋体" w:cs="Arial"/>
          <w:color w:val="auto"/>
          <w:kern w:val="0"/>
          <w:sz w:val="24"/>
          <w:szCs w:val="24"/>
          <w:highlight w:val="none"/>
          <w:u w:val="single"/>
          <w:lang w:val="en-US" w:eastAsia="zh-CN"/>
        </w:rPr>
        <w:t>合同生效以及具备实施条件后7个工作日内支付合同价的70％；合同执行满6个月，街道爱卫办对乙方的消杀质量进行期中考核，考核结果达到第十四条承包质量要求的，根据期中考核结果在30个工作日内支付合同中合同价*10%；合同执行满一年，街道爱卫办对乙方的消杀质量进行年终综合考核，根据年终综合考核结果在30个工作日内支付尾款，若考核结果达到第十四条承包质量要求，支付合同中合同价*20%。考核未达到要求，根据第十五条考核要求及违约责任进行扣除，考核中扣除的费用可以累计扣除</w:t>
      </w:r>
      <w:r>
        <w:rPr>
          <w:rFonts w:hint="eastAsia" w:ascii="宋体" w:hAnsi="宋体" w:cs="Arial"/>
          <w:kern w:val="0"/>
          <w:sz w:val="24"/>
          <w:szCs w:val="24"/>
        </w:rPr>
        <w:t>；</w:t>
      </w:r>
    </w:p>
    <w:p w14:paraId="5EDB4C2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（2）本合同项下的采购资金须财政直接支付，付款程序为</w:t>
      </w:r>
      <w:r>
        <w:rPr>
          <w:rFonts w:hint="eastAsia" w:ascii="宋体" w:hAnsi="宋体" w:cs="Arial"/>
          <w:kern w:val="0"/>
          <w:sz w:val="24"/>
          <w:szCs w:val="24"/>
          <w:u w:val="single"/>
        </w:rPr>
        <w:t xml:space="preserve">                    </w:t>
      </w:r>
      <w:r>
        <w:rPr>
          <w:rFonts w:hint="eastAsia" w:ascii="宋体" w:hAnsi="宋体" w:cs="Arial"/>
          <w:kern w:val="0"/>
          <w:sz w:val="24"/>
          <w:szCs w:val="24"/>
        </w:rPr>
        <w:t>；</w:t>
      </w:r>
    </w:p>
    <w:p w14:paraId="31D5A63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（3）其他方式：</w:t>
      </w:r>
    </w:p>
    <w:p w14:paraId="4594400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第四条 履约保证金</w:t>
      </w:r>
    </w:p>
    <w:p w14:paraId="14A6954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kern w:val="0"/>
          <w:sz w:val="24"/>
          <w:szCs w:val="24"/>
        </w:rPr>
        <w:t>按以下第</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1</w:t>
      </w:r>
      <w:r>
        <w:rPr>
          <w:rFonts w:hint="eastAsia" w:ascii="宋体" w:hAnsi="宋体" w:cs="Arial"/>
          <w:kern w:val="0"/>
          <w:sz w:val="24"/>
          <w:szCs w:val="24"/>
          <w:u w:val="single"/>
        </w:rPr>
        <w:t xml:space="preserve">)  </w:t>
      </w:r>
      <w:r>
        <w:rPr>
          <w:rFonts w:hint="eastAsia" w:ascii="宋体" w:hAnsi="宋体" w:cs="Arial"/>
          <w:kern w:val="0"/>
          <w:sz w:val="24"/>
          <w:szCs w:val="24"/>
        </w:rPr>
        <w:t>项处理：</w:t>
      </w:r>
    </w:p>
    <w:p w14:paraId="5005F95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1、本项目设置履约保证金，乙方应于</w:t>
      </w:r>
      <w:r>
        <w:rPr>
          <w:rFonts w:hint="eastAsia" w:ascii="宋体" w:hAnsi="宋体"/>
          <w:sz w:val="24"/>
          <w:szCs w:val="24"/>
          <w:u w:val="single"/>
        </w:rPr>
        <w:t>中标通知书发出7日内</w:t>
      </w:r>
      <w:r>
        <w:rPr>
          <w:rFonts w:hint="eastAsia" w:ascii="宋体" w:hAnsi="宋体" w:cs="Arial"/>
          <w:kern w:val="0"/>
          <w:sz w:val="24"/>
          <w:szCs w:val="24"/>
        </w:rPr>
        <w:t>（时间）向甲方提交履约保证金</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元。履约保证金在</w:t>
      </w:r>
      <w:r>
        <w:rPr>
          <w:rFonts w:hint="eastAsia" w:ascii="宋体" w:hAnsi="宋体"/>
          <w:sz w:val="24"/>
          <w:szCs w:val="24"/>
        </w:rPr>
        <w:t>合同履行完毕后，一次性无息退还。</w:t>
      </w:r>
    </w:p>
    <w:p w14:paraId="412957F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kern w:val="0"/>
          <w:sz w:val="24"/>
          <w:szCs w:val="24"/>
        </w:rPr>
        <w:t>2、本项目不设置履约保证金</w:t>
      </w:r>
    </w:p>
    <w:p w14:paraId="450BFD9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第五条 合同的变更和终止</w:t>
      </w:r>
    </w:p>
    <w:p w14:paraId="0819142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除《政府采购法》第49条、第50条第二款规定的情形外，本合同一经签订，甲乙双方不得擅自终止合同或对合同实质性条款进行变更。确有特殊情况的，须经同级财政部门备案同意，如果第三方评估不达标或考核不通过即终止合同。</w:t>
      </w:r>
    </w:p>
    <w:p w14:paraId="051C2EA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第六条 合同的转让与分包</w:t>
      </w:r>
    </w:p>
    <w:p w14:paraId="0AD6829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乙方不得擅自部分或全部转让其应履行的合同义务。乙方分包的，应经过甲方书面同意。</w:t>
      </w:r>
    </w:p>
    <w:p w14:paraId="4786328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w:t>
      </w:r>
      <w:r>
        <w:rPr>
          <w:rFonts w:hint="eastAsia" w:ascii="宋体" w:hAnsi="宋体" w:cs="Arial"/>
          <w:b/>
          <w:kern w:val="0"/>
          <w:sz w:val="24"/>
          <w:szCs w:val="24"/>
          <w:lang w:eastAsia="zh-CN"/>
        </w:rPr>
        <w:t>七</w:t>
      </w:r>
      <w:r>
        <w:rPr>
          <w:rFonts w:hint="eastAsia" w:ascii="宋体" w:hAnsi="宋体" w:cs="Arial"/>
          <w:b/>
          <w:kern w:val="0"/>
          <w:sz w:val="24"/>
          <w:szCs w:val="24"/>
        </w:rPr>
        <w:t>条 不可抗力事件处理</w:t>
      </w:r>
    </w:p>
    <w:p w14:paraId="0A4558B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ascii="宋体" w:hAnsi="宋体" w:cs="Arial"/>
          <w:kern w:val="0"/>
          <w:sz w:val="24"/>
          <w:szCs w:val="24"/>
        </w:rPr>
        <w:t>1</w:t>
      </w:r>
      <w:r>
        <w:rPr>
          <w:rFonts w:hint="eastAsia" w:ascii="宋体" w:hAnsi="宋体" w:cs="Arial"/>
          <w:kern w:val="0"/>
          <w:sz w:val="24"/>
          <w:szCs w:val="24"/>
        </w:rPr>
        <w:t>、在合同有效期内，任何一方因不可抗力事件导致不能履行合同的，合同履行期可延长，其延长期与不可抗力影响期相同。</w:t>
      </w:r>
    </w:p>
    <w:p w14:paraId="66A04222">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ascii="宋体" w:hAnsi="宋体" w:cs="Arial"/>
          <w:kern w:val="0"/>
          <w:sz w:val="24"/>
          <w:szCs w:val="24"/>
        </w:rPr>
      </w:pPr>
      <w:r>
        <w:rPr>
          <w:rFonts w:ascii="宋体" w:hAnsi="宋体" w:cs="Arial"/>
          <w:kern w:val="0"/>
          <w:sz w:val="24"/>
          <w:szCs w:val="24"/>
        </w:rPr>
        <w:t>2</w:t>
      </w:r>
      <w:r>
        <w:rPr>
          <w:rFonts w:hint="eastAsia" w:ascii="宋体" w:hAnsi="宋体" w:cs="Arial"/>
          <w:kern w:val="0"/>
          <w:sz w:val="24"/>
          <w:szCs w:val="24"/>
        </w:rPr>
        <w:t>、不可抗力事件发生后，应立即通知对方，并寄送有关权威机构出具的证明。</w:t>
      </w:r>
    </w:p>
    <w:p w14:paraId="503E9F1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rPr>
        <w:t>、不可抗力事件延续</w:t>
      </w:r>
      <w:r>
        <w:rPr>
          <w:rFonts w:ascii="宋体" w:hAnsi="宋体" w:cs="Arial"/>
          <w:kern w:val="0"/>
          <w:sz w:val="24"/>
          <w:szCs w:val="24"/>
        </w:rPr>
        <w:t>120</w:t>
      </w:r>
      <w:r>
        <w:rPr>
          <w:rFonts w:hint="eastAsia" w:ascii="宋体" w:hAnsi="宋体" w:cs="Arial"/>
          <w:kern w:val="0"/>
          <w:sz w:val="24"/>
          <w:szCs w:val="24"/>
        </w:rPr>
        <w:t>天以上，双方应通过友好协商，确定是否继续履行合同。</w:t>
      </w:r>
    </w:p>
    <w:p w14:paraId="2268718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w:t>
      </w:r>
      <w:r>
        <w:rPr>
          <w:rFonts w:hint="eastAsia" w:ascii="宋体" w:hAnsi="宋体" w:cs="Arial"/>
          <w:b/>
          <w:kern w:val="0"/>
          <w:sz w:val="24"/>
          <w:szCs w:val="24"/>
          <w:lang w:eastAsia="zh-CN"/>
        </w:rPr>
        <w:t>八</w:t>
      </w:r>
      <w:r>
        <w:rPr>
          <w:rFonts w:hint="eastAsia" w:ascii="宋体" w:hAnsi="宋体" w:cs="Arial"/>
          <w:b/>
          <w:kern w:val="0"/>
          <w:sz w:val="24"/>
          <w:szCs w:val="24"/>
        </w:rPr>
        <w:t>条 争议的解决</w:t>
      </w:r>
    </w:p>
    <w:p w14:paraId="35E8FD72">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1、因履行本合同引起的或与本合同有关的争议，甲、乙双方应首先通过友好协商解决，如果协商不能解决争议，则采取以下第</w:t>
      </w:r>
      <w:r>
        <w:rPr>
          <w:rFonts w:hint="eastAsia" w:ascii="宋体" w:hAnsi="宋体" w:cs="Arial"/>
          <w:kern w:val="0"/>
          <w:sz w:val="24"/>
          <w:szCs w:val="24"/>
          <w:u w:val="single"/>
        </w:rPr>
        <w:t>（1）</w:t>
      </w:r>
      <w:r>
        <w:rPr>
          <w:rFonts w:hint="eastAsia" w:ascii="宋体" w:hAnsi="宋体" w:cs="Arial"/>
          <w:kern w:val="0"/>
          <w:sz w:val="24"/>
          <w:szCs w:val="24"/>
        </w:rPr>
        <w:t>种方式解决争议：</w:t>
      </w:r>
    </w:p>
    <w:p w14:paraId="4AC580B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（1）向甲方所在地有管辖权的人民法院提起诉讼；</w:t>
      </w:r>
    </w:p>
    <w:p w14:paraId="7075C9A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（2）向</w:t>
      </w:r>
      <w:r>
        <w:rPr>
          <w:rFonts w:hint="eastAsia" w:ascii="宋体" w:hAnsi="宋体" w:cs="Arial"/>
          <w:kern w:val="0"/>
          <w:sz w:val="24"/>
          <w:szCs w:val="24"/>
          <w:u w:val="single"/>
        </w:rPr>
        <w:t xml:space="preserve">         </w:t>
      </w:r>
      <w:r>
        <w:rPr>
          <w:rFonts w:hint="eastAsia" w:ascii="宋体" w:hAnsi="宋体" w:cs="Arial"/>
          <w:kern w:val="0"/>
          <w:sz w:val="24"/>
          <w:szCs w:val="24"/>
        </w:rPr>
        <w:t>仲裁委员申请仲裁。</w:t>
      </w:r>
    </w:p>
    <w:p w14:paraId="74AA758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w:t>
      </w:r>
      <w:r>
        <w:rPr>
          <w:rFonts w:hint="eastAsia" w:ascii="宋体" w:hAnsi="宋体" w:cs="Arial"/>
          <w:b/>
          <w:kern w:val="0"/>
          <w:sz w:val="24"/>
          <w:szCs w:val="24"/>
          <w:lang w:eastAsia="zh-CN"/>
        </w:rPr>
        <w:t>九</w:t>
      </w:r>
      <w:r>
        <w:rPr>
          <w:rFonts w:hint="eastAsia" w:ascii="宋体" w:hAnsi="宋体" w:cs="Arial"/>
          <w:b/>
          <w:kern w:val="0"/>
          <w:sz w:val="24"/>
          <w:szCs w:val="24"/>
        </w:rPr>
        <w:t>条 合同备案及其他</w:t>
      </w:r>
    </w:p>
    <w:p w14:paraId="5C6E0D4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本合同一式</w:t>
      </w:r>
      <w:r>
        <w:rPr>
          <w:rFonts w:hint="eastAsia" w:ascii="宋体" w:hAnsi="宋体" w:cs="Arial"/>
          <w:kern w:val="0"/>
          <w:sz w:val="24"/>
          <w:szCs w:val="24"/>
          <w:u w:val="single"/>
        </w:rPr>
        <w:t xml:space="preserve"> </w:t>
      </w:r>
      <w:r>
        <w:rPr>
          <w:rFonts w:hint="eastAsia" w:ascii="宋体" w:hAnsi="宋体" w:cs="Arial"/>
          <w:kern w:val="0"/>
          <w:sz w:val="24"/>
          <w:szCs w:val="24"/>
          <w:u w:val="single"/>
          <w:lang w:eastAsia="zh-CN"/>
        </w:rPr>
        <w:t>五</w:t>
      </w:r>
      <w:r>
        <w:rPr>
          <w:rFonts w:hint="eastAsia" w:ascii="宋体" w:hAnsi="宋体" w:cs="Arial"/>
          <w:kern w:val="0"/>
          <w:sz w:val="24"/>
          <w:szCs w:val="24"/>
        </w:rPr>
        <w:t>份，甲乙双方各执</w:t>
      </w:r>
      <w:r>
        <w:rPr>
          <w:rFonts w:hint="eastAsia" w:ascii="宋体" w:hAnsi="宋体" w:cs="Arial"/>
          <w:kern w:val="0"/>
          <w:sz w:val="24"/>
          <w:szCs w:val="24"/>
          <w:u w:val="single"/>
        </w:rPr>
        <w:t xml:space="preserve"> 贰 </w:t>
      </w:r>
      <w:r>
        <w:rPr>
          <w:rFonts w:hint="eastAsia" w:ascii="宋体" w:hAnsi="宋体" w:cs="Arial"/>
          <w:kern w:val="0"/>
          <w:sz w:val="24"/>
          <w:szCs w:val="24"/>
        </w:rPr>
        <w:t>份，</w:t>
      </w:r>
      <w:r>
        <w:rPr>
          <w:rFonts w:hint="eastAsia" w:ascii="宋体" w:hAnsi="宋体" w:cs="Arial"/>
          <w:kern w:val="0"/>
          <w:sz w:val="24"/>
          <w:szCs w:val="24"/>
          <w:lang w:eastAsia="zh-CN"/>
        </w:rPr>
        <w:t>壹</w:t>
      </w:r>
      <w:r>
        <w:rPr>
          <w:rFonts w:hint="eastAsia" w:ascii="宋体" w:hAnsi="宋体" w:cs="Arial"/>
          <w:kern w:val="0"/>
          <w:sz w:val="24"/>
          <w:szCs w:val="24"/>
        </w:rPr>
        <w:t>份送</w:t>
      </w:r>
      <w:r>
        <w:rPr>
          <w:rFonts w:hint="eastAsia" w:ascii="宋体" w:hAnsi="宋体" w:cs="Arial"/>
          <w:kern w:val="0"/>
          <w:sz w:val="24"/>
          <w:szCs w:val="24"/>
          <w:lang w:eastAsia="zh-CN"/>
        </w:rPr>
        <w:t>代理机构</w:t>
      </w:r>
      <w:r>
        <w:rPr>
          <w:rFonts w:hint="eastAsia" w:ascii="宋体" w:hAnsi="宋体" w:cs="Arial"/>
          <w:kern w:val="0"/>
          <w:sz w:val="24"/>
          <w:szCs w:val="24"/>
        </w:rPr>
        <w:t>备案。</w:t>
      </w:r>
    </w:p>
    <w:p w14:paraId="01B32AE5">
      <w:pPr>
        <w:keepNext w:val="0"/>
        <w:keepLines w:val="0"/>
        <w:pageBreakBefore w:val="0"/>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jc w:val="center"/>
        <w:textAlignment w:val="auto"/>
        <w:rPr>
          <w:rFonts w:hint="eastAsia" w:ascii="宋体" w:hAnsi="宋体" w:cs="Arial"/>
          <w:b/>
          <w:kern w:val="0"/>
          <w:sz w:val="24"/>
          <w:szCs w:val="24"/>
        </w:rPr>
      </w:pPr>
      <w:r>
        <w:rPr>
          <w:rFonts w:hint="eastAsia" w:ascii="宋体" w:hAnsi="宋体" w:cs="Arial"/>
          <w:b/>
          <w:kern w:val="0"/>
          <w:sz w:val="24"/>
          <w:szCs w:val="24"/>
        </w:rPr>
        <w:t>特殊专用条款部分</w:t>
      </w:r>
    </w:p>
    <w:p w14:paraId="16D179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第十条 承包范围</w:t>
      </w:r>
    </w:p>
    <w:p w14:paraId="4E3DDF72">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rPr>
      </w:pPr>
      <w:r>
        <w:rPr>
          <w:rFonts w:hint="eastAsia"/>
          <w:sz w:val="24"/>
          <w:szCs w:val="24"/>
          <w:highlight w:val="none"/>
        </w:rPr>
        <w:t>本次采购项目为西塘桥街道</w:t>
      </w:r>
      <w:r>
        <w:rPr>
          <w:rFonts w:hint="eastAsia"/>
          <w:sz w:val="24"/>
          <w:szCs w:val="24"/>
          <w:highlight w:val="none"/>
          <w:lang w:val="en-US" w:eastAsia="zh-CN"/>
        </w:rPr>
        <w:t>下辖7个城市社区（包括东海社区、滨海社区、清湖社区、新港社区、海湾社区、海城社区、海景社区）</w:t>
      </w:r>
      <w:r>
        <w:rPr>
          <w:rFonts w:hint="eastAsia"/>
          <w:sz w:val="24"/>
          <w:szCs w:val="24"/>
          <w:highlight w:val="none"/>
        </w:rPr>
        <w:t>公共环境病媒生物防制服务</w:t>
      </w:r>
      <w:r>
        <w:rPr>
          <w:rFonts w:hint="eastAsia"/>
          <w:sz w:val="24"/>
          <w:szCs w:val="24"/>
          <w:highlight w:val="none"/>
          <w:lang w:eastAsia="zh-CN"/>
        </w:rPr>
        <w:t>（</w:t>
      </w:r>
      <w:r>
        <w:rPr>
          <w:rFonts w:hint="eastAsia"/>
          <w:sz w:val="24"/>
          <w:szCs w:val="24"/>
          <w:highlight w:val="none"/>
          <w:lang w:val="en-US" w:eastAsia="zh-CN"/>
        </w:rPr>
        <w:t>另含1年内建设新增的社区公共环境</w:t>
      </w:r>
      <w:r>
        <w:rPr>
          <w:rFonts w:hint="eastAsia"/>
          <w:sz w:val="24"/>
          <w:szCs w:val="24"/>
          <w:highlight w:val="none"/>
          <w:lang w:eastAsia="zh-CN"/>
        </w:rPr>
        <w:t>），</w:t>
      </w:r>
      <w:r>
        <w:rPr>
          <w:rFonts w:hint="eastAsia"/>
          <w:sz w:val="24"/>
          <w:szCs w:val="24"/>
          <w:highlight w:val="none"/>
          <w:lang w:val="en-US" w:eastAsia="zh-CN"/>
        </w:rPr>
        <w:t>服务频次：4月-11月每月四次，12月-3月每月两次</w:t>
      </w:r>
      <w:r>
        <w:rPr>
          <w:rFonts w:hint="eastAsia"/>
          <w:sz w:val="24"/>
          <w:szCs w:val="24"/>
          <w:highlight w:val="none"/>
        </w:rPr>
        <w:t>。</w:t>
      </w:r>
    </w:p>
    <w:p w14:paraId="18FAA52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w:t>
      </w:r>
      <w:r>
        <w:rPr>
          <w:rFonts w:hint="eastAsia" w:ascii="宋体" w:hAnsi="宋体" w:cs="Arial"/>
          <w:b/>
          <w:kern w:val="0"/>
          <w:sz w:val="24"/>
          <w:szCs w:val="24"/>
          <w:lang w:eastAsia="zh-CN"/>
        </w:rPr>
        <w:t>一</w:t>
      </w:r>
      <w:r>
        <w:rPr>
          <w:rFonts w:hint="eastAsia" w:ascii="宋体" w:hAnsi="宋体" w:cs="Arial"/>
          <w:b/>
          <w:kern w:val="0"/>
          <w:sz w:val="24"/>
          <w:szCs w:val="24"/>
        </w:rPr>
        <w:t>条</w:t>
      </w:r>
      <w:r>
        <w:rPr>
          <w:rFonts w:hint="eastAsia" w:ascii="宋体" w:hAnsi="宋体" w:cs="Arial"/>
          <w:b/>
          <w:kern w:val="0"/>
          <w:sz w:val="24"/>
          <w:szCs w:val="24"/>
          <w:highlight w:val="none"/>
        </w:rPr>
        <w:t xml:space="preserve"> 承包内容</w:t>
      </w:r>
    </w:p>
    <w:p w14:paraId="5D27EFA4">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1.公共环境（包括社区范围内的八小行业，所有楼房屋顶、楼道、遮雨档板、车库车棚、棚顶跳台、窨缸窨井、下水道、绿地花坛，公共厕所、垃圾中转站、公园、垃圾箱房等公用部位环境，社区内的河道、溪流、池塘及景观水池等各类水体、大型蓄水池、电缆沟等包括封闭式小区）灭鼠、蚊蝇和蟑螂的孳生消杀控制工作。</w:t>
      </w:r>
    </w:p>
    <w:p w14:paraId="43BE7868">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2.公共环境病媒生物控制所需药物及投放、喷洒及环境处理；社区除四害技防设施的增补、清理与维护；各片区备检点小餐饮三防设施及城郊结合部重点场所三防设施的增补、清理与维护。</w:t>
      </w:r>
    </w:p>
    <w:p w14:paraId="2E6E038F">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3.配合街道做好突发应急事件环境消杀及市、区、街道爱卫办组织的其它除四害活动（包括要求承担的公益性服务）。</w:t>
      </w:r>
    </w:p>
    <w:p w14:paraId="7730F34C">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4.协助街道加强除四害宣传教育，制定员工培训计划，开展各项活动，采取拍摄制作图文并茂、通俗易懂的宣传资料等方式向市民群众进行除害防病知识宣传。提高全民对做好除害防病工作重要性和必要性的认识，使之社区全覆盖、家喻户晓、人人明白、全民参与。</w:t>
      </w:r>
    </w:p>
    <w:p w14:paraId="4C9F4643">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5.向所服务社区低保户等困难家庭户无偿提供家庭用灭幛、灭鼠药等除"四害"药品及技术指导，向所服务社区居民家庭无偿提供除"四害"技术指导。</w:t>
      </w:r>
    </w:p>
    <w:p w14:paraId="091BD9E7">
      <w:pPr>
        <w:pStyle w:val="102"/>
        <w:pageBreakBefore w:val="0"/>
        <w:widowControl w:val="0"/>
        <w:kinsoku/>
        <w:wordWrap/>
        <w:overflowPunct/>
        <w:topLinePunct w:val="0"/>
        <w:autoSpaceDE/>
        <w:autoSpaceDN/>
        <w:bidi w:val="0"/>
        <w:adjustRightInd/>
        <w:snapToGrid/>
        <w:spacing w:line="360" w:lineRule="auto"/>
        <w:ind w:firstLine="484" w:firstLineChars="200"/>
        <w:rPr>
          <w:rFonts w:hint="default"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6.</w:t>
      </w:r>
      <w:r>
        <w:rPr>
          <w:rFonts w:hint="eastAsia" w:eastAsia="宋体" w:cs="Times New Roman"/>
          <w:b w:val="0"/>
          <w:bCs w:val="0"/>
          <w:kern w:val="0"/>
          <w:sz w:val="24"/>
          <w:szCs w:val="24"/>
          <w:highlight w:val="none"/>
          <w:lang w:val="en-US" w:eastAsia="zh-CN" w:bidi="ar-SA"/>
        </w:rPr>
        <w:t>供应商</w:t>
      </w:r>
      <w:r>
        <w:rPr>
          <w:rFonts w:hint="eastAsia" w:ascii="Times New Roman" w:hAnsi="Times New Roman" w:eastAsia="宋体" w:cs="Times New Roman"/>
          <w:b w:val="0"/>
          <w:bCs w:val="0"/>
          <w:kern w:val="0"/>
          <w:sz w:val="24"/>
          <w:szCs w:val="24"/>
          <w:highlight w:val="none"/>
          <w:lang w:val="en-US" w:eastAsia="zh-CN" w:bidi="ar-SA"/>
        </w:rPr>
        <w:t>的消杀人员应定期到街道公共服务管理办公室、社区居委会报到（应定有固定作业人员3人），向分管人员汇报工作计划，并服从分配的具体工作任务。</w:t>
      </w:r>
    </w:p>
    <w:p w14:paraId="7E99847F">
      <w:pPr>
        <w:pageBreakBefore w:val="0"/>
        <w:widowControl w:val="0"/>
        <w:kinsoku/>
        <w:wordWrap/>
        <w:overflowPunct/>
        <w:topLinePunct w:val="0"/>
        <w:autoSpaceDE/>
        <w:autoSpaceDN/>
        <w:bidi w:val="0"/>
        <w:adjustRightInd/>
        <w:snapToGrid/>
        <w:spacing w:beforeLines="0" w:line="360" w:lineRule="auto"/>
        <w:ind w:firstLine="484"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7.每季度一次孳生地（如鼠洞、严重卫生死角等）调查，收集和处理死老鼠等。</w:t>
      </w:r>
    </w:p>
    <w:p w14:paraId="5FD5493C">
      <w:pPr>
        <w:pageBreakBefore w:val="0"/>
        <w:widowControl w:val="0"/>
        <w:kinsoku/>
        <w:wordWrap/>
        <w:overflowPunct/>
        <w:topLinePunct w:val="0"/>
        <w:autoSpaceDE/>
        <w:autoSpaceDN/>
        <w:bidi w:val="0"/>
        <w:adjustRightInd/>
        <w:snapToGrid/>
        <w:spacing w:beforeLines="0" w:line="360" w:lineRule="auto"/>
        <w:ind w:firstLine="484"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cs="Times New Roman"/>
          <w:b w:val="0"/>
          <w:bCs w:val="0"/>
          <w:kern w:val="0"/>
          <w:sz w:val="24"/>
          <w:szCs w:val="24"/>
          <w:highlight w:val="none"/>
          <w:lang w:val="en-US" w:eastAsia="zh-CN" w:bidi="ar-SA"/>
        </w:rPr>
        <w:t>8</w:t>
      </w:r>
      <w:r>
        <w:rPr>
          <w:rFonts w:hint="eastAsia" w:ascii="Times New Roman" w:hAnsi="Times New Roman" w:eastAsia="宋体" w:cs="Times New Roman"/>
          <w:b w:val="0"/>
          <w:bCs w:val="0"/>
          <w:kern w:val="0"/>
          <w:sz w:val="24"/>
          <w:szCs w:val="24"/>
          <w:highlight w:val="none"/>
          <w:lang w:val="en-US" w:eastAsia="zh-CN" w:bidi="ar-SA"/>
        </w:rPr>
        <w:t>.消杀工作之前，先告之采购单位，认真听取其建议</w:t>
      </w:r>
      <w:r>
        <w:rPr>
          <w:rFonts w:hint="eastAsia" w:cs="Times New Roman"/>
          <w:b w:val="0"/>
          <w:bCs w:val="0"/>
          <w:kern w:val="0"/>
          <w:sz w:val="24"/>
          <w:szCs w:val="24"/>
          <w:highlight w:val="none"/>
          <w:lang w:val="en-US" w:eastAsia="zh-CN" w:bidi="ar-SA"/>
        </w:rPr>
        <w:t>，并做好公示公告，告知小区居民</w:t>
      </w:r>
      <w:r>
        <w:rPr>
          <w:rFonts w:hint="eastAsia" w:ascii="Times New Roman" w:hAnsi="Times New Roman" w:eastAsia="宋体" w:cs="Times New Roman"/>
          <w:b w:val="0"/>
          <w:bCs w:val="0"/>
          <w:kern w:val="0"/>
          <w:sz w:val="24"/>
          <w:szCs w:val="24"/>
          <w:highlight w:val="none"/>
          <w:lang w:val="en-US" w:eastAsia="zh-CN" w:bidi="ar-SA"/>
        </w:rPr>
        <w:t>；服务后进行复查，及时查补遗漏，清理好现场工作器械和药物。</w:t>
      </w:r>
    </w:p>
    <w:p w14:paraId="4E57A8E6">
      <w:pPr>
        <w:pStyle w:val="2"/>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Times New Roman" w:hAnsi="Times New Roman" w:eastAsia="宋体" w:cs="Times New Roman"/>
          <w:b w:val="0"/>
          <w:bCs w:val="0"/>
          <w:kern w:val="0"/>
          <w:sz w:val="24"/>
          <w:szCs w:val="24"/>
          <w:highlight w:val="none"/>
          <w:lang w:val="en-US" w:eastAsia="zh-CN" w:bidi="ar-SA"/>
        </w:rPr>
      </w:pPr>
      <w:r>
        <w:rPr>
          <w:rFonts w:hint="eastAsia" w:cs="Times New Roman"/>
          <w:b w:val="0"/>
          <w:bCs w:val="0"/>
          <w:kern w:val="0"/>
          <w:sz w:val="24"/>
          <w:szCs w:val="24"/>
          <w:highlight w:val="none"/>
          <w:lang w:val="en-US" w:eastAsia="zh-CN" w:bidi="ar-SA"/>
        </w:rPr>
        <w:t>9</w:t>
      </w:r>
      <w:r>
        <w:rPr>
          <w:rFonts w:hint="eastAsia" w:ascii="Times New Roman" w:hAnsi="Times New Roman" w:eastAsia="宋体" w:cs="Times New Roman"/>
          <w:b w:val="0"/>
          <w:bCs w:val="0"/>
          <w:kern w:val="0"/>
          <w:sz w:val="24"/>
          <w:szCs w:val="24"/>
          <w:highlight w:val="none"/>
          <w:lang w:val="en-US" w:eastAsia="zh-CN" w:bidi="ar-SA"/>
        </w:rPr>
        <w:t>.设备管理：</w:t>
      </w:r>
    </w:p>
    <w:p w14:paraId="3A56A467">
      <w:pPr>
        <w:pStyle w:val="2"/>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①2025年前公共外环境投放病媒生物设备需维护清单。</w:t>
      </w:r>
    </w:p>
    <w:tbl>
      <w:tblPr>
        <w:tblStyle w:val="27"/>
        <w:tblW w:w="82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3426"/>
        <w:gridCol w:w="2077"/>
        <w:gridCol w:w="1962"/>
      </w:tblGrid>
      <w:tr w14:paraId="7D12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B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A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8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实际投放数量</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D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投放年份</w:t>
            </w:r>
          </w:p>
        </w:tc>
      </w:tr>
      <w:tr w14:paraId="71C0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B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鼠饵站</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2074个</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5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r w14:paraId="4E50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插地式捕蝇笼</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86个</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1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r w14:paraId="7A30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1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C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在下水道主管网安装挡鼠网，档鼠网宽度为</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米</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F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90米</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E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r w14:paraId="2DCA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1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8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外捕蝇灯</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6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4台</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5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bl>
    <w:p w14:paraId="533E82B2">
      <w:pPr>
        <w:pStyle w:val="2"/>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cs="Times New Roman"/>
          <w:b w:val="0"/>
          <w:bCs w:val="0"/>
          <w:kern w:val="0"/>
          <w:sz w:val="24"/>
          <w:szCs w:val="24"/>
          <w:highlight w:val="none"/>
          <w:lang w:val="en-US" w:eastAsia="zh-CN" w:bidi="ar-SA"/>
        </w:rPr>
      </w:pPr>
      <w:r>
        <w:rPr>
          <w:rFonts w:hint="eastAsia" w:cs="Times New Roman"/>
          <w:b w:val="0"/>
          <w:bCs w:val="0"/>
          <w:kern w:val="0"/>
          <w:sz w:val="24"/>
          <w:szCs w:val="24"/>
          <w:highlight w:val="none"/>
          <w:lang w:val="en-US" w:eastAsia="zh-CN" w:bidi="ar-SA"/>
        </w:rPr>
        <w:t>②</w:t>
      </w:r>
      <w:r>
        <w:rPr>
          <w:rFonts w:hint="eastAsia" w:ascii="Times New Roman" w:hAnsi="Times New Roman" w:eastAsia="宋体" w:cs="Times New Roman"/>
          <w:b w:val="0"/>
          <w:bCs w:val="0"/>
          <w:kern w:val="0"/>
          <w:sz w:val="24"/>
          <w:szCs w:val="24"/>
          <w:highlight w:val="none"/>
          <w:lang w:val="en-US" w:eastAsia="zh-CN" w:bidi="ar-SA"/>
        </w:rPr>
        <w:t>2025年公共外环境</w:t>
      </w:r>
      <w:r>
        <w:rPr>
          <w:rFonts w:hint="eastAsia" w:cs="Times New Roman"/>
          <w:b w:val="0"/>
          <w:bCs w:val="0"/>
          <w:kern w:val="0"/>
          <w:sz w:val="24"/>
          <w:szCs w:val="24"/>
          <w:highlight w:val="none"/>
          <w:lang w:val="en-US" w:eastAsia="zh-CN" w:bidi="ar-SA"/>
        </w:rPr>
        <w:t>新增</w:t>
      </w:r>
      <w:r>
        <w:rPr>
          <w:rFonts w:hint="eastAsia" w:ascii="Times New Roman" w:hAnsi="Times New Roman" w:eastAsia="宋体" w:cs="Times New Roman"/>
          <w:b w:val="0"/>
          <w:bCs w:val="0"/>
          <w:kern w:val="0"/>
          <w:sz w:val="24"/>
          <w:szCs w:val="24"/>
          <w:highlight w:val="none"/>
          <w:lang w:val="en-US" w:eastAsia="zh-CN" w:bidi="ar-SA"/>
        </w:rPr>
        <w:t>投放病媒生物设备和需维护清单</w:t>
      </w:r>
      <w:r>
        <w:rPr>
          <w:rFonts w:hint="eastAsia" w:cs="Times New Roman"/>
          <w:b w:val="0"/>
          <w:bCs w:val="0"/>
          <w:kern w:val="0"/>
          <w:sz w:val="24"/>
          <w:szCs w:val="24"/>
          <w:highlight w:val="none"/>
          <w:lang w:val="en-US" w:eastAsia="zh-CN" w:bidi="ar-SA"/>
        </w:rPr>
        <w:t>。</w:t>
      </w:r>
    </w:p>
    <w:tbl>
      <w:tblPr>
        <w:tblStyle w:val="27"/>
        <w:tblW w:w="82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3312"/>
        <w:gridCol w:w="2169"/>
        <w:gridCol w:w="1961"/>
      </w:tblGrid>
      <w:tr w14:paraId="54CE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C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9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计划投放数量</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B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计划投放年份</w:t>
            </w:r>
          </w:p>
        </w:tc>
      </w:tr>
      <w:tr w14:paraId="6DB4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4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F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鼠饵站</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F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2000个</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B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w:t>
            </w:r>
          </w:p>
        </w:tc>
      </w:tr>
      <w:tr w14:paraId="106C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D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D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插地式捕蝇笼</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D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80个</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3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w:t>
            </w:r>
          </w:p>
        </w:tc>
      </w:tr>
      <w:tr w14:paraId="5DD5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0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A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在下水道主管网安装挡鼠网，档鼠网宽度为</w:t>
            </w:r>
            <w:r>
              <w:rPr>
                <w:rFonts w:hint="default" w:eastAsia="宋体"/>
                <w:color w:val="00000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3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70米</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C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w:t>
            </w:r>
          </w:p>
        </w:tc>
      </w:tr>
    </w:tbl>
    <w:p w14:paraId="175BD121">
      <w:pPr>
        <w:pStyle w:val="2"/>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cs="Times New Roman"/>
          <w:b w:val="0"/>
          <w:bCs w:val="0"/>
          <w:kern w:val="0"/>
          <w:sz w:val="24"/>
          <w:szCs w:val="24"/>
          <w:highlight w:val="none"/>
          <w:lang w:val="en-US" w:eastAsia="zh-CN" w:bidi="ar-SA"/>
        </w:rPr>
      </w:pPr>
      <w:r>
        <w:rPr>
          <w:rFonts w:hint="eastAsia" w:cs="Times New Roman"/>
          <w:b w:val="0"/>
          <w:bCs w:val="0"/>
          <w:kern w:val="0"/>
          <w:sz w:val="24"/>
          <w:szCs w:val="24"/>
          <w:highlight w:val="none"/>
          <w:lang w:val="en-US" w:eastAsia="zh-CN" w:bidi="ar-SA"/>
        </w:rPr>
        <w:t>10.每月开展至少一次除四害宣传工作，宣传工作根据业主要求。</w:t>
      </w:r>
    </w:p>
    <w:p w14:paraId="74342E1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default" w:ascii="宋体" w:hAnsi="宋体" w:eastAsia="宋体" w:cs="Arial"/>
          <w:b/>
          <w:kern w:val="0"/>
          <w:sz w:val="24"/>
          <w:szCs w:val="24"/>
          <w:lang w:val="en-US" w:eastAsia="zh-CN"/>
        </w:rPr>
      </w:pPr>
      <w:r>
        <w:rPr>
          <w:rFonts w:hint="eastAsia" w:ascii="宋体" w:hAnsi="宋体" w:cs="Arial"/>
          <w:b/>
          <w:kern w:val="0"/>
          <w:sz w:val="24"/>
          <w:szCs w:val="24"/>
        </w:rPr>
        <w:t>第十</w:t>
      </w:r>
      <w:r>
        <w:rPr>
          <w:rFonts w:hint="eastAsia" w:ascii="宋体" w:hAnsi="宋体" w:cs="Arial"/>
          <w:b/>
          <w:kern w:val="0"/>
          <w:sz w:val="24"/>
          <w:szCs w:val="24"/>
          <w:lang w:eastAsia="zh-CN"/>
        </w:rPr>
        <w:t>二</w:t>
      </w:r>
      <w:r>
        <w:rPr>
          <w:rFonts w:hint="eastAsia" w:ascii="宋体" w:hAnsi="宋体" w:cs="Arial"/>
          <w:b/>
          <w:kern w:val="0"/>
          <w:sz w:val="24"/>
          <w:szCs w:val="24"/>
        </w:rPr>
        <w:t xml:space="preserve">条 </w:t>
      </w:r>
      <w:r>
        <w:rPr>
          <w:rFonts w:hint="eastAsia" w:ascii="宋体" w:hAnsi="宋体" w:cs="Arial"/>
          <w:b/>
          <w:kern w:val="0"/>
          <w:sz w:val="24"/>
          <w:szCs w:val="24"/>
          <w:highlight w:val="none"/>
        </w:rPr>
        <w:t>承包期限：</w:t>
      </w:r>
      <w:r>
        <w:rPr>
          <w:rFonts w:hint="eastAsia" w:ascii="宋体" w:hAnsi="宋体" w:cs="Arial"/>
          <w:b/>
          <w:kern w:val="0"/>
          <w:sz w:val="24"/>
          <w:szCs w:val="24"/>
          <w:highlight w:val="none"/>
          <w:lang w:eastAsia="zh-CN"/>
        </w:rPr>
        <w:t>合同签订之日起</w:t>
      </w:r>
      <w:r>
        <w:rPr>
          <w:rFonts w:hint="eastAsia" w:ascii="宋体" w:hAnsi="宋体" w:cs="Arial"/>
          <w:b/>
          <w:kern w:val="0"/>
          <w:sz w:val="24"/>
          <w:szCs w:val="24"/>
          <w:highlight w:val="none"/>
          <w:lang w:val="en-US" w:eastAsia="zh-CN"/>
        </w:rPr>
        <w:t>1年</w:t>
      </w:r>
    </w:p>
    <w:p w14:paraId="421CC17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highlight w:val="none"/>
          <w:lang w:eastAsia="zh-CN"/>
        </w:rPr>
      </w:pPr>
      <w:r>
        <w:rPr>
          <w:rFonts w:hint="eastAsia" w:ascii="宋体" w:hAnsi="宋体" w:cs="Arial"/>
          <w:b/>
          <w:kern w:val="0"/>
          <w:sz w:val="24"/>
          <w:szCs w:val="24"/>
          <w:highlight w:val="none"/>
        </w:rPr>
        <w:t>第十</w:t>
      </w:r>
      <w:r>
        <w:rPr>
          <w:rFonts w:hint="eastAsia" w:ascii="宋体" w:hAnsi="宋体" w:cs="Arial"/>
          <w:b/>
          <w:kern w:val="0"/>
          <w:sz w:val="24"/>
          <w:szCs w:val="24"/>
          <w:highlight w:val="none"/>
          <w:lang w:eastAsia="zh-CN"/>
        </w:rPr>
        <w:t>三</w:t>
      </w:r>
      <w:r>
        <w:rPr>
          <w:rFonts w:hint="eastAsia" w:ascii="宋体" w:hAnsi="宋体" w:cs="Arial"/>
          <w:b/>
          <w:kern w:val="0"/>
          <w:sz w:val="24"/>
          <w:szCs w:val="24"/>
          <w:highlight w:val="none"/>
        </w:rPr>
        <w:t xml:space="preserve">条 </w:t>
      </w:r>
      <w:r>
        <w:rPr>
          <w:rFonts w:hint="eastAsia" w:ascii="宋体" w:hAnsi="宋体" w:cs="Arial"/>
          <w:b/>
          <w:kern w:val="0"/>
          <w:sz w:val="24"/>
          <w:szCs w:val="24"/>
          <w:highlight w:val="none"/>
          <w:lang w:eastAsia="zh-CN"/>
        </w:rPr>
        <w:t>承包人责任</w:t>
      </w:r>
    </w:p>
    <w:p w14:paraId="0CB9B85F">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sz w:val="24"/>
          <w:szCs w:val="24"/>
          <w:highlight w:val="none"/>
          <w:lang w:val="en-US" w:eastAsia="zh-CN"/>
        </w:rPr>
      </w:pPr>
      <w:r>
        <w:rPr>
          <w:rFonts w:hint="eastAsia"/>
          <w:sz w:val="24"/>
          <w:szCs w:val="24"/>
          <w:highlight w:val="none"/>
          <w:lang w:val="en-US" w:eastAsia="zh-CN"/>
        </w:rPr>
        <w:t>1、乙方病媒生物防制药物需选用符合国家规定要求的药物，选用高效低毒杀虫、灭鼠剂，进货渠道正规，所有农药登记证，符合“三证要求”，严禁使用国家禁用药物，并在街道爱卫办备案。</w:t>
      </w:r>
    </w:p>
    <w:p w14:paraId="2ED91922">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sz w:val="24"/>
          <w:szCs w:val="24"/>
          <w:highlight w:val="none"/>
          <w:lang w:val="en-US" w:eastAsia="zh-CN"/>
        </w:rPr>
      </w:pPr>
      <w:r>
        <w:rPr>
          <w:rFonts w:hint="eastAsia"/>
          <w:sz w:val="24"/>
          <w:szCs w:val="24"/>
          <w:highlight w:val="none"/>
          <w:lang w:val="en-US" w:eastAsia="zh-CN"/>
        </w:rPr>
        <w:t>2、乙方安排的有害生物防制服务</w:t>
      </w:r>
      <w:r>
        <w:rPr>
          <w:rFonts w:hint="eastAsia" w:ascii="Times New Roman" w:hAnsi="Times New Roman" w:eastAsia="宋体" w:cs="Times New Roman"/>
          <w:b w:val="0"/>
          <w:bCs w:val="0"/>
          <w:sz w:val="24"/>
          <w:szCs w:val="24"/>
          <w:highlight w:val="none"/>
          <w:lang w:val="en-US" w:eastAsia="zh-CN" w:bidi="ar-SA"/>
        </w:rPr>
        <w:t>作业人员</w:t>
      </w:r>
      <w:r>
        <w:rPr>
          <w:rFonts w:hint="eastAsia" w:cs="Times New Roman"/>
          <w:b w:val="0"/>
          <w:bCs w:val="0"/>
          <w:sz w:val="24"/>
          <w:szCs w:val="24"/>
          <w:highlight w:val="none"/>
          <w:lang w:val="en-US" w:eastAsia="zh-CN" w:bidi="ar-SA"/>
        </w:rPr>
        <w:t>需</w:t>
      </w:r>
      <w:r>
        <w:rPr>
          <w:rFonts w:hint="eastAsia" w:ascii="Times New Roman" w:hAnsi="Times New Roman" w:eastAsia="宋体" w:cs="Times New Roman"/>
          <w:b w:val="0"/>
          <w:bCs w:val="0"/>
          <w:sz w:val="24"/>
          <w:szCs w:val="24"/>
          <w:highlight w:val="none"/>
          <w:lang w:val="en-US" w:eastAsia="zh-CN" w:bidi="ar-SA"/>
        </w:rPr>
        <w:t>具备病媒生物服务资质，拥有有害生物防治员证或除四害科技协会颁发的从业资格证。</w:t>
      </w:r>
      <w:r>
        <w:rPr>
          <w:rFonts w:hint="eastAsia"/>
          <w:sz w:val="24"/>
          <w:szCs w:val="24"/>
          <w:highlight w:val="none"/>
          <w:lang w:val="en-US" w:eastAsia="zh-CN"/>
        </w:rPr>
        <w:t>有害生物防制服务单位</w:t>
      </w:r>
      <w:r>
        <w:rPr>
          <w:rFonts w:hint="eastAsia" w:ascii="Times New Roman" w:hAnsi="Times New Roman" w:eastAsia="宋体" w:cs="Times New Roman"/>
          <w:b w:val="0"/>
          <w:bCs w:val="0"/>
          <w:sz w:val="24"/>
          <w:szCs w:val="24"/>
          <w:highlight w:val="none"/>
          <w:lang w:val="en-US" w:eastAsia="zh-CN" w:bidi="ar-SA"/>
        </w:rPr>
        <w:t>作业人员</w:t>
      </w:r>
      <w:r>
        <w:rPr>
          <w:rFonts w:hint="eastAsia" w:cs="Times New Roman"/>
          <w:b w:val="0"/>
          <w:bCs w:val="0"/>
          <w:sz w:val="24"/>
          <w:szCs w:val="24"/>
          <w:highlight w:val="none"/>
          <w:lang w:val="en-US" w:eastAsia="zh-CN" w:bidi="ar-SA"/>
        </w:rPr>
        <w:t>，需在街道爱卫办登记备案，中途变更重新登记备案。</w:t>
      </w:r>
    </w:p>
    <w:p w14:paraId="6CAA4856">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lang w:val="en-US" w:eastAsia="zh-CN"/>
        </w:rPr>
      </w:pPr>
      <w:r>
        <w:rPr>
          <w:rFonts w:hint="eastAsia"/>
          <w:sz w:val="24"/>
          <w:szCs w:val="24"/>
          <w:highlight w:val="none"/>
          <w:lang w:val="en-US" w:eastAsia="zh-CN"/>
        </w:rPr>
        <w:t>3、乙方应科学规范的使用要求，确保人、禽的安全，若因此导致人、禽伤害或者损失的，乙方承担相应的损失；</w:t>
      </w:r>
    </w:p>
    <w:p w14:paraId="78A5510A">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lang w:val="en-US" w:eastAsia="zh-CN"/>
        </w:rPr>
      </w:pPr>
      <w:r>
        <w:rPr>
          <w:rFonts w:hint="eastAsia"/>
          <w:sz w:val="24"/>
          <w:szCs w:val="24"/>
          <w:highlight w:val="none"/>
          <w:lang w:val="en-US" w:eastAsia="zh-CN"/>
        </w:rPr>
        <w:t>4、乙方应向承包片区的社区居民公示公司名称、负责人、联系电话，以及街道爱卫办监督电话（应在小区楼道、社区告示栏等处上墙公示基本信息）。</w:t>
      </w:r>
    </w:p>
    <w:p w14:paraId="026831C3">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ascii="宋体" w:hAnsi="宋体" w:cs="Arial"/>
          <w:b/>
          <w:kern w:val="0"/>
          <w:sz w:val="24"/>
          <w:szCs w:val="24"/>
          <w:highlight w:val="none"/>
          <w:lang w:val="en-US" w:eastAsia="zh-CN"/>
        </w:rPr>
      </w:pPr>
      <w:r>
        <w:rPr>
          <w:rFonts w:hint="eastAsia"/>
          <w:sz w:val="24"/>
          <w:szCs w:val="24"/>
          <w:highlight w:val="none"/>
          <w:lang w:val="en-US" w:eastAsia="zh-CN"/>
        </w:rPr>
        <w:t>5、资料管理：乙方每次作业均需在作业联系单载明用药名称、浓度、用量，并按照《创建国家卫生城市工作档案基本资料参考目录》、《浙江省病媒生物控制水平评估认可管理办法》、《嘉兴市镇区病媒生物控制水平评估认可管理办法》的要求，完善病媒生物防制工作的相关资料，确保街道后续病媒生物A级街道复评资料满足相关要求。若未达到相关要求，按第</w:t>
      </w:r>
      <w:r>
        <w:rPr>
          <w:rFonts w:hint="eastAsia"/>
          <w:b w:val="0"/>
          <w:bCs w:val="0"/>
          <w:sz w:val="24"/>
          <w:szCs w:val="24"/>
          <w:highlight w:val="none"/>
          <w:lang w:val="en-US" w:eastAsia="zh-CN"/>
        </w:rPr>
        <w:t>十五条</w:t>
      </w:r>
      <w:r>
        <w:rPr>
          <w:rFonts w:hint="eastAsia"/>
          <w:b w:val="0"/>
          <w:bCs w:val="0"/>
          <w:sz w:val="24"/>
          <w:szCs w:val="24"/>
          <w:highlight w:val="none"/>
        </w:rPr>
        <w:t>考核要求</w:t>
      </w:r>
      <w:r>
        <w:rPr>
          <w:rFonts w:hint="eastAsia"/>
          <w:b w:val="0"/>
          <w:bCs w:val="0"/>
          <w:sz w:val="24"/>
          <w:szCs w:val="24"/>
          <w:highlight w:val="none"/>
          <w:lang w:val="en-US" w:eastAsia="zh-CN"/>
        </w:rPr>
        <w:t>及违约责任</w:t>
      </w:r>
      <w:r>
        <w:rPr>
          <w:rFonts w:hint="eastAsia"/>
          <w:sz w:val="24"/>
          <w:szCs w:val="24"/>
          <w:highlight w:val="none"/>
          <w:lang w:val="en-US" w:eastAsia="zh-CN"/>
        </w:rPr>
        <w:t>第三款付款方式执行。</w:t>
      </w:r>
    </w:p>
    <w:p w14:paraId="3EFCCBB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w:t>
      </w:r>
      <w:r>
        <w:rPr>
          <w:rFonts w:hint="eastAsia" w:ascii="宋体" w:hAnsi="宋体" w:cs="Arial"/>
          <w:b/>
          <w:kern w:val="0"/>
          <w:sz w:val="24"/>
          <w:szCs w:val="24"/>
          <w:lang w:eastAsia="zh-CN"/>
        </w:rPr>
        <w:t>四</w:t>
      </w:r>
      <w:r>
        <w:rPr>
          <w:rFonts w:hint="eastAsia" w:ascii="宋体" w:hAnsi="宋体" w:cs="Arial"/>
          <w:b/>
          <w:kern w:val="0"/>
          <w:sz w:val="24"/>
          <w:szCs w:val="24"/>
        </w:rPr>
        <w:t>条 承包质量要求</w:t>
      </w:r>
    </w:p>
    <w:p w14:paraId="34206468">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rPr>
      </w:pPr>
      <w:r>
        <w:rPr>
          <w:rFonts w:hint="eastAsia"/>
          <w:sz w:val="24"/>
          <w:szCs w:val="24"/>
          <w:highlight w:val="none"/>
        </w:rPr>
        <w:t>1.服务质量达到《中华人民共和国国家标准》（GB／[T27770－27773]—2011〔鼠、蚊、蝇、蟑螂〕）规定标准A级控制水平</w:t>
      </w:r>
      <w:r>
        <w:rPr>
          <w:rFonts w:hint="eastAsia"/>
          <w:sz w:val="24"/>
          <w:szCs w:val="24"/>
          <w:highlight w:val="none"/>
          <w:lang w:eastAsia="zh-CN"/>
        </w:rPr>
        <w:t>，</w:t>
      </w:r>
      <w:r>
        <w:rPr>
          <w:rFonts w:hint="eastAsia"/>
          <w:sz w:val="24"/>
          <w:szCs w:val="24"/>
          <w:highlight w:val="none"/>
          <w:lang w:val="en-US" w:eastAsia="zh-CN"/>
        </w:rPr>
        <w:t>持续巩固街道病媒A级创建成果</w:t>
      </w:r>
      <w:r>
        <w:rPr>
          <w:rFonts w:hint="eastAsia"/>
          <w:sz w:val="24"/>
          <w:szCs w:val="24"/>
          <w:highlight w:val="none"/>
        </w:rPr>
        <w:t>。</w:t>
      </w:r>
    </w:p>
    <w:p w14:paraId="60CF0DE7">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lang w:val="en-US" w:eastAsia="zh-CN"/>
        </w:rPr>
      </w:pPr>
      <w:r>
        <w:rPr>
          <w:rFonts w:hint="eastAsia"/>
          <w:sz w:val="24"/>
          <w:szCs w:val="24"/>
          <w:highlight w:val="none"/>
          <w:lang w:val="en-US" w:eastAsia="zh-CN"/>
        </w:rPr>
        <w:t>具体如下：</w:t>
      </w:r>
    </w:p>
    <w:p w14:paraId="1F14448B">
      <w:pPr>
        <w:pStyle w:val="16"/>
        <w:snapToGrid w:val="0"/>
        <w:spacing w:before="120" w:after="120" w:line="360" w:lineRule="auto"/>
        <w:ind w:left="361" w:hanging="411" w:hangingChars="170"/>
        <w:rPr>
          <w:rFonts w:hint="eastAsia" w:hAnsi="宋体"/>
          <w:sz w:val="24"/>
          <w:szCs w:val="24"/>
          <w:highlight w:val="none"/>
        </w:rPr>
      </w:pPr>
      <w:r>
        <w:rPr>
          <w:rFonts w:hint="eastAsia" w:hAnsi="宋体"/>
          <w:sz w:val="24"/>
          <w:szCs w:val="24"/>
          <w:highlight w:val="none"/>
        </w:rPr>
        <w:t>《中华人民共和国国家标准》（GB／[T27770－27773]—2011〔鼠、蚊、蝇、蟑螂〕）摘录：</w:t>
      </w:r>
    </w:p>
    <w:p w14:paraId="17E462FE">
      <w:pPr>
        <w:pStyle w:val="16"/>
        <w:numPr>
          <w:ilvl w:val="0"/>
          <w:numId w:val="0"/>
        </w:numPr>
        <w:snapToGrid w:val="0"/>
        <w:spacing w:before="120" w:after="120" w:line="360" w:lineRule="auto"/>
        <w:ind w:left="315" w:leftChars="0"/>
        <w:rPr>
          <w:rFonts w:hint="eastAsia"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鼠密度控制水平A级</w:t>
      </w:r>
    </w:p>
    <w:p w14:paraId="05A9A8EF">
      <w:pPr>
        <w:pStyle w:val="16"/>
        <w:snapToGrid w:val="0"/>
        <w:spacing w:before="120" w:after="120" w:line="360" w:lineRule="auto"/>
        <w:ind w:left="315" w:firstLine="363" w:firstLineChars="150"/>
        <w:rPr>
          <w:rFonts w:hint="eastAsia" w:hAnsi="宋体"/>
          <w:sz w:val="24"/>
          <w:szCs w:val="24"/>
          <w:highlight w:val="none"/>
        </w:rPr>
      </w:pPr>
      <w:r>
        <w:rPr>
          <w:rFonts w:hint="eastAsia" w:hAnsi="宋体"/>
          <w:sz w:val="24"/>
          <w:szCs w:val="24"/>
          <w:highlight w:val="none"/>
        </w:rPr>
        <w:t>防鼠设施合格率≥97%； 室内鼠迹阳性率≤1%；   外环境鼠路径指数≤1。</w:t>
      </w:r>
    </w:p>
    <w:p w14:paraId="6BCCA3D0">
      <w:pPr>
        <w:pStyle w:val="16"/>
        <w:snapToGrid w:val="0"/>
        <w:spacing w:before="120" w:after="120" w:line="360" w:lineRule="auto"/>
        <w:ind w:left="361" w:hanging="411" w:hangingChars="170"/>
        <w:rPr>
          <w:rFonts w:hint="eastAsia" w:hAnsi="宋体"/>
          <w:sz w:val="24"/>
          <w:szCs w:val="24"/>
          <w:highlight w:val="none"/>
        </w:rPr>
      </w:pPr>
      <w:r>
        <w:rPr>
          <w:rFonts w:hint="eastAsia" w:hAnsi="宋体"/>
          <w:sz w:val="24"/>
          <w:szCs w:val="24"/>
          <w:highlight w:val="none"/>
        </w:rPr>
        <w:t xml:space="preserve">   </w:t>
      </w:r>
      <w:r>
        <w:rPr>
          <w:rFonts w:hint="eastAsia" w:hAnsi="宋体"/>
          <w:sz w:val="24"/>
          <w:szCs w:val="24"/>
          <w:highlight w:val="none"/>
          <w:lang w:val="en-US" w:eastAsia="zh-CN"/>
        </w:rPr>
        <w:t>(</w:t>
      </w:r>
      <w:r>
        <w:rPr>
          <w:rFonts w:hint="eastAsia" w:hAnsi="宋体"/>
          <w:sz w:val="24"/>
          <w:szCs w:val="24"/>
          <w:highlight w:val="none"/>
        </w:rPr>
        <w:t>2</w:t>
      </w:r>
      <w:r>
        <w:rPr>
          <w:rFonts w:hint="eastAsia" w:hAnsi="宋体"/>
          <w:sz w:val="24"/>
          <w:szCs w:val="24"/>
          <w:highlight w:val="none"/>
          <w:lang w:val="en-US" w:eastAsia="zh-CN"/>
        </w:rPr>
        <w:t>)</w:t>
      </w:r>
      <w:r>
        <w:rPr>
          <w:rFonts w:hint="eastAsia" w:hAnsi="宋体"/>
          <w:sz w:val="24"/>
          <w:szCs w:val="24"/>
          <w:highlight w:val="none"/>
        </w:rPr>
        <w:t>蚊虫密度控制水平A级</w:t>
      </w:r>
    </w:p>
    <w:p w14:paraId="6331609E">
      <w:pPr>
        <w:pStyle w:val="16"/>
        <w:snapToGrid w:val="0"/>
        <w:spacing w:before="120" w:after="120" w:line="360" w:lineRule="auto"/>
        <w:ind w:left="573" w:hanging="653" w:hangingChars="270"/>
        <w:rPr>
          <w:rFonts w:hint="eastAsia" w:hAnsi="宋体"/>
          <w:sz w:val="24"/>
          <w:szCs w:val="24"/>
          <w:highlight w:val="none"/>
        </w:rPr>
      </w:pPr>
      <w:r>
        <w:rPr>
          <w:rFonts w:hint="eastAsia" w:hAnsi="宋体"/>
          <w:sz w:val="24"/>
          <w:szCs w:val="24"/>
          <w:highlight w:val="none"/>
        </w:rPr>
        <w:t xml:space="preserve">     小型积水蚊虫路径指数≤0.1；大中型水体蚊虫采样勺指数≤1%，平均每阳性勺少于3只蚊幼虫和蛹；外环境蚊虫停落指数≤0.5。</w:t>
      </w:r>
    </w:p>
    <w:p w14:paraId="1F7673FD">
      <w:pPr>
        <w:pStyle w:val="16"/>
        <w:numPr>
          <w:ilvl w:val="0"/>
          <w:numId w:val="0"/>
        </w:numPr>
        <w:snapToGrid w:val="0"/>
        <w:spacing w:before="120" w:after="120" w:line="360" w:lineRule="auto"/>
        <w:ind w:left="315" w:leftChars="0"/>
        <w:rPr>
          <w:rFonts w:hint="eastAsia" w:hAnsi="宋体"/>
          <w:sz w:val="24"/>
          <w:szCs w:val="24"/>
          <w:highlight w:val="none"/>
        </w:rPr>
      </w:pPr>
      <w:r>
        <w:rPr>
          <w:rFonts w:hint="eastAsia" w:hAnsi="宋体"/>
          <w:sz w:val="24"/>
          <w:szCs w:val="24"/>
          <w:highlight w:val="none"/>
          <w:lang w:val="en-US" w:eastAsia="zh-CN"/>
        </w:rPr>
        <w:t>(3)</w:t>
      </w:r>
      <w:r>
        <w:rPr>
          <w:rFonts w:hint="eastAsia" w:hAnsi="宋体"/>
          <w:sz w:val="24"/>
          <w:szCs w:val="24"/>
          <w:highlight w:val="none"/>
        </w:rPr>
        <w:t>蝇密度控制水平A级</w:t>
      </w:r>
    </w:p>
    <w:p w14:paraId="154BA3FA">
      <w:pPr>
        <w:pStyle w:val="16"/>
        <w:snapToGrid w:val="0"/>
        <w:spacing w:before="120" w:after="120" w:line="360" w:lineRule="auto"/>
        <w:ind w:left="315" w:firstLine="363" w:firstLineChars="150"/>
        <w:rPr>
          <w:rFonts w:hint="eastAsia" w:hAnsi="宋体"/>
          <w:sz w:val="24"/>
          <w:szCs w:val="24"/>
          <w:highlight w:val="none"/>
        </w:rPr>
      </w:pPr>
      <w:r>
        <w:rPr>
          <w:rFonts w:hint="eastAsia" w:hAnsi="宋体"/>
          <w:sz w:val="24"/>
          <w:szCs w:val="24"/>
          <w:highlight w:val="none"/>
        </w:rPr>
        <w:t>防蝇设施合格率≥98%；</w:t>
      </w:r>
    </w:p>
    <w:p w14:paraId="744E80AB">
      <w:pPr>
        <w:pStyle w:val="16"/>
        <w:snapToGrid w:val="0"/>
        <w:spacing w:before="120" w:after="120" w:line="360" w:lineRule="auto"/>
        <w:ind w:left="361" w:hanging="411" w:hangingChars="170"/>
        <w:rPr>
          <w:rFonts w:hint="eastAsia" w:hAnsi="宋体"/>
          <w:sz w:val="24"/>
          <w:szCs w:val="24"/>
          <w:highlight w:val="none"/>
        </w:rPr>
      </w:pPr>
      <w:r>
        <w:rPr>
          <w:rFonts w:hint="eastAsia" w:hAnsi="宋体"/>
          <w:sz w:val="24"/>
          <w:szCs w:val="24"/>
          <w:highlight w:val="none"/>
        </w:rPr>
        <w:t xml:space="preserve">      生产销售直接入口食品的场所不得有蝇，室内不得存在蝇类孳生地；</w:t>
      </w:r>
    </w:p>
    <w:p w14:paraId="54EF1ED3">
      <w:pPr>
        <w:pStyle w:val="16"/>
        <w:snapToGrid w:val="0"/>
        <w:spacing w:before="120" w:after="120" w:line="360" w:lineRule="auto"/>
        <w:ind w:left="318" w:leftChars="150" w:firstLine="363" w:firstLineChars="150"/>
        <w:rPr>
          <w:rFonts w:hint="eastAsia" w:hAnsi="宋体"/>
          <w:sz w:val="24"/>
          <w:szCs w:val="24"/>
          <w:highlight w:val="none"/>
        </w:rPr>
      </w:pPr>
      <w:r>
        <w:rPr>
          <w:rFonts w:hint="eastAsia" w:hAnsi="宋体"/>
          <w:sz w:val="24"/>
          <w:szCs w:val="24"/>
          <w:highlight w:val="none"/>
        </w:rPr>
        <w:t>室内有蝇房间阳性率≤3%，阳性间蝇密度≤3只/间；室外蝇类孳生地阳性率≤1%；</w:t>
      </w:r>
    </w:p>
    <w:p w14:paraId="5118938E">
      <w:pPr>
        <w:pStyle w:val="16"/>
        <w:snapToGrid w:val="0"/>
        <w:spacing w:before="120" w:after="120" w:line="360" w:lineRule="auto"/>
        <w:ind w:left="361" w:hanging="411" w:hangingChars="170"/>
        <w:rPr>
          <w:rFonts w:hint="eastAsia" w:hAnsi="宋体"/>
          <w:sz w:val="24"/>
          <w:szCs w:val="24"/>
          <w:highlight w:val="none"/>
        </w:rPr>
      </w:pPr>
      <w:r>
        <w:rPr>
          <w:rFonts w:hint="eastAsia" w:hAnsi="宋体"/>
          <w:sz w:val="24"/>
          <w:szCs w:val="24"/>
          <w:highlight w:val="none"/>
        </w:rPr>
        <w:t>　　</w:t>
      </w:r>
      <w:r>
        <w:rPr>
          <w:rFonts w:hint="eastAsia" w:hAnsi="宋体"/>
          <w:sz w:val="24"/>
          <w:szCs w:val="24"/>
          <w:highlight w:val="none"/>
          <w:lang w:val="en-US" w:eastAsia="zh-CN"/>
        </w:rPr>
        <w:t>(4)</w:t>
      </w:r>
      <w:r>
        <w:rPr>
          <w:rFonts w:hint="eastAsia" w:hAnsi="宋体"/>
          <w:sz w:val="24"/>
          <w:szCs w:val="24"/>
          <w:highlight w:val="none"/>
        </w:rPr>
        <w:t>蟑螂密度控制水平A级</w:t>
      </w:r>
    </w:p>
    <w:p w14:paraId="73C0D4BE">
      <w:pPr>
        <w:spacing w:line="360" w:lineRule="auto"/>
        <w:rPr>
          <w:rFonts w:hint="eastAsia" w:hAnsi="宋体"/>
          <w:sz w:val="24"/>
          <w:szCs w:val="24"/>
          <w:highlight w:val="none"/>
        </w:rPr>
      </w:pPr>
      <w:r>
        <w:rPr>
          <w:rFonts w:hint="eastAsia" w:hAnsi="宋体"/>
          <w:sz w:val="24"/>
          <w:szCs w:val="24"/>
          <w:highlight w:val="none"/>
        </w:rPr>
        <w:t xml:space="preserve">      蜚蠊成若虫侵害率≤1%，平均每阳性间（处）成若虫数小蠊≤5只，大蠊≤2只；</w:t>
      </w:r>
    </w:p>
    <w:p w14:paraId="6B7D6FC3">
      <w:pPr>
        <w:spacing w:line="360" w:lineRule="auto"/>
        <w:ind w:firstLine="726" w:firstLineChars="300"/>
        <w:rPr>
          <w:rFonts w:hint="eastAsia" w:hAnsi="宋体"/>
          <w:sz w:val="24"/>
          <w:szCs w:val="24"/>
          <w:highlight w:val="none"/>
        </w:rPr>
      </w:pPr>
      <w:r>
        <w:rPr>
          <w:rFonts w:hint="eastAsia" w:hAnsi="宋体"/>
          <w:sz w:val="24"/>
          <w:szCs w:val="24"/>
          <w:highlight w:val="none"/>
        </w:rPr>
        <w:t>蟑螂卵鞘密度查获率≤1%，平均每阳性间（处）卵鞘数≤2只/间）；</w:t>
      </w:r>
    </w:p>
    <w:p w14:paraId="4B0C5761">
      <w:pPr>
        <w:spacing w:line="400" w:lineRule="exact"/>
        <w:ind w:firstLine="726" w:firstLineChars="300"/>
        <w:rPr>
          <w:rFonts w:hint="default"/>
          <w:highlight w:val="none"/>
          <w:lang w:val="en-US" w:eastAsia="zh-CN"/>
        </w:rPr>
      </w:pPr>
      <w:r>
        <w:rPr>
          <w:rFonts w:hint="eastAsia" w:hAnsi="宋体"/>
          <w:sz w:val="24"/>
          <w:szCs w:val="24"/>
          <w:highlight w:val="none"/>
        </w:rPr>
        <w:t>蟑迹查获率≤3%</w:t>
      </w:r>
      <w:r>
        <w:rPr>
          <w:rFonts w:hint="eastAsia" w:hAnsi="宋体" w:cs="宋体"/>
          <w:sz w:val="24"/>
          <w:szCs w:val="24"/>
          <w:highlight w:val="none"/>
        </w:rPr>
        <w:t>。</w:t>
      </w:r>
    </w:p>
    <w:p w14:paraId="6ED4F6E8">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群众</w:t>
      </w:r>
      <w:r>
        <w:rPr>
          <w:rFonts w:hint="eastAsia"/>
          <w:sz w:val="24"/>
          <w:szCs w:val="24"/>
          <w:highlight w:val="none"/>
        </w:rPr>
        <w:t>满意率达90%（含）以上；</w:t>
      </w:r>
    </w:p>
    <w:p w14:paraId="203517AC">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eastAsia="宋体"/>
          <w:sz w:val="24"/>
          <w:szCs w:val="24"/>
          <w:highlight w:val="none"/>
          <w:lang w:eastAsia="zh-CN"/>
        </w:rPr>
      </w:pPr>
      <w:r>
        <w:rPr>
          <w:rFonts w:hint="eastAsia"/>
          <w:sz w:val="24"/>
          <w:szCs w:val="24"/>
          <w:highlight w:val="none"/>
        </w:rPr>
        <w:t>3.</w:t>
      </w:r>
      <w:r>
        <w:rPr>
          <w:rFonts w:hint="eastAsia" w:eastAsia="宋体"/>
          <w:sz w:val="24"/>
          <w:szCs w:val="24"/>
          <w:highlight w:val="none"/>
        </w:rPr>
        <w:t>确保病媒生物防制工作</w:t>
      </w:r>
      <w:r>
        <w:rPr>
          <w:rFonts w:hint="eastAsia" w:eastAsia="宋体"/>
          <w:sz w:val="24"/>
          <w:szCs w:val="24"/>
          <w:highlight w:val="none"/>
          <w:lang w:val="en-US" w:eastAsia="zh-CN"/>
        </w:rPr>
        <w:t>通过县城区病媒生物B级复评</w:t>
      </w:r>
      <w:r>
        <w:rPr>
          <w:rFonts w:hint="eastAsia" w:eastAsia="宋体"/>
          <w:sz w:val="24"/>
          <w:szCs w:val="24"/>
          <w:highlight w:val="none"/>
        </w:rPr>
        <w:t>和</w:t>
      </w:r>
      <w:r>
        <w:rPr>
          <w:rFonts w:hint="eastAsia"/>
          <w:sz w:val="24"/>
          <w:szCs w:val="24"/>
          <w:highlight w:val="none"/>
          <w:lang w:val="en-US" w:eastAsia="zh-CN"/>
        </w:rPr>
        <w:t>街道</w:t>
      </w:r>
      <w:r>
        <w:rPr>
          <w:rFonts w:hint="eastAsia" w:eastAsia="宋体"/>
          <w:sz w:val="24"/>
          <w:szCs w:val="24"/>
          <w:highlight w:val="none"/>
        </w:rPr>
        <w:t>病媒生物</w:t>
      </w:r>
      <w:r>
        <w:rPr>
          <w:rFonts w:hint="eastAsia"/>
          <w:sz w:val="24"/>
          <w:szCs w:val="24"/>
          <w:highlight w:val="none"/>
          <w:lang w:val="en-US" w:eastAsia="zh-CN"/>
        </w:rPr>
        <w:t>A级持续巩固</w:t>
      </w:r>
      <w:r>
        <w:rPr>
          <w:rFonts w:hint="eastAsia" w:eastAsia="宋体"/>
          <w:sz w:val="24"/>
          <w:szCs w:val="24"/>
          <w:highlight w:val="none"/>
        </w:rPr>
        <w:t>，在上级检查中不失责任分。</w:t>
      </w:r>
    </w:p>
    <w:p w14:paraId="417B3539">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outlineLvl w:val="1"/>
        <w:rPr>
          <w:rFonts w:hint="default" w:eastAsia="宋体"/>
          <w:b/>
          <w:bCs/>
          <w:sz w:val="24"/>
          <w:szCs w:val="24"/>
          <w:highlight w:val="none"/>
          <w:lang w:val="en-US" w:eastAsia="zh-CN"/>
        </w:rPr>
      </w:pPr>
      <w:r>
        <w:rPr>
          <w:rFonts w:hint="eastAsia" w:ascii="宋体" w:hAnsi="宋体" w:cs="Arial"/>
          <w:b/>
          <w:kern w:val="0"/>
          <w:sz w:val="24"/>
          <w:szCs w:val="24"/>
        </w:rPr>
        <w:t xml:space="preserve">第十五条 </w:t>
      </w:r>
      <w:r>
        <w:rPr>
          <w:rFonts w:hint="eastAsia"/>
          <w:b/>
          <w:bCs/>
          <w:sz w:val="24"/>
          <w:szCs w:val="24"/>
          <w:highlight w:val="none"/>
        </w:rPr>
        <w:t>考核要求</w:t>
      </w:r>
      <w:r>
        <w:rPr>
          <w:rFonts w:hint="eastAsia"/>
          <w:b/>
          <w:bCs/>
          <w:sz w:val="24"/>
          <w:szCs w:val="24"/>
          <w:highlight w:val="none"/>
          <w:lang w:val="en-US" w:eastAsia="zh-CN"/>
        </w:rPr>
        <w:t>及违约责任</w:t>
      </w:r>
    </w:p>
    <w:p w14:paraId="1C848975">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sz w:val="24"/>
          <w:szCs w:val="24"/>
          <w:highlight w:val="none"/>
          <w:lang w:val="en-US" w:eastAsia="zh-CN"/>
        </w:rPr>
      </w:pPr>
      <w:r>
        <w:rPr>
          <w:rFonts w:hint="eastAsia"/>
          <w:sz w:val="24"/>
          <w:szCs w:val="24"/>
          <w:highlight w:val="none"/>
          <w:lang w:val="en-US" w:eastAsia="zh-CN"/>
        </w:rPr>
        <w:t>1、根据考核内容（具体考核内容详见附件），街道爱卫办每半年抽查一次承包区内蚊蝇鼠消杀情况和孳生地控制情况，每年组织一次年终综合考核。社区每月一次日常巡查，日常巡查有害生物防制服务单位对窨井、垃圾箱等处成蝇、成蚊控制情况，本辖区内的消杀工作进行现场检查核实，街道爱卫办将根据实际需要进行抽查。在4月、11月鼠类繁殖高峰，5～6月、9～10月蚊蝇繁殖高峰时节，街道爱卫办联合社区要增加检查频次。</w:t>
      </w:r>
    </w:p>
    <w:p w14:paraId="7A7019A1">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sz w:val="24"/>
          <w:szCs w:val="24"/>
          <w:highlight w:val="none"/>
          <w:lang w:val="en-US" w:eastAsia="zh-CN"/>
        </w:rPr>
      </w:pPr>
      <w:r>
        <w:rPr>
          <w:rFonts w:hint="eastAsia"/>
          <w:sz w:val="24"/>
          <w:szCs w:val="24"/>
          <w:highlight w:val="none"/>
          <w:lang w:val="en-US" w:eastAsia="zh-CN"/>
        </w:rPr>
        <w:t>2、群众满意度调查：根据《公共环境病媒生物防制工作群众调查表》，每半年至少调查访问100名居民（其中街道爱卫办访问20名，每个社区访问15名），听取、收集居民意见，以了解群众的满意度。</w:t>
      </w:r>
    </w:p>
    <w:p w14:paraId="210BD675">
      <w:pPr>
        <w:pStyle w:val="16"/>
        <w:spacing w:line="360" w:lineRule="auto"/>
        <w:ind w:firstLine="413" w:firstLineChars="171"/>
        <w:jc w:val="left"/>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3、付款</w:t>
      </w:r>
      <w:r>
        <w:rPr>
          <w:rFonts w:hint="eastAsia" w:ascii="Times New Roman" w:hAnsi="Times New Roman" w:cs="Times New Roman"/>
          <w:kern w:val="0"/>
          <w:sz w:val="24"/>
          <w:szCs w:val="24"/>
          <w:highlight w:val="none"/>
          <w:lang w:val="en-US" w:eastAsia="zh-CN" w:bidi="ar-SA"/>
        </w:rPr>
        <w:t>方式</w:t>
      </w:r>
      <w:r>
        <w:rPr>
          <w:rFonts w:hint="eastAsia" w:ascii="Times New Roman" w:hAnsi="Times New Roman" w:eastAsia="宋体" w:cs="Times New Roman"/>
          <w:kern w:val="0"/>
          <w:sz w:val="24"/>
          <w:szCs w:val="24"/>
          <w:highlight w:val="none"/>
          <w:lang w:val="en-US" w:eastAsia="zh-CN" w:bidi="ar-SA"/>
        </w:rPr>
        <w:t>：根据工作实绩进行考核，灭鼠、灭蝇、灭蚊现场技术考核结果占总分值（100分）的60%，日常工作检查结果占20%，群众满意度调查结果占20%，</w:t>
      </w:r>
      <w:r>
        <w:rPr>
          <w:rFonts w:hint="eastAsia" w:ascii="Times New Roman" w:hAnsi="Times New Roman" w:cs="Times New Roman"/>
          <w:kern w:val="0"/>
          <w:sz w:val="24"/>
          <w:szCs w:val="24"/>
          <w:highlight w:val="none"/>
          <w:lang w:val="en-US" w:eastAsia="zh-CN" w:bidi="ar-SA"/>
        </w:rPr>
        <w:t>社区群众</w:t>
      </w:r>
      <w:r>
        <w:rPr>
          <w:rFonts w:hint="eastAsia" w:ascii="宋体" w:hAnsi="宋体" w:eastAsia="宋体"/>
          <w:sz w:val="24"/>
          <w:szCs w:val="24"/>
          <w:highlight w:val="none"/>
          <w:lang w:val="en-US" w:eastAsia="zh-CN"/>
        </w:rPr>
        <w:t>满意率</w:t>
      </w:r>
      <w:r>
        <w:rPr>
          <w:rFonts w:hint="eastAsia" w:hAnsi="宋体"/>
          <w:sz w:val="24"/>
          <w:szCs w:val="24"/>
          <w:highlight w:val="none"/>
          <w:lang w:val="en-US" w:eastAsia="zh-CN"/>
        </w:rPr>
        <w:t>须</w:t>
      </w:r>
      <w:r>
        <w:rPr>
          <w:rFonts w:hint="eastAsia" w:ascii="宋体" w:hAnsi="宋体" w:eastAsia="宋体"/>
          <w:sz w:val="24"/>
          <w:szCs w:val="24"/>
          <w:highlight w:val="none"/>
          <w:lang w:val="en-US" w:eastAsia="zh-CN"/>
        </w:rPr>
        <w:t>达90%及以上</w:t>
      </w:r>
      <w:r>
        <w:rPr>
          <w:rFonts w:hint="eastAsia" w:hAnsi="宋体"/>
          <w:sz w:val="24"/>
          <w:szCs w:val="24"/>
          <w:highlight w:val="none"/>
          <w:lang w:val="en-US" w:eastAsia="zh-CN"/>
        </w:rPr>
        <w:t>。根据</w:t>
      </w:r>
      <w:r>
        <w:rPr>
          <w:rFonts w:hint="eastAsia" w:ascii="Times New Roman" w:hAnsi="Times New Roman" w:eastAsia="宋体" w:cs="Times New Roman"/>
          <w:kern w:val="0"/>
          <w:sz w:val="24"/>
          <w:szCs w:val="24"/>
          <w:highlight w:val="none"/>
          <w:lang w:val="en-US" w:eastAsia="zh-CN" w:bidi="ar-SA"/>
        </w:rPr>
        <w:t>考核结果</w:t>
      </w:r>
      <w:r>
        <w:rPr>
          <w:rFonts w:hint="eastAsia" w:ascii="Times New Roman" w:hAnsi="Times New Roman" w:cs="Times New Roman"/>
          <w:kern w:val="0"/>
          <w:sz w:val="24"/>
          <w:szCs w:val="24"/>
          <w:highlight w:val="none"/>
          <w:lang w:val="en-US" w:eastAsia="zh-CN" w:bidi="ar-SA"/>
        </w:rPr>
        <w:t>发放</w:t>
      </w:r>
      <w:r>
        <w:rPr>
          <w:rFonts w:hint="eastAsia" w:ascii="Times New Roman" w:hAnsi="Times New Roman" w:eastAsia="宋体" w:cs="Times New Roman"/>
          <w:kern w:val="0"/>
          <w:sz w:val="24"/>
          <w:szCs w:val="24"/>
          <w:highlight w:val="none"/>
          <w:lang w:val="en-US" w:eastAsia="zh-CN" w:bidi="ar-SA"/>
        </w:rPr>
        <w:t>经费。</w:t>
      </w:r>
    </w:p>
    <w:p w14:paraId="249E51C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default" w:ascii="Calibri" w:hAnsi="Calibri" w:cs="Calibri"/>
          <w:kern w:val="0"/>
          <w:sz w:val="24"/>
          <w:szCs w:val="24"/>
          <w:highlight w:val="none"/>
          <w:lang w:val="en-US" w:eastAsia="zh-CN" w:bidi="ar-SA"/>
        </w:rPr>
        <w:t>①</w:t>
      </w:r>
      <w:r>
        <w:rPr>
          <w:rFonts w:hint="eastAsia" w:cs="Times New Roman"/>
          <w:kern w:val="0"/>
          <w:sz w:val="24"/>
          <w:szCs w:val="24"/>
          <w:highlight w:val="none"/>
          <w:lang w:val="en-US" w:eastAsia="zh-CN" w:bidi="ar-SA"/>
        </w:rPr>
        <w:t>乙方</w:t>
      </w:r>
      <w:r>
        <w:rPr>
          <w:rFonts w:hint="eastAsia" w:ascii="Times New Roman" w:hAnsi="Times New Roman" w:eastAsia="宋体" w:cs="Times New Roman"/>
          <w:kern w:val="0"/>
          <w:sz w:val="24"/>
          <w:szCs w:val="24"/>
          <w:highlight w:val="none"/>
          <w:lang w:val="en-US" w:eastAsia="zh-CN" w:bidi="ar-SA"/>
        </w:rPr>
        <w:t>达到</w:t>
      </w:r>
      <w:r>
        <w:rPr>
          <w:rFonts w:hint="eastAsia" w:ascii="宋体" w:hAnsi="宋体" w:cs="Arial"/>
          <w:b w:val="0"/>
          <w:bCs/>
          <w:kern w:val="0"/>
          <w:sz w:val="24"/>
          <w:szCs w:val="24"/>
          <w:highlight w:val="none"/>
        </w:rPr>
        <w:t>第十</w:t>
      </w:r>
      <w:r>
        <w:rPr>
          <w:rFonts w:hint="eastAsia" w:ascii="宋体" w:hAnsi="宋体" w:cs="Arial"/>
          <w:b w:val="0"/>
          <w:bCs/>
          <w:kern w:val="0"/>
          <w:sz w:val="24"/>
          <w:szCs w:val="24"/>
          <w:highlight w:val="none"/>
          <w:lang w:eastAsia="zh-CN"/>
        </w:rPr>
        <w:t>四</w:t>
      </w:r>
      <w:r>
        <w:rPr>
          <w:rFonts w:hint="eastAsia" w:ascii="宋体" w:hAnsi="宋体" w:cs="Arial"/>
          <w:b w:val="0"/>
          <w:bCs/>
          <w:kern w:val="0"/>
          <w:sz w:val="24"/>
          <w:szCs w:val="24"/>
          <w:highlight w:val="none"/>
        </w:rPr>
        <w:t>条承包质量要求</w:t>
      </w:r>
      <w:r>
        <w:rPr>
          <w:rFonts w:hint="eastAsia" w:ascii="Times New Roman" w:hAnsi="Times New Roman" w:eastAsia="宋体" w:cs="Times New Roman"/>
          <w:kern w:val="0"/>
          <w:sz w:val="24"/>
          <w:szCs w:val="24"/>
          <w:highlight w:val="none"/>
          <w:lang w:val="en-US" w:eastAsia="zh-CN" w:bidi="ar-SA"/>
        </w:rPr>
        <w:t>，</w:t>
      </w:r>
      <w:r>
        <w:rPr>
          <w:rFonts w:hint="eastAsia" w:ascii="Times New Roman" w:hAnsi="Times New Roman" w:cs="Times New Roman"/>
          <w:kern w:val="0"/>
          <w:sz w:val="24"/>
          <w:szCs w:val="24"/>
          <w:highlight w:val="none"/>
          <w:lang w:val="en-US" w:eastAsia="zh-CN" w:bidi="ar-SA"/>
        </w:rPr>
        <w:t>消杀款</w:t>
      </w:r>
      <w:r>
        <w:rPr>
          <w:rFonts w:hint="eastAsia" w:ascii="Times New Roman" w:hAnsi="Times New Roman" w:eastAsia="宋体" w:cs="Times New Roman"/>
          <w:kern w:val="0"/>
          <w:sz w:val="24"/>
          <w:szCs w:val="24"/>
          <w:highlight w:val="none"/>
          <w:lang w:val="en-US" w:eastAsia="zh-CN" w:bidi="ar-SA"/>
        </w:rPr>
        <w:t>全额支付；</w:t>
      </w:r>
    </w:p>
    <w:p w14:paraId="73EC1C65">
      <w:pPr>
        <w:pStyle w:val="11"/>
        <w:keepNext w:val="0"/>
        <w:keepLines w:val="0"/>
        <w:pageBreakBefore w:val="0"/>
        <w:kinsoku/>
        <w:wordWrap/>
        <w:overflowPunct/>
        <w:topLinePunct w:val="0"/>
        <w:autoSpaceDE/>
        <w:autoSpaceDN/>
        <w:bidi w:val="0"/>
        <w:adjustRightInd/>
        <w:snapToGrid/>
        <w:spacing w:line="360" w:lineRule="auto"/>
        <w:ind w:firstLine="484" w:firstLineChars="200"/>
        <w:textAlignment w:val="auto"/>
        <w:rPr>
          <w:rFonts w:hint="default" w:ascii="Times New Roman" w:hAnsi="Times New Roman" w:eastAsia="宋体" w:cs="Times New Roman"/>
          <w:kern w:val="0"/>
          <w:sz w:val="24"/>
          <w:szCs w:val="24"/>
          <w:highlight w:val="none"/>
          <w:lang w:val="en-US" w:eastAsia="zh-CN" w:bidi="ar-SA"/>
        </w:rPr>
      </w:pPr>
      <w:r>
        <w:rPr>
          <w:rFonts w:hint="default" w:ascii="Calibri" w:hAnsi="Calibri" w:eastAsia="宋体" w:cs="Calibri"/>
          <w:kern w:val="0"/>
          <w:sz w:val="24"/>
          <w:szCs w:val="24"/>
          <w:highlight w:val="none"/>
          <w:lang w:val="en-US" w:eastAsia="zh-CN" w:bidi="ar-SA"/>
        </w:rPr>
        <w:t>②</w:t>
      </w:r>
      <w:r>
        <w:rPr>
          <w:rFonts w:hint="eastAsia" w:ascii="Times New Roman" w:hAnsi="Times New Roman" w:eastAsia="宋体" w:cs="Times New Roman"/>
          <w:kern w:val="0"/>
          <w:sz w:val="24"/>
          <w:szCs w:val="24"/>
          <w:highlight w:val="none"/>
          <w:lang w:val="en-US" w:eastAsia="zh-CN" w:bidi="ar-SA"/>
        </w:rPr>
        <w:t>如乙方</w:t>
      </w:r>
      <w:r>
        <w:rPr>
          <w:rFonts w:hint="eastAsia" w:ascii="Times New Roman" w:hAnsi="Times New Roman" w:cs="Times New Roman"/>
          <w:kern w:val="0"/>
          <w:sz w:val="24"/>
          <w:szCs w:val="24"/>
          <w:highlight w:val="none"/>
          <w:lang w:val="en-US" w:eastAsia="zh-CN" w:bidi="ar-SA"/>
        </w:rPr>
        <w:t>具有</w:t>
      </w:r>
      <w:r>
        <w:rPr>
          <w:rFonts w:hint="eastAsia" w:ascii="Times New Roman" w:hAnsi="Times New Roman" w:eastAsia="宋体" w:cs="Times New Roman"/>
          <w:kern w:val="0"/>
          <w:sz w:val="24"/>
          <w:szCs w:val="24"/>
          <w:highlight w:val="none"/>
          <w:lang w:val="en-US" w:eastAsia="zh-CN" w:bidi="ar-SA"/>
        </w:rPr>
        <w:t>未按实施方案、技术方案要求执行</w:t>
      </w:r>
      <w:r>
        <w:rPr>
          <w:rFonts w:hint="eastAsia" w:ascii="Times New Roman" w:hAnsi="Times New Roman" w:cs="Times New Roman"/>
          <w:kern w:val="0"/>
          <w:sz w:val="24"/>
          <w:szCs w:val="24"/>
          <w:highlight w:val="none"/>
          <w:lang w:val="en-US" w:eastAsia="zh-CN" w:bidi="ar-SA"/>
        </w:rPr>
        <w:t>，</w:t>
      </w:r>
      <w:r>
        <w:rPr>
          <w:rFonts w:hint="eastAsia" w:cs="Times New Roman"/>
          <w:kern w:val="0"/>
          <w:sz w:val="24"/>
          <w:szCs w:val="24"/>
          <w:highlight w:val="none"/>
          <w:lang w:val="en-US" w:eastAsia="zh-CN" w:bidi="ar-SA"/>
        </w:rPr>
        <w:t>或问题严重或群众满意度极差或造成一定不良影响的，确认</w:t>
      </w:r>
      <w:r>
        <w:rPr>
          <w:rFonts w:hint="eastAsia" w:ascii="Times New Roman" w:hAnsi="Times New Roman" w:eastAsia="宋体" w:cs="Times New Roman"/>
          <w:kern w:val="0"/>
          <w:sz w:val="24"/>
          <w:szCs w:val="24"/>
          <w:highlight w:val="none"/>
          <w:lang w:val="en-US" w:eastAsia="zh-CN" w:bidi="ar-SA"/>
        </w:rPr>
        <w:t>未达到</w:t>
      </w:r>
      <w:r>
        <w:rPr>
          <w:rFonts w:hint="eastAsia" w:ascii="Times New Roman" w:hAnsi="Times New Roman" w:cs="Times New Roman"/>
          <w:b w:val="0"/>
          <w:bCs w:val="0"/>
          <w:kern w:val="0"/>
          <w:sz w:val="24"/>
          <w:szCs w:val="24"/>
          <w:highlight w:val="none"/>
          <w:lang w:val="en-US" w:eastAsia="zh-CN" w:bidi="ar-SA"/>
        </w:rPr>
        <w:t>第十四条</w:t>
      </w:r>
      <w:r>
        <w:rPr>
          <w:rFonts w:hint="eastAsia" w:ascii="宋体" w:hAnsi="宋体" w:cs="Arial"/>
          <w:b w:val="0"/>
          <w:bCs w:val="0"/>
          <w:kern w:val="0"/>
          <w:sz w:val="24"/>
          <w:szCs w:val="24"/>
          <w:highlight w:val="none"/>
        </w:rPr>
        <w:t>承包质量要求</w:t>
      </w:r>
      <w:r>
        <w:rPr>
          <w:rFonts w:hint="eastAsia" w:ascii="宋体" w:hAnsi="宋体" w:cs="Arial"/>
          <w:b w:val="0"/>
          <w:bCs w:val="0"/>
          <w:kern w:val="0"/>
          <w:sz w:val="24"/>
          <w:szCs w:val="24"/>
          <w:highlight w:val="none"/>
          <w:lang w:eastAsia="zh-CN"/>
        </w:rPr>
        <w:t>，</w:t>
      </w:r>
      <w:r>
        <w:rPr>
          <w:rFonts w:hint="eastAsia" w:ascii="Times New Roman" w:hAnsi="Times New Roman" w:cs="Times New Roman"/>
          <w:kern w:val="0"/>
          <w:sz w:val="24"/>
          <w:szCs w:val="24"/>
          <w:highlight w:val="none"/>
          <w:lang w:val="en-US" w:eastAsia="zh-CN" w:bidi="ar-SA"/>
        </w:rPr>
        <w:t>或在甲方上级检查时影响甲方成绩情形之一的，乙方在收到</w:t>
      </w:r>
      <w:r>
        <w:rPr>
          <w:rFonts w:hint="eastAsia" w:ascii="Times New Roman" w:hAnsi="Times New Roman" w:eastAsia="宋体" w:cs="Times New Roman"/>
          <w:kern w:val="0"/>
          <w:sz w:val="24"/>
          <w:szCs w:val="24"/>
          <w:highlight w:val="none"/>
          <w:lang w:val="en-US" w:eastAsia="zh-CN" w:bidi="ar-SA"/>
        </w:rPr>
        <w:t>甲方</w:t>
      </w:r>
      <w:r>
        <w:rPr>
          <w:rFonts w:hint="eastAsia" w:cs="Times New Roman"/>
          <w:kern w:val="0"/>
          <w:sz w:val="24"/>
          <w:szCs w:val="24"/>
          <w:highlight w:val="none"/>
          <w:lang w:val="en-US" w:eastAsia="zh-CN" w:bidi="ar-SA"/>
        </w:rPr>
        <w:t>出具的书面《整改通知书》</w:t>
      </w:r>
      <w:r>
        <w:rPr>
          <w:rFonts w:hint="eastAsia" w:ascii="Times New Roman" w:hAnsi="Times New Roman" w:eastAsia="宋体" w:cs="Times New Roman"/>
          <w:kern w:val="0"/>
          <w:sz w:val="24"/>
          <w:szCs w:val="24"/>
          <w:highlight w:val="none"/>
          <w:lang w:val="en-US" w:eastAsia="zh-CN" w:bidi="ar-SA"/>
        </w:rPr>
        <w:t>警告</w:t>
      </w:r>
      <w:r>
        <w:rPr>
          <w:rFonts w:hint="eastAsia" w:cs="Times New Roman"/>
          <w:kern w:val="0"/>
          <w:sz w:val="24"/>
          <w:szCs w:val="24"/>
          <w:highlight w:val="none"/>
          <w:lang w:val="en-US" w:eastAsia="zh-CN" w:bidi="ar-SA"/>
        </w:rPr>
        <w:t>并</w:t>
      </w:r>
      <w:r>
        <w:rPr>
          <w:rFonts w:hint="eastAsia" w:ascii="Times New Roman" w:hAnsi="Times New Roman" w:eastAsia="宋体" w:cs="Times New Roman"/>
          <w:kern w:val="0"/>
          <w:sz w:val="24"/>
          <w:szCs w:val="24"/>
          <w:highlight w:val="none"/>
          <w:lang w:val="en-US" w:eastAsia="zh-CN" w:bidi="ar-SA"/>
        </w:rPr>
        <w:t>限期改正</w:t>
      </w:r>
      <w:r>
        <w:rPr>
          <w:rFonts w:hint="eastAsia" w:ascii="Times New Roman" w:hAnsi="Times New Roman" w:cs="Times New Roman"/>
          <w:kern w:val="0"/>
          <w:sz w:val="24"/>
          <w:szCs w:val="24"/>
          <w:highlight w:val="none"/>
          <w:lang w:val="en-US" w:eastAsia="zh-CN" w:bidi="ar-SA"/>
        </w:rPr>
        <w:t>后</w:t>
      </w:r>
      <w:r>
        <w:rPr>
          <w:rFonts w:hint="eastAsia" w:ascii="Times New Roman" w:hAnsi="Times New Roman" w:eastAsia="宋体" w:cs="Times New Roman"/>
          <w:kern w:val="0"/>
          <w:sz w:val="24"/>
          <w:szCs w:val="24"/>
          <w:highlight w:val="none"/>
          <w:lang w:val="en-US" w:eastAsia="zh-CN" w:bidi="ar-SA"/>
        </w:rPr>
        <w:t>，</w:t>
      </w:r>
      <w:r>
        <w:rPr>
          <w:rFonts w:hint="eastAsia" w:ascii="Times New Roman" w:hAnsi="Times New Roman" w:cs="Times New Roman"/>
          <w:kern w:val="0"/>
          <w:sz w:val="24"/>
          <w:szCs w:val="24"/>
          <w:highlight w:val="none"/>
          <w:lang w:val="en-US" w:eastAsia="zh-CN" w:bidi="ar-SA"/>
        </w:rPr>
        <w:t>如</w:t>
      </w:r>
      <w:r>
        <w:rPr>
          <w:rFonts w:hint="eastAsia" w:ascii="Times New Roman" w:hAnsi="Times New Roman" w:eastAsia="宋体" w:cs="Times New Roman"/>
          <w:kern w:val="0"/>
          <w:sz w:val="24"/>
          <w:szCs w:val="24"/>
          <w:highlight w:val="none"/>
          <w:lang w:val="en-US" w:eastAsia="zh-CN" w:bidi="ar-SA"/>
        </w:rPr>
        <w:t>在限期内落实整改</w:t>
      </w:r>
      <w:r>
        <w:rPr>
          <w:rFonts w:hint="eastAsia" w:cs="Times New Roman"/>
          <w:kern w:val="0"/>
          <w:sz w:val="24"/>
          <w:szCs w:val="24"/>
          <w:highlight w:val="none"/>
          <w:lang w:val="en-US" w:eastAsia="zh-CN" w:bidi="ar-SA"/>
        </w:rPr>
        <w:t>并达到</w:t>
      </w:r>
      <w:r>
        <w:rPr>
          <w:rFonts w:hint="eastAsia" w:ascii="Times New Roman" w:hAnsi="Times New Roman" w:cs="Times New Roman"/>
          <w:b w:val="0"/>
          <w:bCs w:val="0"/>
          <w:kern w:val="0"/>
          <w:sz w:val="24"/>
          <w:szCs w:val="24"/>
          <w:highlight w:val="none"/>
          <w:lang w:val="en-US" w:eastAsia="zh-CN" w:bidi="ar-SA"/>
        </w:rPr>
        <w:t>第十四条</w:t>
      </w:r>
      <w:r>
        <w:rPr>
          <w:rFonts w:hint="eastAsia" w:ascii="宋体" w:hAnsi="宋体" w:cs="Arial"/>
          <w:b w:val="0"/>
          <w:bCs w:val="0"/>
          <w:kern w:val="0"/>
          <w:sz w:val="24"/>
          <w:szCs w:val="24"/>
          <w:highlight w:val="none"/>
        </w:rPr>
        <w:t>承包质量要求</w:t>
      </w:r>
      <w:r>
        <w:rPr>
          <w:rFonts w:hint="eastAsia" w:ascii="Times New Roman" w:hAnsi="Times New Roman" w:eastAsia="宋体" w:cs="Times New Roman"/>
          <w:kern w:val="0"/>
          <w:sz w:val="24"/>
          <w:szCs w:val="24"/>
          <w:highlight w:val="none"/>
          <w:lang w:val="en-US" w:eastAsia="zh-CN" w:bidi="ar-SA"/>
        </w:rPr>
        <w:t>，</w:t>
      </w:r>
      <w:r>
        <w:rPr>
          <w:rFonts w:hint="eastAsia" w:ascii="Times New Roman" w:hAnsi="Times New Roman" w:cs="Times New Roman"/>
          <w:kern w:val="0"/>
          <w:sz w:val="24"/>
          <w:szCs w:val="24"/>
          <w:highlight w:val="none"/>
          <w:lang w:val="en-US" w:eastAsia="zh-CN" w:bidi="ar-SA"/>
        </w:rPr>
        <w:t>按</w:t>
      </w:r>
      <w:r>
        <w:rPr>
          <w:rFonts w:hint="eastAsia" w:cs="Times New Roman"/>
          <w:kern w:val="0"/>
          <w:sz w:val="24"/>
          <w:szCs w:val="24"/>
          <w:highlight w:val="none"/>
          <w:lang w:val="en-US" w:eastAsia="zh-CN" w:bidi="ar-SA"/>
        </w:rPr>
        <w:t>合同执行满半年、满一年</w:t>
      </w:r>
      <w:r>
        <w:rPr>
          <w:rFonts w:hint="eastAsia" w:ascii="Times New Roman" w:hAnsi="Times New Roman" w:cs="Times New Roman"/>
          <w:kern w:val="0"/>
          <w:sz w:val="24"/>
          <w:szCs w:val="24"/>
          <w:highlight w:val="none"/>
          <w:lang w:val="en-US" w:eastAsia="zh-CN" w:bidi="ar-SA"/>
        </w:rPr>
        <w:t>原定金额的</w:t>
      </w:r>
      <w:r>
        <w:rPr>
          <w:rFonts w:hint="eastAsia" w:cs="Times New Roman"/>
          <w:kern w:val="0"/>
          <w:sz w:val="24"/>
          <w:szCs w:val="24"/>
          <w:highlight w:val="none"/>
          <w:lang w:val="en-US" w:eastAsia="zh-CN" w:bidi="ar-SA"/>
        </w:rPr>
        <w:t>20%累计扣除，扣完为止</w:t>
      </w:r>
      <w:r>
        <w:rPr>
          <w:rFonts w:hint="eastAsia"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未按《整改通知书》要求</w:t>
      </w:r>
      <w:r>
        <w:rPr>
          <w:rFonts w:hint="eastAsia" w:ascii="Times New Roman" w:hAnsi="Times New Roman" w:eastAsia="宋体" w:cs="Times New Roman"/>
          <w:kern w:val="0"/>
          <w:sz w:val="24"/>
          <w:szCs w:val="24"/>
          <w:highlight w:val="none"/>
          <w:lang w:val="en-US" w:eastAsia="zh-CN" w:bidi="ar-SA"/>
        </w:rPr>
        <w:t>在限期内</w:t>
      </w:r>
      <w:r>
        <w:rPr>
          <w:rFonts w:hint="eastAsia" w:cs="Times New Roman"/>
          <w:kern w:val="0"/>
          <w:sz w:val="24"/>
          <w:szCs w:val="24"/>
          <w:highlight w:val="none"/>
          <w:lang w:val="en-US" w:eastAsia="zh-CN" w:bidi="ar-SA"/>
        </w:rPr>
        <w:t>整改的，或经两次整改后仍不能达到</w:t>
      </w:r>
      <w:r>
        <w:rPr>
          <w:rFonts w:hint="eastAsia" w:ascii="Times New Roman" w:hAnsi="Times New Roman" w:cs="Times New Roman"/>
          <w:b w:val="0"/>
          <w:bCs w:val="0"/>
          <w:kern w:val="0"/>
          <w:sz w:val="24"/>
          <w:szCs w:val="24"/>
          <w:highlight w:val="none"/>
          <w:lang w:val="en-US" w:eastAsia="zh-CN" w:bidi="ar-SA"/>
        </w:rPr>
        <w:t>第十四条</w:t>
      </w:r>
      <w:r>
        <w:rPr>
          <w:rFonts w:hint="eastAsia" w:ascii="宋体" w:hAnsi="宋体" w:cs="Arial"/>
          <w:b w:val="0"/>
          <w:bCs w:val="0"/>
          <w:kern w:val="0"/>
          <w:sz w:val="24"/>
          <w:szCs w:val="24"/>
          <w:highlight w:val="none"/>
        </w:rPr>
        <w:t>承包质量要求</w:t>
      </w:r>
      <w:r>
        <w:rPr>
          <w:rFonts w:hint="eastAsia"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或</w:t>
      </w:r>
      <w:r>
        <w:rPr>
          <w:rFonts w:hint="eastAsia" w:ascii="Times New Roman" w:hAnsi="Times New Roman" w:cs="Times New Roman"/>
          <w:kern w:val="0"/>
          <w:sz w:val="24"/>
          <w:szCs w:val="24"/>
          <w:highlight w:val="none"/>
          <w:lang w:val="en-US" w:eastAsia="zh-CN" w:bidi="ar-SA"/>
        </w:rPr>
        <w:t>乙</w:t>
      </w:r>
      <w:r>
        <w:rPr>
          <w:rFonts w:hint="eastAsia" w:ascii="Times New Roman" w:hAnsi="Times New Roman" w:eastAsia="宋体" w:cs="Times New Roman"/>
          <w:kern w:val="0"/>
          <w:sz w:val="24"/>
          <w:szCs w:val="24"/>
          <w:highlight w:val="none"/>
          <w:lang w:val="en-US" w:eastAsia="zh-CN" w:bidi="ar-SA"/>
        </w:rPr>
        <w:t>方中途自行退出</w:t>
      </w:r>
      <w:r>
        <w:rPr>
          <w:rFonts w:hint="eastAsia" w:cs="Times New Roman"/>
          <w:kern w:val="0"/>
          <w:sz w:val="24"/>
          <w:szCs w:val="24"/>
          <w:highlight w:val="none"/>
          <w:lang w:val="en-US" w:eastAsia="zh-CN" w:bidi="ar-SA"/>
        </w:rPr>
        <w:t>，属乙方违约，</w:t>
      </w:r>
      <w:r>
        <w:rPr>
          <w:rFonts w:hint="eastAsia" w:ascii="Times New Roman" w:hAnsi="Times New Roman" w:eastAsia="宋体" w:cs="Times New Roman"/>
          <w:kern w:val="0"/>
          <w:sz w:val="24"/>
          <w:szCs w:val="24"/>
          <w:highlight w:val="none"/>
          <w:lang w:val="en-US" w:eastAsia="zh-CN" w:bidi="ar-SA"/>
        </w:rPr>
        <w:t>甲方</w:t>
      </w:r>
      <w:r>
        <w:rPr>
          <w:rFonts w:hint="eastAsia" w:cs="Times New Roman"/>
          <w:kern w:val="0"/>
          <w:sz w:val="24"/>
          <w:szCs w:val="24"/>
          <w:highlight w:val="none"/>
          <w:lang w:val="en-US" w:eastAsia="zh-CN" w:bidi="ar-SA"/>
        </w:rPr>
        <w:t>出具《终止合同书面通知》给乙方</w:t>
      </w:r>
      <w:r>
        <w:rPr>
          <w:rFonts w:hint="eastAsia"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终止执行合同，</w:t>
      </w:r>
      <w:r>
        <w:rPr>
          <w:rFonts w:hint="eastAsia" w:ascii="Times New Roman" w:hAnsi="Times New Roman" w:eastAsia="宋体" w:cs="Times New Roman"/>
          <w:kern w:val="0"/>
          <w:sz w:val="24"/>
          <w:szCs w:val="24"/>
          <w:highlight w:val="none"/>
          <w:lang w:val="en-US" w:eastAsia="zh-CN" w:bidi="ar-SA"/>
        </w:rPr>
        <w:t>甲方无需再支付费用。</w:t>
      </w:r>
      <w:r>
        <w:rPr>
          <w:rFonts w:hint="eastAsia" w:cs="Times New Roman"/>
          <w:kern w:val="0"/>
          <w:sz w:val="24"/>
          <w:szCs w:val="24"/>
          <w:highlight w:val="none"/>
          <w:lang w:val="en-US" w:eastAsia="zh-CN" w:bidi="ar-SA"/>
        </w:rPr>
        <w:t>对于造成甲方损失的，乙方需赔偿甲方损失。</w:t>
      </w:r>
    </w:p>
    <w:p w14:paraId="0D4A5734">
      <w:pPr>
        <w:pStyle w:val="16"/>
        <w:spacing w:line="360" w:lineRule="auto"/>
        <w:ind w:firstLine="484" w:firstLineChars="200"/>
        <w:jc w:val="left"/>
        <w:rPr>
          <w:rFonts w:hint="eastAsia" w:ascii="Times New Roman" w:hAnsi="Times New Roman" w:eastAsia="宋体" w:cs="Times New Roman"/>
          <w:kern w:val="0"/>
          <w:sz w:val="24"/>
          <w:szCs w:val="24"/>
          <w:highlight w:val="none"/>
          <w:lang w:val="en-US" w:eastAsia="zh-CN" w:bidi="ar-SA"/>
        </w:rPr>
      </w:pPr>
      <w:r>
        <w:rPr>
          <w:rFonts w:hint="default" w:ascii="Calibri" w:hAnsi="Calibri" w:cs="Calibri"/>
          <w:kern w:val="0"/>
          <w:sz w:val="24"/>
          <w:szCs w:val="24"/>
          <w:highlight w:val="none"/>
          <w:lang w:val="en-US" w:eastAsia="zh-CN" w:bidi="ar-SA"/>
        </w:rPr>
        <w:t>③</w:t>
      </w:r>
      <w:r>
        <w:rPr>
          <w:rFonts w:hint="eastAsia" w:ascii="Times New Roman" w:hAnsi="Times New Roman" w:eastAsia="宋体" w:cs="Times New Roman"/>
          <w:kern w:val="0"/>
          <w:sz w:val="24"/>
          <w:szCs w:val="24"/>
          <w:highlight w:val="none"/>
          <w:lang w:val="en-US" w:eastAsia="zh-CN" w:bidi="ar-SA"/>
        </w:rPr>
        <w:t>若因乙方原因导致进入年度考核黑榜，则不得参加下年度投标。</w:t>
      </w:r>
    </w:p>
    <w:p w14:paraId="55F1CFA8">
      <w:pPr>
        <w:pStyle w:val="16"/>
        <w:numPr>
          <w:ilvl w:val="0"/>
          <w:numId w:val="5"/>
        </w:numPr>
        <w:spacing w:line="360" w:lineRule="auto"/>
        <w:ind w:firstLine="413" w:firstLineChars="171"/>
        <w:jc w:val="left"/>
        <w:rPr>
          <w:rFonts w:hint="eastAsia"/>
          <w:sz w:val="24"/>
          <w:szCs w:val="24"/>
          <w:highlight w:val="none"/>
          <w:lang w:val="en-US" w:eastAsia="zh-CN"/>
        </w:rPr>
      </w:pPr>
      <w:r>
        <w:rPr>
          <w:rFonts w:hint="eastAsia"/>
          <w:sz w:val="24"/>
          <w:szCs w:val="24"/>
          <w:highlight w:val="none"/>
          <w:lang w:val="en-US" w:eastAsia="zh-CN"/>
        </w:rPr>
        <w:t>县爱卫办每年4-11月对各个镇（街道）BI（布雷图）指数进行监测评价，对检测结果得分排名，在本年度综合排名为末尾一名的，在支付尾款时扣除中标合同金额中消杀款总金额的5%。</w:t>
      </w:r>
    </w:p>
    <w:p w14:paraId="6A5CE91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Cs/>
          <w:kern w:val="0"/>
          <w:sz w:val="24"/>
          <w:szCs w:val="24"/>
        </w:rPr>
      </w:pPr>
      <w:r>
        <w:rPr>
          <w:rFonts w:hint="eastAsia"/>
          <w:sz w:val="24"/>
          <w:szCs w:val="24"/>
          <w:highlight w:val="none"/>
          <w:lang w:val="en-US" w:eastAsia="zh-CN"/>
        </w:rPr>
        <w:t xml:space="preserve"> 根据上级要求使用相关</w:t>
      </w:r>
      <w:r>
        <w:rPr>
          <w:rFonts w:hint="eastAsia" w:ascii="Times New Roman" w:hAnsi="Times New Roman" w:cs="Times New Roman"/>
          <w:kern w:val="0"/>
          <w:sz w:val="24"/>
          <w:szCs w:val="24"/>
          <w:highlight w:val="none"/>
          <w:lang w:val="en-US" w:eastAsia="zh-CN" w:bidi="ar-SA"/>
        </w:rPr>
        <w:t>应用程序，及时进行作业等数据填报</w:t>
      </w:r>
      <w:r>
        <w:rPr>
          <w:rFonts w:hint="eastAsia" w:ascii="宋体" w:hAnsi="宋体" w:cs="Arial"/>
          <w:bCs/>
          <w:kern w:val="0"/>
          <w:sz w:val="24"/>
          <w:szCs w:val="24"/>
        </w:rPr>
        <w:t>。</w:t>
      </w:r>
    </w:p>
    <w:p w14:paraId="5AD1DDB3">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outlineLvl w:val="1"/>
        <w:rPr>
          <w:rFonts w:hint="eastAsia" w:ascii="宋体" w:hAnsi="宋体" w:cs="Arial"/>
          <w:b/>
          <w:kern w:val="0"/>
          <w:sz w:val="24"/>
          <w:szCs w:val="24"/>
          <w:highlight w:val="none"/>
          <w:lang w:val="en-US" w:eastAsia="zh-CN"/>
        </w:rPr>
      </w:pPr>
      <w:r>
        <w:rPr>
          <w:rFonts w:hint="eastAsia" w:ascii="宋体" w:hAnsi="宋体" w:cs="Arial"/>
          <w:b/>
          <w:kern w:val="0"/>
          <w:sz w:val="24"/>
          <w:szCs w:val="24"/>
          <w:highlight w:val="none"/>
        </w:rPr>
        <w:t>第十</w:t>
      </w:r>
      <w:r>
        <w:rPr>
          <w:rFonts w:hint="eastAsia" w:ascii="宋体" w:hAnsi="宋体" w:cs="Arial"/>
          <w:b/>
          <w:kern w:val="0"/>
          <w:sz w:val="24"/>
          <w:szCs w:val="24"/>
          <w:highlight w:val="none"/>
          <w:lang w:eastAsia="zh-CN"/>
        </w:rPr>
        <w:t>六</w:t>
      </w:r>
      <w:r>
        <w:rPr>
          <w:rFonts w:hint="eastAsia" w:ascii="宋体" w:hAnsi="宋体" w:cs="Arial"/>
          <w:b/>
          <w:kern w:val="0"/>
          <w:sz w:val="24"/>
          <w:szCs w:val="24"/>
          <w:highlight w:val="none"/>
        </w:rPr>
        <w:t>条</w:t>
      </w:r>
      <w:r>
        <w:rPr>
          <w:rFonts w:hint="eastAsia" w:ascii="宋体" w:hAnsi="宋体" w:cs="Arial"/>
          <w:b/>
          <w:kern w:val="0"/>
          <w:sz w:val="24"/>
          <w:szCs w:val="24"/>
          <w:highlight w:val="none"/>
          <w:lang w:val="en-US" w:eastAsia="zh-CN"/>
        </w:rPr>
        <w:t xml:space="preserve"> 风险承担</w:t>
      </w:r>
    </w:p>
    <w:p w14:paraId="03E89266">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1、甲方会同各社区对病媒生物防治服务质量进行全过程监控，乙方工作人员日常工作不到位、不达标、或有违约现象，将依据合同约定，作出相应的违约处理与处罚。</w:t>
      </w:r>
    </w:p>
    <w:p w14:paraId="72581967">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2、乙方未按质量要求执行，甲方可以书面形式提出警告；若情节严重，确认乙方未达到合同规定的质量要求，即时终止合同。</w:t>
      </w:r>
    </w:p>
    <w:p w14:paraId="277D3482">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3、乙方工作人员在岗履行工作职责期间，发生自身的人身伤害、伤亡，由乙方负责处理，并承担经济上和道义上的责任，甲方不承担任何责任。</w:t>
      </w:r>
    </w:p>
    <w:p w14:paraId="523FCCA8">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4、乙方违反国家相关法规，与聘用人员发生纠纷，均由乙方负责调节与处理，甲方不承担任何责任。</w:t>
      </w:r>
    </w:p>
    <w:p w14:paraId="21ECF3F6">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5、乙方在除病媒生物防治服务中违反国家相关法规或行业规范，因过失造成他人人身伤亡的，均由乙方负责处理并承担经济和道义上的责任，甲方不承担任何责任。</w:t>
      </w:r>
    </w:p>
    <w:p w14:paraId="742E1FAA">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outlineLvl w:val="1"/>
        <w:rPr>
          <w:rFonts w:hint="eastAsia" w:ascii="Times New Roman" w:hAnsi="Times New Roman" w:eastAsia="宋体" w:cs="Times New Roman"/>
          <w:b w:val="0"/>
          <w:bCs w:val="0"/>
          <w:sz w:val="24"/>
          <w:szCs w:val="24"/>
          <w:highlight w:val="none"/>
          <w:lang w:val="en-US" w:eastAsia="zh-CN" w:bidi="ar-SA"/>
        </w:rPr>
      </w:pPr>
      <w:r>
        <w:rPr>
          <w:rFonts w:hint="eastAsia"/>
          <w:b/>
          <w:bCs/>
          <w:sz w:val="24"/>
          <w:szCs w:val="24"/>
          <w:highlight w:val="none"/>
          <w:lang w:val="en-US" w:eastAsia="zh-CN"/>
        </w:rPr>
        <w:t xml:space="preserve">第十七条 </w:t>
      </w:r>
      <w:r>
        <w:rPr>
          <w:rFonts w:hint="eastAsia"/>
          <w:b/>
          <w:bCs/>
          <w:sz w:val="24"/>
          <w:szCs w:val="24"/>
          <w:highlight w:val="none"/>
          <w:lang w:eastAsia="zh-CN"/>
        </w:rPr>
        <w:t>相关附件</w:t>
      </w:r>
    </w:p>
    <w:p w14:paraId="6B2C9D40">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1、</w:t>
      </w:r>
      <w:r>
        <w:rPr>
          <w:rFonts w:hint="eastAsia" w:ascii="Times New Roman" w:hAnsi="Times New Roman" w:eastAsia="宋体" w:cs="Times New Roman"/>
          <w:b w:val="0"/>
          <w:bCs w:val="0"/>
          <w:sz w:val="24"/>
          <w:szCs w:val="24"/>
          <w:highlight w:val="none"/>
          <w:lang w:val="en-US" w:eastAsia="zh-CN" w:bidi="ar-SA"/>
        </w:rPr>
        <w:t>现场考核详见</w:t>
      </w:r>
      <w:r>
        <w:rPr>
          <w:rFonts w:hint="eastAsia" w:cs="Times New Roman"/>
          <w:b w:val="0"/>
          <w:bCs w:val="0"/>
          <w:sz w:val="24"/>
          <w:szCs w:val="24"/>
          <w:highlight w:val="none"/>
          <w:lang w:val="en-US" w:eastAsia="zh-CN" w:bidi="ar-SA"/>
        </w:rPr>
        <w:t xml:space="preserve">附件1 </w:t>
      </w:r>
      <w:r>
        <w:rPr>
          <w:rFonts w:hint="eastAsia" w:ascii="Times New Roman" w:hAnsi="Times New Roman" w:eastAsia="宋体" w:cs="Times New Roman"/>
          <w:b w:val="0"/>
          <w:bCs w:val="0"/>
          <w:sz w:val="24"/>
          <w:szCs w:val="24"/>
          <w:highlight w:val="none"/>
          <w:lang w:val="en-US" w:eastAsia="zh-CN" w:bidi="ar-SA"/>
        </w:rPr>
        <w:t>现场考核评估评分标准</w:t>
      </w:r>
      <w:r>
        <w:rPr>
          <w:rFonts w:hint="eastAsia" w:cs="Times New Roman"/>
          <w:b w:val="0"/>
          <w:bCs w:val="0"/>
          <w:sz w:val="24"/>
          <w:szCs w:val="24"/>
          <w:highlight w:val="none"/>
          <w:lang w:val="en-US" w:eastAsia="zh-CN" w:bidi="ar-SA"/>
        </w:rPr>
        <w:t>。</w:t>
      </w:r>
    </w:p>
    <w:p w14:paraId="3D6BC365">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2、</w:t>
      </w:r>
      <w:r>
        <w:rPr>
          <w:rFonts w:hint="default" w:cs="Times New Roman"/>
          <w:b w:val="0"/>
          <w:bCs w:val="0"/>
          <w:sz w:val="24"/>
          <w:szCs w:val="24"/>
          <w:highlight w:val="none"/>
          <w:lang w:val="en-US" w:eastAsia="zh-CN" w:bidi="ar-SA"/>
        </w:rPr>
        <w:t>群众满意度调查</w:t>
      </w:r>
      <w:r>
        <w:rPr>
          <w:rFonts w:hint="eastAsia" w:cs="Times New Roman"/>
          <w:b w:val="0"/>
          <w:bCs w:val="0"/>
          <w:sz w:val="24"/>
          <w:szCs w:val="24"/>
          <w:highlight w:val="none"/>
          <w:lang w:val="en-US" w:eastAsia="zh-CN" w:bidi="ar-SA"/>
        </w:rPr>
        <w:t>见</w:t>
      </w:r>
      <w:r>
        <w:rPr>
          <w:rFonts w:hint="default" w:cs="Times New Roman"/>
          <w:b w:val="0"/>
          <w:bCs w:val="0"/>
          <w:sz w:val="24"/>
          <w:szCs w:val="24"/>
          <w:highlight w:val="none"/>
          <w:lang w:val="en-US" w:eastAsia="zh-CN" w:bidi="ar-SA"/>
        </w:rPr>
        <w:t>附件2病媒生物防制工作消杀服务群众满意度调查表</w:t>
      </w:r>
      <w:r>
        <w:rPr>
          <w:rFonts w:hint="eastAsia" w:cs="Times New Roman"/>
          <w:b w:val="0"/>
          <w:bCs w:val="0"/>
          <w:sz w:val="24"/>
          <w:szCs w:val="24"/>
          <w:highlight w:val="none"/>
          <w:lang w:val="en-US" w:eastAsia="zh-CN" w:bidi="ar-SA"/>
        </w:rPr>
        <w:t>。</w:t>
      </w:r>
    </w:p>
    <w:p w14:paraId="262CCEAC">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3、</w:t>
      </w:r>
      <w:r>
        <w:rPr>
          <w:rFonts w:hint="default" w:cs="Times New Roman"/>
          <w:b w:val="0"/>
          <w:bCs w:val="0"/>
          <w:sz w:val="24"/>
          <w:szCs w:val="24"/>
          <w:highlight w:val="none"/>
          <w:lang w:val="en-US" w:eastAsia="zh-CN" w:bidi="ar-SA"/>
        </w:rPr>
        <w:t>消杀服务现场检查记录</w:t>
      </w:r>
      <w:r>
        <w:rPr>
          <w:rFonts w:hint="eastAsia" w:cs="Times New Roman"/>
          <w:b w:val="0"/>
          <w:bCs w:val="0"/>
          <w:sz w:val="24"/>
          <w:szCs w:val="24"/>
          <w:highlight w:val="none"/>
          <w:lang w:val="en-US" w:eastAsia="zh-CN" w:bidi="ar-SA"/>
        </w:rPr>
        <w:t>见</w:t>
      </w:r>
      <w:r>
        <w:rPr>
          <w:rFonts w:hint="default" w:cs="Times New Roman"/>
          <w:b w:val="0"/>
          <w:bCs w:val="0"/>
          <w:sz w:val="24"/>
          <w:szCs w:val="24"/>
          <w:highlight w:val="none"/>
          <w:lang w:val="en-US" w:eastAsia="zh-CN" w:bidi="ar-SA"/>
        </w:rPr>
        <w:t>附件3 社区公共环境病媒生物防制工作消杀服务现场检查记录表</w:t>
      </w:r>
      <w:r>
        <w:rPr>
          <w:rFonts w:hint="eastAsia" w:cs="Times New Roman"/>
          <w:b w:val="0"/>
          <w:bCs w:val="0"/>
          <w:sz w:val="24"/>
          <w:szCs w:val="24"/>
          <w:highlight w:val="none"/>
          <w:lang w:val="en-US" w:eastAsia="zh-CN" w:bidi="ar-SA"/>
        </w:rPr>
        <w:t>。</w:t>
      </w:r>
    </w:p>
    <w:p w14:paraId="054EDBFC">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4、</w:t>
      </w:r>
      <w:r>
        <w:rPr>
          <w:rFonts w:hint="default" w:cs="Times New Roman"/>
          <w:b w:val="0"/>
          <w:bCs w:val="0"/>
          <w:sz w:val="24"/>
          <w:szCs w:val="24"/>
          <w:highlight w:val="none"/>
          <w:lang w:val="en-US" w:eastAsia="zh-CN" w:bidi="ar-SA"/>
        </w:rPr>
        <w:t>各社区公共卫生环境基本情况</w:t>
      </w:r>
      <w:r>
        <w:rPr>
          <w:rFonts w:hint="eastAsia" w:cs="Times New Roman"/>
          <w:b w:val="0"/>
          <w:bCs w:val="0"/>
          <w:sz w:val="24"/>
          <w:szCs w:val="24"/>
          <w:highlight w:val="none"/>
          <w:lang w:val="en-US" w:eastAsia="zh-CN" w:bidi="ar-SA"/>
        </w:rPr>
        <w:t>见</w:t>
      </w:r>
      <w:r>
        <w:rPr>
          <w:rFonts w:hint="default" w:cs="Times New Roman"/>
          <w:b w:val="0"/>
          <w:bCs w:val="0"/>
          <w:sz w:val="24"/>
          <w:szCs w:val="24"/>
          <w:highlight w:val="none"/>
          <w:lang w:val="en-US" w:eastAsia="zh-CN" w:bidi="ar-SA"/>
        </w:rPr>
        <w:t>附件4 各社区公共卫生环境基本情况表</w:t>
      </w:r>
      <w:r>
        <w:rPr>
          <w:rFonts w:hint="eastAsia" w:cs="Times New Roman"/>
          <w:b w:val="0"/>
          <w:bCs w:val="0"/>
          <w:sz w:val="24"/>
          <w:szCs w:val="24"/>
          <w:highlight w:val="none"/>
          <w:lang w:val="en-US" w:eastAsia="zh-CN" w:bidi="ar-SA"/>
        </w:rPr>
        <w:t>。</w:t>
      </w:r>
    </w:p>
    <w:p w14:paraId="653B3198">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default" w:cs="Times New Roman"/>
          <w:b w:val="0"/>
          <w:bCs w:val="0"/>
          <w:sz w:val="24"/>
          <w:szCs w:val="24"/>
          <w:highlight w:val="none"/>
          <w:lang w:val="en-US" w:eastAsia="zh-CN" w:bidi="ar-SA"/>
        </w:rPr>
      </w:pPr>
      <w:r>
        <w:rPr>
          <w:rFonts w:hint="eastAsia" w:cs="Times New Roman"/>
          <w:b w:val="0"/>
          <w:bCs w:val="0"/>
          <w:sz w:val="24"/>
          <w:szCs w:val="24"/>
          <w:highlight w:val="none"/>
          <w:lang w:val="en-US" w:eastAsia="zh-CN" w:bidi="ar-SA"/>
        </w:rPr>
        <w:t>5、</w:t>
      </w:r>
      <w:r>
        <w:rPr>
          <w:rFonts w:hint="default" w:cs="Times New Roman"/>
          <w:b w:val="0"/>
          <w:bCs w:val="0"/>
          <w:sz w:val="24"/>
          <w:szCs w:val="24"/>
          <w:highlight w:val="none"/>
          <w:lang w:val="en-US" w:eastAsia="zh-CN" w:bidi="ar-SA"/>
        </w:rPr>
        <w:t>西塘桥街道公共厕所明细</w:t>
      </w:r>
      <w:r>
        <w:rPr>
          <w:rFonts w:hint="eastAsia" w:cs="Times New Roman"/>
          <w:b w:val="0"/>
          <w:bCs w:val="0"/>
          <w:sz w:val="24"/>
          <w:szCs w:val="24"/>
          <w:highlight w:val="none"/>
          <w:lang w:val="en-US" w:eastAsia="zh-CN" w:bidi="ar-SA"/>
        </w:rPr>
        <w:t>见</w:t>
      </w:r>
      <w:r>
        <w:rPr>
          <w:rFonts w:hint="default" w:cs="Times New Roman"/>
          <w:b w:val="0"/>
          <w:bCs w:val="0"/>
          <w:sz w:val="24"/>
          <w:szCs w:val="24"/>
          <w:highlight w:val="none"/>
          <w:lang w:val="en-US" w:eastAsia="zh-CN" w:bidi="ar-SA"/>
        </w:rPr>
        <w:t>附件5 西塘桥街道公共厕所明细表</w:t>
      </w:r>
      <w:r>
        <w:rPr>
          <w:rFonts w:hint="eastAsia" w:cs="Times New Roman"/>
          <w:b w:val="0"/>
          <w:bCs w:val="0"/>
          <w:sz w:val="24"/>
          <w:szCs w:val="24"/>
          <w:highlight w:val="none"/>
          <w:lang w:val="en-US" w:eastAsia="zh-CN" w:bidi="ar-SA"/>
        </w:rPr>
        <w:t>。</w:t>
      </w:r>
    </w:p>
    <w:p w14:paraId="6C0A4C3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highlight w:val="none"/>
        </w:rPr>
      </w:pPr>
      <w:r>
        <w:rPr>
          <w:rFonts w:hint="eastAsia" w:ascii="宋体" w:hAnsi="宋体" w:cs="Arial"/>
          <w:b/>
          <w:kern w:val="0"/>
          <w:sz w:val="24"/>
          <w:szCs w:val="24"/>
          <w:highlight w:val="none"/>
        </w:rPr>
        <w:t>第十</w:t>
      </w:r>
      <w:r>
        <w:rPr>
          <w:rFonts w:hint="eastAsia" w:ascii="宋体" w:hAnsi="宋体" w:cs="Arial"/>
          <w:b/>
          <w:kern w:val="0"/>
          <w:sz w:val="24"/>
          <w:szCs w:val="24"/>
          <w:highlight w:val="none"/>
          <w:lang w:val="en-US" w:eastAsia="zh-CN"/>
        </w:rPr>
        <w:t>八</w:t>
      </w:r>
      <w:r>
        <w:rPr>
          <w:rFonts w:hint="eastAsia" w:ascii="宋体" w:hAnsi="宋体" w:cs="Arial"/>
          <w:b/>
          <w:kern w:val="0"/>
          <w:sz w:val="24"/>
          <w:szCs w:val="24"/>
          <w:highlight w:val="none"/>
        </w:rPr>
        <w:t>条 甲方职责</w:t>
      </w:r>
    </w:p>
    <w:p w14:paraId="5128697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rPr>
      </w:pPr>
      <w:r>
        <w:rPr>
          <w:rFonts w:hint="eastAsia" w:hAnsi="宋体"/>
          <w:sz w:val="24"/>
          <w:szCs w:val="24"/>
          <w:highlight w:val="none"/>
        </w:rPr>
        <w:t>1、负责承包范围内公共环境环卫基础设施建设、维护，保持环境清洁卫生。</w:t>
      </w:r>
    </w:p>
    <w:p w14:paraId="4DC9566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rPr>
      </w:pPr>
      <w:r>
        <w:rPr>
          <w:rFonts w:hint="eastAsia" w:hAnsi="宋体"/>
          <w:sz w:val="24"/>
          <w:szCs w:val="24"/>
          <w:highlight w:val="none"/>
        </w:rPr>
        <w:t>2、</w:t>
      </w:r>
      <w:r>
        <w:rPr>
          <w:rFonts w:hint="eastAsia" w:hAnsi="宋体"/>
          <w:sz w:val="24"/>
          <w:szCs w:val="24"/>
          <w:highlight w:val="none"/>
          <w:lang w:val="en-US" w:eastAsia="zh-CN"/>
        </w:rPr>
        <w:t>配合乙方做好对</w:t>
      </w:r>
      <w:r>
        <w:rPr>
          <w:rFonts w:hint="eastAsia" w:hAnsi="宋体"/>
          <w:sz w:val="24"/>
          <w:szCs w:val="24"/>
          <w:highlight w:val="none"/>
        </w:rPr>
        <w:t>社区</w:t>
      </w:r>
      <w:r>
        <w:rPr>
          <w:rFonts w:hint="eastAsia" w:hAnsi="宋体"/>
          <w:sz w:val="24"/>
          <w:szCs w:val="24"/>
          <w:highlight w:val="none"/>
          <w:lang w:eastAsia="zh-CN"/>
        </w:rPr>
        <w:t>、</w:t>
      </w:r>
      <w:r>
        <w:rPr>
          <w:rFonts w:hint="eastAsia" w:hAnsi="宋体"/>
          <w:sz w:val="24"/>
          <w:szCs w:val="24"/>
          <w:highlight w:val="none"/>
        </w:rPr>
        <w:t>居民的病媒生物防制工作的宣传。</w:t>
      </w:r>
    </w:p>
    <w:p w14:paraId="697A155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lang w:val="en-US" w:eastAsia="zh-CN"/>
        </w:rPr>
      </w:pPr>
      <w:r>
        <w:rPr>
          <w:rFonts w:hint="eastAsia" w:hAnsi="宋体"/>
          <w:sz w:val="24"/>
          <w:szCs w:val="24"/>
          <w:highlight w:val="none"/>
        </w:rPr>
        <w:t>3、</w:t>
      </w:r>
      <w:r>
        <w:rPr>
          <w:rFonts w:hint="eastAsia" w:hAnsi="宋体"/>
          <w:sz w:val="24"/>
          <w:szCs w:val="24"/>
          <w:highlight w:val="none"/>
          <w:lang w:val="en-US" w:eastAsia="zh-CN"/>
        </w:rPr>
        <w:t>检查乙方在实施除“病媒生物”消杀服务过程中存在的问题，并督促其整改。</w:t>
      </w:r>
    </w:p>
    <w:p w14:paraId="0C8462D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rPr>
      </w:pPr>
      <w:r>
        <w:rPr>
          <w:rFonts w:hint="eastAsia" w:hAnsi="宋体"/>
          <w:sz w:val="24"/>
          <w:szCs w:val="24"/>
          <w:highlight w:val="none"/>
          <w:lang w:val="en-US" w:eastAsia="zh-CN"/>
        </w:rPr>
        <w:t>4、按规定时间支付相应的消杀款和设备款（除终止协议外）</w:t>
      </w:r>
      <w:r>
        <w:rPr>
          <w:rFonts w:hint="eastAsia" w:hAnsi="宋体"/>
          <w:sz w:val="24"/>
          <w:szCs w:val="24"/>
          <w:highlight w:val="none"/>
        </w:rPr>
        <w:t>。</w:t>
      </w:r>
    </w:p>
    <w:p w14:paraId="17D635D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highlight w:val="none"/>
        </w:rPr>
      </w:pPr>
      <w:r>
        <w:rPr>
          <w:rFonts w:hint="eastAsia" w:ascii="宋体" w:hAnsi="宋体" w:cs="Arial"/>
          <w:b/>
          <w:kern w:val="0"/>
          <w:sz w:val="24"/>
          <w:szCs w:val="24"/>
          <w:highlight w:val="none"/>
        </w:rPr>
        <w:t>第十</w:t>
      </w:r>
      <w:r>
        <w:rPr>
          <w:rFonts w:hint="eastAsia" w:ascii="宋体" w:hAnsi="宋体" w:cs="Arial"/>
          <w:b/>
          <w:kern w:val="0"/>
          <w:sz w:val="24"/>
          <w:szCs w:val="24"/>
          <w:highlight w:val="none"/>
          <w:lang w:val="en-US" w:eastAsia="zh-CN"/>
        </w:rPr>
        <w:t>九</w:t>
      </w:r>
      <w:r>
        <w:rPr>
          <w:rFonts w:hint="eastAsia" w:ascii="宋体" w:hAnsi="宋体" w:cs="Arial"/>
          <w:b/>
          <w:kern w:val="0"/>
          <w:sz w:val="24"/>
          <w:szCs w:val="24"/>
          <w:highlight w:val="none"/>
        </w:rPr>
        <w:t xml:space="preserve">条 </w:t>
      </w:r>
      <w:r>
        <w:rPr>
          <w:rFonts w:hint="eastAsia" w:ascii="宋体" w:hAnsi="宋体" w:cs="Arial"/>
          <w:b/>
          <w:kern w:val="0"/>
          <w:sz w:val="24"/>
          <w:szCs w:val="24"/>
          <w:highlight w:val="none"/>
          <w:lang w:val="en-US" w:eastAsia="zh-CN"/>
        </w:rPr>
        <w:t>乙</w:t>
      </w:r>
      <w:r>
        <w:rPr>
          <w:rFonts w:hint="eastAsia" w:ascii="宋体" w:hAnsi="宋体" w:cs="Arial"/>
          <w:b/>
          <w:kern w:val="0"/>
          <w:sz w:val="24"/>
          <w:szCs w:val="24"/>
          <w:highlight w:val="none"/>
        </w:rPr>
        <w:t>方职责</w:t>
      </w:r>
    </w:p>
    <w:p w14:paraId="7E20863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lang w:val="en-US" w:eastAsia="zh-CN"/>
        </w:rPr>
      </w:pPr>
      <w:r>
        <w:rPr>
          <w:rFonts w:hint="eastAsia" w:hAnsi="宋体"/>
          <w:sz w:val="24"/>
          <w:szCs w:val="24"/>
          <w:highlight w:val="none"/>
          <w:lang w:val="en-US" w:eastAsia="zh-CN"/>
        </w:rPr>
        <w:t>1、严格履行合同，并按合同要求、工程质量、消杀频次、操作规范、安全责任等执行。</w:t>
      </w:r>
    </w:p>
    <w:p w14:paraId="0767F62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lang w:val="en-US" w:eastAsia="zh-CN"/>
        </w:rPr>
      </w:pPr>
      <w:r>
        <w:rPr>
          <w:rFonts w:hint="eastAsia" w:hAnsi="宋体"/>
          <w:sz w:val="24"/>
          <w:szCs w:val="24"/>
          <w:highlight w:val="none"/>
          <w:lang w:val="en-US" w:eastAsia="zh-CN"/>
        </w:rPr>
        <w:t>2、对双方合同实行服务承诺制。乙方如有不符合同要求而被有关主管部门、群众严重投诉等问题存在，或乙方员工出现交通或安全事故，乙方将承担全部责任。</w:t>
      </w:r>
    </w:p>
    <w:p w14:paraId="4184B6D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lang w:val="en-US" w:eastAsia="zh-CN"/>
        </w:rPr>
      </w:pPr>
      <w:r>
        <w:rPr>
          <w:rFonts w:hint="eastAsia" w:hAnsi="宋体"/>
          <w:sz w:val="24"/>
          <w:szCs w:val="24"/>
          <w:highlight w:val="none"/>
          <w:lang w:val="en-US" w:eastAsia="zh-CN"/>
        </w:rPr>
        <w:t>3、乙方具备PCO公司现场质量管理系统，具备打卡和现场操作数据记录，能对具体现场操作进行监管和评估。</w:t>
      </w:r>
    </w:p>
    <w:p w14:paraId="0E65204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lang w:val="en-US" w:eastAsia="zh-CN"/>
        </w:rPr>
      </w:pPr>
      <w:r>
        <w:rPr>
          <w:rFonts w:hint="eastAsia" w:hAnsi="宋体"/>
          <w:sz w:val="24"/>
          <w:szCs w:val="24"/>
          <w:highlight w:val="none"/>
          <w:lang w:val="en-US" w:eastAsia="zh-CN"/>
        </w:rPr>
        <w:t>4、乙方应保证提供服务过程中不会侵犯任何第三方的知识产权。</w:t>
      </w:r>
    </w:p>
    <w:p w14:paraId="74D7B2C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default" w:hAnsi="宋体"/>
          <w:sz w:val="24"/>
          <w:szCs w:val="24"/>
          <w:highlight w:val="none"/>
          <w:lang w:val="en-US" w:eastAsia="zh-CN"/>
        </w:rPr>
      </w:pPr>
      <w:r>
        <w:rPr>
          <w:rFonts w:hint="eastAsia" w:hAnsi="宋体"/>
          <w:sz w:val="24"/>
          <w:szCs w:val="24"/>
          <w:highlight w:val="none"/>
          <w:lang w:val="en-US" w:eastAsia="zh-CN"/>
        </w:rPr>
        <w:t>5、乙方应按合同规定向甲方提供有关技术资料。未经甲方事先书面同意，乙方不得将甲方提供的有关合同条文、规格、计划、图纸、样品或资料提供给与履行本合同无关的任何其他人。即使向履行本合同有关人员提供，也应注意保密并限于履行合同的必需范围。</w:t>
      </w:r>
    </w:p>
    <w:p w14:paraId="6ED57EC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highlight w:val="none"/>
          <w:lang w:val="en-US" w:eastAsia="zh-CN"/>
        </w:rPr>
      </w:pPr>
      <w:r>
        <w:rPr>
          <w:rFonts w:hint="eastAsia" w:ascii="宋体" w:hAnsi="宋体" w:cs="Arial"/>
          <w:b/>
          <w:kern w:val="0"/>
          <w:sz w:val="24"/>
          <w:szCs w:val="24"/>
          <w:highlight w:val="none"/>
        </w:rPr>
        <w:t>第</w:t>
      </w:r>
      <w:r>
        <w:rPr>
          <w:rFonts w:hint="eastAsia" w:ascii="宋体" w:hAnsi="宋体" w:cs="Arial"/>
          <w:b/>
          <w:kern w:val="0"/>
          <w:sz w:val="24"/>
          <w:szCs w:val="24"/>
          <w:highlight w:val="none"/>
          <w:lang w:val="en-US" w:eastAsia="zh-CN"/>
        </w:rPr>
        <w:t>二</w:t>
      </w:r>
      <w:r>
        <w:rPr>
          <w:rFonts w:hint="eastAsia" w:ascii="宋体" w:hAnsi="宋体" w:cs="Arial"/>
          <w:b/>
          <w:kern w:val="0"/>
          <w:sz w:val="24"/>
          <w:szCs w:val="24"/>
          <w:highlight w:val="none"/>
        </w:rPr>
        <w:t xml:space="preserve">十条 </w:t>
      </w:r>
      <w:r>
        <w:rPr>
          <w:rFonts w:hint="eastAsia" w:ascii="宋体" w:hAnsi="宋体" w:cs="Arial"/>
          <w:b/>
          <w:kern w:val="0"/>
          <w:sz w:val="24"/>
          <w:szCs w:val="24"/>
          <w:highlight w:val="none"/>
          <w:lang w:val="en-US" w:eastAsia="zh-CN"/>
        </w:rPr>
        <w:t>合同生效及其它</w:t>
      </w:r>
    </w:p>
    <w:p w14:paraId="10A7CF4C">
      <w:pPr>
        <w:keepNext w:val="0"/>
        <w:keepLines w:val="0"/>
        <w:pageBreakBefore w:val="0"/>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highlight w:val="none"/>
          <w:lang w:val="en-US" w:eastAsia="zh-CN"/>
        </w:rPr>
      </w:pPr>
      <w:r>
        <w:rPr>
          <w:rFonts w:hint="eastAsia" w:hAnsi="宋体"/>
          <w:sz w:val="24"/>
          <w:szCs w:val="24"/>
          <w:highlight w:val="none"/>
          <w:lang w:val="en-US" w:eastAsia="zh-CN"/>
        </w:rPr>
        <w:t>合同经双方法定代表人或授权委托代理人签字并加盖单位公章后生效。</w:t>
      </w:r>
    </w:p>
    <w:p w14:paraId="7AC0D8B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Cs/>
          <w:kern w:val="0"/>
          <w:sz w:val="24"/>
          <w:szCs w:val="24"/>
        </w:rPr>
      </w:pPr>
      <w:r>
        <w:rPr>
          <w:rFonts w:hint="eastAsia" w:hAnsi="宋体"/>
          <w:sz w:val="24"/>
          <w:szCs w:val="24"/>
          <w:highlight w:val="none"/>
          <w:lang w:val="en-US" w:eastAsia="zh-CN"/>
        </w:rPr>
        <w:t>本合同未尽事宜，遵照《中华人民共和国民法典》有关条文执行。</w:t>
      </w:r>
    </w:p>
    <w:p w14:paraId="07138B73">
      <w:pPr>
        <w:pStyle w:val="16"/>
        <w:keepNext w:val="0"/>
        <w:keepLines w:val="0"/>
        <w:pageBreakBefore w:val="0"/>
        <w:kinsoku/>
        <w:wordWrap/>
        <w:overflowPunct/>
        <w:topLinePunct w:val="0"/>
        <w:autoSpaceDE/>
        <w:autoSpaceDN/>
        <w:bidi w:val="0"/>
        <w:adjustRightInd/>
        <w:snapToGrid w:val="0"/>
        <w:spacing w:line="360" w:lineRule="auto"/>
        <w:ind w:left="242" w:leftChars="0" w:hanging="242" w:hangingChars="100"/>
        <w:textAlignment w:val="auto"/>
        <w:rPr>
          <w:rFonts w:hAnsi="宋体"/>
          <w:sz w:val="24"/>
          <w:szCs w:val="24"/>
        </w:rPr>
      </w:pPr>
      <w:r>
        <w:rPr>
          <w:rFonts w:hAnsi="宋体"/>
          <w:sz w:val="24"/>
          <w:szCs w:val="24"/>
        </w:rPr>
        <w:t>甲方：</w:t>
      </w:r>
      <w:r>
        <w:rPr>
          <w:rFonts w:hint="eastAsia" w:hAnsi="宋体"/>
          <w:sz w:val="24"/>
          <w:szCs w:val="24"/>
        </w:rPr>
        <w:t xml:space="preserve">                                </w:t>
      </w:r>
      <w:r>
        <w:rPr>
          <w:rFonts w:hAnsi="宋体"/>
          <w:sz w:val="24"/>
          <w:szCs w:val="24"/>
        </w:rPr>
        <w:t>乙方：</w:t>
      </w:r>
    </w:p>
    <w:p w14:paraId="45CB92DB">
      <w:pPr>
        <w:pStyle w:val="16"/>
        <w:keepNext w:val="0"/>
        <w:keepLines w:val="0"/>
        <w:pageBreakBefore w:val="0"/>
        <w:kinsoku/>
        <w:wordWrap/>
        <w:overflowPunct/>
        <w:topLinePunct w:val="0"/>
        <w:autoSpaceDE/>
        <w:autoSpaceDN/>
        <w:bidi w:val="0"/>
        <w:adjustRightInd/>
        <w:snapToGrid w:val="0"/>
        <w:spacing w:line="360" w:lineRule="auto"/>
        <w:ind w:left="0" w:leftChars="0"/>
        <w:textAlignment w:val="auto"/>
        <w:rPr>
          <w:rFonts w:hAnsi="宋体"/>
          <w:sz w:val="24"/>
          <w:szCs w:val="24"/>
        </w:rPr>
      </w:pPr>
      <w:r>
        <w:rPr>
          <w:rFonts w:hAnsi="宋体"/>
          <w:sz w:val="24"/>
          <w:szCs w:val="24"/>
        </w:rPr>
        <w:t>地址：</w:t>
      </w:r>
      <w:r>
        <w:rPr>
          <w:rFonts w:hint="eastAsia" w:hAnsi="宋体"/>
          <w:sz w:val="24"/>
          <w:szCs w:val="24"/>
        </w:rPr>
        <w:t xml:space="preserve">                                </w:t>
      </w:r>
      <w:r>
        <w:rPr>
          <w:rFonts w:hAnsi="宋体"/>
          <w:sz w:val="24"/>
          <w:szCs w:val="24"/>
        </w:rPr>
        <w:t>地址：</w:t>
      </w:r>
    </w:p>
    <w:p w14:paraId="3C087677">
      <w:pPr>
        <w:pStyle w:val="16"/>
        <w:keepNext w:val="0"/>
        <w:keepLines w:val="0"/>
        <w:pageBreakBefore w:val="0"/>
        <w:kinsoku/>
        <w:wordWrap/>
        <w:overflowPunct/>
        <w:topLinePunct w:val="0"/>
        <w:autoSpaceDE/>
        <w:autoSpaceDN/>
        <w:bidi w:val="0"/>
        <w:adjustRightInd/>
        <w:snapToGrid w:val="0"/>
        <w:spacing w:line="360" w:lineRule="auto"/>
        <w:ind w:left="0" w:leftChars="0"/>
        <w:textAlignment w:val="auto"/>
        <w:rPr>
          <w:rFonts w:hAnsi="宋体"/>
          <w:sz w:val="24"/>
          <w:szCs w:val="24"/>
        </w:rPr>
      </w:pPr>
      <w:r>
        <w:rPr>
          <w:rFonts w:hAnsi="宋体"/>
          <w:sz w:val="24"/>
          <w:szCs w:val="24"/>
        </w:rPr>
        <w:t>法定代表人：</w:t>
      </w:r>
      <w:r>
        <w:rPr>
          <w:rFonts w:hint="eastAsia" w:hAnsi="宋体"/>
          <w:sz w:val="24"/>
          <w:szCs w:val="24"/>
        </w:rPr>
        <w:t xml:space="preserve">                          </w:t>
      </w:r>
      <w:r>
        <w:rPr>
          <w:rFonts w:hAnsi="宋体"/>
          <w:sz w:val="24"/>
          <w:szCs w:val="24"/>
        </w:rPr>
        <w:t>法定代表人</w:t>
      </w:r>
      <w:r>
        <w:rPr>
          <w:rFonts w:hint="eastAsia" w:hAnsi="宋体"/>
          <w:sz w:val="24"/>
          <w:szCs w:val="24"/>
        </w:rPr>
        <w:t>（或授权委托人）</w:t>
      </w:r>
      <w:r>
        <w:rPr>
          <w:rFonts w:hAnsi="宋体"/>
          <w:sz w:val="24"/>
          <w:szCs w:val="24"/>
        </w:rPr>
        <w:t>：</w:t>
      </w:r>
    </w:p>
    <w:p w14:paraId="1A63D2D1">
      <w:pPr>
        <w:pStyle w:val="16"/>
        <w:keepNext w:val="0"/>
        <w:keepLines w:val="0"/>
        <w:pageBreakBefore w:val="0"/>
        <w:kinsoku/>
        <w:wordWrap/>
        <w:overflowPunct/>
        <w:topLinePunct w:val="0"/>
        <w:autoSpaceDE/>
        <w:autoSpaceDN/>
        <w:bidi w:val="0"/>
        <w:adjustRightInd/>
        <w:snapToGrid w:val="0"/>
        <w:spacing w:line="360" w:lineRule="auto"/>
        <w:ind w:left="0" w:leftChars="0"/>
        <w:textAlignment w:val="auto"/>
        <w:rPr>
          <w:rFonts w:hint="eastAsia"/>
          <w:sz w:val="24"/>
          <w:szCs w:val="24"/>
          <w:lang w:val="zh-CN"/>
        </w:rPr>
      </w:pPr>
      <w:r>
        <w:rPr>
          <w:rFonts w:hAnsi="宋体"/>
          <w:sz w:val="24"/>
          <w:szCs w:val="24"/>
        </w:rPr>
        <w:t>签订地点：</w:t>
      </w:r>
      <w:r>
        <w:rPr>
          <w:rFonts w:hint="eastAsia" w:hAnsi="宋体"/>
          <w:sz w:val="24"/>
          <w:szCs w:val="24"/>
        </w:rPr>
        <w:t xml:space="preserve">                            </w:t>
      </w:r>
      <w:r>
        <w:rPr>
          <w:rFonts w:hAnsi="宋体"/>
          <w:sz w:val="24"/>
          <w:szCs w:val="24"/>
        </w:rPr>
        <w:t>签订日期：</w:t>
      </w:r>
      <w:r>
        <w:rPr>
          <w:rFonts w:hint="eastAsia" w:hAnsi="宋体"/>
          <w:sz w:val="24"/>
          <w:szCs w:val="24"/>
        </w:rPr>
        <w:t xml:space="preserve">  </w:t>
      </w:r>
      <w:r>
        <w:rPr>
          <w:rFonts w:hAnsi="宋体"/>
          <w:sz w:val="24"/>
          <w:szCs w:val="24"/>
        </w:rPr>
        <w:t>年</w:t>
      </w:r>
      <w:r>
        <w:rPr>
          <w:rFonts w:hint="eastAsia" w:hAnsi="宋体"/>
          <w:sz w:val="24"/>
          <w:szCs w:val="24"/>
        </w:rPr>
        <w:t xml:space="preserve">   </w:t>
      </w:r>
      <w:r>
        <w:rPr>
          <w:rFonts w:hAnsi="宋体"/>
          <w:sz w:val="24"/>
          <w:szCs w:val="24"/>
        </w:rPr>
        <w:t>月</w:t>
      </w:r>
      <w:r>
        <w:rPr>
          <w:rFonts w:hint="eastAsia" w:hAnsi="宋体"/>
          <w:sz w:val="24"/>
          <w:szCs w:val="24"/>
        </w:rPr>
        <w:t xml:space="preserve">  </w:t>
      </w:r>
      <w:r>
        <w:rPr>
          <w:rFonts w:hAnsi="宋体"/>
          <w:sz w:val="24"/>
          <w:szCs w:val="24"/>
        </w:rPr>
        <w:t>日</w:t>
      </w:r>
    </w:p>
    <w:p w14:paraId="7262A417">
      <w:pPr>
        <w:keepNext w:val="0"/>
        <w:keepLines w:val="0"/>
        <w:pageBreakBefore w:val="0"/>
        <w:kinsoku/>
        <w:wordWrap/>
        <w:overflowPunct/>
        <w:topLinePunct w:val="0"/>
        <w:autoSpaceDE/>
        <w:autoSpaceDN/>
        <w:bidi w:val="0"/>
        <w:adjustRightInd/>
        <w:spacing w:line="360" w:lineRule="auto"/>
        <w:ind w:left="0" w:leftChars="0"/>
        <w:textAlignment w:val="auto"/>
        <w:rPr>
          <w:rFonts w:hint="eastAsia"/>
          <w:sz w:val="32"/>
          <w:szCs w:val="32"/>
          <w:lang w:val="zh-CN"/>
        </w:rPr>
      </w:pPr>
    </w:p>
    <w:p w14:paraId="0F5A0E9D">
      <w:pPr>
        <w:pStyle w:val="14"/>
        <w:rPr>
          <w:rFonts w:hint="eastAsia"/>
          <w:lang w:val="zh-CN"/>
        </w:rPr>
        <w:sectPr>
          <w:pgSz w:w="11850" w:h="16783"/>
          <w:pgMar w:top="1020" w:right="1134" w:bottom="1020" w:left="1134" w:header="851" w:footer="992" w:gutter="0"/>
          <w:cols w:space="720" w:num="1"/>
          <w:docGrid w:type="linesAndChars" w:linePitch="320" w:charSpace="482"/>
        </w:sectPr>
      </w:pPr>
    </w:p>
    <w:tbl>
      <w:tblPr>
        <w:tblStyle w:val="27"/>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14:paraId="0F0DF45C">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0"/>
            <w:vAlign w:val="center"/>
          </w:tcPr>
          <w:p w14:paraId="2E81192F">
            <w:pPr>
              <w:widowControl/>
              <w:jc w:val="center"/>
              <w:rPr>
                <w:rFonts w:ascii="宋体" w:hAnsi="宋体" w:cs="宋体"/>
                <w:b/>
                <w:bCs/>
                <w:kern w:val="0"/>
                <w:sz w:val="48"/>
                <w:szCs w:val="48"/>
              </w:rPr>
            </w:pPr>
            <w:r>
              <w:rPr>
                <w:rFonts w:hint="eastAsia" w:ascii="宋体" w:hAnsi="宋体" w:cs="宋体"/>
                <w:b/>
                <w:bCs/>
                <w:kern w:val="0"/>
                <w:sz w:val="48"/>
                <w:szCs w:val="48"/>
              </w:rPr>
              <w:t>政 府 采 购 项 目 验 收 单</w:t>
            </w:r>
          </w:p>
        </w:tc>
      </w:tr>
      <w:tr w14:paraId="23C113E2">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0E5F5F86">
            <w:pPr>
              <w:widowControl/>
              <w:jc w:val="left"/>
              <w:rPr>
                <w:rFonts w:ascii="宋体" w:hAnsi="宋体" w:cs="宋体"/>
                <w:kern w:val="0"/>
                <w:sz w:val="24"/>
              </w:rPr>
            </w:pPr>
            <w:r>
              <w:rPr>
                <w:rFonts w:hint="eastAsia" w:ascii="宋体" w:hAnsi="宋体" w:cs="宋体"/>
                <w:kern w:val="0"/>
                <w:sz w:val="24"/>
              </w:rPr>
              <w:t xml:space="preserve">按照《政府采购委托汇总确认书》第         号，采购编号：                 ,合同号：             </w:t>
            </w:r>
          </w:p>
        </w:tc>
      </w:tr>
      <w:tr w14:paraId="4B6325FF">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27CED9A7">
            <w:pPr>
              <w:widowControl/>
              <w:jc w:val="left"/>
              <w:rPr>
                <w:rFonts w:ascii="宋体" w:hAnsi="宋体" w:cs="宋体"/>
                <w:kern w:val="0"/>
                <w:sz w:val="26"/>
                <w:szCs w:val="26"/>
              </w:rPr>
            </w:pPr>
            <w:r>
              <w:rPr>
                <w:rFonts w:hint="eastAsia" w:ascii="宋体" w:hAnsi="宋体" w:cs="宋体"/>
                <w:kern w:val="0"/>
                <w:sz w:val="26"/>
                <w:szCs w:val="26"/>
              </w:rPr>
              <w:t>以下项目已采购到位并验收合格。</w:t>
            </w:r>
          </w:p>
        </w:tc>
      </w:tr>
      <w:tr w14:paraId="3BA25E49">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0"/>
            <w:vAlign w:val="center"/>
          </w:tcPr>
          <w:p w14:paraId="4C4D7253">
            <w:pPr>
              <w:widowControl/>
              <w:jc w:val="center"/>
              <w:rPr>
                <w:rFonts w:ascii="宋体" w:hAnsi="宋体" w:cs="宋体"/>
                <w:kern w:val="0"/>
                <w:sz w:val="28"/>
                <w:szCs w:val="28"/>
              </w:rPr>
            </w:pPr>
            <w:r>
              <w:rPr>
                <w:rFonts w:hint="eastAsia" w:ascii="宋体" w:hAnsi="宋体" w:cs="宋体"/>
                <w:kern w:val="0"/>
                <w:sz w:val="28"/>
                <w:szCs w:val="28"/>
              </w:rPr>
              <w:t>采购货物（服务，工程）名称</w:t>
            </w:r>
          </w:p>
        </w:tc>
        <w:tc>
          <w:tcPr>
            <w:tcW w:w="4840" w:type="dxa"/>
            <w:tcBorders>
              <w:top w:val="single" w:color="auto" w:sz="4" w:space="0"/>
              <w:left w:val="nil"/>
              <w:bottom w:val="nil"/>
              <w:right w:val="single" w:color="auto" w:sz="4" w:space="0"/>
            </w:tcBorders>
            <w:noWrap w:val="0"/>
            <w:vAlign w:val="center"/>
          </w:tcPr>
          <w:p w14:paraId="7D23106E">
            <w:pPr>
              <w:widowControl/>
              <w:jc w:val="center"/>
              <w:rPr>
                <w:rFonts w:ascii="宋体" w:hAnsi="宋体" w:cs="宋体"/>
                <w:kern w:val="0"/>
                <w:sz w:val="28"/>
                <w:szCs w:val="28"/>
              </w:rPr>
            </w:pPr>
            <w:r>
              <w:rPr>
                <w:rFonts w:hint="eastAsia" w:ascii="宋体" w:hAnsi="宋体" w:cs="宋体"/>
                <w:kern w:val="0"/>
                <w:sz w:val="28"/>
                <w:szCs w:val="28"/>
              </w:rPr>
              <w:t>规格、型号</w:t>
            </w:r>
          </w:p>
        </w:tc>
        <w:tc>
          <w:tcPr>
            <w:tcW w:w="1280" w:type="dxa"/>
            <w:tcBorders>
              <w:top w:val="single" w:color="auto" w:sz="4" w:space="0"/>
              <w:left w:val="nil"/>
              <w:bottom w:val="nil"/>
              <w:right w:val="single" w:color="auto" w:sz="4" w:space="0"/>
            </w:tcBorders>
            <w:noWrap w:val="0"/>
            <w:vAlign w:val="center"/>
          </w:tcPr>
          <w:p w14:paraId="754905D2">
            <w:pPr>
              <w:widowControl/>
              <w:jc w:val="center"/>
              <w:rPr>
                <w:rFonts w:ascii="宋体" w:hAnsi="宋体" w:cs="宋体"/>
                <w:kern w:val="0"/>
                <w:sz w:val="28"/>
                <w:szCs w:val="28"/>
              </w:rPr>
            </w:pPr>
            <w:r>
              <w:rPr>
                <w:rFonts w:hint="eastAsia" w:ascii="宋体" w:hAnsi="宋体" w:cs="宋体"/>
                <w:kern w:val="0"/>
                <w:sz w:val="28"/>
                <w:szCs w:val="28"/>
              </w:rPr>
              <w:t>数量</w:t>
            </w:r>
          </w:p>
        </w:tc>
        <w:tc>
          <w:tcPr>
            <w:tcW w:w="1600" w:type="dxa"/>
            <w:tcBorders>
              <w:top w:val="single" w:color="auto" w:sz="4" w:space="0"/>
              <w:left w:val="nil"/>
              <w:bottom w:val="nil"/>
              <w:right w:val="single" w:color="auto" w:sz="4" w:space="0"/>
            </w:tcBorders>
            <w:noWrap w:val="0"/>
            <w:vAlign w:val="center"/>
          </w:tcPr>
          <w:p w14:paraId="39E9D99E">
            <w:pPr>
              <w:widowControl/>
              <w:jc w:val="center"/>
              <w:rPr>
                <w:rFonts w:ascii="宋体" w:hAnsi="宋体" w:cs="宋体"/>
                <w:kern w:val="0"/>
                <w:sz w:val="28"/>
                <w:szCs w:val="28"/>
              </w:rPr>
            </w:pPr>
            <w:r>
              <w:rPr>
                <w:rFonts w:hint="eastAsia" w:ascii="宋体" w:hAnsi="宋体" w:cs="宋体"/>
                <w:kern w:val="0"/>
                <w:sz w:val="28"/>
                <w:szCs w:val="28"/>
              </w:rPr>
              <w:t>核定总价</w:t>
            </w:r>
          </w:p>
        </w:tc>
        <w:tc>
          <w:tcPr>
            <w:tcW w:w="1740" w:type="dxa"/>
            <w:tcBorders>
              <w:top w:val="single" w:color="auto" w:sz="4" w:space="0"/>
              <w:left w:val="nil"/>
              <w:bottom w:val="single" w:color="auto" w:sz="4" w:space="0"/>
              <w:right w:val="single" w:color="auto" w:sz="4" w:space="0"/>
            </w:tcBorders>
            <w:noWrap w:val="0"/>
            <w:vAlign w:val="center"/>
          </w:tcPr>
          <w:p w14:paraId="5405C20B">
            <w:pPr>
              <w:widowControl/>
              <w:jc w:val="center"/>
              <w:rPr>
                <w:rFonts w:ascii="宋体" w:hAnsi="宋体" w:cs="宋体"/>
                <w:kern w:val="0"/>
                <w:sz w:val="28"/>
                <w:szCs w:val="28"/>
              </w:rPr>
            </w:pPr>
            <w:r>
              <w:rPr>
                <w:rFonts w:hint="eastAsia" w:ascii="宋体" w:hAnsi="宋体" w:cs="宋体"/>
                <w:kern w:val="0"/>
                <w:sz w:val="28"/>
                <w:szCs w:val="28"/>
              </w:rPr>
              <w:t>采购人</w:t>
            </w:r>
            <w:r>
              <w:rPr>
                <w:rFonts w:hint="eastAsia" w:ascii="宋体" w:hAnsi="宋体" w:cs="宋体"/>
                <w:kern w:val="0"/>
                <w:sz w:val="28"/>
                <w:szCs w:val="28"/>
              </w:rPr>
              <w:br w:type="textWrapping"/>
            </w:r>
            <w:r>
              <w:rPr>
                <w:rFonts w:hint="eastAsia" w:ascii="宋体" w:hAnsi="宋体" w:cs="宋体"/>
                <w:kern w:val="0"/>
                <w:sz w:val="28"/>
                <w:szCs w:val="28"/>
              </w:rPr>
              <w:t>验收意见</w:t>
            </w:r>
          </w:p>
        </w:tc>
      </w:tr>
      <w:tr w14:paraId="146906E6">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14:paraId="1751ACDA">
            <w:pPr>
              <w:widowControl/>
              <w:jc w:val="center"/>
              <w:rPr>
                <w:rFonts w:ascii="宋体" w:hAnsi="宋体" w:cs="宋体"/>
                <w:kern w:val="0"/>
                <w:sz w:val="28"/>
                <w:szCs w:val="28"/>
              </w:rPr>
            </w:pPr>
            <w:r>
              <w:rPr>
                <w:rFonts w:hint="eastAsia" w:ascii="宋体" w:hAnsi="宋体" w:cs="宋体"/>
                <w:kern w:val="0"/>
                <w:sz w:val="28"/>
                <w:szCs w:val="28"/>
              </w:rPr>
              <w:t>　</w:t>
            </w:r>
          </w:p>
        </w:tc>
        <w:tc>
          <w:tcPr>
            <w:tcW w:w="4840" w:type="dxa"/>
            <w:tcBorders>
              <w:top w:val="single" w:color="auto" w:sz="4" w:space="0"/>
              <w:left w:val="nil"/>
              <w:bottom w:val="single" w:color="auto" w:sz="4" w:space="0"/>
              <w:right w:val="single" w:color="auto" w:sz="4" w:space="0"/>
            </w:tcBorders>
            <w:noWrap w:val="0"/>
            <w:vAlign w:val="center"/>
          </w:tcPr>
          <w:p w14:paraId="10159D92">
            <w:pPr>
              <w:widowControl/>
              <w:jc w:val="center"/>
              <w:rPr>
                <w:rFonts w:ascii="宋体" w:hAnsi="宋体" w:cs="宋体"/>
                <w:kern w:val="0"/>
                <w:sz w:val="26"/>
                <w:szCs w:val="26"/>
              </w:rPr>
            </w:pPr>
            <w:r>
              <w:rPr>
                <w:rFonts w:hint="eastAsia" w:ascii="宋体" w:hAnsi="宋体" w:cs="宋体"/>
                <w:kern w:val="0"/>
                <w:sz w:val="26"/>
                <w:szCs w:val="26"/>
              </w:rPr>
              <w:t>　</w:t>
            </w:r>
          </w:p>
        </w:tc>
        <w:tc>
          <w:tcPr>
            <w:tcW w:w="1280" w:type="dxa"/>
            <w:tcBorders>
              <w:top w:val="single" w:color="auto" w:sz="4" w:space="0"/>
              <w:left w:val="nil"/>
              <w:bottom w:val="single" w:color="auto" w:sz="4" w:space="0"/>
              <w:right w:val="single" w:color="auto" w:sz="4" w:space="0"/>
            </w:tcBorders>
            <w:noWrap w:val="0"/>
            <w:vAlign w:val="center"/>
          </w:tcPr>
          <w:p w14:paraId="7882F95B">
            <w:pPr>
              <w:widowControl/>
              <w:jc w:val="center"/>
              <w:rPr>
                <w:rFonts w:ascii="宋体" w:hAnsi="宋体" w:cs="宋体"/>
                <w:kern w:val="0"/>
                <w:sz w:val="26"/>
                <w:szCs w:val="26"/>
              </w:rPr>
            </w:pPr>
            <w:r>
              <w:rPr>
                <w:rFonts w:hint="eastAsia" w:ascii="宋体" w:hAnsi="宋体" w:cs="宋体"/>
                <w:kern w:val="0"/>
                <w:sz w:val="26"/>
                <w:szCs w:val="26"/>
              </w:rPr>
              <w:t>　</w:t>
            </w:r>
          </w:p>
        </w:tc>
        <w:tc>
          <w:tcPr>
            <w:tcW w:w="1600" w:type="dxa"/>
            <w:tcBorders>
              <w:top w:val="single" w:color="auto" w:sz="4" w:space="0"/>
              <w:left w:val="nil"/>
              <w:bottom w:val="single" w:color="auto" w:sz="4" w:space="0"/>
              <w:right w:val="single" w:color="auto" w:sz="4" w:space="0"/>
            </w:tcBorders>
            <w:noWrap w:val="0"/>
            <w:vAlign w:val="center"/>
          </w:tcPr>
          <w:p w14:paraId="1A932DFA">
            <w:pPr>
              <w:widowControl/>
              <w:jc w:val="center"/>
              <w:rPr>
                <w:rFonts w:ascii="宋体" w:hAnsi="宋体" w:cs="宋体"/>
                <w:kern w:val="0"/>
                <w:sz w:val="26"/>
                <w:szCs w:val="26"/>
              </w:rPr>
            </w:pPr>
            <w:r>
              <w:rPr>
                <w:rFonts w:hint="eastAsia" w:ascii="宋体" w:hAnsi="宋体" w:cs="宋体"/>
                <w:kern w:val="0"/>
                <w:sz w:val="26"/>
                <w:szCs w:val="26"/>
              </w:rPr>
              <w:t>　</w:t>
            </w:r>
          </w:p>
        </w:tc>
        <w:tc>
          <w:tcPr>
            <w:tcW w:w="1740" w:type="dxa"/>
            <w:tcBorders>
              <w:top w:val="nil"/>
              <w:left w:val="nil"/>
              <w:bottom w:val="single" w:color="auto" w:sz="4" w:space="0"/>
              <w:right w:val="single" w:color="auto" w:sz="4" w:space="0"/>
            </w:tcBorders>
            <w:noWrap w:val="0"/>
            <w:vAlign w:val="bottom"/>
          </w:tcPr>
          <w:p w14:paraId="32CD92B4">
            <w:pPr>
              <w:widowControl/>
              <w:jc w:val="left"/>
              <w:rPr>
                <w:rFonts w:ascii="宋体" w:hAnsi="宋体" w:cs="宋体"/>
                <w:kern w:val="0"/>
                <w:sz w:val="26"/>
                <w:szCs w:val="26"/>
              </w:rPr>
            </w:pPr>
            <w:r>
              <w:rPr>
                <w:rFonts w:hint="eastAsia" w:ascii="宋体" w:hAnsi="宋体" w:cs="宋体"/>
                <w:kern w:val="0"/>
                <w:sz w:val="26"/>
                <w:szCs w:val="26"/>
              </w:rPr>
              <w:t>　</w:t>
            </w:r>
          </w:p>
        </w:tc>
      </w:tr>
      <w:tr w14:paraId="5EE2464C">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0"/>
            <w:vAlign w:val="center"/>
          </w:tcPr>
          <w:p w14:paraId="5B498435">
            <w:pPr>
              <w:widowControl/>
              <w:jc w:val="center"/>
              <w:rPr>
                <w:rFonts w:ascii="宋体" w:hAnsi="宋体" w:cs="宋体"/>
                <w:kern w:val="0"/>
                <w:sz w:val="26"/>
                <w:szCs w:val="26"/>
              </w:rPr>
            </w:pPr>
            <w:r>
              <w:rPr>
                <w:rFonts w:hint="eastAsia" w:ascii="宋体" w:hAnsi="宋体" w:cs="宋体"/>
                <w:kern w:val="0"/>
                <w:sz w:val="26"/>
                <w:szCs w:val="26"/>
              </w:rPr>
              <w:t>合计总价款（人民币）</w:t>
            </w:r>
          </w:p>
        </w:tc>
        <w:tc>
          <w:tcPr>
            <w:tcW w:w="9460" w:type="dxa"/>
            <w:gridSpan w:val="4"/>
            <w:tcBorders>
              <w:top w:val="nil"/>
              <w:left w:val="nil"/>
              <w:bottom w:val="single" w:color="auto" w:sz="4" w:space="0"/>
              <w:right w:val="single" w:color="000000" w:sz="4" w:space="0"/>
            </w:tcBorders>
            <w:noWrap w:val="0"/>
            <w:vAlign w:val="center"/>
          </w:tcPr>
          <w:p w14:paraId="09C646ED">
            <w:pPr>
              <w:widowControl/>
              <w:jc w:val="left"/>
              <w:rPr>
                <w:rFonts w:ascii="宋体" w:hAnsi="宋体" w:cs="宋体"/>
                <w:kern w:val="0"/>
                <w:sz w:val="26"/>
                <w:szCs w:val="26"/>
              </w:rPr>
            </w:pPr>
            <w:r>
              <w:rPr>
                <w:rFonts w:hint="eastAsia" w:ascii="宋体" w:hAnsi="宋体" w:cs="宋体"/>
                <w:kern w:val="0"/>
                <w:sz w:val="26"/>
                <w:szCs w:val="26"/>
              </w:rPr>
              <w:t>人民币</w:t>
            </w:r>
            <w:r>
              <w:rPr>
                <w:rFonts w:hint="eastAsia" w:ascii="宋体" w:hAnsi="宋体" w:cs="宋体"/>
                <w:kern w:val="0"/>
                <w:sz w:val="26"/>
                <w:szCs w:val="26"/>
                <w:u w:val="single"/>
              </w:rPr>
              <w:t xml:space="preserve">                 </w:t>
            </w:r>
            <w:r>
              <w:rPr>
                <w:rFonts w:hint="eastAsia" w:ascii="宋体" w:hAnsi="宋体" w:cs="宋体"/>
                <w:kern w:val="0"/>
                <w:sz w:val="26"/>
                <w:szCs w:val="26"/>
              </w:rPr>
              <w:t xml:space="preserve">元整。       ￥: </w:t>
            </w:r>
            <w:r>
              <w:rPr>
                <w:rFonts w:hint="eastAsia" w:ascii="宋体" w:hAnsi="宋体" w:cs="宋体"/>
                <w:kern w:val="0"/>
                <w:sz w:val="26"/>
                <w:szCs w:val="26"/>
                <w:u w:val="single"/>
              </w:rPr>
              <w:t xml:space="preserve">             </w:t>
            </w:r>
          </w:p>
        </w:tc>
      </w:tr>
      <w:tr w14:paraId="63ADB828">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0"/>
            <w:vAlign w:val="bottom"/>
          </w:tcPr>
          <w:p w14:paraId="7D76838E">
            <w:pPr>
              <w:widowControl/>
              <w:jc w:val="left"/>
              <w:rPr>
                <w:rFonts w:ascii="宋体" w:hAnsi="宋体" w:cs="宋体"/>
                <w:kern w:val="0"/>
                <w:sz w:val="24"/>
              </w:rPr>
            </w:pPr>
            <w:r>
              <w:rPr>
                <w:rFonts w:hint="eastAsia" w:ascii="宋体" w:hAnsi="宋体" w:cs="宋体"/>
                <w:kern w:val="0"/>
                <w:sz w:val="24"/>
              </w:rPr>
              <w:t>供货单位（盖章）：</w:t>
            </w:r>
          </w:p>
        </w:tc>
        <w:tc>
          <w:tcPr>
            <w:tcW w:w="4840" w:type="dxa"/>
            <w:tcBorders>
              <w:top w:val="nil"/>
              <w:left w:val="nil"/>
              <w:bottom w:val="nil"/>
              <w:right w:val="nil"/>
            </w:tcBorders>
            <w:noWrap w:val="0"/>
            <w:vAlign w:val="bottom"/>
          </w:tcPr>
          <w:p w14:paraId="48D0DE09">
            <w:pPr>
              <w:widowControl/>
              <w:jc w:val="right"/>
              <w:rPr>
                <w:rFonts w:ascii="宋体" w:hAnsi="宋体" w:eastAsia="黑体" w:cs="宋体"/>
                <w:b/>
                <w:bCs/>
                <w:kern w:val="0"/>
                <w:sz w:val="24"/>
              </w:rPr>
            </w:pPr>
            <w:r>
              <w:rPr>
                <w:rFonts w:hint="eastAsia" w:ascii="宋体" w:hAnsi="宋体" w:cs="宋体"/>
                <w:kern w:val="0"/>
                <w:sz w:val="24"/>
              </w:rPr>
              <w:t>采购人（盖章）:</w:t>
            </w:r>
          </w:p>
        </w:tc>
        <w:tc>
          <w:tcPr>
            <w:tcW w:w="2880" w:type="dxa"/>
            <w:gridSpan w:val="2"/>
            <w:tcBorders>
              <w:top w:val="nil"/>
              <w:left w:val="nil"/>
              <w:bottom w:val="nil"/>
              <w:right w:val="nil"/>
            </w:tcBorders>
            <w:noWrap w:val="0"/>
            <w:vAlign w:val="bottom"/>
          </w:tcPr>
          <w:p w14:paraId="5A1E3F06">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14:paraId="6A60D3E5">
            <w:pPr>
              <w:widowControl/>
              <w:jc w:val="left"/>
              <w:rPr>
                <w:rFonts w:ascii="宋体" w:hAnsi="宋体" w:cs="宋体"/>
                <w:kern w:val="0"/>
                <w:sz w:val="24"/>
              </w:rPr>
            </w:pPr>
            <w:r>
              <w:rPr>
                <w:rFonts w:hint="eastAsia" w:ascii="宋体" w:hAnsi="宋体" w:cs="宋体"/>
                <w:kern w:val="0"/>
                <w:sz w:val="24"/>
              </w:rPr>
              <w:t>　</w:t>
            </w:r>
          </w:p>
        </w:tc>
      </w:tr>
      <w:tr w14:paraId="5B9B63A5">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10B3F9B0">
            <w:pPr>
              <w:widowControl/>
              <w:jc w:val="left"/>
              <w:rPr>
                <w:rFonts w:ascii="宋体" w:hAnsi="宋体" w:cs="宋体"/>
                <w:kern w:val="0"/>
                <w:sz w:val="24"/>
              </w:rPr>
            </w:pPr>
            <w:r>
              <w:rPr>
                <w:rFonts w:hint="eastAsia" w:ascii="宋体" w:hAnsi="宋体" w:cs="宋体"/>
                <w:kern w:val="0"/>
                <w:sz w:val="24"/>
              </w:rPr>
              <w:t>经办项目负责人：</w:t>
            </w:r>
          </w:p>
        </w:tc>
        <w:tc>
          <w:tcPr>
            <w:tcW w:w="4840" w:type="dxa"/>
            <w:tcBorders>
              <w:top w:val="nil"/>
              <w:left w:val="nil"/>
              <w:bottom w:val="nil"/>
              <w:right w:val="nil"/>
            </w:tcBorders>
            <w:noWrap w:val="0"/>
            <w:vAlign w:val="bottom"/>
          </w:tcPr>
          <w:p w14:paraId="0DEB8318">
            <w:pPr>
              <w:widowControl/>
              <w:jc w:val="right"/>
              <w:rPr>
                <w:rFonts w:ascii="宋体" w:hAnsi="宋体" w:cs="宋体"/>
                <w:kern w:val="0"/>
                <w:sz w:val="24"/>
              </w:rPr>
            </w:pPr>
            <w:r>
              <w:rPr>
                <w:rFonts w:hint="eastAsia" w:ascii="宋体" w:hAnsi="宋体" w:cs="宋体"/>
                <w:kern w:val="0"/>
                <w:sz w:val="24"/>
              </w:rPr>
              <w:t>项目验收组组长：</w:t>
            </w:r>
          </w:p>
        </w:tc>
        <w:tc>
          <w:tcPr>
            <w:tcW w:w="2880" w:type="dxa"/>
            <w:gridSpan w:val="2"/>
            <w:tcBorders>
              <w:top w:val="nil"/>
              <w:left w:val="nil"/>
              <w:bottom w:val="nil"/>
              <w:right w:val="nil"/>
            </w:tcBorders>
            <w:noWrap w:val="0"/>
            <w:vAlign w:val="bottom"/>
          </w:tcPr>
          <w:p w14:paraId="666B79D3">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14:paraId="6020278F">
            <w:pPr>
              <w:widowControl/>
              <w:jc w:val="left"/>
              <w:rPr>
                <w:rFonts w:ascii="宋体" w:hAnsi="宋体" w:cs="宋体"/>
                <w:kern w:val="0"/>
                <w:sz w:val="24"/>
              </w:rPr>
            </w:pPr>
            <w:r>
              <w:rPr>
                <w:rFonts w:hint="eastAsia" w:ascii="宋体" w:hAnsi="宋体" w:cs="宋体"/>
                <w:kern w:val="0"/>
                <w:sz w:val="24"/>
              </w:rPr>
              <w:t>　</w:t>
            </w:r>
          </w:p>
        </w:tc>
      </w:tr>
      <w:tr w14:paraId="48919526">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7A83E83F">
            <w:pPr>
              <w:widowControl/>
              <w:jc w:val="left"/>
              <w:rPr>
                <w:rFonts w:ascii="宋体" w:hAnsi="宋体" w:cs="宋体"/>
                <w:kern w:val="0"/>
                <w:sz w:val="24"/>
              </w:rPr>
            </w:pPr>
            <w:r>
              <w:rPr>
                <w:rFonts w:hint="eastAsia" w:ascii="宋体" w:hAnsi="宋体" w:cs="宋体"/>
                <w:kern w:val="0"/>
                <w:sz w:val="24"/>
              </w:rPr>
              <w:t>联系电话：</w:t>
            </w:r>
          </w:p>
        </w:tc>
        <w:tc>
          <w:tcPr>
            <w:tcW w:w="4840" w:type="dxa"/>
            <w:tcBorders>
              <w:top w:val="nil"/>
              <w:left w:val="nil"/>
              <w:bottom w:val="nil"/>
              <w:right w:val="nil"/>
            </w:tcBorders>
            <w:noWrap w:val="0"/>
            <w:vAlign w:val="bottom"/>
          </w:tcPr>
          <w:p w14:paraId="366B077B">
            <w:pPr>
              <w:widowControl/>
              <w:jc w:val="right"/>
              <w:rPr>
                <w:rFonts w:ascii="宋体" w:hAnsi="宋体" w:cs="宋体"/>
                <w:kern w:val="0"/>
                <w:sz w:val="24"/>
              </w:rPr>
            </w:pPr>
            <w:r>
              <w:rPr>
                <w:rFonts w:hint="eastAsia" w:ascii="宋体" w:hAnsi="宋体" w:cs="宋体"/>
                <w:kern w:val="0"/>
                <w:sz w:val="24"/>
              </w:rPr>
              <w:t>联系电话：</w:t>
            </w:r>
          </w:p>
        </w:tc>
        <w:tc>
          <w:tcPr>
            <w:tcW w:w="2880" w:type="dxa"/>
            <w:gridSpan w:val="2"/>
            <w:tcBorders>
              <w:top w:val="nil"/>
              <w:left w:val="nil"/>
              <w:bottom w:val="nil"/>
              <w:right w:val="nil"/>
            </w:tcBorders>
            <w:noWrap w:val="0"/>
            <w:vAlign w:val="bottom"/>
          </w:tcPr>
          <w:p w14:paraId="5C2C5D51">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14:paraId="32F22E8D">
            <w:pPr>
              <w:widowControl/>
              <w:jc w:val="left"/>
              <w:rPr>
                <w:rFonts w:ascii="宋体" w:hAnsi="宋体" w:cs="宋体"/>
                <w:kern w:val="0"/>
                <w:sz w:val="24"/>
              </w:rPr>
            </w:pPr>
            <w:r>
              <w:rPr>
                <w:rFonts w:hint="eastAsia" w:ascii="宋体" w:hAnsi="宋体" w:cs="宋体"/>
                <w:kern w:val="0"/>
                <w:sz w:val="24"/>
              </w:rPr>
              <w:t>　</w:t>
            </w:r>
          </w:p>
        </w:tc>
      </w:tr>
      <w:tr w14:paraId="71701A82">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0"/>
            <w:vAlign w:val="bottom"/>
          </w:tcPr>
          <w:p w14:paraId="75BBAE96">
            <w:pPr>
              <w:widowControl/>
              <w:jc w:val="left"/>
              <w:rPr>
                <w:rFonts w:ascii="宋体" w:hAnsi="宋体" w:cs="宋体"/>
                <w:kern w:val="0"/>
                <w:sz w:val="24"/>
              </w:rPr>
            </w:pPr>
            <w:r>
              <w:rPr>
                <w:rFonts w:hint="eastAsia" w:ascii="宋体" w:hAnsi="宋体" w:cs="宋体"/>
                <w:kern w:val="0"/>
                <w:sz w:val="24"/>
              </w:rPr>
              <w:t>开户银行：</w:t>
            </w:r>
          </w:p>
        </w:tc>
        <w:tc>
          <w:tcPr>
            <w:tcW w:w="4840" w:type="dxa"/>
            <w:tcBorders>
              <w:top w:val="nil"/>
              <w:left w:val="nil"/>
              <w:bottom w:val="nil"/>
              <w:right w:val="nil"/>
            </w:tcBorders>
            <w:noWrap w:val="0"/>
            <w:vAlign w:val="bottom"/>
          </w:tcPr>
          <w:p w14:paraId="245FD340">
            <w:pPr>
              <w:widowControl/>
              <w:jc w:val="right"/>
              <w:rPr>
                <w:rFonts w:ascii="宋体" w:hAnsi="宋体" w:cs="宋体"/>
                <w:kern w:val="0"/>
                <w:sz w:val="24"/>
              </w:rPr>
            </w:pPr>
            <w:r>
              <w:rPr>
                <w:rFonts w:hint="eastAsia" w:ascii="宋体" w:hAnsi="宋体" w:cs="宋体"/>
                <w:kern w:val="0"/>
                <w:sz w:val="24"/>
              </w:rPr>
              <w:t>项目验收组成员（签名）：</w:t>
            </w:r>
          </w:p>
        </w:tc>
        <w:tc>
          <w:tcPr>
            <w:tcW w:w="2880" w:type="dxa"/>
            <w:gridSpan w:val="2"/>
            <w:tcBorders>
              <w:top w:val="nil"/>
              <w:left w:val="nil"/>
              <w:bottom w:val="nil"/>
              <w:right w:val="nil"/>
            </w:tcBorders>
            <w:noWrap w:val="0"/>
            <w:vAlign w:val="bottom"/>
          </w:tcPr>
          <w:p w14:paraId="7CBBBC43">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14:paraId="53C93A17">
            <w:pPr>
              <w:widowControl/>
              <w:jc w:val="left"/>
              <w:rPr>
                <w:rFonts w:ascii="宋体" w:hAnsi="宋体" w:cs="宋体"/>
                <w:kern w:val="0"/>
                <w:sz w:val="24"/>
              </w:rPr>
            </w:pPr>
            <w:r>
              <w:rPr>
                <w:rFonts w:hint="eastAsia" w:ascii="宋体" w:hAnsi="宋体" w:cs="宋体"/>
                <w:kern w:val="0"/>
                <w:sz w:val="24"/>
              </w:rPr>
              <w:t>　</w:t>
            </w:r>
          </w:p>
        </w:tc>
      </w:tr>
      <w:tr w14:paraId="46D05169">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0"/>
            <w:vAlign w:val="center"/>
          </w:tcPr>
          <w:p w14:paraId="34E25373">
            <w:pPr>
              <w:widowControl/>
              <w:rPr>
                <w:rFonts w:ascii="宋体" w:hAnsi="宋体" w:cs="宋体"/>
                <w:kern w:val="0"/>
                <w:sz w:val="24"/>
              </w:rPr>
            </w:pPr>
            <w:r>
              <w:rPr>
                <w:rFonts w:hint="eastAsia" w:ascii="宋体" w:hAnsi="宋体" w:cs="宋体"/>
                <w:kern w:val="0"/>
                <w:sz w:val="24"/>
              </w:rPr>
              <w:t>银行帐号：</w:t>
            </w:r>
          </w:p>
        </w:tc>
        <w:tc>
          <w:tcPr>
            <w:tcW w:w="4840" w:type="dxa"/>
            <w:tcBorders>
              <w:top w:val="nil"/>
              <w:left w:val="nil"/>
              <w:bottom w:val="single" w:color="auto" w:sz="4" w:space="0"/>
              <w:right w:val="nil"/>
            </w:tcBorders>
            <w:noWrap w:val="0"/>
            <w:vAlign w:val="bottom"/>
          </w:tcPr>
          <w:p w14:paraId="7AC95368">
            <w:pPr>
              <w:widowControl/>
              <w:jc w:val="left"/>
              <w:rPr>
                <w:rFonts w:ascii="宋体" w:hAnsi="宋体" w:cs="宋体"/>
                <w:kern w:val="0"/>
                <w:sz w:val="24"/>
              </w:rPr>
            </w:pPr>
            <w:r>
              <w:rPr>
                <w:rFonts w:hint="eastAsia" w:ascii="宋体" w:hAnsi="宋体" w:cs="宋体"/>
                <w:kern w:val="0"/>
                <w:sz w:val="24"/>
              </w:rPr>
              <w:t>　</w:t>
            </w:r>
          </w:p>
        </w:tc>
        <w:tc>
          <w:tcPr>
            <w:tcW w:w="4620" w:type="dxa"/>
            <w:gridSpan w:val="3"/>
            <w:tcBorders>
              <w:top w:val="nil"/>
              <w:left w:val="nil"/>
              <w:bottom w:val="single" w:color="auto" w:sz="4" w:space="0"/>
              <w:right w:val="single" w:color="000000" w:sz="4" w:space="0"/>
            </w:tcBorders>
            <w:noWrap w:val="0"/>
            <w:vAlign w:val="center"/>
          </w:tcPr>
          <w:p w14:paraId="2D435993">
            <w:pPr>
              <w:widowControl/>
              <w:rPr>
                <w:rFonts w:ascii="宋体" w:hAnsi="宋体" w:cs="宋体"/>
                <w:kern w:val="0"/>
                <w:sz w:val="24"/>
              </w:rPr>
            </w:pPr>
            <w:r>
              <w:rPr>
                <w:rFonts w:hint="eastAsia" w:ascii="宋体" w:hAnsi="宋体" w:cs="宋体"/>
                <w:kern w:val="0"/>
                <w:sz w:val="24"/>
              </w:rPr>
              <w:t>验收时间：       年     月     日</w:t>
            </w:r>
          </w:p>
        </w:tc>
      </w:tr>
      <w:tr w14:paraId="02B542F2">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0"/>
            <w:vAlign w:val="center"/>
          </w:tcPr>
          <w:p w14:paraId="60F9E981">
            <w:pPr>
              <w:widowControl/>
              <w:jc w:val="center"/>
              <w:rPr>
                <w:rFonts w:ascii="宋体" w:hAnsi="宋体" w:cs="宋体"/>
                <w:kern w:val="0"/>
                <w:sz w:val="22"/>
                <w:szCs w:val="22"/>
              </w:rPr>
            </w:pPr>
            <w:r>
              <w:rPr>
                <w:rFonts w:hint="eastAsia" w:ascii="宋体" w:hAnsi="宋体" w:cs="宋体"/>
                <w:kern w:val="0"/>
                <w:sz w:val="22"/>
                <w:szCs w:val="22"/>
              </w:rPr>
              <w:t>本单一式五联：第一联采购人留存，第二联作为财政支付凭证，第三联供货单位留存，第四联采购机构存档备查，第五联采购办存档备查。</w:t>
            </w:r>
          </w:p>
        </w:tc>
      </w:tr>
    </w:tbl>
    <w:p w14:paraId="329705E0">
      <w:pPr>
        <w:pStyle w:val="14"/>
        <w:tabs>
          <w:tab w:val="left" w:pos="900"/>
        </w:tabs>
        <w:rPr>
          <w:rFonts w:hint="eastAsia"/>
        </w:rPr>
        <w:sectPr>
          <w:pgSz w:w="16783" w:h="11850" w:orient="landscape"/>
          <w:pgMar w:top="1134" w:right="1020" w:bottom="1134" w:left="1020" w:header="851" w:footer="992" w:gutter="0"/>
          <w:cols w:space="720" w:num="1"/>
          <w:docGrid w:type="linesAndChars" w:linePitch="320" w:charSpace="482"/>
        </w:sectPr>
      </w:pPr>
    </w:p>
    <w:p w14:paraId="54DB1296">
      <w:pPr>
        <w:pStyle w:val="3"/>
        <w:keepNext w:val="0"/>
        <w:keepLines w:val="0"/>
        <w:pageBreakBefore/>
        <w:spacing w:beforeLines="100" w:afterLines="100" w:line="240" w:lineRule="auto"/>
        <w:jc w:val="center"/>
        <w:rPr>
          <w:rFonts w:ascii="Arial" w:hAnsi="Arial" w:cs="Arial"/>
          <w:sz w:val="28"/>
          <w:szCs w:val="36"/>
        </w:rPr>
      </w:pPr>
      <w:r>
        <w:rPr>
          <w:rFonts w:hint="eastAsia" w:ascii="Arial" w:hAnsi="Arial" w:cs="Arial"/>
          <w:color w:val="auto"/>
          <w:sz w:val="28"/>
          <w:szCs w:val="36"/>
          <w:highlight w:val="none"/>
        </w:rPr>
        <w:t>第五部分</w:t>
      </w:r>
      <w:r>
        <w:rPr>
          <w:rFonts w:hint="eastAsia" w:ascii="Arial" w:hAnsi="Arial" w:cs="Arial"/>
          <w:color w:val="auto"/>
          <w:sz w:val="28"/>
          <w:szCs w:val="36"/>
          <w:highlight w:val="none"/>
          <w:lang w:val="en-US" w:eastAsia="zh-CN"/>
        </w:rPr>
        <w:t xml:space="preserve"> </w:t>
      </w:r>
      <w:r>
        <w:rPr>
          <w:rFonts w:hint="eastAsia" w:ascii="Arial" w:hAnsi="Arial" w:cs="Arial"/>
          <w:color w:val="auto"/>
          <w:sz w:val="28"/>
          <w:szCs w:val="36"/>
          <w:highlight w:val="none"/>
        </w:rPr>
        <w:t>竞争性</w:t>
      </w:r>
      <w:r>
        <w:rPr>
          <w:rFonts w:hint="eastAsia" w:ascii="Arial" w:hAnsi="Arial" w:cs="Arial"/>
          <w:sz w:val="28"/>
          <w:szCs w:val="36"/>
        </w:rPr>
        <w:t>磋商评定办法</w:t>
      </w:r>
      <w:bookmarkEnd w:id="12"/>
    </w:p>
    <w:p w14:paraId="229BCB92">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根据《中华人民共和国政府采购法》和本项目竞争性磋商文件，按照公平、公正、科学、择优的原则选择成交单位，特制定本办法。</w:t>
      </w:r>
    </w:p>
    <w:p w14:paraId="2A76D1CD">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
          <w:bCs/>
          <w:kern w:val="28"/>
          <w:szCs w:val="21"/>
        </w:rPr>
      </w:pPr>
      <w:r>
        <w:rPr>
          <w:rFonts w:hint="default" w:ascii="Times New Roman" w:hAnsi="Times New Roman" w:cs="Times New Roman"/>
          <w:b/>
          <w:bCs/>
          <w:kern w:val="28"/>
          <w:szCs w:val="21"/>
        </w:rPr>
        <w:t>一、 评定原则</w:t>
      </w:r>
    </w:p>
    <w:p w14:paraId="3A0B9036">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评审工作遵循公平、公正、民主、科学的原则和诚实、信誉、效率的服务原则。本着科学、严谨的态度，认真进行评审，择优选定服务单位。确保服务质量，节约投资，最大限度的保护当事人权益，严格按照竞争性磋商文件的商务、技术要求，对竞争性磋商响应文件进行综合评定，编写评标报告。评定人员必须严格遵守保密规定，不得泄漏评定的有关情况，不得索贿受贿，不得接受吃请和礼品，不得参加影响公正评标的有关活动。供应商不得以任何方式干扰采购工作的进行，一经发现其竞争性磋商响应文件将被拒绝。</w:t>
      </w:r>
    </w:p>
    <w:p w14:paraId="67C573A2">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
          <w:bCs/>
          <w:kern w:val="28"/>
          <w:szCs w:val="21"/>
        </w:rPr>
      </w:pPr>
      <w:r>
        <w:rPr>
          <w:rFonts w:hint="default" w:ascii="Times New Roman" w:hAnsi="Times New Roman" w:cs="Times New Roman"/>
          <w:b/>
          <w:bCs/>
          <w:kern w:val="28"/>
          <w:szCs w:val="21"/>
        </w:rPr>
        <w:t>二、评标组织</w:t>
      </w:r>
    </w:p>
    <w:p w14:paraId="6E954C48">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开标后，采购人代表或招标代理机构首先对竞争性磋商响应文件进行资格性检查，凡供应商资格不符合竞争性磋商文件要求；竞争性磋商响应文件实质性内容和格式严重不符合有关规定或不响应竞争性磋商文件要求者，经竞争性磋商小组认定作为无效投标，不再进入后续竞争性磋商。</w:t>
      </w:r>
    </w:p>
    <w:p w14:paraId="0E8BF5F2">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经资格性检查，竞争性磋商期间出现符合专业条件的供应商或者对竞争性磋商文件作出实质响应的供应商（有效供应商）不足三家，或供应商的报价均超过采购预算，按政府采购法律法规有关规定，依法继续进行或转为其它政府采购方式进行采购，或宣布本次招标失败，重新组织招标。</w:t>
      </w:r>
    </w:p>
    <w:p w14:paraId="1A55AD3D">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
          <w:szCs w:val="21"/>
        </w:rPr>
      </w:pPr>
      <w:r>
        <w:rPr>
          <w:rFonts w:hint="default" w:ascii="Times New Roman" w:hAnsi="Times New Roman" w:cs="Times New Roman"/>
          <w:b/>
          <w:szCs w:val="21"/>
        </w:rPr>
        <w:t>三、磋商流程</w:t>
      </w:r>
    </w:p>
    <w:p w14:paraId="376134EB">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1</w:t>
      </w:r>
      <w:r>
        <w:rPr>
          <w:rFonts w:hint="eastAsia" w:ascii="Times New Roman" w:hAnsi="Times New Roman" w:cs="Times New Roman"/>
          <w:bCs/>
          <w:kern w:val="28"/>
          <w:szCs w:val="21"/>
          <w:lang w:val="en-US" w:eastAsia="zh-CN"/>
        </w:rPr>
        <w:t>.</w:t>
      </w:r>
      <w:r>
        <w:rPr>
          <w:rFonts w:hint="default" w:ascii="Times New Roman" w:hAnsi="Times New Roman" w:cs="Times New Roman"/>
          <w:bCs/>
          <w:kern w:val="28"/>
          <w:szCs w:val="21"/>
        </w:rPr>
        <w:t>主持人宣布磋商的有关事项；</w:t>
      </w:r>
    </w:p>
    <w:p w14:paraId="2276E302">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bookmarkStart w:id="13" w:name="_Toc182848998"/>
      <w:r>
        <w:rPr>
          <w:rFonts w:hint="default" w:ascii="Times New Roman" w:hAnsi="Times New Roman" w:cs="Times New Roman"/>
          <w:bCs/>
          <w:kern w:val="28"/>
          <w:szCs w:val="21"/>
        </w:rPr>
        <w:t>2</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工作人员</w:t>
      </w:r>
      <w:bookmarkEnd w:id="13"/>
      <w:r>
        <w:rPr>
          <w:rFonts w:hint="default" w:ascii="Times New Roman" w:hAnsi="Times New Roman" w:cs="Times New Roman"/>
          <w:bCs/>
          <w:kern w:val="28"/>
          <w:szCs w:val="21"/>
        </w:rPr>
        <w:t>开启磋商响应文件，供应商应在收到解密提示后30分钟内解密；</w:t>
      </w:r>
    </w:p>
    <w:p w14:paraId="27811403">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3</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磋商小组对所提交的磋商响应资信及商务、技术文件进行审查，审查结束后，由主持人在线公布无效磋商响应方名单、磋商响应无效的原因、标项废标情况；</w:t>
      </w:r>
    </w:p>
    <w:p w14:paraId="688CC644">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4</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磋商小组视情况与各磋商响应方就公司情况、项目需求、售后服务、价格构成、供货时间、付款方式等要素分别进行磋商。逐家磋商一次为一个轮次，磋商轮次由磋商小组视情况决定。</w:t>
      </w:r>
    </w:p>
    <w:p w14:paraId="11457FBE">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5</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结束后，主持人宣布本次最终报价的最高限价，并要求各磋商响应方在规定时间（30分钟）内进行最终报价。在规定时间内没有提交最终报价的磋商供应商，视为放弃第二轮报价，其最终报价按上一轮报价为准（供应商明确放弃投标的情况除外）。</w:t>
      </w:r>
    </w:p>
    <w:p w14:paraId="75DB228C">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6</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磋商小组根据评审方法对各磋商响应方的资信及商务、技术情况进行评审打分。系统按照磋商小组独立评定结果进行算术平均值计算。</w:t>
      </w:r>
    </w:p>
    <w:p w14:paraId="1CCDA7E2">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7</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主持人宣布磋商最终报价评审的有关事项。</w:t>
      </w:r>
    </w:p>
    <w:p w14:paraId="4C1C0473">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8</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磋商结束后，系统公布有效磋商响应方的总得分结果和推荐的中标候选人。</w:t>
      </w:r>
    </w:p>
    <w:p w14:paraId="3888AB2D">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9</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790AB5F">
      <w:pPr>
        <w:keepNext w:val="0"/>
        <w:keepLines w:val="0"/>
        <w:pageBreakBefore w:val="0"/>
        <w:widowControl w:val="0"/>
        <w:kinsoku/>
        <w:wordWrap/>
        <w:overflowPunct/>
        <w:topLinePunct w:val="0"/>
        <w:autoSpaceDE/>
        <w:autoSpaceDN/>
        <w:bidi w:val="0"/>
        <w:adjustRightInd/>
        <w:snapToGrid/>
        <w:spacing w:line="360" w:lineRule="auto"/>
        <w:ind w:firstLine="418" w:firstLineChars="196"/>
        <w:jc w:val="both"/>
        <w:textAlignment w:val="auto"/>
        <w:outlineLvl w:val="9"/>
        <w:rPr>
          <w:rFonts w:hint="default" w:ascii="Times New Roman" w:hAnsi="Times New Roman" w:cs="Times New Roman"/>
          <w:b/>
          <w:bCs/>
          <w:szCs w:val="21"/>
          <w:highlight w:val="none"/>
        </w:rPr>
      </w:pPr>
      <w:bookmarkStart w:id="14" w:name="_Toc423610067"/>
      <w:bookmarkStart w:id="15" w:name="_Toc11298"/>
      <w:bookmarkStart w:id="16" w:name="_Toc27912"/>
      <w:r>
        <w:rPr>
          <w:rFonts w:hint="default" w:ascii="Times New Roman" w:hAnsi="Times New Roman" w:cs="Times New Roman"/>
          <w:b/>
          <w:bCs/>
          <w:szCs w:val="21"/>
          <w:highlight w:val="none"/>
        </w:rPr>
        <w:t>四、竞争性磋商评标办法</w:t>
      </w:r>
      <w:bookmarkEnd w:id="14"/>
      <w:bookmarkEnd w:id="15"/>
      <w:bookmarkEnd w:id="16"/>
    </w:p>
    <w:p w14:paraId="1F57328A">
      <w:pPr>
        <w:keepNext w:val="0"/>
        <w:keepLines w:val="0"/>
        <w:pageBreakBefore w:val="0"/>
        <w:kinsoku/>
        <w:wordWrap/>
        <w:overflowPunct/>
        <w:topLinePunct w:val="0"/>
        <w:autoSpaceDE/>
        <w:autoSpaceDN/>
        <w:bidi w:val="0"/>
        <w:adjustRightInd/>
        <w:snapToGrid/>
        <w:spacing w:line="360" w:lineRule="auto"/>
        <w:ind w:firstLine="420"/>
        <w:textAlignment w:val="auto"/>
        <w:outlineLvl w:val="9"/>
        <w:rPr>
          <w:rFonts w:hint="default" w:ascii="Times New Roman" w:hAnsi="Times New Roman" w:cs="Times New Roman"/>
          <w:szCs w:val="21"/>
        </w:rPr>
      </w:pPr>
      <w:bookmarkStart w:id="17" w:name="_Toc26970"/>
      <w:bookmarkStart w:id="18" w:name="_Toc31540"/>
      <w:bookmarkStart w:id="19" w:name="_Toc423610068"/>
      <w:r>
        <w:rPr>
          <w:rFonts w:hint="default" w:ascii="Times New Roman" w:hAnsi="Times New Roman" w:cs="Times New Roman"/>
          <w:szCs w:val="21"/>
        </w:rPr>
        <w:t>（一）本评标办法采用百分制综合评估法。</w:t>
      </w:r>
      <w:r>
        <w:rPr>
          <w:rFonts w:hint="default" w:ascii="Times New Roman" w:hAnsi="Times New Roman" w:cs="Times New Roman"/>
          <w:szCs w:val="21"/>
          <w:lang w:val="en-US" w:eastAsia="zh-CN"/>
        </w:rPr>
        <w:t>总分100分，</w:t>
      </w:r>
      <w:r>
        <w:rPr>
          <w:rFonts w:hint="default" w:ascii="Times New Roman" w:hAnsi="Times New Roman" w:cs="Times New Roman"/>
          <w:szCs w:val="21"/>
          <w:highlight w:val="none"/>
          <w:lang w:val="en-US" w:eastAsia="zh-CN"/>
        </w:rPr>
        <w:t>其中</w:t>
      </w:r>
      <w:r>
        <w:rPr>
          <w:rFonts w:hint="default" w:ascii="Times New Roman" w:hAnsi="Times New Roman" w:cs="Times New Roman"/>
          <w:szCs w:val="21"/>
          <w:highlight w:val="none"/>
        </w:rPr>
        <w:t>资信技术</w:t>
      </w:r>
      <w:r>
        <w:rPr>
          <w:rFonts w:hint="eastAsia" w:cs="Times New Roman"/>
          <w:szCs w:val="21"/>
          <w:highlight w:val="none"/>
          <w:lang w:val="en-US" w:eastAsia="zh-CN"/>
        </w:rPr>
        <w:t>90</w:t>
      </w:r>
      <w:r>
        <w:rPr>
          <w:rFonts w:hint="default" w:ascii="Times New Roman" w:hAnsi="Times New Roman" w:cs="Times New Roman"/>
          <w:szCs w:val="21"/>
          <w:highlight w:val="none"/>
        </w:rPr>
        <w:t>分，报价</w:t>
      </w:r>
      <w:r>
        <w:rPr>
          <w:rFonts w:hint="eastAsia" w:cs="Times New Roman"/>
          <w:szCs w:val="21"/>
          <w:highlight w:val="none"/>
          <w:lang w:val="en-US" w:eastAsia="zh-CN"/>
        </w:rPr>
        <w:t>10</w:t>
      </w:r>
      <w:r>
        <w:rPr>
          <w:rFonts w:hint="default" w:ascii="Times New Roman" w:hAnsi="Times New Roman" w:cs="Times New Roman"/>
          <w:szCs w:val="21"/>
          <w:highlight w:val="none"/>
        </w:rPr>
        <w:t>分。</w:t>
      </w:r>
      <w:r>
        <w:rPr>
          <w:rFonts w:hint="default" w:ascii="Times New Roman" w:hAnsi="Times New Roman" w:cs="Times New Roman"/>
          <w:szCs w:val="21"/>
        </w:rPr>
        <w:t>最大限度地满足采购需求中规定的各项综合评价标准且综合得分最高的投标人，将被推荐为排序第一的中标候选人。</w:t>
      </w:r>
      <w:bookmarkEnd w:id="17"/>
      <w:bookmarkEnd w:id="18"/>
      <w:bookmarkEnd w:id="19"/>
    </w:p>
    <w:p w14:paraId="5197025C">
      <w:pPr>
        <w:keepNext w:val="0"/>
        <w:keepLines w:val="0"/>
        <w:pageBreakBefore w:val="0"/>
        <w:widowControl w:val="0"/>
        <w:kinsoku/>
        <w:wordWrap/>
        <w:overflowPunct/>
        <w:topLinePunct w:val="0"/>
        <w:autoSpaceDE/>
        <w:autoSpaceDN/>
        <w:bidi w:val="0"/>
        <w:adjustRightInd/>
        <w:snapToGrid/>
        <w:spacing w:line="360" w:lineRule="auto"/>
        <w:ind w:firstLine="313" w:firstLineChars="147"/>
        <w:jc w:val="both"/>
        <w:textAlignment w:val="auto"/>
        <w:outlineLvl w:val="9"/>
        <w:rPr>
          <w:rFonts w:hint="default" w:ascii="Times New Roman" w:hAnsi="Times New Roman" w:cs="Times New Roman"/>
          <w:szCs w:val="21"/>
        </w:rPr>
      </w:pPr>
      <w:bookmarkStart w:id="20" w:name="_Toc19850"/>
      <w:bookmarkStart w:id="21" w:name="_Toc32438"/>
      <w:bookmarkStart w:id="22" w:name="_Toc423610113"/>
      <w:r>
        <w:rPr>
          <w:rFonts w:hint="default" w:ascii="Times New Roman" w:hAnsi="Times New Roman" w:cs="Times New Roman"/>
          <w:szCs w:val="21"/>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技术资信部分的最终得分（四舍五入，保留小数点后二位）。下述评分项缺项按0分计。</w:t>
      </w:r>
      <w:bookmarkEnd w:id="20"/>
      <w:bookmarkEnd w:id="21"/>
    </w:p>
    <w:bookmarkEnd w:id="22"/>
    <w:p w14:paraId="53BACDA8">
      <w:pPr>
        <w:keepNext w:val="0"/>
        <w:keepLines w:val="0"/>
        <w:pageBreakBefore w:val="0"/>
        <w:tabs>
          <w:tab w:val="left" w:pos="0"/>
        </w:tabs>
        <w:kinsoku/>
        <w:wordWrap/>
        <w:overflowPunct/>
        <w:topLinePunct w:val="0"/>
        <w:autoSpaceDE/>
        <w:autoSpaceDN/>
        <w:bidi w:val="0"/>
        <w:spacing w:line="360" w:lineRule="auto"/>
        <w:ind w:firstLine="428" w:firstLineChars="200"/>
        <w:textAlignment w:val="auto"/>
        <w:rPr>
          <w:rFonts w:hint="eastAsia" w:ascii="宋体" w:hAnsi="宋体" w:cs="宋体"/>
          <w:b/>
          <w:color w:val="000000"/>
          <w:szCs w:val="21"/>
          <w:highlight w:val="none"/>
        </w:rPr>
      </w:pPr>
      <w:bookmarkStart w:id="23" w:name="_Toc22781"/>
      <w:bookmarkStart w:id="24" w:name="_Toc32402"/>
      <w:r>
        <w:rPr>
          <w:rFonts w:hint="eastAsia" w:ascii="宋体" w:hAnsi="宋体" w:cs="宋体"/>
          <w:b/>
          <w:color w:val="000000"/>
          <w:szCs w:val="21"/>
          <w:highlight w:val="none"/>
        </w:rPr>
        <w:t>（一）价格部分（</w:t>
      </w:r>
      <w:r>
        <w:rPr>
          <w:rFonts w:hint="eastAsia" w:ascii="宋体" w:hAnsi="宋体" w:cs="宋体"/>
          <w:b/>
          <w:color w:val="000000"/>
          <w:szCs w:val="21"/>
          <w:highlight w:val="none"/>
          <w:lang w:val="en-US" w:eastAsia="zh-CN"/>
        </w:rPr>
        <w:t>20</w:t>
      </w:r>
      <w:r>
        <w:rPr>
          <w:rFonts w:hint="eastAsia" w:ascii="宋体" w:hAnsi="宋体" w:cs="宋体"/>
          <w:b/>
          <w:color w:val="000000"/>
          <w:szCs w:val="21"/>
          <w:highlight w:val="none"/>
        </w:rPr>
        <w:t>分）</w:t>
      </w:r>
    </w:p>
    <w:p w14:paraId="14B6EC27">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cs="宋体"/>
          <w:bCs/>
          <w:color w:val="000000"/>
          <w:szCs w:val="21"/>
        </w:rPr>
      </w:pPr>
      <w:r>
        <w:rPr>
          <w:rFonts w:hint="eastAsia" w:ascii="宋体" w:hAnsi="宋体" w:cs="宋体"/>
          <w:bCs/>
          <w:color w:val="000000"/>
          <w:szCs w:val="21"/>
          <w:lang w:val="en-US" w:eastAsia="zh-CN"/>
        </w:rPr>
        <w:t>1、</w:t>
      </w:r>
      <w:r>
        <w:rPr>
          <w:rFonts w:hint="eastAsia" w:ascii="宋体" w:hAnsi="宋体" w:cs="宋体"/>
          <w:b/>
          <w:bCs w:val="0"/>
          <w:color w:val="000000"/>
          <w:szCs w:val="21"/>
        </w:rPr>
        <w:t>报价分</w:t>
      </w:r>
      <w:r>
        <w:rPr>
          <w:rFonts w:hint="eastAsia" w:ascii="宋体" w:hAnsi="宋体" w:cs="宋体"/>
          <w:bCs/>
          <w:color w:val="000000"/>
          <w:szCs w:val="21"/>
        </w:rPr>
        <w:t>采用低价优先法计算，即满足磋商文件要求且最终报价最低的</w:t>
      </w:r>
      <w:r>
        <w:rPr>
          <w:rFonts w:hint="eastAsia" w:ascii="宋体" w:hAnsi="宋体" w:cs="宋体"/>
          <w:b/>
          <w:bCs w:val="0"/>
          <w:color w:val="000000"/>
          <w:szCs w:val="21"/>
        </w:rPr>
        <w:t>报价</w:t>
      </w:r>
      <w:r>
        <w:rPr>
          <w:rFonts w:hint="eastAsia" w:ascii="宋体" w:hAnsi="宋体" w:cs="宋体"/>
          <w:bCs/>
          <w:color w:val="000000"/>
          <w:szCs w:val="21"/>
        </w:rPr>
        <w:t>为评标基准价，得满分</w:t>
      </w:r>
      <w:r>
        <w:rPr>
          <w:rFonts w:hint="eastAsia" w:ascii="宋体" w:hAnsi="宋体" w:cs="宋体"/>
          <w:bCs/>
          <w:color w:val="000000"/>
          <w:szCs w:val="21"/>
          <w:lang w:val="en-US" w:eastAsia="zh-CN"/>
        </w:rPr>
        <w:t>20</w:t>
      </w:r>
      <w:r>
        <w:rPr>
          <w:rFonts w:hint="eastAsia" w:ascii="宋体" w:hAnsi="宋体" w:cs="宋体"/>
          <w:bCs/>
          <w:color w:val="000000"/>
          <w:szCs w:val="21"/>
        </w:rPr>
        <w:t>分，其他响应供应商的价格分按照下列公式计算：</w:t>
      </w:r>
      <w:r>
        <w:rPr>
          <w:rFonts w:hint="eastAsia" w:ascii="宋体" w:hAnsi="宋体" w:cs="宋体"/>
          <w:b/>
          <w:bCs w:val="0"/>
          <w:color w:val="000000"/>
          <w:szCs w:val="21"/>
        </w:rPr>
        <w:t>价格分</w:t>
      </w:r>
      <w:r>
        <w:rPr>
          <w:rFonts w:hint="eastAsia" w:ascii="宋体" w:hAnsi="宋体" w:cs="宋体"/>
          <w:bCs/>
          <w:color w:val="000000"/>
          <w:szCs w:val="21"/>
        </w:rPr>
        <w:t>=（评标基准价/</w:t>
      </w:r>
      <w:r>
        <w:rPr>
          <w:rFonts w:hint="eastAsia" w:ascii="宋体" w:hAnsi="宋体" w:cs="宋体"/>
          <w:b/>
          <w:bCs w:val="0"/>
          <w:color w:val="000000"/>
          <w:szCs w:val="21"/>
        </w:rPr>
        <w:t>投标报价</w:t>
      </w:r>
      <w:r>
        <w:rPr>
          <w:rFonts w:hint="eastAsia" w:ascii="宋体" w:hAnsi="宋体" w:cs="宋体"/>
          <w:bCs/>
          <w:color w:val="000000"/>
          <w:szCs w:val="21"/>
        </w:rPr>
        <w:t>）×</w:t>
      </w:r>
      <w:r>
        <w:rPr>
          <w:rFonts w:hint="eastAsia" w:ascii="宋体" w:hAnsi="宋体" w:cs="宋体"/>
          <w:bCs/>
          <w:color w:val="000000"/>
          <w:szCs w:val="21"/>
          <w:lang w:val="en-US" w:eastAsia="zh-CN"/>
        </w:rPr>
        <w:t>20</w:t>
      </w:r>
      <w:r>
        <w:rPr>
          <w:rFonts w:hint="eastAsia" w:ascii="宋体" w:hAnsi="宋体" w:cs="宋体"/>
          <w:bCs/>
          <w:color w:val="000000"/>
          <w:szCs w:val="21"/>
        </w:rPr>
        <w:t>。</w:t>
      </w:r>
    </w:p>
    <w:p w14:paraId="4CCE68EA">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cs="宋体"/>
          <w:bCs/>
          <w:color w:val="000000"/>
          <w:szCs w:val="21"/>
          <w:lang w:val="zh-CN"/>
        </w:rPr>
      </w:pPr>
      <w:r>
        <w:rPr>
          <w:rFonts w:hint="eastAsia" w:ascii="宋体" w:hAnsi="宋体" w:cs="宋体"/>
          <w:bCs/>
          <w:color w:val="000000"/>
          <w:szCs w:val="21"/>
          <w:lang w:val="zh-CN"/>
        </w:rPr>
        <w:t>报价的合理性：分析总报价及各个分项报价是否合理，报价范围是否完整，有否重大错漏项，磋商小组认为投标报价出现异常时，有权要求响应供应商在磋商期间对投标报价的详细组成等事项作出解释和澄清，并确认其投标报价是否有效。</w:t>
      </w:r>
    </w:p>
    <w:p w14:paraId="1A1AC8FB">
      <w:pPr>
        <w:numPr>
          <w:ilvl w:val="0"/>
          <w:numId w:val="0"/>
        </w:numPr>
        <w:spacing w:line="400" w:lineRule="exact"/>
        <w:ind w:firstLine="428" w:firstLineChars="200"/>
        <w:rPr>
          <w:rFonts w:hint="eastAsia" w:ascii="宋体" w:hAnsi="宋体" w:cs="宋体"/>
          <w:b/>
          <w:bCs/>
          <w:color w:val="000000"/>
          <w:szCs w:val="21"/>
          <w:highlight w:val="yellow"/>
        </w:rPr>
      </w:pP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二</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rPr>
        <w:t>资信技术分（</w:t>
      </w:r>
      <w:r>
        <w:rPr>
          <w:rFonts w:hint="eastAsia" w:ascii="宋体" w:hAnsi="宋体" w:cs="宋体"/>
          <w:b/>
          <w:bCs/>
          <w:color w:val="000000"/>
          <w:szCs w:val="21"/>
          <w:highlight w:val="none"/>
          <w:lang w:val="en-US" w:eastAsia="zh-CN"/>
        </w:rPr>
        <w:t>80</w:t>
      </w:r>
      <w:r>
        <w:rPr>
          <w:rFonts w:hint="eastAsia" w:ascii="宋体" w:hAnsi="宋体" w:cs="宋体"/>
          <w:b/>
          <w:bCs/>
          <w:color w:val="000000"/>
          <w:szCs w:val="21"/>
          <w:highlight w:val="none"/>
        </w:rPr>
        <w:t>分）</w:t>
      </w:r>
    </w:p>
    <w:tbl>
      <w:tblPr>
        <w:tblStyle w:val="2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796"/>
        <w:gridCol w:w="6539"/>
      </w:tblGrid>
      <w:tr w14:paraId="6211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365F6E72">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359092F">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69E9A2EB">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分值</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7DED7F9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评分标准</w:t>
            </w:r>
          </w:p>
        </w:tc>
      </w:tr>
      <w:tr w14:paraId="5522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B0EA9E2">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3DAE5A16">
            <w:pPr>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资质证书情况</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3D6848A3">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79465F88">
            <w:pPr>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投标人具有注册或服务所在地卫生主管部门备案的确认书且同时具有市级及以上病媒生物消杀专业机构资质证书甲级的得1分，乙级不得分；有国家有害生物防制服务机构服务能力证书A级和有市级有害生物防制服务机构服务能力证书特级各加1分。</w:t>
            </w:r>
          </w:p>
          <w:p w14:paraId="1BE43620">
            <w:pPr>
              <w:numPr>
                <w:ilvl w:val="0"/>
                <w:numId w:val="0"/>
              </w:numP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注：以投标文件所附备案确认书、资质证书复印件为评分依据。</w:t>
            </w:r>
          </w:p>
        </w:tc>
      </w:tr>
      <w:tr w14:paraId="6CFE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E81AA09">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1E57B16A">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从业人员持证上岗</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30A377A0">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0-3分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0D7F000C">
            <w:pPr>
              <w:numPr>
                <w:ilvl w:val="0"/>
                <w:numId w:val="0"/>
              </w:numPr>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须固定3名消杀人员，拟派作业人员持有职业鉴定技术中心颁发或浙江省“除四害”科技协会颁发的培训合格证，每一个得1分，最高3分。</w:t>
            </w:r>
          </w:p>
          <w:p w14:paraId="2501AD53">
            <w:pPr>
              <w:numPr>
                <w:ilvl w:val="0"/>
                <w:numId w:val="0"/>
              </w:numPr>
              <w:jc w:val="both"/>
              <w:rPr>
                <w:rFonts w:hint="default"/>
                <w:sz w:val="24"/>
                <w:szCs w:val="24"/>
                <w:highlight w:val="none"/>
                <w:lang w:val="en-US" w:eastAsia="zh-CN"/>
              </w:rPr>
            </w:pPr>
            <w:r>
              <w:rPr>
                <w:rFonts w:hint="eastAsia" w:ascii="宋体" w:hAnsi="宋体" w:eastAsia="宋体" w:cs="宋体"/>
                <w:color w:val="000000"/>
                <w:sz w:val="24"/>
                <w:szCs w:val="24"/>
                <w:highlight w:val="none"/>
                <w:lang w:val="en-US" w:eastAsia="zh-CN"/>
              </w:rPr>
              <w:t>注：以投标文件所附从业人员上岗证、近6个月在职社保缴纳证明材料复印件为评分依据；若作业人员为退休返聘人员，提供1月前意外险复印件为评分依据，每片区消杀人员重复不得分。</w:t>
            </w:r>
          </w:p>
        </w:tc>
      </w:tr>
      <w:tr w14:paraId="5481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513FA0EE">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28E987CB">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项目管理人员</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11D7CCD4">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0-3分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417EA131">
            <w:pPr>
              <w:numPr>
                <w:ilvl w:val="0"/>
                <w:numId w:val="0"/>
              </w:numPr>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项目管理人员具有中级及以上“有害生物防制员”证书，从事本专业工作5年以上工作经验的得3分，从事本专业工作3年以上5年以下的得2分，低于3年的得1分。</w:t>
            </w:r>
          </w:p>
          <w:p w14:paraId="10BC543B">
            <w:pPr>
              <w:numPr>
                <w:ilvl w:val="0"/>
                <w:numId w:val="0"/>
              </w:numPr>
              <w:jc w:val="both"/>
              <w:rPr>
                <w:rFonts w:hint="default"/>
                <w:sz w:val="24"/>
                <w:szCs w:val="24"/>
                <w:highlight w:val="none"/>
                <w:lang w:val="en-US" w:eastAsia="zh-CN"/>
              </w:rPr>
            </w:pPr>
            <w:r>
              <w:rPr>
                <w:rFonts w:hint="eastAsia" w:ascii="宋体" w:hAnsi="宋体" w:eastAsia="宋体" w:cs="宋体"/>
                <w:color w:val="000000"/>
                <w:sz w:val="24"/>
                <w:szCs w:val="24"/>
                <w:highlight w:val="none"/>
                <w:lang w:val="en-US" w:eastAsia="zh-CN"/>
              </w:rPr>
              <w:t>注：以项目管理人员从业上岗证、近6个月在职社保缴纳证明材料复印件为依据。</w:t>
            </w:r>
          </w:p>
        </w:tc>
      </w:tr>
      <w:tr w14:paraId="4766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F3B0839">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5F09A459">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投标人综合实力</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7DB0A6B1">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0-3分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57D3FAD4">
            <w:pPr>
              <w:numPr>
                <w:ilvl w:val="0"/>
                <w:numId w:val="0"/>
              </w:numPr>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依据投标人提供相关资料关于政府国卫创建巩固、病媒生物创建、登革热应急消杀等指令性任务、配合社区参加各项公益活动等进行评定。</w:t>
            </w:r>
          </w:p>
        </w:tc>
      </w:tr>
      <w:tr w14:paraId="1F21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232D1CDD">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579B3D7B">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服务业绩</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FAD28A7">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0-2分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0D868F70">
            <w:pPr>
              <w:numPr>
                <w:ilvl w:val="0"/>
                <w:numId w:val="0"/>
              </w:numPr>
              <w:jc w:val="both"/>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根据投标提供2021年1月1日至今已完成的政府公共环境项目案例，提供合同复印件，每个得1分，最高2分；需提供合同复印件（以签订合同时间为准，提供合同复印件）</w:t>
            </w:r>
          </w:p>
        </w:tc>
      </w:tr>
      <w:tr w14:paraId="04EF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A775EE3">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3A523663">
            <w:pPr>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技术方案</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044BC5A0">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0-25分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632A9A80">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（1）社区、建筑、外环境的特点认识情况（6-10分）依据投标文件所体现的相关内容，横向比较后进行评分。各投标文件所附外环境调查报告横向比较后进行评分。</w:t>
            </w:r>
          </w:p>
          <w:p w14:paraId="6B26D31A">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（2）防治对象、种类、孳生地调查、密度监测控制方法（0-5分）依据投标文件所体现的相关内容，横向比较后进行评分。</w:t>
            </w:r>
          </w:p>
          <w:p w14:paraId="3E2EC8C5">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（3）技术方案的可操作性情况（0-5分）各投标文件所附技术方案横向比较后进行评分。</w:t>
            </w:r>
          </w:p>
          <w:p w14:paraId="0EB14BC3">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（4）选择药物的合理性，对不同环境的用药措施及方法的可行性（0-3分）</w:t>
            </w:r>
          </w:p>
          <w:p w14:paraId="5AF4FF25">
            <w:pPr>
              <w:numPr>
                <w:ilvl w:val="0"/>
                <w:numId w:val="0"/>
              </w:numPr>
              <w:jc w:val="both"/>
              <w:rPr>
                <w:rFonts w:hint="eastAsia"/>
                <w:sz w:val="24"/>
                <w:szCs w:val="24"/>
                <w:highlight w:val="none"/>
                <w:lang w:val="en-US" w:eastAsia="zh-CN"/>
              </w:rPr>
            </w:pPr>
            <w:r>
              <w:rPr>
                <w:rFonts w:hint="eastAsia" w:ascii="宋体" w:hAnsi="宋体" w:cs="宋体"/>
                <w:color w:val="000000"/>
                <w:sz w:val="24"/>
                <w:szCs w:val="24"/>
                <w:highlight w:val="none"/>
                <w:lang w:val="en-US" w:eastAsia="zh-CN"/>
              </w:rPr>
              <w:t>（5）所采取的技术和方法对外环境的适应情况（0-2分）</w:t>
            </w:r>
          </w:p>
        </w:tc>
      </w:tr>
      <w:tr w14:paraId="79EF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E774E77">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88B5AEC">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实施方案</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70C05A9E">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0-20分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3A3A8C9E">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（1）对完成病媒生物防制工作总体思路是否正确，实施细则是否完善（0-5分）</w:t>
            </w:r>
          </w:p>
          <w:p w14:paraId="7B19CD32">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（2）对病媒生物防制工作特点的认识情况（0-3分）</w:t>
            </w:r>
          </w:p>
          <w:p w14:paraId="5405F6AA">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（3）对每种害虫防治的周期安排是否合理（0-4分）</w:t>
            </w:r>
          </w:p>
          <w:p w14:paraId="407179E1">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（4）对每种害虫密度监测计划安排、监测方法是否科学合理（0-3分）</w:t>
            </w:r>
          </w:p>
          <w:p w14:paraId="5440AB05">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（5）人员组织和设备安排是否合理（0-5分）</w:t>
            </w:r>
          </w:p>
        </w:tc>
      </w:tr>
      <w:tr w14:paraId="5E36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A624056">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0A66A1D3">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设施设备</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B1858E9">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0-5分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314720BE">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（1）配备超低容量喷雾器1台得0.5分，每增加1台增加0.5分，本项目最高得2分，（0-2分）</w:t>
            </w:r>
          </w:p>
          <w:p w14:paraId="0C656B74">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（2）配备热烟雾机1台的得1分，每增加1台增加1分，本项最多得2分，没有不得分（0-2分）</w:t>
            </w:r>
          </w:p>
          <w:p w14:paraId="2C436FB6">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（3）配备工具车1辆，没有不得分（0-1分）</w:t>
            </w:r>
          </w:p>
          <w:p w14:paraId="4E74D57A">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注：以上设备须为自有设备，须提供相关设备采购发票及采购合同、车辆行驶证，不提供不得分。  </w:t>
            </w:r>
          </w:p>
        </w:tc>
      </w:tr>
      <w:tr w14:paraId="63C4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7B88881">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8BECC3D">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人员、安全、质量管理制度</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3C485357">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0-6分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663AAB69">
            <w:pPr>
              <w:numPr>
                <w:ilvl w:val="0"/>
                <w:numId w:val="0"/>
              </w:numPr>
              <w:jc w:val="both"/>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依据投标文件所提供的人员、安全、质量管理制度的相关内容进行评审，每项2分。</w:t>
            </w:r>
          </w:p>
        </w:tc>
      </w:tr>
      <w:tr w14:paraId="406A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2C97F67">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3B9EE4D8">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突发事件应急措施、其他活动配合措施</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71C4A37F">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0-5分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4D633969">
            <w:pPr>
              <w:numPr>
                <w:ilvl w:val="0"/>
                <w:numId w:val="0"/>
              </w:numPr>
              <w:jc w:val="both"/>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依据投标文件所提供的突发事件应急措施、其他活动配合措施的相关内容，进行评分。</w:t>
            </w:r>
          </w:p>
        </w:tc>
      </w:tr>
      <w:tr w14:paraId="0F4C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235A4D29">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21C1AD1C">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场所情况</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18FAA86">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0-5分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7CA30A46">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有就近固定的工作场所和独立的药械库房；通风条件良好，防火防盗措施落实；药械存放整齐、有序；符合安全存放要求；药械出入有存档。</w:t>
            </w:r>
          </w:p>
          <w:p w14:paraId="69F3BD6E">
            <w:pPr>
              <w:numPr>
                <w:ilvl w:val="0"/>
                <w:numId w:val="0"/>
              </w:numPr>
              <w:jc w:val="both"/>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注：以图片证明及文字描述为评分依据,标注场所所在地。</w:t>
            </w:r>
          </w:p>
        </w:tc>
      </w:tr>
    </w:tbl>
    <w:p w14:paraId="167B484D">
      <w:pPr>
        <w:spacing w:line="400" w:lineRule="exact"/>
        <w:ind w:firstLine="568" w:firstLineChars="200"/>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注：以上资料均需加盖单位公章。</w:t>
      </w:r>
    </w:p>
    <w:p w14:paraId="6E44F40F">
      <w:pPr>
        <w:spacing w:line="400" w:lineRule="exact"/>
        <w:ind w:firstLine="428" w:firstLineChars="200"/>
        <w:rPr>
          <w:rFonts w:hint="default" w:ascii="宋体" w:hAnsi="宋体" w:cs="宋体"/>
          <w:b/>
          <w:bCs/>
          <w:color w:val="000000"/>
          <w:szCs w:val="21"/>
        </w:rPr>
      </w:pPr>
      <w:r>
        <w:rPr>
          <w:rFonts w:hint="default" w:ascii="宋体" w:hAnsi="宋体" w:cs="宋体"/>
          <w:b/>
          <w:bCs/>
          <w:color w:val="000000"/>
          <w:szCs w:val="21"/>
        </w:rPr>
        <w:t>（三）评标委员会按综合得分高低顺序排列，综合得分</w:t>
      </w:r>
      <w:r>
        <w:rPr>
          <w:rFonts w:hint="eastAsia" w:ascii="宋体" w:hAnsi="宋体" w:cs="宋体"/>
          <w:b/>
          <w:bCs/>
          <w:color w:val="000000"/>
          <w:szCs w:val="21"/>
          <w:lang w:eastAsia="zh-CN"/>
        </w:rPr>
        <w:t>最高</w:t>
      </w:r>
      <w:r>
        <w:rPr>
          <w:rFonts w:hint="default" w:ascii="宋体" w:hAnsi="宋体" w:cs="宋体"/>
          <w:b/>
          <w:bCs/>
          <w:color w:val="000000"/>
          <w:szCs w:val="21"/>
        </w:rPr>
        <w:t>供应商作为推荐中标候选人，并提交评标报告。得分相同的，按投标报价由低到高顺序排列。得分相同报价也相同的，由评委投票决定排序。</w:t>
      </w:r>
      <w:bookmarkEnd w:id="23"/>
      <w:bookmarkEnd w:id="24"/>
    </w:p>
    <w:p w14:paraId="51B84158">
      <w:pPr>
        <w:spacing w:line="400" w:lineRule="exact"/>
        <w:ind w:firstLine="428" w:firstLineChars="200"/>
        <w:rPr>
          <w:rFonts w:hint="default" w:ascii="宋体" w:hAnsi="宋体" w:cs="宋体"/>
          <w:b/>
          <w:bCs/>
          <w:color w:val="000000"/>
          <w:szCs w:val="21"/>
        </w:rPr>
      </w:pPr>
      <w:bookmarkStart w:id="25" w:name="_Toc10349"/>
      <w:bookmarkStart w:id="26" w:name="_Toc2138"/>
      <w:r>
        <w:rPr>
          <w:rFonts w:hint="default" w:ascii="宋体" w:hAnsi="宋体" w:cs="宋体"/>
          <w:b/>
          <w:bCs/>
          <w:color w:val="000000"/>
          <w:szCs w:val="21"/>
        </w:rPr>
        <w:t>（四）本办法解释权归采购人所有。</w:t>
      </w:r>
      <w:bookmarkEnd w:id="25"/>
      <w:bookmarkEnd w:id="26"/>
    </w:p>
    <w:p w14:paraId="2136AF4F">
      <w:pPr>
        <w:widowControl w:val="0"/>
        <w:spacing w:line="420" w:lineRule="auto"/>
        <w:jc w:val="both"/>
        <w:outlineLvl w:val="9"/>
        <w:rPr>
          <w:rFonts w:ascii="宋体" w:hAnsi="宋体"/>
          <w:szCs w:val="21"/>
        </w:rPr>
      </w:pPr>
    </w:p>
    <w:p w14:paraId="6520CA43">
      <w:pPr>
        <w:pStyle w:val="3"/>
        <w:keepNext w:val="0"/>
        <w:keepLines w:val="0"/>
        <w:pageBreakBefore/>
        <w:spacing w:beforeLines="100" w:afterLines="100" w:line="240" w:lineRule="auto"/>
        <w:jc w:val="center"/>
        <w:rPr>
          <w:rFonts w:ascii="Arial" w:hAnsi="Arial" w:cs="Arial"/>
          <w:sz w:val="28"/>
          <w:szCs w:val="36"/>
        </w:rPr>
      </w:pPr>
      <w:bookmarkStart w:id="27" w:name="_Toc16495"/>
      <w:r>
        <w:rPr>
          <w:rFonts w:hint="eastAsia" w:ascii="Arial" w:hAnsi="Arial" w:cs="Arial"/>
          <w:sz w:val="28"/>
          <w:szCs w:val="36"/>
        </w:rPr>
        <w:t>第六部分</w:t>
      </w:r>
      <w:r>
        <w:rPr>
          <w:rFonts w:hint="eastAsia" w:ascii="Arial" w:hAnsi="Arial" w:cs="Arial"/>
          <w:sz w:val="28"/>
          <w:szCs w:val="36"/>
          <w:lang w:val="en-US" w:eastAsia="zh-CN"/>
        </w:rPr>
        <w:t xml:space="preserve"> </w:t>
      </w:r>
      <w:r>
        <w:rPr>
          <w:rFonts w:hint="eastAsia" w:ascii="Arial" w:hAnsi="Arial" w:cs="Arial"/>
          <w:sz w:val="28"/>
          <w:szCs w:val="36"/>
        </w:rPr>
        <w:t>竞争性磋商响应文件格式</w:t>
      </w:r>
      <w:bookmarkEnd w:id="27"/>
    </w:p>
    <w:p w14:paraId="73DF1DC1">
      <w:pPr>
        <w:snapToGrid w:val="0"/>
        <w:spacing w:beforeLines="200" w:afterLines="50"/>
        <w:jc w:val="center"/>
        <w:rPr>
          <w:rFonts w:ascii="Arial" w:hAnsi="Arial" w:cs="Arial"/>
          <w:b/>
          <w:bCs/>
          <w:sz w:val="28"/>
        </w:rPr>
      </w:pPr>
      <w:r>
        <w:rPr>
          <w:rFonts w:ascii="Arial" w:hAnsi="Arial" w:cs="Arial"/>
          <w:b/>
          <w:bCs/>
          <w:sz w:val="28"/>
        </w:rPr>
        <w:t>竞争性磋商供应商提交竞争性磋商响应文件须知</w:t>
      </w:r>
    </w:p>
    <w:p w14:paraId="7A0F3BE3">
      <w:pPr>
        <w:snapToGrid w:val="0"/>
        <w:jc w:val="center"/>
        <w:rPr>
          <w:rFonts w:ascii="Arial" w:hAnsi="Arial" w:cs="Arial"/>
          <w:sz w:val="28"/>
          <w:szCs w:val="21"/>
        </w:rPr>
      </w:pPr>
    </w:p>
    <w:p w14:paraId="13A6B37D">
      <w:pPr>
        <w:pStyle w:val="73"/>
        <w:numPr>
          <w:ilvl w:val="1"/>
          <w:numId w:val="7"/>
        </w:numPr>
        <w:snapToGrid w:val="0"/>
        <w:spacing w:line="360" w:lineRule="auto"/>
        <w:ind w:left="850" w:hanging="357" w:firstLineChars="0"/>
        <w:rPr>
          <w:rFonts w:ascii="Arial" w:hAnsi="Arial" w:cs="Arial"/>
          <w:szCs w:val="22"/>
        </w:rPr>
      </w:pPr>
      <w:r>
        <w:rPr>
          <w:rFonts w:ascii="Arial" w:hAnsi="Arial" w:cs="Arial"/>
          <w:szCs w:val="22"/>
        </w:rPr>
        <w:t>竞争性磋商供应商应严格按照竞争性磋商响应文件的组成提交下述规定的全部格式文件以及其他有关资料，混乱的编排导致竞争性磋商响应文件被误读或采购代理机构、竞争性磋商小组查找不到有效文件是竞争性磋商供应商的风险。</w:t>
      </w:r>
    </w:p>
    <w:p w14:paraId="2B0518EF">
      <w:pPr>
        <w:pStyle w:val="73"/>
        <w:numPr>
          <w:ilvl w:val="1"/>
          <w:numId w:val="7"/>
        </w:numPr>
        <w:snapToGrid w:val="0"/>
        <w:spacing w:line="360" w:lineRule="auto"/>
        <w:ind w:left="850" w:hanging="357" w:firstLineChars="0"/>
        <w:rPr>
          <w:rFonts w:ascii="Arial" w:hAnsi="Arial" w:cs="Arial"/>
          <w:szCs w:val="22"/>
        </w:rPr>
      </w:pPr>
      <w:r>
        <w:rPr>
          <w:rFonts w:ascii="Arial" w:hAnsi="Arial" w:cs="Arial"/>
          <w:szCs w:val="22"/>
        </w:rPr>
        <w:t>所附表格中要求回答的全部问题和/或信息都必须正面回答。</w:t>
      </w:r>
    </w:p>
    <w:p w14:paraId="53F0AA17">
      <w:pPr>
        <w:pStyle w:val="73"/>
        <w:numPr>
          <w:ilvl w:val="1"/>
          <w:numId w:val="7"/>
        </w:numPr>
        <w:snapToGrid w:val="0"/>
        <w:spacing w:line="360" w:lineRule="auto"/>
        <w:ind w:left="850" w:hanging="357" w:firstLineChars="0"/>
        <w:rPr>
          <w:rFonts w:ascii="Arial" w:hAnsi="Arial" w:cs="Arial"/>
          <w:szCs w:val="22"/>
        </w:rPr>
      </w:pPr>
      <w:r>
        <w:rPr>
          <w:rFonts w:ascii="Arial" w:hAnsi="Arial" w:cs="Arial"/>
          <w:szCs w:val="22"/>
        </w:rPr>
        <w:t>本资格声明的签字人应保证全部声明和问题的回答是真实的和准确的。</w:t>
      </w:r>
    </w:p>
    <w:p w14:paraId="73B76502">
      <w:pPr>
        <w:pStyle w:val="73"/>
        <w:numPr>
          <w:ilvl w:val="1"/>
          <w:numId w:val="7"/>
        </w:numPr>
        <w:snapToGrid w:val="0"/>
        <w:spacing w:line="360" w:lineRule="auto"/>
        <w:ind w:left="850" w:hanging="357" w:firstLineChars="0"/>
        <w:rPr>
          <w:rFonts w:ascii="Arial" w:hAnsi="Arial" w:cs="Arial"/>
          <w:szCs w:val="22"/>
        </w:rPr>
      </w:pPr>
      <w:r>
        <w:rPr>
          <w:rFonts w:ascii="Arial" w:hAnsi="Arial" w:cs="Arial"/>
          <w:szCs w:val="22"/>
        </w:rPr>
        <w:t>采购代理机构将应用竞争性磋商供应商提交的资料根据自己的判断和考虑决定竞争性磋商供应商履行合同的合格性及能力。</w:t>
      </w:r>
    </w:p>
    <w:p w14:paraId="47BE0739">
      <w:pPr>
        <w:pStyle w:val="73"/>
        <w:numPr>
          <w:ilvl w:val="1"/>
          <w:numId w:val="7"/>
        </w:numPr>
        <w:snapToGrid w:val="0"/>
        <w:spacing w:line="360" w:lineRule="auto"/>
        <w:ind w:left="850" w:hanging="357" w:firstLineChars="0"/>
        <w:rPr>
          <w:rFonts w:ascii="Arial" w:hAnsi="Arial" w:cs="Arial"/>
          <w:szCs w:val="22"/>
        </w:rPr>
      </w:pPr>
      <w:r>
        <w:rPr>
          <w:rFonts w:ascii="Arial" w:hAnsi="Arial" w:cs="Arial"/>
          <w:szCs w:val="22"/>
        </w:rPr>
        <w:t>竞争性磋商供应商提交的材料将被保密保存，但不退还。</w:t>
      </w:r>
    </w:p>
    <w:p w14:paraId="4A6C6E6B">
      <w:pPr>
        <w:pStyle w:val="73"/>
        <w:numPr>
          <w:ilvl w:val="1"/>
          <w:numId w:val="7"/>
        </w:numPr>
        <w:snapToGrid w:val="0"/>
        <w:spacing w:line="360" w:lineRule="auto"/>
        <w:ind w:left="850" w:hanging="357" w:firstLineChars="0"/>
        <w:rPr>
          <w:rFonts w:ascii="Arial" w:hAnsi="Arial" w:cs="Arial"/>
        </w:rPr>
      </w:pPr>
      <w:r>
        <w:rPr>
          <w:rFonts w:ascii="Arial" w:hAnsi="Arial" w:cs="Arial"/>
          <w:szCs w:val="22"/>
        </w:rPr>
        <w:t>全部文件应按竞争性磋商供应商须知中规定的语言提交。</w:t>
      </w:r>
    </w:p>
    <w:p w14:paraId="32B4DB53">
      <w:pPr>
        <w:pStyle w:val="73"/>
        <w:snapToGrid w:val="0"/>
        <w:spacing w:line="400" w:lineRule="exact"/>
        <w:ind w:left="851" w:firstLine="0" w:firstLineChars="0"/>
        <w:rPr>
          <w:rFonts w:ascii="Arial" w:hAnsi="Arial" w:cs="Arial"/>
        </w:rPr>
      </w:pPr>
    </w:p>
    <w:p w14:paraId="740EC614">
      <w:pPr>
        <w:rPr>
          <w:rFonts w:ascii="Arial" w:hAnsi="Arial" w:cs="Arial"/>
          <w:szCs w:val="21"/>
        </w:rPr>
      </w:pPr>
    </w:p>
    <w:p w14:paraId="2F890495">
      <w:pPr>
        <w:jc w:val="center"/>
        <w:outlineLvl w:val="1"/>
        <w:rPr>
          <w:b/>
          <w:sz w:val="28"/>
        </w:rPr>
        <w:sectPr>
          <w:headerReference r:id="rId12" w:type="default"/>
          <w:footerReference r:id="rId13" w:type="default"/>
          <w:pgSz w:w="11849" w:h="16781"/>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33" w:charSpace="950"/>
        </w:sectPr>
      </w:pPr>
    </w:p>
    <w:p w14:paraId="65125E67">
      <w:pPr>
        <w:snapToGrid w:val="0"/>
        <w:spacing w:line="360" w:lineRule="auto"/>
        <w:jc w:val="center"/>
        <w:outlineLvl w:val="9"/>
        <w:rPr>
          <w:rFonts w:hint="eastAsia" w:ascii="宋体" w:hAnsi="宋体" w:cs="宋体"/>
          <w:b/>
          <w:bCs/>
          <w:szCs w:val="21"/>
        </w:rPr>
      </w:pPr>
      <w:bookmarkStart w:id="28" w:name="_Toc429468093"/>
      <w:bookmarkStart w:id="29" w:name="_Toc497722825"/>
      <w:bookmarkStart w:id="30" w:name="_Toc4524"/>
      <w:bookmarkStart w:id="31" w:name="_Toc429468195"/>
      <w:bookmarkStart w:id="32" w:name="_Toc26186"/>
      <w:bookmarkStart w:id="33" w:name="_Toc13174"/>
      <w:bookmarkStart w:id="34" w:name="_Toc2408"/>
      <w:bookmarkStart w:id="35" w:name="_Toc12361"/>
      <w:r>
        <w:rPr>
          <w:rFonts w:hint="eastAsia" w:ascii="宋体" w:hAnsi="宋体" w:cs="宋体"/>
          <w:b/>
          <w:bCs/>
          <w:szCs w:val="21"/>
        </w:rPr>
        <w:t>一、投标文件外层包装封面格式</w:t>
      </w:r>
      <w:bookmarkEnd w:id="28"/>
      <w:bookmarkEnd w:id="29"/>
      <w:bookmarkEnd w:id="30"/>
      <w:bookmarkEnd w:id="31"/>
      <w:bookmarkEnd w:id="32"/>
      <w:bookmarkEnd w:id="33"/>
      <w:bookmarkEnd w:id="34"/>
      <w:bookmarkEnd w:id="35"/>
    </w:p>
    <w:p w14:paraId="003D6D55">
      <w:pPr>
        <w:snapToGrid w:val="0"/>
        <w:spacing w:line="360" w:lineRule="auto"/>
        <w:rPr>
          <w:rFonts w:hint="eastAsia" w:ascii="宋体" w:hAnsi="宋体" w:cs="宋体"/>
          <w:b/>
          <w:color w:val="000000"/>
          <w:szCs w:val="21"/>
        </w:rPr>
      </w:pPr>
      <w:r>
        <w:rPr>
          <w:rFonts w:hint="eastAsia" w:ascii="宋体" w:hAnsi="宋体" w:cs="宋体"/>
          <w:b/>
          <w:color w:val="000000"/>
          <w:szCs w:val="21"/>
        </w:rPr>
        <w:t>1、所有投标文件的外包装封面格式：(可选用)</w:t>
      </w:r>
    </w:p>
    <w:p w14:paraId="2271AE8F">
      <w:pPr>
        <w:snapToGrid w:val="0"/>
        <w:spacing w:line="360" w:lineRule="auto"/>
        <w:jc w:val="center"/>
        <w:rPr>
          <w:rFonts w:hint="eastAsia" w:ascii="宋体" w:hAnsi="宋体" w:cs="宋体"/>
          <w:bCs/>
          <w:color w:val="000000"/>
          <w:szCs w:val="21"/>
        </w:rPr>
      </w:pPr>
      <w:r>
        <w:rPr>
          <w:rFonts w:hint="eastAsia" w:ascii="宋体" w:hAnsi="宋体" w:cs="宋体"/>
          <w:b/>
          <w:bCs/>
          <w:color w:val="000000"/>
          <w:szCs w:val="21"/>
        </w:rPr>
        <w:t xml:space="preserve">                                            </w:t>
      </w:r>
    </w:p>
    <w:p w14:paraId="4E7C03CB">
      <w:pPr>
        <w:snapToGrid w:val="0"/>
        <w:spacing w:line="360" w:lineRule="auto"/>
        <w:jc w:val="center"/>
        <w:rPr>
          <w:rFonts w:hint="eastAsia" w:ascii="宋体" w:hAnsi="宋体" w:cs="宋体"/>
          <w:bCs/>
          <w:color w:val="000000"/>
          <w:szCs w:val="21"/>
        </w:rPr>
      </w:pPr>
      <w:r>
        <w:rPr>
          <w:rFonts w:hint="eastAsia" w:ascii="宋体" w:hAnsi="宋体" w:cs="宋体"/>
          <w:bCs/>
          <w:color w:val="000000"/>
          <w:szCs w:val="21"/>
        </w:rPr>
        <w:t>投 标 文 件</w:t>
      </w:r>
    </w:p>
    <w:p w14:paraId="2CCA79BC">
      <w:pPr>
        <w:snapToGrid w:val="0"/>
        <w:spacing w:line="360" w:lineRule="auto"/>
        <w:rPr>
          <w:rFonts w:hint="eastAsia" w:ascii="宋体" w:hAnsi="宋体" w:cs="宋体"/>
          <w:bCs/>
          <w:color w:val="000000"/>
          <w:szCs w:val="21"/>
        </w:rPr>
      </w:pPr>
    </w:p>
    <w:p w14:paraId="46D1905A">
      <w:pPr>
        <w:snapToGrid w:val="0"/>
        <w:spacing w:line="360" w:lineRule="auto"/>
        <w:ind w:firstLine="934" w:firstLineChars="445"/>
        <w:rPr>
          <w:rFonts w:hint="eastAsia" w:ascii="宋体" w:hAnsi="宋体" w:cs="宋体"/>
          <w:bCs/>
          <w:color w:val="000000"/>
          <w:szCs w:val="21"/>
        </w:rPr>
      </w:pPr>
      <w:r>
        <w:rPr>
          <w:rFonts w:hint="eastAsia" w:ascii="宋体" w:hAnsi="宋体" w:cs="宋体"/>
          <w:bCs/>
          <w:color w:val="000000"/>
          <w:szCs w:val="21"/>
        </w:rPr>
        <w:t>项目名称：</w:t>
      </w:r>
    </w:p>
    <w:p w14:paraId="5690C74F">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 xml:space="preserve">     项目编号：    </w:t>
      </w:r>
    </w:p>
    <w:p w14:paraId="213A4708">
      <w:pPr>
        <w:pStyle w:val="7"/>
        <w:snapToGrid w:val="0"/>
        <w:spacing w:line="360" w:lineRule="auto"/>
        <w:ind w:firstLine="892" w:firstLineChars="425"/>
        <w:rPr>
          <w:rFonts w:hint="eastAsia" w:ascii="宋体" w:hAnsi="宋体" w:cs="宋体"/>
          <w:bCs/>
          <w:color w:val="000000"/>
          <w:szCs w:val="21"/>
        </w:rPr>
      </w:pPr>
      <w:r>
        <w:rPr>
          <w:rFonts w:hint="eastAsia" w:ascii="宋体" w:hAnsi="宋体" w:cs="宋体"/>
          <w:bCs/>
          <w:color w:val="000000"/>
          <w:szCs w:val="21"/>
        </w:rPr>
        <w:t>投标文件名称：</w:t>
      </w:r>
      <w:r>
        <w:rPr>
          <w:rFonts w:hint="eastAsia" w:ascii="宋体" w:hAnsi="宋体" w:cs="宋体"/>
          <w:bCs/>
          <w:color w:val="000000"/>
          <w:szCs w:val="21"/>
          <w:lang w:eastAsia="zh-CN"/>
        </w:rPr>
        <w:t>资格文件、</w:t>
      </w:r>
      <w:r>
        <w:rPr>
          <w:rFonts w:hint="eastAsia" w:ascii="宋体" w:hAnsi="宋体" w:cs="宋体"/>
          <w:bCs/>
          <w:color w:val="000000"/>
          <w:szCs w:val="21"/>
        </w:rPr>
        <w:t>资信商务及技术文件、报价文件</w:t>
      </w:r>
    </w:p>
    <w:p w14:paraId="3D33A869">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投标人名称：</w:t>
      </w:r>
    </w:p>
    <w:p w14:paraId="7C258FB0">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投标人地址：</w:t>
      </w:r>
    </w:p>
    <w:p w14:paraId="29725FA0">
      <w:pPr>
        <w:pStyle w:val="7"/>
        <w:snapToGrid w:val="0"/>
        <w:spacing w:line="360" w:lineRule="auto"/>
        <w:ind w:firstLine="840" w:firstLineChars="400"/>
        <w:rPr>
          <w:rFonts w:hint="eastAsia" w:ascii="宋体" w:hAnsi="宋体" w:cs="宋体"/>
          <w:bCs/>
          <w:color w:val="000000"/>
          <w:szCs w:val="21"/>
        </w:rPr>
      </w:pPr>
      <w:r>
        <w:rPr>
          <w:rFonts w:hint="eastAsia" w:ascii="宋体" w:hAnsi="宋体" w:cs="宋体"/>
          <w:bCs/>
          <w:color w:val="000000"/>
          <w:szCs w:val="21"/>
        </w:rPr>
        <w:t>在  年  月  日  时  分之前不得启封</w:t>
      </w:r>
    </w:p>
    <w:p w14:paraId="66CA5B5B">
      <w:pPr>
        <w:snapToGrid w:val="0"/>
        <w:spacing w:line="360" w:lineRule="auto"/>
        <w:ind w:firstLine="3570" w:firstLineChars="1700"/>
        <w:rPr>
          <w:rFonts w:hint="eastAsia" w:ascii="宋体" w:hAnsi="宋体" w:cs="宋体"/>
          <w:bCs/>
          <w:color w:val="000000"/>
          <w:szCs w:val="21"/>
        </w:rPr>
      </w:pPr>
    </w:p>
    <w:p w14:paraId="23F34DED">
      <w:pPr>
        <w:snapToGrid w:val="0"/>
        <w:spacing w:line="360" w:lineRule="auto"/>
        <w:ind w:firstLine="645"/>
        <w:jc w:val="center"/>
        <w:rPr>
          <w:rFonts w:hint="eastAsia" w:ascii="宋体" w:hAnsi="宋体" w:cs="宋体"/>
          <w:bCs/>
          <w:color w:val="000000"/>
          <w:szCs w:val="21"/>
        </w:rPr>
      </w:pPr>
      <w:r>
        <w:rPr>
          <w:rFonts w:hint="eastAsia" w:ascii="宋体" w:hAnsi="宋体" w:cs="宋体"/>
          <w:bCs/>
          <w:color w:val="000000"/>
          <w:szCs w:val="21"/>
        </w:rPr>
        <w:t xml:space="preserve">                        年  月  日</w:t>
      </w:r>
    </w:p>
    <w:p w14:paraId="7881900E">
      <w:pPr>
        <w:snapToGrid w:val="0"/>
        <w:spacing w:line="360" w:lineRule="auto"/>
        <w:jc w:val="center"/>
        <w:rPr>
          <w:rFonts w:hint="eastAsia" w:ascii="宋体" w:hAnsi="宋体" w:cs="宋体"/>
          <w:b/>
          <w:bCs/>
          <w:color w:val="000000"/>
          <w:szCs w:val="21"/>
        </w:rPr>
      </w:pPr>
      <w:bookmarkStart w:id="36" w:name="_Toc429468196"/>
      <w:bookmarkStart w:id="37" w:name="_Toc443665765"/>
      <w:bookmarkStart w:id="38" w:name="_Toc443665448"/>
      <w:bookmarkStart w:id="39" w:name="_Toc429468094"/>
      <w:bookmarkStart w:id="40" w:name="_Toc497722826"/>
    </w:p>
    <w:p w14:paraId="05F96D80">
      <w:pPr>
        <w:snapToGrid w:val="0"/>
        <w:spacing w:line="360" w:lineRule="auto"/>
        <w:jc w:val="center"/>
        <w:rPr>
          <w:rFonts w:hint="eastAsia" w:ascii="宋体" w:hAnsi="宋体" w:cs="宋体"/>
          <w:b/>
          <w:bCs/>
          <w:color w:val="000000"/>
          <w:szCs w:val="21"/>
        </w:rPr>
      </w:pPr>
    </w:p>
    <w:bookmarkEnd w:id="36"/>
    <w:bookmarkEnd w:id="37"/>
    <w:bookmarkEnd w:id="38"/>
    <w:bookmarkEnd w:id="39"/>
    <w:bookmarkEnd w:id="40"/>
    <w:p w14:paraId="3B2C8096">
      <w:pPr>
        <w:snapToGrid w:val="0"/>
        <w:spacing w:line="360" w:lineRule="auto"/>
        <w:rPr>
          <w:rFonts w:hint="eastAsia" w:ascii="宋体" w:hAnsi="宋体" w:cs="宋体"/>
          <w:b/>
          <w:bCs/>
          <w:color w:val="000000"/>
          <w:szCs w:val="21"/>
        </w:rPr>
      </w:pPr>
      <w:r>
        <w:rPr>
          <w:rFonts w:hint="eastAsia" w:ascii="宋体" w:hAnsi="宋体" w:cs="宋体"/>
          <w:b/>
          <w:color w:val="000000"/>
          <w:szCs w:val="21"/>
        </w:rPr>
        <w:t>2、</w:t>
      </w:r>
      <w:r>
        <w:rPr>
          <w:rFonts w:hint="eastAsia" w:ascii="宋体" w:hAnsi="宋体" w:cs="宋体"/>
          <w:b/>
          <w:color w:val="000000"/>
          <w:szCs w:val="21"/>
          <w:lang w:eastAsia="zh-CN"/>
        </w:rPr>
        <w:t>资格</w:t>
      </w:r>
      <w:r>
        <w:rPr>
          <w:rFonts w:hint="eastAsia" w:ascii="宋体" w:hAnsi="宋体" w:cs="宋体"/>
          <w:b/>
          <w:bCs/>
          <w:color w:val="000000"/>
          <w:szCs w:val="21"/>
        </w:rPr>
        <w:t>文件的封面格式：</w:t>
      </w:r>
    </w:p>
    <w:p w14:paraId="5ACC8112">
      <w:pPr>
        <w:snapToGrid w:val="0"/>
        <w:spacing w:line="360" w:lineRule="auto"/>
        <w:jc w:val="center"/>
        <w:rPr>
          <w:rFonts w:hint="eastAsia" w:ascii="宋体" w:hAnsi="宋体" w:cs="宋体"/>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正本/或副本</w:t>
      </w:r>
    </w:p>
    <w:p w14:paraId="4C999BF7">
      <w:pPr>
        <w:snapToGrid w:val="0"/>
        <w:spacing w:line="360" w:lineRule="auto"/>
        <w:jc w:val="center"/>
        <w:rPr>
          <w:rFonts w:hint="eastAsia" w:ascii="宋体" w:hAnsi="宋体" w:cs="宋体"/>
          <w:bCs/>
          <w:color w:val="000000"/>
          <w:szCs w:val="21"/>
        </w:rPr>
      </w:pPr>
      <w:r>
        <w:rPr>
          <w:rFonts w:hint="eastAsia" w:ascii="宋体" w:hAnsi="宋体" w:cs="宋体"/>
          <w:bCs/>
          <w:color w:val="000000"/>
          <w:szCs w:val="21"/>
          <w:lang w:eastAsia="zh-CN"/>
        </w:rPr>
        <w:t>资格</w:t>
      </w:r>
      <w:r>
        <w:rPr>
          <w:rFonts w:hint="eastAsia" w:ascii="宋体" w:hAnsi="宋体" w:cs="宋体"/>
          <w:bCs/>
          <w:color w:val="000000"/>
          <w:szCs w:val="21"/>
        </w:rPr>
        <w:t>文件</w:t>
      </w:r>
    </w:p>
    <w:p w14:paraId="788C866D">
      <w:pPr>
        <w:snapToGrid w:val="0"/>
        <w:spacing w:line="360" w:lineRule="auto"/>
        <w:rPr>
          <w:rFonts w:hint="eastAsia" w:ascii="宋体" w:hAnsi="宋体" w:cs="宋体"/>
          <w:bCs/>
          <w:color w:val="000000"/>
          <w:szCs w:val="21"/>
        </w:rPr>
      </w:pPr>
    </w:p>
    <w:p w14:paraId="1F3BD93F">
      <w:pPr>
        <w:snapToGrid w:val="0"/>
        <w:spacing w:line="360" w:lineRule="auto"/>
        <w:ind w:firstLine="934" w:firstLineChars="445"/>
        <w:rPr>
          <w:rFonts w:hint="eastAsia" w:ascii="宋体" w:hAnsi="宋体" w:cs="宋体"/>
          <w:bCs/>
          <w:color w:val="000000"/>
          <w:szCs w:val="21"/>
        </w:rPr>
      </w:pPr>
      <w:r>
        <w:rPr>
          <w:rFonts w:hint="eastAsia" w:ascii="宋体" w:hAnsi="宋体" w:cs="宋体"/>
          <w:bCs/>
          <w:color w:val="000000"/>
          <w:szCs w:val="21"/>
        </w:rPr>
        <w:t>项目名称：</w:t>
      </w:r>
    </w:p>
    <w:p w14:paraId="5E7D33F1">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 xml:space="preserve">     项目编号：      </w:t>
      </w:r>
    </w:p>
    <w:p w14:paraId="76C4D28A">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投标人名称：</w:t>
      </w:r>
    </w:p>
    <w:p w14:paraId="6604AD05">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投标人地址：</w:t>
      </w:r>
    </w:p>
    <w:p w14:paraId="23498646">
      <w:pPr>
        <w:pStyle w:val="7"/>
        <w:snapToGrid w:val="0"/>
        <w:spacing w:line="360" w:lineRule="auto"/>
        <w:ind w:firstLine="840" w:firstLineChars="400"/>
        <w:rPr>
          <w:rFonts w:hint="eastAsia" w:ascii="宋体" w:hAnsi="宋体" w:cs="宋体"/>
          <w:bCs/>
          <w:color w:val="000000"/>
          <w:szCs w:val="21"/>
        </w:rPr>
      </w:pPr>
      <w:r>
        <w:rPr>
          <w:rFonts w:hint="eastAsia" w:ascii="宋体" w:hAnsi="宋体" w:cs="宋体"/>
          <w:bCs/>
          <w:color w:val="000000"/>
          <w:szCs w:val="21"/>
        </w:rPr>
        <w:t>在  年  月  日  时  分之前不得启封</w:t>
      </w:r>
    </w:p>
    <w:p w14:paraId="1563B2C6">
      <w:pPr>
        <w:pStyle w:val="7"/>
        <w:snapToGrid w:val="0"/>
        <w:spacing w:line="360" w:lineRule="auto"/>
        <w:ind w:firstLine="873" w:firstLineChars="416"/>
        <w:rPr>
          <w:rFonts w:hint="eastAsia" w:ascii="宋体" w:hAnsi="宋体" w:cs="宋体"/>
          <w:color w:val="000000"/>
          <w:szCs w:val="21"/>
        </w:rPr>
      </w:pPr>
    </w:p>
    <w:p w14:paraId="3F61662A">
      <w:pPr>
        <w:snapToGrid w:val="0"/>
        <w:spacing w:line="360" w:lineRule="auto"/>
        <w:ind w:firstLine="645"/>
        <w:jc w:val="center"/>
        <w:rPr>
          <w:rFonts w:hint="eastAsia" w:ascii="宋体" w:hAnsi="宋体" w:cs="宋体"/>
          <w:color w:val="000000"/>
          <w:szCs w:val="21"/>
        </w:rPr>
      </w:pPr>
      <w:r>
        <w:rPr>
          <w:rFonts w:hint="eastAsia" w:ascii="宋体" w:hAnsi="宋体" w:cs="宋体"/>
          <w:color w:val="000000"/>
          <w:szCs w:val="21"/>
        </w:rPr>
        <w:t xml:space="preserve">                        年  月  日</w:t>
      </w:r>
    </w:p>
    <w:p w14:paraId="467EA50C">
      <w:pPr>
        <w:snapToGrid w:val="0"/>
        <w:spacing w:line="360" w:lineRule="auto"/>
        <w:rPr>
          <w:rFonts w:hint="eastAsia" w:ascii="宋体" w:hAnsi="宋体" w:cs="宋体"/>
          <w:b/>
          <w:bCs/>
          <w:color w:val="000000"/>
          <w:szCs w:val="21"/>
        </w:rPr>
      </w:pPr>
      <w:r>
        <w:rPr>
          <w:rFonts w:hint="eastAsia" w:ascii="宋体" w:hAnsi="宋体" w:cs="宋体"/>
          <w:b/>
          <w:color w:val="000000"/>
          <w:szCs w:val="21"/>
          <w:lang w:val="en-US" w:eastAsia="zh-CN"/>
        </w:rPr>
        <w:t>3</w:t>
      </w:r>
      <w:r>
        <w:rPr>
          <w:rFonts w:hint="eastAsia" w:ascii="宋体" w:hAnsi="宋体" w:cs="宋体"/>
          <w:b/>
          <w:color w:val="000000"/>
          <w:szCs w:val="21"/>
        </w:rPr>
        <w:t>、资信商务及技术</w:t>
      </w:r>
      <w:r>
        <w:rPr>
          <w:rFonts w:hint="eastAsia" w:ascii="宋体" w:hAnsi="宋体" w:cs="宋体"/>
          <w:b/>
          <w:bCs/>
          <w:color w:val="000000"/>
          <w:szCs w:val="21"/>
        </w:rPr>
        <w:t>文件的封面格式：</w:t>
      </w:r>
    </w:p>
    <w:p w14:paraId="3C626F45">
      <w:pPr>
        <w:snapToGrid w:val="0"/>
        <w:spacing w:line="360" w:lineRule="auto"/>
        <w:jc w:val="center"/>
        <w:rPr>
          <w:rFonts w:hint="eastAsia" w:ascii="宋体" w:hAnsi="宋体" w:cs="宋体"/>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正本/或副本</w:t>
      </w:r>
    </w:p>
    <w:p w14:paraId="62BBB37B">
      <w:pPr>
        <w:snapToGrid w:val="0"/>
        <w:spacing w:line="360" w:lineRule="auto"/>
        <w:jc w:val="center"/>
        <w:rPr>
          <w:rFonts w:hint="eastAsia" w:ascii="宋体" w:hAnsi="宋体" w:cs="宋体"/>
          <w:bCs/>
          <w:color w:val="000000"/>
          <w:szCs w:val="21"/>
        </w:rPr>
      </w:pPr>
      <w:r>
        <w:rPr>
          <w:rFonts w:hint="eastAsia" w:ascii="宋体" w:hAnsi="宋体" w:cs="宋体"/>
          <w:bCs/>
          <w:color w:val="000000"/>
          <w:szCs w:val="21"/>
        </w:rPr>
        <w:t>资信商务及技术文件</w:t>
      </w:r>
    </w:p>
    <w:p w14:paraId="57ACEEFE">
      <w:pPr>
        <w:snapToGrid w:val="0"/>
        <w:spacing w:line="360" w:lineRule="auto"/>
        <w:rPr>
          <w:rFonts w:hint="eastAsia" w:ascii="宋体" w:hAnsi="宋体" w:cs="宋体"/>
          <w:bCs/>
          <w:color w:val="000000"/>
          <w:szCs w:val="21"/>
        </w:rPr>
      </w:pPr>
    </w:p>
    <w:p w14:paraId="39C1DD2F">
      <w:pPr>
        <w:snapToGrid w:val="0"/>
        <w:spacing w:line="360" w:lineRule="auto"/>
        <w:ind w:firstLine="934" w:firstLineChars="445"/>
        <w:rPr>
          <w:rFonts w:hint="eastAsia" w:ascii="宋体" w:hAnsi="宋体" w:cs="宋体"/>
          <w:bCs/>
          <w:color w:val="000000"/>
          <w:szCs w:val="21"/>
        </w:rPr>
      </w:pPr>
      <w:r>
        <w:rPr>
          <w:rFonts w:hint="eastAsia" w:ascii="宋体" w:hAnsi="宋体" w:cs="宋体"/>
          <w:bCs/>
          <w:color w:val="000000"/>
          <w:szCs w:val="21"/>
        </w:rPr>
        <w:t>项目名称：</w:t>
      </w:r>
    </w:p>
    <w:p w14:paraId="72DE6AF6">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 xml:space="preserve">     项目编号：      </w:t>
      </w:r>
    </w:p>
    <w:p w14:paraId="597398F7">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投标人名称：</w:t>
      </w:r>
    </w:p>
    <w:p w14:paraId="0C9817D4">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投标人地址：</w:t>
      </w:r>
    </w:p>
    <w:p w14:paraId="738859C8">
      <w:pPr>
        <w:pStyle w:val="7"/>
        <w:snapToGrid w:val="0"/>
        <w:spacing w:line="360" w:lineRule="auto"/>
        <w:ind w:firstLine="840" w:firstLineChars="400"/>
        <w:rPr>
          <w:rFonts w:hint="eastAsia" w:ascii="宋体" w:hAnsi="宋体" w:cs="宋体"/>
          <w:bCs/>
          <w:color w:val="000000"/>
          <w:szCs w:val="21"/>
        </w:rPr>
      </w:pPr>
      <w:r>
        <w:rPr>
          <w:rFonts w:hint="eastAsia" w:ascii="宋体" w:hAnsi="宋体" w:cs="宋体"/>
          <w:bCs/>
          <w:color w:val="000000"/>
          <w:szCs w:val="21"/>
        </w:rPr>
        <w:t>在  年  月  日  时  分之前不得启封</w:t>
      </w:r>
    </w:p>
    <w:p w14:paraId="356B70BD">
      <w:pPr>
        <w:pStyle w:val="7"/>
        <w:snapToGrid w:val="0"/>
        <w:spacing w:line="360" w:lineRule="auto"/>
        <w:ind w:firstLine="873" w:firstLineChars="416"/>
        <w:rPr>
          <w:rFonts w:hint="eastAsia" w:ascii="宋体" w:hAnsi="宋体" w:cs="宋体"/>
          <w:color w:val="000000"/>
          <w:szCs w:val="21"/>
        </w:rPr>
      </w:pPr>
    </w:p>
    <w:p w14:paraId="05630690">
      <w:pPr>
        <w:snapToGrid w:val="0"/>
        <w:spacing w:line="360" w:lineRule="auto"/>
        <w:ind w:firstLine="645"/>
        <w:jc w:val="center"/>
        <w:rPr>
          <w:rFonts w:hint="eastAsia" w:ascii="宋体" w:hAnsi="宋体" w:cs="宋体"/>
          <w:color w:val="000000"/>
          <w:szCs w:val="21"/>
        </w:rPr>
      </w:pPr>
      <w:r>
        <w:rPr>
          <w:rFonts w:hint="eastAsia" w:ascii="宋体" w:hAnsi="宋体" w:cs="宋体"/>
          <w:color w:val="000000"/>
          <w:szCs w:val="21"/>
        </w:rPr>
        <w:t xml:space="preserve">                        年  月  日</w:t>
      </w:r>
    </w:p>
    <w:p w14:paraId="77720BF9">
      <w:pPr>
        <w:pStyle w:val="7"/>
        <w:snapToGrid w:val="0"/>
        <w:spacing w:line="360" w:lineRule="auto"/>
        <w:ind w:firstLine="873" w:firstLineChars="416"/>
        <w:rPr>
          <w:rFonts w:hint="eastAsia" w:ascii="宋体" w:hAnsi="宋体" w:cs="宋体"/>
          <w:color w:val="000000"/>
          <w:szCs w:val="21"/>
        </w:rPr>
      </w:pPr>
    </w:p>
    <w:p w14:paraId="3B09340E">
      <w:pPr>
        <w:snapToGrid w:val="0"/>
        <w:spacing w:line="360" w:lineRule="auto"/>
        <w:ind w:firstLine="645"/>
        <w:jc w:val="center"/>
        <w:rPr>
          <w:rFonts w:hint="eastAsia" w:ascii="宋体" w:hAnsi="宋体" w:cs="宋体"/>
          <w:color w:val="000000"/>
          <w:szCs w:val="21"/>
        </w:rPr>
      </w:pPr>
      <w:r>
        <w:rPr>
          <w:rFonts w:hint="eastAsia" w:ascii="宋体" w:hAnsi="宋体" w:cs="宋体"/>
          <w:color w:val="000000"/>
          <w:szCs w:val="21"/>
        </w:rPr>
        <w:t xml:space="preserve">                       </w:t>
      </w:r>
    </w:p>
    <w:p w14:paraId="01C27A7C">
      <w:pPr>
        <w:snapToGrid w:val="0"/>
        <w:spacing w:line="360" w:lineRule="auto"/>
        <w:rPr>
          <w:rFonts w:hint="eastAsia" w:ascii="宋体" w:hAnsi="宋体" w:cs="宋体"/>
          <w:b/>
          <w:color w:val="000000"/>
          <w:szCs w:val="21"/>
        </w:rPr>
      </w:pPr>
    </w:p>
    <w:p w14:paraId="052FA154">
      <w:pPr>
        <w:snapToGrid w:val="0"/>
        <w:spacing w:line="360" w:lineRule="auto"/>
        <w:rPr>
          <w:rFonts w:hint="eastAsia" w:ascii="宋体" w:hAnsi="宋体" w:cs="宋体"/>
          <w:b/>
          <w:color w:val="000000"/>
          <w:szCs w:val="21"/>
        </w:rPr>
      </w:pPr>
    </w:p>
    <w:p w14:paraId="0C004E4B">
      <w:pPr>
        <w:snapToGrid w:val="0"/>
        <w:spacing w:line="360" w:lineRule="auto"/>
        <w:rPr>
          <w:rFonts w:hint="eastAsia" w:ascii="宋体" w:hAnsi="宋体" w:cs="宋体"/>
          <w:b/>
          <w:color w:val="000000"/>
          <w:szCs w:val="21"/>
        </w:rPr>
      </w:pPr>
      <w:r>
        <w:rPr>
          <w:rFonts w:hint="eastAsia" w:ascii="宋体" w:hAnsi="宋体" w:cs="宋体"/>
          <w:b/>
          <w:color w:val="000000"/>
          <w:szCs w:val="21"/>
          <w:lang w:val="en-US" w:eastAsia="zh-CN"/>
        </w:rPr>
        <w:t>4</w:t>
      </w:r>
      <w:r>
        <w:rPr>
          <w:rFonts w:hint="eastAsia" w:ascii="宋体" w:hAnsi="宋体" w:cs="宋体"/>
          <w:b/>
          <w:color w:val="000000"/>
          <w:szCs w:val="21"/>
        </w:rPr>
        <w:t xml:space="preserve">、报价文件封面格式： </w:t>
      </w:r>
    </w:p>
    <w:p w14:paraId="47DD4714">
      <w:pPr>
        <w:snapToGrid w:val="0"/>
        <w:spacing w:line="360" w:lineRule="auto"/>
        <w:rPr>
          <w:rFonts w:hint="eastAsia" w:ascii="宋体" w:hAnsi="宋体" w:cs="宋体"/>
          <w:b/>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正本/或副本</w:t>
      </w:r>
    </w:p>
    <w:p w14:paraId="00C6145D">
      <w:pPr>
        <w:snapToGrid w:val="0"/>
        <w:spacing w:line="360" w:lineRule="auto"/>
        <w:jc w:val="center"/>
        <w:rPr>
          <w:rFonts w:hint="eastAsia" w:ascii="宋体" w:hAnsi="宋体" w:cs="宋体"/>
          <w:bCs/>
          <w:color w:val="000000"/>
          <w:szCs w:val="21"/>
        </w:rPr>
      </w:pPr>
      <w:r>
        <w:rPr>
          <w:rFonts w:hint="eastAsia" w:ascii="宋体" w:hAnsi="宋体" w:cs="宋体"/>
          <w:bCs/>
          <w:color w:val="000000"/>
          <w:szCs w:val="21"/>
        </w:rPr>
        <w:t>报价文件</w:t>
      </w:r>
    </w:p>
    <w:p w14:paraId="7617B76F">
      <w:pPr>
        <w:snapToGrid w:val="0"/>
        <w:spacing w:line="360" w:lineRule="auto"/>
        <w:ind w:firstLine="934" w:firstLineChars="445"/>
        <w:rPr>
          <w:rFonts w:hint="eastAsia" w:ascii="宋体" w:hAnsi="宋体" w:cs="宋体"/>
          <w:bCs/>
          <w:color w:val="000000"/>
          <w:szCs w:val="21"/>
        </w:rPr>
      </w:pPr>
      <w:r>
        <w:rPr>
          <w:rFonts w:hint="eastAsia" w:ascii="宋体" w:hAnsi="宋体" w:cs="宋体"/>
          <w:bCs/>
          <w:color w:val="000000"/>
          <w:szCs w:val="21"/>
        </w:rPr>
        <w:t>项目名称：</w:t>
      </w:r>
    </w:p>
    <w:p w14:paraId="45AE3166">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 xml:space="preserve">     项目编号：      </w:t>
      </w:r>
    </w:p>
    <w:p w14:paraId="1C39F382">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投标人名称：</w:t>
      </w:r>
    </w:p>
    <w:p w14:paraId="1B1093F5">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投标人地址：</w:t>
      </w:r>
    </w:p>
    <w:p w14:paraId="609D7623">
      <w:pPr>
        <w:pStyle w:val="7"/>
        <w:snapToGrid w:val="0"/>
        <w:spacing w:line="360" w:lineRule="auto"/>
        <w:ind w:firstLine="840" w:firstLineChars="400"/>
        <w:rPr>
          <w:rFonts w:hint="eastAsia" w:ascii="宋体" w:hAnsi="宋体" w:cs="宋体"/>
          <w:bCs/>
          <w:color w:val="000000"/>
          <w:szCs w:val="21"/>
        </w:rPr>
      </w:pPr>
      <w:r>
        <w:rPr>
          <w:rFonts w:hint="eastAsia" w:ascii="宋体" w:hAnsi="宋体" w:cs="宋体"/>
          <w:bCs/>
          <w:color w:val="000000"/>
          <w:szCs w:val="21"/>
        </w:rPr>
        <w:t>在  年  月  日  时  分之前不得启封</w:t>
      </w:r>
    </w:p>
    <w:p w14:paraId="3EA70D9E">
      <w:pPr>
        <w:pStyle w:val="7"/>
        <w:snapToGrid w:val="0"/>
        <w:spacing w:line="360" w:lineRule="auto"/>
        <w:ind w:firstLine="840" w:firstLineChars="400"/>
        <w:rPr>
          <w:rFonts w:hint="eastAsia" w:ascii="宋体" w:hAnsi="宋体" w:cs="宋体"/>
          <w:bCs/>
          <w:color w:val="000000"/>
          <w:szCs w:val="21"/>
        </w:rPr>
      </w:pPr>
    </w:p>
    <w:p w14:paraId="21851A2F">
      <w:pPr>
        <w:snapToGrid w:val="0"/>
        <w:spacing w:line="360" w:lineRule="auto"/>
        <w:ind w:firstLine="3570" w:firstLineChars="1700"/>
        <w:rPr>
          <w:rFonts w:hint="eastAsia" w:ascii="宋体" w:hAnsi="宋体" w:cs="宋体"/>
          <w:color w:val="000000"/>
          <w:szCs w:val="21"/>
        </w:rPr>
      </w:pPr>
    </w:p>
    <w:p w14:paraId="1E7693C5">
      <w:pPr>
        <w:snapToGrid w:val="0"/>
        <w:spacing w:line="360" w:lineRule="auto"/>
        <w:ind w:firstLine="645"/>
        <w:jc w:val="center"/>
        <w:rPr>
          <w:rFonts w:hint="eastAsia" w:ascii="宋体" w:hAnsi="宋体" w:cs="宋体"/>
          <w:color w:val="000000"/>
          <w:szCs w:val="21"/>
        </w:rPr>
      </w:pPr>
      <w:r>
        <w:rPr>
          <w:rFonts w:hint="eastAsia" w:ascii="宋体" w:hAnsi="宋体" w:cs="宋体"/>
          <w:color w:val="000000"/>
          <w:szCs w:val="21"/>
        </w:rPr>
        <w:t xml:space="preserve">                        年  月  日</w:t>
      </w:r>
    </w:p>
    <w:p w14:paraId="6FB93D2B">
      <w:pPr>
        <w:snapToGrid w:val="0"/>
        <w:spacing w:line="360" w:lineRule="auto"/>
        <w:rPr>
          <w:rFonts w:hint="eastAsia" w:ascii="宋体" w:hAnsi="宋体" w:cs="宋体"/>
          <w:szCs w:val="21"/>
        </w:rPr>
      </w:pPr>
    </w:p>
    <w:p w14:paraId="7EEDD1AA">
      <w:pPr>
        <w:snapToGrid w:val="0"/>
        <w:spacing w:line="360" w:lineRule="auto"/>
        <w:rPr>
          <w:rFonts w:hint="eastAsia" w:ascii="宋体" w:hAnsi="宋体" w:cs="宋体"/>
          <w:b/>
          <w:szCs w:val="21"/>
        </w:rPr>
      </w:pPr>
    </w:p>
    <w:p w14:paraId="58FAA860">
      <w:pPr>
        <w:snapToGrid w:val="0"/>
        <w:spacing w:line="360" w:lineRule="auto"/>
        <w:rPr>
          <w:rFonts w:hint="eastAsia" w:ascii="宋体" w:hAnsi="宋体" w:cs="宋体"/>
          <w:b/>
          <w:szCs w:val="21"/>
        </w:rPr>
      </w:pPr>
    </w:p>
    <w:p w14:paraId="2D234133">
      <w:pPr>
        <w:snapToGrid w:val="0"/>
        <w:spacing w:line="360" w:lineRule="auto"/>
        <w:rPr>
          <w:rFonts w:hint="eastAsia" w:ascii="宋体" w:hAnsi="宋体" w:cs="宋体"/>
          <w:b/>
          <w:szCs w:val="21"/>
        </w:rPr>
      </w:pPr>
    </w:p>
    <w:p w14:paraId="1939EBB2">
      <w:pPr>
        <w:snapToGrid w:val="0"/>
        <w:spacing w:line="360" w:lineRule="auto"/>
        <w:rPr>
          <w:rFonts w:hint="eastAsia" w:ascii="宋体" w:hAnsi="宋体" w:cs="宋体"/>
          <w:b/>
          <w:szCs w:val="21"/>
        </w:rPr>
      </w:pPr>
    </w:p>
    <w:p w14:paraId="42C5AC58">
      <w:pPr>
        <w:snapToGrid w:val="0"/>
        <w:spacing w:line="360" w:lineRule="auto"/>
        <w:rPr>
          <w:rFonts w:hint="eastAsia" w:ascii="宋体" w:hAnsi="宋体" w:cs="宋体"/>
          <w:szCs w:val="21"/>
        </w:rPr>
      </w:pPr>
      <w:r>
        <w:rPr>
          <w:rFonts w:hint="eastAsia" w:ascii="宋体" w:hAnsi="宋体" w:cs="宋体"/>
          <w:b/>
          <w:szCs w:val="21"/>
        </w:rPr>
        <w:br w:type="page"/>
      </w:r>
      <w:r>
        <w:rPr>
          <w:rFonts w:hint="eastAsia" w:ascii="宋体" w:hAnsi="宋体" w:cs="宋体"/>
          <w:b/>
          <w:szCs w:val="21"/>
          <w:lang w:val="en-US" w:eastAsia="zh-CN"/>
        </w:rPr>
        <w:t>5</w:t>
      </w:r>
      <w:r>
        <w:rPr>
          <w:rFonts w:hint="eastAsia" w:ascii="宋体" w:hAnsi="宋体" w:cs="宋体"/>
          <w:b/>
          <w:szCs w:val="21"/>
        </w:rPr>
        <w:t>、资信商务及技术文件、投标报价文件目录</w:t>
      </w:r>
      <w:r>
        <w:rPr>
          <w:rFonts w:hint="eastAsia" w:ascii="宋体" w:hAnsi="宋体" w:cs="宋体"/>
          <w:b/>
          <w:bCs/>
          <w:szCs w:val="21"/>
        </w:rPr>
        <w:t>（请按照“第三章投标人须知，三、投标文件的编制”的顺序自行编制目录）</w:t>
      </w:r>
    </w:p>
    <w:p w14:paraId="71656E28">
      <w:pPr>
        <w:snapToGrid w:val="0"/>
        <w:spacing w:line="360" w:lineRule="auto"/>
        <w:rPr>
          <w:rFonts w:hint="eastAsia" w:ascii="宋体" w:hAnsi="宋体" w:cs="宋体"/>
          <w:b/>
          <w:bCs/>
          <w:szCs w:val="21"/>
        </w:rPr>
      </w:pPr>
      <w:r>
        <w:rPr>
          <w:rFonts w:hint="eastAsia" w:ascii="宋体" w:hAnsi="宋体" w:cs="宋体"/>
          <w:b/>
          <w:bCs/>
          <w:szCs w:val="21"/>
        </w:rPr>
        <w:t>例如：</w:t>
      </w:r>
    </w:p>
    <w:p w14:paraId="78E5B21A">
      <w:pPr>
        <w:snapToGrid w:val="0"/>
        <w:spacing w:line="360" w:lineRule="auto"/>
        <w:rPr>
          <w:rFonts w:hint="eastAsia" w:ascii="宋体" w:hAnsi="宋体" w:cs="宋体"/>
          <w:szCs w:val="21"/>
        </w:rPr>
      </w:pPr>
      <w:r>
        <w:rPr>
          <w:rFonts w:hint="eastAsia" w:ascii="宋体" w:hAnsi="宋体" w:cs="宋体"/>
          <w:b/>
          <w:bCs/>
          <w:szCs w:val="21"/>
        </w:rPr>
        <w:t>资信商务文件：</w:t>
      </w:r>
    </w:p>
    <w:p w14:paraId="1F34D446">
      <w:pPr>
        <w:snapToGrid w:val="0"/>
        <w:spacing w:line="360" w:lineRule="auto"/>
        <w:jc w:val="left"/>
        <w:rPr>
          <w:rFonts w:hint="eastAsia" w:ascii="宋体" w:hAnsi="宋体" w:cs="宋体"/>
          <w:szCs w:val="21"/>
        </w:rPr>
      </w:pPr>
      <w:r>
        <w:rPr>
          <w:rFonts w:hint="eastAsia" w:ascii="宋体" w:hAnsi="宋体" w:cs="宋体"/>
          <w:szCs w:val="21"/>
        </w:rPr>
        <w:t>（1）投标声明书 (格式见附件) ——————————————</w:t>
      </w:r>
    </w:p>
    <w:p w14:paraId="4FF7BDDA">
      <w:pPr>
        <w:snapToGrid w:val="0"/>
        <w:spacing w:line="360" w:lineRule="auto"/>
        <w:jc w:val="left"/>
        <w:rPr>
          <w:rFonts w:hint="eastAsia" w:ascii="宋体" w:hAnsi="宋体" w:cs="宋体"/>
          <w:szCs w:val="21"/>
        </w:rPr>
        <w:sectPr>
          <w:footerReference r:id="rId14"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szCs w:val="21"/>
        </w:rPr>
        <w:t>（2）法定代表人授权委托书(格式见附件) ——————————</w:t>
      </w:r>
    </w:p>
    <w:p w14:paraId="63B25562">
      <w:pPr>
        <w:snapToGrid w:val="0"/>
        <w:spacing w:line="360" w:lineRule="auto"/>
        <w:jc w:val="left"/>
        <w:rPr>
          <w:rFonts w:hint="eastAsia" w:ascii="宋体" w:hAnsi="宋体" w:cs="宋体"/>
          <w:b/>
          <w:szCs w:val="21"/>
        </w:rPr>
      </w:pPr>
      <w:r>
        <w:rPr>
          <w:rFonts w:hint="eastAsia" w:ascii="宋体" w:hAnsi="宋体" w:cs="宋体"/>
          <w:b/>
          <w:szCs w:val="21"/>
          <w:lang w:val="en-US" w:eastAsia="zh-CN"/>
        </w:rPr>
        <w:t>6</w:t>
      </w:r>
      <w:r>
        <w:rPr>
          <w:rFonts w:hint="eastAsia" w:ascii="宋体" w:hAnsi="宋体" w:cs="宋体"/>
          <w:b/>
          <w:szCs w:val="21"/>
        </w:rPr>
        <w:t>、投标声明书格式：</w:t>
      </w:r>
    </w:p>
    <w:p w14:paraId="596E77A7">
      <w:pPr>
        <w:snapToGrid w:val="0"/>
        <w:spacing w:line="360" w:lineRule="auto"/>
        <w:jc w:val="center"/>
        <w:rPr>
          <w:rFonts w:hint="eastAsia" w:ascii="宋体" w:hAnsi="宋体" w:cs="宋体"/>
          <w:szCs w:val="21"/>
        </w:rPr>
      </w:pPr>
      <w:r>
        <w:rPr>
          <w:rFonts w:hint="eastAsia" w:ascii="宋体" w:hAnsi="宋体" w:cs="宋体"/>
          <w:szCs w:val="21"/>
        </w:rPr>
        <w:t>投标声明书</w:t>
      </w:r>
    </w:p>
    <w:p w14:paraId="00F87132">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（招标采购单位名称）：</w:t>
      </w:r>
    </w:p>
    <w:p w14:paraId="5AD9F179">
      <w:pPr>
        <w:snapToGrid w:val="0"/>
        <w:spacing w:line="360" w:lineRule="auto"/>
        <w:ind w:firstLine="630" w:firstLineChars="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78376617">
      <w:pPr>
        <w:snapToGrid w:val="0"/>
        <w:spacing w:line="360" w:lineRule="auto"/>
        <w:ind w:firstLine="645"/>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项目的投标，为便于贵方公正、择优地确定中标人及其投标产品和服务，我方就本次投标有关事项郑重声明如下：</w:t>
      </w:r>
    </w:p>
    <w:p w14:paraId="3124A741">
      <w:pPr>
        <w:snapToGrid w:val="0"/>
        <w:spacing w:line="360" w:lineRule="auto"/>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6C4B4A38">
      <w:pPr>
        <w:snapToGrid w:val="0"/>
        <w:spacing w:line="360" w:lineRule="auto"/>
        <w:ind w:firstLine="420" w:firstLineChars="200"/>
        <w:rPr>
          <w:rFonts w:hint="eastAsia"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14:paraId="6F2E502B">
      <w:pPr>
        <w:snapToGrid w:val="0"/>
        <w:spacing w:line="360" w:lineRule="auto"/>
        <w:ind w:firstLine="480" w:firstLineChars="200"/>
        <w:rPr>
          <w:rFonts w:hint="eastAsia" w:ascii="宋体" w:hAnsi="宋体" w:cs="宋体"/>
          <w:szCs w:val="21"/>
        </w:rPr>
      </w:pPr>
      <w:r>
        <w:rPr>
          <w:rFonts w:hint="eastAsia" w:ascii="宋体" w:hAnsi="宋体" w:cs="宋体"/>
          <w:spacing w:val="15"/>
          <w:kern w:val="0"/>
          <w:szCs w:val="21"/>
        </w:rPr>
        <w:t>3.我方此次向贵方提供的服务名称为</w:t>
      </w:r>
      <w:r>
        <w:rPr>
          <w:rFonts w:hint="eastAsia" w:ascii="宋体" w:hAnsi="宋体" w:cs="宋体"/>
          <w:szCs w:val="21"/>
          <w:u w:val="single"/>
        </w:rPr>
        <w:t xml:space="preserve">                        </w:t>
      </w:r>
      <w:r>
        <w:rPr>
          <w:rFonts w:hint="eastAsia" w:ascii="宋体" w:hAnsi="宋体" w:cs="宋体"/>
          <w:szCs w:val="21"/>
        </w:rPr>
        <w:t>。</w:t>
      </w:r>
    </w:p>
    <w:p w14:paraId="327D7AE5">
      <w:pPr>
        <w:snapToGrid w:val="0"/>
        <w:spacing w:line="360" w:lineRule="auto"/>
        <w:ind w:firstLine="420" w:firstLineChars="200"/>
        <w:rPr>
          <w:rFonts w:hint="eastAsia" w:ascii="宋体" w:hAnsi="宋体" w:cs="宋体"/>
          <w:szCs w:val="21"/>
        </w:rPr>
      </w:pPr>
      <w:r>
        <w:rPr>
          <w:rFonts w:hint="eastAsia" w:ascii="宋体" w:hAnsi="宋体" w:cs="宋体"/>
          <w:szCs w:val="21"/>
        </w:rPr>
        <w:t>4.我方诚意提请贵方关注：近期有关该项目的售后服务等方面的重大决策和事项有：</w:t>
      </w:r>
    </w:p>
    <w:p w14:paraId="17E54723">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w:t>
      </w:r>
    </w:p>
    <w:p w14:paraId="26377F5B">
      <w:pPr>
        <w:pStyle w:val="14"/>
        <w:snapToGrid w:val="0"/>
        <w:spacing w:line="360" w:lineRule="auto"/>
        <w:ind w:firstLine="420" w:firstLineChars="200"/>
        <w:rPr>
          <w:rFonts w:hint="eastAsia" w:hAnsi="宋体" w:cs="宋体"/>
          <w:sz w:val="21"/>
          <w:szCs w:val="21"/>
        </w:rPr>
      </w:pPr>
      <w:r>
        <w:rPr>
          <w:rFonts w:hint="eastAsia" w:hAnsi="宋体" w:cs="宋体"/>
          <w:sz w:val="21"/>
          <w:szCs w:val="21"/>
        </w:rPr>
        <w:t>5.我方及由本人担任法定代表人的其他机构最近三年内被通报或者被处罚的违法行为有：</w:t>
      </w:r>
    </w:p>
    <w:p w14:paraId="48040AAB">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w:t>
      </w:r>
    </w:p>
    <w:p w14:paraId="0B42DF95">
      <w:pPr>
        <w:snapToGrid w:val="0"/>
        <w:spacing w:line="360" w:lineRule="auto"/>
        <w:ind w:firstLine="420" w:firstLineChars="200"/>
        <w:rPr>
          <w:rFonts w:hint="eastAsia" w:ascii="宋体" w:hAnsi="宋体" w:cs="宋体"/>
          <w:szCs w:val="21"/>
        </w:rPr>
      </w:pPr>
      <w:r>
        <w:rPr>
          <w:rFonts w:hint="eastAsia" w:ascii="宋体" w:hAnsi="宋体" w:cs="宋体"/>
          <w:szCs w:val="21"/>
        </w:rPr>
        <w:t>6.以上事项如有虚假或隐瞒，我方愿意承担一切后果，并不再寻求任何旨在减轻或免除法律责任的辩解。</w:t>
      </w:r>
    </w:p>
    <w:p w14:paraId="1DAEE203">
      <w:pPr>
        <w:pStyle w:val="101"/>
        <w:snapToGrid w:val="0"/>
        <w:spacing w:line="360" w:lineRule="auto"/>
        <w:ind w:firstLine="200"/>
        <w:rPr>
          <w:rFonts w:hint="eastAsia" w:ascii="宋体" w:hAnsi="宋体" w:cs="宋体"/>
          <w:sz w:val="21"/>
          <w:szCs w:val="21"/>
        </w:rPr>
      </w:pPr>
    </w:p>
    <w:p w14:paraId="5B1A15AB">
      <w:pPr>
        <w:snapToGrid w:val="0"/>
        <w:spacing w:line="360" w:lineRule="auto"/>
        <w:ind w:firstLine="200"/>
        <w:rPr>
          <w:rFonts w:hint="eastAsia"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14:paraId="458935B3">
      <w:pPr>
        <w:snapToGrid w:val="0"/>
        <w:spacing w:line="360" w:lineRule="auto"/>
        <w:ind w:firstLine="210" w:firstLineChars="100"/>
        <w:rPr>
          <w:rFonts w:hint="eastAsia" w:ascii="宋体" w:hAnsi="宋体" w:cs="宋体"/>
          <w:szCs w:val="21"/>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rPr>
        <w:t xml:space="preserve">                      年    月    日</w:t>
      </w:r>
    </w:p>
    <w:p w14:paraId="3AFB257B">
      <w:pPr>
        <w:snapToGrid w:val="0"/>
        <w:spacing w:line="360" w:lineRule="auto"/>
        <w:ind w:firstLine="4200" w:firstLineChars="2000"/>
        <w:rPr>
          <w:rFonts w:hint="eastAsia" w:ascii="宋体" w:hAnsi="宋体" w:cs="宋体"/>
          <w:szCs w:val="21"/>
        </w:rPr>
      </w:pPr>
    </w:p>
    <w:p w14:paraId="7F88AD50">
      <w:pPr>
        <w:snapToGrid w:val="0"/>
        <w:spacing w:line="360" w:lineRule="auto"/>
        <w:jc w:val="left"/>
        <w:rPr>
          <w:rFonts w:hint="eastAsia" w:ascii="宋体" w:hAnsi="宋体" w:cs="宋体"/>
          <w:szCs w:val="21"/>
        </w:rPr>
      </w:pPr>
    </w:p>
    <w:p w14:paraId="583E1819">
      <w:pPr>
        <w:snapToGrid w:val="0"/>
        <w:spacing w:line="360" w:lineRule="auto"/>
        <w:jc w:val="left"/>
        <w:rPr>
          <w:rFonts w:hint="eastAsia" w:ascii="宋体" w:hAnsi="宋体" w:cs="宋体"/>
          <w:szCs w:val="21"/>
        </w:rPr>
      </w:pPr>
    </w:p>
    <w:p w14:paraId="53E89ED3">
      <w:pPr>
        <w:snapToGrid w:val="0"/>
        <w:spacing w:line="360" w:lineRule="auto"/>
        <w:jc w:val="left"/>
        <w:rPr>
          <w:rFonts w:hint="eastAsia" w:ascii="宋体" w:hAnsi="宋体" w:cs="宋体"/>
          <w:szCs w:val="21"/>
        </w:rPr>
      </w:pPr>
    </w:p>
    <w:p w14:paraId="0D8738CA">
      <w:pPr>
        <w:snapToGrid w:val="0"/>
        <w:spacing w:line="360" w:lineRule="auto"/>
        <w:jc w:val="left"/>
        <w:rPr>
          <w:rFonts w:hint="eastAsia" w:ascii="宋体" w:hAnsi="宋体" w:cs="宋体"/>
          <w:szCs w:val="21"/>
        </w:rPr>
      </w:pPr>
    </w:p>
    <w:p w14:paraId="40FF543D">
      <w:pPr>
        <w:snapToGrid w:val="0"/>
        <w:spacing w:line="360" w:lineRule="auto"/>
        <w:jc w:val="left"/>
        <w:rPr>
          <w:rFonts w:hint="eastAsia" w:ascii="宋体" w:hAnsi="宋体" w:cs="宋体"/>
          <w:b/>
          <w:szCs w:val="21"/>
        </w:rPr>
      </w:pPr>
      <w:r>
        <w:rPr>
          <w:rFonts w:hint="eastAsia" w:ascii="宋体" w:hAnsi="宋体" w:cs="宋体"/>
          <w:b/>
          <w:szCs w:val="21"/>
        </w:rPr>
        <w:br w:type="page"/>
      </w:r>
      <w:r>
        <w:rPr>
          <w:rFonts w:hint="eastAsia" w:ascii="宋体" w:hAnsi="宋体" w:cs="宋体"/>
          <w:b/>
          <w:szCs w:val="21"/>
          <w:lang w:val="en-US" w:eastAsia="zh-CN"/>
        </w:rPr>
        <w:t>7</w:t>
      </w:r>
      <w:r>
        <w:rPr>
          <w:rFonts w:hint="eastAsia" w:ascii="宋体" w:hAnsi="宋体" w:cs="宋体"/>
          <w:b/>
          <w:szCs w:val="21"/>
        </w:rPr>
        <w:t>、法定代表人授权委托书格式：</w:t>
      </w:r>
    </w:p>
    <w:p w14:paraId="63A59321">
      <w:pPr>
        <w:snapToGrid w:val="0"/>
        <w:spacing w:line="360" w:lineRule="auto"/>
        <w:jc w:val="center"/>
        <w:rPr>
          <w:rFonts w:hint="eastAsia" w:ascii="宋体" w:hAnsi="宋体" w:cs="宋体"/>
          <w:szCs w:val="21"/>
        </w:rPr>
      </w:pPr>
    </w:p>
    <w:p w14:paraId="48314497">
      <w:pPr>
        <w:snapToGrid w:val="0"/>
        <w:spacing w:line="360" w:lineRule="auto"/>
        <w:jc w:val="center"/>
        <w:rPr>
          <w:rFonts w:hint="eastAsia" w:ascii="宋体" w:hAnsi="宋体" w:cs="宋体"/>
          <w:b/>
          <w:szCs w:val="21"/>
        </w:rPr>
      </w:pPr>
      <w:r>
        <w:rPr>
          <w:rFonts w:hint="eastAsia" w:ascii="宋体" w:hAnsi="宋体" w:cs="宋体"/>
          <w:b/>
          <w:szCs w:val="21"/>
        </w:rPr>
        <w:t>法定代表人授权委托书</w:t>
      </w:r>
    </w:p>
    <w:p w14:paraId="2D036854">
      <w:pPr>
        <w:snapToGrid w:val="0"/>
        <w:spacing w:line="360" w:lineRule="auto"/>
        <w:rPr>
          <w:rFonts w:hint="eastAsia" w:ascii="宋体" w:hAnsi="宋体" w:cs="宋体"/>
          <w:b/>
          <w:bCs/>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（招标采购单位名称）</w:t>
      </w:r>
      <w:r>
        <w:rPr>
          <w:rFonts w:hint="eastAsia" w:ascii="宋体" w:hAnsi="宋体" w:cs="宋体"/>
          <w:b/>
          <w:bCs/>
          <w:szCs w:val="21"/>
        </w:rPr>
        <w:t xml:space="preserve"> </w:t>
      </w:r>
      <w:r>
        <w:rPr>
          <w:rFonts w:hint="eastAsia" w:ascii="宋体" w:hAnsi="宋体" w:cs="宋体"/>
          <w:szCs w:val="21"/>
        </w:rPr>
        <w:t>：</w:t>
      </w:r>
    </w:p>
    <w:p w14:paraId="07FCBCF9">
      <w:pPr>
        <w:snapToGrid w:val="0"/>
        <w:spacing w:line="360" w:lineRule="auto"/>
        <w:ind w:firstLine="630" w:firstLineChars="3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20FBB26A">
      <w:pPr>
        <w:snapToGrid w:val="0"/>
        <w:spacing w:line="360" w:lineRule="auto"/>
        <w:rPr>
          <w:rFonts w:hint="eastAsia" w:ascii="宋体" w:hAnsi="宋体" w:cs="宋体"/>
          <w:szCs w:val="21"/>
        </w:rPr>
      </w:pPr>
      <w:r>
        <w:rPr>
          <w:rFonts w:hint="eastAsia" w:ascii="宋体" w:hAnsi="宋体" w:cs="宋体"/>
          <w:szCs w:val="21"/>
        </w:rPr>
        <w:t xml:space="preserve">    我方对被授权人的签名事项负全部责任。</w:t>
      </w:r>
    </w:p>
    <w:p w14:paraId="1BE5FA81">
      <w:pPr>
        <w:snapToGrid w:val="0"/>
        <w:spacing w:line="360" w:lineRule="auto"/>
        <w:ind w:firstLine="480"/>
        <w:rPr>
          <w:rFonts w:hint="eastAsia"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14:paraId="2B66A7BE">
      <w:pPr>
        <w:snapToGrid w:val="0"/>
        <w:spacing w:line="360" w:lineRule="auto"/>
        <w:ind w:firstLine="480"/>
        <w:rPr>
          <w:rFonts w:hint="eastAsia" w:ascii="宋体" w:hAnsi="宋体" w:cs="宋体"/>
          <w:szCs w:val="21"/>
        </w:rPr>
      </w:pPr>
      <w:r>
        <w:rPr>
          <w:rFonts w:hint="eastAsia" w:ascii="宋体" w:hAnsi="宋体" w:cs="宋体"/>
          <w:szCs w:val="21"/>
        </w:rPr>
        <w:t>被授权人无转委托权，特此委托。</w:t>
      </w:r>
    </w:p>
    <w:p w14:paraId="2429FFFD">
      <w:pPr>
        <w:snapToGrid w:val="0"/>
        <w:spacing w:line="360" w:lineRule="auto"/>
        <w:rPr>
          <w:rFonts w:hint="eastAsia" w:ascii="宋体" w:hAnsi="宋体" w:cs="宋体"/>
          <w:szCs w:val="21"/>
        </w:rPr>
      </w:pPr>
    </w:p>
    <w:p w14:paraId="75370196">
      <w:pPr>
        <w:snapToGrid w:val="0"/>
        <w:spacing w:line="360" w:lineRule="auto"/>
        <w:rPr>
          <w:rFonts w:hint="eastAsia"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法定代表人签名（或盖章）：</w:t>
      </w:r>
      <w:r>
        <w:rPr>
          <w:rFonts w:hint="eastAsia" w:ascii="宋体" w:hAnsi="宋体" w:cs="宋体"/>
          <w:szCs w:val="21"/>
          <w:u w:val="single"/>
        </w:rPr>
        <w:t xml:space="preserve">          </w:t>
      </w:r>
    </w:p>
    <w:p w14:paraId="43E73E6D">
      <w:pPr>
        <w:snapToGrid w:val="0"/>
        <w:spacing w:line="360" w:lineRule="auto"/>
        <w:ind w:firstLine="840" w:firstLineChars="400"/>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40857FA9">
      <w:pPr>
        <w:snapToGrid w:val="0"/>
        <w:spacing w:line="360" w:lineRule="auto"/>
        <w:rPr>
          <w:rFonts w:hint="eastAsia"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77071EA0">
      <w:pPr>
        <w:snapToGrid w:val="0"/>
        <w:spacing w:line="360" w:lineRule="auto"/>
        <w:rPr>
          <w:rFonts w:hint="eastAsia" w:ascii="宋体" w:hAnsi="宋体" w:cs="宋体"/>
          <w:szCs w:val="21"/>
        </w:rPr>
      </w:pPr>
      <w:r>
        <w:rPr>
          <w:rFonts w:hint="eastAsia" w:ascii="宋体" w:hAnsi="宋体" w:cs="宋体"/>
          <w:szCs w:val="21"/>
        </w:rPr>
        <w:t xml:space="preserve">                                   </w:t>
      </w:r>
    </w:p>
    <w:p w14:paraId="0DD4F9C8">
      <w:pPr>
        <w:snapToGrid w:val="0"/>
        <w:spacing w:line="360" w:lineRule="auto"/>
        <w:ind w:firstLine="4830" w:firstLineChars="2300"/>
        <w:rPr>
          <w:rFonts w:hint="eastAsia" w:ascii="宋体" w:hAnsi="宋体" w:cs="宋体"/>
          <w:szCs w:val="21"/>
        </w:rPr>
      </w:pPr>
      <w:r>
        <w:rPr>
          <w:rFonts w:hint="eastAsia" w:ascii="宋体" w:hAnsi="宋体" w:cs="宋体"/>
          <w:szCs w:val="21"/>
        </w:rPr>
        <w:t xml:space="preserve">  投标人公章：</w:t>
      </w:r>
    </w:p>
    <w:p w14:paraId="2EAC647B">
      <w:pPr>
        <w:snapToGrid w:val="0"/>
        <w:spacing w:line="360" w:lineRule="auto"/>
        <w:jc w:val="center"/>
        <w:rPr>
          <w:rFonts w:hint="eastAsia" w:ascii="宋体" w:hAnsi="宋体" w:cs="宋体"/>
          <w:szCs w:val="21"/>
        </w:rPr>
      </w:pPr>
      <w:r>
        <w:rPr>
          <w:rFonts w:hint="eastAsia" w:ascii="宋体" w:hAnsi="宋体" w:cs="宋体"/>
          <w:szCs w:val="21"/>
        </w:rPr>
        <w:t xml:space="preserve">                                        年    月    日</w:t>
      </w:r>
    </w:p>
    <w:p w14:paraId="0880CE3C">
      <w:pPr>
        <w:snapToGrid w:val="0"/>
        <w:spacing w:line="360" w:lineRule="auto"/>
        <w:ind w:firstLine="3150" w:firstLineChars="1500"/>
        <w:rPr>
          <w:rFonts w:hint="eastAsia" w:ascii="宋体" w:hAnsi="宋体" w:cs="宋体"/>
          <w:szCs w:val="21"/>
        </w:rPr>
      </w:pPr>
    </w:p>
    <w:p w14:paraId="49D1D990">
      <w:pPr>
        <w:snapToGrid w:val="0"/>
        <w:spacing w:line="360" w:lineRule="auto"/>
        <w:rPr>
          <w:rFonts w:hint="eastAsia" w:ascii="宋体" w:hAnsi="宋体" w:cs="宋体"/>
          <w:szCs w:val="21"/>
        </w:rPr>
      </w:pPr>
      <w:r>
        <w:rPr>
          <w:rFonts w:hint="eastAsia" w:ascii="宋体" w:hAnsi="宋体" w:cs="宋体"/>
          <w:szCs w:val="21"/>
        </w:rPr>
        <w:t>法定代表人身份证复印件粘贴处（正反面）  被授权人身份证复印件粘贴处（正反面）</w:t>
      </w:r>
    </w:p>
    <w:p w14:paraId="0C969152">
      <w:pPr>
        <w:snapToGrid w:val="0"/>
        <w:spacing w:line="360" w:lineRule="auto"/>
        <w:jc w:val="left"/>
        <w:rPr>
          <w:rFonts w:hint="eastAsia" w:ascii="宋体" w:hAnsi="宋体" w:cs="宋体"/>
          <w:szCs w:val="21"/>
        </w:rPr>
        <w:sectPr>
          <w:footerReference r:id="rId15"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50D8DCA2">
      <w:pPr>
        <w:snapToGrid w:val="0"/>
        <w:spacing w:line="360" w:lineRule="auto"/>
        <w:jc w:val="left"/>
        <w:rPr>
          <w:rFonts w:hint="eastAsia" w:ascii="宋体" w:hAnsi="宋体" w:cs="宋体"/>
          <w:b/>
          <w:szCs w:val="21"/>
        </w:rPr>
      </w:pPr>
      <w:r>
        <w:rPr>
          <w:rFonts w:hint="eastAsia" w:ascii="宋体" w:hAnsi="宋体" w:cs="宋体"/>
          <w:b/>
          <w:szCs w:val="21"/>
          <w:lang w:val="en-US" w:eastAsia="zh-CN"/>
        </w:rPr>
        <w:t>8</w:t>
      </w:r>
      <w:r>
        <w:rPr>
          <w:rFonts w:hint="eastAsia" w:ascii="宋体" w:hAnsi="宋体" w:cs="宋体"/>
          <w:b/>
          <w:szCs w:val="21"/>
        </w:rPr>
        <w:t>、投标人的类似成功案例的业绩证明文件：</w:t>
      </w:r>
    </w:p>
    <w:p w14:paraId="39375452">
      <w:pPr>
        <w:pStyle w:val="22"/>
        <w:snapToGrid w:val="0"/>
        <w:spacing w:line="360" w:lineRule="auto"/>
        <w:ind w:left="420" w:hanging="420"/>
        <w:rPr>
          <w:rFonts w:hint="eastAsia" w:ascii="宋体" w:hAnsi="宋体" w:cs="宋体"/>
          <w:szCs w:val="21"/>
        </w:rPr>
      </w:pPr>
      <w:r>
        <w:rPr>
          <w:rFonts w:hint="eastAsia" w:ascii="宋体" w:hAnsi="宋体" w:cs="宋体"/>
          <w:szCs w:val="21"/>
        </w:rPr>
        <w:t>投标人同类项目实施情况一览表格式：</w:t>
      </w:r>
    </w:p>
    <w:tbl>
      <w:tblPr>
        <w:tblStyle w:val="27"/>
        <w:tblW w:w="142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55007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26BACC0B">
            <w:pPr>
              <w:snapToGrid w:val="0"/>
              <w:spacing w:line="360" w:lineRule="auto"/>
              <w:jc w:val="center"/>
              <w:rPr>
                <w:rFonts w:hint="eastAsia" w:ascii="宋体" w:hAnsi="宋体" w:cs="宋体"/>
                <w:szCs w:val="21"/>
              </w:rPr>
            </w:pPr>
            <w:r>
              <w:rPr>
                <w:rFonts w:hint="eastAsia" w:ascii="宋体" w:hAnsi="宋体" w:cs="宋体"/>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4D840DAB">
            <w:pPr>
              <w:snapToGrid w:val="0"/>
              <w:spacing w:line="360" w:lineRule="auto"/>
              <w:jc w:val="center"/>
              <w:rPr>
                <w:rFonts w:hint="eastAsia" w:ascii="宋体" w:hAnsi="宋体" w:cs="宋体"/>
                <w:szCs w:val="21"/>
              </w:rPr>
            </w:pPr>
            <w:r>
              <w:rPr>
                <w:rFonts w:hint="eastAsia" w:ascii="宋体" w:hAnsi="宋体" w:cs="宋体"/>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4115E72">
            <w:pPr>
              <w:snapToGrid w:val="0"/>
              <w:spacing w:line="360" w:lineRule="auto"/>
              <w:jc w:val="center"/>
              <w:rPr>
                <w:rFonts w:hint="eastAsia" w:ascii="宋体" w:hAnsi="宋体" w:cs="宋体"/>
                <w:szCs w:val="21"/>
              </w:rPr>
            </w:pPr>
            <w:r>
              <w:rPr>
                <w:rFonts w:hint="eastAsia" w:ascii="宋体" w:hAnsi="宋体" w:cs="宋体"/>
                <w:szCs w:val="21"/>
              </w:rPr>
              <w:t>采购</w:t>
            </w:r>
          </w:p>
          <w:p w14:paraId="7039C34D">
            <w:pPr>
              <w:snapToGrid w:val="0"/>
              <w:spacing w:line="360" w:lineRule="auto"/>
              <w:jc w:val="center"/>
              <w:rPr>
                <w:rFonts w:hint="eastAsia" w:ascii="宋体" w:hAnsi="宋体" w:cs="宋体"/>
                <w:szCs w:val="21"/>
              </w:rPr>
            </w:pPr>
            <w:r>
              <w:rPr>
                <w:rFonts w:hint="eastAsia" w:ascii="宋体" w:hAnsi="宋体" w:cs="宋体"/>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0E9DD06">
            <w:pPr>
              <w:snapToGrid w:val="0"/>
              <w:spacing w:line="360" w:lineRule="auto"/>
              <w:jc w:val="center"/>
              <w:rPr>
                <w:rFonts w:hint="eastAsia" w:ascii="宋体" w:hAnsi="宋体" w:cs="宋体"/>
                <w:szCs w:val="21"/>
              </w:rPr>
            </w:pPr>
            <w:r>
              <w:rPr>
                <w:rFonts w:hint="eastAsia" w:ascii="宋体" w:hAnsi="宋体" w:cs="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232306C0">
            <w:pPr>
              <w:snapToGrid w:val="0"/>
              <w:spacing w:line="360" w:lineRule="auto"/>
              <w:jc w:val="center"/>
              <w:rPr>
                <w:rFonts w:hint="eastAsia" w:ascii="宋体" w:hAnsi="宋体" w:cs="宋体"/>
                <w:szCs w:val="21"/>
              </w:rPr>
            </w:pPr>
            <w:r>
              <w:rPr>
                <w:rFonts w:hint="eastAsia" w:ascii="宋体" w:hAnsi="宋体" w:cs="宋体"/>
                <w:szCs w:val="21"/>
              </w:rPr>
              <w:t>合同</w:t>
            </w:r>
          </w:p>
          <w:p w14:paraId="4C6058C4">
            <w:pPr>
              <w:snapToGrid w:val="0"/>
              <w:spacing w:line="360" w:lineRule="auto"/>
              <w:jc w:val="center"/>
              <w:rPr>
                <w:rFonts w:hint="eastAsia" w:ascii="宋体" w:hAnsi="宋体" w:cs="宋体"/>
                <w:szCs w:val="21"/>
              </w:rPr>
            </w:pPr>
            <w:r>
              <w:rPr>
                <w:rFonts w:hint="eastAsia" w:ascii="宋体" w:hAnsi="宋体" w:cs="宋体"/>
                <w:szCs w:val="21"/>
              </w:rPr>
              <w:t>金额</w:t>
            </w:r>
          </w:p>
          <w:p w14:paraId="601A4950">
            <w:pPr>
              <w:snapToGrid w:val="0"/>
              <w:spacing w:line="360" w:lineRule="auto"/>
              <w:jc w:val="center"/>
              <w:rPr>
                <w:rFonts w:hint="eastAsia" w:ascii="宋体" w:hAnsi="宋体" w:cs="宋体"/>
                <w:szCs w:val="21"/>
              </w:rPr>
            </w:pPr>
            <w:r>
              <w:rPr>
                <w:rFonts w:hint="eastAsia" w:ascii="宋体" w:hAnsi="宋体" w:cs="宋体"/>
                <w:szCs w:val="21"/>
              </w:rPr>
              <w:t>（万元）</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08887A25">
            <w:pPr>
              <w:snapToGrid w:val="0"/>
              <w:spacing w:line="360" w:lineRule="auto"/>
              <w:jc w:val="center"/>
              <w:rPr>
                <w:rFonts w:hint="eastAsia" w:ascii="宋体" w:hAnsi="宋体" w:cs="宋体"/>
                <w:szCs w:val="21"/>
              </w:rPr>
            </w:pPr>
            <w:r>
              <w:rPr>
                <w:rFonts w:hint="eastAsia" w:ascii="宋体" w:hAnsi="宋体" w:cs="宋体"/>
                <w:szCs w:val="21"/>
              </w:rPr>
              <w:t>附件页码</w:t>
            </w:r>
          </w:p>
        </w:tc>
        <w:tc>
          <w:tcPr>
            <w:tcW w:w="3118" w:type="dxa"/>
            <w:vMerge w:val="restart"/>
            <w:tcBorders>
              <w:top w:val="single" w:color="auto" w:sz="4" w:space="0"/>
              <w:left w:val="single" w:color="auto" w:sz="4" w:space="0"/>
              <w:bottom w:val="single" w:color="auto" w:sz="4" w:space="0"/>
              <w:right w:val="single" w:color="auto" w:sz="4" w:space="0"/>
            </w:tcBorders>
            <w:noWrap w:val="0"/>
            <w:vAlign w:val="center"/>
          </w:tcPr>
          <w:p w14:paraId="083BF96C">
            <w:pPr>
              <w:snapToGrid w:val="0"/>
              <w:spacing w:line="360" w:lineRule="auto"/>
              <w:jc w:val="center"/>
              <w:rPr>
                <w:rFonts w:hint="eastAsia" w:ascii="宋体" w:hAnsi="宋体" w:cs="宋体"/>
                <w:szCs w:val="21"/>
              </w:rPr>
            </w:pPr>
            <w:r>
              <w:rPr>
                <w:rFonts w:hint="eastAsia" w:ascii="宋体" w:hAnsi="宋体" w:cs="宋体"/>
                <w:szCs w:val="21"/>
              </w:rPr>
              <w:t>采购单位联系人及</w:t>
            </w:r>
          </w:p>
          <w:p w14:paraId="65C16239">
            <w:pPr>
              <w:snapToGrid w:val="0"/>
              <w:spacing w:line="360" w:lineRule="auto"/>
              <w:jc w:val="center"/>
              <w:rPr>
                <w:rFonts w:hint="eastAsia" w:ascii="宋体" w:hAnsi="宋体" w:cs="宋体"/>
                <w:szCs w:val="21"/>
              </w:rPr>
            </w:pPr>
            <w:r>
              <w:rPr>
                <w:rFonts w:hint="eastAsia" w:ascii="宋体" w:hAnsi="宋体" w:cs="宋体"/>
                <w:szCs w:val="21"/>
              </w:rPr>
              <w:t>联系电话</w:t>
            </w:r>
          </w:p>
        </w:tc>
      </w:tr>
      <w:tr w14:paraId="7E711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0F72BBF0">
            <w:pPr>
              <w:widowControl/>
              <w:spacing w:line="360" w:lineRule="auto"/>
              <w:jc w:val="left"/>
              <w:rPr>
                <w:rFonts w:hint="eastAsia" w:ascii="宋体" w:hAnsi="宋体" w:cs="宋体"/>
                <w:szCs w:val="21"/>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4F386A88">
            <w:pPr>
              <w:widowControl/>
              <w:spacing w:line="360" w:lineRule="auto"/>
              <w:jc w:val="left"/>
              <w:rPr>
                <w:rFonts w:hint="eastAsia"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67146C">
            <w:pPr>
              <w:widowControl/>
              <w:spacing w:line="360" w:lineRule="auto"/>
              <w:jc w:val="left"/>
              <w:rPr>
                <w:rFonts w:hint="eastAsia"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63FB80">
            <w:pPr>
              <w:widowControl/>
              <w:spacing w:line="360" w:lineRule="auto"/>
              <w:jc w:val="left"/>
              <w:rPr>
                <w:rFonts w:hint="eastAsia" w:ascii="宋体" w:hAnsi="宋体" w:cs="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43BF97CB">
            <w:pPr>
              <w:widowControl/>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19D698B">
            <w:pPr>
              <w:snapToGrid w:val="0"/>
              <w:spacing w:line="360" w:lineRule="auto"/>
              <w:jc w:val="center"/>
              <w:rPr>
                <w:rFonts w:hint="eastAsia" w:ascii="宋体" w:hAnsi="宋体" w:cs="宋体"/>
                <w:szCs w:val="21"/>
              </w:rPr>
            </w:pPr>
            <w:r>
              <w:rPr>
                <w:rFonts w:hint="eastAsia" w:ascii="宋体" w:hAnsi="宋体" w:cs="宋体"/>
                <w:szCs w:val="21"/>
              </w:rPr>
              <w:t>合同</w:t>
            </w:r>
          </w:p>
        </w:tc>
        <w:tc>
          <w:tcPr>
            <w:tcW w:w="3118" w:type="dxa"/>
            <w:vMerge w:val="continue"/>
            <w:tcBorders>
              <w:top w:val="single" w:color="auto" w:sz="4" w:space="0"/>
              <w:left w:val="single" w:color="auto" w:sz="4" w:space="0"/>
              <w:bottom w:val="single" w:color="auto" w:sz="4" w:space="0"/>
              <w:right w:val="single" w:color="auto" w:sz="4" w:space="0"/>
            </w:tcBorders>
            <w:noWrap w:val="0"/>
            <w:vAlign w:val="center"/>
          </w:tcPr>
          <w:p w14:paraId="04566A9D">
            <w:pPr>
              <w:widowControl/>
              <w:spacing w:line="360" w:lineRule="auto"/>
              <w:jc w:val="left"/>
              <w:rPr>
                <w:rFonts w:hint="eastAsia" w:ascii="宋体" w:hAnsi="宋体" w:cs="宋体"/>
                <w:szCs w:val="21"/>
              </w:rPr>
            </w:pPr>
          </w:p>
        </w:tc>
      </w:tr>
      <w:tr w14:paraId="02E1B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D6898BC">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24BDAD4">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C04867">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E110BDB">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86F3C90">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07A8EF8C">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6FE9F9A7">
            <w:pPr>
              <w:snapToGrid w:val="0"/>
              <w:spacing w:line="360" w:lineRule="auto"/>
              <w:jc w:val="left"/>
              <w:rPr>
                <w:rFonts w:hint="eastAsia" w:ascii="宋体" w:hAnsi="宋体" w:cs="宋体"/>
                <w:szCs w:val="21"/>
              </w:rPr>
            </w:pPr>
          </w:p>
        </w:tc>
      </w:tr>
      <w:tr w14:paraId="20C61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E34D707">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95BF6A8">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C2F097">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B77E8C0">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85D38C1">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5CC67975">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5C84E47F">
            <w:pPr>
              <w:snapToGrid w:val="0"/>
              <w:spacing w:line="360" w:lineRule="auto"/>
              <w:jc w:val="left"/>
              <w:rPr>
                <w:rFonts w:hint="eastAsia" w:ascii="宋体" w:hAnsi="宋体" w:cs="宋体"/>
                <w:szCs w:val="21"/>
              </w:rPr>
            </w:pPr>
          </w:p>
        </w:tc>
      </w:tr>
      <w:tr w14:paraId="69888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55926C0E">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B8AB9EB">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68BB1B7">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D4B5AE1">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98544F3">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32AE9FFE">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7FC4C9A0">
            <w:pPr>
              <w:snapToGrid w:val="0"/>
              <w:spacing w:line="360" w:lineRule="auto"/>
              <w:jc w:val="left"/>
              <w:rPr>
                <w:rFonts w:hint="eastAsia" w:ascii="宋体" w:hAnsi="宋体" w:cs="宋体"/>
                <w:szCs w:val="21"/>
              </w:rPr>
            </w:pPr>
          </w:p>
        </w:tc>
      </w:tr>
      <w:tr w14:paraId="26EA3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28C3CE9">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7D0CEC4">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D578177">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6221C0">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D3BBD1A">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248366C8">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4FE8A34C">
            <w:pPr>
              <w:snapToGrid w:val="0"/>
              <w:spacing w:line="360" w:lineRule="auto"/>
              <w:jc w:val="left"/>
              <w:rPr>
                <w:rFonts w:hint="eastAsia" w:ascii="宋体" w:hAnsi="宋体" w:cs="宋体"/>
                <w:szCs w:val="21"/>
              </w:rPr>
            </w:pPr>
          </w:p>
        </w:tc>
      </w:tr>
      <w:tr w14:paraId="7AF8A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2BB315DB">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D3A1C65">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61C8886">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6910BFA">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9EF75FF">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14:paraId="5DA9E0DC">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0D63C9C7">
            <w:pPr>
              <w:snapToGrid w:val="0"/>
              <w:spacing w:line="360" w:lineRule="auto"/>
              <w:jc w:val="left"/>
              <w:rPr>
                <w:rFonts w:hint="eastAsia" w:ascii="宋体" w:hAnsi="宋体" w:cs="宋体"/>
                <w:szCs w:val="21"/>
              </w:rPr>
            </w:pPr>
          </w:p>
        </w:tc>
      </w:tr>
    </w:tbl>
    <w:p w14:paraId="42810A82">
      <w:pPr>
        <w:pStyle w:val="9"/>
        <w:snapToGrid w:val="0"/>
        <w:spacing w:before="0" w:after="0" w:line="360" w:lineRule="auto"/>
        <w:rPr>
          <w:rFonts w:hint="eastAsia" w:ascii="宋体" w:hAnsi="宋体" w:eastAsia="宋体" w:cs="宋体"/>
          <w:sz w:val="21"/>
          <w:szCs w:val="21"/>
        </w:rPr>
      </w:pPr>
    </w:p>
    <w:p w14:paraId="5A3180F4">
      <w:pPr>
        <w:pStyle w:val="9"/>
        <w:snapToGrid w:val="0"/>
        <w:spacing w:before="0" w:after="0" w:line="360" w:lineRule="auto"/>
        <w:rPr>
          <w:rFonts w:hint="eastAsia" w:ascii="宋体" w:hAnsi="宋体" w:eastAsia="宋体" w:cs="宋体"/>
          <w:sz w:val="21"/>
          <w:szCs w:val="21"/>
          <w:u w:val="single"/>
        </w:rPr>
      </w:pPr>
      <w:r>
        <w:rPr>
          <w:rFonts w:hint="eastAsia" w:ascii="宋体" w:hAnsi="宋体" w:eastAsia="宋体" w:cs="宋体"/>
          <w:sz w:val="21"/>
          <w:szCs w:val="21"/>
        </w:rPr>
        <w:t>法定代表人签字（或盖章）：</w:t>
      </w:r>
      <w:r>
        <w:rPr>
          <w:rFonts w:hint="eastAsia" w:ascii="宋体" w:hAnsi="宋体" w:eastAsia="宋体" w:cs="宋体"/>
          <w:sz w:val="21"/>
          <w:szCs w:val="21"/>
          <w:u w:val="single"/>
        </w:rPr>
        <w:t>　　　　　</w:t>
      </w:r>
    </w:p>
    <w:p w14:paraId="5C3B6D98">
      <w:pPr>
        <w:snapToGrid w:val="0"/>
        <w:spacing w:line="360" w:lineRule="auto"/>
        <w:jc w:val="left"/>
        <w:rPr>
          <w:rFonts w:hint="eastAsia" w:ascii="宋体" w:hAnsi="宋体" w:cs="宋体"/>
          <w:szCs w:val="21"/>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rPr>
        <w:t xml:space="preserve">                                           年    月  日</w:t>
      </w:r>
    </w:p>
    <w:p w14:paraId="7BCA3D35">
      <w:pPr>
        <w:snapToGrid w:val="0"/>
        <w:spacing w:line="360" w:lineRule="auto"/>
        <w:ind w:firstLine="420" w:firstLineChars="200"/>
        <w:jc w:val="left"/>
        <w:rPr>
          <w:rFonts w:hint="eastAsia" w:ascii="宋体" w:hAnsi="宋体" w:cs="宋体"/>
          <w:szCs w:val="21"/>
        </w:rPr>
      </w:pPr>
    </w:p>
    <w:p w14:paraId="65F7B9D1">
      <w:pPr>
        <w:snapToGrid w:val="0"/>
        <w:spacing w:line="360" w:lineRule="auto"/>
        <w:jc w:val="left"/>
        <w:rPr>
          <w:rFonts w:hint="eastAsia" w:ascii="宋体" w:hAnsi="宋体" w:cs="宋体"/>
          <w:szCs w:val="21"/>
        </w:rPr>
        <w:sectPr>
          <w:pgSz w:w="16838" w:h="11906" w:orient="landscape"/>
          <w:pgMar w:top="1797" w:right="1474" w:bottom="1797" w:left="1247" w:header="851" w:footer="851" w:gutter="0"/>
          <w:pgBorders>
            <w:top w:val="none" w:sz="0" w:space="0"/>
            <w:left w:val="none" w:sz="0" w:space="0"/>
            <w:bottom w:val="none" w:sz="0" w:space="0"/>
            <w:right w:val="none" w:sz="0" w:space="0"/>
          </w:pgBorders>
          <w:pgNumType w:fmt="decimal"/>
          <w:cols w:space="720" w:num="1"/>
          <w:docGrid w:linePitch="312" w:charSpace="0"/>
        </w:sectPr>
      </w:pPr>
    </w:p>
    <w:p w14:paraId="7C10574F">
      <w:pPr>
        <w:snapToGrid w:val="0"/>
        <w:spacing w:line="360" w:lineRule="auto"/>
        <w:jc w:val="left"/>
        <w:rPr>
          <w:rFonts w:hint="eastAsia" w:ascii="宋体" w:hAnsi="宋体" w:cs="宋体"/>
          <w:b/>
          <w:szCs w:val="21"/>
        </w:rPr>
      </w:pPr>
      <w:r>
        <w:rPr>
          <w:rFonts w:hint="eastAsia" w:ascii="宋体" w:hAnsi="宋体" w:cs="宋体"/>
          <w:b/>
          <w:szCs w:val="21"/>
          <w:lang w:val="en-US" w:eastAsia="zh-CN"/>
        </w:rPr>
        <w:t>9</w:t>
      </w:r>
      <w:r>
        <w:rPr>
          <w:rFonts w:hint="eastAsia" w:ascii="宋体" w:hAnsi="宋体" w:cs="宋体"/>
          <w:b/>
          <w:szCs w:val="21"/>
        </w:rPr>
        <w:t>、商务响应表格式</w:t>
      </w:r>
    </w:p>
    <w:tbl>
      <w:tblPr>
        <w:tblStyle w:val="27"/>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2712"/>
        <w:gridCol w:w="1265"/>
        <w:gridCol w:w="3033"/>
      </w:tblGrid>
      <w:tr w14:paraId="01C1B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7"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14:paraId="382F8674">
            <w:pPr>
              <w:snapToGrid w:val="0"/>
              <w:spacing w:line="360" w:lineRule="auto"/>
              <w:rPr>
                <w:rFonts w:hint="eastAsia" w:ascii="宋体" w:hAnsi="宋体" w:cs="宋体"/>
                <w:szCs w:val="21"/>
              </w:rPr>
            </w:pPr>
            <w:r>
              <w:rPr>
                <w:rFonts w:hint="eastAsia" w:ascii="宋体" w:hAnsi="宋体" w:cs="宋体"/>
                <w:szCs w:val="21"/>
              </w:rPr>
              <w:t>项目</w:t>
            </w:r>
          </w:p>
        </w:tc>
        <w:tc>
          <w:tcPr>
            <w:tcW w:w="2712" w:type="dxa"/>
            <w:tcBorders>
              <w:top w:val="single" w:color="auto" w:sz="4" w:space="0"/>
              <w:left w:val="single" w:color="auto" w:sz="4" w:space="0"/>
              <w:bottom w:val="single" w:color="auto" w:sz="4" w:space="0"/>
              <w:right w:val="single" w:color="auto" w:sz="4" w:space="0"/>
            </w:tcBorders>
            <w:noWrap w:val="0"/>
            <w:vAlign w:val="top"/>
          </w:tcPr>
          <w:p w14:paraId="100A0ED4">
            <w:pPr>
              <w:snapToGrid w:val="0"/>
              <w:spacing w:line="360" w:lineRule="auto"/>
              <w:rPr>
                <w:rFonts w:hint="eastAsia" w:ascii="宋体" w:hAnsi="宋体" w:cs="宋体"/>
                <w:szCs w:val="21"/>
              </w:rPr>
            </w:pPr>
            <w:r>
              <w:rPr>
                <w:rFonts w:hint="eastAsia" w:ascii="宋体" w:hAnsi="宋体" w:cs="宋体"/>
                <w:szCs w:val="21"/>
              </w:rPr>
              <w:t>招标文件要求</w:t>
            </w:r>
          </w:p>
        </w:tc>
        <w:tc>
          <w:tcPr>
            <w:tcW w:w="1265" w:type="dxa"/>
            <w:tcBorders>
              <w:top w:val="single" w:color="auto" w:sz="4" w:space="0"/>
              <w:left w:val="single" w:color="auto" w:sz="4" w:space="0"/>
              <w:bottom w:val="single" w:color="auto" w:sz="4" w:space="0"/>
              <w:right w:val="single" w:color="auto" w:sz="4" w:space="0"/>
            </w:tcBorders>
            <w:noWrap w:val="0"/>
            <w:vAlign w:val="top"/>
          </w:tcPr>
          <w:p w14:paraId="6A10C842">
            <w:pPr>
              <w:snapToGrid w:val="0"/>
              <w:spacing w:line="360" w:lineRule="auto"/>
              <w:rPr>
                <w:rFonts w:hint="eastAsia" w:ascii="宋体" w:hAnsi="宋体" w:cs="宋体"/>
                <w:szCs w:val="21"/>
              </w:rPr>
            </w:pPr>
            <w:r>
              <w:rPr>
                <w:rFonts w:hint="eastAsia" w:ascii="宋体" w:hAnsi="宋体" w:cs="宋体"/>
                <w:szCs w:val="21"/>
              </w:rPr>
              <w:t>是否响应</w:t>
            </w:r>
          </w:p>
        </w:tc>
        <w:tc>
          <w:tcPr>
            <w:tcW w:w="3033" w:type="dxa"/>
            <w:tcBorders>
              <w:top w:val="single" w:color="auto" w:sz="4" w:space="0"/>
              <w:left w:val="single" w:color="auto" w:sz="4" w:space="0"/>
              <w:bottom w:val="single" w:color="auto" w:sz="4" w:space="0"/>
              <w:right w:val="single" w:color="auto" w:sz="4" w:space="0"/>
            </w:tcBorders>
            <w:noWrap w:val="0"/>
            <w:vAlign w:val="top"/>
          </w:tcPr>
          <w:p w14:paraId="681F8829">
            <w:pPr>
              <w:snapToGrid w:val="0"/>
              <w:spacing w:line="360" w:lineRule="auto"/>
              <w:rPr>
                <w:rFonts w:hint="eastAsia" w:ascii="宋体" w:hAnsi="宋体" w:cs="宋体"/>
                <w:szCs w:val="21"/>
              </w:rPr>
            </w:pPr>
            <w:r>
              <w:rPr>
                <w:rFonts w:hint="eastAsia" w:ascii="宋体" w:hAnsi="宋体" w:cs="宋体"/>
                <w:szCs w:val="21"/>
              </w:rPr>
              <w:t>投标人的承诺或说明</w:t>
            </w:r>
          </w:p>
        </w:tc>
      </w:tr>
      <w:tr w14:paraId="34776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14:paraId="64B9C0ED">
            <w:pPr>
              <w:snapToGrid w:val="0"/>
              <w:spacing w:line="360" w:lineRule="auto"/>
              <w:rPr>
                <w:rFonts w:hint="eastAsia" w:ascii="宋体" w:hAnsi="宋体" w:cs="宋体"/>
                <w:szCs w:val="21"/>
              </w:rPr>
            </w:pPr>
            <w:r>
              <w:rPr>
                <w:rFonts w:hint="eastAsia" w:ascii="宋体" w:hAnsi="宋体" w:cs="宋体"/>
                <w:szCs w:val="21"/>
              </w:rPr>
              <w:t>服务要求</w:t>
            </w:r>
          </w:p>
        </w:tc>
        <w:tc>
          <w:tcPr>
            <w:tcW w:w="2712" w:type="dxa"/>
            <w:tcBorders>
              <w:top w:val="single" w:color="auto" w:sz="4" w:space="0"/>
              <w:left w:val="single" w:color="auto" w:sz="4" w:space="0"/>
              <w:bottom w:val="single" w:color="auto" w:sz="4" w:space="0"/>
              <w:right w:val="single" w:color="auto" w:sz="4" w:space="0"/>
            </w:tcBorders>
            <w:noWrap w:val="0"/>
            <w:vAlign w:val="top"/>
          </w:tcPr>
          <w:p w14:paraId="2D7DE9FF">
            <w:pPr>
              <w:snapToGrid w:val="0"/>
              <w:spacing w:line="360" w:lineRule="auto"/>
              <w:rPr>
                <w:rFonts w:hint="eastAsia" w:ascii="宋体" w:hAnsi="宋体" w:cs="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14:paraId="1A5DACEB">
            <w:pPr>
              <w:snapToGrid w:val="0"/>
              <w:spacing w:line="360" w:lineRule="auto"/>
              <w:rPr>
                <w:rFonts w:hint="eastAsia" w:ascii="宋体" w:hAnsi="宋体" w:cs="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14:paraId="0C09711A">
            <w:pPr>
              <w:snapToGrid w:val="0"/>
              <w:spacing w:line="360" w:lineRule="auto"/>
              <w:rPr>
                <w:rFonts w:hint="eastAsia" w:ascii="宋体" w:hAnsi="宋体" w:cs="宋体"/>
                <w:szCs w:val="21"/>
              </w:rPr>
            </w:pPr>
          </w:p>
        </w:tc>
      </w:tr>
      <w:tr w14:paraId="34E44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14:paraId="24CC0F47">
            <w:pPr>
              <w:snapToGrid w:val="0"/>
              <w:spacing w:line="360" w:lineRule="auto"/>
              <w:rPr>
                <w:rFonts w:hint="eastAsia" w:ascii="宋体" w:hAnsi="宋体" w:cs="宋体"/>
                <w:szCs w:val="21"/>
              </w:rPr>
            </w:pPr>
            <w:r>
              <w:rPr>
                <w:rFonts w:hint="eastAsia" w:ascii="宋体" w:hAnsi="宋体" w:cs="宋体"/>
                <w:szCs w:val="21"/>
              </w:rPr>
              <w:t>付款条件</w:t>
            </w:r>
          </w:p>
        </w:tc>
        <w:tc>
          <w:tcPr>
            <w:tcW w:w="2712" w:type="dxa"/>
            <w:tcBorders>
              <w:top w:val="single" w:color="auto" w:sz="4" w:space="0"/>
              <w:left w:val="single" w:color="auto" w:sz="4" w:space="0"/>
              <w:bottom w:val="single" w:color="auto" w:sz="4" w:space="0"/>
              <w:right w:val="single" w:color="auto" w:sz="4" w:space="0"/>
            </w:tcBorders>
            <w:noWrap w:val="0"/>
            <w:vAlign w:val="top"/>
          </w:tcPr>
          <w:p w14:paraId="0DFE9293">
            <w:pPr>
              <w:snapToGrid w:val="0"/>
              <w:spacing w:line="360" w:lineRule="auto"/>
              <w:rPr>
                <w:rFonts w:hint="eastAsia" w:ascii="宋体" w:hAnsi="宋体" w:cs="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14:paraId="789E1EB4">
            <w:pPr>
              <w:snapToGrid w:val="0"/>
              <w:spacing w:line="360" w:lineRule="auto"/>
              <w:rPr>
                <w:rFonts w:hint="eastAsia" w:ascii="宋体" w:hAnsi="宋体" w:cs="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14:paraId="2E069E05">
            <w:pPr>
              <w:snapToGrid w:val="0"/>
              <w:spacing w:line="360" w:lineRule="auto"/>
              <w:rPr>
                <w:rFonts w:hint="eastAsia" w:ascii="宋体" w:hAnsi="宋体" w:cs="宋体"/>
                <w:szCs w:val="21"/>
              </w:rPr>
            </w:pPr>
          </w:p>
        </w:tc>
      </w:tr>
      <w:tr w14:paraId="2C77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14:paraId="0378345A">
            <w:pPr>
              <w:snapToGrid w:val="0"/>
              <w:spacing w:line="360" w:lineRule="auto"/>
              <w:rPr>
                <w:rFonts w:hint="eastAsia" w:ascii="宋体" w:hAnsi="宋体" w:cs="宋体"/>
                <w:szCs w:val="21"/>
              </w:rPr>
            </w:pPr>
            <w:r>
              <w:rPr>
                <w:rFonts w:hint="eastAsia" w:ascii="宋体" w:hAnsi="宋体" w:cs="宋体"/>
                <w:szCs w:val="21"/>
              </w:rPr>
              <w:t>…</w:t>
            </w:r>
          </w:p>
        </w:tc>
        <w:tc>
          <w:tcPr>
            <w:tcW w:w="2712" w:type="dxa"/>
            <w:tcBorders>
              <w:top w:val="single" w:color="auto" w:sz="4" w:space="0"/>
              <w:left w:val="single" w:color="auto" w:sz="4" w:space="0"/>
              <w:bottom w:val="single" w:color="auto" w:sz="4" w:space="0"/>
              <w:right w:val="single" w:color="auto" w:sz="4" w:space="0"/>
            </w:tcBorders>
            <w:noWrap w:val="0"/>
            <w:vAlign w:val="top"/>
          </w:tcPr>
          <w:p w14:paraId="55837692">
            <w:pPr>
              <w:snapToGrid w:val="0"/>
              <w:spacing w:line="360" w:lineRule="auto"/>
              <w:rPr>
                <w:rFonts w:hint="eastAsia" w:ascii="宋体" w:hAnsi="宋体" w:cs="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14:paraId="03239B74">
            <w:pPr>
              <w:snapToGrid w:val="0"/>
              <w:spacing w:line="360" w:lineRule="auto"/>
              <w:rPr>
                <w:rFonts w:hint="eastAsia" w:ascii="宋体" w:hAnsi="宋体" w:cs="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14:paraId="200ADC3A">
            <w:pPr>
              <w:snapToGrid w:val="0"/>
              <w:spacing w:line="360" w:lineRule="auto"/>
              <w:rPr>
                <w:rFonts w:hint="eastAsia" w:ascii="宋体" w:hAnsi="宋体" w:cs="宋体"/>
                <w:szCs w:val="21"/>
              </w:rPr>
            </w:pPr>
          </w:p>
        </w:tc>
      </w:tr>
    </w:tbl>
    <w:p w14:paraId="4FE2E54F">
      <w:pPr>
        <w:snapToGrid w:val="0"/>
        <w:spacing w:line="360" w:lineRule="auto"/>
        <w:jc w:val="left"/>
        <w:rPr>
          <w:rFonts w:hint="eastAsia" w:ascii="宋体" w:hAnsi="宋体" w:cs="宋体"/>
          <w:szCs w:val="21"/>
        </w:rPr>
      </w:pPr>
    </w:p>
    <w:p w14:paraId="12CA4E5D">
      <w:pPr>
        <w:snapToGrid w:val="0"/>
        <w:spacing w:line="360" w:lineRule="auto"/>
        <w:jc w:val="left"/>
        <w:rPr>
          <w:rFonts w:hint="eastAsia" w:ascii="宋体" w:hAnsi="宋体" w:cs="宋体"/>
          <w:szCs w:val="21"/>
        </w:rPr>
      </w:pPr>
    </w:p>
    <w:p w14:paraId="43D44B40">
      <w:pPr>
        <w:pStyle w:val="16"/>
        <w:snapToGrid w:val="0"/>
        <w:spacing w:before="24" w:beforeLines="10" w:after="24" w:afterLines="10"/>
        <w:ind w:left="842" w:hanging="422"/>
        <w:rPr>
          <w:rFonts w:hint="eastAsia" w:hAnsi="宋体" w:cs="宋体"/>
          <w:b/>
          <w:sz w:val="21"/>
          <w:szCs w:val="21"/>
        </w:rPr>
      </w:pPr>
    </w:p>
    <w:p w14:paraId="7411B98B">
      <w:pPr>
        <w:pStyle w:val="16"/>
        <w:snapToGrid w:val="0"/>
        <w:spacing w:before="24" w:beforeLines="10" w:after="24" w:afterLines="10"/>
        <w:ind w:left="842" w:hanging="422"/>
        <w:rPr>
          <w:rFonts w:hint="eastAsia" w:hAnsi="宋体" w:cs="宋体"/>
          <w:b/>
          <w:sz w:val="21"/>
          <w:szCs w:val="21"/>
        </w:rPr>
      </w:pPr>
    </w:p>
    <w:p w14:paraId="652BE922">
      <w:pPr>
        <w:pStyle w:val="16"/>
        <w:snapToGrid w:val="0"/>
        <w:spacing w:before="24" w:beforeLines="10" w:after="24" w:afterLines="10"/>
        <w:ind w:left="842" w:hanging="422"/>
        <w:rPr>
          <w:rFonts w:hint="eastAsia" w:hAnsi="宋体" w:cs="宋体"/>
          <w:b/>
          <w:sz w:val="21"/>
          <w:szCs w:val="21"/>
        </w:rPr>
      </w:pPr>
    </w:p>
    <w:p w14:paraId="11AE6AF2">
      <w:pPr>
        <w:pStyle w:val="16"/>
        <w:snapToGrid w:val="0"/>
        <w:spacing w:before="24" w:beforeLines="10" w:after="24" w:afterLines="10"/>
        <w:ind w:left="842" w:hanging="422"/>
        <w:rPr>
          <w:rFonts w:hint="eastAsia" w:hAnsi="宋体" w:cs="宋体"/>
          <w:b/>
          <w:sz w:val="21"/>
          <w:szCs w:val="21"/>
        </w:rPr>
      </w:pPr>
      <w:r>
        <w:rPr>
          <w:rFonts w:hint="eastAsia" w:hAnsi="宋体" w:cs="宋体"/>
          <w:b/>
          <w:sz w:val="21"/>
          <w:szCs w:val="21"/>
        </w:rPr>
        <w:br w:type="page"/>
      </w:r>
      <w:r>
        <w:rPr>
          <w:rFonts w:hint="eastAsia" w:hAnsi="宋体" w:cs="宋体"/>
          <w:b/>
          <w:sz w:val="21"/>
          <w:szCs w:val="21"/>
          <w:lang w:val="en-US" w:eastAsia="zh-CN"/>
        </w:rPr>
        <w:t>10</w:t>
      </w:r>
      <w:r>
        <w:rPr>
          <w:rFonts w:hint="eastAsia" w:hAnsi="宋体" w:cs="宋体"/>
          <w:b/>
          <w:sz w:val="21"/>
          <w:szCs w:val="21"/>
        </w:rPr>
        <w:t>、中小企业声明函</w:t>
      </w:r>
    </w:p>
    <w:p w14:paraId="627E8414">
      <w:pPr>
        <w:keepNext w:val="0"/>
        <w:keepLines w:val="0"/>
        <w:pageBreakBefore w:val="0"/>
        <w:widowControl w:val="0"/>
        <w:kinsoku/>
        <w:wordWrap w:val="0"/>
        <w:overflowPunct w:val="0"/>
        <w:topLinePunct w:val="0"/>
        <w:autoSpaceDE w:val="0"/>
        <w:autoSpaceDN w:val="0"/>
        <w:bidi w:val="0"/>
        <w:snapToGrid w:val="0"/>
        <w:spacing w:before="50" w:after="156" w:afterLines="50"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bCs/>
          <w:color w:val="000000"/>
          <w:sz w:val="32"/>
          <w:szCs w:val="32"/>
          <w:highlight w:val="none"/>
        </w:rPr>
        <w:t>中小企业声明函</w:t>
      </w:r>
      <w:r>
        <w:rPr>
          <w:rFonts w:hint="eastAsia" w:ascii="宋体" w:hAnsi="宋体" w:eastAsia="宋体" w:cs="宋体"/>
          <w:b/>
          <w:bCs/>
          <w:color w:val="000000"/>
          <w:sz w:val="32"/>
          <w:szCs w:val="32"/>
          <w:highlight w:val="none"/>
          <w:lang w:eastAsia="zh-CN"/>
        </w:rPr>
        <w:t>（工程、服务）</w:t>
      </w:r>
    </w:p>
    <w:p w14:paraId="4E736B54">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（单位名称）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（项目名称）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r>
        <w:rPr>
          <w:rFonts w:hint="eastAsia" w:ascii="宋体" w:hAnsi="宋体" w:eastAsia="宋体" w:cs="宋体"/>
          <w:color w:val="000000"/>
          <w:sz w:val="24"/>
          <w:szCs w:val="24"/>
          <w:highlight w:val="none"/>
          <w:lang w:val="en-US" w:eastAsia="zh-CN"/>
        </w:rPr>
        <w:t xml:space="preserve">   </w:t>
      </w:r>
    </w:p>
    <w:p w14:paraId="7B9CE9AF">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（标的名称）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val="en-US" w:eastAsia="zh-CN"/>
        </w:rPr>
        <w:t xml:space="preserve"> 其他未列明行业 </w:t>
      </w:r>
      <w:r>
        <w:rPr>
          <w:rFonts w:hint="eastAsia" w:ascii="宋体" w:hAnsi="宋体" w:eastAsia="宋体" w:cs="宋体"/>
          <w:color w:val="000000"/>
          <w:sz w:val="24"/>
          <w:szCs w:val="24"/>
          <w:highlight w:val="none"/>
        </w:rPr>
        <w:t>； 承建（承接）企业为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（企业名称）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，从业人员</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人，营业收入为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万元，资产总额为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万元 ，属于</w:t>
      </w:r>
      <w:r>
        <w:rPr>
          <w:rFonts w:hint="eastAsia" w:ascii="宋体" w:hAnsi="宋体" w:eastAsia="宋体" w:cs="宋体"/>
          <w:color w:val="000000"/>
          <w:sz w:val="24"/>
          <w:szCs w:val="24"/>
          <w:highlight w:val="none"/>
          <w:u w:val="single"/>
        </w:rPr>
        <w:t>（中型企业、小型企业、微型企业）</w:t>
      </w:r>
      <w:r>
        <w:rPr>
          <w:rFonts w:hint="eastAsia" w:ascii="宋体" w:hAnsi="宋体" w:eastAsia="宋体" w:cs="宋体"/>
          <w:color w:val="000000"/>
          <w:sz w:val="24"/>
          <w:szCs w:val="24"/>
          <w:highlight w:val="none"/>
        </w:rPr>
        <w:t>；</w:t>
      </w:r>
    </w:p>
    <w:p w14:paraId="1D30F798">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p>
    <w:p w14:paraId="06707285">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以上企业，不属于大企业的分支机构，不存在控股股东为大企业的情形，也不存在与大企业的负责人为同一人的情形。 </w:t>
      </w:r>
    </w:p>
    <w:p w14:paraId="693CF96F">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本企业对上述声明内容的真实性负责。如有虚假，将依法承担相应责任。</w:t>
      </w:r>
    </w:p>
    <w:p w14:paraId="055A0F89">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企业名称（盖章）：</w:t>
      </w:r>
    </w:p>
    <w:p w14:paraId="30C18A89">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日期：</w:t>
      </w:r>
    </w:p>
    <w:p w14:paraId="53A027BB">
      <w:pPr>
        <w:keepNext w:val="0"/>
        <w:keepLines w:val="0"/>
        <w:pageBreakBefore w:val="0"/>
        <w:widowControl w:val="0"/>
        <w:kinsoku/>
        <w:wordWrap w:val="0"/>
        <w:overflowPunct w:val="0"/>
        <w:topLinePunct w:val="0"/>
        <w:autoSpaceDE w:val="0"/>
        <w:autoSpaceDN w:val="0"/>
        <w:bidi w:val="0"/>
        <w:snapToGrid w:val="0"/>
        <w:spacing w:line="400" w:lineRule="exact"/>
        <w:ind w:firstLine="0"/>
        <w:rPr>
          <w:rFonts w:hint="eastAsia" w:ascii="宋体" w:hAnsi="宋体" w:eastAsia="宋体" w:cs="宋体"/>
          <w:b/>
          <w:bCs w:val="0"/>
          <w:color w:val="000000"/>
          <w:sz w:val="24"/>
          <w:highlight w:val="none"/>
        </w:rPr>
      </w:pPr>
    </w:p>
    <w:p w14:paraId="5688B7EB">
      <w:pPr>
        <w:keepNext w:val="0"/>
        <w:keepLines w:val="0"/>
        <w:pageBreakBefore w:val="0"/>
        <w:widowControl w:val="0"/>
        <w:kinsoku/>
        <w:wordWrap w:val="0"/>
        <w:overflowPunct w:val="0"/>
        <w:topLinePunct w:val="0"/>
        <w:autoSpaceDE w:val="0"/>
        <w:autoSpaceDN w:val="0"/>
        <w:bidi w:val="0"/>
        <w:snapToGrid w:val="0"/>
        <w:spacing w:line="400" w:lineRule="exact"/>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 xml:space="preserve">    </w:t>
      </w:r>
    </w:p>
    <w:p w14:paraId="241FB1B4">
      <w:pPr>
        <w:keepNext w:val="0"/>
        <w:keepLines w:val="0"/>
        <w:pageBreakBefore w:val="0"/>
        <w:widowControl w:val="0"/>
        <w:kinsoku/>
        <w:wordWrap w:val="0"/>
        <w:overflowPunct w:val="0"/>
        <w:topLinePunct w:val="0"/>
        <w:autoSpaceDE w:val="0"/>
        <w:autoSpaceDN w:val="0"/>
        <w:bidi w:val="0"/>
        <w:snapToGrid w:val="0"/>
        <w:spacing w:line="400" w:lineRule="exact"/>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rPr>
        <w:t>注：</w:t>
      </w:r>
    </w:p>
    <w:p w14:paraId="45143105">
      <w:pPr>
        <w:keepNext w:val="0"/>
        <w:keepLines w:val="0"/>
        <w:pageBreakBefore w:val="0"/>
        <w:widowControl w:val="0"/>
        <w:kinsoku/>
        <w:wordWrap w:val="0"/>
        <w:overflowPunct/>
        <w:topLinePunct/>
        <w:autoSpaceDE/>
        <w:autoSpaceDN/>
        <w:bidi w:val="0"/>
        <w:snapToGrid w:val="0"/>
        <w:spacing w:line="360" w:lineRule="auto"/>
        <w:ind w:firstLine="480"/>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1、</w:t>
      </w:r>
      <w:r>
        <w:rPr>
          <w:rFonts w:hint="eastAsia" w:ascii="宋体" w:hAnsi="宋体" w:eastAsia="宋体" w:cs="宋体"/>
          <w:b/>
          <w:bCs w:val="0"/>
          <w:color w:val="000000"/>
          <w:sz w:val="24"/>
          <w:highlight w:val="none"/>
        </w:rPr>
        <w:t>从业人员、营业收入、资产总额填报上一年度数据，无上一年度数据的新成立企业可不填报。</w:t>
      </w:r>
    </w:p>
    <w:p w14:paraId="5B45FB76">
      <w:pPr>
        <w:keepNext w:val="0"/>
        <w:keepLines w:val="0"/>
        <w:pageBreakBefore w:val="0"/>
        <w:widowControl w:val="0"/>
        <w:kinsoku/>
        <w:wordWrap w:val="0"/>
        <w:overflowPunct/>
        <w:topLinePunct/>
        <w:autoSpaceDE/>
        <w:autoSpaceDN/>
        <w:bidi w:val="0"/>
        <w:snapToGrid w:val="0"/>
        <w:spacing w:line="360" w:lineRule="auto"/>
        <w:ind w:firstLine="480"/>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val="en-US" w:eastAsia="zh-CN"/>
        </w:rPr>
        <w:t>2、</w:t>
      </w:r>
      <w:r>
        <w:rPr>
          <w:rFonts w:hint="eastAsia" w:ascii="宋体" w:hAnsi="宋体" w:eastAsia="宋体" w:cs="宋体"/>
          <w:b/>
          <w:bCs w:val="0"/>
          <w:color w:val="000000"/>
          <w:sz w:val="24"/>
          <w:highlight w:val="none"/>
          <w:lang w:eastAsia="zh-CN"/>
        </w:rPr>
        <w:t>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14:paraId="357049F9">
      <w:pPr>
        <w:keepNext w:val="0"/>
        <w:keepLines w:val="0"/>
        <w:pageBreakBefore w:val="0"/>
        <w:widowControl w:val="0"/>
        <w:kinsoku/>
        <w:wordWrap w:val="0"/>
        <w:overflowPunct/>
        <w:topLinePunct/>
        <w:autoSpaceDE/>
        <w:autoSpaceDN/>
        <w:bidi w:val="0"/>
        <w:adjustRightInd/>
        <w:snapToGrid/>
        <w:spacing w:before="0" w:after="0" w:line="400" w:lineRule="exact"/>
        <w:ind w:left="0" w:leftChars="0" w:right="0" w:rightChars="0" w:firstLine="482" w:firstLineChars="200"/>
        <w:jc w:val="both"/>
        <w:textAlignment w:val="auto"/>
        <w:outlineLvl w:val="9"/>
        <w:rPr>
          <w:rFonts w:hint="eastAsia"/>
          <w:b/>
          <w:bCs w:val="0"/>
          <w:color w:val="000000"/>
          <w:lang w:val="en-US" w:eastAsia="zh-CN"/>
        </w:rPr>
      </w:pPr>
      <w:bookmarkStart w:id="41" w:name="_Toc18026"/>
      <w:r>
        <w:rPr>
          <w:rFonts w:hint="eastAsia" w:ascii="宋体" w:hAnsi="宋体" w:eastAsia="宋体" w:cs="宋体"/>
          <w:b/>
          <w:bCs w:val="0"/>
          <w:color w:val="000000"/>
          <w:sz w:val="24"/>
          <w:highlight w:val="none"/>
          <w:lang w:val="en-US" w:eastAsia="zh-CN"/>
        </w:rPr>
        <w:t>3、</w:t>
      </w:r>
      <w:r>
        <w:rPr>
          <w:rFonts w:ascii="宋体" w:hAnsi="宋体" w:eastAsia="宋体" w:cs="宋体"/>
          <w:b/>
          <w:bCs w:val="0"/>
          <w:color w:val="000000"/>
          <w:sz w:val="24"/>
          <w:szCs w:val="24"/>
        </w:rPr>
        <w:t>中小企业划型标准</w:t>
      </w:r>
      <w:r>
        <w:rPr>
          <w:rFonts w:hint="eastAsia" w:ascii="宋体" w:hAnsi="宋体" w:eastAsia="宋体" w:cs="宋体"/>
          <w:b/>
          <w:bCs w:val="0"/>
          <w:color w:val="000000"/>
          <w:sz w:val="24"/>
          <w:szCs w:val="24"/>
          <w:lang w:eastAsia="zh-CN"/>
        </w:rPr>
        <w:t>请按照《</w:t>
      </w:r>
      <w:r>
        <w:rPr>
          <w:rFonts w:ascii="宋体" w:hAnsi="宋体" w:eastAsia="宋体" w:cs="宋体"/>
          <w:b/>
          <w:bCs w:val="0"/>
          <w:color w:val="000000"/>
          <w:sz w:val="24"/>
          <w:szCs w:val="24"/>
        </w:rPr>
        <w:t xml:space="preserve">工信部联企业〔2011〕300号 </w:t>
      </w:r>
      <w:r>
        <w:rPr>
          <w:rFonts w:hint="eastAsia" w:ascii="宋体" w:hAnsi="宋体" w:eastAsia="宋体" w:cs="宋体"/>
          <w:b/>
          <w:bCs w:val="0"/>
          <w:color w:val="000000"/>
          <w:sz w:val="24"/>
          <w:szCs w:val="24"/>
          <w:lang w:eastAsia="zh-CN"/>
        </w:rPr>
        <w:t>》之</w:t>
      </w:r>
      <w:r>
        <w:rPr>
          <w:rFonts w:ascii="宋体" w:hAnsi="宋体" w:eastAsia="宋体" w:cs="宋体"/>
          <w:b/>
          <w:bCs w:val="0"/>
          <w:color w:val="000000"/>
          <w:sz w:val="24"/>
          <w:szCs w:val="24"/>
        </w:rPr>
        <w:t>规定</w:t>
      </w:r>
      <w:bookmarkEnd w:id="41"/>
    </w:p>
    <w:tbl>
      <w:tblPr>
        <w:tblStyle w:val="27"/>
        <w:tblW w:w="8683"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78"/>
        <w:gridCol w:w="1445"/>
        <w:gridCol w:w="1035"/>
        <w:gridCol w:w="1725"/>
        <w:gridCol w:w="1537"/>
        <w:gridCol w:w="963"/>
      </w:tblGrid>
      <w:tr w14:paraId="162D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78" w:type="dxa"/>
            <w:shd w:val="clear" w:color="auto" w:fill="FFFFFF"/>
            <w:noWrap w:val="0"/>
            <w:tcMar>
              <w:top w:w="30" w:type="dxa"/>
              <w:left w:w="90" w:type="dxa"/>
              <w:bottom w:w="30" w:type="dxa"/>
              <w:right w:w="90" w:type="dxa"/>
            </w:tcMar>
            <w:vAlign w:val="center"/>
          </w:tcPr>
          <w:p w14:paraId="5DB8D91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行业名称</w:t>
            </w:r>
          </w:p>
        </w:tc>
        <w:tc>
          <w:tcPr>
            <w:tcW w:w="1445" w:type="dxa"/>
            <w:shd w:val="clear" w:color="auto" w:fill="FFFFFF"/>
            <w:noWrap w:val="0"/>
            <w:tcMar>
              <w:top w:w="30" w:type="dxa"/>
              <w:left w:w="90" w:type="dxa"/>
              <w:bottom w:w="30" w:type="dxa"/>
              <w:right w:w="90" w:type="dxa"/>
            </w:tcMar>
            <w:vAlign w:val="center"/>
          </w:tcPr>
          <w:p w14:paraId="762E12D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指标名称</w:t>
            </w:r>
          </w:p>
        </w:tc>
        <w:tc>
          <w:tcPr>
            <w:tcW w:w="1035" w:type="dxa"/>
            <w:shd w:val="clear" w:color="auto" w:fill="FFFFFF"/>
            <w:noWrap w:val="0"/>
            <w:tcMar>
              <w:top w:w="30" w:type="dxa"/>
              <w:left w:w="90" w:type="dxa"/>
              <w:bottom w:w="30" w:type="dxa"/>
              <w:right w:w="90" w:type="dxa"/>
            </w:tcMar>
            <w:vAlign w:val="center"/>
          </w:tcPr>
          <w:p w14:paraId="30E286B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计量单位</w:t>
            </w:r>
          </w:p>
        </w:tc>
        <w:tc>
          <w:tcPr>
            <w:tcW w:w="1725" w:type="dxa"/>
            <w:shd w:val="clear" w:color="auto" w:fill="FFFFFF"/>
            <w:noWrap w:val="0"/>
            <w:tcMar>
              <w:top w:w="30" w:type="dxa"/>
              <w:left w:w="90" w:type="dxa"/>
              <w:bottom w:w="30" w:type="dxa"/>
              <w:right w:w="90" w:type="dxa"/>
            </w:tcMar>
            <w:vAlign w:val="center"/>
          </w:tcPr>
          <w:p w14:paraId="662EB84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中型</w:t>
            </w:r>
          </w:p>
        </w:tc>
        <w:tc>
          <w:tcPr>
            <w:tcW w:w="1537" w:type="dxa"/>
            <w:shd w:val="clear" w:color="auto" w:fill="FFFFFF"/>
            <w:noWrap w:val="0"/>
            <w:tcMar>
              <w:top w:w="30" w:type="dxa"/>
              <w:left w:w="90" w:type="dxa"/>
              <w:bottom w:w="30" w:type="dxa"/>
              <w:right w:w="90" w:type="dxa"/>
            </w:tcMar>
            <w:vAlign w:val="center"/>
          </w:tcPr>
          <w:p w14:paraId="3D90A58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小型</w:t>
            </w:r>
          </w:p>
        </w:tc>
        <w:tc>
          <w:tcPr>
            <w:tcW w:w="963" w:type="dxa"/>
            <w:shd w:val="clear" w:color="auto" w:fill="FFFFFF"/>
            <w:noWrap w:val="0"/>
            <w:tcMar>
              <w:top w:w="30" w:type="dxa"/>
              <w:left w:w="90" w:type="dxa"/>
              <w:bottom w:w="30" w:type="dxa"/>
              <w:right w:w="90" w:type="dxa"/>
            </w:tcMar>
            <w:vAlign w:val="center"/>
          </w:tcPr>
          <w:p w14:paraId="6F791B7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微型</w:t>
            </w:r>
          </w:p>
        </w:tc>
      </w:tr>
      <w:tr w14:paraId="5821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shd w:val="clear" w:color="auto" w:fill="FFFFFF"/>
            <w:noWrap w:val="0"/>
            <w:tcMar>
              <w:top w:w="30" w:type="dxa"/>
              <w:left w:w="90" w:type="dxa"/>
              <w:bottom w:w="30" w:type="dxa"/>
              <w:right w:w="90" w:type="dxa"/>
            </w:tcMar>
            <w:vAlign w:val="center"/>
          </w:tcPr>
          <w:p w14:paraId="306914A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农、林、牧、渔业</w:t>
            </w:r>
          </w:p>
        </w:tc>
        <w:tc>
          <w:tcPr>
            <w:tcW w:w="1445" w:type="dxa"/>
            <w:shd w:val="clear" w:color="auto" w:fill="FFFFFF"/>
            <w:noWrap w:val="0"/>
            <w:tcMar>
              <w:top w:w="30" w:type="dxa"/>
              <w:left w:w="90" w:type="dxa"/>
              <w:bottom w:w="30" w:type="dxa"/>
              <w:right w:w="90" w:type="dxa"/>
            </w:tcMar>
            <w:vAlign w:val="center"/>
          </w:tcPr>
          <w:p w14:paraId="6B9102E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046B4B6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35E8776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500≤Y&lt;20000</w:t>
            </w:r>
          </w:p>
        </w:tc>
        <w:tc>
          <w:tcPr>
            <w:tcW w:w="1537" w:type="dxa"/>
            <w:shd w:val="clear" w:color="auto" w:fill="FFFFFF"/>
            <w:noWrap w:val="0"/>
            <w:tcMar>
              <w:top w:w="30" w:type="dxa"/>
              <w:left w:w="90" w:type="dxa"/>
              <w:bottom w:w="30" w:type="dxa"/>
              <w:right w:w="90" w:type="dxa"/>
            </w:tcMar>
            <w:vAlign w:val="center"/>
          </w:tcPr>
          <w:p w14:paraId="796F0C2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50≤Y&lt;500</w:t>
            </w:r>
          </w:p>
        </w:tc>
        <w:tc>
          <w:tcPr>
            <w:tcW w:w="963" w:type="dxa"/>
            <w:shd w:val="clear" w:color="auto" w:fill="FFFFFF"/>
            <w:noWrap w:val="0"/>
            <w:tcMar>
              <w:top w:w="30" w:type="dxa"/>
              <w:left w:w="90" w:type="dxa"/>
              <w:bottom w:w="30" w:type="dxa"/>
              <w:right w:w="90" w:type="dxa"/>
            </w:tcMar>
            <w:vAlign w:val="center"/>
          </w:tcPr>
          <w:p w14:paraId="02DBCE6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Y&lt;50</w:t>
            </w:r>
          </w:p>
        </w:tc>
      </w:tr>
      <w:tr w14:paraId="2BF1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3B9D60A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工业</w:t>
            </w:r>
          </w:p>
        </w:tc>
        <w:tc>
          <w:tcPr>
            <w:tcW w:w="1445" w:type="dxa"/>
            <w:shd w:val="clear" w:color="auto" w:fill="FFFFFF"/>
            <w:noWrap w:val="0"/>
            <w:tcMar>
              <w:top w:w="30" w:type="dxa"/>
              <w:left w:w="90" w:type="dxa"/>
              <w:bottom w:w="30" w:type="dxa"/>
              <w:right w:w="90" w:type="dxa"/>
            </w:tcMar>
            <w:vAlign w:val="center"/>
          </w:tcPr>
          <w:p w14:paraId="21CA750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0139049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155DD7F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300≤X&lt;1000</w:t>
            </w:r>
          </w:p>
        </w:tc>
        <w:tc>
          <w:tcPr>
            <w:tcW w:w="1537" w:type="dxa"/>
            <w:shd w:val="clear" w:color="auto" w:fill="FFFFFF"/>
            <w:noWrap w:val="0"/>
            <w:tcMar>
              <w:top w:w="30" w:type="dxa"/>
              <w:left w:w="90" w:type="dxa"/>
              <w:bottom w:w="30" w:type="dxa"/>
              <w:right w:w="90" w:type="dxa"/>
            </w:tcMar>
            <w:vAlign w:val="center"/>
          </w:tcPr>
          <w:p w14:paraId="060B93F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20≤X&lt;300</w:t>
            </w:r>
          </w:p>
        </w:tc>
        <w:tc>
          <w:tcPr>
            <w:tcW w:w="963" w:type="dxa"/>
            <w:shd w:val="clear" w:color="auto" w:fill="FFFFFF"/>
            <w:noWrap w:val="0"/>
            <w:tcMar>
              <w:top w:w="30" w:type="dxa"/>
              <w:left w:w="90" w:type="dxa"/>
              <w:bottom w:w="30" w:type="dxa"/>
              <w:right w:w="90" w:type="dxa"/>
            </w:tcMar>
            <w:vAlign w:val="center"/>
          </w:tcPr>
          <w:p w14:paraId="0EF8F89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X&lt;20</w:t>
            </w:r>
          </w:p>
        </w:tc>
      </w:tr>
      <w:tr w14:paraId="2172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3E966ED8">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398628C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15DE87E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381B416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2000≤Y&lt;40000</w:t>
            </w:r>
          </w:p>
        </w:tc>
        <w:tc>
          <w:tcPr>
            <w:tcW w:w="1537" w:type="dxa"/>
            <w:shd w:val="clear" w:color="auto" w:fill="FFFFFF"/>
            <w:noWrap w:val="0"/>
            <w:tcMar>
              <w:top w:w="30" w:type="dxa"/>
              <w:left w:w="90" w:type="dxa"/>
              <w:bottom w:w="30" w:type="dxa"/>
              <w:right w:w="90" w:type="dxa"/>
            </w:tcMar>
            <w:vAlign w:val="center"/>
          </w:tcPr>
          <w:p w14:paraId="5D054325">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300≤Y&lt;2000</w:t>
            </w:r>
          </w:p>
        </w:tc>
        <w:tc>
          <w:tcPr>
            <w:tcW w:w="963" w:type="dxa"/>
            <w:shd w:val="clear" w:color="auto" w:fill="FFFFFF"/>
            <w:noWrap w:val="0"/>
            <w:tcMar>
              <w:top w:w="30" w:type="dxa"/>
              <w:left w:w="90" w:type="dxa"/>
              <w:bottom w:w="30" w:type="dxa"/>
              <w:right w:w="90" w:type="dxa"/>
            </w:tcMar>
            <w:vAlign w:val="center"/>
          </w:tcPr>
          <w:p w14:paraId="134C4A5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Y&lt;300</w:t>
            </w:r>
          </w:p>
        </w:tc>
      </w:tr>
      <w:tr w14:paraId="5665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6F8B5385">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建筑业</w:t>
            </w:r>
          </w:p>
        </w:tc>
        <w:tc>
          <w:tcPr>
            <w:tcW w:w="1445" w:type="dxa"/>
            <w:shd w:val="clear" w:color="auto" w:fill="FFFFFF"/>
            <w:noWrap w:val="0"/>
            <w:tcMar>
              <w:top w:w="30" w:type="dxa"/>
              <w:left w:w="90" w:type="dxa"/>
              <w:bottom w:w="30" w:type="dxa"/>
              <w:right w:w="90" w:type="dxa"/>
            </w:tcMar>
            <w:vAlign w:val="center"/>
          </w:tcPr>
          <w:p w14:paraId="5CA3B5B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1745095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26A28770">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6000≤Y&lt;80000</w:t>
            </w:r>
          </w:p>
        </w:tc>
        <w:tc>
          <w:tcPr>
            <w:tcW w:w="1537" w:type="dxa"/>
            <w:shd w:val="clear" w:color="auto" w:fill="FFFFFF"/>
            <w:noWrap w:val="0"/>
            <w:tcMar>
              <w:top w:w="30" w:type="dxa"/>
              <w:left w:w="90" w:type="dxa"/>
              <w:bottom w:w="30" w:type="dxa"/>
              <w:right w:w="90" w:type="dxa"/>
            </w:tcMar>
            <w:vAlign w:val="center"/>
          </w:tcPr>
          <w:p w14:paraId="4552F24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300≤Y&lt;6000</w:t>
            </w:r>
          </w:p>
        </w:tc>
        <w:tc>
          <w:tcPr>
            <w:tcW w:w="963" w:type="dxa"/>
            <w:shd w:val="clear" w:color="auto" w:fill="FFFFFF"/>
            <w:noWrap w:val="0"/>
            <w:tcMar>
              <w:top w:w="30" w:type="dxa"/>
              <w:left w:w="90" w:type="dxa"/>
              <w:bottom w:w="30" w:type="dxa"/>
              <w:right w:w="90" w:type="dxa"/>
            </w:tcMar>
            <w:vAlign w:val="center"/>
          </w:tcPr>
          <w:p w14:paraId="423B5FA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Y&lt;300</w:t>
            </w:r>
          </w:p>
        </w:tc>
      </w:tr>
      <w:tr w14:paraId="1275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704D12EF">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1C8FA02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资产总额(Z)</w:t>
            </w:r>
          </w:p>
        </w:tc>
        <w:tc>
          <w:tcPr>
            <w:tcW w:w="1035" w:type="dxa"/>
            <w:shd w:val="clear" w:color="auto" w:fill="FFFFFF"/>
            <w:noWrap w:val="0"/>
            <w:tcMar>
              <w:top w:w="30" w:type="dxa"/>
              <w:left w:w="90" w:type="dxa"/>
              <w:bottom w:w="30" w:type="dxa"/>
              <w:right w:w="90" w:type="dxa"/>
            </w:tcMar>
            <w:vAlign w:val="center"/>
          </w:tcPr>
          <w:p w14:paraId="1DA5F52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7DEE892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5000≤Z&lt;80000</w:t>
            </w:r>
          </w:p>
        </w:tc>
        <w:tc>
          <w:tcPr>
            <w:tcW w:w="1537" w:type="dxa"/>
            <w:shd w:val="clear" w:color="auto" w:fill="FFFFFF"/>
            <w:noWrap w:val="0"/>
            <w:tcMar>
              <w:top w:w="30" w:type="dxa"/>
              <w:left w:w="90" w:type="dxa"/>
              <w:bottom w:w="30" w:type="dxa"/>
              <w:right w:w="90" w:type="dxa"/>
            </w:tcMar>
            <w:vAlign w:val="center"/>
          </w:tcPr>
          <w:p w14:paraId="4E95298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300≤Z&lt;5000</w:t>
            </w:r>
          </w:p>
        </w:tc>
        <w:tc>
          <w:tcPr>
            <w:tcW w:w="963" w:type="dxa"/>
            <w:shd w:val="clear" w:color="auto" w:fill="FFFFFF"/>
            <w:noWrap w:val="0"/>
            <w:tcMar>
              <w:top w:w="30" w:type="dxa"/>
              <w:left w:w="90" w:type="dxa"/>
              <w:bottom w:w="30" w:type="dxa"/>
              <w:right w:w="90" w:type="dxa"/>
            </w:tcMar>
            <w:vAlign w:val="center"/>
          </w:tcPr>
          <w:p w14:paraId="2CD9857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Z&lt;300</w:t>
            </w:r>
          </w:p>
        </w:tc>
      </w:tr>
      <w:tr w14:paraId="6F9B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5A5D3BD0">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批发业</w:t>
            </w:r>
          </w:p>
        </w:tc>
        <w:tc>
          <w:tcPr>
            <w:tcW w:w="1445" w:type="dxa"/>
            <w:shd w:val="clear" w:color="auto" w:fill="FFFFFF"/>
            <w:noWrap w:val="0"/>
            <w:tcMar>
              <w:top w:w="30" w:type="dxa"/>
              <w:left w:w="90" w:type="dxa"/>
              <w:bottom w:w="30" w:type="dxa"/>
              <w:right w:w="90" w:type="dxa"/>
            </w:tcMar>
            <w:vAlign w:val="center"/>
          </w:tcPr>
          <w:p w14:paraId="3265CB6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1CC3379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2DA9170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20≤X&lt;200</w:t>
            </w:r>
          </w:p>
        </w:tc>
        <w:tc>
          <w:tcPr>
            <w:tcW w:w="1537" w:type="dxa"/>
            <w:shd w:val="clear" w:color="auto" w:fill="FFFFFF"/>
            <w:noWrap w:val="0"/>
            <w:tcMar>
              <w:top w:w="30" w:type="dxa"/>
              <w:left w:w="90" w:type="dxa"/>
              <w:bottom w:w="30" w:type="dxa"/>
              <w:right w:w="90" w:type="dxa"/>
            </w:tcMar>
            <w:vAlign w:val="center"/>
          </w:tcPr>
          <w:p w14:paraId="0322EC8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5≤X&lt;20</w:t>
            </w:r>
          </w:p>
        </w:tc>
        <w:tc>
          <w:tcPr>
            <w:tcW w:w="963" w:type="dxa"/>
            <w:shd w:val="clear" w:color="auto" w:fill="FFFFFF"/>
            <w:noWrap w:val="0"/>
            <w:tcMar>
              <w:top w:w="30" w:type="dxa"/>
              <w:left w:w="90" w:type="dxa"/>
              <w:bottom w:w="30" w:type="dxa"/>
              <w:right w:w="90" w:type="dxa"/>
            </w:tcMar>
            <w:vAlign w:val="center"/>
          </w:tcPr>
          <w:p w14:paraId="1C692D0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X&lt;5</w:t>
            </w:r>
          </w:p>
        </w:tc>
      </w:tr>
      <w:tr w14:paraId="4B96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0115C612">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41A53E2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5E15D40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46E1FEE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5000≤Y&lt;40000</w:t>
            </w:r>
          </w:p>
        </w:tc>
        <w:tc>
          <w:tcPr>
            <w:tcW w:w="1537" w:type="dxa"/>
            <w:shd w:val="clear" w:color="auto" w:fill="FFFFFF"/>
            <w:noWrap w:val="0"/>
            <w:tcMar>
              <w:top w:w="30" w:type="dxa"/>
              <w:left w:w="90" w:type="dxa"/>
              <w:bottom w:w="30" w:type="dxa"/>
              <w:right w:w="90" w:type="dxa"/>
            </w:tcMar>
            <w:vAlign w:val="center"/>
          </w:tcPr>
          <w:p w14:paraId="1FBFBF4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1000≤Y&lt;5000</w:t>
            </w:r>
          </w:p>
        </w:tc>
        <w:tc>
          <w:tcPr>
            <w:tcW w:w="963" w:type="dxa"/>
            <w:shd w:val="clear" w:color="auto" w:fill="FFFFFF"/>
            <w:noWrap w:val="0"/>
            <w:tcMar>
              <w:top w:w="30" w:type="dxa"/>
              <w:left w:w="90" w:type="dxa"/>
              <w:bottom w:w="30" w:type="dxa"/>
              <w:right w:w="90" w:type="dxa"/>
            </w:tcMar>
            <w:vAlign w:val="center"/>
          </w:tcPr>
          <w:p w14:paraId="6BC9E0C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Y&lt;1000</w:t>
            </w:r>
          </w:p>
        </w:tc>
      </w:tr>
      <w:tr w14:paraId="659B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66A136D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零售业</w:t>
            </w:r>
          </w:p>
        </w:tc>
        <w:tc>
          <w:tcPr>
            <w:tcW w:w="1445" w:type="dxa"/>
            <w:shd w:val="clear" w:color="auto" w:fill="FFFFFF"/>
            <w:noWrap w:val="0"/>
            <w:tcMar>
              <w:top w:w="30" w:type="dxa"/>
              <w:left w:w="90" w:type="dxa"/>
              <w:bottom w:w="30" w:type="dxa"/>
              <w:right w:w="90" w:type="dxa"/>
            </w:tcMar>
            <w:vAlign w:val="center"/>
          </w:tcPr>
          <w:p w14:paraId="3757786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38AC852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2D7B0C7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50≤X&lt;300</w:t>
            </w:r>
          </w:p>
        </w:tc>
        <w:tc>
          <w:tcPr>
            <w:tcW w:w="1537" w:type="dxa"/>
            <w:shd w:val="clear" w:color="auto" w:fill="FFFFFF"/>
            <w:noWrap w:val="0"/>
            <w:tcMar>
              <w:top w:w="30" w:type="dxa"/>
              <w:left w:w="90" w:type="dxa"/>
              <w:bottom w:w="30" w:type="dxa"/>
              <w:right w:w="90" w:type="dxa"/>
            </w:tcMar>
            <w:vAlign w:val="center"/>
          </w:tcPr>
          <w:p w14:paraId="00321EF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10≤X&lt;50</w:t>
            </w:r>
          </w:p>
        </w:tc>
        <w:tc>
          <w:tcPr>
            <w:tcW w:w="963" w:type="dxa"/>
            <w:shd w:val="clear" w:color="auto" w:fill="FFFFFF"/>
            <w:noWrap w:val="0"/>
            <w:tcMar>
              <w:top w:w="30" w:type="dxa"/>
              <w:left w:w="90" w:type="dxa"/>
              <w:bottom w:w="30" w:type="dxa"/>
              <w:right w:w="90" w:type="dxa"/>
            </w:tcMar>
            <w:vAlign w:val="center"/>
          </w:tcPr>
          <w:p w14:paraId="3A26C9F5">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14:paraId="0D0F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5AB05B9A">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74F2A52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709E32D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5A1D7BF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500≤Y&lt;20000</w:t>
            </w:r>
          </w:p>
        </w:tc>
        <w:tc>
          <w:tcPr>
            <w:tcW w:w="1537" w:type="dxa"/>
            <w:shd w:val="clear" w:color="auto" w:fill="FFFFFF"/>
            <w:noWrap w:val="0"/>
            <w:tcMar>
              <w:top w:w="30" w:type="dxa"/>
              <w:left w:w="90" w:type="dxa"/>
              <w:bottom w:w="30" w:type="dxa"/>
              <w:right w:w="90" w:type="dxa"/>
            </w:tcMar>
            <w:vAlign w:val="center"/>
          </w:tcPr>
          <w:p w14:paraId="5109A440">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100≤Y&lt;500</w:t>
            </w:r>
          </w:p>
        </w:tc>
        <w:tc>
          <w:tcPr>
            <w:tcW w:w="963" w:type="dxa"/>
            <w:shd w:val="clear" w:color="auto" w:fill="FFFFFF"/>
            <w:noWrap w:val="0"/>
            <w:tcMar>
              <w:top w:w="30" w:type="dxa"/>
              <w:left w:w="90" w:type="dxa"/>
              <w:bottom w:w="30" w:type="dxa"/>
              <w:right w:w="90" w:type="dxa"/>
            </w:tcMar>
            <w:vAlign w:val="center"/>
          </w:tcPr>
          <w:p w14:paraId="51D94F7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14:paraId="134C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13EC7CD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交通运输业</w:t>
            </w:r>
          </w:p>
        </w:tc>
        <w:tc>
          <w:tcPr>
            <w:tcW w:w="1445" w:type="dxa"/>
            <w:shd w:val="clear" w:color="auto" w:fill="FFFFFF"/>
            <w:noWrap w:val="0"/>
            <w:tcMar>
              <w:top w:w="30" w:type="dxa"/>
              <w:left w:w="90" w:type="dxa"/>
              <w:bottom w:w="30" w:type="dxa"/>
              <w:right w:w="90" w:type="dxa"/>
            </w:tcMar>
            <w:vAlign w:val="center"/>
          </w:tcPr>
          <w:p w14:paraId="3693E9E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594E2C0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35F09CE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300≤X&lt;1000</w:t>
            </w:r>
          </w:p>
        </w:tc>
        <w:tc>
          <w:tcPr>
            <w:tcW w:w="1537" w:type="dxa"/>
            <w:shd w:val="clear" w:color="auto" w:fill="FFFFFF"/>
            <w:noWrap w:val="0"/>
            <w:tcMar>
              <w:top w:w="30" w:type="dxa"/>
              <w:left w:w="90" w:type="dxa"/>
              <w:bottom w:w="30" w:type="dxa"/>
              <w:right w:w="90" w:type="dxa"/>
            </w:tcMar>
            <w:vAlign w:val="center"/>
          </w:tcPr>
          <w:p w14:paraId="230197E2">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20≤X&lt;300</w:t>
            </w:r>
          </w:p>
        </w:tc>
        <w:tc>
          <w:tcPr>
            <w:tcW w:w="963" w:type="dxa"/>
            <w:shd w:val="clear" w:color="auto" w:fill="FFFFFF"/>
            <w:noWrap w:val="0"/>
            <w:tcMar>
              <w:top w:w="30" w:type="dxa"/>
              <w:left w:w="90" w:type="dxa"/>
              <w:bottom w:w="30" w:type="dxa"/>
              <w:right w:w="90" w:type="dxa"/>
            </w:tcMar>
            <w:vAlign w:val="center"/>
          </w:tcPr>
          <w:p w14:paraId="24B0874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X&lt;20</w:t>
            </w:r>
          </w:p>
        </w:tc>
      </w:tr>
      <w:tr w14:paraId="4E34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356B67F2">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4138387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482A6CD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4B5041C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3000≤Y&lt;30000</w:t>
            </w:r>
          </w:p>
        </w:tc>
        <w:tc>
          <w:tcPr>
            <w:tcW w:w="1537" w:type="dxa"/>
            <w:shd w:val="clear" w:color="auto" w:fill="FFFFFF"/>
            <w:noWrap w:val="0"/>
            <w:tcMar>
              <w:top w:w="30" w:type="dxa"/>
              <w:left w:w="90" w:type="dxa"/>
              <w:bottom w:w="30" w:type="dxa"/>
              <w:right w:w="90" w:type="dxa"/>
            </w:tcMar>
            <w:vAlign w:val="center"/>
          </w:tcPr>
          <w:p w14:paraId="715D8740">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200≤Y&lt;3000</w:t>
            </w:r>
          </w:p>
        </w:tc>
        <w:tc>
          <w:tcPr>
            <w:tcW w:w="963" w:type="dxa"/>
            <w:shd w:val="clear" w:color="auto" w:fill="FFFFFF"/>
            <w:noWrap w:val="0"/>
            <w:tcMar>
              <w:top w:w="30" w:type="dxa"/>
              <w:left w:w="90" w:type="dxa"/>
              <w:bottom w:w="30" w:type="dxa"/>
              <w:right w:w="90" w:type="dxa"/>
            </w:tcMar>
            <w:vAlign w:val="center"/>
          </w:tcPr>
          <w:p w14:paraId="7696325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Y&lt;200</w:t>
            </w:r>
          </w:p>
        </w:tc>
      </w:tr>
      <w:tr w14:paraId="715A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68074AA0">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仓储业</w:t>
            </w:r>
          </w:p>
        </w:tc>
        <w:tc>
          <w:tcPr>
            <w:tcW w:w="1445" w:type="dxa"/>
            <w:shd w:val="clear" w:color="auto" w:fill="FFFFFF"/>
            <w:noWrap w:val="0"/>
            <w:tcMar>
              <w:top w:w="30" w:type="dxa"/>
              <w:left w:w="90" w:type="dxa"/>
              <w:bottom w:w="30" w:type="dxa"/>
              <w:right w:w="90" w:type="dxa"/>
            </w:tcMar>
            <w:vAlign w:val="center"/>
          </w:tcPr>
          <w:p w14:paraId="0B21344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05CE029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480350F0">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100≤X&lt;200</w:t>
            </w:r>
          </w:p>
        </w:tc>
        <w:tc>
          <w:tcPr>
            <w:tcW w:w="1537" w:type="dxa"/>
            <w:shd w:val="clear" w:color="auto" w:fill="FFFFFF"/>
            <w:noWrap w:val="0"/>
            <w:tcMar>
              <w:top w:w="30" w:type="dxa"/>
              <w:left w:w="90" w:type="dxa"/>
              <w:bottom w:w="30" w:type="dxa"/>
              <w:right w:w="90" w:type="dxa"/>
            </w:tcMar>
            <w:vAlign w:val="center"/>
          </w:tcPr>
          <w:p w14:paraId="099B748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20≤X&lt;100</w:t>
            </w:r>
          </w:p>
        </w:tc>
        <w:tc>
          <w:tcPr>
            <w:tcW w:w="963" w:type="dxa"/>
            <w:shd w:val="clear" w:color="auto" w:fill="FFFFFF"/>
            <w:noWrap w:val="0"/>
            <w:tcMar>
              <w:top w:w="30" w:type="dxa"/>
              <w:left w:w="90" w:type="dxa"/>
              <w:bottom w:w="30" w:type="dxa"/>
              <w:right w:w="90" w:type="dxa"/>
            </w:tcMar>
            <w:vAlign w:val="center"/>
          </w:tcPr>
          <w:p w14:paraId="2EAEF58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X&lt;20</w:t>
            </w:r>
          </w:p>
        </w:tc>
      </w:tr>
      <w:tr w14:paraId="1794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68E054C9">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7C24F77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6ADEC73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01F1C09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1000≤Y&lt;30000</w:t>
            </w:r>
          </w:p>
        </w:tc>
        <w:tc>
          <w:tcPr>
            <w:tcW w:w="1537" w:type="dxa"/>
            <w:shd w:val="clear" w:color="auto" w:fill="FFFFFF"/>
            <w:noWrap w:val="0"/>
            <w:tcMar>
              <w:top w:w="30" w:type="dxa"/>
              <w:left w:w="90" w:type="dxa"/>
              <w:bottom w:w="30" w:type="dxa"/>
              <w:right w:w="90" w:type="dxa"/>
            </w:tcMar>
            <w:vAlign w:val="center"/>
          </w:tcPr>
          <w:p w14:paraId="5550BC2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100≤Y&lt;1000</w:t>
            </w:r>
          </w:p>
        </w:tc>
        <w:tc>
          <w:tcPr>
            <w:tcW w:w="963" w:type="dxa"/>
            <w:shd w:val="clear" w:color="auto" w:fill="FFFFFF"/>
            <w:noWrap w:val="0"/>
            <w:tcMar>
              <w:top w:w="30" w:type="dxa"/>
              <w:left w:w="90" w:type="dxa"/>
              <w:bottom w:w="30" w:type="dxa"/>
              <w:right w:w="90" w:type="dxa"/>
            </w:tcMar>
            <w:vAlign w:val="center"/>
          </w:tcPr>
          <w:p w14:paraId="624B0CB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14:paraId="1AF9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0BA72A4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邮政业</w:t>
            </w:r>
          </w:p>
        </w:tc>
        <w:tc>
          <w:tcPr>
            <w:tcW w:w="1445" w:type="dxa"/>
            <w:shd w:val="clear" w:color="auto" w:fill="FFFFFF"/>
            <w:noWrap w:val="0"/>
            <w:tcMar>
              <w:top w:w="30" w:type="dxa"/>
              <w:left w:w="90" w:type="dxa"/>
              <w:bottom w:w="30" w:type="dxa"/>
              <w:right w:w="90" w:type="dxa"/>
            </w:tcMar>
            <w:vAlign w:val="center"/>
          </w:tcPr>
          <w:p w14:paraId="0143DFB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2CD022D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6CA81A7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300≤X&lt;1000</w:t>
            </w:r>
          </w:p>
        </w:tc>
        <w:tc>
          <w:tcPr>
            <w:tcW w:w="1537" w:type="dxa"/>
            <w:shd w:val="clear" w:color="auto" w:fill="FFFFFF"/>
            <w:noWrap w:val="0"/>
            <w:tcMar>
              <w:top w:w="30" w:type="dxa"/>
              <w:left w:w="90" w:type="dxa"/>
              <w:bottom w:w="30" w:type="dxa"/>
              <w:right w:w="90" w:type="dxa"/>
            </w:tcMar>
            <w:vAlign w:val="center"/>
          </w:tcPr>
          <w:p w14:paraId="71D90742">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20≤X&lt;300</w:t>
            </w:r>
          </w:p>
        </w:tc>
        <w:tc>
          <w:tcPr>
            <w:tcW w:w="963" w:type="dxa"/>
            <w:shd w:val="clear" w:color="auto" w:fill="FFFFFF"/>
            <w:noWrap w:val="0"/>
            <w:tcMar>
              <w:top w:w="30" w:type="dxa"/>
              <w:left w:w="90" w:type="dxa"/>
              <w:bottom w:w="30" w:type="dxa"/>
              <w:right w:w="90" w:type="dxa"/>
            </w:tcMar>
            <w:vAlign w:val="center"/>
          </w:tcPr>
          <w:p w14:paraId="2BE762F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X&lt;20</w:t>
            </w:r>
          </w:p>
        </w:tc>
      </w:tr>
      <w:tr w14:paraId="4769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3A10D2DB">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2D04A36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6254DEE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368D09F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2000≤Y&lt;30000</w:t>
            </w:r>
          </w:p>
        </w:tc>
        <w:tc>
          <w:tcPr>
            <w:tcW w:w="1537" w:type="dxa"/>
            <w:shd w:val="clear" w:color="auto" w:fill="FFFFFF"/>
            <w:noWrap w:val="0"/>
            <w:tcMar>
              <w:top w:w="30" w:type="dxa"/>
              <w:left w:w="90" w:type="dxa"/>
              <w:bottom w:w="30" w:type="dxa"/>
              <w:right w:w="90" w:type="dxa"/>
            </w:tcMar>
            <w:vAlign w:val="center"/>
          </w:tcPr>
          <w:p w14:paraId="1748DCD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100≤Y&lt;2000</w:t>
            </w:r>
          </w:p>
        </w:tc>
        <w:tc>
          <w:tcPr>
            <w:tcW w:w="963" w:type="dxa"/>
            <w:shd w:val="clear" w:color="auto" w:fill="FFFFFF"/>
            <w:noWrap w:val="0"/>
            <w:tcMar>
              <w:top w:w="30" w:type="dxa"/>
              <w:left w:w="90" w:type="dxa"/>
              <w:bottom w:w="30" w:type="dxa"/>
              <w:right w:w="90" w:type="dxa"/>
            </w:tcMar>
            <w:vAlign w:val="center"/>
          </w:tcPr>
          <w:p w14:paraId="752C358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14:paraId="6DDD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6A0869E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住宿业</w:t>
            </w:r>
          </w:p>
        </w:tc>
        <w:tc>
          <w:tcPr>
            <w:tcW w:w="1445" w:type="dxa"/>
            <w:shd w:val="clear" w:color="auto" w:fill="FFFFFF"/>
            <w:noWrap w:val="0"/>
            <w:tcMar>
              <w:top w:w="30" w:type="dxa"/>
              <w:left w:w="90" w:type="dxa"/>
              <w:bottom w:w="30" w:type="dxa"/>
              <w:right w:w="90" w:type="dxa"/>
            </w:tcMar>
            <w:vAlign w:val="center"/>
          </w:tcPr>
          <w:p w14:paraId="5243997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295779F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4075F89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14:paraId="1E8AF80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14:paraId="7290A10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14:paraId="2520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2E53D1B0">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419ABDD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23DE19E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1AD3D52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2000≤Y&lt;10000</w:t>
            </w:r>
          </w:p>
        </w:tc>
        <w:tc>
          <w:tcPr>
            <w:tcW w:w="1537" w:type="dxa"/>
            <w:shd w:val="clear" w:color="auto" w:fill="FFFFFF"/>
            <w:noWrap w:val="0"/>
            <w:tcMar>
              <w:top w:w="30" w:type="dxa"/>
              <w:left w:w="90" w:type="dxa"/>
              <w:bottom w:w="30" w:type="dxa"/>
              <w:right w:w="90" w:type="dxa"/>
            </w:tcMar>
            <w:vAlign w:val="center"/>
          </w:tcPr>
          <w:p w14:paraId="3B159345">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100≤Y&lt;2000</w:t>
            </w:r>
          </w:p>
        </w:tc>
        <w:tc>
          <w:tcPr>
            <w:tcW w:w="963" w:type="dxa"/>
            <w:shd w:val="clear" w:color="auto" w:fill="FFFFFF"/>
            <w:noWrap w:val="0"/>
            <w:tcMar>
              <w:top w:w="30" w:type="dxa"/>
              <w:left w:w="90" w:type="dxa"/>
              <w:bottom w:w="30" w:type="dxa"/>
              <w:right w:w="90" w:type="dxa"/>
            </w:tcMar>
            <w:vAlign w:val="center"/>
          </w:tcPr>
          <w:p w14:paraId="5B0A910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14:paraId="4957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75068E9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餐饮业</w:t>
            </w:r>
          </w:p>
        </w:tc>
        <w:tc>
          <w:tcPr>
            <w:tcW w:w="1445" w:type="dxa"/>
            <w:shd w:val="clear" w:color="auto" w:fill="FFFFFF"/>
            <w:noWrap w:val="0"/>
            <w:tcMar>
              <w:top w:w="30" w:type="dxa"/>
              <w:left w:w="90" w:type="dxa"/>
              <w:bottom w:w="30" w:type="dxa"/>
              <w:right w:w="90" w:type="dxa"/>
            </w:tcMar>
            <w:vAlign w:val="center"/>
          </w:tcPr>
          <w:p w14:paraId="22CA552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791E63A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43FFC57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14:paraId="7452281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14:paraId="511C2A4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14:paraId="1922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63EED01D">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2910447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6ED24A0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62C8D8D2">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2000≤Y&lt;10000</w:t>
            </w:r>
          </w:p>
        </w:tc>
        <w:tc>
          <w:tcPr>
            <w:tcW w:w="1537" w:type="dxa"/>
            <w:shd w:val="clear" w:color="auto" w:fill="FFFFFF"/>
            <w:noWrap w:val="0"/>
            <w:tcMar>
              <w:top w:w="30" w:type="dxa"/>
              <w:left w:w="90" w:type="dxa"/>
              <w:bottom w:w="30" w:type="dxa"/>
              <w:right w:w="90" w:type="dxa"/>
            </w:tcMar>
            <w:vAlign w:val="center"/>
          </w:tcPr>
          <w:p w14:paraId="2437FE2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100≤Y&lt;2000</w:t>
            </w:r>
          </w:p>
        </w:tc>
        <w:tc>
          <w:tcPr>
            <w:tcW w:w="963" w:type="dxa"/>
            <w:shd w:val="clear" w:color="auto" w:fill="FFFFFF"/>
            <w:noWrap w:val="0"/>
            <w:tcMar>
              <w:top w:w="30" w:type="dxa"/>
              <w:left w:w="90" w:type="dxa"/>
              <w:bottom w:w="30" w:type="dxa"/>
              <w:right w:w="90" w:type="dxa"/>
            </w:tcMar>
            <w:vAlign w:val="center"/>
          </w:tcPr>
          <w:p w14:paraId="5E59F70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14:paraId="2E5E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5B91EC8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信息传输业</w:t>
            </w:r>
          </w:p>
        </w:tc>
        <w:tc>
          <w:tcPr>
            <w:tcW w:w="1445" w:type="dxa"/>
            <w:shd w:val="clear" w:color="auto" w:fill="FFFFFF"/>
            <w:noWrap w:val="0"/>
            <w:tcMar>
              <w:top w:w="30" w:type="dxa"/>
              <w:left w:w="90" w:type="dxa"/>
              <w:bottom w:w="30" w:type="dxa"/>
              <w:right w:w="90" w:type="dxa"/>
            </w:tcMar>
            <w:vAlign w:val="center"/>
          </w:tcPr>
          <w:p w14:paraId="2738AF7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4A404410">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243368E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100≤X&lt;2000</w:t>
            </w:r>
          </w:p>
        </w:tc>
        <w:tc>
          <w:tcPr>
            <w:tcW w:w="1537" w:type="dxa"/>
            <w:shd w:val="clear" w:color="auto" w:fill="FFFFFF"/>
            <w:noWrap w:val="0"/>
            <w:tcMar>
              <w:top w:w="30" w:type="dxa"/>
              <w:left w:w="90" w:type="dxa"/>
              <w:bottom w:w="30" w:type="dxa"/>
              <w:right w:w="90" w:type="dxa"/>
            </w:tcMar>
            <w:vAlign w:val="center"/>
          </w:tcPr>
          <w:p w14:paraId="38889AB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14:paraId="1BA2AF8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14:paraId="7867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5B657323">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4FDA9DE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15A03F6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7E593AA2">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1000≤Y&lt;100000</w:t>
            </w:r>
          </w:p>
        </w:tc>
        <w:tc>
          <w:tcPr>
            <w:tcW w:w="1537" w:type="dxa"/>
            <w:shd w:val="clear" w:color="auto" w:fill="FFFFFF"/>
            <w:noWrap w:val="0"/>
            <w:tcMar>
              <w:top w:w="30" w:type="dxa"/>
              <w:left w:w="90" w:type="dxa"/>
              <w:bottom w:w="30" w:type="dxa"/>
              <w:right w:w="90" w:type="dxa"/>
            </w:tcMar>
            <w:vAlign w:val="center"/>
          </w:tcPr>
          <w:p w14:paraId="487D855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100≤Y&lt;1000</w:t>
            </w:r>
          </w:p>
        </w:tc>
        <w:tc>
          <w:tcPr>
            <w:tcW w:w="963" w:type="dxa"/>
            <w:shd w:val="clear" w:color="auto" w:fill="FFFFFF"/>
            <w:noWrap w:val="0"/>
            <w:tcMar>
              <w:top w:w="30" w:type="dxa"/>
              <w:left w:w="90" w:type="dxa"/>
              <w:bottom w:w="30" w:type="dxa"/>
              <w:right w:w="90" w:type="dxa"/>
            </w:tcMar>
            <w:vAlign w:val="center"/>
          </w:tcPr>
          <w:p w14:paraId="6618EE0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14:paraId="6A2A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446F747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软件和信息技术服务业</w:t>
            </w:r>
          </w:p>
        </w:tc>
        <w:tc>
          <w:tcPr>
            <w:tcW w:w="1445" w:type="dxa"/>
            <w:shd w:val="clear" w:color="auto" w:fill="FFFFFF"/>
            <w:noWrap w:val="0"/>
            <w:tcMar>
              <w:top w:w="30" w:type="dxa"/>
              <w:left w:w="90" w:type="dxa"/>
              <w:bottom w:w="30" w:type="dxa"/>
              <w:right w:w="90" w:type="dxa"/>
            </w:tcMar>
            <w:vAlign w:val="center"/>
          </w:tcPr>
          <w:p w14:paraId="4FB7067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6A878F6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6CEF677A">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14:paraId="533F62F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14:paraId="7FACBE1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14:paraId="3C9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272BC375">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4E38180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4820BD5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69A41C8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1000≤Y&lt;10000</w:t>
            </w:r>
          </w:p>
        </w:tc>
        <w:tc>
          <w:tcPr>
            <w:tcW w:w="1537" w:type="dxa"/>
            <w:shd w:val="clear" w:color="auto" w:fill="FFFFFF"/>
            <w:noWrap w:val="0"/>
            <w:tcMar>
              <w:top w:w="30" w:type="dxa"/>
              <w:left w:w="90" w:type="dxa"/>
              <w:bottom w:w="30" w:type="dxa"/>
              <w:right w:w="90" w:type="dxa"/>
            </w:tcMar>
            <w:vAlign w:val="center"/>
          </w:tcPr>
          <w:p w14:paraId="26E9E80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50≤Y&lt;1000</w:t>
            </w:r>
          </w:p>
        </w:tc>
        <w:tc>
          <w:tcPr>
            <w:tcW w:w="963" w:type="dxa"/>
            <w:shd w:val="clear" w:color="auto" w:fill="FFFFFF"/>
            <w:noWrap w:val="0"/>
            <w:tcMar>
              <w:top w:w="30" w:type="dxa"/>
              <w:left w:w="90" w:type="dxa"/>
              <w:bottom w:w="30" w:type="dxa"/>
              <w:right w:w="90" w:type="dxa"/>
            </w:tcMar>
            <w:vAlign w:val="center"/>
          </w:tcPr>
          <w:p w14:paraId="116E675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Y&lt;50</w:t>
            </w:r>
          </w:p>
        </w:tc>
      </w:tr>
      <w:tr w14:paraId="6DD2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45AAC13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房地产开发经营</w:t>
            </w:r>
          </w:p>
        </w:tc>
        <w:tc>
          <w:tcPr>
            <w:tcW w:w="1445" w:type="dxa"/>
            <w:shd w:val="clear" w:color="auto" w:fill="FFFFFF"/>
            <w:noWrap w:val="0"/>
            <w:tcMar>
              <w:top w:w="30" w:type="dxa"/>
              <w:left w:w="90" w:type="dxa"/>
              <w:bottom w:w="30" w:type="dxa"/>
              <w:right w:w="90" w:type="dxa"/>
            </w:tcMar>
            <w:vAlign w:val="center"/>
          </w:tcPr>
          <w:p w14:paraId="51D07F12">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14:paraId="5F0119F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1D12A1F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1000≤Y&lt;200000</w:t>
            </w:r>
          </w:p>
        </w:tc>
        <w:tc>
          <w:tcPr>
            <w:tcW w:w="1537" w:type="dxa"/>
            <w:shd w:val="clear" w:color="auto" w:fill="FFFFFF"/>
            <w:noWrap w:val="0"/>
            <w:tcMar>
              <w:top w:w="30" w:type="dxa"/>
              <w:left w:w="90" w:type="dxa"/>
              <w:bottom w:w="30" w:type="dxa"/>
              <w:right w:w="90" w:type="dxa"/>
            </w:tcMar>
            <w:vAlign w:val="center"/>
          </w:tcPr>
          <w:p w14:paraId="309939AF">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100≤Y&lt;1000</w:t>
            </w:r>
          </w:p>
        </w:tc>
        <w:tc>
          <w:tcPr>
            <w:tcW w:w="963" w:type="dxa"/>
            <w:shd w:val="clear" w:color="auto" w:fill="FFFFFF"/>
            <w:noWrap w:val="0"/>
            <w:tcMar>
              <w:top w:w="30" w:type="dxa"/>
              <w:left w:w="90" w:type="dxa"/>
              <w:bottom w:w="30" w:type="dxa"/>
              <w:right w:w="90" w:type="dxa"/>
            </w:tcMar>
            <w:vAlign w:val="center"/>
          </w:tcPr>
          <w:p w14:paraId="4DB663D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14:paraId="2DCE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4ABA0E77">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0319FCB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资产总额(Z)</w:t>
            </w:r>
          </w:p>
        </w:tc>
        <w:tc>
          <w:tcPr>
            <w:tcW w:w="1035" w:type="dxa"/>
            <w:shd w:val="clear" w:color="auto" w:fill="FFFFFF"/>
            <w:noWrap w:val="0"/>
            <w:tcMar>
              <w:top w:w="30" w:type="dxa"/>
              <w:left w:w="90" w:type="dxa"/>
              <w:bottom w:w="30" w:type="dxa"/>
              <w:right w:w="90" w:type="dxa"/>
            </w:tcMar>
            <w:vAlign w:val="center"/>
          </w:tcPr>
          <w:p w14:paraId="7EA52D2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1B9479F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5000≤Z&lt;10000</w:t>
            </w:r>
          </w:p>
        </w:tc>
        <w:tc>
          <w:tcPr>
            <w:tcW w:w="1537" w:type="dxa"/>
            <w:shd w:val="clear" w:color="auto" w:fill="FFFFFF"/>
            <w:noWrap w:val="0"/>
            <w:tcMar>
              <w:top w:w="30" w:type="dxa"/>
              <w:left w:w="90" w:type="dxa"/>
              <w:bottom w:w="30" w:type="dxa"/>
              <w:right w:w="90" w:type="dxa"/>
            </w:tcMar>
            <w:vAlign w:val="center"/>
          </w:tcPr>
          <w:p w14:paraId="00A99462">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2000≤Z&lt;5000</w:t>
            </w:r>
          </w:p>
        </w:tc>
        <w:tc>
          <w:tcPr>
            <w:tcW w:w="963" w:type="dxa"/>
            <w:shd w:val="clear" w:color="auto" w:fill="FFFFFF"/>
            <w:noWrap w:val="0"/>
            <w:tcMar>
              <w:top w:w="30" w:type="dxa"/>
              <w:left w:w="90" w:type="dxa"/>
              <w:bottom w:w="30" w:type="dxa"/>
              <w:right w:w="90" w:type="dxa"/>
            </w:tcMar>
            <w:vAlign w:val="center"/>
          </w:tcPr>
          <w:p w14:paraId="2D77C10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Z&lt;2000</w:t>
            </w:r>
          </w:p>
        </w:tc>
      </w:tr>
      <w:tr w14:paraId="0A92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auto"/>
            <w:noWrap w:val="0"/>
            <w:tcMar>
              <w:top w:w="30" w:type="dxa"/>
              <w:left w:w="90" w:type="dxa"/>
              <w:bottom w:w="30" w:type="dxa"/>
              <w:right w:w="90" w:type="dxa"/>
            </w:tcMar>
            <w:vAlign w:val="center"/>
          </w:tcPr>
          <w:p w14:paraId="22862DA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物业管理</w:t>
            </w:r>
          </w:p>
        </w:tc>
        <w:tc>
          <w:tcPr>
            <w:tcW w:w="1445" w:type="dxa"/>
            <w:shd w:val="clear" w:color="auto" w:fill="auto"/>
            <w:noWrap w:val="0"/>
            <w:tcMar>
              <w:top w:w="30" w:type="dxa"/>
              <w:left w:w="90" w:type="dxa"/>
              <w:bottom w:w="30" w:type="dxa"/>
              <w:right w:w="90" w:type="dxa"/>
            </w:tcMar>
            <w:vAlign w:val="center"/>
          </w:tcPr>
          <w:p w14:paraId="1157030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auto"/>
            <w:noWrap w:val="0"/>
            <w:tcMar>
              <w:top w:w="30" w:type="dxa"/>
              <w:left w:w="90" w:type="dxa"/>
              <w:bottom w:w="30" w:type="dxa"/>
              <w:right w:w="90" w:type="dxa"/>
            </w:tcMar>
            <w:vAlign w:val="center"/>
          </w:tcPr>
          <w:p w14:paraId="7E7841B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auto"/>
            <w:noWrap w:val="0"/>
            <w:tcMar>
              <w:top w:w="30" w:type="dxa"/>
              <w:left w:w="90" w:type="dxa"/>
              <w:bottom w:w="30" w:type="dxa"/>
              <w:right w:w="90" w:type="dxa"/>
            </w:tcMar>
            <w:vAlign w:val="center"/>
          </w:tcPr>
          <w:p w14:paraId="754DE4A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300≤X&lt;1000</w:t>
            </w:r>
          </w:p>
        </w:tc>
        <w:tc>
          <w:tcPr>
            <w:tcW w:w="1537" w:type="dxa"/>
            <w:shd w:val="clear" w:color="auto" w:fill="auto"/>
            <w:noWrap w:val="0"/>
            <w:tcMar>
              <w:top w:w="30" w:type="dxa"/>
              <w:left w:w="90" w:type="dxa"/>
              <w:bottom w:w="30" w:type="dxa"/>
              <w:right w:w="90" w:type="dxa"/>
            </w:tcMar>
            <w:vAlign w:val="center"/>
          </w:tcPr>
          <w:p w14:paraId="3A87D95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963" w:type="dxa"/>
            <w:shd w:val="clear" w:color="auto" w:fill="auto"/>
            <w:noWrap w:val="0"/>
            <w:tcMar>
              <w:top w:w="30" w:type="dxa"/>
              <w:left w:w="90" w:type="dxa"/>
              <w:bottom w:w="30" w:type="dxa"/>
              <w:right w:w="90" w:type="dxa"/>
            </w:tcMar>
            <w:vAlign w:val="center"/>
          </w:tcPr>
          <w:p w14:paraId="60D08F9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X&lt;100</w:t>
            </w:r>
          </w:p>
        </w:tc>
      </w:tr>
      <w:tr w14:paraId="66A4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auto"/>
            <w:noWrap w:val="0"/>
            <w:tcMar>
              <w:top w:w="30" w:type="dxa"/>
              <w:left w:w="90" w:type="dxa"/>
              <w:bottom w:w="30" w:type="dxa"/>
              <w:right w:w="90" w:type="dxa"/>
            </w:tcMar>
            <w:vAlign w:val="center"/>
          </w:tcPr>
          <w:p w14:paraId="59881530">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auto"/>
            <w:noWrap w:val="0"/>
            <w:tcMar>
              <w:top w:w="30" w:type="dxa"/>
              <w:left w:w="90" w:type="dxa"/>
              <w:bottom w:w="30" w:type="dxa"/>
              <w:right w:w="90" w:type="dxa"/>
            </w:tcMar>
            <w:vAlign w:val="center"/>
          </w:tcPr>
          <w:p w14:paraId="1D93D7C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auto"/>
            <w:noWrap w:val="0"/>
            <w:tcMar>
              <w:top w:w="30" w:type="dxa"/>
              <w:left w:w="90" w:type="dxa"/>
              <w:bottom w:w="30" w:type="dxa"/>
              <w:right w:w="90" w:type="dxa"/>
            </w:tcMar>
            <w:vAlign w:val="center"/>
          </w:tcPr>
          <w:p w14:paraId="3BDB4C05">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auto"/>
            <w:noWrap w:val="0"/>
            <w:tcMar>
              <w:top w:w="30" w:type="dxa"/>
              <w:left w:w="90" w:type="dxa"/>
              <w:bottom w:w="30" w:type="dxa"/>
              <w:right w:w="90" w:type="dxa"/>
            </w:tcMar>
            <w:vAlign w:val="center"/>
          </w:tcPr>
          <w:p w14:paraId="2603D03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1000≤Y&lt;5000</w:t>
            </w:r>
          </w:p>
        </w:tc>
        <w:tc>
          <w:tcPr>
            <w:tcW w:w="1537" w:type="dxa"/>
            <w:shd w:val="clear" w:color="auto" w:fill="auto"/>
            <w:noWrap w:val="0"/>
            <w:tcMar>
              <w:top w:w="30" w:type="dxa"/>
              <w:left w:w="90" w:type="dxa"/>
              <w:bottom w:w="30" w:type="dxa"/>
              <w:right w:w="90" w:type="dxa"/>
            </w:tcMar>
            <w:vAlign w:val="center"/>
          </w:tcPr>
          <w:p w14:paraId="1B6F4B04">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500≤Y&lt;1000</w:t>
            </w:r>
          </w:p>
        </w:tc>
        <w:tc>
          <w:tcPr>
            <w:tcW w:w="963" w:type="dxa"/>
            <w:shd w:val="clear" w:color="auto" w:fill="auto"/>
            <w:noWrap w:val="0"/>
            <w:tcMar>
              <w:top w:w="30" w:type="dxa"/>
              <w:left w:w="90" w:type="dxa"/>
              <w:bottom w:w="30" w:type="dxa"/>
              <w:right w:w="90" w:type="dxa"/>
            </w:tcMar>
            <w:vAlign w:val="center"/>
          </w:tcPr>
          <w:p w14:paraId="55431FB8">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Y&lt;500</w:t>
            </w:r>
          </w:p>
        </w:tc>
      </w:tr>
      <w:tr w14:paraId="2CC9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14:paraId="51F2B213">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租赁和商务服务业</w:t>
            </w:r>
          </w:p>
        </w:tc>
        <w:tc>
          <w:tcPr>
            <w:tcW w:w="1445" w:type="dxa"/>
            <w:shd w:val="clear" w:color="auto" w:fill="FFFFFF"/>
            <w:noWrap w:val="0"/>
            <w:tcMar>
              <w:top w:w="30" w:type="dxa"/>
              <w:left w:w="90" w:type="dxa"/>
              <w:bottom w:w="30" w:type="dxa"/>
              <w:right w:w="90" w:type="dxa"/>
            </w:tcMar>
            <w:vAlign w:val="center"/>
          </w:tcPr>
          <w:p w14:paraId="0980018E">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01521690">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1F45B44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14:paraId="4110C65D">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14:paraId="537537B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14:paraId="3F8A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14:paraId="38966F41">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14:paraId="465E6635">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资产总额(Z)</w:t>
            </w:r>
          </w:p>
        </w:tc>
        <w:tc>
          <w:tcPr>
            <w:tcW w:w="1035" w:type="dxa"/>
            <w:shd w:val="clear" w:color="auto" w:fill="FFFFFF"/>
            <w:noWrap w:val="0"/>
            <w:tcMar>
              <w:top w:w="30" w:type="dxa"/>
              <w:left w:w="90" w:type="dxa"/>
              <w:bottom w:w="30" w:type="dxa"/>
              <w:right w:w="90" w:type="dxa"/>
            </w:tcMar>
            <w:vAlign w:val="center"/>
          </w:tcPr>
          <w:p w14:paraId="7A9E74A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14:paraId="7E6B4EE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8000≤Z&lt;120000</w:t>
            </w:r>
          </w:p>
        </w:tc>
        <w:tc>
          <w:tcPr>
            <w:tcW w:w="1537" w:type="dxa"/>
            <w:shd w:val="clear" w:color="auto" w:fill="FFFFFF"/>
            <w:noWrap w:val="0"/>
            <w:tcMar>
              <w:top w:w="30" w:type="dxa"/>
              <w:left w:w="90" w:type="dxa"/>
              <w:bottom w:w="30" w:type="dxa"/>
              <w:right w:w="90" w:type="dxa"/>
            </w:tcMar>
            <w:vAlign w:val="center"/>
          </w:tcPr>
          <w:p w14:paraId="499D59B9">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100≤Z&lt;8000</w:t>
            </w:r>
          </w:p>
        </w:tc>
        <w:tc>
          <w:tcPr>
            <w:tcW w:w="963" w:type="dxa"/>
            <w:shd w:val="clear" w:color="auto" w:fill="FFFFFF"/>
            <w:noWrap w:val="0"/>
            <w:tcMar>
              <w:top w:w="30" w:type="dxa"/>
              <w:left w:w="90" w:type="dxa"/>
              <w:bottom w:w="30" w:type="dxa"/>
              <w:right w:w="90" w:type="dxa"/>
            </w:tcMar>
            <w:vAlign w:val="center"/>
          </w:tcPr>
          <w:p w14:paraId="5501E0C5">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Z&lt;100</w:t>
            </w:r>
          </w:p>
        </w:tc>
      </w:tr>
      <w:tr w14:paraId="1ED4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shd w:val="clear" w:color="auto" w:fill="FFFFFF"/>
            <w:noWrap w:val="0"/>
            <w:tcMar>
              <w:top w:w="30" w:type="dxa"/>
              <w:left w:w="90" w:type="dxa"/>
              <w:bottom w:w="30" w:type="dxa"/>
              <w:right w:w="90" w:type="dxa"/>
            </w:tcMar>
            <w:vAlign w:val="center"/>
          </w:tcPr>
          <w:p w14:paraId="30D5FC9B">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其他未列明行业</w:t>
            </w:r>
          </w:p>
        </w:tc>
        <w:tc>
          <w:tcPr>
            <w:tcW w:w="1445" w:type="dxa"/>
            <w:shd w:val="clear" w:color="auto" w:fill="FFFFFF"/>
            <w:noWrap w:val="0"/>
            <w:tcMar>
              <w:top w:w="30" w:type="dxa"/>
              <w:left w:w="90" w:type="dxa"/>
              <w:bottom w:w="30" w:type="dxa"/>
              <w:right w:w="90" w:type="dxa"/>
            </w:tcMar>
            <w:vAlign w:val="center"/>
          </w:tcPr>
          <w:p w14:paraId="0CED766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14:paraId="5B301A3C">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14:paraId="10357381">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14:paraId="32A5E512">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14:paraId="4BE41586">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bl>
    <w:p w14:paraId="1A54D6DD">
      <w:pPr>
        <w:keepNext w:val="0"/>
        <w:keepLines w:val="0"/>
        <w:pageBreakBefore w:val="0"/>
        <w:widowControl w:val="0"/>
        <w:kinsoku/>
        <w:wordWrap w:val="0"/>
        <w:overflowPunct w:val="0"/>
        <w:topLinePunct w:val="0"/>
        <w:autoSpaceDE w:val="0"/>
        <w:autoSpaceDN w:val="0"/>
        <w:bidi w:val="0"/>
        <w:snapToGrid w:val="0"/>
        <w:spacing w:line="400" w:lineRule="exact"/>
        <w:ind w:firstLine="480"/>
        <w:rPr>
          <w:rFonts w:hint="eastAsia" w:ascii="宋体" w:hAnsi="宋体" w:eastAsia="宋体" w:cs="宋体"/>
          <w:b/>
          <w:bCs w:val="0"/>
          <w:color w:val="000000"/>
          <w:sz w:val="24"/>
          <w:highlight w:val="none"/>
          <w:lang w:eastAsia="zh-CN"/>
        </w:rPr>
      </w:pPr>
    </w:p>
    <w:p w14:paraId="1DFD2C9F">
      <w:pPr>
        <w:pageBreakBefore w:val="0"/>
        <w:widowControl w:val="0"/>
        <w:wordWrap w:val="0"/>
        <w:topLinePunct w:val="0"/>
        <w:bidi w:val="0"/>
        <w:snapToGrid w:val="0"/>
        <w:spacing w:before="50" w:after="120" w:afterLines="50"/>
        <w:ind w:firstLine="241" w:firstLineChars="100"/>
        <w:rPr>
          <w:rFonts w:hint="eastAsia" w:ascii="宋体" w:hAnsi="宋体" w:eastAsia="宋体" w:cs="宋体"/>
          <w:b/>
          <w:color w:val="000000"/>
          <w:sz w:val="24"/>
          <w:highlight w:val="none"/>
          <w:lang w:val="en-US" w:eastAsia="zh-CN"/>
        </w:rPr>
      </w:pPr>
    </w:p>
    <w:p w14:paraId="3C5A26C3">
      <w:pPr>
        <w:widowControl/>
        <w:spacing w:line="360" w:lineRule="auto"/>
        <w:jc w:val="left"/>
        <w:rPr>
          <w:rFonts w:hint="eastAsia" w:ascii="宋体" w:hAnsi="宋体" w:eastAsia="宋体" w:cs="宋体"/>
          <w:b/>
          <w:color w:val="000000"/>
          <w:szCs w:val="21"/>
          <w:lang w:eastAsia="zh-CN"/>
        </w:rPr>
      </w:pPr>
      <w:r>
        <w:rPr>
          <w:rFonts w:hint="eastAsia" w:ascii="宋体" w:hAnsi="宋体" w:cs="宋体"/>
          <w:b/>
          <w:color w:val="000000"/>
          <w:szCs w:val="21"/>
        </w:rPr>
        <w:br w:type="page"/>
      </w:r>
      <w:r>
        <w:rPr>
          <w:rFonts w:hint="eastAsia" w:ascii="宋体" w:hAnsi="宋体" w:cs="宋体"/>
          <w:b/>
          <w:color w:val="000000"/>
          <w:szCs w:val="21"/>
        </w:rPr>
        <w:t>残疾人福利性单位声明函</w:t>
      </w:r>
      <w:r>
        <w:rPr>
          <w:rFonts w:hint="eastAsia" w:ascii="宋体" w:hAnsi="宋体" w:cs="宋体"/>
          <w:b/>
          <w:color w:val="000000"/>
          <w:szCs w:val="21"/>
          <w:lang w:eastAsia="zh-CN"/>
        </w:rPr>
        <w:t>和监狱企业证明</w:t>
      </w:r>
    </w:p>
    <w:p w14:paraId="6B4693FF">
      <w:pPr>
        <w:widowControl/>
        <w:spacing w:line="360" w:lineRule="auto"/>
        <w:jc w:val="left"/>
        <w:rPr>
          <w:rFonts w:hint="eastAsia" w:ascii="宋体" w:hAnsi="宋体" w:cs="宋体"/>
          <w:color w:val="000000"/>
          <w:szCs w:val="21"/>
        </w:rPr>
      </w:pPr>
    </w:p>
    <w:p w14:paraId="6ECEEDB6">
      <w:pPr>
        <w:widowControl/>
        <w:spacing w:line="360" w:lineRule="auto"/>
        <w:jc w:val="center"/>
        <w:rPr>
          <w:rFonts w:hint="eastAsia" w:ascii="宋体" w:hAnsi="宋体" w:cs="宋体"/>
          <w:b/>
          <w:color w:val="000000"/>
          <w:szCs w:val="21"/>
        </w:rPr>
      </w:pPr>
      <w:r>
        <w:rPr>
          <w:rFonts w:hint="eastAsia" w:ascii="宋体" w:hAnsi="宋体" w:cs="宋体"/>
          <w:b/>
          <w:color w:val="000000"/>
          <w:szCs w:val="21"/>
        </w:rPr>
        <w:t>残疾人福利性单位声明函</w:t>
      </w:r>
    </w:p>
    <w:p w14:paraId="624953AD">
      <w:pPr>
        <w:widowControl/>
        <w:spacing w:line="360" w:lineRule="auto"/>
        <w:jc w:val="left"/>
        <w:rPr>
          <w:rFonts w:hint="eastAsia" w:ascii="宋体" w:hAnsi="宋体" w:cs="宋体"/>
          <w:color w:val="000000"/>
          <w:szCs w:val="21"/>
        </w:rPr>
      </w:pPr>
    </w:p>
    <w:p w14:paraId="5AC94831">
      <w:pPr>
        <w:widowControl/>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C15C78">
      <w:pPr>
        <w:widowControl/>
        <w:spacing w:line="360" w:lineRule="auto"/>
        <w:ind w:firstLine="420" w:firstLineChars="200"/>
        <w:jc w:val="left"/>
        <w:rPr>
          <w:rFonts w:hint="eastAsia" w:ascii="宋体" w:hAnsi="宋体" w:cs="宋体"/>
          <w:color w:val="000000"/>
          <w:szCs w:val="21"/>
        </w:rPr>
      </w:pPr>
    </w:p>
    <w:p w14:paraId="05035982">
      <w:pPr>
        <w:widowControl/>
        <w:spacing w:line="360" w:lineRule="auto"/>
        <w:jc w:val="left"/>
        <w:rPr>
          <w:rFonts w:hint="eastAsia" w:ascii="宋体" w:hAnsi="宋体" w:cs="宋体"/>
          <w:color w:val="000000"/>
          <w:szCs w:val="21"/>
        </w:rPr>
      </w:pPr>
      <w:r>
        <w:rPr>
          <w:rFonts w:hint="eastAsia" w:ascii="宋体" w:hAnsi="宋体" w:cs="宋体"/>
          <w:color w:val="000000"/>
          <w:szCs w:val="21"/>
        </w:rPr>
        <w:t xml:space="preserve">  本单位对上述声明的真实性负责。如有虚假，将依法承担相应责任。</w:t>
      </w:r>
    </w:p>
    <w:p w14:paraId="071B7432">
      <w:pPr>
        <w:widowControl/>
        <w:spacing w:line="360" w:lineRule="auto"/>
        <w:jc w:val="left"/>
        <w:rPr>
          <w:rFonts w:hint="eastAsia" w:ascii="宋体" w:hAnsi="宋体" w:cs="宋体"/>
          <w:color w:val="000000"/>
          <w:szCs w:val="21"/>
        </w:rPr>
      </w:pPr>
    </w:p>
    <w:p w14:paraId="6C6E7D76">
      <w:pPr>
        <w:widowControl/>
        <w:spacing w:line="360" w:lineRule="auto"/>
        <w:jc w:val="center"/>
        <w:rPr>
          <w:rFonts w:hint="eastAsia" w:ascii="宋体" w:hAnsi="宋体" w:cs="宋体"/>
          <w:color w:val="000000"/>
          <w:szCs w:val="21"/>
        </w:rPr>
      </w:pPr>
      <w:r>
        <w:rPr>
          <w:rFonts w:hint="eastAsia" w:ascii="宋体" w:hAnsi="宋体" w:cs="宋体"/>
          <w:color w:val="000000"/>
          <w:szCs w:val="21"/>
        </w:rPr>
        <w:t xml:space="preserve">          投标人（盖章）：</w:t>
      </w:r>
    </w:p>
    <w:p w14:paraId="0EDB7225">
      <w:pPr>
        <w:widowControl/>
        <w:spacing w:line="360" w:lineRule="auto"/>
        <w:jc w:val="center"/>
        <w:rPr>
          <w:rFonts w:hint="eastAsia" w:ascii="宋体" w:hAnsi="宋体" w:cs="宋体"/>
          <w:color w:val="000000"/>
          <w:szCs w:val="21"/>
        </w:rPr>
      </w:pPr>
      <w:r>
        <w:rPr>
          <w:rFonts w:hint="eastAsia" w:ascii="宋体" w:hAnsi="宋体" w:cs="宋体"/>
          <w:color w:val="000000"/>
          <w:szCs w:val="21"/>
        </w:rPr>
        <w:t xml:space="preserve">                  日 期：</w:t>
      </w:r>
    </w:p>
    <w:p w14:paraId="5A0C2C86">
      <w:pPr>
        <w:pStyle w:val="12"/>
        <w:rPr>
          <w:rFonts w:hint="eastAsia" w:ascii="宋体" w:hAnsi="宋体" w:cs="宋体"/>
          <w:color w:val="000000"/>
          <w:szCs w:val="21"/>
        </w:rPr>
      </w:pPr>
    </w:p>
    <w:p w14:paraId="2B55FEBA">
      <w:pPr>
        <w:rPr>
          <w:rFonts w:hint="eastAsia" w:ascii="宋体" w:hAnsi="宋体" w:cs="宋体"/>
          <w:color w:val="000000"/>
          <w:szCs w:val="21"/>
        </w:rPr>
      </w:pPr>
    </w:p>
    <w:p w14:paraId="43278312">
      <w:pPr>
        <w:spacing w:line="360" w:lineRule="auto"/>
        <w:jc w:val="center"/>
        <w:outlineLvl w:val="9"/>
        <w:rPr>
          <w:rFonts w:hAnsi="宋体"/>
          <w:b/>
          <w:bCs/>
          <w:color w:val="000000"/>
          <w:sz w:val="21"/>
          <w:szCs w:val="21"/>
          <w:highlight w:val="none"/>
        </w:rPr>
      </w:pPr>
      <w:bookmarkStart w:id="42" w:name="_Toc27275"/>
      <w:r>
        <w:rPr>
          <w:rFonts w:hint="eastAsia" w:hAnsi="宋体"/>
          <w:b/>
          <w:bCs/>
          <w:color w:val="000000"/>
          <w:sz w:val="21"/>
          <w:szCs w:val="21"/>
          <w:highlight w:val="none"/>
        </w:rPr>
        <w:t>监狱企业证明</w:t>
      </w:r>
      <w:bookmarkEnd w:id="42"/>
    </w:p>
    <w:p w14:paraId="2B6D7DC7">
      <w:pPr>
        <w:spacing w:line="360" w:lineRule="auto"/>
        <w:jc w:val="center"/>
        <w:rPr>
          <w:color w:val="000000"/>
          <w:sz w:val="21"/>
          <w:szCs w:val="21"/>
          <w:highlight w:val="none"/>
        </w:rPr>
      </w:pPr>
      <w:r>
        <w:rPr>
          <w:rFonts w:hint="eastAsia"/>
          <w:color w:val="000000"/>
          <w:sz w:val="21"/>
          <w:szCs w:val="21"/>
          <w:highlight w:val="none"/>
        </w:rPr>
        <w:t>（注：符合条件的监狱企业请提供本函，不符合的不提供本函）</w:t>
      </w:r>
    </w:p>
    <w:p w14:paraId="369C3436">
      <w:pPr>
        <w:pStyle w:val="16"/>
        <w:snapToGrid w:val="0"/>
        <w:spacing w:before="120" w:beforeLines="50" w:line="360" w:lineRule="auto"/>
        <w:rPr>
          <w:rFonts w:hAnsi="宋体" w:cs="宋体"/>
          <w:color w:val="000000"/>
          <w:sz w:val="21"/>
          <w:szCs w:val="21"/>
          <w:highlight w:val="none"/>
        </w:rPr>
      </w:pPr>
    </w:p>
    <w:p w14:paraId="35D303D0">
      <w:pPr>
        <w:pStyle w:val="16"/>
        <w:snapToGrid w:val="0"/>
        <w:spacing w:before="120" w:beforeLines="50" w:line="360" w:lineRule="auto"/>
        <w:rPr>
          <w:rFonts w:hAnsi="宋体" w:cs="宋体"/>
          <w:color w:val="000000"/>
          <w:sz w:val="21"/>
          <w:szCs w:val="21"/>
          <w:highlight w:val="none"/>
        </w:rPr>
      </w:pPr>
      <w:r>
        <w:rPr>
          <w:rFonts w:hint="eastAsia" w:hAnsi="宋体" w:cs="宋体"/>
          <w:color w:val="000000"/>
          <w:sz w:val="21"/>
          <w:szCs w:val="21"/>
          <w:highlight w:val="none"/>
        </w:rPr>
        <w:t>省级以上监狱管理局、戒毒管理局（含新疆生产建设兵团）出具的属于监狱企业的证明文件。</w:t>
      </w:r>
    </w:p>
    <w:p w14:paraId="0A9F126A">
      <w:pPr>
        <w:spacing w:line="400" w:lineRule="exact"/>
        <w:ind w:firstLine="630" w:firstLineChars="300"/>
        <w:rPr>
          <w:rFonts w:hint="eastAsia"/>
          <w:color w:val="000000"/>
          <w:sz w:val="21"/>
          <w:szCs w:val="21"/>
          <w:highlight w:val="none"/>
        </w:rPr>
      </w:pPr>
    </w:p>
    <w:p w14:paraId="34121928">
      <w:pPr>
        <w:widowControl w:val="0"/>
        <w:wordWrap w:val="0"/>
        <w:snapToGrid w:val="0"/>
        <w:spacing w:line="360" w:lineRule="auto"/>
        <w:ind w:firstLine="840" w:firstLineChars="400"/>
        <w:rPr>
          <w:rFonts w:hint="eastAsia" w:eastAsia="宋体"/>
          <w:color w:val="000000"/>
          <w:highlight w:val="none"/>
          <w:lang w:eastAsia="zh-CN"/>
        </w:rPr>
      </w:pPr>
      <w:r>
        <w:rPr>
          <w:rFonts w:hint="eastAsia"/>
          <w:color w:val="000000"/>
          <w:sz w:val="21"/>
          <w:szCs w:val="21"/>
          <w:highlight w:val="none"/>
        </w:rPr>
        <w:t>本单位对上述声明的真实性负责。如有虚假，将依法承担相应责任。</w:t>
      </w:r>
    </w:p>
    <w:p w14:paraId="0BED721C">
      <w:pPr>
        <w:pStyle w:val="72"/>
        <w:rPr>
          <w:rFonts w:hint="eastAsia"/>
          <w:color w:val="000000"/>
          <w:highlight w:val="none"/>
          <w:lang w:eastAsia="zh-CN"/>
        </w:rPr>
      </w:pPr>
    </w:p>
    <w:p w14:paraId="77DEB17D">
      <w:pPr>
        <w:widowControl w:val="0"/>
        <w:wordWrap w:val="0"/>
        <w:snapToGrid w:val="0"/>
        <w:spacing w:line="360" w:lineRule="auto"/>
        <w:rPr>
          <w:rFonts w:hint="eastAsia"/>
          <w:color w:val="000000"/>
          <w:highlight w:val="none"/>
        </w:rPr>
      </w:pPr>
      <w:r>
        <w:rPr>
          <w:rFonts w:hint="eastAsia"/>
          <w:color w:val="000000"/>
          <w:highlight w:val="none"/>
        </w:rPr>
        <w:t xml:space="preserve">                                            </w:t>
      </w:r>
    </w:p>
    <w:p w14:paraId="0091D59E">
      <w:pPr>
        <w:widowControl w:val="0"/>
        <w:wordWrap w:val="0"/>
        <w:snapToGrid w:val="0"/>
        <w:spacing w:line="360" w:lineRule="auto"/>
        <w:rPr>
          <w:rFonts w:hint="eastAsia" w:eastAsia="宋体"/>
          <w:color w:val="000000"/>
          <w:highlight w:val="none"/>
          <w:lang w:eastAsia="zh-CN"/>
        </w:rPr>
      </w:pPr>
      <w:r>
        <w:rPr>
          <w:rFonts w:hint="eastAsia"/>
          <w:color w:val="000000"/>
          <w:highlight w:val="none"/>
        </w:rPr>
        <w:t xml:space="preserve">                                              单位名称（盖章）：</w:t>
      </w:r>
    </w:p>
    <w:p w14:paraId="669B7C9C">
      <w:pPr>
        <w:spacing w:line="400" w:lineRule="exact"/>
        <w:ind w:firstLine="630" w:firstLineChars="300"/>
        <w:rPr>
          <w:rFonts w:hint="eastAsia"/>
          <w:color w:val="000000"/>
          <w:highlight w:val="none"/>
        </w:rPr>
      </w:pPr>
      <w:r>
        <w:rPr>
          <w:rFonts w:hint="eastAsia"/>
          <w:color w:val="000000"/>
          <w:highlight w:val="none"/>
        </w:rPr>
        <w:t xml:space="preserve">                                              日 期：  年  月  日</w:t>
      </w:r>
    </w:p>
    <w:p w14:paraId="444ACCC4">
      <w:pPr>
        <w:spacing w:line="400" w:lineRule="exact"/>
        <w:ind w:firstLine="630" w:firstLineChars="300"/>
        <w:rPr>
          <w:rFonts w:hint="eastAsia"/>
          <w:color w:val="000000"/>
          <w:highlight w:val="none"/>
        </w:rPr>
      </w:pPr>
    </w:p>
    <w:p w14:paraId="25C63128">
      <w:pPr>
        <w:pStyle w:val="12"/>
        <w:rPr>
          <w:rFonts w:hint="eastAsia"/>
          <w:color w:val="000000"/>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7E01B5E8">
      <w:pPr>
        <w:snapToGrid w:val="0"/>
        <w:spacing w:line="360" w:lineRule="auto"/>
        <w:jc w:val="left"/>
        <w:rPr>
          <w:rFonts w:hint="eastAsia" w:ascii="宋体" w:hAnsi="宋体" w:cs="宋体"/>
          <w:b/>
          <w:szCs w:val="21"/>
        </w:rPr>
      </w:pPr>
      <w:r>
        <w:rPr>
          <w:rFonts w:hint="eastAsia" w:ascii="宋体" w:hAnsi="宋体" w:cs="宋体"/>
          <w:b/>
          <w:szCs w:val="21"/>
          <w:lang w:val="en-US" w:eastAsia="zh-CN"/>
        </w:rPr>
        <w:t>11</w:t>
      </w:r>
      <w:r>
        <w:rPr>
          <w:rFonts w:hint="eastAsia" w:ascii="宋体" w:hAnsi="宋体" w:cs="宋体"/>
          <w:b/>
          <w:szCs w:val="21"/>
        </w:rPr>
        <w:t>、项目实施人员一览表格式：</w:t>
      </w:r>
    </w:p>
    <w:p w14:paraId="6AB3B22A">
      <w:pPr>
        <w:snapToGrid w:val="0"/>
        <w:spacing w:line="360" w:lineRule="auto"/>
        <w:jc w:val="center"/>
        <w:rPr>
          <w:rFonts w:hint="eastAsia" w:ascii="宋体" w:hAnsi="宋体" w:cs="宋体"/>
          <w:b/>
          <w:szCs w:val="21"/>
        </w:rPr>
      </w:pPr>
      <w:r>
        <w:rPr>
          <w:rFonts w:hint="eastAsia" w:ascii="宋体" w:hAnsi="宋体" w:cs="宋体"/>
          <w:b/>
          <w:szCs w:val="21"/>
        </w:rPr>
        <w:t>项目实施人员（主要从业人员及其技术资格）一览表</w:t>
      </w:r>
    </w:p>
    <w:p w14:paraId="39B8A0F6">
      <w:pPr>
        <w:snapToGrid w:val="0"/>
        <w:spacing w:line="360" w:lineRule="auto"/>
        <w:rPr>
          <w:rFonts w:hint="eastAsia" w:ascii="宋体" w:hAnsi="宋体" w:cs="宋体"/>
          <w:szCs w:val="21"/>
        </w:rPr>
      </w:pPr>
      <w:r>
        <w:rPr>
          <w:rFonts w:hint="eastAsia" w:ascii="宋体" w:hAnsi="宋体" w:cs="宋体"/>
          <w:szCs w:val="21"/>
        </w:rPr>
        <w:t>标项：</w:t>
      </w:r>
      <w:r>
        <w:rPr>
          <w:rFonts w:hint="eastAsia" w:ascii="宋体" w:hAnsi="宋体" w:cs="宋体"/>
          <w:szCs w:val="21"/>
          <w:u w:val="single"/>
        </w:rPr>
        <w:t xml:space="preserve">              </w:t>
      </w:r>
    </w:p>
    <w:tbl>
      <w:tblPr>
        <w:tblStyle w:val="27"/>
        <w:tblW w:w="93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73C79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noWrap w:val="0"/>
            <w:vAlign w:val="bottom"/>
          </w:tcPr>
          <w:p w14:paraId="35373674">
            <w:pPr>
              <w:snapToGrid w:val="0"/>
              <w:spacing w:line="360" w:lineRule="auto"/>
              <w:rPr>
                <w:rFonts w:hint="eastAsia" w:ascii="宋体" w:hAnsi="宋体" w:cs="宋体"/>
                <w:szCs w:val="21"/>
              </w:rPr>
            </w:pPr>
            <w:r>
              <w:rPr>
                <w:rFonts w:hint="eastAsia" w:ascii="宋体" w:hAnsi="宋体" w:cs="宋体"/>
                <w:szCs w:val="21"/>
              </w:rPr>
              <w:t>姓名</w:t>
            </w:r>
          </w:p>
        </w:tc>
        <w:tc>
          <w:tcPr>
            <w:tcW w:w="1098" w:type="dxa"/>
            <w:tcBorders>
              <w:top w:val="single" w:color="auto" w:sz="4" w:space="0"/>
              <w:left w:val="single" w:color="auto" w:sz="4" w:space="0"/>
              <w:bottom w:val="single" w:color="auto" w:sz="4" w:space="0"/>
              <w:right w:val="single" w:color="auto" w:sz="4" w:space="0"/>
            </w:tcBorders>
            <w:noWrap w:val="0"/>
            <w:vAlign w:val="bottom"/>
          </w:tcPr>
          <w:p w14:paraId="28A027F6">
            <w:pPr>
              <w:snapToGrid w:val="0"/>
              <w:spacing w:line="360" w:lineRule="auto"/>
              <w:rPr>
                <w:rFonts w:hint="eastAsia" w:ascii="宋体" w:hAnsi="宋体" w:cs="宋体"/>
                <w:szCs w:val="21"/>
              </w:rPr>
            </w:pPr>
            <w:r>
              <w:rPr>
                <w:rFonts w:hint="eastAsia" w:ascii="宋体" w:hAnsi="宋体" w:cs="宋体"/>
                <w:szCs w:val="21"/>
              </w:rPr>
              <w:t>职务</w:t>
            </w:r>
          </w:p>
        </w:tc>
        <w:tc>
          <w:tcPr>
            <w:tcW w:w="1819" w:type="dxa"/>
            <w:tcBorders>
              <w:top w:val="single" w:color="auto" w:sz="4" w:space="0"/>
              <w:left w:val="single" w:color="auto" w:sz="4" w:space="0"/>
              <w:bottom w:val="single" w:color="auto" w:sz="4" w:space="0"/>
              <w:right w:val="single" w:color="auto" w:sz="4" w:space="0"/>
            </w:tcBorders>
            <w:noWrap w:val="0"/>
            <w:vAlign w:val="bottom"/>
          </w:tcPr>
          <w:p w14:paraId="3AF1C431">
            <w:pPr>
              <w:snapToGrid w:val="0"/>
              <w:spacing w:line="360" w:lineRule="auto"/>
              <w:jc w:val="center"/>
              <w:rPr>
                <w:rFonts w:hint="eastAsia" w:ascii="宋体" w:hAnsi="宋体" w:cs="宋体"/>
                <w:szCs w:val="21"/>
              </w:rPr>
            </w:pPr>
            <w:r>
              <w:rPr>
                <w:rFonts w:hint="eastAsia" w:ascii="宋体" w:hAnsi="宋体" w:cs="宋体"/>
                <w:szCs w:val="21"/>
              </w:rPr>
              <w:t>专业技术资格</w:t>
            </w:r>
          </w:p>
        </w:tc>
        <w:tc>
          <w:tcPr>
            <w:tcW w:w="1378" w:type="dxa"/>
            <w:tcBorders>
              <w:top w:val="single" w:color="auto" w:sz="4" w:space="0"/>
              <w:left w:val="single" w:color="auto" w:sz="4" w:space="0"/>
              <w:bottom w:val="single" w:color="auto" w:sz="4" w:space="0"/>
              <w:right w:val="single" w:color="auto" w:sz="4" w:space="0"/>
            </w:tcBorders>
            <w:noWrap w:val="0"/>
            <w:vAlign w:val="bottom"/>
          </w:tcPr>
          <w:p w14:paraId="683B0C2E">
            <w:pPr>
              <w:snapToGrid w:val="0"/>
              <w:spacing w:line="360" w:lineRule="auto"/>
              <w:rPr>
                <w:rFonts w:hint="eastAsia" w:ascii="宋体" w:hAnsi="宋体" w:cs="宋体"/>
                <w:szCs w:val="21"/>
              </w:rPr>
            </w:pPr>
            <w:r>
              <w:rPr>
                <w:rFonts w:hint="eastAsia" w:ascii="宋体" w:hAnsi="宋体" w:cs="宋体"/>
                <w:szCs w:val="21"/>
              </w:rPr>
              <w:t>证书编号</w:t>
            </w:r>
          </w:p>
        </w:tc>
        <w:tc>
          <w:tcPr>
            <w:tcW w:w="1772" w:type="dxa"/>
            <w:tcBorders>
              <w:top w:val="single" w:color="auto" w:sz="4" w:space="0"/>
              <w:left w:val="single" w:color="auto" w:sz="4" w:space="0"/>
              <w:bottom w:val="single" w:color="auto" w:sz="4" w:space="0"/>
              <w:right w:val="single" w:color="auto" w:sz="4" w:space="0"/>
            </w:tcBorders>
            <w:noWrap w:val="0"/>
            <w:vAlign w:val="bottom"/>
          </w:tcPr>
          <w:p w14:paraId="7CA4F808">
            <w:pPr>
              <w:snapToGrid w:val="0"/>
              <w:spacing w:line="360" w:lineRule="auto"/>
              <w:rPr>
                <w:rFonts w:hint="eastAsia" w:ascii="宋体" w:hAnsi="宋体" w:cs="宋体"/>
                <w:bCs/>
                <w:szCs w:val="21"/>
              </w:rPr>
            </w:pPr>
            <w:r>
              <w:rPr>
                <w:rFonts w:hint="eastAsia" w:ascii="宋体" w:hAnsi="宋体" w:cs="宋体"/>
                <w:bCs/>
                <w:szCs w:val="21"/>
              </w:rPr>
              <w:t>参加本单位工作时间</w:t>
            </w:r>
          </w:p>
        </w:tc>
        <w:tc>
          <w:tcPr>
            <w:tcW w:w="2166" w:type="dxa"/>
            <w:tcBorders>
              <w:top w:val="single" w:color="auto" w:sz="4" w:space="0"/>
              <w:left w:val="single" w:color="auto" w:sz="4" w:space="0"/>
              <w:bottom w:val="single" w:color="auto" w:sz="4" w:space="0"/>
              <w:right w:val="single" w:color="auto" w:sz="4" w:space="0"/>
            </w:tcBorders>
            <w:noWrap w:val="0"/>
            <w:vAlign w:val="bottom"/>
          </w:tcPr>
          <w:p w14:paraId="26FD1D7A">
            <w:pPr>
              <w:snapToGrid w:val="0"/>
              <w:spacing w:line="360" w:lineRule="auto"/>
              <w:rPr>
                <w:rFonts w:hint="eastAsia" w:ascii="宋体" w:hAnsi="宋体" w:cs="宋体"/>
                <w:bCs/>
                <w:szCs w:val="21"/>
              </w:rPr>
            </w:pPr>
            <w:r>
              <w:rPr>
                <w:rFonts w:hint="eastAsia" w:ascii="宋体" w:hAnsi="宋体" w:cs="宋体"/>
                <w:bCs/>
                <w:szCs w:val="21"/>
              </w:rPr>
              <w:t>劳动合同编号</w:t>
            </w:r>
          </w:p>
        </w:tc>
      </w:tr>
      <w:tr w14:paraId="5211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42E1D6BD">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6503DD30">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66ADF1A4">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05A26424">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012430F1">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7A4565EF">
            <w:pPr>
              <w:snapToGrid w:val="0"/>
              <w:spacing w:line="360" w:lineRule="auto"/>
              <w:rPr>
                <w:rFonts w:hint="eastAsia" w:ascii="宋体" w:hAnsi="宋体" w:cs="宋体"/>
                <w:szCs w:val="21"/>
              </w:rPr>
            </w:pPr>
          </w:p>
        </w:tc>
      </w:tr>
      <w:tr w14:paraId="7E0B8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0E00390C">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5D282F04">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2879D14D">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43201592">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3176C0D1">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7E8BEA19">
            <w:pPr>
              <w:snapToGrid w:val="0"/>
              <w:spacing w:line="360" w:lineRule="auto"/>
              <w:rPr>
                <w:rFonts w:hint="eastAsia" w:ascii="宋体" w:hAnsi="宋体" w:cs="宋体"/>
                <w:szCs w:val="21"/>
              </w:rPr>
            </w:pPr>
          </w:p>
        </w:tc>
      </w:tr>
      <w:tr w14:paraId="464CA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3A5E673E">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3035383A">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23885C5E">
            <w:pPr>
              <w:pStyle w:val="17"/>
              <w:snapToGrid w:val="0"/>
              <w:spacing w:line="360" w:lineRule="auto"/>
              <w:ind w:left="5250"/>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6F79EDA8">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0428DEAA">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1F833A94">
            <w:pPr>
              <w:snapToGrid w:val="0"/>
              <w:spacing w:line="360" w:lineRule="auto"/>
              <w:rPr>
                <w:rFonts w:hint="eastAsia" w:ascii="宋体" w:hAnsi="宋体" w:cs="宋体"/>
                <w:szCs w:val="21"/>
              </w:rPr>
            </w:pPr>
          </w:p>
        </w:tc>
      </w:tr>
      <w:tr w14:paraId="505A4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4F23A8A5">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1C5EDEAB">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148C70E9">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2434641E">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796278D0">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09D63529">
            <w:pPr>
              <w:snapToGrid w:val="0"/>
              <w:spacing w:line="360" w:lineRule="auto"/>
              <w:rPr>
                <w:rFonts w:hint="eastAsia" w:ascii="宋体" w:hAnsi="宋体" w:cs="宋体"/>
                <w:szCs w:val="21"/>
              </w:rPr>
            </w:pPr>
          </w:p>
        </w:tc>
      </w:tr>
      <w:tr w14:paraId="6285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4E35591E">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737EC4D8">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03E69C91">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549E61E3">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6BBCAF13">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71060D61">
            <w:pPr>
              <w:snapToGrid w:val="0"/>
              <w:spacing w:line="360" w:lineRule="auto"/>
              <w:rPr>
                <w:rFonts w:hint="eastAsia" w:ascii="宋体" w:hAnsi="宋体" w:cs="宋体"/>
                <w:szCs w:val="21"/>
              </w:rPr>
            </w:pPr>
          </w:p>
        </w:tc>
      </w:tr>
      <w:tr w14:paraId="0CFC9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6BEEF68B">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00802FAB">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04BB78D0">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51303D05">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5FAF5C4D">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7BD4B4BA">
            <w:pPr>
              <w:snapToGrid w:val="0"/>
              <w:spacing w:line="360" w:lineRule="auto"/>
              <w:rPr>
                <w:rFonts w:hint="eastAsia" w:ascii="宋体" w:hAnsi="宋体" w:cs="宋体"/>
                <w:szCs w:val="21"/>
              </w:rPr>
            </w:pPr>
          </w:p>
        </w:tc>
      </w:tr>
      <w:tr w14:paraId="253B0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4A101B1B">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50B29DF6">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7F1D151D">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6CE89549">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3FC2BF6B">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4CE1DE02">
            <w:pPr>
              <w:snapToGrid w:val="0"/>
              <w:spacing w:line="360" w:lineRule="auto"/>
              <w:rPr>
                <w:rFonts w:hint="eastAsia" w:ascii="宋体" w:hAnsi="宋体" w:cs="宋体"/>
                <w:szCs w:val="21"/>
              </w:rPr>
            </w:pPr>
          </w:p>
        </w:tc>
      </w:tr>
      <w:tr w14:paraId="25A0F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7187104F">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73541B22">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5CD55EF7">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7F366CD8">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28655D83">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4E5D556E">
            <w:pPr>
              <w:snapToGrid w:val="0"/>
              <w:spacing w:line="360" w:lineRule="auto"/>
              <w:rPr>
                <w:rFonts w:hint="eastAsia" w:ascii="宋体" w:hAnsi="宋体" w:cs="宋体"/>
                <w:szCs w:val="21"/>
              </w:rPr>
            </w:pPr>
          </w:p>
        </w:tc>
      </w:tr>
      <w:tr w14:paraId="1E779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14:paraId="04799D58">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12F74753">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14:paraId="1A931C90">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32FF1EA4">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14:paraId="12058680">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14:paraId="402985AE">
            <w:pPr>
              <w:snapToGrid w:val="0"/>
              <w:spacing w:line="360" w:lineRule="auto"/>
              <w:rPr>
                <w:rFonts w:hint="eastAsia" w:ascii="宋体" w:hAnsi="宋体" w:cs="宋体"/>
                <w:szCs w:val="21"/>
              </w:rPr>
            </w:pPr>
          </w:p>
        </w:tc>
      </w:tr>
    </w:tbl>
    <w:p w14:paraId="722539C7">
      <w:pPr>
        <w:snapToGrid w:val="0"/>
        <w:spacing w:line="360" w:lineRule="auto"/>
        <w:jc w:val="left"/>
        <w:rPr>
          <w:rFonts w:hint="eastAsia" w:ascii="宋体" w:hAnsi="宋体" w:cs="宋体"/>
          <w:szCs w:val="21"/>
        </w:rPr>
      </w:pPr>
      <w:r>
        <w:rPr>
          <w:rFonts w:hint="eastAsia" w:ascii="宋体" w:hAnsi="宋体" w:cs="宋体"/>
          <w:szCs w:val="21"/>
        </w:rPr>
        <w:t>注：在填写时，如本表格不适合投标单位的实际情况，可根据本表格式自行划表填写。</w:t>
      </w:r>
    </w:p>
    <w:p w14:paraId="5DEE4856">
      <w:pPr>
        <w:snapToGrid w:val="0"/>
        <w:spacing w:line="360" w:lineRule="auto"/>
        <w:rPr>
          <w:rFonts w:hint="eastAsia" w:ascii="宋体" w:hAnsi="宋体" w:cs="宋体"/>
          <w:spacing w:val="20"/>
          <w:szCs w:val="21"/>
          <w:u w:val="single"/>
        </w:rPr>
      </w:pPr>
      <w:r>
        <w:rPr>
          <w:rFonts w:hint="eastAsia" w:ascii="宋体" w:hAnsi="宋体" w:cs="宋体"/>
          <w:spacing w:val="20"/>
          <w:szCs w:val="21"/>
        </w:rPr>
        <w:t>授权代表签名：</w:t>
      </w:r>
      <w:r>
        <w:rPr>
          <w:rFonts w:hint="eastAsia" w:ascii="宋体" w:hAnsi="宋体" w:cs="宋体"/>
          <w:spacing w:val="20"/>
          <w:szCs w:val="21"/>
          <w:u w:val="single"/>
        </w:rPr>
        <w:t xml:space="preserve">            </w:t>
      </w:r>
    </w:p>
    <w:p w14:paraId="018BFD8D">
      <w:pPr>
        <w:snapToGrid w:val="0"/>
        <w:spacing w:line="360" w:lineRule="auto"/>
        <w:jc w:val="left"/>
        <w:rPr>
          <w:rFonts w:hint="eastAsia" w:ascii="宋体" w:hAnsi="宋体" w:cs="宋体"/>
          <w:spacing w:val="20"/>
          <w:szCs w:val="21"/>
          <w:u w:val="single"/>
        </w:rPr>
      </w:pPr>
      <w:r>
        <w:rPr>
          <w:rFonts w:hint="eastAsia" w:ascii="宋体" w:hAnsi="宋体" w:cs="宋体"/>
          <w:spacing w:val="20"/>
          <w:szCs w:val="21"/>
        </w:rPr>
        <w:t>投标人盖章：</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43B9F18C">
      <w:pPr>
        <w:pStyle w:val="91"/>
        <w:spacing w:after="120" w:line="360" w:lineRule="auto"/>
        <w:ind w:firstLine="480"/>
        <w:rPr>
          <w:rFonts w:hint="eastAsia" w:hAnsi="宋体" w:eastAsia="宋体" w:cs="宋体"/>
          <w:b/>
          <w:sz w:val="21"/>
          <w:szCs w:val="21"/>
        </w:rPr>
      </w:pPr>
    </w:p>
    <w:p w14:paraId="01FD6BE0">
      <w:pPr>
        <w:pStyle w:val="91"/>
        <w:spacing w:after="120" w:line="360" w:lineRule="auto"/>
        <w:ind w:firstLine="480"/>
        <w:rPr>
          <w:rFonts w:hint="eastAsia" w:hAnsi="宋体" w:eastAsia="宋体" w:cs="宋体"/>
          <w:b/>
          <w:sz w:val="21"/>
          <w:szCs w:val="21"/>
        </w:rPr>
      </w:pPr>
    </w:p>
    <w:p w14:paraId="3F7A416D">
      <w:pPr>
        <w:pStyle w:val="91"/>
        <w:spacing w:after="120" w:line="360" w:lineRule="auto"/>
        <w:ind w:firstLine="480"/>
        <w:rPr>
          <w:rFonts w:hint="eastAsia" w:hAnsi="宋体" w:eastAsia="宋体" w:cs="宋体"/>
          <w:b/>
          <w:sz w:val="21"/>
          <w:szCs w:val="21"/>
        </w:rPr>
      </w:pPr>
    </w:p>
    <w:p w14:paraId="6B7E06FA">
      <w:pPr>
        <w:pStyle w:val="91"/>
        <w:spacing w:after="120" w:line="360" w:lineRule="auto"/>
        <w:ind w:firstLine="480"/>
        <w:rPr>
          <w:rFonts w:hint="eastAsia" w:hAnsi="宋体" w:eastAsia="宋体" w:cs="宋体"/>
          <w:b/>
          <w:sz w:val="21"/>
          <w:szCs w:val="21"/>
        </w:rPr>
      </w:pPr>
    </w:p>
    <w:p w14:paraId="22DD14C3">
      <w:pPr>
        <w:pStyle w:val="91"/>
        <w:spacing w:after="120" w:line="360" w:lineRule="auto"/>
        <w:ind w:firstLine="480"/>
        <w:rPr>
          <w:rFonts w:hint="eastAsia" w:hAnsi="宋体" w:eastAsia="宋体" w:cs="宋体"/>
          <w:b/>
          <w:sz w:val="21"/>
          <w:szCs w:val="21"/>
        </w:rPr>
      </w:pPr>
    </w:p>
    <w:p w14:paraId="751B7CA9">
      <w:pPr>
        <w:pStyle w:val="91"/>
        <w:spacing w:after="120" w:line="360" w:lineRule="auto"/>
        <w:ind w:firstLine="480"/>
        <w:rPr>
          <w:rFonts w:hint="eastAsia" w:hAnsi="宋体" w:eastAsia="宋体" w:cs="宋体"/>
          <w:b/>
          <w:sz w:val="21"/>
          <w:szCs w:val="21"/>
        </w:rPr>
      </w:pPr>
    </w:p>
    <w:p w14:paraId="69F4D149">
      <w:pPr>
        <w:snapToGrid w:val="0"/>
        <w:spacing w:line="360" w:lineRule="auto"/>
        <w:jc w:val="left"/>
        <w:rPr>
          <w:rFonts w:hint="eastAsia" w:ascii="宋体" w:hAnsi="宋体" w:cs="宋体"/>
          <w:szCs w:val="21"/>
        </w:rPr>
      </w:pPr>
    </w:p>
    <w:p w14:paraId="212D5131">
      <w:pPr>
        <w:snapToGrid w:val="0"/>
        <w:spacing w:line="360" w:lineRule="auto"/>
        <w:rPr>
          <w:rFonts w:hint="eastAsia" w:ascii="宋体" w:hAnsi="宋体" w:cs="宋体"/>
          <w:b/>
          <w:szCs w:val="21"/>
        </w:rPr>
      </w:pPr>
      <w:r>
        <w:rPr>
          <w:rFonts w:hint="eastAsia" w:ascii="宋体" w:hAnsi="宋体" w:cs="宋体"/>
          <w:b/>
          <w:szCs w:val="21"/>
        </w:rPr>
        <w:br w:type="page"/>
      </w:r>
      <w:r>
        <w:rPr>
          <w:rFonts w:hint="eastAsia" w:ascii="宋体" w:hAnsi="宋体" w:cs="宋体"/>
          <w:b/>
          <w:szCs w:val="21"/>
          <w:lang w:val="en-US" w:eastAsia="zh-CN"/>
        </w:rPr>
        <w:t>12、</w:t>
      </w:r>
      <w:r>
        <w:rPr>
          <w:rFonts w:hint="eastAsia" w:ascii="宋体" w:hAnsi="宋体" w:cs="宋体"/>
          <w:b/>
          <w:szCs w:val="21"/>
        </w:rPr>
        <w:t>投标函格式：</w:t>
      </w:r>
    </w:p>
    <w:p w14:paraId="34F14999">
      <w:pPr>
        <w:snapToGrid w:val="0"/>
        <w:spacing w:line="360" w:lineRule="auto"/>
        <w:jc w:val="center"/>
        <w:rPr>
          <w:rFonts w:hint="eastAsia" w:ascii="宋体" w:hAnsi="宋体" w:cs="宋体"/>
          <w:b/>
          <w:szCs w:val="21"/>
        </w:rPr>
      </w:pPr>
      <w:r>
        <w:rPr>
          <w:rFonts w:hint="eastAsia" w:ascii="宋体" w:hAnsi="宋体" w:cs="宋体"/>
          <w:b/>
          <w:szCs w:val="21"/>
        </w:rPr>
        <w:t>投 标 函</w:t>
      </w:r>
    </w:p>
    <w:p w14:paraId="080456A2">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（招标采购单位名称）：</w:t>
      </w:r>
    </w:p>
    <w:p w14:paraId="565B48E6">
      <w:pPr>
        <w:snapToGrid w:val="0"/>
        <w:spacing w:line="360" w:lineRule="auto"/>
        <w:ind w:firstLine="480"/>
        <w:rPr>
          <w:rFonts w:hint="eastAsia"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项目的招标公告/投标邀请书</w:t>
      </w:r>
    </w:p>
    <w:p w14:paraId="54304259">
      <w:pPr>
        <w:snapToGrid w:val="0"/>
        <w:spacing w:line="360" w:lineRule="auto"/>
        <w:rPr>
          <w:rFonts w:hint="eastAsia"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w:t>
      </w:r>
      <w:r>
        <w:rPr>
          <w:rFonts w:hint="eastAsia" w:ascii="宋体" w:hAnsi="宋体" w:cs="宋体"/>
          <w:szCs w:val="21"/>
        </w:rPr>
        <w:t>（全名）经正式授权并代表投标人</w:t>
      </w:r>
      <w:r>
        <w:rPr>
          <w:rFonts w:hint="eastAsia" w:ascii="宋体" w:hAnsi="宋体" w:cs="宋体"/>
          <w:szCs w:val="21"/>
          <w:u w:val="single"/>
        </w:rPr>
        <w:t xml:space="preserve">            </w:t>
      </w:r>
      <w:r>
        <w:rPr>
          <w:rFonts w:hint="eastAsia" w:ascii="宋体" w:hAnsi="宋体" w:cs="宋体"/>
          <w:szCs w:val="21"/>
        </w:rPr>
        <w:t>（投标人名称）提交资信商务及技术文件、报价文件正本各一份、副本</w:t>
      </w:r>
      <w:r>
        <w:rPr>
          <w:rFonts w:hint="eastAsia" w:ascii="宋体" w:hAnsi="宋体" w:cs="宋体"/>
          <w:szCs w:val="21"/>
          <w:u w:val="single"/>
        </w:rPr>
        <w:t xml:space="preserve">      </w:t>
      </w:r>
      <w:r>
        <w:rPr>
          <w:rFonts w:hint="eastAsia" w:ascii="宋体" w:hAnsi="宋体" w:cs="宋体"/>
          <w:szCs w:val="21"/>
        </w:rPr>
        <w:t>份。</w:t>
      </w:r>
    </w:p>
    <w:p w14:paraId="6D8E50FA">
      <w:pPr>
        <w:snapToGrid w:val="0"/>
        <w:spacing w:line="360" w:lineRule="auto"/>
        <w:ind w:firstLine="420" w:firstLineChars="200"/>
        <w:rPr>
          <w:rFonts w:hint="eastAsia" w:ascii="宋体" w:hAnsi="宋体" w:cs="宋体"/>
          <w:szCs w:val="21"/>
        </w:rPr>
      </w:pPr>
      <w:r>
        <w:rPr>
          <w:rFonts w:hint="eastAsia" w:ascii="宋体" w:hAnsi="宋体" w:cs="宋体"/>
          <w:szCs w:val="21"/>
        </w:rPr>
        <w:t>据此函，签字代表宣布同意如下：</w:t>
      </w:r>
    </w:p>
    <w:p w14:paraId="52AA4CA7">
      <w:pPr>
        <w:snapToGrid w:val="0"/>
        <w:spacing w:line="360" w:lineRule="auto"/>
        <w:ind w:firstLine="420" w:firstLineChars="200"/>
        <w:rPr>
          <w:rFonts w:hint="eastAsia" w:ascii="宋体" w:hAnsi="宋体" w:cs="宋体"/>
          <w:szCs w:val="21"/>
        </w:rPr>
      </w:pPr>
      <w:r>
        <w:rPr>
          <w:rFonts w:hint="eastAsia" w:ascii="宋体" w:hAnsi="宋体" w:cs="宋体"/>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2D26E67B">
      <w:pPr>
        <w:snapToGrid w:val="0"/>
        <w:spacing w:line="360" w:lineRule="auto"/>
        <w:ind w:firstLine="420" w:firstLineChars="200"/>
        <w:rPr>
          <w:rFonts w:hint="eastAsia"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14:paraId="496B0A79">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3.本投标有效期自开标日起 </w:t>
      </w:r>
      <w:r>
        <w:rPr>
          <w:rFonts w:hint="eastAsia" w:ascii="宋体" w:hAnsi="宋体" w:cs="宋体"/>
          <w:szCs w:val="21"/>
          <w:u w:val="single"/>
        </w:rPr>
        <w:t xml:space="preserve">      </w:t>
      </w:r>
      <w:r>
        <w:rPr>
          <w:rFonts w:hint="eastAsia" w:ascii="宋体" w:hAnsi="宋体" w:cs="宋体"/>
          <w:szCs w:val="21"/>
        </w:rPr>
        <w:t>个日。</w:t>
      </w:r>
    </w:p>
    <w:p w14:paraId="25983FF4">
      <w:pPr>
        <w:snapToGrid w:val="0"/>
        <w:spacing w:line="360" w:lineRule="auto"/>
        <w:ind w:firstLine="420" w:firstLineChars="200"/>
        <w:rPr>
          <w:rFonts w:hint="eastAsia"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14:paraId="13081D2A">
      <w:pPr>
        <w:snapToGrid w:val="0"/>
        <w:spacing w:line="360" w:lineRule="auto"/>
        <w:ind w:firstLine="420" w:firstLineChars="200"/>
        <w:rPr>
          <w:rFonts w:hint="eastAsia" w:ascii="宋体" w:hAnsi="宋体" w:cs="宋体"/>
          <w:szCs w:val="21"/>
        </w:rPr>
      </w:pPr>
      <w:r>
        <w:rPr>
          <w:rFonts w:hint="eastAsia" w:ascii="宋体" w:hAnsi="宋体" w:cs="宋体"/>
          <w:szCs w:val="21"/>
        </w:rPr>
        <w:t>5.投标人同意按照贵方要求提供与投标有关的一切数据或资料。</w:t>
      </w:r>
    </w:p>
    <w:p w14:paraId="45080951">
      <w:pPr>
        <w:snapToGrid w:val="0"/>
        <w:spacing w:line="360" w:lineRule="auto"/>
        <w:ind w:firstLine="420" w:firstLineChars="200"/>
        <w:rPr>
          <w:rFonts w:hint="eastAsia" w:ascii="宋体" w:hAnsi="宋体" w:cs="宋体"/>
          <w:szCs w:val="21"/>
        </w:rPr>
      </w:pPr>
      <w:r>
        <w:rPr>
          <w:rFonts w:hint="eastAsia" w:ascii="宋体" w:hAnsi="宋体" w:cs="宋体"/>
          <w:szCs w:val="21"/>
        </w:rPr>
        <w:t>6.与本投标有关的一切正式往来信函请寄：</w:t>
      </w:r>
    </w:p>
    <w:p w14:paraId="5A6922AD">
      <w:pPr>
        <w:snapToGrid w:val="0"/>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电话：______________</w:t>
      </w:r>
    </w:p>
    <w:p w14:paraId="457D4AE3">
      <w:pPr>
        <w:snapToGrid w:val="0"/>
        <w:spacing w:line="360" w:lineRule="auto"/>
        <w:rPr>
          <w:rFonts w:hint="eastAsia" w:ascii="宋体" w:hAnsi="宋体" w:cs="宋体"/>
          <w:szCs w:val="21"/>
        </w:rPr>
      </w:pPr>
      <w:r>
        <w:rPr>
          <w:rFonts w:hint="eastAsia" w:ascii="宋体" w:hAnsi="宋体" w:cs="宋体"/>
          <w:szCs w:val="21"/>
        </w:rPr>
        <w:t xml:space="preserve">传真：______________投标人代表姓名 ___________  职务：_________  </w:t>
      </w:r>
    </w:p>
    <w:p w14:paraId="6B4E30B9">
      <w:pPr>
        <w:snapToGrid w:val="0"/>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投标人名称(公章):___________________</w:t>
      </w:r>
    </w:p>
    <w:p w14:paraId="6A510E25">
      <w:pPr>
        <w:snapToGrid w:val="0"/>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14:paraId="70891EAA">
      <w:pPr>
        <w:snapToGrid w:val="0"/>
        <w:spacing w:line="360" w:lineRule="auto"/>
        <w:jc w:val="center"/>
        <w:rPr>
          <w:rFonts w:hint="eastAsia" w:ascii="宋体" w:hAnsi="宋体" w:cs="宋体"/>
          <w:szCs w:val="21"/>
        </w:rPr>
      </w:pPr>
    </w:p>
    <w:p w14:paraId="7B5CD58B">
      <w:pPr>
        <w:snapToGrid w:val="0"/>
        <w:spacing w:line="360" w:lineRule="auto"/>
        <w:jc w:val="center"/>
        <w:rPr>
          <w:rFonts w:hint="eastAsia" w:ascii="宋体" w:hAnsi="宋体" w:cs="宋体"/>
          <w:szCs w:val="21"/>
        </w:rPr>
      </w:pPr>
    </w:p>
    <w:p w14:paraId="2A530F83">
      <w:pPr>
        <w:snapToGrid w:val="0"/>
        <w:spacing w:line="360" w:lineRule="auto"/>
        <w:jc w:val="center"/>
        <w:rPr>
          <w:rFonts w:hint="eastAsia" w:ascii="宋体" w:hAnsi="宋体" w:cs="宋体"/>
          <w:szCs w:val="21"/>
        </w:rPr>
      </w:pPr>
      <w:r>
        <w:rPr>
          <w:rFonts w:hint="eastAsia" w:ascii="宋体" w:hAnsi="宋体" w:cs="宋体"/>
          <w:szCs w:val="21"/>
        </w:rPr>
        <w:t>授权代表签字:___________                      日期:_____年___月___日</w:t>
      </w:r>
    </w:p>
    <w:p w14:paraId="00662378">
      <w:pPr>
        <w:snapToGrid w:val="0"/>
        <w:spacing w:line="360" w:lineRule="auto"/>
        <w:jc w:val="left"/>
        <w:rPr>
          <w:rFonts w:hint="eastAsia" w:ascii="宋体" w:hAnsi="宋体" w:cs="宋体"/>
          <w:szCs w:val="21"/>
        </w:rPr>
      </w:pPr>
    </w:p>
    <w:p w14:paraId="353E818F">
      <w:pPr>
        <w:snapToGrid w:val="0"/>
        <w:spacing w:line="360" w:lineRule="auto"/>
        <w:jc w:val="left"/>
        <w:rPr>
          <w:rFonts w:hint="eastAsia" w:ascii="宋体" w:hAnsi="宋体" w:cs="宋体"/>
          <w:szCs w:val="21"/>
        </w:rPr>
      </w:pPr>
    </w:p>
    <w:p w14:paraId="1A0A45CF">
      <w:pPr>
        <w:snapToGrid w:val="0"/>
        <w:spacing w:line="360" w:lineRule="auto"/>
        <w:jc w:val="left"/>
        <w:rPr>
          <w:rFonts w:hint="eastAsia" w:ascii="宋体" w:hAnsi="宋体" w:cs="宋体"/>
          <w:szCs w:val="21"/>
        </w:rPr>
      </w:pPr>
    </w:p>
    <w:p w14:paraId="1F9774A1">
      <w:pPr>
        <w:snapToGrid w:val="0"/>
        <w:spacing w:line="360" w:lineRule="auto"/>
        <w:jc w:val="left"/>
        <w:rPr>
          <w:rFonts w:hint="eastAsia" w:ascii="宋体" w:hAnsi="宋体" w:cs="宋体"/>
          <w:szCs w:val="21"/>
        </w:rPr>
      </w:pPr>
    </w:p>
    <w:p w14:paraId="7BC3FC93">
      <w:pPr>
        <w:snapToGrid w:val="0"/>
        <w:spacing w:line="360" w:lineRule="auto"/>
        <w:ind w:left="420" w:leftChars="200"/>
        <w:rPr>
          <w:rFonts w:hint="eastAsia" w:ascii="宋体" w:hAnsi="宋体" w:cs="宋体"/>
          <w:b/>
          <w:szCs w:val="21"/>
        </w:rPr>
      </w:pPr>
      <w:r>
        <w:rPr>
          <w:rFonts w:hint="eastAsia" w:ascii="宋体" w:hAnsi="宋体" w:cs="宋体"/>
          <w:b/>
          <w:szCs w:val="21"/>
        </w:rPr>
        <w:br w:type="page"/>
      </w:r>
      <w:r>
        <w:rPr>
          <w:rFonts w:hint="eastAsia" w:ascii="宋体" w:hAnsi="宋体" w:cs="宋体"/>
          <w:b/>
          <w:szCs w:val="21"/>
          <w:lang w:val="en-US" w:eastAsia="zh-CN"/>
        </w:rPr>
        <w:t>13</w:t>
      </w:r>
      <w:r>
        <w:rPr>
          <w:rFonts w:hint="eastAsia" w:ascii="宋体" w:hAnsi="宋体" w:cs="宋体"/>
          <w:b/>
          <w:szCs w:val="21"/>
        </w:rPr>
        <w:t>、开标一览表</w:t>
      </w:r>
    </w:p>
    <w:p w14:paraId="13C47B73">
      <w:pPr>
        <w:adjustRightInd w:val="0"/>
        <w:spacing w:line="360" w:lineRule="auto"/>
        <w:ind w:firstLine="1260" w:firstLineChars="600"/>
        <w:jc w:val="right"/>
        <w:rPr>
          <w:rFonts w:hint="eastAsia" w:ascii="宋体" w:hAnsi="宋体" w:cs="宋体"/>
          <w:bCs/>
          <w:szCs w:val="21"/>
        </w:rPr>
      </w:pPr>
      <w:r>
        <w:rPr>
          <w:rFonts w:hint="eastAsia" w:ascii="宋体" w:hAnsi="宋体" w:cs="宋体"/>
          <w:szCs w:val="21"/>
        </w:rPr>
        <w:t xml:space="preserve">     报价单位：</w:t>
      </w:r>
      <w:r>
        <w:rPr>
          <w:rFonts w:hint="eastAsia" w:ascii="宋体" w:hAnsi="宋体" w:cs="宋体"/>
          <w:bCs/>
          <w:szCs w:val="21"/>
        </w:rPr>
        <w:t>元人民币</w:t>
      </w:r>
    </w:p>
    <w:tbl>
      <w:tblPr>
        <w:tblStyle w:val="27"/>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344"/>
        <w:gridCol w:w="899"/>
        <w:gridCol w:w="986"/>
        <w:gridCol w:w="2134"/>
        <w:gridCol w:w="1755"/>
        <w:gridCol w:w="1"/>
      </w:tblGrid>
      <w:tr w14:paraId="2B74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124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5728A40B">
            <w:pPr>
              <w:spacing w:before="50" w:line="360" w:lineRule="auto"/>
              <w:jc w:val="center"/>
              <w:rPr>
                <w:rFonts w:hint="eastAsia" w:ascii="宋体" w:hAnsi="宋体" w:cs="宋体"/>
                <w:bCs/>
                <w:szCs w:val="21"/>
              </w:rPr>
            </w:pPr>
            <w:bookmarkStart w:id="43" w:name="OLE_LINK9"/>
            <w:r>
              <w:rPr>
                <w:rFonts w:hint="eastAsia" w:ascii="宋体" w:hAnsi="宋体" w:cs="宋体"/>
                <w:bCs/>
                <w:szCs w:val="21"/>
              </w:rPr>
              <w:t>序号</w:t>
            </w:r>
          </w:p>
        </w:tc>
        <w:tc>
          <w:tcPr>
            <w:tcW w:w="3344" w:type="dxa"/>
            <w:tcBorders>
              <w:top w:val="single" w:color="auto" w:sz="4" w:space="0"/>
              <w:left w:val="single" w:color="auto" w:sz="4" w:space="0"/>
              <w:bottom w:val="single" w:color="auto" w:sz="4" w:space="0"/>
              <w:right w:val="single" w:color="auto" w:sz="4" w:space="0"/>
            </w:tcBorders>
            <w:noWrap w:val="0"/>
            <w:vAlign w:val="center"/>
          </w:tcPr>
          <w:p w14:paraId="640700CB">
            <w:pPr>
              <w:spacing w:before="50" w:line="360" w:lineRule="auto"/>
              <w:jc w:val="left"/>
              <w:rPr>
                <w:rFonts w:hint="eastAsia" w:ascii="宋体" w:hAnsi="宋体" w:cs="宋体"/>
                <w:bCs/>
                <w:szCs w:val="21"/>
              </w:rPr>
            </w:pPr>
            <w:r>
              <w:rPr>
                <w:rFonts w:hint="eastAsia" w:ascii="宋体" w:hAnsi="宋体" w:cs="宋体"/>
                <w:bCs/>
                <w:szCs w:val="21"/>
              </w:rPr>
              <w:t>项目</w:t>
            </w:r>
          </w:p>
        </w:tc>
        <w:tc>
          <w:tcPr>
            <w:tcW w:w="899" w:type="dxa"/>
            <w:tcBorders>
              <w:top w:val="single" w:color="auto" w:sz="4" w:space="0"/>
              <w:left w:val="single" w:color="auto" w:sz="4" w:space="0"/>
              <w:bottom w:val="single" w:color="auto" w:sz="4" w:space="0"/>
              <w:right w:val="single" w:color="auto" w:sz="4" w:space="0"/>
            </w:tcBorders>
            <w:noWrap w:val="0"/>
            <w:vAlign w:val="center"/>
          </w:tcPr>
          <w:p w14:paraId="1687C3DB">
            <w:pPr>
              <w:spacing w:before="50" w:line="360" w:lineRule="auto"/>
              <w:jc w:val="left"/>
              <w:rPr>
                <w:rFonts w:hint="eastAsia" w:ascii="宋体" w:hAnsi="宋体" w:cs="宋体"/>
                <w:bCs/>
                <w:szCs w:val="21"/>
              </w:rPr>
            </w:pPr>
            <w:r>
              <w:rPr>
                <w:rFonts w:hint="eastAsia" w:ascii="宋体" w:hAnsi="宋体" w:cs="宋体"/>
                <w:bCs/>
                <w:szCs w:val="21"/>
              </w:rPr>
              <w:t>单位</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5A011539">
            <w:pPr>
              <w:spacing w:before="50" w:line="360" w:lineRule="auto"/>
              <w:jc w:val="left"/>
              <w:rPr>
                <w:rFonts w:hint="eastAsia" w:ascii="宋体" w:hAnsi="宋体" w:cs="宋体"/>
                <w:bCs/>
                <w:szCs w:val="21"/>
              </w:rPr>
            </w:pPr>
            <w:r>
              <w:rPr>
                <w:rFonts w:hint="eastAsia" w:ascii="宋体" w:hAnsi="宋体" w:cs="宋体"/>
                <w:bCs/>
                <w:szCs w:val="21"/>
              </w:rPr>
              <w:t>数量</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069BE67A">
            <w:pPr>
              <w:spacing w:before="50" w:line="360" w:lineRule="auto"/>
              <w:jc w:val="left"/>
              <w:rPr>
                <w:rFonts w:hint="eastAsia" w:ascii="宋体" w:hAnsi="宋体" w:eastAsia="宋体" w:cs="宋体"/>
                <w:bCs/>
                <w:szCs w:val="21"/>
                <w:lang w:eastAsia="zh-CN"/>
              </w:rPr>
            </w:pPr>
            <w:r>
              <w:rPr>
                <w:rFonts w:hint="eastAsia" w:ascii="宋体" w:hAnsi="宋体" w:cs="宋体"/>
                <w:bCs/>
                <w:szCs w:val="21"/>
                <w:lang w:eastAsia="zh-CN"/>
              </w:rPr>
              <w:t>单价（元</w:t>
            </w:r>
            <w:r>
              <w:rPr>
                <w:rFonts w:hint="eastAsia" w:ascii="宋体" w:hAnsi="宋体" w:cs="宋体"/>
                <w:bCs/>
                <w:szCs w:val="21"/>
                <w:lang w:val="en-US" w:eastAsia="zh-CN"/>
              </w:rPr>
              <w:t>/年</w:t>
            </w:r>
            <w:r>
              <w:rPr>
                <w:rFonts w:hint="eastAsia" w:ascii="宋体" w:hAnsi="宋体" w:cs="宋体"/>
                <w:bCs/>
                <w:szCs w:val="21"/>
                <w:lang w:eastAsia="zh-CN"/>
              </w:rPr>
              <w:t>）</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4E1AB34">
            <w:pPr>
              <w:spacing w:before="50" w:line="360" w:lineRule="auto"/>
              <w:jc w:val="center"/>
              <w:rPr>
                <w:rFonts w:hint="eastAsia" w:ascii="宋体" w:hAnsi="宋体" w:eastAsia="宋体" w:cs="宋体"/>
                <w:szCs w:val="21"/>
                <w:lang w:eastAsia="zh-CN"/>
              </w:rPr>
            </w:pPr>
            <w:r>
              <w:rPr>
                <w:rFonts w:hint="eastAsia" w:ascii="宋体" w:hAnsi="宋体" w:cs="宋体"/>
                <w:szCs w:val="21"/>
                <w:lang w:eastAsia="zh-CN"/>
              </w:rPr>
              <w:t>合价</w:t>
            </w:r>
          </w:p>
        </w:tc>
      </w:tr>
      <w:tr w14:paraId="5C37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913" w:hRule="atLeast"/>
          <w:jc w:val="center"/>
        </w:trPr>
        <w:tc>
          <w:tcPr>
            <w:tcW w:w="646" w:type="dxa"/>
            <w:tcBorders>
              <w:top w:val="single" w:color="auto" w:sz="4" w:space="0"/>
              <w:left w:val="single" w:color="auto" w:sz="4" w:space="0"/>
              <w:right w:val="single" w:color="auto" w:sz="4" w:space="0"/>
            </w:tcBorders>
            <w:noWrap w:val="0"/>
            <w:vAlign w:val="center"/>
          </w:tcPr>
          <w:p w14:paraId="628D643D">
            <w:pPr>
              <w:spacing w:before="50" w:line="360" w:lineRule="auto"/>
              <w:jc w:val="center"/>
              <w:rPr>
                <w:rFonts w:hint="eastAsia" w:ascii="宋体" w:hAnsi="宋体" w:eastAsia="宋体" w:cs="宋体"/>
                <w:szCs w:val="21"/>
                <w:lang w:val="en-US" w:eastAsia="zh-CN"/>
              </w:rPr>
            </w:pPr>
            <w:r>
              <w:rPr>
                <w:rFonts w:hint="eastAsia" w:ascii="宋体" w:hAnsi="宋体" w:cs="宋体"/>
                <w:szCs w:val="21"/>
              </w:rPr>
              <w:t>1</w:t>
            </w:r>
          </w:p>
        </w:tc>
        <w:tc>
          <w:tcPr>
            <w:tcW w:w="3344" w:type="dxa"/>
            <w:tcBorders>
              <w:top w:val="single" w:color="auto" w:sz="4" w:space="0"/>
              <w:left w:val="single" w:color="auto" w:sz="4" w:space="0"/>
              <w:right w:val="single" w:color="auto" w:sz="4" w:space="0"/>
            </w:tcBorders>
            <w:noWrap w:val="0"/>
            <w:vAlign w:val="center"/>
          </w:tcPr>
          <w:p w14:paraId="520CFCB6">
            <w:pPr>
              <w:spacing w:before="50" w:line="360" w:lineRule="auto"/>
              <w:jc w:val="left"/>
              <w:rPr>
                <w:rFonts w:hint="eastAsia" w:ascii="宋体" w:hAnsi="宋体" w:cs="宋体"/>
                <w:bCs/>
                <w:lang w:eastAsia="zh-CN"/>
              </w:rPr>
            </w:pPr>
            <w:r>
              <w:rPr>
                <w:rFonts w:hint="eastAsia" w:ascii="宋体" w:hAnsi="宋体" w:cs="宋体"/>
                <w:bCs/>
                <w:lang w:eastAsia="zh-CN"/>
              </w:rPr>
              <w:t>2025-2026年西塘桥街道公共环境病媒生物防制服务</w:t>
            </w:r>
          </w:p>
        </w:tc>
        <w:tc>
          <w:tcPr>
            <w:tcW w:w="899" w:type="dxa"/>
            <w:tcBorders>
              <w:top w:val="single" w:color="auto" w:sz="4" w:space="0"/>
              <w:left w:val="single" w:color="auto" w:sz="4" w:space="0"/>
              <w:right w:val="single" w:color="auto" w:sz="4" w:space="0"/>
            </w:tcBorders>
            <w:noWrap w:val="0"/>
            <w:vAlign w:val="center"/>
          </w:tcPr>
          <w:p w14:paraId="4B3AD5FC">
            <w:pPr>
              <w:spacing w:before="50" w:line="360" w:lineRule="auto"/>
              <w:jc w:val="center"/>
              <w:rPr>
                <w:rFonts w:hint="eastAsia" w:ascii="宋体" w:hAnsi="宋体" w:cs="宋体"/>
                <w:b w:val="0"/>
                <w:bCs w:val="0"/>
                <w:szCs w:val="21"/>
                <w:lang w:eastAsia="zh-CN"/>
              </w:rPr>
            </w:pPr>
            <w:r>
              <w:rPr>
                <w:rFonts w:hint="eastAsia" w:ascii="宋体" w:hAnsi="宋体" w:cs="宋体"/>
                <w:b w:val="0"/>
                <w:bCs w:val="0"/>
                <w:szCs w:val="21"/>
                <w:lang w:eastAsia="zh-CN"/>
              </w:rPr>
              <w:t>项</w:t>
            </w:r>
          </w:p>
        </w:tc>
        <w:tc>
          <w:tcPr>
            <w:tcW w:w="986" w:type="dxa"/>
            <w:tcBorders>
              <w:top w:val="single" w:color="auto" w:sz="4" w:space="0"/>
              <w:left w:val="single" w:color="auto" w:sz="4" w:space="0"/>
              <w:right w:val="single" w:color="auto" w:sz="4" w:space="0"/>
            </w:tcBorders>
            <w:noWrap w:val="0"/>
            <w:vAlign w:val="center"/>
          </w:tcPr>
          <w:p w14:paraId="20192ED9">
            <w:pPr>
              <w:spacing w:before="50" w:line="360" w:lineRule="auto"/>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1</w:t>
            </w:r>
          </w:p>
        </w:tc>
        <w:tc>
          <w:tcPr>
            <w:tcW w:w="2134" w:type="dxa"/>
            <w:tcBorders>
              <w:top w:val="single" w:color="auto" w:sz="4" w:space="0"/>
              <w:left w:val="single" w:color="auto" w:sz="4" w:space="0"/>
              <w:right w:val="single" w:color="auto" w:sz="4" w:space="0"/>
            </w:tcBorders>
            <w:noWrap w:val="0"/>
            <w:vAlign w:val="center"/>
          </w:tcPr>
          <w:p w14:paraId="11B75C1C">
            <w:pPr>
              <w:spacing w:before="50" w:line="360" w:lineRule="auto"/>
              <w:jc w:val="center"/>
              <w:rPr>
                <w:rFonts w:hint="eastAsia" w:ascii="宋体" w:hAnsi="宋体" w:eastAsia="宋体" w:cs="宋体"/>
                <w:b w:val="0"/>
                <w:bCs w:val="0"/>
                <w:szCs w:val="21"/>
                <w:lang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F5B4267">
            <w:pPr>
              <w:spacing w:before="50" w:line="360" w:lineRule="auto"/>
              <w:jc w:val="center"/>
              <w:rPr>
                <w:rFonts w:hint="eastAsia" w:ascii="宋体" w:hAnsi="宋体" w:cs="宋体"/>
                <w:szCs w:val="21"/>
              </w:rPr>
            </w:pPr>
          </w:p>
        </w:tc>
      </w:tr>
      <w:tr w14:paraId="33FE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4ACF2D20">
            <w:pPr>
              <w:spacing w:before="50" w:line="360" w:lineRule="auto"/>
              <w:jc w:val="center"/>
              <w:rPr>
                <w:rFonts w:hint="eastAsia" w:ascii="宋体" w:hAnsi="宋体" w:cs="宋体"/>
                <w:bCs/>
                <w:szCs w:val="21"/>
              </w:rPr>
            </w:pPr>
            <w:r>
              <w:rPr>
                <w:rFonts w:hint="eastAsia" w:ascii="宋体" w:hAnsi="宋体" w:cs="宋体"/>
                <w:bCs/>
                <w:szCs w:val="21"/>
              </w:rPr>
              <w:t>总计</w:t>
            </w:r>
          </w:p>
        </w:tc>
        <w:tc>
          <w:tcPr>
            <w:tcW w:w="9119" w:type="dxa"/>
            <w:gridSpan w:val="6"/>
            <w:tcBorders>
              <w:top w:val="single" w:color="auto" w:sz="4" w:space="0"/>
              <w:left w:val="single" w:color="auto" w:sz="4" w:space="0"/>
              <w:bottom w:val="single" w:color="auto" w:sz="4" w:space="0"/>
              <w:right w:val="single" w:color="auto" w:sz="4" w:space="0"/>
            </w:tcBorders>
            <w:noWrap w:val="0"/>
            <w:vAlign w:val="center"/>
          </w:tcPr>
          <w:p w14:paraId="31453310">
            <w:pPr>
              <w:spacing w:before="50" w:line="360" w:lineRule="auto"/>
              <w:jc w:val="left"/>
              <w:rPr>
                <w:rFonts w:hint="eastAsia" w:ascii="宋体" w:hAnsi="宋体" w:cs="宋体"/>
                <w:szCs w:val="21"/>
              </w:rPr>
            </w:pPr>
            <w:r>
              <w:rPr>
                <w:rFonts w:hint="eastAsia" w:ascii="宋体" w:hAnsi="宋体" w:cs="宋体"/>
                <w:szCs w:val="21"/>
              </w:rPr>
              <w:t>大写：人民币                                         小写：</w:t>
            </w:r>
          </w:p>
        </w:tc>
      </w:tr>
      <w:bookmarkEnd w:id="43"/>
    </w:tbl>
    <w:p w14:paraId="4672036B">
      <w:pPr>
        <w:snapToGrid w:val="0"/>
        <w:spacing w:line="360" w:lineRule="auto"/>
        <w:ind w:left="420" w:leftChars="200"/>
        <w:jc w:val="left"/>
        <w:rPr>
          <w:rFonts w:hint="eastAsia" w:ascii="宋体" w:hAnsi="宋体" w:cs="宋体"/>
          <w:szCs w:val="21"/>
        </w:rPr>
      </w:pPr>
    </w:p>
    <w:p w14:paraId="2EAE8A68">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14:paraId="08E7AF4B">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cs="宋体"/>
          <w:szCs w:val="21"/>
        </w:rPr>
      </w:pPr>
      <w:r>
        <w:rPr>
          <w:rFonts w:hint="eastAsia" w:ascii="宋体" w:hAnsi="宋体" w:cs="宋体"/>
          <w:szCs w:val="21"/>
        </w:rPr>
        <w:t>2、▲报价应包括人工工资、机械设备、水费、电费、保险、税金、利润、项目报告的各项费用及成果鉴定验收会议发生的费用等为完成本项目所需的一切费用</w:t>
      </w:r>
    </w:p>
    <w:p w14:paraId="574FD5FB">
      <w:pPr>
        <w:keepNext w:val="0"/>
        <w:keepLines w:val="0"/>
        <w:pageBreakBefore w:val="0"/>
        <w:widowControl w:val="0"/>
        <w:kinsoku/>
        <w:wordWrap/>
        <w:overflowPunct/>
        <w:topLinePunct w:val="0"/>
        <w:autoSpaceDE/>
        <w:autoSpaceDN/>
        <w:bidi w:val="0"/>
        <w:adjustRightInd/>
        <w:snapToGrid w:val="0"/>
        <w:spacing w:line="360" w:lineRule="auto"/>
        <w:ind w:left="0" w:leftChars="0" w:right="-817" w:rightChars="-389" w:firstLine="420" w:firstLineChars="200"/>
        <w:textAlignment w:val="auto"/>
        <w:rPr>
          <w:rFonts w:hint="eastAsia" w:ascii="宋体" w:hAnsi="宋体" w:cs="宋体"/>
          <w:szCs w:val="21"/>
        </w:rPr>
      </w:pPr>
      <w:r>
        <w:rPr>
          <w:rFonts w:hint="eastAsia" w:ascii="宋体" w:hAnsi="宋体" w:cs="宋体"/>
          <w:szCs w:val="21"/>
        </w:rPr>
        <w:t>3、▲以上报价不得超过上限价，任何超过上限价的报价均导致投标被否决。</w:t>
      </w:r>
    </w:p>
    <w:p w14:paraId="3D9E714A">
      <w:pPr>
        <w:keepNext w:val="0"/>
        <w:keepLines w:val="0"/>
        <w:pageBreakBefore w:val="0"/>
        <w:widowControl w:val="0"/>
        <w:kinsoku/>
        <w:wordWrap/>
        <w:overflowPunct/>
        <w:topLinePunct w:val="0"/>
        <w:autoSpaceDE/>
        <w:autoSpaceDN/>
        <w:bidi w:val="0"/>
        <w:adjustRightInd/>
        <w:snapToGrid w:val="0"/>
        <w:spacing w:line="360" w:lineRule="auto"/>
        <w:ind w:left="0" w:leftChars="0" w:right="-817" w:rightChars="-389" w:firstLine="420" w:firstLineChars="200"/>
        <w:textAlignment w:val="auto"/>
        <w:rPr>
          <w:rFonts w:hint="eastAsia" w:eastAsia="宋体"/>
          <w:lang w:val="en-US" w:eastAsia="zh-CN"/>
        </w:rPr>
      </w:pPr>
      <w:r>
        <w:rPr>
          <w:rFonts w:hint="eastAsia" w:ascii="宋体" w:hAnsi="宋体" w:cs="宋体"/>
          <w:szCs w:val="21"/>
          <w:lang w:val="en-US" w:eastAsia="zh-CN"/>
        </w:rPr>
        <w:t>4、最终报价与开标一览表不一致时，单价按照同比例修正。</w:t>
      </w:r>
    </w:p>
    <w:p w14:paraId="24D953E3">
      <w:pPr>
        <w:snapToGrid w:val="0"/>
        <w:spacing w:line="360" w:lineRule="auto"/>
        <w:ind w:left="420" w:leftChars="200" w:right="-817" w:rightChars="-389"/>
        <w:jc w:val="left"/>
        <w:rPr>
          <w:rFonts w:hint="eastAsia" w:ascii="宋体" w:hAnsi="宋体" w:cs="宋体"/>
          <w:szCs w:val="21"/>
        </w:rPr>
      </w:pPr>
    </w:p>
    <w:p w14:paraId="64EAA69A">
      <w:pPr>
        <w:snapToGrid w:val="0"/>
        <w:spacing w:line="360" w:lineRule="auto"/>
        <w:ind w:left="420" w:leftChars="200" w:right="-817" w:rightChars="-389"/>
        <w:jc w:val="left"/>
        <w:rPr>
          <w:rFonts w:hint="eastAsia" w:ascii="宋体" w:hAnsi="宋体" w:cs="宋体"/>
          <w:szCs w:val="21"/>
        </w:rPr>
      </w:pPr>
      <w:r>
        <w:rPr>
          <w:rFonts w:hint="eastAsia" w:ascii="宋体" w:hAnsi="宋体" w:cs="宋体"/>
          <w:szCs w:val="21"/>
        </w:rPr>
        <w:t xml:space="preserve">法定代表人或授权代表（签字或盖章）： </w:t>
      </w:r>
    </w:p>
    <w:p w14:paraId="314919B3">
      <w:pPr>
        <w:snapToGrid w:val="0"/>
        <w:spacing w:line="360" w:lineRule="auto"/>
        <w:ind w:left="420" w:leftChars="200" w:right="-817" w:rightChars="-389"/>
        <w:jc w:val="left"/>
        <w:rPr>
          <w:rFonts w:hint="eastAsia" w:ascii="宋体" w:hAnsi="宋体" w:cs="宋体"/>
          <w:szCs w:val="21"/>
        </w:rPr>
      </w:pPr>
      <w:r>
        <w:rPr>
          <w:rFonts w:hint="eastAsia" w:ascii="宋体" w:hAnsi="宋体" w:cs="宋体"/>
          <w:szCs w:val="21"/>
        </w:rPr>
        <w:t xml:space="preserve">投标人名称（盖章）：                                          </w:t>
      </w:r>
    </w:p>
    <w:p w14:paraId="3ECCB011">
      <w:pPr>
        <w:snapToGrid w:val="0"/>
        <w:spacing w:line="360" w:lineRule="auto"/>
        <w:ind w:left="420" w:leftChars="200"/>
        <w:jc w:val="center"/>
        <w:rPr>
          <w:rFonts w:hint="eastAsia" w:ascii="宋体" w:hAnsi="宋体" w:cs="宋体"/>
          <w:szCs w:val="21"/>
        </w:rPr>
      </w:pPr>
    </w:p>
    <w:p w14:paraId="3246DDA6">
      <w:pPr>
        <w:snapToGrid w:val="0"/>
        <w:spacing w:line="360" w:lineRule="auto"/>
        <w:ind w:left="420" w:leftChars="200"/>
        <w:jc w:val="right"/>
        <w:rPr>
          <w:rFonts w:hint="eastAsia" w:ascii="宋体" w:hAnsi="宋体" w:cs="宋体"/>
          <w:szCs w:val="21"/>
        </w:rPr>
      </w:pPr>
      <w:r>
        <w:rPr>
          <w:rFonts w:hint="eastAsia" w:ascii="宋体" w:hAnsi="宋体" w:cs="宋体"/>
          <w:szCs w:val="21"/>
        </w:rPr>
        <w:t xml:space="preserve">  日期：    年   月   日</w:t>
      </w:r>
    </w:p>
    <w:p w14:paraId="77B1EDE3">
      <w:pPr>
        <w:outlineLvl w:val="9"/>
        <w:rPr>
          <w:rFonts w:hint="eastAsia" w:ascii="宋体" w:hAnsi="宋体" w:eastAsia="宋体" w:cs="宋体"/>
        </w:rPr>
      </w:pPr>
      <w:bookmarkStart w:id="44" w:name="_Toc21723"/>
      <w:bookmarkStart w:id="45" w:name="_Toc1764"/>
      <w:bookmarkStart w:id="46" w:name="_Toc3477"/>
      <w:bookmarkStart w:id="47" w:name="_Toc12714"/>
      <w:bookmarkStart w:id="48" w:name="_Toc11635"/>
      <w:bookmarkStart w:id="49" w:name="_Toc28809"/>
      <w:r>
        <w:rPr>
          <w:rFonts w:hint="eastAsia" w:ascii="宋体" w:hAnsi="宋体" w:eastAsia="宋体" w:cs="宋体"/>
          <w:kern w:val="0"/>
          <w:sz w:val="30"/>
          <w:szCs w:val="30"/>
        </w:rPr>
        <w:t>投标单位根据评标办法无格式的自拟，投标文件后附：评标办法索引表（格式自拟）</w:t>
      </w:r>
      <w:bookmarkEnd w:id="44"/>
      <w:bookmarkEnd w:id="45"/>
      <w:bookmarkEnd w:id="46"/>
      <w:bookmarkEnd w:id="47"/>
      <w:bookmarkEnd w:id="48"/>
      <w:bookmarkEnd w:id="49"/>
    </w:p>
    <w:p w14:paraId="00107AFB">
      <w:pPr>
        <w:snapToGrid w:val="0"/>
        <w:spacing w:line="360" w:lineRule="auto"/>
        <w:ind w:left="420" w:leftChars="200"/>
        <w:jc w:val="center"/>
        <w:rPr>
          <w:rFonts w:hint="eastAsia" w:ascii="宋体" w:hAnsi="宋体" w:cs="宋体"/>
          <w:szCs w:val="21"/>
        </w:rPr>
      </w:pPr>
    </w:p>
    <w:p w14:paraId="5E3F17D5">
      <w:pPr>
        <w:snapToGrid w:val="0"/>
        <w:spacing w:line="360" w:lineRule="auto"/>
        <w:ind w:left="420" w:leftChars="200"/>
        <w:jc w:val="center"/>
        <w:rPr>
          <w:rFonts w:hint="eastAsia" w:ascii="宋体" w:hAnsi="宋体" w:cs="宋体"/>
          <w:szCs w:val="21"/>
        </w:rPr>
      </w:pPr>
    </w:p>
    <w:p w14:paraId="7FD5C9F2">
      <w:pPr>
        <w:snapToGrid w:val="0"/>
        <w:spacing w:line="360" w:lineRule="auto"/>
        <w:ind w:left="420" w:leftChars="200"/>
        <w:jc w:val="center"/>
        <w:rPr>
          <w:rFonts w:hint="eastAsia" w:ascii="宋体" w:hAnsi="宋体" w:cs="宋体"/>
          <w:b/>
          <w:szCs w:val="21"/>
        </w:rPr>
      </w:pPr>
    </w:p>
    <w:p w14:paraId="317259E0"/>
    <w:p w14:paraId="493BC4FF">
      <w:pPr>
        <w:ind w:firstLine="4410" w:firstLineChars="2100"/>
        <w:jc w:val="both"/>
        <w:rPr>
          <w:sz w:val="21"/>
          <w:szCs w:val="21"/>
        </w:rPr>
      </w:pPr>
    </w:p>
    <w:sectPr>
      <w:headerReference r:id="rId16" w:type="first"/>
      <w:footerReference r:id="rId19" w:type="first"/>
      <w:footerReference r:id="rId17" w:type="default"/>
      <w:footerReference r:id="rId18"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altName w:val="黑体"/>
    <w:panose1 w:val="020B0502040204020203"/>
    <w:charset w:val="86"/>
    <w:family w:val="swiss"/>
    <w:pitch w:val="default"/>
    <w:sig w:usb0="00000000" w:usb1="00000000" w:usb2="00000016" w:usb3="00000000" w:csb0="0004001F" w:csb1="00000000"/>
  </w:font>
  <w:font w:name="Helvetica">
    <w:altName w:val="Arial"/>
    <w:panose1 w:val="020B0604020202020204"/>
    <w:charset w:val="00"/>
    <w:family w:val="modern"/>
    <w:pitch w:val="default"/>
    <w:sig w:usb0="00000000" w:usb1="00000000" w:usb2="00000009" w:usb3="00000000" w:csb0="0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DACD">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531A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4531A6">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E5A0">
    <w:pPr>
      <w:pStyle w:val="19"/>
      <w:ind w:right="36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EA3B256">
                          <w:pPr>
                            <w:pStyle w:val="19"/>
                            <w:rPr>
                              <w:rStyle w:val="31"/>
                            </w:rPr>
                          </w:pPr>
                          <w:r>
                            <w:fldChar w:fldCharType="begin"/>
                          </w:r>
                          <w:r>
                            <w:rPr>
                              <w:rStyle w:val="31"/>
                            </w:rPr>
                            <w:instrText xml:space="preserve">PAGE  </w:instrText>
                          </w:r>
                          <w:r>
                            <w:fldChar w:fldCharType="separate"/>
                          </w:r>
                          <w:r>
                            <w:rPr>
                              <w:rStyle w:val="31"/>
                            </w:rP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3EA3B256">
                    <w:pPr>
                      <w:pStyle w:val="19"/>
                      <w:rPr>
                        <w:rStyle w:val="31"/>
                      </w:rPr>
                    </w:pPr>
                    <w:r>
                      <w:fldChar w:fldCharType="begin"/>
                    </w:r>
                    <w:r>
                      <w:rPr>
                        <w:rStyle w:val="31"/>
                      </w:rPr>
                      <w:instrText xml:space="preserve">PAGE  </w:instrText>
                    </w:r>
                    <w:r>
                      <w:fldChar w:fldCharType="separate"/>
                    </w:r>
                    <w:r>
                      <w:rPr>
                        <w:rStyle w:val="31"/>
                      </w:rP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F764">
    <w:pPr>
      <w:pStyle w:val="19"/>
      <w:framePr w:wrap="around" w:vAnchor="text" w:hAnchor="margin" w:xAlign="right" w:y="1"/>
      <w:rPr>
        <w:rStyle w:val="31"/>
      </w:rPr>
    </w:pPr>
    <w:r>
      <w:fldChar w:fldCharType="begin"/>
    </w:r>
    <w:r>
      <w:rPr>
        <w:rStyle w:val="31"/>
      </w:rPr>
      <w:instrText xml:space="preserve">PAGE  </w:instrText>
    </w:r>
    <w:r>
      <w:fldChar w:fldCharType="separate"/>
    </w:r>
    <w:r>
      <w:fldChar w:fldCharType="end"/>
    </w:r>
  </w:p>
  <w:p w14:paraId="09115B37">
    <w:pPr>
      <w:pStyle w:val="19"/>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3185">
    <w:pPr>
      <w:pStyle w:val="19"/>
      <w:jc w:val="center"/>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5E44">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25</w:t>
    </w:r>
    <w:r>
      <w:fldChar w:fldCharType="end"/>
    </w:r>
  </w:p>
  <w:p w14:paraId="61250DE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442409"/>
    </w:sdtPr>
    <w:sdtContent>
      <w:p w14:paraId="1349FB8E">
        <w:pPr>
          <w:pStyle w:val="19"/>
          <w:jc w:val="center"/>
        </w:pPr>
        <w:r>
          <w:fldChar w:fldCharType="begin"/>
        </w:r>
        <w:r>
          <w:instrText xml:space="preserve"> PAGE   \* MERGEFORMAT </w:instrText>
        </w:r>
        <w:r>
          <w:fldChar w:fldCharType="separate"/>
        </w:r>
        <w:r>
          <w:rPr>
            <w:lang w:val="zh-CN"/>
          </w:rPr>
          <w:t>62</w:t>
        </w:r>
        <w:r>
          <w:rPr>
            <w:lang w:val="zh-CN"/>
          </w:rPr>
          <w:fldChar w:fldCharType="end"/>
        </w:r>
      </w:p>
    </w:sdtContent>
  </w:sdt>
  <w:p w14:paraId="60FDFAAE">
    <w:pPr>
      <w:pStyle w:val="19"/>
      <w:ind w:right="720" w:firstLine="210" w:firstLineChars="100"/>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961F">
    <w:pPr>
      <w:pStyle w:val="19"/>
      <w:framePr w:wrap="around" w:vAnchor="text" w:hAnchor="margin" w:xAlign="outside" w:y="1"/>
      <w:rPr>
        <w:rStyle w:val="31"/>
      </w:rPr>
    </w:pPr>
    <w:r>
      <w:fldChar w:fldCharType="begin"/>
    </w:r>
    <w:r>
      <w:rPr>
        <w:rStyle w:val="31"/>
      </w:rPr>
      <w:instrText xml:space="preserve">PAGE  </w:instrText>
    </w:r>
    <w:r>
      <w:fldChar w:fldCharType="end"/>
    </w:r>
  </w:p>
  <w:p w14:paraId="346410E4">
    <w:pPr>
      <w:pStyle w:val="1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F180B">
    <w:pPr>
      <w:pStyle w:val="19"/>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AF86">
    <w:pPr>
      <w:pStyle w:val="19"/>
      <w:tabs>
        <w:tab w:val="left" w:pos="4399"/>
        <w:tab w:val="clear" w:pos="4153"/>
      </w:tabs>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73970B">
                          <w:pPr>
                            <w:pStyle w:val="1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A73970B">
                    <w:pPr>
                      <w:pStyle w:val="19"/>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3A8F809">
                          <w:pPr>
                            <w:pStyle w:val="19"/>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NvyGmswBAACZAwAADgAAAAAAAAABACAAAAAfAQAAZHJzL2Uy&#10;b0RvYy54bWxQSwUGAAAAAAYABgBZAQAAXQUAAAAA&#10;">
              <v:fill on="f" focussize="0,0"/>
              <v:stroke on="f"/>
              <v:imagedata o:title=""/>
              <o:lock v:ext="edit" aspectratio="f"/>
              <v:textbox inset="0mm,0mm,0mm,0mm" style="mso-fit-shape-to-text:t;">
                <w:txbxContent>
                  <w:p w14:paraId="23A8F809">
                    <w:pPr>
                      <w:pStyle w:val="19"/>
                    </w:pP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EC95">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3F070">
                          <w:pPr>
                            <w:pStyle w:val="19"/>
                            <w:rPr>
                              <w:rStyle w:val="31"/>
                            </w:rPr>
                          </w:pPr>
                          <w:r>
                            <w:fldChar w:fldCharType="begin"/>
                          </w:r>
                          <w:r>
                            <w:rPr>
                              <w:rStyle w:val="31"/>
                            </w:rPr>
                            <w:instrText xml:space="preserve">PAGE  </w:instrText>
                          </w:r>
                          <w:r>
                            <w:fldChar w:fldCharType="separate"/>
                          </w:r>
                          <w:r>
                            <w:rPr>
                              <w:rStyle w:val="31"/>
                            </w:rP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13F070">
                    <w:pPr>
                      <w:pStyle w:val="19"/>
                      <w:rPr>
                        <w:rStyle w:val="31"/>
                      </w:rPr>
                    </w:pPr>
                    <w:r>
                      <w:fldChar w:fldCharType="begin"/>
                    </w:r>
                    <w:r>
                      <w:rPr>
                        <w:rStyle w:val="31"/>
                      </w:rPr>
                      <w:instrText xml:space="preserve">PAGE  </w:instrText>
                    </w:r>
                    <w:r>
                      <w:fldChar w:fldCharType="separate"/>
                    </w:r>
                    <w:r>
                      <w:rPr>
                        <w:rStyle w:val="31"/>
                      </w:rP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2027">
    <w:pPr>
      <w:pStyle w:val="19"/>
      <w:framePr w:wrap="around" w:vAnchor="text" w:hAnchor="margin" w:xAlign="center" w:y="1"/>
      <w:ind w:right="360"/>
      <w:rPr>
        <w:rStyle w:val="31"/>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9731C3">
                          <w:pPr>
                            <w:pStyle w:val="19"/>
                            <w:jc w:val="center"/>
                            <w:rPr>
                              <w:rStyle w:val="31"/>
                            </w:rPr>
                          </w:pPr>
                          <w:r>
                            <w:fldChar w:fldCharType="begin"/>
                          </w:r>
                          <w:r>
                            <w:rPr>
                              <w:rStyle w:val="31"/>
                            </w:rPr>
                            <w:instrText xml:space="preserve">PAGE  </w:instrText>
                          </w:r>
                          <w:r>
                            <w:fldChar w:fldCharType="separate"/>
                          </w:r>
                          <w:r>
                            <w:rPr>
                              <w:rStyle w:val="31"/>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4D9731C3">
                    <w:pPr>
                      <w:pStyle w:val="19"/>
                      <w:jc w:val="center"/>
                      <w:rPr>
                        <w:rStyle w:val="31"/>
                      </w:rPr>
                    </w:pPr>
                    <w:r>
                      <w:fldChar w:fldCharType="begin"/>
                    </w:r>
                    <w:r>
                      <w:rPr>
                        <w:rStyle w:val="31"/>
                      </w:rPr>
                      <w:instrText xml:space="preserve">PAGE  </w:instrText>
                    </w:r>
                    <w:r>
                      <w:fldChar w:fldCharType="separate"/>
                    </w:r>
                    <w:r>
                      <w:rPr>
                        <w:rStyle w:val="31"/>
                      </w:rPr>
                      <w:t>21</w:t>
                    </w:r>
                    <w:r>
                      <w:fldChar w:fldCharType="end"/>
                    </w:r>
                  </w:p>
                </w:txbxContent>
              </v:textbox>
            </v:shape>
          </w:pict>
        </mc:Fallback>
      </mc:AlternateContent>
    </w:r>
  </w:p>
  <w:p w14:paraId="5EDB6DF8">
    <w:pPr>
      <w:pStyle w:val="19"/>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05E4">
    <w:pPr>
      <w:pStyle w:val="19"/>
      <w:framePr w:wrap="around" w:vAnchor="text" w:hAnchor="margin" w:xAlign="center" w:y="1"/>
      <w:ind w:right="360"/>
      <w:rPr>
        <w:rStyle w:val="31"/>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2708F9">
                          <w:pPr>
                            <w:pStyle w:val="19"/>
                            <w:rPr>
                              <w:rStyle w:val="31"/>
                            </w:rPr>
                          </w:pPr>
                          <w:r>
                            <w:fldChar w:fldCharType="begin"/>
                          </w:r>
                          <w:r>
                            <w:rPr>
                              <w:rStyle w:val="31"/>
                            </w:rPr>
                            <w:instrText xml:space="preserve">PAGE  </w:instrText>
                          </w:r>
                          <w:r>
                            <w:fldChar w:fldCharType="separate"/>
                          </w:r>
                          <w:r>
                            <w:rPr>
                              <w:rStyle w:val="31"/>
                            </w:rP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062708F9">
                    <w:pPr>
                      <w:pStyle w:val="19"/>
                      <w:rPr>
                        <w:rStyle w:val="31"/>
                      </w:rPr>
                    </w:pPr>
                    <w:r>
                      <w:fldChar w:fldCharType="begin"/>
                    </w:r>
                    <w:r>
                      <w:rPr>
                        <w:rStyle w:val="31"/>
                      </w:rPr>
                      <w:instrText xml:space="preserve">PAGE  </w:instrText>
                    </w:r>
                    <w:r>
                      <w:fldChar w:fldCharType="separate"/>
                    </w:r>
                    <w:r>
                      <w:rPr>
                        <w:rStyle w:val="31"/>
                      </w:rPr>
                      <w:t>34</w:t>
                    </w:r>
                    <w:r>
                      <w:fldChar w:fldCharType="end"/>
                    </w:r>
                  </w:p>
                </w:txbxContent>
              </v:textbox>
            </v:shape>
          </w:pict>
        </mc:Fallback>
      </mc:AlternateContent>
    </w:r>
  </w:p>
  <w:p w14:paraId="39C2DB39">
    <w:pPr>
      <w:pStyle w:val="1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D420">
    <w:pPr>
      <w:pStyle w:val="2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C0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E6E1B">
    <w:pPr>
      <w:pStyle w:val="20"/>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D78B">
    <w:pPr>
      <w:pStyle w:val="20"/>
      <w:pBdr>
        <w:bottom w:val="none" w:color="auto" w:sz="0" w:space="0"/>
      </w:pBdr>
      <w:jc w:val="right"/>
      <w:rPr>
        <w:rFonts w:ascii="宋体" w:hAnsi="宋体"/>
        <w:sz w:val="21"/>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E36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3E1EC"/>
    <w:multiLevelType w:val="singleLevel"/>
    <w:tmpl w:val="8863E1EC"/>
    <w:lvl w:ilvl="0" w:tentative="0">
      <w:start w:val="3"/>
      <w:numFmt w:val="chineseCounting"/>
      <w:suff w:val="space"/>
      <w:lvlText w:val="第%1部分"/>
      <w:lvlJc w:val="left"/>
      <w:rPr>
        <w:rFonts w:hint="eastAsia"/>
      </w:rPr>
    </w:lvl>
  </w:abstractNum>
  <w:abstractNum w:abstractNumId="1">
    <w:nsid w:val="0E388165"/>
    <w:multiLevelType w:val="singleLevel"/>
    <w:tmpl w:val="0E388165"/>
    <w:lvl w:ilvl="0" w:tentative="0">
      <w:start w:val="4"/>
      <w:numFmt w:val="decimal"/>
      <w:suff w:val="nothing"/>
      <w:lvlText w:val="%1、"/>
      <w:lvlJc w:val="left"/>
    </w:lvl>
  </w:abstractNum>
  <w:abstractNum w:abstractNumId="2">
    <w:nsid w:val="2E42602A"/>
    <w:multiLevelType w:val="multilevel"/>
    <w:tmpl w:val="2E42602A"/>
    <w:lvl w:ilvl="0" w:tentative="0">
      <w:start w:val="1"/>
      <w:numFmt w:val="bullet"/>
      <w:pStyle w:val="94"/>
      <w:suff w:val="space"/>
      <w:lvlText w:val=""/>
      <w:lvlJc w:val="left"/>
      <w:pPr>
        <w:ind w:left="0"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5C2DB612"/>
    <w:multiLevelType w:val="singleLevel"/>
    <w:tmpl w:val="5C2DB612"/>
    <w:lvl w:ilvl="0" w:tentative="0">
      <w:start w:val="2"/>
      <w:numFmt w:val="chineseCounting"/>
      <w:suff w:val="nothing"/>
      <w:lvlText w:val="%1、"/>
      <w:lvlJc w:val="left"/>
    </w:lvl>
  </w:abstractNum>
  <w:abstractNum w:abstractNumId="5">
    <w:nsid w:val="5E871470"/>
    <w:multiLevelType w:val="singleLevel"/>
    <w:tmpl w:val="5E871470"/>
    <w:lvl w:ilvl="0" w:tentative="0">
      <w:start w:val="5"/>
      <w:numFmt w:val="chineseCounting"/>
      <w:suff w:val="nothing"/>
      <w:lvlText w:val="%1、"/>
      <w:lvlJc w:val="left"/>
      <w:rPr>
        <w:rFonts w:hint="eastAsia"/>
      </w:rPr>
    </w:lvl>
  </w:abstractNum>
  <w:abstractNum w:abstractNumId="6">
    <w:nsid w:val="67781019"/>
    <w:multiLevelType w:val="singleLevel"/>
    <w:tmpl w:val="67781019"/>
    <w:lvl w:ilvl="0" w:tentative="0">
      <w:start w:val="1"/>
      <w:numFmt w:val="decimal"/>
      <w:suff w:val="nothing"/>
      <w:lvlText w:val="%1、"/>
      <w:lvlJc w:val="left"/>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drawingGridHorizontalSpacing w:val="107"/>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OTFhYjU1ZjUxOTc1ZDlhOTk3MmUxZjdmNDUwN2UifQ=="/>
  </w:docVars>
  <w:rsids>
    <w:rsidRoot w:val="00172A27"/>
    <w:rsid w:val="0000057B"/>
    <w:rsid w:val="00002C6B"/>
    <w:rsid w:val="0000466A"/>
    <w:rsid w:val="00004DE0"/>
    <w:rsid w:val="00005A20"/>
    <w:rsid w:val="00007A34"/>
    <w:rsid w:val="0001757B"/>
    <w:rsid w:val="000210B6"/>
    <w:rsid w:val="00024780"/>
    <w:rsid w:val="00025EC6"/>
    <w:rsid w:val="00031AA0"/>
    <w:rsid w:val="00033482"/>
    <w:rsid w:val="000352AE"/>
    <w:rsid w:val="000434F6"/>
    <w:rsid w:val="00044D44"/>
    <w:rsid w:val="000464CB"/>
    <w:rsid w:val="00046B9F"/>
    <w:rsid w:val="00051C72"/>
    <w:rsid w:val="00052140"/>
    <w:rsid w:val="0005267F"/>
    <w:rsid w:val="0005409C"/>
    <w:rsid w:val="00056EA8"/>
    <w:rsid w:val="00060FC8"/>
    <w:rsid w:val="00067D1F"/>
    <w:rsid w:val="00070203"/>
    <w:rsid w:val="000840AD"/>
    <w:rsid w:val="000843FC"/>
    <w:rsid w:val="0008640A"/>
    <w:rsid w:val="000868B3"/>
    <w:rsid w:val="000873FA"/>
    <w:rsid w:val="00091D85"/>
    <w:rsid w:val="000922D9"/>
    <w:rsid w:val="00097F5D"/>
    <w:rsid w:val="000A2709"/>
    <w:rsid w:val="000A2B9E"/>
    <w:rsid w:val="000B5B51"/>
    <w:rsid w:val="000C202B"/>
    <w:rsid w:val="000D251F"/>
    <w:rsid w:val="000D433F"/>
    <w:rsid w:val="000E5885"/>
    <w:rsid w:val="000E6646"/>
    <w:rsid w:val="000E7365"/>
    <w:rsid w:val="000E7AA9"/>
    <w:rsid w:val="000F05A9"/>
    <w:rsid w:val="000F3571"/>
    <w:rsid w:val="000F49A0"/>
    <w:rsid w:val="000F5397"/>
    <w:rsid w:val="000F7905"/>
    <w:rsid w:val="001047F6"/>
    <w:rsid w:val="001057CA"/>
    <w:rsid w:val="00110135"/>
    <w:rsid w:val="00110630"/>
    <w:rsid w:val="00111BBF"/>
    <w:rsid w:val="00114876"/>
    <w:rsid w:val="00115E0E"/>
    <w:rsid w:val="00117202"/>
    <w:rsid w:val="001211B0"/>
    <w:rsid w:val="00123AFD"/>
    <w:rsid w:val="0012636D"/>
    <w:rsid w:val="00127E7B"/>
    <w:rsid w:val="00132D19"/>
    <w:rsid w:val="00134995"/>
    <w:rsid w:val="00135C11"/>
    <w:rsid w:val="00140AEB"/>
    <w:rsid w:val="00141FDE"/>
    <w:rsid w:val="00144B21"/>
    <w:rsid w:val="00146172"/>
    <w:rsid w:val="001461C5"/>
    <w:rsid w:val="001464E8"/>
    <w:rsid w:val="00146B19"/>
    <w:rsid w:val="00152B4A"/>
    <w:rsid w:val="00161395"/>
    <w:rsid w:val="00161AC5"/>
    <w:rsid w:val="00163E40"/>
    <w:rsid w:val="00164C2B"/>
    <w:rsid w:val="00164E7A"/>
    <w:rsid w:val="0017208E"/>
    <w:rsid w:val="00172A27"/>
    <w:rsid w:val="00175794"/>
    <w:rsid w:val="00176A8F"/>
    <w:rsid w:val="0017730C"/>
    <w:rsid w:val="0018645D"/>
    <w:rsid w:val="00186A81"/>
    <w:rsid w:val="001905C6"/>
    <w:rsid w:val="00194BDB"/>
    <w:rsid w:val="001968A0"/>
    <w:rsid w:val="001A34C4"/>
    <w:rsid w:val="001A6DFD"/>
    <w:rsid w:val="001A75F6"/>
    <w:rsid w:val="001B0FDB"/>
    <w:rsid w:val="001B1B9B"/>
    <w:rsid w:val="001B1C81"/>
    <w:rsid w:val="001B384C"/>
    <w:rsid w:val="001B7B42"/>
    <w:rsid w:val="001C6368"/>
    <w:rsid w:val="001E4693"/>
    <w:rsid w:val="001E78DF"/>
    <w:rsid w:val="001F071D"/>
    <w:rsid w:val="001F0B9C"/>
    <w:rsid w:val="001F213C"/>
    <w:rsid w:val="001F2C9A"/>
    <w:rsid w:val="001F3CC0"/>
    <w:rsid w:val="001F754A"/>
    <w:rsid w:val="00204470"/>
    <w:rsid w:val="0021083A"/>
    <w:rsid w:val="00216C98"/>
    <w:rsid w:val="0021715E"/>
    <w:rsid w:val="00223911"/>
    <w:rsid w:val="0022474D"/>
    <w:rsid w:val="00225B1D"/>
    <w:rsid w:val="00226724"/>
    <w:rsid w:val="00226DD1"/>
    <w:rsid w:val="00240B7E"/>
    <w:rsid w:val="002426CC"/>
    <w:rsid w:val="00244FE9"/>
    <w:rsid w:val="002456C4"/>
    <w:rsid w:val="0024679F"/>
    <w:rsid w:val="0024786E"/>
    <w:rsid w:val="00247F71"/>
    <w:rsid w:val="00261776"/>
    <w:rsid w:val="00262DDB"/>
    <w:rsid w:val="0027150E"/>
    <w:rsid w:val="00271BEF"/>
    <w:rsid w:val="002720B7"/>
    <w:rsid w:val="002721C7"/>
    <w:rsid w:val="00273406"/>
    <w:rsid w:val="00273C5D"/>
    <w:rsid w:val="00280723"/>
    <w:rsid w:val="002812EB"/>
    <w:rsid w:val="00283D68"/>
    <w:rsid w:val="00285C12"/>
    <w:rsid w:val="002931E1"/>
    <w:rsid w:val="00293284"/>
    <w:rsid w:val="00296FCA"/>
    <w:rsid w:val="002B62BD"/>
    <w:rsid w:val="002B746B"/>
    <w:rsid w:val="002B7E8E"/>
    <w:rsid w:val="002C126F"/>
    <w:rsid w:val="002C4162"/>
    <w:rsid w:val="002C53B4"/>
    <w:rsid w:val="002D25F9"/>
    <w:rsid w:val="002D3E47"/>
    <w:rsid w:val="002D54C0"/>
    <w:rsid w:val="002D5E0C"/>
    <w:rsid w:val="002E0928"/>
    <w:rsid w:val="002E1519"/>
    <w:rsid w:val="002E31D8"/>
    <w:rsid w:val="002E46A6"/>
    <w:rsid w:val="002E686B"/>
    <w:rsid w:val="002E7016"/>
    <w:rsid w:val="002F2B1A"/>
    <w:rsid w:val="00300C34"/>
    <w:rsid w:val="00305003"/>
    <w:rsid w:val="00306C84"/>
    <w:rsid w:val="0031536D"/>
    <w:rsid w:val="0031576B"/>
    <w:rsid w:val="003171B6"/>
    <w:rsid w:val="00323A1A"/>
    <w:rsid w:val="00323E80"/>
    <w:rsid w:val="003331C5"/>
    <w:rsid w:val="00334AE6"/>
    <w:rsid w:val="00335A19"/>
    <w:rsid w:val="00340E8A"/>
    <w:rsid w:val="003523FA"/>
    <w:rsid w:val="00356039"/>
    <w:rsid w:val="00360F70"/>
    <w:rsid w:val="003617CA"/>
    <w:rsid w:val="0036415C"/>
    <w:rsid w:val="00367B04"/>
    <w:rsid w:val="00367F0D"/>
    <w:rsid w:val="0037423C"/>
    <w:rsid w:val="0037495E"/>
    <w:rsid w:val="00386381"/>
    <w:rsid w:val="003919C8"/>
    <w:rsid w:val="0039568D"/>
    <w:rsid w:val="003A0C4C"/>
    <w:rsid w:val="003B240D"/>
    <w:rsid w:val="003B294C"/>
    <w:rsid w:val="003B2FBB"/>
    <w:rsid w:val="003B4D26"/>
    <w:rsid w:val="003B558A"/>
    <w:rsid w:val="003B5962"/>
    <w:rsid w:val="003C2BD8"/>
    <w:rsid w:val="003C59C4"/>
    <w:rsid w:val="003D5B7A"/>
    <w:rsid w:val="003E5038"/>
    <w:rsid w:val="003E6435"/>
    <w:rsid w:val="003E7A38"/>
    <w:rsid w:val="00402C9F"/>
    <w:rsid w:val="00410B25"/>
    <w:rsid w:val="00415F4C"/>
    <w:rsid w:val="00416ECC"/>
    <w:rsid w:val="00417A65"/>
    <w:rsid w:val="00417E34"/>
    <w:rsid w:val="004240AB"/>
    <w:rsid w:val="00431AEC"/>
    <w:rsid w:val="00434959"/>
    <w:rsid w:val="00443426"/>
    <w:rsid w:val="004442F5"/>
    <w:rsid w:val="0044485D"/>
    <w:rsid w:val="00444ABB"/>
    <w:rsid w:val="0044719E"/>
    <w:rsid w:val="004544EA"/>
    <w:rsid w:val="004553C9"/>
    <w:rsid w:val="00455504"/>
    <w:rsid w:val="004640B8"/>
    <w:rsid w:val="0046648B"/>
    <w:rsid w:val="00471B8E"/>
    <w:rsid w:val="00471F90"/>
    <w:rsid w:val="00472602"/>
    <w:rsid w:val="0047284C"/>
    <w:rsid w:val="00472EE7"/>
    <w:rsid w:val="00481131"/>
    <w:rsid w:val="0048236B"/>
    <w:rsid w:val="0048350B"/>
    <w:rsid w:val="004A47BB"/>
    <w:rsid w:val="004A6686"/>
    <w:rsid w:val="004B1574"/>
    <w:rsid w:val="004B3E01"/>
    <w:rsid w:val="004B4061"/>
    <w:rsid w:val="004B6A83"/>
    <w:rsid w:val="004C1C96"/>
    <w:rsid w:val="004C2907"/>
    <w:rsid w:val="004C5146"/>
    <w:rsid w:val="004C5D79"/>
    <w:rsid w:val="004C6AAD"/>
    <w:rsid w:val="004D1D3C"/>
    <w:rsid w:val="004D3BF0"/>
    <w:rsid w:val="004D72DD"/>
    <w:rsid w:val="004D75BB"/>
    <w:rsid w:val="004D78DC"/>
    <w:rsid w:val="004E7BC3"/>
    <w:rsid w:val="004F3E54"/>
    <w:rsid w:val="004F46BE"/>
    <w:rsid w:val="004F55A8"/>
    <w:rsid w:val="004F6182"/>
    <w:rsid w:val="004F68A1"/>
    <w:rsid w:val="005069AF"/>
    <w:rsid w:val="00514C66"/>
    <w:rsid w:val="0052203E"/>
    <w:rsid w:val="00526833"/>
    <w:rsid w:val="00527A80"/>
    <w:rsid w:val="005308A9"/>
    <w:rsid w:val="0053283B"/>
    <w:rsid w:val="005328B5"/>
    <w:rsid w:val="00540B15"/>
    <w:rsid w:val="005448A3"/>
    <w:rsid w:val="005455D3"/>
    <w:rsid w:val="00552BA3"/>
    <w:rsid w:val="00554814"/>
    <w:rsid w:val="00557C0A"/>
    <w:rsid w:val="005603A6"/>
    <w:rsid w:val="00572CC2"/>
    <w:rsid w:val="00573AF4"/>
    <w:rsid w:val="00576072"/>
    <w:rsid w:val="00576DF6"/>
    <w:rsid w:val="00590E76"/>
    <w:rsid w:val="0059379B"/>
    <w:rsid w:val="005944C2"/>
    <w:rsid w:val="00594FAA"/>
    <w:rsid w:val="0059522C"/>
    <w:rsid w:val="005A2C66"/>
    <w:rsid w:val="005A4E64"/>
    <w:rsid w:val="005B10BF"/>
    <w:rsid w:val="005B3956"/>
    <w:rsid w:val="005B502C"/>
    <w:rsid w:val="005B7423"/>
    <w:rsid w:val="005C0059"/>
    <w:rsid w:val="005D074C"/>
    <w:rsid w:val="005D6448"/>
    <w:rsid w:val="005D715A"/>
    <w:rsid w:val="005D7DC9"/>
    <w:rsid w:val="005E363F"/>
    <w:rsid w:val="005E7456"/>
    <w:rsid w:val="005F7A14"/>
    <w:rsid w:val="00610534"/>
    <w:rsid w:val="00612F15"/>
    <w:rsid w:val="00614A48"/>
    <w:rsid w:val="006179D3"/>
    <w:rsid w:val="0062323B"/>
    <w:rsid w:val="00623F70"/>
    <w:rsid w:val="00624B93"/>
    <w:rsid w:val="00625F8B"/>
    <w:rsid w:val="00636836"/>
    <w:rsid w:val="006401F7"/>
    <w:rsid w:val="006429DC"/>
    <w:rsid w:val="00655306"/>
    <w:rsid w:val="006566D8"/>
    <w:rsid w:val="00663538"/>
    <w:rsid w:val="00667FB7"/>
    <w:rsid w:val="00674958"/>
    <w:rsid w:val="00681281"/>
    <w:rsid w:val="00692869"/>
    <w:rsid w:val="00694CC9"/>
    <w:rsid w:val="006952A9"/>
    <w:rsid w:val="006A1901"/>
    <w:rsid w:val="006A35FF"/>
    <w:rsid w:val="006B6B98"/>
    <w:rsid w:val="006C2213"/>
    <w:rsid w:val="006C2C4A"/>
    <w:rsid w:val="006C4753"/>
    <w:rsid w:val="006C5585"/>
    <w:rsid w:val="006C5C47"/>
    <w:rsid w:val="006D0211"/>
    <w:rsid w:val="006D72FB"/>
    <w:rsid w:val="006E18D5"/>
    <w:rsid w:val="006F3DA1"/>
    <w:rsid w:val="006F4A35"/>
    <w:rsid w:val="006F53F6"/>
    <w:rsid w:val="00702F49"/>
    <w:rsid w:val="007149D3"/>
    <w:rsid w:val="00714CE0"/>
    <w:rsid w:val="00717130"/>
    <w:rsid w:val="00724224"/>
    <w:rsid w:val="00726337"/>
    <w:rsid w:val="0072711E"/>
    <w:rsid w:val="00732366"/>
    <w:rsid w:val="007433D8"/>
    <w:rsid w:val="00745417"/>
    <w:rsid w:val="00746E52"/>
    <w:rsid w:val="00751CA2"/>
    <w:rsid w:val="00752448"/>
    <w:rsid w:val="0075510C"/>
    <w:rsid w:val="0075577F"/>
    <w:rsid w:val="00755D7C"/>
    <w:rsid w:val="00760BD8"/>
    <w:rsid w:val="00763D74"/>
    <w:rsid w:val="0076589B"/>
    <w:rsid w:val="00777827"/>
    <w:rsid w:val="007831E0"/>
    <w:rsid w:val="00791BC3"/>
    <w:rsid w:val="00792873"/>
    <w:rsid w:val="00796FFB"/>
    <w:rsid w:val="007A4A66"/>
    <w:rsid w:val="007A6339"/>
    <w:rsid w:val="007A7AEC"/>
    <w:rsid w:val="007B1C6B"/>
    <w:rsid w:val="007B33B0"/>
    <w:rsid w:val="007B3AFE"/>
    <w:rsid w:val="007B5339"/>
    <w:rsid w:val="007C03F3"/>
    <w:rsid w:val="007C1F59"/>
    <w:rsid w:val="007C230D"/>
    <w:rsid w:val="007D0BE5"/>
    <w:rsid w:val="007D409D"/>
    <w:rsid w:val="007D43D9"/>
    <w:rsid w:val="007D44A6"/>
    <w:rsid w:val="007E0C50"/>
    <w:rsid w:val="007E2919"/>
    <w:rsid w:val="007E7C4D"/>
    <w:rsid w:val="007F3B51"/>
    <w:rsid w:val="007F3DE5"/>
    <w:rsid w:val="007F497D"/>
    <w:rsid w:val="007F59F0"/>
    <w:rsid w:val="007F6DA8"/>
    <w:rsid w:val="007F6E23"/>
    <w:rsid w:val="007F77FA"/>
    <w:rsid w:val="00801587"/>
    <w:rsid w:val="00801A16"/>
    <w:rsid w:val="008034F2"/>
    <w:rsid w:val="008039E9"/>
    <w:rsid w:val="0081146B"/>
    <w:rsid w:val="00822EC8"/>
    <w:rsid w:val="008310FD"/>
    <w:rsid w:val="00837CC1"/>
    <w:rsid w:val="00841F47"/>
    <w:rsid w:val="00843AEF"/>
    <w:rsid w:val="00844B0D"/>
    <w:rsid w:val="00847237"/>
    <w:rsid w:val="00847F03"/>
    <w:rsid w:val="008559A9"/>
    <w:rsid w:val="0086335E"/>
    <w:rsid w:val="008666C6"/>
    <w:rsid w:val="00884DFC"/>
    <w:rsid w:val="008912EB"/>
    <w:rsid w:val="008A1809"/>
    <w:rsid w:val="008A1899"/>
    <w:rsid w:val="008A1D91"/>
    <w:rsid w:val="008A21E5"/>
    <w:rsid w:val="008A69C8"/>
    <w:rsid w:val="008B015A"/>
    <w:rsid w:val="008B4736"/>
    <w:rsid w:val="008C24C2"/>
    <w:rsid w:val="008C3A6B"/>
    <w:rsid w:val="008C5262"/>
    <w:rsid w:val="008D192D"/>
    <w:rsid w:val="008D487E"/>
    <w:rsid w:val="008D5A1B"/>
    <w:rsid w:val="008D69D5"/>
    <w:rsid w:val="008E281C"/>
    <w:rsid w:val="008E7950"/>
    <w:rsid w:val="00900658"/>
    <w:rsid w:val="00906AEA"/>
    <w:rsid w:val="00911160"/>
    <w:rsid w:val="00913222"/>
    <w:rsid w:val="00924144"/>
    <w:rsid w:val="009310D6"/>
    <w:rsid w:val="00932C3A"/>
    <w:rsid w:val="00936B7C"/>
    <w:rsid w:val="00940074"/>
    <w:rsid w:val="00941870"/>
    <w:rsid w:val="009429D9"/>
    <w:rsid w:val="0094491F"/>
    <w:rsid w:val="009520A8"/>
    <w:rsid w:val="00952C88"/>
    <w:rsid w:val="0095500E"/>
    <w:rsid w:val="00956DF9"/>
    <w:rsid w:val="0096281D"/>
    <w:rsid w:val="00963583"/>
    <w:rsid w:val="0096578D"/>
    <w:rsid w:val="00967265"/>
    <w:rsid w:val="00970255"/>
    <w:rsid w:val="0097166F"/>
    <w:rsid w:val="00980A00"/>
    <w:rsid w:val="00987DCE"/>
    <w:rsid w:val="00991F43"/>
    <w:rsid w:val="0099705F"/>
    <w:rsid w:val="00997E57"/>
    <w:rsid w:val="009A246C"/>
    <w:rsid w:val="009A5FB1"/>
    <w:rsid w:val="009B770E"/>
    <w:rsid w:val="009C0ADA"/>
    <w:rsid w:val="009C11B7"/>
    <w:rsid w:val="009C1E58"/>
    <w:rsid w:val="009C223A"/>
    <w:rsid w:val="009C2E20"/>
    <w:rsid w:val="009C7F73"/>
    <w:rsid w:val="009D0E0C"/>
    <w:rsid w:val="009D2707"/>
    <w:rsid w:val="009D742D"/>
    <w:rsid w:val="009E04AC"/>
    <w:rsid w:val="009E06AA"/>
    <w:rsid w:val="009E15AA"/>
    <w:rsid w:val="009E448F"/>
    <w:rsid w:val="009E60A5"/>
    <w:rsid w:val="009E6803"/>
    <w:rsid w:val="009E68D7"/>
    <w:rsid w:val="009F0DB0"/>
    <w:rsid w:val="009F29F1"/>
    <w:rsid w:val="00A03652"/>
    <w:rsid w:val="00A12219"/>
    <w:rsid w:val="00A12348"/>
    <w:rsid w:val="00A13798"/>
    <w:rsid w:val="00A202D8"/>
    <w:rsid w:val="00A2339F"/>
    <w:rsid w:val="00A323D1"/>
    <w:rsid w:val="00A36DE5"/>
    <w:rsid w:val="00A40D1A"/>
    <w:rsid w:val="00A453CD"/>
    <w:rsid w:val="00A458CE"/>
    <w:rsid w:val="00A50AFD"/>
    <w:rsid w:val="00A50B82"/>
    <w:rsid w:val="00A62B5F"/>
    <w:rsid w:val="00A64F05"/>
    <w:rsid w:val="00A724C9"/>
    <w:rsid w:val="00A725A3"/>
    <w:rsid w:val="00A739C0"/>
    <w:rsid w:val="00A762A2"/>
    <w:rsid w:val="00A76610"/>
    <w:rsid w:val="00A7787D"/>
    <w:rsid w:val="00A81FA5"/>
    <w:rsid w:val="00A83428"/>
    <w:rsid w:val="00A8529F"/>
    <w:rsid w:val="00A856CF"/>
    <w:rsid w:val="00A9223F"/>
    <w:rsid w:val="00A94A07"/>
    <w:rsid w:val="00A960F5"/>
    <w:rsid w:val="00AC20AC"/>
    <w:rsid w:val="00AD1C4A"/>
    <w:rsid w:val="00AD2D45"/>
    <w:rsid w:val="00AD30BC"/>
    <w:rsid w:val="00AD3F3E"/>
    <w:rsid w:val="00AD5F3A"/>
    <w:rsid w:val="00AE030A"/>
    <w:rsid w:val="00AE480E"/>
    <w:rsid w:val="00AE4C20"/>
    <w:rsid w:val="00AE51E1"/>
    <w:rsid w:val="00AF3013"/>
    <w:rsid w:val="00B03406"/>
    <w:rsid w:val="00B14493"/>
    <w:rsid w:val="00B20E23"/>
    <w:rsid w:val="00B21677"/>
    <w:rsid w:val="00B40154"/>
    <w:rsid w:val="00B4248B"/>
    <w:rsid w:val="00B44FD1"/>
    <w:rsid w:val="00B479BC"/>
    <w:rsid w:val="00B50130"/>
    <w:rsid w:val="00B52BB1"/>
    <w:rsid w:val="00B52E93"/>
    <w:rsid w:val="00B540D2"/>
    <w:rsid w:val="00B55157"/>
    <w:rsid w:val="00B60C01"/>
    <w:rsid w:val="00B61588"/>
    <w:rsid w:val="00B71EDC"/>
    <w:rsid w:val="00B72482"/>
    <w:rsid w:val="00B72733"/>
    <w:rsid w:val="00B73C69"/>
    <w:rsid w:val="00B74E98"/>
    <w:rsid w:val="00B81EE2"/>
    <w:rsid w:val="00B850ED"/>
    <w:rsid w:val="00B87337"/>
    <w:rsid w:val="00B87D47"/>
    <w:rsid w:val="00B94DC5"/>
    <w:rsid w:val="00B956C6"/>
    <w:rsid w:val="00BB351D"/>
    <w:rsid w:val="00BB3693"/>
    <w:rsid w:val="00BB514A"/>
    <w:rsid w:val="00BB6DE2"/>
    <w:rsid w:val="00BC0A12"/>
    <w:rsid w:val="00BD098E"/>
    <w:rsid w:val="00BD2829"/>
    <w:rsid w:val="00BD515C"/>
    <w:rsid w:val="00BD7EB7"/>
    <w:rsid w:val="00BE2684"/>
    <w:rsid w:val="00BE5303"/>
    <w:rsid w:val="00BE6B5A"/>
    <w:rsid w:val="00BE7108"/>
    <w:rsid w:val="00BF429B"/>
    <w:rsid w:val="00BF4E80"/>
    <w:rsid w:val="00BF655A"/>
    <w:rsid w:val="00BF7878"/>
    <w:rsid w:val="00C133CE"/>
    <w:rsid w:val="00C23015"/>
    <w:rsid w:val="00C25F98"/>
    <w:rsid w:val="00C30E8A"/>
    <w:rsid w:val="00C35C1D"/>
    <w:rsid w:val="00C3676C"/>
    <w:rsid w:val="00C450A1"/>
    <w:rsid w:val="00C45142"/>
    <w:rsid w:val="00C53A5F"/>
    <w:rsid w:val="00C54D16"/>
    <w:rsid w:val="00C61FFD"/>
    <w:rsid w:val="00C743F2"/>
    <w:rsid w:val="00C749C1"/>
    <w:rsid w:val="00C777EF"/>
    <w:rsid w:val="00C87ACA"/>
    <w:rsid w:val="00C93C4D"/>
    <w:rsid w:val="00C96860"/>
    <w:rsid w:val="00C97857"/>
    <w:rsid w:val="00CA04B5"/>
    <w:rsid w:val="00CA43F1"/>
    <w:rsid w:val="00CB1222"/>
    <w:rsid w:val="00CC4560"/>
    <w:rsid w:val="00CC7720"/>
    <w:rsid w:val="00CD3536"/>
    <w:rsid w:val="00CD35C1"/>
    <w:rsid w:val="00CD6E27"/>
    <w:rsid w:val="00CE3D98"/>
    <w:rsid w:val="00CE5F76"/>
    <w:rsid w:val="00CF0921"/>
    <w:rsid w:val="00CF7821"/>
    <w:rsid w:val="00D03E2E"/>
    <w:rsid w:val="00D04329"/>
    <w:rsid w:val="00D07DBC"/>
    <w:rsid w:val="00D10175"/>
    <w:rsid w:val="00D17F87"/>
    <w:rsid w:val="00D23F23"/>
    <w:rsid w:val="00D2545C"/>
    <w:rsid w:val="00D31CF9"/>
    <w:rsid w:val="00D35F93"/>
    <w:rsid w:val="00D42D24"/>
    <w:rsid w:val="00D44505"/>
    <w:rsid w:val="00D44EF0"/>
    <w:rsid w:val="00D51F42"/>
    <w:rsid w:val="00D528C8"/>
    <w:rsid w:val="00D56B2D"/>
    <w:rsid w:val="00D6030B"/>
    <w:rsid w:val="00D81DBE"/>
    <w:rsid w:val="00D84BF6"/>
    <w:rsid w:val="00D858D9"/>
    <w:rsid w:val="00D9145B"/>
    <w:rsid w:val="00DA4ECE"/>
    <w:rsid w:val="00DA591A"/>
    <w:rsid w:val="00DA6C00"/>
    <w:rsid w:val="00DA7E87"/>
    <w:rsid w:val="00DB0391"/>
    <w:rsid w:val="00DB36D5"/>
    <w:rsid w:val="00DB3DD9"/>
    <w:rsid w:val="00DB7C69"/>
    <w:rsid w:val="00DC17F6"/>
    <w:rsid w:val="00DC611C"/>
    <w:rsid w:val="00DD1ED4"/>
    <w:rsid w:val="00DD358A"/>
    <w:rsid w:val="00DD5B90"/>
    <w:rsid w:val="00DD6E44"/>
    <w:rsid w:val="00DE01BF"/>
    <w:rsid w:val="00DE2296"/>
    <w:rsid w:val="00DE311F"/>
    <w:rsid w:val="00DE6421"/>
    <w:rsid w:val="00DE6BD9"/>
    <w:rsid w:val="00DF113F"/>
    <w:rsid w:val="00E07358"/>
    <w:rsid w:val="00E10E4E"/>
    <w:rsid w:val="00E1106C"/>
    <w:rsid w:val="00E11893"/>
    <w:rsid w:val="00E13E1C"/>
    <w:rsid w:val="00E1503E"/>
    <w:rsid w:val="00E210FE"/>
    <w:rsid w:val="00E215B0"/>
    <w:rsid w:val="00E21BFE"/>
    <w:rsid w:val="00E21E2C"/>
    <w:rsid w:val="00E226CA"/>
    <w:rsid w:val="00E250C4"/>
    <w:rsid w:val="00E31E7A"/>
    <w:rsid w:val="00E32D74"/>
    <w:rsid w:val="00E3632C"/>
    <w:rsid w:val="00E37FDE"/>
    <w:rsid w:val="00E44F05"/>
    <w:rsid w:val="00E469DB"/>
    <w:rsid w:val="00E508F6"/>
    <w:rsid w:val="00E5446E"/>
    <w:rsid w:val="00E5632B"/>
    <w:rsid w:val="00E56498"/>
    <w:rsid w:val="00E61B17"/>
    <w:rsid w:val="00E6258F"/>
    <w:rsid w:val="00E62D5A"/>
    <w:rsid w:val="00E63807"/>
    <w:rsid w:val="00E673E8"/>
    <w:rsid w:val="00E67923"/>
    <w:rsid w:val="00E73690"/>
    <w:rsid w:val="00E74A02"/>
    <w:rsid w:val="00E74BC6"/>
    <w:rsid w:val="00E76E02"/>
    <w:rsid w:val="00E94401"/>
    <w:rsid w:val="00E94D8F"/>
    <w:rsid w:val="00E972AE"/>
    <w:rsid w:val="00EA3670"/>
    <w:rsid w:val="00EA7640"/>
    <w:rsid w:val="00EB0C90"/>
    <w:rsid w:val="00EB3725"/>
    <w:rsid w:val="00EB5F91"/>
    <w:rsid w:val="00EB7C70"/>
    <w:rsid w:val="00EC3447"/>
    <w:rsid w:val="00EC70F4"/>
    <w:rsid w:val="00EC78EE"/>
    <w:rsid w:val="00ED0B7A"/>
    <w:rsid w:val="00ED4073"/>
    <w:rsid w:val="00EE02F7"/>
    <w:rsid w:val="00EE0D22"/>
    <w:rsid w:val="00EE51BE"/>
    <w:rsid w:val="00EE5D03"/>
    <w:rsid w:val="00EF2F48"/>
    <w:rsid w:val="00EF34A1"/>
    <w:rsid w:val="00EF5F74"/>
    <w:rsid w:val="00EF7950"/>
    <w:rsid w:val="00F0184E"/>
    <w:rsid w:val="00F025B1"/>
    <w:rsid w:val="00F02A66"/>
    <w:rsid w:val="00F12467"/>
    <w:rsid w:val="00F14BB3"/>
    <w:rsid w:val="00F2799D"/>
    <w:rsid w:val="00F3403F"/>
    <w:rsid w:val="00F3563F"/>
    <w:rsid w:val="00F37F0C"/>
    <w:rsid w:val="00F431B9"/>
    <w:rsid w:val="00F43355"/>
    <w:rsid w:val="00F440A6"/>
    <w:rsid w:val="00F50CA9"/>
    <w:rsid w:val="00F57C4E"/>
    <w:rsid w:val="00F628AA"/>
    <w:rsid w:val="00F724F4"/>
    <w:rsid w:val="00F7329A"/>
    <w:rsid w:val="00F828B6"/>
    <w:rsid w:val="00F8439F"/>
    <w:rsid w:val="00F85D29"/>
    <w:rsid w:val="00F868B3"/>
    <w:rsid w:val="00F93416"/>
    <w:rsid w:val="00FA7DD3"/>
    <w:rsid w:val="00FB077E"/>
    <w:rsid w:val="00FB0E73"/>
    <w:rsid w:val="00FB1EAD"/>
    <w:rsid w:val="00FB5275"/>
    <w:rsid w:val="00FB5B94"/>
    <w:rsid w:val="00FC3D83"/>
    <w:rsid w:val="00FC72EA"/>
    <w:rsid w:val="00FD095B"/>
    <w:rsid w:val="00FD1DC8"/>
    <w:rsid w:val="00FD3ABE"/>
    <w:rsid w:val="00FD5AAB"/>
    <w:rsid w:val="00FD7D10"/>
    <w:rsid w:val="00FE5E3D"/>
    <w:rsid w:val="00FF2859"/>
    <w:rsid w:val="00FF31CD"/>
    <w:rsid w:val="01275761"/>
    <w:rsid w:val="012B1219"/>
    <w:rsid w:val="013B23E6"/>
    <w:rsid w:val="014A7C57"/>
    <w:rsid w:val="016F0A91"/>
    <w:rsid w:val="01762C0F"/>
    <w:rsid w:val="018E1EA2"/>
    <w:rsid w:val="019127B6"/>
    <w:rsid w:val="019D47B9"/>
    <w:rsid w:val="01A27D0B"/>
    <w:rsid w:val="01E3668E"/>
    <w:rsid w:val="022E6257"/>
    <w:rsid w:val="026305F6"/>
    <w:rsid w:val="02663C42"/>
    <w:rsid w:val="026F331C"/>
    <w:rsid w:val="027520D7"/>
    <w:rsid w:val="0275701E"/>
    <w:rsid w:val="030A7EAB"/>
    <w:rsid w:val="030B049D"/>
    <w:rsid w:val="030E471C"/>
    <w:rsid w:val="0318372E"/>
    <w:rsid w:val="03373C6A"/>
    <w:rsid w:val="03437FA3"/>
    <w:rsid w:val="0374413D"/>
    <w:rsid w:val="03774F35"/>
    <w:rsid w:val="039879E3"/>
    <w:rsid w:val="03A321E3"/>
    <w:rsid w:val="03AE60A2"/>
    <w:rsid w:val="03BD5AE4"/>
    <w:rsid w:val="03BE2B18"/>
    <w:rsid w:val="03D03373"/>
    <w:rsid w:val="03E94696"/>
    <w:rsid w:val="040C727D"/>
    <w:rsid w:val="04620439"/>
    <w:rsid w:val="047C504B"/>
    <w:rsid w:val="049716B3"/>
    <w:rsid w:val="04C74F7C"/>
    <w:rsid w:val="04CC1D57"/>
    <w:rsid w:val="04E411EF"/>
    <w:rsid w:val="04F05A45"/>
    <w:rsid w:val="050339CA"/>
    <w:rsid w:val="050E318E"/>
    <w:rsid w:val="052E1CCB"/>
    <w:rsid w:val="05556557"/>
    <w:rsid w:val="05644F36"/>
    <w:rsid w:val="057C1D39"/>
    <w:rsid w:val="05FD56D0"/>
    <w:rsid w:val="0620235A"/>
    <w:rsid w:val="06387AF4"/>
    <w:rsid w:val="064268D3"/>
    <w:rsid w:val="06626B46"/>
    <w:rsid w:val="06D80E87"/>
    <w:rsid w:val="06F1465C"/>
    <w:rsid w:val="07266E36"/>
    <w:rsid w:val="075F684B"/>
    <w:rsid w:val="07676055"/>
    <w:rsid w:val="07823A0B"/>
    <w:rsid w:val="078708B9"/>
    <w:rsid w:val="07A3112D"/>
    <w:rsid w:val="07E71CB2"/>
    <w:rsid w:val="07EA36D8"/>
    <w:rsid w:val="07F078BC"/>
    <w:rsid w:val="08256F5E"/>
    <w:rsid w:val="08303A92"/>
    <w:rsid w:val="08332FBB"/>
    <w:rsid w:val="08AD130B"/>
    <w:rsid w:val="08AD6BD5"/>
    <w:rsid w:val="08CF2C57"/>
    <w:rsid w:val="090B5543"/>
    <w:rsid w:val="0946740A"/>
    <w:rsid w:val="09812927"/>
    <w:rsid w:val="09904389"/>
    <w:rsid w:val="09B53863"/>
    <w:rsid w:val="09C757FE"/>
    <w:rsid w:val="09D00339"/>
    <w:rsid w:val="09EE244D"/>
    <w:rsid w:val="0A4725AB"/>
    <w:rsid w:val="0A4A5BF8"/>
    <w:rsid w:val="0AD211D1"/>
    <w:rsid w:val="0AE93662"/>
    <w:rsid w:val="0B076EEF"/>
    <w:rsid w:val="0B2B298E"/>
    <w:rsid w:val="0B4F3FD7"/>
    <w:rsid w:val="0BAF70CA"/>
    <w:rsid w:val="0C321039"/>
    <w:rsid w:val="0C4667E7"/>
    <w:rsid w:val="0C5E00BA"/>
    <w:rsid w:val="0C6D4FE5"/>
    <w:rsid w:val="0C701305"/>
    <w:rsid w:val="0C874EE1"/>
    <w:rsid w:val="0C9044F8"/>
    <w:rsid w:val="0CA00214"/>
    <w:rsid w:val="0D076022"/>
    <w:rsid w:val="0D555EA4"/>
    <w:rsid w:val="0D771665"/>
    <w:rsid w:val="0E6A142E"/>
    <w:rsid w:val="0E7E2789"/>
    <w:rsid w:val="0E9919B5"/>
    <w:rsid w:val="0ED31DEF"/>
    <w:rsid w:val="0EF47A70"/>
    <w:rsid w:val="0F135689"/>
    <w:rsid w:val="0F4368E2"/>
    <w:rsid w:val="0FD64E9F"/>
    <w:rsid w:val="0FD85A54"/>
    <w:rsid w:val="0FEE4B88"/>
    <w:rsid w:val="0FEF456D"/>
    <w:rsid w:val="0FFD2F87"/>
    <w:rsid w:val="100250BF"/>
    <w:rsid w:val="10081455"/>
    <w:rsid w:val="101F3682"/>
    <w:rsid w:val="10234A2C"/>
    <w:rsid w:val="10510DC1"/>
    <w:rsid w:val="10572E1C"/>
    <w:rsid w:val="10617D8B"/>
    <w:rsid w:val="107D48AD"/>
    <w:rsid w:val="10D40911"/>
    <w:rsid w:val="10D47789"/>
    <w:rsid w:val="1110299A"/>
    <w:rsid w:val="11211C93"/>
    <w:rsid w:val="112D74BE"/>
    <w:rsid w:val="118057AC"/>
    <w:rsid w:val="118A4194"/>
    <w:rsid w:val="119A5F77"/>
    <w:rsid w:val="11BC10B6"/>
    <w:rsid w:val="11C73FD2"/>
    <w:rsid w:val="11DE5594"/>
    <w:rsid w:val="11E626AA"/>
    <w:rsid w:val="12122705"/>
    <w:rsid w:val="122C3F45"/>
    <w:rsid w:val="1247170C"/>
    <w:rsid w:val="125C5D69"/>
    <w:rsid w:val="128B4DFC"/>
    <w:rsid w:val="12970D1A"/>
    <w:rsid w:val="12A84323"/>
    <w:rsid w:val="12DF0704"/>
    <w:rsid w:val="12F05FDF"/>
    <w:rsid w:val="1331507B"/>
    <w:rsid w:val="134228DB"/>
    <w:rsid w:val="136E2957"/>
    <w:rsid w:val="137D6D32"/>
    <w:rsid w:val="137F4B64"/>
    <w:rsid w:val="139A199E"/>
    <w:rsid w:val="13B3480E"/>
    <w:rsid w:val="13B711D0"/>
    <w:rsid w:val="13BF5D24"/>
    <w:rsid w:val="141B6A6D"/>
    <w:rsid w:val="143B213D"/>
    <w:rsid w:val="146C581E"/>
    <w:rsid w:val="14822C86"/>
    <w:rsid w:val="14BD05A7"/>
    <w:rsid w:val="14EC47FC"/>
    <w:rsid w:val="14F658C6"/>
    <w:rsid w:val="153100E0"/>
    <w:rsid w:val="153F4085"/>
    <w:rsid w:val="15604A58"/>
    <w:rsid w:val="15A3750D"/>
    <w:rsid w:val="161A2B3D"/>
    <w:rsid w:val="164F404C"/>
    <w:rsid w:val="164F4AE9"/>
    <w:rsid w:val="168611E2"/>
    <w:rsid w:val="16951897"/>
    <w:rsid w:val="16D43419"/>
    <w:rsid w:val="16D5710E"/>
    <w:rsid w:val="16DB7A1C"/>
    <w:rsid w:val="16E06C94"/>
    <w:rsid w:val="16EF32AE"/>
    <w:rsid w:val="16F92E7F"/>
    <w:rsid w:val="16FC0AD4"/>
    <w:rsid w:val="170117D4"/>
    <w:rsid w:val="170F26A3"/>
    <w:rsid w:val="173B001E"/>
    <w:rsid w:val="173E0892"/>
    <w:rsid w:val="173E3E7D"/>
    <w:rsid w:val="17521041"/>
    <w:rsid w:val="178A6818"/>
    <w:rsid w:val="17B678A0"/>
    <w:rsid w:val="182A380B"/>
    <w:rsid w:val="18303E4E"/>
    <w:rsid w:val="183B3024"/>
    <w:rsid w:val="184B770B"/>
    <w:rsid w:val="18884481"/>
    <w:rsid w:val="188F6EFF"/>
    <w:rsid w:val="189E73F3"/>
    <w:rsid w:val="18B947B7"/>
    <w:rsid w:val="18E66996"/>
    <w:rsid w:val="190B0DDA"/>
    <w:rsid w:val="193B33BD"/>
    <w:rsid w:val="19451B7E"/>
    <w:rsid w:val="1982059A"/>
    <w:rsid w:val="19D30A81"/>
    <w:rsid w:val="19D4161B"/>
    <w:rsid w:val="1A032CBF"/>
    <w:rsid w:val="1A24058E"/>
    <w:rsid w:val="1A562397"/>
    <w:rsid w:val="1A71322F"/>
    <w:rsid w:val="1A7647E7"/>
    <w:rsid w:val="1A7D432C"/>
    <w:rsid w:val="1A89451A"/>
    <w:rsid w:val="1A93207B"/>
    <w:rsid w:val="1AA93DAA"/>
    <w:rsid w:val="1AC11F06"/>
    <w:rsid w:val="1AC87762"/>
    <w:rsid w:val="1AE37446"/>
    <w:rsid w:val="1B2415D3"/>
    <w:rsid w:val="1B286622"/>
    <w:rsid w:val="1B3D52AC"/>
    <w:rsid w:val="1B9B4505"/>
    <w:rsid w:val="1BD96DDB"/>
    <w:rsid w:val="1BDD000E"/>
    <w:rsid w:val="1BEC2F5D"/>
    <w:rsid w:val="1BF6798D"/>
    <w:rsid w:val="1C1C2D2B"/>
    <w:rsid w:val="1C567043"/>
    <w:rsid w:val="1C5A6AF0"/>
    <w:rsid w:val="1C866B04"/>
    <w:rsid w:val="1CAF5681"/>
    <w:rsid w:val="1CB312D8"/>
    <w:rsid w:val="1CEE1622"/>
    <w:rsid w:val="1D135ACD"/>
    <w:rsid w:val="1D197F5B"/>
    <w:rsid w:val="1D3D7EC4"/>
    <w:rsid w:val="1D4666F2"/>
    <w:rsid w:val="1D4B162F"/>
    <w:rsid w:val="1D7D3E0E"/>
    <w:rsid w:val="1D854DA5"/>
    <w:rsid w:val="1D904349"/>
    <w:rsid w:val="1DCC4875"/>
    <w:rsid w:val="1DD106B2"/>
    <w:rsid w:val="1DEA0D45"/>
    <w:rsid w:val="1DF63C75"/>
    <w:rsid w:val="1E236820"/>
    <w:rsid w:val="1E440E37"/>
    <w:rsid w:val="1E7C7CD7"/>
    <w:rsid w:val="1E7D213C"/>
    <w:rsid w:val="1E83436F"/>
    <w:rsid w:val="1EED1C96"/>
    <w:rsid w:val="1EF66935"/>
    <w:rsid w:val="1EFA5570"/>
    <w:rsid w:val="1F2F3AFD"/>
    <w:rsid w:val="1F3215D5"/>
    <w:rsid w:val="1F39529A"/>
    <w:rsid w:val="1F3A26D5"/>
    <w:rsid w:val="1F6130C4"/>
    <w:rsid w:val="1F7327F3"/>
    <w:rsid w:val="1FB82961"/>
    <w:rsid w:val="1FC54AD0"/>
    <w:rsid w:val="1FCD4EA9"/>
    <w:rsid w:val="1FD32DA6"/>
    <w:rsid w:val="20115AFA"/>
    <w:rsid w:val="201C7665"/>
    <w:rsid w:val="2031368A"/>
    <w:rsid w:val="20580C17"/>
    <w:rsid w:val="20910E0F"/>
    <w:rsid w:val="20A2041A"/>
    <w:rsid w:val="20A34ED2"/>
    <w:rsid w:val="20E24984"/>
    <w:rsid w:val="20F522FC"/>
    <w:rsid w:val="212174F9"/>
    <w:rsid w:val="216361B0"/>
    <w:rsid w:val="216910EC"/>
    <w:rsid w:val="21823A71"/>
    <w:rsid w:val="21974298"/>
    <w:rsid w:val="21B65500"/>
    <w:rsid w:val="21B751FF"/>
    <w:rsid w:val="21BA155E"/>
    <w:rsid w:val="21F570AD"/>
    <w:rsid w:val="22123C19"/>
    <w:rsid w:val="223E208E"/>
    <w:rsid w:val="2272763A"/>
    <w:rsid w:val="2277565C"/>
    <w:rsid w:val="227B3D63"/>
    <w:rsid w:val="22883877"/>
    <w:rsid w:val="229C1D23"/>
    <w:rsid w:val="22B365D8"/>
    <w:rsid w:val="23011885"/>
    <w:rsid w:val="23284CD5"/>
    <w:rsid w:val="23300BF7"/>
    <w:rsid w:val="23A13E17"/>
    <w:rsid w:val="23D14CF6"/>
    <w:rsid w:val="23D54CD4"/>
    <w:rsid w:val="23D73256"/>
    <w:rsid w:val="242C0D42"/>
    <w:rsid w:val="2482601E"/>
    <w:rsid w:val="248D49C9"/>
    <w:rsid w:val="24B81FC3"/>
    <w:rsid w:val="24E46F1D"/>
    <w:rsid w:val="24E5129C"/>
    <w:rsid w:val="255821DB"/>
    <w:rsid w:val="256B319A"/>
    <w:rsid w:val="2598673B"/>
    <w:rsid w:val="25C41259"/>
    <w:rsid w:val="25D23159"/>
    <w:rsid w:val="25DB0040"/>
    <w:rsid w:val="25ED3FA3"/>
    <w:rsid w:val="25F018F1"/>
    <w:rsid w:val="26307F40"/>
    <w:rsid w:val="26733C9C"/>
    <w:rsid w:val="26840B25"/>
    <w:rsid w:val="26A240AC"/>
    <w:rsid w:val="26E96021"/>
    <w:rsid w:val="27000ED6"/>
    <w:rsid w:val="2718689D"/>
    <w:rsid w:val="27201D62"/>
    <w:rsid w:val="2725254B"/>
    <w:rsid w:val="27284202"/>
    <w:rsid w:val="272E31BB"/>
    <w:rsid w:val="27421CD9"/>
    <w:rsid w:val="274A6102"/>
    <w:rsid w:val="27806CDB"/>
    <w:rsid w:val="27934C2A"/>
    <w:rsid w:val="279664C8"/>
    <w:rsid w:val="27B73BDA"/>
    <w:rsid w:val="28114D91"/>
    <w:rsid w:val="281815EA"/>
    <w:rsid w:val="281E515D"/>
    <w:rsid w:val="282A2EFA"/>
    <w:rsid w:val="284101E2"/>
    <w:rsid w:val="285A1030"/>
    <w:rsid w:val="2875217A"/>
    <w:rsid w:val="28893937"/>
    <w:rsid w:val="28996B80"/>
    <w:rsid w:val="28A013AD"/>
    <w:rsid w:val="28A82660"/>
    <w:rsid w:val="28B80BC5"/>
    <w:rsid w:val="28D11EDB"/>
    <w:rsid w:val="28D76D98"/>
    <w:rsid w:val="28EA6ACC"/>
    <w:rsid w:val="29063EAA"/>
    <w:rsid w:val="29094780"/>
    <w:rsid w:val="2919115F"/>
    <w:rsid w:val="295608B0"/>
    <w:rsid w:val="297F55F6"/>
    <w:rsid w:val="29930F11"/>
    <w:rsid w:val="29B918CC"/>
    <w:rsid w:val="29BD20C6"/>
    <w:rsid w:val="29C55868"/>
    <w:rsid w:val="29EB38D5"/>
    <w:rsid w:val="29F5542C"/>
    <w:rsid w:val="2A1D07DB"/>
    <w:rsid w:val="2A64640A"/>
    <w:rsid w:val="2A7F60A5"/>
    <w:rsid w:val="2A830F86"/>
    <w:rsid w:val="2A93687D"/>
    <w:rsid w:val="2A950AF4"/>
    <w:rsid w:val="2A9A1E2C"/>
    <w:rsid w:val="2A9F5694"/>
    <w:rsid w:val="2AA37B19"/>
    <w:rsid w:val="2AA66A22"/>
    <w:rsid w:val="2AB6426C"/>
    <w:rsid w:val="2B0D4074"/>
    <w:rsid w:val="2B3D2E5A"/>
    <w:rsid w:val="2B5217A2"/>
    <w:rsid w:val="2B797C93"/>
    <w:rsid w:val="2B7A1F1F"/>
    <w:rsid w:val="2B9A264F"/>
    <w:rsid w:val="2BCB545A"/>
    <w:rsid w:val="2BCB7E65"/>
    <w:rsid w:val="2C5E1048"/>
    <w:rsid w:val="2C8D7E9A"/>
    <w:rsid w:val="2CAB751D"/>
    <w:rsid w:val="2CC061C3"/>
    <w:rsid w:val="2D60377E"/>
    <w:rsid w:val="2D6329A9"/>
    <w:rsid w:val="2D8642A7"/>
    <w:rsid w:val="2DAC0C1E"/>
    <w:rsid w:val="2DEF7334"/>
    <w:rsid w:val="2DFC2C7A"/>
    <w:rsid w:val="2E05620B"/>
    <w:rsid w:val="2E112CF8"/>
    <w:rsid w:val="2E2472C0"/>
    <w:rsid w:val="2E411018"/>
    <w:rsid w:val="2E60483D"/>
    <w:rsid w:val="2E77608F"/>
    <w:rsid w:val="2EA94C95"/>
    <w:rsid w:val="2EB44415"/>
    <w:rsid w:val="2EB90B27"/>
    <w:rsid w:val="2EF04710"/>
    <w:rsid w:val="2F065D79"/>
    <w:rsid w:val="2F642A08"/>
    <w:rsid w:val="2FBE4E2B"/>
    <w:rsid w:val="2FD45881"/>
    <w:rsid w:val="30204B81"/>
    <w:rsid w:val="303D1BD7"/>
    <w:rsid w:val="30C44AAD"/>
    <w:rsid w:val="3115045E"/>
    <w:rsid w:val="314704CD"/>
    <w:rsid w:val="31644F41"/>
    <w:rsid w:val="31A00B57"/>
    <w:rsid w:val="31AC0DC2"/>
    <w:rsid w:val="31C3435E"/>
    <w:rsid w:val="31C76A7D"/>
    <w:rsid w:val="320504D2"/>
    <w:rsid w:val="326A1E77"/>
    <w:rsid w:val="326D2094"/>
    <w:rsid w:val="32732DF7"/>
    <w:rsid w:val="32A0644D"/>
    <w:rsid w:val="32A60981"/>
    <w:rsid w:val="32B0301E"/>
    <w:rsid w:val="32E77BD8"/>
    <w:rsid w:val="330864CC"/>
    <w:rsid w:val="33237E18"/>
    <w:rsid w:val="332A3795"/>
    <w:rsid w:val="3368186E"/>
    <w:rsid w:val="33784CD4"/>
    <w:rsid w:val="33875DE7"/>
    <w:rsid w:val="339D4735"/>
    <w:rsid w:val="339E298D"/>
    <w:rsid w:val="33B76DB5"/>
    <w:rsid w:val="33BA636C"/>
    <w:rsid w:val="34104BF8"/>
    <w:rsid w:val="345D5D99"/>
    <w:rsid w:val="34645984"/>
    <w:rsid w:val="34672804"/>
    <w:rsid w:val="347A44C1"/>
    <w:rsid w:val="348F0527"/>
    <w:rsid w:val="34AD3D69"/>
    <w:rsid w:val="351C7611"/>
    <w:rsid w:val="35463D89"/>
    <w:rsid w:val="35597028"/>
    <w:rsid w:val="35A748EC"/>
    <w:rsid w:val="3619454C"/>
    <w:rsid w:val="367B1593"/>
    <w:rsid w:val="36822F76"/>
    <w:rsid w:val="36A23F79"/>
    <w:rsid w:val="36A4524A"/>
    <w:rsid w:val="36B77B63"/>
    <w:rsid w:val="36C80A6B"/>
    <w:rsid w:val="36E815F6"/>
    <w:rsid w:val="36EB68C6"/>
    <w:rsid w:val="371D7242"/>
    <w:rsid w:val="379530B0"/>
    <w:rsid w:val="37C64260"/>
    <w:rsid w:val="37CA17EF"/>
    <w:rsid w:val="37E21516"/>
    <w:rsid w:val="381A6E91"/>
    <w:rsid w:val="38215F33"/>
    <w:rsid w:val="38293177"/>
    <w:rsid w:val="388C7258"/>
    <w:rsid w:val="38961FAC"/>
    <w:rsid w:val="38A75AD4"/>
    <w:rsid w:val="38BD38B5"/>
    <w:rsid w:val="38CB40F8"/>
    <w:rsid w:val="38CE1B13"/>
    <w:rsid w:val="38D3069F"/>
    <w:rsid w:val="38E73C59"/>
    <w:rsid w:val="38EE5B01"/>
    <w:rsid w:val="392806B2"/>
    <w:rsid w:val="3930052B"/>
    <w:rsid w:val="394B4123"/>
    <w:rsid w:val="39574E28"/>
    <w:rsid w:val="39875853"/>
    <w:rsid w:val="39974106"/>
    <w:rsid w:val="399B26DA"/>
    <w:rsid w:val="39A50914"/>
    <w:rsid w:val="39AA482D"/>
    <w:rsid w:val="39AE3D6B"/>
    <w:rsid w:val="39B94FA7"/>
    <w:rsid w:val="39DE364D"/>
    <w:rsid w:val="39E50678"/>
    <w:rsid w:val="3A000D6F"/>
    <w:rsid w:val="3A072C05"/>
    <w:rsid w:val="3A2B1759"/>
    <w:rsid w:val="3A340E0C"/>
    <w:rsid w:val="3A5475C9"/>
    <w:rsid w:val="3A623163"/>
    <w:rsid w:val="3A64110D"/>
    <w:rsid w:val="3A7633F1"/>
    <w:rsid w:val="3A880C39"/>
    <w:rsid w:val="3AB32AA6"/>
    <w:rsid w:val="3ABD61CF"/>
    <w:rsid w:val="3B031FCB"/>
    <w:rsid w:val="3B12399E"/>
    <w:rsid w:val="3BA26D92"/>
    <w:rsid w:val="3BB92AC4"/>
    <w:rsid w:val="3BD249AA"/>
    <w:rsid w:val="3BD629DB"/>
    <w:rsid w:val="3BEE3DD2"/>
    <w:rsid w:val="3BF55114"/>
    <w:rsid w:val="3C0501F2"/>
    <w:rsid w:val="3C601004"/>
    <w:rsid w:val="3C9F4667"/>
    <w:rsid w:val="3CA61599"/>
    <w:rsid w:val="3CD042EF"/>
    <w:rsid w:val="3CE826A2"/>
    <w:rsid w:val="3CF71F22"/>
    <w:rsid w:val="3CF860A0"/>
    <w:rsid w:val="3D195B0D"/>
    <w:rsid w:val="3D20119A"/>
    <w:rsid w:val="3D4D190F"/>
    <w:rsid w:val="3D522044"/>
    <w:rsid w:val="3D5B544A"/>
    <w:rsid w:val="3DBF3F65"/>
    <w:rsid w:val="3DC611E1"/>
    <w:rsid w:val="3E1D0952"/>
    <w:rsid w:val="3E2C4BE1"/>
    <w:rsid w:val="3E2D75AB"/>
    <w:rsid w:val="3E8409D1"/>
    <w:rsid w:val="3E933BDB"/>
    <w:rsid w:val="3E9B2FAC"/>
    <w:rsid w:val="3EC01B26"/>
    <w:rsid w:val="3EC06FEE"/>
    <w:rsid w:val="3F2A14A9"/>
    <w:rsid w:val="40061C9A"/>
    <w:rsid w:val="4007793E"/>
    <w:rsid w:val="40986E62"/>
    <w:rsid w:val="40A85062"/>
    <w:rsid w:val="40BB69B2"/>
    <w:rsid w:val="40F8373D"/>
    <w:rsid w:val="40FB303F"/>
    <w:rsid w:val="40FC0E7C"/>
    <w:rsid w:val="41257D94"/>
    <w:rsid w:val="412E6E7D"/>
    <w:rsid w:val="413F08E3"/>
    <w:rsid w:val="415D2C2B"/>
    <w:rsid w:val="416F5C7F"/>
    <w:rsid w:val="417E204F"/>
    <w:rsid w:val="41A36D9E"/>
    <w:rsid w:val="41A73354"/>
    <w:rsid w:val="41B31CB0"/>
    <w:rsid w:val="41C20830"/>
    <w:rsid w:val="41D826B2"/>
    <w:rsid w:val="41E1736F"/>
    <w:rsid w:val="41E17F71"/>
    <w:rsid w:val="41EA3241"/>
    <w:rsid w:val="41FD78BA"/>
    <w:rsid w:val="4203620C"/>
    <w:rsid w:val="42085645"/>
    <w:rsid w:val="42387570"/>
    <w:rsid w:val="4251506E"/>
    <w:rsid w:val="4255456F"/>
    <w:rsid w:val="42785FB7"/>
    <w:rsid w:val="42B51AA1"/>
    <w:rsid w:val="42B533F0"/>
    <w:rsid w:val="42D45320"/>
    <w:rsid w:val="43140575"/>
    <w:rsid w:val="43416B84"/>
    <w:rsid w:val="43420D3E"/>
    <w:rsid w:val="435412BA"/>
    <w:rsid w:val="43574A95"/>
    <w:rsid w:val="43860D47"/>
    <w:rsid w:val="43B4696F"/>
    <w:rsid w:val="43E918C2"/>
    <w:rsid w:val="43F50DD2"/>
    <w:rsid w:val="44052591"/>
    <w:rsid w:val="444E1066"/>
    <w:rsid w:val="447874F5"/>
    <w:rsid w:val="4488654E"/>
    <w:rsid w:val="44AD37C2"/>
    <w:rsid w:val="44C270DD"/>
    <w:rsid w:val="44CF1CC4"/>
    <w:rsid w:val="44FE14DD"/>
    <w:rsid w:val="459A7AB5"/>
    <w:rsid w:val="45A41E47"/>
    <w:rsid w:val="45A83A3A"/>
    <w:rsid w:val="45C63F6B"/>
    <w:rsid w:val="45C9535A"/>
    <w:rsid w:val="45DE130F"/>
    <w:rsid w:val="45FD1C32"/>
    <w:rsid w:val="46126A91"/>
    <w:rsid w:val="46132D66"/>
    <w:rsid w:val="461D114A"/>
    <w:rsid w:val="46553F70"/>
    <w:rsid w:val="465D71DE"/>
    <w:rsid w:val="466F1F67"/>
    <w:rsid w:val="46715902"/>
    <w:rsid w:val="4676545F"/>
    <w:rsid w:val="46A23326"/>
    <w:rsid w:val="46D04CB2"/>
    <w:rsid w:val="46D71190"/>
    <w:rsid w:val="47070DC3"/>
    <w:rsid w:val="47480EF6"/>
    <w:rsid w:val="479B21B0"/>
    <w:rsid w:val="47C87B80"/>
    <w:rsid w:val="47DC0691"/>
    <w:rsid w:val="47DD7AD0"/>
    <w:rsid w:val="47E0151E"/>
    <w:rsid w:val="48650C15"/>
    <w:rsid w:val="4870267D"/>
    <w:rsid w:val="48981C49"/>
    <w:rsid w:val="48FB7925"/>
    <w:rsid w:val="4965186A"/>
    <w:rsid w:val="49692379"/>
    <w:rsid w:val="49887406"/>
    <w:rsid w:val="49A62143"/>
    <w:rsid w:val="49BD76DE"/>
    <w:rsid w:val="49E90461"/>
    <w:rsid w:val="4A0013A3"/>
    <w:rsid w:val="4A1E35B9"/>
    <w:rsid w:val="4A541FCC"/>
    <w:rsid w:val="4A8D1239"/>
    <w:rsid w:val="4A947588"/>
    <w:rsid w:val="4A9B7242"/>
    <w:rsid w:val="4AC705C3"/>
    <w:rsid w:val="4AD03930"/>
    <w:rsid w:val="4ADB6EF6"/>
    <w:rsid w:val="4AF4480D"/>
    <w:rsid w:val="4B115F58"/>
    <w:rsid w:val="4B431067"/>
    <w:rsid w:val="4B602106"/>
    <w:rsid w:val="4B880156"/>
    <w:rsid w:val="4B8A4B96"/>
    <w:rsid w:val="4BAC6006"/>
    <w:rsid w:val="4BD84517"/>
    <w:rsid w:val="4BE13907"/>
    <w:rsid w:val="4BEB429E"/>
    <w:rsid w:val="4BF51514"/>
    <w:rsid w:val="4C160978"/>
    <w:rsid w:val="4C263544"/>
    <w:rsid w:val="4C5F5F5D"/>
    <w:rsid w:val="4C6C56EC"/>
    <w:rsid w:val="4C866056"/>
    <w:rsid w:val="4C9B3AB5"/>
    <w:rsid w:val="4CB9218D"/>
    <w:rsid w:val="4CBA03DF"/>
    <w:rsid w:val="4CC21B78"/>
    <w:rsid w:val="4CC81ED1"/>
    <w:rsid w:val="4D0908F3"/>
    <w:rsid w:val="4D0A4797"/>
    <w:rsid w:val="4D101B26"/>
    <w:rsid w:val="4D325DBC"/>
    <w:rsid w:val="4DB31ECA"/>
    <w:rsid w:val="4DB7394C"/>
    <w:rsid w:val="4DF53AF8"/>
    <w:rsid w:val="4E21448E"/>
    <w:rsid w:val="4E2F0959"/>
    <w:rsid w:val="4E3446BB"/>
    <w:rsid w:val="4E3C76DF"/>
    <w:rsid w:val="4E58577B"/>
    <w:rsid w:val="4E5E1D31"/>
    <w:rsid w:val="4E6A7265"/>
    <w:rsid w:val="4E832BEF"/>
    <w:rsid w:val="4E8C7B5A"/>
    <w:rsid w:val="4E9F452F"/>
    <w:rsid w:val="4F1D2EA8"/>
    <w:rsid w:val="4F260218"/>
    <w:rsid w:val="4F323F7C"/>
    <w:rsid w:val="4F9D7B44"/>
    <w:rsid w:val="4F9F1B0F"/>
    <w:rsid w:val="4FAD3500"/>
    <w:rsid w:val="4FC11A45"/>
    <w:rsid w:val="50443274"/>
    <w:rsid w:val="50580146"/>
    <w:rsid w:val="50B91D73"/>
    <w:rsid w:val="50E377D9"/>
    <w:rsid w:val="51112015"/>
    <w:rsid w:val="51191FFF"/>
    <w:rsid w:val="514D099E"/>
    <w:rsid w:val="517A1653"/>
    <w:rsid w:val="51973AC3"/>
    <w:rsid w:val="51BE7671"/>
    <w:rsid w:val="52221F98"/>
    <w:rsid w:val="52370F9A"/>
    <w:rsid w:val="525E6FE1"/>
    <w:rsid w:val="526D11A3"/>
    <w:rsid w:val="52854FEC"/>
    <w:rsid w:val="52C91988"/>
    <w:rsid w:val="52DC2732"/>
    <w:rsid w:val="534470C7"/>
    <w:rsid w:val="53453594"/>
    <w:rsid w:val="53922B54"/>
    <w:rsid w:val="53BA0CC5"/>
    <w:rsid w:val="53CE30AB"/>
    <w:rsid w:val="53F87A3F"/>
    <w:rsid w:val="540006A2"/>
    <w:rsid w:val="5415239F"/>
    <w:rsid w:val="543224C9"/>
    <w:rsid w:val="54336CC9"/>
    <w:rsid w:val="54655D51"/>
    <w:rsid w:val="54990207"/>
    <w:rsid w:val="54AA0D3A"/>
    <w:rsid w:val="54F05465"/>
    <w:rsid w:val="54F53E45"/>
    <w:rsid w:val="550F2F8A"/>
    <w:rsid w:val="55142657"/>
    <w:rsid w:val="55162B19"/>
    <w:rsid w:val="551F5FB4"/>
    <w:rsid w:val="553E47CE"/>
    <w:rsid w:val="554712F6"/>
    <w:rsid w:val="554F0C1F"/>
    <w:rsid w:val="5568038F"/>
    <w:rsid w:val="55BD0E57"/>
    <w:rsid w:val="55C30E9C"/>
    <w:rsid w:val="55FA7A9F"/>
    <w:rsid w:val="564318C1"/>
    <w:rsid w:val="56694D2B"/>
    <w:rsid w:val="568D5C1A"/>
    <w:rsid w:val="56A47A0A"/>
    <w:rsid w:val="56A812A9"/>
    <w:rsid w:val="56FE0C07"/>
    <w:rsid w:val="573C1866"/>
    <w:rsid w:val="57F20FC4"/>
    <w:rsid w:val="580F0C3C"/>
    <w:rsid w:val="58AB1524"/>
    <w:rsid w:val="58B54151"/>
    <w:rsid w:val="58B8779D"/>
    <w:rsid w:val="58C919AA"/>
    <w:rsid w:val="58FA344E"/>
    <w:rsid w:val="596C141E"/>
    <w:rsid w:val="59897E96"/>
    <w:rsid w:val="59BF1827"/>
    <w:rsid w:val="59E21771"/>
    <w:rsid w:val="59E9034B"/>
    <w:rsid w:val="59FB5B93"/>
    <w:rsid w:val="5A05778A"/>
    <w:rsid w:val="5A083723"/>
    <w:rsid w:val="5A315650"/>
    <w:rsid w:val="5A4879A5"/>
    <w:rsid w:val="5A547A46"/>
    <w:rsid w:val="5A5B45D0"/>
    <w:rsid w:val="5A845B89"/>
    <w:rsid w:val="5A94756C"/>
    <w:rsid w:val="5ABD593E"/>
    <w:rsid w:val="5B30574F"/>
    <w:rsid w:val="5B6B4F9B"/>
    <w:rsid w:val="5B94064E"/>
    <w:rsid w:val="5BEC795B"/>
    <w:rsid w:val="5C116E15"/>
    <w:rsid w:val="5C2B2713"/>
    <w:rsid w:val="5C606182"/>
    <w:rsid w:val="5C7659A5"/>
    <w:rsid w:val="5C87240B"/>
    <w:rsid w:val="5C8C51C9"/>
    <w:rsid w:val="5CD831D0"/>
    <w:rsid w:val="5CF74DCB"/>
    <w:rsid w:val="5D020F4B"/>
    <w:rsid w:val="5D1C19D8"/>
    <w:rsid w:val="5D8F563D"/>
    <w:rsid w:val="5DAB636B"/>
    <w:rsid w:val="5E0A34C5"/>
    <w:rsid w:val="5E103D85"/>
    <w:rsid w:val="5E106C49"/>
    <w:rsid w:val="5E2F4613"/>
    <w:rsid w:val="5E41474D"/>
    <w:rsid w:val="5E421925"/>
    <w:rsid w:val="5E886C8E"/>
    <w:rsid w:val="5E895323"/>
    <w:rsid w:val="5E8E5228"/>
    <w:rsid w:val="5ECC1DAF"/>
    <w:rsid w:val="5F303FA8"/>
    <w:rsid w:val="5F89398B"/>
    <w:rsid w:val="5F960623"/>
    <w:rsid w:val="5FB42B98"/>
    <w:rsid w:val="5FB57681"/>
    <w:rsid w:val="5FC30F01"/>
    <w:rsid w:val="5FD30328"/>
    <w:rsid w:val="5FDE5550"/>
    <w:rsid w:val="5FE02CF0"/>
    <w:rsid w:val="5FE41DA4"/>
    <w:rsid w:val="5FE7257E"/>
    <w:rsid w:val="60034BF5"/>
    <w:rsid w:val="600D5478"/>
    <w:rsid w:val="60744F5F"/>
    <w:rsid w:val="6079516E"/>
    <w:rsid w:val="60C6179E"/>
    <w:rsid w:val="60DE6BD0"/>
    <w:rsid w:val="60E42AA1"/>
    <w:rsid w:val="61141E2A"/>
    <w:rsid w:val="611F3917"/>
    <w:rsid w:val="61351925"/>
    <w:rsid w:val="61402700"/>
    <w:rsid w:val="61571B4B"/>
    <w:rsid w:val="6189121C"/>
    <w:rsid w:val="61DD2D2F"/>
    <w:rsid w:val="62054E66"/>
    <w:rsid w:val="62150A70"/>
    <w:rsid w:val="621721D2"/>
    <w:rsid w:val="621E1A59"/>
    <w:rsid w:val="623B41A0"/>
    <w:rsid w:val="624E318C"/>
    <w:rsid w:val="62735759"/>
    <w:rsid w:val="629C4400"/>
    <w:rsid w:val="629D5835"/>
    <w:rsid w:val="629E1F95"/>
    <w:rsid w:val="62C12772"/>
    <w:rsid w:val="62CE781B"/>
    <w:rsid w:val="62E31181"/>
    <w:rsid w:val="62F11F34"/>
    <w:rsid w:val="633126B5"/>
    <w:rsid w:val="633B45FB"/>
    <w:rsid w:val="638906B4"/>
    <w:rsid w:val="63A4245C"/>
    <w:rsid w:val="63A63014"/>
    <w:rsid w:val="63D74ACB"/>
    <w:rsid w:val="63F36350"/>
    <w:rsid w:val="63F7561D"/>
    <w:rsid w:val="64682077"/>
    <w:rsid w:val="646C600B"/>
    <w:rsid w:val="64853918"/>
    <w:rsid w:val="64AD4CD5"/>
    <w:rsid w:val="64D272F5"/>
    <w:rsid w:val="64DD0CB7"/>
    <w:rsid w:val="65144C52"/>
    <w:rsid w:val="652B365C"/>
    <w:rsid w:val="65362175"/>
    <w:rsid w:val="65400A6D"/>
    <w:rsid w:val="65504137"/>
    <w:rsid w:val="65532D27"/>
    <w:rsid w:val="65613ED1"/>
    <w:rsid w:val="659307CB"/>
    <w:rsid w:val="65A821B8"/>
    <w:rsid w:val="65AC02A3"/>
    <w:rsid w:val="65B417D0"/>
    <w:rsid w:val="65BE0512"/>
    <w:rsid w:val="65BF2413"/>
    <w:rsid w:val="65DC2519"/>
    <w:rsid w:val="65F6402F"/>
    <w:rsid w:val="65FD1D56"/>
    <w:rsid w:val="6648074A"/>
    <w:rsid w:val="66A17AC3"/>
    <w:rsid w:val="66AD28B5"/>
    <w:rsid w:val="66AF21DF"/>
    <w:rsid w:val="66BA4709"/>
    <w:rsid w:val="66CF3A21"/>
    <w:rsid w:val="66E76CB7"/>
    <w:rsid w:val="66F11B68"/>
    <w:rsid w:val="6704617D"/>
    <w:rsid w:val="671D552C"/>
    <w:rsid w:val="672901E4"/>
    <w:rsid w:val="67366B0E"/>
    <w:rsid w:val="674F09BF"/>
    <w:rsid w:val="676A70D7"/>
    <w:rsid w:val="67AC117C"/>
    <w:rsid w:val="67BC62F7"/>
    <w:rsid w:val="67D8728E"/>
    <w:rsid w:val="67E04752"/>
    <w:rsid w:val="682664D1"/>
    <w:rsid w:val="682812C9"/>
    <w:rsid w:val="68294213"/>
    <w:rsid w:val="6831034A"/>
    <w:rsid w:val="688B1D44"/>
    <w:rsid w:val="68A546C1"/>
    <w:rsid w:val="68EF06C4"/>
    <w:rsid w:val="68EF06EF"/>
    <w:rsid w:val="690D7691"/>
    <w:rsid w:val="692813AE"/>
    <w:rsid w:val="693C3AD3"/>
    <w:rsid w:val="69AE4487"/>
    <w:rsid w:val="69CB7DB9"/>
    <w:rsid w:val="69DC6F7D"/>
    <w:rsid w:val="69DF74C2"/>
    <w:rsid w:val="69F8615D"/>
    <w:rsid w:val="69FD72F2"/>
    <w:rsid w:val="6A2D37A1"/>
    <w:rsid w:val="6A8E035E"/>
    <w:rsid w:val="6AA858C3"/>
    <w:rsid w:val="6AEB57B0"/>
    <w:rsid w:val="6AF74155"/>
    <w:rsid w:val="6B213DFE"/>
    <w:rsid w:val="6B281821"/>
    <w:rsid w:val="6B4355EC"/>
    <w:rsid w:val="6B49268B"/>
    <w:rsid w:val="6B607F4C"/>
    <w:rsid w:val="6B7B784A"/>
    <w:rsid w:val="6B8D23E5"/>
    <w:rsid w:val="6B945E48"/>
    <w:rsid w:val="6BEB4D8A"/>
    <w:rsid w:val="6BFE140E"/>
    <w:rsid w:val="6C007C1C"/>
    <w:rsid w:val="6C080B41"/>
    <w:rsid w:val="6C122E99"/>
    <w:rsid w:val="6C155165"/>
    <w:rsid w:val="6C704E5A"/>
    <w:rsid w:val="6CA15C1E"/>
    <w:rsid w:val="6CAC4088"/>
    <w:rsid w:val="6D1F4F99"/>
    <w:rsid w:val="6D2B4954"/>
    <w:rsid w:val="6D2D20B0"/>
    <w:rsid w:val="6D620DEE"/>
    <w:rsid w:val="6D6D3F5B"/>
    <w:rsid w:val="6D6E2515"/>
    <w:rsid w:val="6DA310EA"/>
    <w:rsid w:val="6DA41B6F"/>
    <w:rsid w:val="6DC04CD2"/>
    <w:rsid w:val="6DD32C57"/>
    <w:rsid w:val="6DD3498E"/>
    <w:rsid w:val="6DFA4C55"/>
    <w:rsid w:val="6E0A165C"/>
    <w:rsid w:val="6E186540"/>
    <w:rsid w:val="6E3B3CE2"/>
    <w:rsid w:val="6E8A0249"/>
    <w:rsid w:val="6E937920"/>
    <w:rsid w:val="6EEC7CDD"/>
    <w:rsid w:val="6F057709"/>
    <w:rsid w:val="6F0C1C24"/>
    <w:rsid w:val="6F0F5F11"/>
    <w:rsid w:val="6F130A6A"/>
    <w:rsid w:val="6F170419"/>
    <w:rsid w:val="6F4334F7"/>
    <w:rsid w:val="6F5079E2"/>
    <w:rsid w:val="6F697869"/>
    <w:rsid w:val="6FA4059D"/>
    <w:rsid w:val="6FB602B0"/>
    <w:rsid w:val="6FCF270C"/>
    <w:rsid w:val="70005716"/>
    <w:rsid w:val="702B71E2"/>
    <w:rsid w:val="7046560C"/>
    <w:rsid w:val="70894D24"/>
    <w:rsid w:val="709B37D5"/>
    <w:rsid w:val="70CD61BA"/>
    <w:rsid w:val="70E47EE3"/>
    <w:rsid w:val="70EF5CA0"/>
    <w:rsid w:val="70FB0EC8"/>
    <w:rsid w:val="710F11BD"/>
    <w:rsid w:val="711C24DA"/>
    <w:rsid w:val="711D4AD7"/>
    <w:rsid w:val="712B2DAA"/>
    <w:rsid w:val="71411491"/>
    <w:rsid w:val="715E48D9"/>
    <w:rsid w:val="716943CF"/>
    <w:rsid w:val="7198626C"/>
    <w:rsid w:val="71BA5C58"/>
    <w:rsid w:val="71BA7D3D"/>
    <w:rsid w:val="721970A7"/>
    <w:rsid w:val="72310CB1"/>
    <w:rsid w:val="72467253"/>
    <w:rsid w:val="728A2147"/>
    <w:rsid w:val="72A93F87"/>
    <w:rsid w:val="72EE6064"/>
    <w:rsid w:val="734E0107"/>
    <w:rsid w:val="73696DBB"/>
    <w:rsid w:val="736A172E"/>
    <w:rsid w:val="736B28E0"/>
    <w:rsid w:val="736F44A7"/>
    <w:rsid w:val="73825BA9"/>
    <w:rsid w:val="742B71C1"/>
    <w:rsid w:val="74760F37"/>
    <w:rsid w:val="74B135C7"/>
    <w:rsid w:val="74DB7270"/>
    <w:rsid w:val="750A360F"/>
    <w:rsid w:val="750D54B8"/>
    <w:rsid w:val="752F5288"/>
    <w:rsid w:val="75444108"/>
    <w:rsid w:val="754C7212"/>
    <w:rsid w:val="755359F6"/>
    <w:rsid w:val="75F05AFC"/>
    <w:rsid w:val="762725C7"/>
    <w:rsid w:val="76657226"/>
    <w:rsid w:val="769310C3"/>
    <w:rsid w:val="76A9197D"/>
    <w:rsid w:val="76B01F0C"/>
    <w:rsid w:val="76C54B95"/>
    <w:rsid w:val="76DF6898"/>
    <w:rsid w:val="77110B96"/>
    <w:rsid w:val="771148DC"/>
    <w:rsid w:val="7720599C"/>
    <w:rsid w:val="77242BC9"/>
    <w:rsid w:val="7758127B"/>
    <w:rsid w:val="778D527D"/>
    <w:rsid w:val="779455FA"/>
    <w:rsid w:val="77B1345C"/>
    <w:rsid w:val="77B8335A"/>
    <w:rsid w:val="77C01E1F"/>
    <w:rsid w:val="77D3401C"/>
    <w:rsid w:val="77E2703E"/>
    <w:rsid w:val="77EF532A"/>
    <w:rsid w:val="78057022"/>
    <w:rsid w:val="783424EA"/>
    <w:rsid w:val="7852547D"/>
    <w:rsid w:val="785978ED"/>
    <w:rsid w:val="7865656C"/>
    <w:rsid w:val="78E22364"/>
    <w:rsid w:val="791D5BC4"/>
    <w:rsid w:val="792D4391"/>
    <w:rsid w:val="793D61F5"/>
    <w:rsid w:val="795954E1"/>
    <w:rsid w:val="79CB5569"/>
    <w:rsid w:val="79ED6E4F"/>
    <w:rsid w:val="7A92579E"/>
    <w:rsid w:val="7AC50398"/>
    <w:rsid w:val="7ACA5CE8"/>
    <w:rsid w:val="7ACD260C"/>
    <w:rsid w:val="7AE237F5"/>
    <w:rsid w:val="7AE30703"/>
    <w:rsid w:val="7AEE6E4B"/>
    <w:rsid w:val="7AF266BA"/>
    <w:rsid w:val="7AF34FD9"/>
    <w:rsid w:val="7B091FD9"/>
    <w:rsid w:val="7B512CCA"/>
    <w:rsid w:val="7B670E83"/>
    <w:rsid w:val="7B7D1985"/>
    <w:rsid w:val="7B7F08C0"/>
    <w:rsid w:val="7BCF7C2C"/>
    <w:rsid w:val="7BF13797"/>
    <w:rsid w:val="7BF44604"/>
    <w:rsid w:val="7C084BE1"/>
    <w:rsid w:val="7C0B29FC"/>
    <w:rsid w:val="7C266648"/>
    <w:rsid w:val="7C596A1E"/>
    <w:rsid w:val="7C8B294F"/>
    <w:rsid w:val="7C9B3A9F"/>
    <w:rsid w:val="7D096B99"/>
    <w:rsid w:val="7D152224"/>
    <w:rsid w:val="7D3C25A3"/>
    <w:rsid w:val="7D4071CA"/>
    <w:rsid w:val="7D7E44F5"/>
    <w:rsid w:val="7D8D727A"/>
    <w:rsid w:val="7DE4561B"/>
    <w:rsid w:val="7E3A3E8C"/>
    <w:rsid w:val="7E6478FC"/>
    <w:rsid w:val="7E6C6F68"/>
    <w:rsid w:val="7E6E338C"/>
    <w:rsid w:val="7E881798"/>
    <w:rsid w:val="7EAD3464"/>
    <w:rsid w:val="7EED78F1"/>
    <w:rsid w:val="7F2D58D8"/>
    <w:rsid w:val="7F3614EC"/>
    <w:rsid w:val="7F484B27"/>
    <w:rsid w:val="7F4D0AA3"/>
    <w:rsid w:val="7F541E3D"/>
    <w:rsid w:val="7F6556D9"/>
    <w:rsid w:val="7F954211"/>
    <w:rsid w:val="7FE138D8"/>
    <w:rsid w:val="7FEC2F14"/>
    <w:rsid w:val="7FF37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3">
    <w:name w:val="heading 1"/>
    <w:basedOn w:val="1"/>
    <w:next w:val="1"/>
    <w:link w:val="54"/>
    <w:autoRedefine/>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1"/>
    <w:next w:val="1"/>
    <w:link w:val="57"/>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6"/>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Lines="100" w:line="360" w:lineRule="auto"/>
      <w:outlineLvl w:val="3"/>
    </w:pPr>
    <w:rPr>
      <w:rFonts w:ascii="Arial" w:hAnsi="Arial"/>
      <w:b/>
      <w:bCs/>
      <w:sz w:val="24"/>
      <w:szCs w:val="28"/>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next w:val="8"/>
    <w:link w:val="50"/>
    <w:autoRedefine/>
    <w:qFormat/>
    <w:uiPriority w:val="0"/>
    <w:pPr>
      <w:ind w:firstLine="420"/>
    </w:pPr>
  </w:style>
  <w:style w:type="paragraph" w:styleId="8">
    <w:name w:val="toc 2"/>
    <w:basedOn w:val="1"/>
    <w:next w:val="1"/>
    <w:autoRedefine/>
    <w:qFormat/>
    <w:uiPriority w:val="39"/>
    <w:pPr>
      <w:tabs>
        <w:tab w:val="right" w:leader="middleDot" w:pos="8948"/>
      </w:tabs>
      <w:spacing w:before="60" w:after="60"/>
      <w:ind w:left="210"/>
    </w:pPr>
    <w:rPr>
      <w:smallCaps/>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52"/>
    <w:autoRedefine/>
    <w:unhideWhenUsed/>
    <w:qFormat/>
    <w:uiPriority w:val="0"/>
    <w:rPr>
      <w:rFonts w:ascii="宋体"/>
      <w:sz w:val="18"/>
      <w:szCs w:val="18"/>
    </w:rPr>
  </w:style>
  <w:style w:type="paragraph" w:styleId="11">
    <w:name w:val="annotation text"/>
    <w:basedOn w:val="1"/>
    <w:autoRedefine/>
    <w:qFormat/>
    <w:uiPriority w:val="0"/>
    <w:pPr>
      <w:jc w:val="left"/>
    </w:pPr>
  </w:style>
  <w:style w:type="paragraph" w:styleId="12">
    <w:name w:val="Body Text"/>
    <w:basedOn w:val="1"/>
    <w:next w:val="13"/>
    <w:link w:val="59"/>
    <w:autoRedefine/>
    <w:qFormat/>
    <w:uiPriority w:val="0"/>
    <w:pPr>
      <w:widowControl w:val="0"/>
      <w:spacing w:line="360" w:lineRule="auto"/>
      <w:jc w:val="both"/>
    </w:pPr>
    <w:rPr>
      <w:rFonts w:ascii="楷体_GB2312" w:eastAsia="楷体_GB2312"/>
      <w:kern w:val="2"/>
      <w:sz w:val="32"/>
    </w:rPr>
  </w:style>
  <w:style w:type="paragraph" w:styleId="13">
    <w:name w:val="Body Text First Indent"/>
    <w:basedOn w:val="12"/>
    <w:next w:val="1"/>
    <w:link w:val="49"/>
    <w:autoRedefine/>
    <w:qFormat/>
    <w:uiPriority w:val="0"/>
    <w:pPr>
      <w:widowControl/>
      <w:spacing w:after="120" w:line="240" w:lineRule="auto"/>
      <w:ind w:firstLine="420" w:firstLineChars="100"/>
      <w:jc w:val="left"/>
    </w:pPr>
    <w:rPr>
      <w:rFonts w:ascii="Times New Roman"/>
      <w:sz w:val="21"/>
    </w:rPr>
  </w:style>
  <w:style w:type="paragraph" w:styleId="14">
    <w:name w:val="Body Text Indent"/>
    <w:basedOn w:val="1"/>
    <w:next w:val="1"/>
    <w:autoRedefine/>
    <w:qFormat/>
    <w:uiPriority w:val="0"/>
    <w:pPr>
      <w:spacing w:after="120"/>
      <w:ind w:left="420" w:leftChars="200"/>
    </w:pPr>
  </w:style>
  <w:style w:type="paragraph" w:styleId="15">
    <w:name w:val="toc 3"/>
    <w:basedOn w:val="1"/>
    <w:next w:val="1"/>
    <w:autoRedefine/>
    <w:unhideWhenUsed/>
    <w:qFormat/>
    <w:uiPriority w:val="0"/>
    <w:pPr>
      <w:ind w:left="840" w:leftChars="400"/>
    </w:pPr>
  </w:style>
  <w:style w:type="paragraph" w:styleId="16">
    <w:name w:val="Plain Text"/>
    <w:basedOn w:val="1"/>
    <w:next w:val="17"/>
    <w:link w:val="62"/>
    <w:autoRedefine/>
    <w:qFormat/>
    <w:uiPriority w:val="0"/>
    <w:pPr>
      <w:widowControl w:val="0"/>
      <w:jc w:val="both"/>
    </w:pPr>
    <w:rPr>
      <w:rFonts w:ascii="宋体" w:hAnsi="Courier New"/>
      <w:kern w:val="2"/>
    </w:rPr>
  </w:style>
  <w:style w:type="paragraph" w:styleId="17">
    <w:name w:val="Date"/>
    <w:basedOn w:val="1"/>
    <w:next w:val="1"/>
    <w:autoRedefine/>
    <w:qFormat/>
    <w:uiPriority w:val="0"/>
    <w:pPr>
      <w:widowControl w:val="0"/>
      <w:jc w:val="both"/>
    </w:pPr>
    <w:rPr>
      <w:rFonts w:ascii="宋体"/>
      <w:sz w:val="24"/>
    </w:rPr>
  </w:style>
  <w:style w:type="paragraph" w:styleId="18">
    <w:name w:val="Balloon Text"/>
    <w:basedOn w:val="1"/>
    <w:link w:val="56"/>
    <w:autoRedefine/>
    <w:unhideWhenUsed/>
    <w:qFormat/>
    <w:uiPriority w:val="0"/>
    <w:rPr>
      <w:sz w:val="18"/>
      <w:szCs w:val="18"/>
    </w:rPr>
  </w:style>
  <w:style w:type="paragraph" w:styleId="19">
    <w:name w:val="footer"/>
    <w:basedOn w:val="1"/>
    <w:link w:val="58"/>
    <w:autoRedefine/>
    <w:qFormat/>
    <w:uiPriority w:val="0"/>
    <w:pPr>
      <w:tabs>
        <w:tab w:val="center" w:pos="4153"/>
        <w:tab w:val="right" w:pos="8306"/>
      </w:tabs>
      <w:snapToGrid w:val="0"/>
    </w:pPr>
    <w:rPr>
      <w:sz w:val="18"/>
    </w:rPr>
  </w:style>
  <w:style w:type="paragraph" w:styleId="20">
    <w:name w:val="header"/>
    <w:basedOn w:val="1"/>
    <w:link w:val="6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middleDot" w:pos="8948"/>
      </w:tabs>
    </w:pPr>
    <w:rPr>
      <w:rFonts w:ascii="宋体" w:hAnsi="宋体"/>
      <w:b/>
      <w:bCs/>
      <w:caps/>
      <w:szCs w:val="21"/>
    </w:rPr>
  </w:style>
  <w:style w:type="paragraph" w:styleId="22">
    <w:name w:val="List"/>
    <w:basedOn w:val="1"/>
    <w:autoRedefine/>
    <w:qFormat/>
    <w:uiPriority w:val="0"/>
    <w:pPr>
      <w:ind w:left="200" w:hanging="200" w:hangingChars="200"/>
    </w:pPr>
    <w:rPr>
      <w:sz w:val="28"/>
    </w:rPr>
  </w:style>
  <w:style w:type="paragraph" w:styleId="23">
    <w:name w:val="toc 6"/>
    <w:basedOn w:val="1"/>
    <w:next w:val="1"/>
    <w:autoRedefine/>
    <w:qFormat/>
    <w:uiPriority w:val="0"/>
    <w:pPr>
      <w:ind w:left="2100" w:leftChars="1000"/>
    </w:pPr>
    <w:rPr>
      <w:szCs w:val="22"/>
    </w:rPr>
  </w:style>
  <w:style w:type="paragraph" w:styleId="24">
    <w:name w:val="Normal (Web)"/>
    <w:basedOn w:val="1"/>
    <w:autoRedefine/>
    <w:qFormat/>
    <w:uiPriority w:val="0"/>
    <w:pPr>
      <w:spacing w:before="100" w:beforeAutospacing="1" w:after="100" w:afterAutospacing="1"/>
    </w:pPr>
    <w:rPr>
      <w:rFonts w:ascii="Arial Unicode MS" w:hAnsi="Arial Unicode MS" w:eastAsia="Times New Roman"/>
      <w:color w:val="000000"/>
      <w:sz w:val="24"/>
      <w:szCs w:val="24"/>
    </w:rPr>
  </w:style>
  <w:style w:type="paragraph" w:styleId="25">
    <w:name w:val="Title"/>
    <w:basedOn w:val="1"/>
    <w:next w:val="1"/>
    <w:autoRedefine/>
    <w:qFormat/>
    <w:uiPriority w:val="0"/>
    <w:pPr>
      <w:pBdr>
        <w:top w:val="single" w:color="A7BFDE" w:sz="8" w:space="10"/>
        <w:bottom w:val="single" w:color="9BBB59" w:sz="24" w:space="15"/>
      </w:pBdr>
      <w:jc w:val="center"/>
    </w:pPr>
    <w:rPr>
      <w:rFonts w:ascii="宋体" w:hAnsi="Courier New" w:eastAsia="宋体" w:cs="Courier New"/>
      <w:sz w:val="21"/>
      <w:szCs w:val="21"/>
    </w:rPr>
  </w:style>
  <w:style w:type="paragraph" w:styleId="26">
    <w:name w:val="Body Text First Indent 2"/>
    <w:basedOn w:val="14"/>
    <w:next w:val="1"/>
    <w:autoRedefine/>
    <w:qFormat/>
    <w:uiPriority w:val="0"/>
    <w:pPr>
      <w:tabs>
        <w:tab w:val="left" w:pos="0"/>
        <w:tab w:val="left" w:pos="993"/>
        <w:tab w:val="left" w:pos="1134"/>
      </w:tabs>
      <w:ind w:left="0" w:leftChars="0" w:firstLine="42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0"/>
  </w:style>
  <w:style w:type="character" w:styleId="34">
    <w:name w:val="HTML Definition"/>
    <w:basedOn w:val="29"/>
    <w:autoRedefine/>
    <w:qFormat/>
    <w:uiPriority w:val="0"/>
  </w:style>
  <w:style w:type="character" w:styleId="35">
    <w:name w:val="HTML Typewriter"/>
    <w:basedOn w:val="29"/>
    <w:autoRedefine/>
    <w:qFormat/>
    <w:uiPriority w:val="0"/>
    <w:rPr>
      <w:rFonts w:ascii="monospace" w:hAnsi="monospace" w:eastAsia="monospace" w:cs="monospace"/>
      <w:sz w:val="20"/>
    </w:rPr>
  </w:style>
  <w:style w:type="character" w:styleId="36">
    <w:name w:val="HTML Acronym"/>
    <w:basedOn w:val="29"/>
    <w:autoRedefine/>
    <w:qFormat/>
    <w:uiPriority w:val="0"/>
  </w:style>
  <w:style w:type="character" w:styleId="37">
    <w:name w:val="HTML Variable"/>
    <w:basedOn w:val="29"/>
    <w:autoRedefine/>
    <w:qFormat/>
    <w:uiPriority w:val="0"/>
  </w:style>
  <w:style w:type="character" w:styleId="38">
    <w:name w:val="Hyperlink"/>
    <w:autoRedefine/>
    <w:qFormat/>
    <w:uiPriority w:val="99"/>
    <w:rPr>
      <w:color w:val="0000FF"/>
      <w:u w:val="single"/>
    </w:rPr>
  </w:style>
  <w:style w:type="character" w:styleId="39">
    <w:name w:val="HTML Code"/>
    <w:basedOn w:val="29"/>
    <w:autoRedefine/>
    <w:qFormat/>
    <w:uiPriority w:val="0"/>
    <w:rPr>
      <w:rFonts w:hint="default"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basedOn w:val="29"/>
    <w:autoRedefine/>
    <w:qFormat/>
    <w:uiPriority w:val="0"/>
  </w:style>
  <w:style w:type="character" w:styleId="42">
    <w:name w:val="HTML Keyboard"/>
    <w:basedOn w:val="29"/>
    <w:autoRedefine/>
    <w:qFormat/>
    <w:uiPriority w:val="0"/>
    <w:rPr>
      <w:rFonts w:hint="default" w:ascii="monospace" w:hAnsi="monospace" w:eastAsia="monospace" w:cs="monospace"/>
      <w:sz w:val="20"/>
    </w:rPr>
  </w:style>
  <w:style w:type="character" w:styleId="43">
    <w:name w:val="HTML Sample"/>
    <w:basedOn w:val="29"/>
    <w:autoRedefine/>
    <w:qFormat/>
    <w:uiPriority w:val="0"/>
    <w:rPr>
      <w:rFonts w:hint="default" w:ascii="monospace" w:hAnsi="monospace" w:eastAsia="monospace" w:cs="monospace"/>
    </w:rPr>
  </w:style>
  <w:style w:type="paragraph" w:customStyle="1" w:styleId="44">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45">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46">
    <w:name w:val="标题 3 Char"/>
    <w:link w:val="5"/>
    <w:autoRedefine/>
    <w:qFormat/>
    <w:uiPriority w:val="0"/>
    <w:rPr>
      <w:rFonts w:eastAsia="宋体"/>
      <w:b/>
      <w:bCs/>
      <w:sz w:val="32"/>
      <w:szCs w:val="32"/>
      <w:lang w:bidi="ar-SA"/>
    </w:rPr>
  </w:style>
  <w:style w:type="character" w:customStyle="1" w:styleId="47">
    <w:name w:val="hang1"/>
    <w:basedOn w:val="29"/>
    <w:autoRedefine/>
    <w:qFormat/>
    <w:uiPriority w:val="0"/>
  </w:style>
  <w:style w:type="character" w:customStyle="1" w:styleId="48">
    <w:name w:val="font01"/>
    <w:basedOn w:val="29"/>
    <w:autoRedefine/>
    <w:qFormat/>
    <w:uiPriority w:val="0"/>
    <w:rPr>
      <w:rFonts w:hint="eastAsia" w:ascii="宋体" w:hAnsi="宋体" w:eastAsia="宋体" w:cs="宋体"/>
      <w:color w:val="000000"/>
      <w:sz w:val="22"/>
      <w:szCs w:val="22"/>
      <w:u w:val="none"/>
    </w:rPr>
  </w:style>
  <w:style w:type="character" w:customStyle="1" w:styleId="49">
    <w:name w:val="正文首行缩进 Char"/>
    <w:link w:val="13"/>
    <w:autoRedefine/>
    <w:qFormat/>
    <w:uiPriority w:val="0"/>
    <w:rPr>
      <w:rFonts w:eastAsia="楷体_GB2312"/>
      <w:kern w:val="2"/>
      <w:sz w:val="21"/>
      <w:lang w:bidi="ar-SA"/>
    </w:rPr>
  </w:style>
  <w:style w:type="character" w:customStyle="1" w:styleId="50">
    <w:name w:val="正文缩进 Char"/>
    <w:link w:val="7"/>
    <w:autoRedefine/>
    <w:qFormat/>
    <w:uiPriority w:val="0"/>
    <w:rPr>
      <w:rFonts w:eastAsia="宋体"/>
      <w:sz w:val="21"/>
      <w:lang w:bidi="ar-SA"/>
    </w:rPr>
  </w:style>
  <w:style w:type="character" w:customStyle="1" w:styleId="51">
    <w:name w:val="页眉 Char"/>
    <w:autoRedefine/>
    <w:qFormat/>
    <w:uiPriority w:val="0"/>
    <w:rPr>
      <w:kern w:val="2"/>
      <w:sz w:val="18"/>
      <w:szCs w:val="18"/>
    </w:rPr>
  </w:style>
  <w:style w:type="character" w:customStyle="1" w:styleId="52">
    <w:name w:val="文档结构图 Char"/>
    <w:link w:val="10"/>
    <w:autoRedefine/>
    <w:semiHidden/>
    <w:qFormat/>
    <w:uiPriority w:val="0"/>
    <w:rPr>
      <w:rFonts w:ascii="宋体" w:eastAsia="宋体"/>
      <w:sz w:val="18"/>
      <w:szCs w:val="18"/>
      <w:lang w:bidi="ar-SA"/>
    </w:rPr>
  </w:style>
  <w:style w:type="character" w:customStyle="1" w:styleId="53">
    <w:name w:val="apple-style-span"/>
    <w:autoRedefine/>
    <w:qFormat/>
    <w:uiPriority w:val="0"/>
  </w:style>
  <w:style w:type="character" w:customStyle="1" w:styleId="54">
    <w:name w:val="标题 1 Char"/>
    <w:link w:val="3"/>
    <w:autoRedefine/>
    <w:qFormat/>
    <w:uiPriority w:val="0"/>
    <w:rPr>
      <w:rFonts w:ascii="宋体" w:eastAsia="宋体"/>
      <w:b/>
      <w:kern w:val="44"/>
      <w:sz w:val="24"/>
      <w:lang w:bidi="ar-SA"/>
    </w:rPr>
  </w:style>
  <w:style w:type="character" w:customStyle="1" w:styleId="55">
    <w:name w:val="纯文本 Char Char Char Char Char Char Char Char Char Char Char Char Char Char3"/>
    <w:autoRedefine/>
    <w:qFormat/>
    <w:uiPriority w:val="0"/>
    <w:rPr>
      <w:rFonts w:ascii="宋体" w:hAnsi="Courier New"/>
      <w:sz w:val="18"/>
      <w:lang w:bidi="ar-SA"/>
    </w:rPr>
  </w:style>
  <w:style w:type="character" w:customStyle="1" w:styleId="56">
    <w:name w:val="批注框文本 Char"/>
    <w:link w:val="18"/>
    <w:autoRedefine/>
    <w:semiHidden/>
    <w:qFormat/>
    <w:uiPriority w:val="0"/>
    <w:rPr>
      <w:rFonts w:eastAsia="宋体"/>
      <w:sz w:val="18"/>
      <w:szCs w:val="18"/>
      <w:lang w:bidi="ar-SA"/>
    </w:rPr>
  </w:style>
  <w:style w:type="character" w:customStyle="1" w:styleId="57">
    <w:name w:val="标题 2 Char"/>
    <w:link w:val="4"/>
    <w:autoRedefine/>
    <w:semiHidden/>
    <w:qFormat/>
    <w:uiPriority w:val="0"/>
    <w:rPr>
      <w:rFonts w:ascii="Cambria" w:hAnsi="Cambria" w:eastAsia="宋体"/>
      <w:b/>
      <w:bCs/>
      <w:sz w:val="32"/>
      <w:szCs w:val="32"/>
      <w:lang w:bidi="ar-SA"/>
    </w:rPr>
  </w:style>
  <w:style w:type="character" w:customStyle="1" w:styleId="58">
    <w:name w:val="页脚 Char"/>
    <w:link w:val="19"/>
    <w:autoRedefine/>
    <w:qFormat/>
    <w:uiPriority w:val="0"/>
    <w:rPr>
      <w:rFonts w:eastAsia="宋体"/>
      <w:sz w:val="18"/>
      <w:lang w:bidi="ar-SA"/>
    </w:rPr>
  </w:style>
  <w:style w:type="character" w:customStyle="1" w:styleId="59">
    <w:name w:val="正文文本 Char"/>
    <w:link w:val="12"/>
    <w:autoRedefine/>
    <w:qFormat/>
    <w:uiPriority w:val="0"/>
    <w:rPr>
      <w:rFonts w:ascii="楷体_GB2312" w:eastAsia="楷体_GB2312"/>
      <w:kern w:val="2"/>
      <w:sz w:val="32"/>
      <w:lang w:bidi="ar-SA"/>
    </w:rPr>
  </w:style>
  <w:style w:type="character" w:customStyle="1" w:styleId="60">
    <w:name w:val="Normal Indent Char"/>
    <w:autoRedefine/>
    <w:qFormat/>
    <w:locked/>
    <w:uiPriority w:val="0"/>
    <w:rPr>
      <w:rFonts w:ascii="Calibri" w:hAnsi="Calibri" w:eastAsia="宋体"/>
      <w:kern w:val="2"/>
      <w:sz w:val="21"/>
    </w:rPr>
  </w:style>
  <w:style w:type="character" w:customStyle="1" w:styleId="61">
    <w:name w:val="页眉 Char1"/>
    <w:link w:val="20"/>
    <w:autoRedefine/>
    <w:qFormat/>
    <w:uiPriority w:val="0"/>
    <w:rPr>
      <w:rFonts w:eastAsia="宋体"/>
      <w:sz w:val="18"/>
      <w:szCs w:val="18"/>
      <w:lang w:bidi="ar-SA"/>
    </w:rPr>
  </w:style>
  <w:style w:type="character" w:customStyle="1" w:styleId="62">
    <w:name w:val="纯文本 Char"/>
    <w:link w:val="16"/>
    <w:autoRedefine/>
    <w:qFormat/>
    <w:uiPriority w:val="0"/>
    <w:rPr>
      <w:rFonts w:ascii="宋体" w:hAnsi="Courier New" w:eastAsia="宋体"/>
      <w:kern w:val="2"/>
      <w:sz w:val="21"/>
      <w:lang w:bidi="ar-SA"/>
    </w:rPr>
  </w:style>
  <w:style w:type="character" w:customStyle="1" w:styleId="63">
    <w:name w:val="neinongs1"/>
    <w:autoRedefine/>
    <w:qFormat/>
    <w:uiPriority w:val="0"/>
  </w:style>
  <w:style w:type="character" w:customStyle="1" w:styleId="64">
    <w:name w:val="NormalCharacter"/>
    <w:autoRedefine/>
    <w:semiHidden/>
    <w:qFormat/>
    <w:uiPriority w:val="0"/>
  </w:style>
  <w:style w:type="paragraph" w:customStyle="1" w:styleId="65">
    <w:name w:val="_Style 7"/>
    <w:basedOn w:val="12"/>
    <w:next w:val="13"/>
    <w:autoRedefine/>
    <w:qFormat/>
    <w:uiPriority w:val="0"/>
    <w:pPr>
      <w:widowControl/>
      <w:ind w:firstLine="420" w:firstLineChars="100"/>
      <w:jc w:val="left"/>
    </w:pPr>
    <w:rPr>
      <w:rFonts w:ascii="Times New Roman"/>
    </w:rPr>
  </w:style>
  <w:style w:type="paragraph" w:customStyle="1" w:styleId="66">
    <w:name w:val="纯文本1"/>
    <w:basedOn w:val="67"/>
    <w:autoRedefine/>
    <w:qFormat/>
    <w:uiPriority w:val="0"/>
    <w:pPr>
      <w:widowControl/>
      <w:jc w:val="left"/>
    </w:pPr>
    <w:rPr>
      <w:rFonts w:ascii="宋体" w:hAnsi="Courier New"/>
    </w:rPr>
  </w:style>
  <w:style w:type="paragraph" w:customStyle="1" w:styleId="67">
    <w:name w:val="正文1"/>
    <w:basedOn w:val="15"/>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
    <w:name w:val="Char Char Char Char Char Char Char"/>
    <w:basedOn w:val="1"/>
    <w:autoRedefine/>
    <w:qFormat/>
    <w:uiPriority w:val="0"/>
    <w:pPr>
      <w:widowControl w:val="0"/>
      <w:jc w:val="both"/>
    </w:pPr>
    <w:rPr>
      <w:rFonts w:ascii="仿宋_GB2312" w:eastAsia="仿宋_GB2312"/>
      <w:b/>
      <w:kern w:val="2"/>
      <w:sz w:val="32"/>
      <w:szCs w:val="32"/>
    </w:rPr>
  </w:style>
  <w:style w:type="paragraph" w:customStyle="1" w:styleId="69">
    <w:name w:val="List Paragraph"/>
    <w:basedOn w:val="1"/>
    <w:autoRedefine/>
    <w:qFormat/>
    <w:uiPriority w:val="99"/>
    <w:pPr>
      <w:ind w:firstLine="420" w:firstLineChars="200"/>
    </w:pPr>
  </w:style>
  <w:style w:type="paragraph" w:customStyle="1" w:styleId="70">
    <w:name w:val="正文首行缩进1"/>
    <w:basedOn w:val="12"/>
    <w:autoRedefine/>
    <w:qFormat/>
    <w:uiPriority w:val="0"/>
    <w:pPr>
      <w:spacing w:after="120" w:line="240" w:lineRule="auto"/>
      <w:ind w:firstLine="420" w:firstLineChars="100"/>
    </w:pPr>
    <w:rPr>
      <w:rFonts w:ascii="Times New Roman" w:eastAsia="宋体"/>
      <w:sz w:val="21"/>
      <w:szCs w:val="24"/>
    </w:rPr>
  </w:style>
  <w:style w:type="paragraph" w:customStyle="1" w:styleId="71">
    <w:name w:val="Body Text First Indent1"/>
    <w:basedOn w:val="12"/>
    <w:autoRedefine/>
    <w:qFormat/>
    <w:uiPriority w:val="99"/>
    <w:pPr>
      <w:adjustRightInd w:val="0"/>
      <w:spacing w:after="120"/>
      <w:ind w:firstLine="420"/>
      <w:textAlignment w:val="baseline"/>
    </w:pPr>
    <w:rPr>
      <w:sz w:val="24"/>
    </w:rPr>
  </w:style>
  <w:style w:type="paragraph" w:customStyle="1" w:styleId="72">
    <w:name w:val="表格文字"/>
    <w:basedOn w:val="1"/>
    <w:next w:val="12"/>
    <w:autoRedefine/>
    <w:qFormat/>
    <w:uiPriority w:val="0"/>
    <w:pPr>
      <w:widowControl w:val="0"/>
    </w:pPr>
    <w:rPr>
      <w:rFonts w:ascii="Calibri" w:hAnsi="Calibri"/>
      <w:kern w:val="21"/>
      <w:szCs w:val="21"/>
    </w:rPr>
  </w:style>
  <w:style w:type="paragraph" w:customStyle="1" w:styleId="73">
    <w:name w:val="列出段落1"/>
    <w:basedOn w:val="1"/>
    <w:autoRedefine/>
    <w:qFormat/>
    <w:uiPriority w:val="0"/>
    <w:pPr>
      <w:ind w:firstLine="420" w:firstLineChars="200"/>
    </w:pPr>
  </w:style>
  <w:style w:type="paragraph" w:customStyle="1" w:styleId="74">
    <w:name w:val="Char Char Char1 Char Char Char Char Char Char Char Char Char1"/>
    <w:basedOn w:val="1"/>
    <w:autoRedefine/>
    <w:qFormat/>
    <w:uiPriority w:val="0"/>
    <w:pPr>
      <w:spacing w:after="160" w:line="240" w:lineRule="exact"/>
    </w:pPr>
    <w:rPr>
      <w:kern w:val="2"/>
      <w:szCs w:val="24"/>
    </w:rPr>
  </w:style>
  <w:style w:type="paragraph" w:customStyle="1" w:styleId="75">
    <w:name w:val="Char Char Char"/>
    <w:basedOn w:val="1"/>
    <w:autoRedefine/>
    <w:qFormat/>
    <w:uiPriority w:val="0"/>
    <w:pPr>
      <w:widowControl w:val="0"/>
      <w:jc w:val="both"/>
    </w:pPr>
    <w:rPr>
      <w:kern w:val="2"/>
    </w:rPr>
  </w:style>
  <w:style w:type="paragraph" w:customStyle="1" w:styleId="76">
    <w:name w:val="正文11"/>
    <w:basedOn w:val="1"/>
    <w:autoRedefine/>
    <w:qFormat/>
    <w:uiPriority w:val="0"/>
    <w:pPr>
      <w:adjustRightInd w:val="0"/>
      <w:spacing w:line="318" w:lineRule="atLeast"/>
      <w:ind w:left="369" w:firstLine="369"/>
      <w:textAlignment w:val="baseline"/>
    </w:pPr>
    <w:rPr>
      <w:rFonts w:ascii="宋体"/>
    </w:rPr>
  </w:style>
  <w:style w:type="paragraph" w:customStyle="1" w:styleId="77">
    <w:name w:val="Char Char"/>
    <w:basedOn w:val="1"/>
    <w:autoRedefine/>
    <w:qFormat/>
    <w:uiPriority w:val="0"/>
    <w:pPr>
      <w:widowControl w:val="0"/>
      <w:jc w:val="both"/>
    </w:pPr>
    <w:rPr>
      <w:rFonts w:ascii="仿宋_GB2312" w:eastAsia="仿宋_GB2312"/>
      <w:b/>
      <w:kern w:val="2"/>
      <w:sz w:val="32"/>
      <w:szCs w:val="32"/>
    </w:rPr>
  </w:style>
  <w:style w:type="paragraph" w:customStyle="1" w:styleId="78">
    <w:name w:val="Char Char Char Char Char Char Char Char Char Char Char Char Char"/>
    <w:basedOn w:val="1"/>
    <w:autoRedefine/>
    <w:qFormat/>
    <w:uiPriority w:val="0"/>
    <w:pPr>
      <w:widowControl w:val="0"/>
      <w:jc w:val="both"/>
    </w:pPr>
    <w:rPr>
      <w:rFonts w:ascii="仿宋_GB2312" w:hAnsi="宋体" w:eastAsia="仿宋_GB2312" w:cs="宋体"/>
      <w:b/>
      <w:bCs/>
      <w:color w:val="000000"/>
      <w:szCs w:val="21"/>
    </w:rPr>
  </w:style>
  <w:style w:type="paragraph" w:customStyle="1" w:styleId="79">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样式 正文文本缩进 + 左  0 字符"/>
    <w:basedOn w:val="14"/>
    <w:autoRedefine/>
    <w:qFormat/>
    <w:uiPriority w:val="0"/>
    <w:pPr>
      <w:widowControl w:val="0"/>
      <w:spacing w:after="0" w:line="360" w:lineRule="auto"/>
      <w:ind w:left="0" w:leftChars="0" w:firstLine="250" w:firstLineChars="250"/>
      <w:jc w:val="both"/>
    </w:pPr>
    <w:rPr>
      <w:kern w:val="2"/>
      <w:sz w:val="24"/>
    </w:rPr>
  </w:style>
  <w:style w:type="paragraph" w:customStyle="1" w:styleId="82">
    <w:name w:val="Char Char1 Char Char Char Char Char Char"/>
    <w:basedOn w:val="1"/>
    <w:autoRedefine/>
    <w:qFormat/>
    <w:uiPriority w:val="0"/>
    <w:pPr>
      <w:widowControl w:val="0"/>
      <w:spacing w:line="600" w:lineRule="exact"/>
      <w:jc w:val="both"/>
    </w:pPr>
    <w:rPr>
      <w:rFonts w:ascii="ˎ̥" w:hAnsi="ˎ̥" w:cs="宋体"/>
    </w:rPr>
  </w:style>
  <w:style w:type="paragraph" w:customStyle="1" w:styleId="83">
    <w:name w:val="Indent a)"/>
    <w:basedOn w:val="1"/>
    <w:autoRedefine/>
    <w:qFormat/>
    <w:uiPriority w:val="0"/>
    <w:pPr>
      <w:tabs>
        <w:tab w:val="left" w:pos="1843"/>
        <w:tab w:val="right" w:pos="9072"/>
      </w:tabs>
      <w:suppressAutoHyphens/>
      <w:spacing w:line="360" w:lineRule="auto"/>
      <w:ind w:right="-21" w:rightChars="-10" w:firstLine="420" w:firstLineChars="175"/>
    </w:pPr>
    <w:rPr>
      <w:sz w:val="24"/>
    </w:rPr>
  </w:style>
  <w:style w:type="paragraph" w:customStyle="1" w:styleId="84">
    <w:name w:val="投标正文"/>
    <w:basedOn w:val="1"/>
    <w:autoRedefine/>
    <w:qFormat/>
    <w:uiPriority w:val="0"/>
    <w:pPr>
      <w:spacing w:line="360" w:lineRule="auto"/>
      <w:ind w:left="102" w:firstLine="200" w:firstLineChars="200"/>
    </w:pPr>
    <w:rPr>
      <w:sz w:val="24"/>
    </w:rPr>
  </w:style>
  <w:style w:type="paragraph" w:customStyle="1" w:styleId="85">
    <w:name w:val="p0"/>
    <w:basedOn w:val="1"/>
    <w:autoRedefine/>
    <w:unhideWhenUsed/>
    <w:qFormat/>
    <w:uiPriority w:val="0"/>
    <w:pPr>
      <w:widowControl/>
      <w:spacing w:line="324" w:lineRule="auto"/>
    </w:pPr>
    <w:rPr>
      <w:rFonts w:hint="eastAsia" w:ascii="Times New Roman" w:hAnsi="Times New Roman" w:eastAsia="仿宋_GB2312"/>
      <w:sz w:val="24"/>
      <w:szCs w:val="20"/>
    </w:rPr>
  </w:style>
  <w:style w:type="paragraph" w:customStyle="1" w:styleId="86">
    <w:name w:val="*正文"/>
    <w:basedOn w:val="1"/>
    <w:autoRedefine/>
    <w:qFormat/>
    <w:uiPriority w:val="0"/>
    <w:pPr>
      <w:widowControl w:val="0"/>
      <w:ind w:firstLine="560" w:firstLineChars="200"/>
    </w:pPr>
    <w:rPr>
      <w:rFonts w:ascii="Times New Roman" w:hAnsi="Times New Roman" w:eastAsia="仿宋_GB2312" w:cs="仿宋_GB2312"/>
      <w:kern w:val="2"/>
      <w:sz w:val="28"/>
      <w:shd w:val="clear" w:color="auto" w:fill="FFFFFF"/>
    </w:rPr>
  </w:style>
  <w:style w:type="paragraph" w:customStyle="1" w:styleId="87">
    <w:name w:val="本文-正文"/>
    <w:basedOn w:val="1"/>
    <w:next w:val="1"/>
    <w:autoRedefine/>
    <w:qFormat/>
    <w:uiPriority w:val="0"/>
    <w:pPr>
      <w:widowControl w:val="0"/>
      <w:spacing w:line="360" w:lineRule="auto"/>
      <w:ind w:firstLine="200" w:firstLineChars="200"/>
      <w:jc w:val="both"/>
    </w:pPr>
    <w:rPr>
      <w:rFonts w:ascii="Times New Roman" w:hAnsi="Times New Roman" w:cs="Times New Roman"/>
      <w:kern w:val="2"/>
      <w:sz w:val="28"/>
    </w:rPr>
  </w:style>
  <w:style w:type="paragraph" w:customStyle="1" w:styleId="88">
    <w:name w:val="Normal Indent1"/>
    <w:basedOn w:val="1"/>
    <w:autoRedefine/>
    <w:qFormat/>
    <w:uiPriority w:val="0"/>
    <w:pPr>
      <w:ind w:firstLine="420"/>
    </w:pPr>
    <w:rPr>
      <w:rFonts w:ascii="Times New Roman" w:hAnsi="Times New Roman" w:eastAsia="宋体" w:cs="Times New Roman"/>
    </w:rPr>
  </w:style>
  <w:style w:type="paragraph" w:customStyle="1" w:styleId="89">
    <w:name w:val="Body text|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90">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91">
    <w:name w:val="Plain Text"/>
    <w:basedOn w:val="1"/>
    <w:autoRedefine/>
    <w:qFormat/>
    <w:uiPriority w:val="0"/>
    <w:pPr>
      <w:adjustRightInd w:val="0"/>
      <w:textAlignment w:val="baseline"/>
    </w:pPr>
    <w:rPr>
      <w:rFonts w:ascii="宋体" w:hAnsi="Courier New" w:eastAsia="楷体_GB2312"/>
      <w:sz w:val="26"/>
      <w:szCs w:val="20"/>
    </w:rPr>
  </w:style>
  <w:style w:type="character" w:customStyle="1" w:styleId="92">
    <w:name w:val="font11"/>
    <w:basedOn w:val="29"/>
    <w:autoRedefine/>
    <w:qFormat/>
    <w:uiPriority w:val="0"/>
    <w:rPr>
      <w:rFonts w:hint="eastAsia" w:ascii="宋体" w:hAnsi="宋体" w:eastAsia="宋体" w:cs="宋体"/>
      <w:b/>
      <w:color w:val="000000"/>
      <w:sz w:val="18"/>
      <w:szCs w:val="18"/>
      <w:u w:val="none"/>
    </w:rPr>
  </w:style>
  <w:style w:type="paragraph" w:customStyle="1" w:styleId="93">
    <w:name w:val=" Char Char Char1 Char Char Char Char Char Char Char Char Char1"/>
    <w:basedOn w:val="1"/>
    <w:autoRedefine/>
    <w:qFormat/>
    <w:uiPriority w:val="0"/>
    <w:pPr>
      <w:spacing w:after="160" w:line="240" w:lineRule="exact"/>
    </w:pPr>
    <w:rPr>
      <w:rFonts w:ascii="Times New Roman" w:hAnsi="Times New Roman" w:cs="Times New Roman"/>
      <w:kern w:val="2"/>
      <w:sz w:val="21"/>
    </w:rPr>
  </w:style>
  <w:style w:type="paragraph" w:customStyle="1" w:styleId="94">
    <w:name w:val="BZ_列举"/>
    <w:basedOn w:val="1"/>
    <w:autoRedefine/>
    <w:qFormat/>
    <w:uiPriority w:val="0"/>
    <w:pPr>
      <w:numPr>
        <w:ilvl w:val="0"/>
        <w:numId w:val="1"/>
      </w:numPr>
      <w:tabs>
        <w:tab w:val="left" w:pos="0"/>
      </w:tabs>
      <w:spacing w:line="360" w:lineRule="auto"/>
      <w:jc w:val="both"/>
    </w:pPr>
    <w:rPr>
      <w:rFonts w:ascii="Times New Roman" w:hAnsi="Times New Roman" w:cs="Times New Roman"/>
      <w:kern w:val="2"/>
    </w:rPr>
  </w:style>
  <w:style w:type="paragraph" w:customStyle="1" w:styleId="95">
    <w:name w:val="样式1"/>
    <w:basedOn w:val="1"/>
    <w:autoRedefine/>
    <w:qFormat/>
    <w:uiPriority w:val="0"/>
    <w:pPr>
      <w:spacing w:line="360" w:lineRule="exact"/>
      <w:ind w:firstLine="200" w:firstLineChars="200"/>
    </w:pPr>
    <w:rPr>
      <w:rFonts w:ascii="Arial" w:hAnsi="Arial"/>
    </w:rPr>
  </w:style>
  <w:style w:type="paragraph" w:customStyle="1" w:styleId="96">
    <w:name w:val="Table Text"/>
    <w:basedOn w:val="1"/>
    <w:autoRedefine/>
    <w:semiHidden/>
    <w:qFormat/>
    <w:uiPriority w:val="0"/>
    <w:rPr>
      <w:rFonts w:ascii="微软雅黑" w:hAnsi="微软雅黑" w:eastAsia="微软雅黑" w:cs="微软雅黑"/>
      <w:sz w:val="24"/>
      <w:szCs w:val="24"/>
      <w:lang w:val="en-US" w:eastAsia="en-US" w:bidi="ar-SA"/>
    </w:rPr>
  </w:style>
  <w:style w:type="paragraph" w:customStyle="1" w:styleId="97">
    <w:name w:val="正文_new"/>
    <w:basedOn w:val="1"/>
    <w:autoRedefine/>
    <w:qFormat/>
    <w:uiPriority w:val="0"/>
    <w:pPr>
      <w:adjustRightInd w:val="0"/>
      <w:snapToGrid w:val="0"/>
      <w:spacing w:line="360" w:lineRule="auto"/>
      <w:ind w:firstLine="480" w:firstLineChars="200"/>
    </w:pPr>
    <w:rPr>
      <w:rFonts w:ascii="Times New Roman" w:hAnsi="Times New Roman"/>
    </w:rPr>
  </w:style>
  <w:style w:type="paragraph" w:customStyle="1" w:styleId="98">
    <w:name w:val="正文2"/>
    <w:basedOn w:val="1"/>
    <w:autoRedefine/>
    <w:qFormat/>
    <w:uiPriority w:val="0"/>
    <w:pPr>
      <w:spacing w:before="156" w:after="100" w:afterAutospacing="1" w:line="360" w:lineRule="auto"/>
      <w:ind w:firstLine="510" w:firstLineChars="200"/>
    </w:pPr>
    <w:rPr>
      <w:rFonts w:cs="Calibri"/>
      <w:sz w:val="24"/>
    </w:rPr>
  </w:style>
  <w:style w:type="character" w:customStyle="1" w:styleId="99">
    <w:name w:val="font21"/>
    <w:basedOn w:val="29"/>
    <w:autoRedefine/>
    <w:qFormat/>
    <w:uiPriority w:val="0"/>
    <w:rPr>
      <w:rFonts w:hint="eastAsia" w:ascii="宋体" w:hAnsi="宋体" w:eastAsia="宋体" w:cs="宋体"/>
      <w:b/>
      <w:bCs/>
      <w:color w:val="000000"/>
      <w:sz w:val="20"/>
      <w:szCs w:val="20"/>
      <w:u w:val="none"/>
    </w:rPr>
  </w:style>
  <w:style w:type="paragraph" w:customStyle="1" w:styleId="100">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101">
    <w:name w:val="默认段落字体 Para Char Char Char Char Char Char Char Char Char1 Char Char Char Char"/>
    <w:basedOn w:val="1"/>
    <w:autoRedefine/>
    <w:qFormat/>
    <w:uiPriority w:val="0"/>
    <w:rPr>
      <w:rFonts w:ascii="Tahoma" w:hAnsi="Tahoma"/>
      <w:sz w:val="24"/>
      <w:szCs w:val="20"/>
    </w:rPr>
  </w:style>
  <w:style w:type="paragraph" w:customStyle="1" w:styleId="102">
    <w:name w:val="Heading5"/>
    <w:basedOn w:val="1"/>
    <w:next w:val="1"/>
    <w:autoRedefine/>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character" w:customStyle="1" w:styleId="103">
    <w:name w:val="font31"/>
    <w:basedOn w:val="2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17372</Words>
  <Characters>18947</Characters>
  <Lines>1</Lines>
  <Paragraphs>1</Paragraphs>
  <TotalTime>39</TotalTime>
  <ScaleCrop>false</ScaleCrop>
  <LinksUpToDate>false</LinksUpToDate>
  <CharactersWithSpaces>19594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2022-08-01T07:05:00Z</dcterms:created>
  <dc:creator>王桢之</dc:creator>
  <cp:lastModifiedBy>莫然</cp:lastModifiedBy>
  <cp:lastPrinted>2024-05-13T01:37:00Z</cp:lastPrinted>
  <dcterms:modified xsi:type="dcterms:W3CDTF">2025-06-10T09:13:20Z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F9C80F65C4864ED2A839024BE66287B7_13</vt:lpwstr>
  </property>
  <property fmtid="{D5CDD505-2E9C-101B-9397-08002B2CF9AE}" pid="4" name="KSOTemplateDocerSaveRecord">
    <vt:lpwstr>eyJoZGlkIjoiMDc3OTFhYjU1ZjUxOTc1ZDlhOTk3MmUxZjdmNDUwN2UiLCJ1c2VySWQiOiIyNTYyNjc0MDUifQ==</vt:lpwstr>
  </property>
</Properties>
</file>